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280D4">
      <w:pPr>
        <w:spacing w:line="360" w:lineRule="auto"/>
        <w:jc w:val="center"/>
        <w:rPr>
          <w:rFonts w:ascii="宋体" w:hAnsi="宋体" w:cs="宋体"/>
          <w:b/>
          <w:color w:val="auto"/>
          <w:sz w:val="84"/>
          <w:szCs w:val="84"/>
          <w:highlight w:val="none"/>
        </w:rPr>
      </w:pPr>
    </w:p>
    <w:p w14:paraId="0178047E">
      <w:pPr>
        <w:spacing w:line="480" w:lineRule="auto"/>
        <w:jc w:val="center"/>
        <w:rPr>
          <w:rFonts w:ascii="宋体" w:hAnsi="宋体" w:cs="宋体"/>
          <w:b/>
          <w:color w:val="auto"/>
          <w:spacing w:val="140"/>
          <w:sz w:val="52"/>
          <w:szCs w:val="52"/>
          <w:highlight w:val="none"/>
        </w:rPr>
      </w:pPr>
      <w:r>
        <w:rPr>
          <w:rFonts w:hint="eastAsia" w:ascii="宋体" w:hAnsi="宋体" w:cs="宋体"/>
          <w:b/>
          <w:color w:val="auto"/>
          <w:sz w:val="84"/>
          <w:szCs w:val="84"/>
          <w:highlight w:val="none"/>
        </w:rPr>
        <w:t>温州肯恩大学采购项目</w:t>
      </w:r>
    </w:p>
    <w:p w14:paraId="75F72F71">
      <w:pPr>
        <w:spacing w:line="400" w:lineRule="exact"/>
        <w:ind w:firstLine="1885" w:firstLineChars="235"/>
        <w:rPr>
          <w:rFonts w:ascii="宋体" w:hAnsi="宋体" w:cs="宋体"/>
          <w:b/>
          <w:color w:val="auto"/>
          <w:spacing w:val="140"/>
          <w:sz w:val="52"/>
          <w:szCs w:val="52"/>
          <w:highlight w:val="none"/>
        </w:rPr>
      </w:pPr>
    </w:p>
    <w:p w14:paraId="246FE341">
      <w:pPr>
        <w:spacing w:line="400" w:lineRule="exact"/>
        <w:ind w:firstLine="1885" w:firstLineChars="235"/>
        <w:rPr>
          <w:rFonts w:ascii="宋体" w:hAnsi="宋体" w:cs="宋体"/>
          <w:b/>
          <w:color w:val="auto"/>
          <w:spacing w:val="140"/>
          <w:sz w:val="52"/>
          <w:szCs w:val="52"/>
          <w:highlight w:val="none"/>
        </w:rPr>
      </w:pPr>
    </w:p>
    <w:p w14:paraId="4DB2951B">
      <w:pPr>
        <w:spacing w:line="400" w:lineRule="exact"/>
        <w:ind w:firstLine="1885" w:firstLineChars="235"/>
        <w:rPr>
          <w:rFonts w:ascii="宋体" w:hAnsi="宋体" w:cs="宋体"/>
          <w:b/>
          <w:color w:val="auto"/>
          <w:spacing w:val="140"/>
          <w:sz w:val="52"/>
          <w:szCs w:val="52"/>
          <w:highlight w:val="none"/>
        </w:rPr>
      </w:pPr>
    </w:p>
    <w:p w14:paraId="086C3B4A">
      <w:pPr>
        <w:spacing w:line="400" w:lineRule="exact"/>
        <w:ind w:firstLine="1885" w:firstLineChars="235"/>
        <w:rPr>
          <w:rFonts w:ascii="宋体" w:hAnsi="宋体" w:cs="宋体"/>
          <w:b/>
          <w:color w:val="auto"/>
          <w:spacing w:val="140"/>
          <w:sz w:val="52"/>
          <w:szCs w:val="52"/>
          <w:highlight w:val="none"/>
        </w:rPr>
      </w:pPr>
    </w:p>
    <w:p w14:paraId="6D3A2F7B">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p>
    <w:p w14:paraId="188F1BC1">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6230CF62">
      <w:pPr>
        <w:spacing w:line="400" w:lineRule="exact"/>
        <w:rPr>
          <w:rFonts w:ascii="宋体" w:hAnsi="宋体" w:cs="宋体"/>
          <w:b/>
          <w:color w:val="auto"/>
          <w:sz w:val="24"/>
          <w:highlight w:val="none"/>
        </w:rPr>
      </w:pPr>
    </w:p>
    <w:p w14:paraId="09639401">
      <w:pPr>
        <w:spacing w:line="400" w:lineRule="exact"/>
        <w:rPr>
          <w:rFonts w:ascii="宋体" w:hAnsi="宋体" w:cs="宋体"/>
          <w:b/>
          <w:color w:val="auto"/>
          <w:sz w:val="24"/>
          <w:highlight w:val="none"/>
        </w:rPr>
      </w:pPr>
    </w:p>
    <w:p w14:paraId="1EDF9CDD">
      <w:pPr>
        <w:spacing w:line="400" w:lineRule="exact"/>
        <w:rPr>
          <w:rFonts w:ascii="宋体" w:hAnsi="宋体" w:cs="宋体"/>
          <w:b/>
          <w:color w:val="auto"/>
          <w:sz w:val="24"/>
          <w:highlight w:val="none"/>
        </w:rPr>
      </w:pPr>
    </w:p>
    <w:p w14:paraId="4C0E5353">
      <w:pPr>
        <w:spacing w:line="400" w:lineRule="exact"/>
        <w:rPr>
          <w:rFonts w:ascii="宋体" w:hAnsi="宋体" w:cs="宋体"/>
          <w:b/>
          <w:color w:val="auto"/>
          <w:sz w:val="24"/>
          <w:highlight w:val="none"/>
        </w:rPr>
      </w:pPr>
    </w:p>
    <w:p w14:paraId="4F2B9B0F">
      <w:pPr>
        <w:spacing w:line="400" w:lineRule="exact"/>
        <w:ind w:firstLine="1140" w:firstLineChars="300"/>
        <w:rPr>
          <w:rFonts w:ascii="宋体" w:hAnsi="宋体" w:cs="宋体"/>
          <w:color w:val="auto"/>
          <w:spacing w:val="40"/>
          <w:sz w:val="30"/>
          <w:highlight w:val="none"/>
        </w:rPr>
      </w:pPr>
    </w:p>
    <w:p w14:paraId="14AFAD5F">
      <w:pPr>
        <w:spacing w:line="360" w:lineRule="auto"/>
        <w:ind w:firstLine="900" w:firstLineChars="300"/>
        <w:rPr>
          <w:rFonts w:ascii="宋体" w:hAnsi="宋体" w:cs="宋体"/>
          <w:color w:val="auto"/>
          <w:sz w:val="30"/>
          <w:highlight w:val="none"/>
        </w:rPr>
      </w:pPr>
      <w:r>
        <w:rPr>
          <w:rFonts w:hint="eastAsia" w:ascii="宋体" w:hAnsi="宋体" w:cs="宋体"/>
          <w:color w:val="auto"/>
          <w:sz w:val="30"/>
          <w:highlight w:val="none"/>
        </w:rPr>
        <w:t>项目编号：ZJYC2025020（GK)</w:t>
      </w:r>
    </w:p>
    <w:p w14:paraId="70470F5C">
      <w:pPr>
        <w:spacing w:line="360" w:lineRule="auto"/>
        <w:ind w:firstLine="900" w:firstLineChars="300"/>
        <w:rPr>
          <w:rFonts w:ascii="宋体" w:hAnsi="宋体" w:cs="宋体"/>
          <w:color w:val="auto"/>
          <w:sz w:val="30"/>
          <w:highlight w:val="none"/>
        </w:rPr>
      </w:pPr>
      <w:r>
        <w:rPr>
          <w:rFonts w:hint="eastAsia" w:ascii="宋体" w:hAnsi="宋体" w:cs="宋体"/>
          <w:color w:val="auto"/>
          <w:sz w:val="30"/>
          <w:highlight w:val="none"/>
        </w:rPr>
        <w:t>项目名称：</w:t>
      </w:r>
      <w:r>
        <w:rPr>
          <w:rFonts w:hint="eastAsia" w:ascii="宋体" w:hAnsi="宋体" w:cs="宋体"/>
          <w:color w:val="auto"/>
          <w:sz w:val="30"/>
          <w:highlight w:val="none"/>
          <w:lang w:eastAsia="zh-CN"/>
        </w:rPr>
        <w:t>温州肯恩大学2025年到2028年校园物业服务采购</w:t>
      </w:r>
      <w:r>
        <w:rPr>
          <w:rFonts w:hint="eastAsia" w:ascii="宋体" w:hAnsi="宋体" w:cs="宋体"/>
          <w:color w:val="auto"/>
          <w:sz w:val="30"/>
          <w:highlight w:val="none"/>
        </w:rPr>
        <w:t xml:space="preserve"> </w:t>
      </w:r>
    </w:p>
    <w:p w14:paraId="57F7D8B8">
      <w:pPr>
        <w:pStyle w:val="26"/>
        <w:spacing w:before="0" w:beforeAutospacing="0" w:after="0" w:afterAutospacing="0" w:line="360" w:lineRule="auto"/>
        <w:ind w:firstLine="900" w:firstLineChars="300"/>
        <w:jc w:val="both"/>
        <w:rPr>
          <w:color w:val="auto"/>
          <w:sz w:val="22"/>
          <w:highlight w:val="none"/>
        </w:rPr>
      </w:pPr>
      <w:r>
        <w:rPr>
          <w:rFonts w:hint="eastAsia"/>
          <w:color w:val="auto"/>
          <w:sz w:val="30"/>
          <w:highlight w:val="none"/>
        </w:rPr>
        <w:t>招标方式：公 开 招 标</w:t>
      </w:r>
    </w:p>
    <w:p w14:paraId="40D94170">
      <w:pPr>
        <w:spacing w:line="360" w:lineRule="auto"/>
        <w:ind w:firstLine="1140" w:firstLineChars="300"/>
        <w:rPr>
          <w:rFonts w:ascii="宋体" w:hAnsi="宋体" w:cs="宋体"/>
          <w:color w:val="auto"/>
          <w:spacing w:val="40"/>
          <w:sz w:val="30"/>
          <w:highlight w:val="none"/>
        </w:rPr>
      </w:pPr>
    </w:p>
    <w:p w14:paraId="62076CB5">
      <w:pPr>
        <w:spacing w:line="360" w:lineRule="auto"/>
        <w:ind w:firstLine="1920" w:firstLineChars="6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采购人：温州肯恩大学</w:t>
      </w:r>
    </w:p>
    <w:p w14:paraId="486EB345">
      <w:pPr>
        <w:spacing w:line="360" w:lineRule="auto"/>
        <w:ind w:firstLine="1920" w:firstLineChars="600"/>
        <w:rPr>
          <w:rFonts w:ascii="宋体" w:hAnsi="宋体" w:cs="宋体"/>
          <w:color w:val="auto"/>
          <w:spacing w:val="40"/>
          <w:sz w:val="24"/>
          <w:szCs w:val="24"/>
          <w:highlight w:val="none"/>
        </w:rPr>
      </w:pPr>
      <w:r>
        <w:rPr>
          <w:rFonts w:hint="eastAsia" w:ascii="宋体" w:hAnsi="宋体" w:cs="宋体"/>
          <w:color w:val="auto"/>
          <w:spacing w:val="40"/>
          <w:sz w:val="24"/>
          <w:szCs w:val="24"/>
          <w:highlight w:val="none"/>
        </w:rPr>
        <w:t>采购代理机构：浙江乐诚工程咨询有限公司</w:t>
      </w:r>
    </w:p>
    <w:p w14:paraId="6D643714">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二0二五年</w:t>
      </w:r>
    </w:p>
    <w:p w14:paraId="0F5ED764">
      <w:pPr>
        <w:spacing w:line="400" w:lineRule="exact"/>
        <w:rPr>
          <w:rFonts w:ascii="宋体" w:hAnsi="宋体" w:cs="宋体"/>
          <w:b/>
          <w:color w:val="auto"/>
          <w:sz w:val="22"/>
          <w:highlight w:val="none"/>
        </w:rPr>
      </w:pPr>
      <w:r>
        <w:rPr>
          <w:rFonts w:hint="eastAsia" w:ascii="宋体" w:hAnsi="宋体" w:cs="宋体"/>
          <w:b/>
          <w:color w:val="auto"/>
          <w:sz w:val="22"/>
          <w:highlight w:val="none"/>
        </w:rPr>
        <w:br w:type="page"/>
      </w:r>
    </w:p>
    <w:p w14:paraId="64606CB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目录</w:t>
      </w:r>
    </w:p>
    <w:p w14:paraId="14D05A63">
      <w:pPr>
        <w:pStyle w:val="13"/>
        <w:ind w:left="1470" w:right="1470"/>
        <w:rPr>
          <w:color w:val="auto"/>
          <w:highlight w:val="none"/>
        </w:rPr>
      </w:pPr>
    </w:p>
    <w:p w14:paraId="29848A0B">
      <w:pPr>
        <w:pStyle w:val="22"/>
        <w:tabs>
          <w:tab w:val="right" w:leader="dot" w:pos="9746"/>
          <w:tab w:val="clear" w:pos="8948"/>
        </w:tabs>
        <w:spacing w:line="36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TOC \o "1-2" \h \u </w:instrText>
      </w:r>
      <w:r>
        <w:rPr>
          <w:rFonts w:hint="eastAsia"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"_Toc838" </w:instrText>
      </w:r>
      <w:r>
        <w:rPr>
          <w:color w:val="auto"/>
          <w:highlight w:val="none"/>
        </w:rPr>
        <w:fldChar w:fldCharType="separate"/>
      </w:r>
      <w:r>
        <w:rPr>
          <w:rFonts w:hint="eastAsia" w:cs="宋体"/>
          <w:color w:val="auto"/>
          <w:sz w:val="24"/>
          <w:szCs w:val="24"/>
          <w:highlight w:val="none"/>
        </w:rPr>
        <w:t>第一部分 公开招标公告</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_Toc838 \h </w:instrText>
      </w:r>
      <w:r>
        <w:rPr>
          <w:rFonts w:hint="eastAsia" w:cs="宋体"/>
          <w:color w:val="auto"/>
          <w:sz w:val="24"/>
          <w:szCs w:val="24"/>
          <w:highlight w:val="none"/>
        </w:rPr>
        <w:fldChar w:fldCharType="separate"/>
      </w:r>
      <w:r>
        <w:rPr>
          <w:rFonts w:hint="eastAsia" w:cs="宋体"/>
          <w:color w:val="auto"/>
          <w:sz w:val="24"/>
          <w:szCs w:val="24"/>
          <w:highlight w:val="none"/>
        </w:rPr>
        <w:t>3</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41296004">
      <w:pPr>
        <w:pStyle w:val="22"/>
        <w:tabs>
          <w:tab w:val="right" w:leader="dot" w:pos="9746"/>
          <w:tab w:val="clear" w:pos="8948"/>
        </w:tabs>
        <w:spacing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"_Toc24511" </w:instrText>
      </w:r>
      <w:r>
        <w:rPr>
          <w:color w:val="auto"/>
          <w:highlight w:val="none"/>
        </w:rPr>
        <w:fldChar w:fldCharType="separate"/>
      </w:r>
      <w:r>
        <w:rPr>
          <w:rFonts w:hint="eastAsia" w:cs="宋体"/>
          <w:color w:val="auto"/>
          <w:sz w:val="24"/>
          <w:szCs w:val="24"/>
          <w:highlight w:val="none"/>
        </w:rPr>
        <w:t>第二部分 投标人须知</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_Toc24511 \h </w:instrText>
      </w:r>
      <w:r>
        <w:rPr>
          <w:rFonts w:hint="eastAsia" w:cs="宋体"/>
          <w:color w:val="auto"/>
          <w:sz w:val="24"/>
          <w:szCs w:val="24"/>
          <w:highlight w:val="none"/>
        </w:rPr>
        <w:fldChar w:fldCharType="separate"/>
      </w:r>
      <w:r>
        <w:rPr>
          <w:rFonts w:hint="eastAsia" w:cs="宋体"/>
          <w:color w:val="auto"/>
          <w:sz w:val="24"/>
          <w:szCs w:val="24"/>
          <w:highlight w:val="none"/>
        </w:rPr>
        <w:t>6</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41C968E2">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"_Toc20118" </w:instrText>
      </w:r>
      <w:r>
        <w:rPr>
          <w:color w:val="auto"/>
          <w:highlight w:val="none"/>
        </w:rPr>
        <w:fldChar w:fldCharType="separate"/>
      </w:r>
      <w:r>
        <w:rPr>
          <w:rFonts w:hint="eastAsia" w:ascii="宋体" w:hAnsi="宋体" w:eastAsia="宋体" w:cs="宋体"/>
          <w:b/>
          <w:bCs/>
          <w:color w:val="auto"/>
          <w:sz w:val="24"/>
          <w:szCs w:val="24"/>
          <w:highlight w:val="none"/>
        </w:rPr>
        <w:t>投标人须知前附表</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_Toc20118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86DF192">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"_Toc12668" </w:instrText>
      </w:r>
      <w:r>
        <w:rPr>
          <w:color w:val="auto"/>
          <w:highlight w:val="none"/>
        </w:rPr>
        <w:fldChar w:fldCharType="separate"/>
      </w:r>
      <w:r>
        <w:rPr>
          <w:rFonts w:hint="eastAsia" w:ascii="宋体" w:hAnsi="宋体" w:eastAsia="宋体" w:cs="宋体"/>
          <w:b/>
          <w:bCs/>
          <w:color w:val="auto"/>
          <w:sz w:val="24"/>
          <w:szCs w:val="24"/>
          <w:highlight w:val="none"/>
        </w:rPr>
        <w:t>一、说明</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_Toc12668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150603F">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"_Toc1526" </w:instrText>
      </w:r>
      <w:r>
        <w:rPr>
          <w:color w:val="auto"/>
          <w:highlight w:val="none"/>
        </w:rPr>
        <w:fldChar w:fldCharType="separate"/>
      </w:r>
      <w:r>
        <w:rPr>
          <w:rFonts w:hint="eastAsia" w:ascii="宋体" w:hAnsi="宋体" w:eastAsia="宋体" w:cs="宋体"/>
          <w:b/>
          <w:bCs/>
          <w:color w:val="auto"/>
          <w:sz w:val="24"/>
          <w:szCs w:val="24"/>
          <w:highlight w:val="none"/>
        </w:rPr>
        <w:t>二、招标文件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_Toc1526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F3B390A">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"_Toc11959" </w:instrText>
      </w:r>
      <w:r>
        <w:rPr>
          <w:color w:val="auto"/>
          <w:highlight w:val="none"/>
        </w:rPr>
        <w:fldChar w:fldCharType="separate"/>
      </w:r>
      <w:r>
        <w:rPr>
          <w:rFonts w:hint="eastAsia" w:ascii="宋体" w:hAnsi="宋体" w:eastAsia="宋体" w:cs="宋体"/>
          <w:b/>
          <w:bCs/>
          <w:color w:val="auto"/>
          <w:sz w:val="24"/>
          <w:szCs w:val="24"/>
          <w:highlight w:val="none"/>
        </w:rPr>
        <w:t>三、投标文件的编制</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_Toc11959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E0FA560">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"_Toc10461" </w:instrText>
      </w:r>
      <w:r>
        <w:rPr>
          <w:color w:val="auto"/>
          <w:highlight w:val="none"/>
        </w:rPr>
        <w:fldChar w:fldCharType="separate"/>
      </w:r>
      <w:r>
        <w:rPr>
          <w:rFonts w:hint="eastAsia" w:ascii="宋体" w:hAnsi="宋体" w:eastAsia="宋体" w:cs="宋体"/>
          <w:b/>
          <w:bCs/>
          <w:color w:val="auto"/>
          <w:sz w:val="24"/>
          <w:szCs w:val="24"/>
          <w:highlight w:val="none"/>
        </w:rPr>
        <w:t>四、投标文件的递交</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_Toc10461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32CBF30A">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"_Toc26720" </w:instrText>
      </w:r>
      <w:r>
        <w:rPr>
          <w:color w:val="auto"/>
          <w:highlight w:val="none"/>
        </w:rPr>
        <w:fldChar w:fldCharType="separate"/>
      </w:r>
      <w:r>
        <w:rPr>
          <w:rFonts w:hint="eastAsia" w:ascii="宋体" w:hAnsi="宋体" w:eastAsia="宋体" w:cs="宋体"/>
          <w:b/>
          <w:bCs/>
          <w:color w:val="auto"/>
          <w:sz w:val="24"/>
          <w:szCs w:val="24"/>
          <w:highlight w:val="none"/>
        </w:rPr>
        <w:t>五、开标和评标</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_Toc26720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3E85EE9">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"_Toc15975" </w:instrText>
      </w:r>
      <w:r>
        <w:rPr>
          <w:color w:val="auto"/>
          <w:highlight w:val="none"/>
        </w:rPr>
        <w:fldChar w:fldCharType="separate"/>
      </w:r>
      <w:r>
        <w:rPr>
          <w:rFonts w:hint="eastAsia" w:ascii="宋体" w:hAnsi="宋体" w:eastAsia="宋体" w:cs="宋体"/>
          <w:b/>
          <w:bCs/>
          <w:color w:val="auto"/>
          <w:sz w:val="24"/>
          <w:szCs w:val="24"/>
          <w:highlight w:val="none"/>
        </w:rPr>
        <w:t>六、授予合同</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_Toc15975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6F585C28">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"_Toc25420" </w:instrText>
      </w:r>
      <w:r>
        <w:rPr>
          <w:color w:val="auto"/>
          <w:highlight w:val="none"/>
        </w:rPr>
        <w:fldChar w:fldCharType="separate"/>
      </w:r>
      <w:r>
        <w:rPr>
          <w:rFonts w:hint="eastAsia" w:ascii="宋体" w:hAnsi="宋体" w:eastAsia="宋体" w:cs="宋体"/>
          <w:b/>
          <w:bCs/>
          <w:color w:val="auto"/>
          <w:sz w:val="24"/>
          <w:szCs w:val="24"/>
          <w:highlight w:val="none"/>
        </w:rPr>
        <w:t>七、可中止电子交易活动的情形</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_Toc25420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01117A61">
      <w:pPr>
        <w:pStyle w:val="22"/>
        <w:tabs>
          <w:tab w:val="right" w:leader="dot" w:pos="9746"/>
          <w:tab w:val="clear" w:pos="8948"/>
        </w:tabs>
        <w:spacing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"_Toc4507" </w:instrText>
      </w:r>
      <w:r>
        <w:rPr>
          <w:color w:val="auto"/>
          <w:highlight w:val="none"/>
        </w:rPr>
        <w:fldChar w:fldCharType="separate"/>
      </w:r>
      <w:r>
        <w:rPr>
          <w:rFonts w:hint="eastAsia" w:cs="宋体"/>
          <w:color w:val="auto"/>
          <w:sz w:val="24"/>
          <w:szCs w:val="24"/>
          <w:highlight w:val="none"/>
        </w:rPr>
        <w:t>第三部分 拟签订的合同文本</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_Toc4507 \h </w:instrText>
      </w:r>
      <w:r>
        <w:rPr>
          <w:rFonts w:hint="eastAsia" w:cs="宋体"/>
          <w:color w:val="auto"/>
          <w:sz w:val="24"/>
          <w:szCs w:val="24"/>
          <w:highlight w:val="none"/>
        </w:rPr>
        <w:fldChar w:fldCharType="separate"/>
      </w:r>
      <w:r>
        <w:rPr>
          <w:rFonts w:hint="eastAsia" w:cs="宋体"/>
          <w:color w:val="auto"/>
          <w:sz w:val="24"/>
          <w:szCs w:val="24"/>
          <w:highlight w:val="none"/>
        </w:rPr>
        <w:t>25</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1A34F6EB">
      <w:pPr>
        <w:pStyle w:val="22"/>
        <w:tabs>
          <w:tab w:val="right" w:leader="dot" w:pos="9746"/>
          <w:tab w:val="clear" w:pos="8948"/>
        </w:tabs>
        <w:spacing w:line="360" w:lineRule="auto"/>
        <w:rPr>
          <w:rFonts w:hint="eastAsia"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"_Toc14824" </w:instrText>
      </w:r>
      <w:r>
        <w:rPr>
          <w:color w:val="auto"/>
          <w:highlight w:val="none"/>
        </w:rPr>
        <w:fldChar w:fldCharType="separate"/>
      </w:r>
      <w:r>
        <w:rPr>
          <w:rFonts w:hint="eastAsia" w:cs="宋体"/>
          <w:color w:val="auto"/>
          <w:sz w:val="24"/>
          <w:szCs w:val="24"/>
          <w:highlight w:val="none"/>
        </w:rPr>
        <w:t>第四部分 附件</w:t>
      </w:r>
      <w:r>
        <w:rPr>
          <w:rFonts w:hint="eastAsia" w:cs="宋体"/>
          <w:color w:val="auto"/>
          <w:sz w:val="24"/>
          <w:szCs w:val="24"/>
          <w:highlight w:val="none"/>
        </w:rPr>
        <w:tab/>
      </w:r>
      <w:r>
        <w:rPr>
          <w:rFonts w:hint="eastAsia" w:cs="宋体"/>
          <w:color w:val="auto"/>
          <w:sz w:val="24"/>
          <w:szCs w:val="24"/>
          <w:highlight w:val="none"/>
        </w:rPr>
        <w:fldChar w:fldCharType="end"/>
      </w:r>
      <w:r>
        <w:rPr>
          <w:rFonts w:hint="eastAsia" w:cs="宋体"/>
          <w:color w:val="auto"/>
          <w:sz w:val="24"/>
          <w:szCs w:val="24"/>
          <w:highlight w:val="none"/>
          <w:lang w:val="en-US" w:eastAsia="zh-CN"/>
        </w:rPr>
        <w:t>32</w:t>
      </w:r>
    </w:p>
    <w:p w14:paraId="369A6417">
      <w:pPr>
        <w:pStyle w:val="22"/>
        <w:tabs>
          <w:tab w:val="right" w:leader="dot" w:pos="9746"/>
          <w:tab w:val="clear" w:pos="8948"/>
        </w:tabs>
        <w:spacing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"_Toc18628" </w:instrText>
      </w:r>
      <w:r>
        <w:rPr>
          <w:color w:val="auto"/>
          <w:highlight w:val="none"/>
        </w:rPr>
        <w:fldChar w:fldCharType="separate"/>
      </w:r>
      <w:r>
        <w:rPr>
          <w:rFonts w:hint="eastAsia" w:cs="宋体"/>
          <w:color w:val="auto"/>
          <w:sz w:val="24"/>
          <w:szCs w:val="24"/>
          <w:highlight w:val="none"/>
        </w:rPr>
        <w:t>第五部分 采购需求</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_Toc18628 \h </w:instrText>
      </w:r>
      <w:r>
        <w:rPr>
          <w:rFonts w:hint="eastAsia" w:cs="宋体"/>
          <w:color w:val="auto"/>
          <w:sz w:val="24"/>
          <w:szCs w:val="24"/>
          <w:highlight w:val="none"/>
        </w:rPr>
        <w:fldChar w:fldCharType="separate"/>
      </w:r>
      <w:r>
        <w:rPr>
          <w:rFonts w:hint="eastAsia" w:cs="宋体"/>
          <w:color w:val="auto"/>
          <w:sz w:val="24"/>
          <w:szCs w:val="24"/>
          <w:highlight w:val="none"/>
        </w:rPr>
        <w:t>58</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457F48FF">
      <w:pPr>
        <w:pStyle w:val="22"/>
        <w:tabs>
          <w:tab w:val="right" w:leader="dot" w:pos="9746"/>
          <w:tab w:val="clear" w:pos="8948"/>
        </w:tabs>
        <w:spacing w:line="360" w:lineRule="auto"/>
        <w:rPr>
          <w:rFonts w:cs="宋体"/>
          <w:color w:val="auto"/>
          <w:sz w:val="24"/>
          <w:szCs w:val="24"/>
          <w:highlight w:val="none"/>
        </w:rPr>
      </w:pPr>
      <w:r>
        <w:rPr>
          <w:color w:val="auto"/>
          <w:highlight w:val="none"/>
        </w:rPr>
        <w:fldChar w:fldCharType="begin"/>
      </w:r>
      <w:r>
        <w:rPr>
          <w:color w:val="auto"/>
          <w:highlight w:val="none"/>
        </w:rPr>
        <w:instrText xml:space="preserve"> HYPERLINK \l "_Toc24725" </w:instrText>
      </w:r>
      <w:r>
        <w:rPr>
          <w:color w:val="auto"/>
          <w:highlight w:val="none"/>
        </w:rPr>
        <w:fldChar w:fldCharType="separate"/>
      </w:r>
      <w:r>
        <w:rPr>
          <w:rFonts w:hint="eastAsia" w:cs="宋体"/>
          <w:color w:val="auto"/>
          <w:sz w:val="24"/>
          <w:szCs w:val="24"/>
          <w:highlight w:val="none"/>
        </w:rPr>
        <w:t>第六部分 评标原则及方法</w:t>
      </w:r>
      <w:r>
        <w:rPr>
          <w:rFonts w:hint="eastAsia" w:cs="宋体"/>
          <w:color w:val="auto"/>
          <w:sz w:val="24"/>
          <w:szCs w:val="24"/>
          <w:highlight w:val="none"/>
        </w:rPr>
        <w:tab/>
      </w:r>
      <w:r>
        <w:rPr>
          <w:rFonts w:hint="eastAsia" w:cs="宋体"/>
          <w:color w:val="auto"/>
          <w:sz w:val="24"/>
          <w:szCs w:val="24"/>
          <w:highlight w:val="none"/>
        </w:rPr>
        <w:fldChar w:fldCharType="begin"/>
      </w:r>
      <w:r>
        <w:rPr>
          <w:rFonts w:hint="eastAsia" w:cs="宋体"/>
          <w:color w:val="auto"/>
          <w:sz w:val="24"/>
          <w:szCs w:val="24"/>
          <w:highlight w:val="none"/>
        </w:rPr>
        <w:instrText xml:space="preserve"> PAGEREF _Toc24725 \h </w:instrText>
      </w:r>
      <w:r>
        <w:rPr>
          <w:rFonts w:hint="eastAsia" w:cs="宋体"/>
          <w:color w:val="auto"/>
          <w:sz w:val="24"/>
          <w:szCs w:val="24"/>
          <w:highlight w:val="none"/>
        </w:rPr>
        <w:fldChar w:fldCharType="separate"/>
      </w:r>
      <w:r>
        <w:rPr>
          <w:rFonts w:hint="eastAsia" w:cs="宋体"/>
          <w:color w:val="auto"/>
          <w:sz w:val="24"/>
          <w:szCs w:val="24"/>
          <w:highlight w:val="none"/>
        </w:rPr>
        <w:t>102</w:t>
      </w:r>
      <w:r>
        <w:rPr>
          <w:rFonts w:hint="eastAsia" w:cs="宋体"/>
          <w:color w:val="auto"/>
          <w:sz w:val="24"/>
          <w:szCs w:val="24"/>
          <w:highlight w:val="none"/>
        </w:rPr>
        <w:fldChar w:fldCharType="end"/>
      </w:r>
      <w:r>
        <w:rPr>
          <w:rFonts w:hint="eastAsia" w:cs="宋体"/>
          <w:color w:val="auto"/>
          <w:sz w:val="24"/>
          <w:szCs w:val="24"/>
          <w:highlight w:val="none"/>
        </w:rPr>
        <w:fldChar w:fldCharType="end"/>
      </w:r>
    </w:p>
    <w:p w14:paraId="35E5C25B">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"_Toc30943" </w:instrText>
      </w:r>
      <w:r>
        <w:rPr>
          <w:color w:val="auto"/>
          <w:highlight w:val="none"/>
        </w:rPr>
        <w:fldChar w:fldCharType="separate"/>
      </w:r>
      <w:r>
        <w:rPr>
          <w:rFonts w:hint="eastAsia" w:ascii="宋体" w:hAnsi="宋体" w:eastAsia="宋体" w:cs="宋体"/>
          <w:b/>
          <w:bCs/>
          <w:color w:val="auto"/>
          <w:sz w:val="24"/>
          <w:szCs w:val="24"/>
          <w:highlight w:val="none"/>
        </w:rPr>
        <w:t>一．总则</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_Toc30943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102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E40C55E">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"_Toc18939" </w:instrText>
      </w:r>
      <w:r>
        <w:rPr>
          <w:color w:val="auto"/>
          <w:highlight w:val="none"/>
        </w:rPr>
        <w:fldChar w:fldCharType="separate"/>
      </w:r>
      <w:r>
        <w:rPr>
          <w:rFonts w:hint="eastAsia" w:ascii="宋体" w:hAnsi="宋体" w:eastAsia="宋体" w:cs="宋体"/>
          <w:b/>
          <w:bCs/>
          <w:color w:val="auto"/>
          <w:sz w:val="24"/>
          <w:szCs w:val="24"/>
          <w:highlight w:val="none"/>
        </w:rPr>
        <w:t>二.评标组织</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_Toc18939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102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12A57CED">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"_Toc7464" </w:instrText>
      </w:r>
      <w:r>
        <w:rPr>
          <w:color w:val="auto"/>
          <w:highlight w:val="none"/>
        </w:rPr>
        <w:fldChar w:fldCharType="separate"/>
      </w:r>
      <w:r>
        <w:rPr>
          <w:rFonts w:hint="eastAsia" w:ascii="宋体" w:hAnsi="宋体" w:eastAsia="宋体" w:cs="宋体"/>
          <w:b/>
          <w:bCs/>
          <w:color w:val="auto"/>
          <w:sz w:val="24"/>
          <w:szCs w:val="24"/>
          <w:highlight w:val="none"/>
        </w:rPr>
        <w:t>三.评标程序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_Toc7464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102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7D74C3BD">
      <w:pPr>
        <w:pStyle w:val="25"/>
        <w:tabs>
          <w:tab w:val="right" w:leader="dot" w:pos="9746"/>
          <w:tab w:val="clear" w:pos="8931"/>
        </w:tabs>
        <w:spacing w:line="360" w:lineRule="auto"/>
        <w:ind w:firstLine="420" w:firstLineChars="200"/>
        <w:rPr>
          <w:rFonts w:ascii="宋体" w:hAnsi="宋体" w:eastAsia="宋体" w:cs="宋体"/>
          <w:b/>
          <w:bCs/>
          <w:color w:val="auto"/>
          <w:sz w:val="24"/>
          <w:szCs w:val="24"/>
          <w:highlight w:val="none"/>
        </w:rPr>
      </w:pPr>
      <w:r>
        <w:rPr>
          <w:color w:val="auto"/>
          <w:highlight w:val="none"/>
        </w:rPr>
        <w:fldChar w:fldCharType="begin"/>
      </w:r>
      <w:r>
        <w:rPr>
          <w:color w:val="auto"/>
          <w:highlight w:val="none"/>
        </w:rPr>
        <w:instrText xml:space="preserve"> HYPERLINK \l "_Toc21198" </w:instrText>
      </w:r>
      <w:r>
        <w:rPr>
          <w:color w:val="auto"/>
          <w:highlight w:val="none"/>
        </w:rPr>
        <w:fldChar w:fldCharType="separate"/>
      </w:r>
      <w:r>
        <w:rPr>
          <w:rFonts w:hint="eastAsia" w:ascii="宋体" w:hAnsi="宋体" w:eastAsia="宋体" w:cs="宋体"/>
          <w:b/>
          <w:bCs/>
          <w:color w:val="auto"/>
          <w:sz w:val="24"/>
          <w:szCs w:val="24"/>
          <w:highlight w:val="none"/>
        </w:rPr>
        <w:t>四.评标办法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_Toc21198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102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fldChar w:fldCharType="end"/>
      </w:r>
    </w:p>
    <w:p w14:paraId="527CE9C1">
      <w:pPr>
        <w:pStyle w:val="13"/>
        <w:spacing w:after="0" w:line="360" w:lineRule="auto"/>
        <w:ind w:left="0" w:leftChars="0" w:right="0" w:rightChars="0"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fldChar w:fldCharType="end"/>
      </w:r>
    </w:p>
    <w:p w14:paraId="6500D4C5">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503F4315">
      <w:pPr>
        <w:spacing w:line="400" w:lineRule="exact"/>
        <w:rPr>
          <w:rFonts w:ascii="宋体" w:hAnsi="宋体" w:cs="宋体"/>
          <w:color w:val="auto"/>
          <w:sz w:val="22"/>
          <w:highlight w:val="none"/>
        </w:rPr>
      </w:pPr>
    </w:p>
    <w:p w14:paraId="7D0D7A03">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br w:type="page"/>
      </w:r>
      <w:bookmarkStart w:id="0" w:name="_Toc838"/>
      <w:r>
        <w:rPr>
          <w:rFonts w:hint="eastAsia" w:ascii="宋体" w:hAnsi="宋体" w:cs="宋体"/>
          <w:b/>
          <w:color w:val="auto"/>
          <w:sz w:val="32"/>
          <w:highlight w:val="none"/>
        </w:rPr>
        <w:t>第一部分 公开招标公告</w:t>
      </w:r>
      <w:bookmarkEnd w:id="0"/>
    </w:p>
    <w:p w14:paraId="343FF45F">
      <w:pPr>
        <w:pStyle w:val="26"/>
        <w:spacing w:before="0" w:beforeAutospacing="0" w:after="0" w:afterAutospacing="0" w:line="360" w:lineRule="exact"/>
        <w:rPr>
          <w:color w:val="auto"/>
          <w:sz w:val="22"/>
          <w:highlight w:val="none"/>
        </w:rPr>
      </w:pPr>
      <w:r>
        <w:rPr>
          <w:rFonts w:hint="eastAsia"/>
          <w:color w:val="auto"/>
          <w:sz w:val="22"/>
          <w:highlight w:val="none"/>
        </w:rPr>
        <w:t>项目概况</w:t>
      </w:r>
    </w:p>
    <w:p w14:paraId="5C9DD2A9">
      <w:pPr>
        <w:pStyle w:val="26"/>
        <w:spacing w:before="0" w:beforeAutospacing="0" w:after="0" w:afterAutospacing="0" w:line="360" w:lineRule="exact"/>
        <w:ind w:firstLine="440" w:firstLineChars="200"/>
        <w:rPr>
          <w:color w:val="auto"/>
          <w:sz w:val="22"/>
          <w:highlight w:val="none"/>
        </w:rPr>
      </w:pPr>
      <w:r>
        <w:rPr>
          <w:rFonts w:hint="eastAsia"/>
          <w:color w:val="auto"/>
          <w:sz w:val="22"/>
          <w:highlight w:val="none"/>
          <w:lang w:eastAsia="zh-CN"/>
        </w:rPr>
        <w:t>温州肯恩大学2025年到2028年校园物业服务采购</w:t>
      </w:r>
      <w:r>
        <w:rPr>
          <w:rFonts w:hint="eastAsia"/>
          <w:color w:val="auto"/>
          <w:sz w:val="22"/>
          <w:highlight w:val="none"/>
        </w:rPr>
        <w:t>招标项目的潜在投标人应在政采云平台线上获取（下载）招标文件，并于202</w:t>
      </w:r>
      <w:r>
        <w:rPr>
          <w:rFonts w:hint="eastAsia"/>
          <w:color w:val="auto"/>
          <w:sz w:val="22"/>
          <w:highlight w:val="none"/>
          <w:lang w:val="en-US" w:eastAsia="zh-CN"/>
        </w:rPr>
        <w:t>5</w:t>
      </w:r>
      <w:r>
        <w:rPr>
          <w:rFonts w:hint="eastAsia"/>
          <w:color w:val="auto"/>
          <w:sz w:val="22"/>
          <w:highlight w:val="none"/>
        </w:rPr>
        <w:t>年</w:t>
      </w:r>
      <w:r>
        <w:rPr>
          <w:rFonts w:hint="eastAsia"/>
          <w:color w:val="auto"/>
          <w:sz w:val="22"/>
          <w:highlight w:val="none"/>
          <w:lang w:val="en-US" w:eastAsia="zh-CN"/>
        </w:rPr>
        <w:t>08</w:t>
      </w:r>
      <w:r>
        <w:rPr>
          <w:rFonts w:hint="eastAsia"/>
          <w:color w:val="auto"/>
          <w:sz w:val="22"/>
          <w:highlight w:val="none"/>
        </w:rPr>
        <w:t>月</w:t>
      </w:r>
      <w:r>
        <w:rPr>
          <w:rFonts w:hint="eastAsia"/>
          <w:color w:val="auto"/>
          <w:sz w:val="22"/>
          <w:highlight w:val="none"/>
          <w:lang w:val="en-US" w:eastAsia="zh-CN"/>
        </w:rPr>
        <w:t>11</w:t>
      </w:r>
      <w:r>
        <w:rPr>
          <w:rFonts w:hint="eastAsia"/>
          <w:color w:val="auto"/>
          <w:sz w:val="22"/>
          <w:highlight w:val="none"/>
        </w:rPr>
        <w:t>日</w:t>
      </w:r>
      <w:r>
        <w:rPr>
          <w:rFonts w:hint="eastAsia"/>
          <w:color w:val="auto"/>
          <w:sz w:val="22"/>
          <w:highlight w:val="none"/>
          <w:lang w:val="en-US" w:eastAsia="zh-CN"/>
        </w:rPr>
        <w:t>上午09</w:t>
      </w:r>
      <w:r>
        <w:rPr>
          <w:rFonts w:hint="eastAsia"/>
          <w:color w:val="auto"/>
          <w:sz w:val="22"/>
          <w:highlight w:val="none"/>
        </w:rPr>
        <w:t>:</w:t>
      </w:r>
      <w:r>
        <w:rPr>
          <w:rFonts w:hint="eastAsia"/>
          <w:color w:val="auto"/>
          <w:sz w:val="22"/>
          <w:highlight w:val="none"/>
          <w:lang w:val="en-US" w:eastAsia="zh-CN"/>
        </w:rPr>
        <w:t>30（</w:t>
      </w:r>
      <w:r>
        <w:rPr>
          <w:rFonts w:hint="eastAsia"/>
          <w:color w:val="auto"/>
          <w:sz w:val="22"/>
          <w:highlight w:val="none"/>
        </w:rPr>
        <w:t>北京时间）前递交（上传）投标文件。</w:t>
      </w:r>
    </w:p>
    <w:p w14:paraId="6FB1D853">
      <w:pPr>
        <w:pStyle w:val="26"/>
        <w:spacing w:before="0" w:beforeAutospacing="0" w:after="0" w:afterAutospacing="0" w:line="360" w:lineRule="exact"/>
        <w:jc w:val="both"/>
        <w:rPr>
          <w:color w:val="auto"/>
          <w:sz w:val="22"/>
          <w:highlight w:val="none"/>
        </w:rPr>
      </w:pPr>
      <w:r>
        <w:rPr>
          <w:rStyle w:val="33"/>
          <w:rFonts w:hint="eastAsia"/>
          <w:color w:val="auto"/>
          <w:sz w:val="22"/>
          <w:highlight w:val="none"/>
        </w:rPr>
        <w:t>一、项目基本情况</w:t>
      </w:r>
    </w:p>
    <w:p w14:paraId="75DF86AA">
      <w:pPr>
        <w:pStyle w:val="26"/>
        <w:spacing w:before="0" w:beforeAutospacing="0" w:after="0" w:afterAutospacing="0" w:line="360" w:lineRule="exact"/>
        <w:rPr>
          <w:color w:val="auto"/>
          <w:sz w:val="22"/>
          <w:highlight w:val="none"/>
        </w:rPr>
      </w:pPr>
      <w:r>
        <w:rPr>
          <w:rFonts w:hint="eastAsia"/>
          <w:color w:val="auto"/>
          <w:sz w:val="22"/>
          <w:highlight w:val="none"/>
        </w:rPr>
        <w:t>    项目编号：ZJYC2025020（GK) </w:t>
      </w:r>
    </w:p>
    <w:p w14:paraId="5E34132E">
      <w:pPr>
        <w:pStyle w:val="26"/>
        <w:spacing w:before="0" w:beforeAutospacing="0" w:after="0" w:afterAutospacing="0" w:line="360" w:lineRule="exact"/>
        <w:rPr>
          <w:color w:val="auto"/>
          <w:sz w:val="22"/>
          <w:highlight w:val="none"/>
        </w:rPr>
      </w:pPr>
      <w:r>
        <w:rPr>
          <w:rFonts w:hint="eastAsia"/>
          <w:color w:val="auto"/>
          <w:sz w:val="22"/>
          <w:highlight w:val="none"/>
        </w:rPr>
        <w:t>    项目名称：</w:t>
      </w:r>
      <w:r>
        <w:rPr>
          <w:rFonts w:hint="eastAsia"/>
          <w:color w:val="auto"/>
          <w:sz w:val="22"/>
          <w:highlight w:val="none"/>
          <w:lang w:eastAsia="zh-CN"/>
        </w:rPr>
        <w:t>温州肯恩大学2025年到2028年校园物业服务采购</w:t>
      </w:r>
      <w:r>
        <w:rPr>
          <w:rFonts w:hint="eastAsia"/>
          <w:color w:val="auto"/>
          <w:sz w:val="22"/>
          <w:highlight w:val="none"/>
        </w:rPr>
        <w:t xml:space="preserve"> </w:t>
      </w:r>
    </w:p>
    <w:p w14:paraId="357748E6">
      <w:pPr>
        <w:pStyle w:val="26"/>
        <w:spacing w:before="0" w:beforeAutospacing="0" w:after="0" w:afterAutospacing="0" w:line="360" w:lineRule="exact"/>
        <w:rPr>
          <w:color w:val="auto"/>
          <w:sz w:val="22"/>
          <w:highlight w:val="none"/>
        </w:rPr>
      </w:pPr>
      <w:r>
        <w:rPr>
          <w:rFonts w:hint="eastAsia"/>
          <w:color w:val="auto"/>
          <w:sz w:val="22"/>
          <w:highlight w:val="none"/>
        </w:rPr>
        <w:t>    预算金额（元）：38000000.00  </w:t>
      </w:r>
    </w:p>
    <w:p w14:paraId="2B788726">
      <w:pPr>
        <w:pStyle w:val="26"/>
        <w:spacing w:before="0" w:beforeAutospacing="0" w:after="0" w:afterAutospacing="0" w:line="360" w:lineRule="exact"/>
        <w:rPr>
          <w:color w:val="auto"/>
          <w:sz w:val="22"/>
          <w:highlight w:val="none"/>
        </w:rPr>
      </w:pPr>
      <w:r>
        <w:rPr>
          <w:rFonts w:hint="eastAsia"/>
          <w:color w:val="auto"/>
          <w:sz w:val="22"/>
          <w:highlight w:val="none"/>
        </w:rPr>
        <w:t>    最高限价（元）：/ </w:t>
      </w:r>
    </w:p>
    <w:p w14:paraId="2389711E">
      <w:pPr>
        <w:pStyle w:val="26"/>
        <w:spacing w:before="0" w:beforeAutospacing="0" w:after="0" w:afterAutospacing="0" w:line="360" w:lineRule="exact"/>
        <w:rPr>
          <w:color w:val="auto"/>
          <w:sz w:val="22"/>
          <w:highlight w:val="none"/>
        </w:rPr>
      </w:pPr>
      <w:r>
        <w:rPr>
          <w:rFonts w:hint="eastAsia"/>
          <w:color w:val="auto"/>
          <w:sz w:val="22"/>
          <w:highlight w:val="none"/>
        </w:rPr>
        <w:t>    采购需求：</w:t>
      </w:r>
    </w:p>
    <w:p w14:paraId="5C374F20">
      <w:pPr>
        <w:pStyle w:val="26"/>
        <w:spacing w:before="0" w:beforeAutospacing="0" w:after="0" w:afterAutospacing="0" w:line="360" w:lineRule="exact"/>
        <w:rPr>
          <w:color w:val="auto"/>
          <w:sz w:val="22"/>
          <w:highlight w:val="none"/>
        </w:rPr>
      </w:pPr>
      <w:r>
        <w:rPr>
          <w:rFonts w:hint="eastAsia"/>
          <w:color w:val="auto"/>
          <w:sz w:val="22"/>
          <w:highlight w:val="none"/>
        </w:rPr>
        <w:t>    </w:t>
      </w:r>
      <w:r>
        <w:rPr>
          <w:rFonts w:hint="eastAsia"/>
          <w:color w:val="auto"/>
          <w:sz w:val="22"/>
          <w:highlight w:val="none"/>
        </w:rPr>
        <w:br w:type="textWrapping" w:clear="all"/>
      </w:r>
      <w:r>
        <w:rPr>
          <w:rFonts w:hint="eastAsia"/>
          <w:color w:val="auto"/>
          <w:sz w:val="22"/>
          <w:highlight w:val="none"/>
        </w:rPr>
        <w:t>    标项名称：</w:t>
      </w:r>
      <w:r>
        <w:rPr>
          <w:rFonts w:hint="eastAsia"/>
          <w:color w:val="auto"/>
          <w:sz w:val="22"/>
          <w:highlight w:val="none"/>
          <w:lang w:eastAsia="zh-CN"/>
        </w:rPr>
        <w:t>温州肯恩大学2025年到2028年校园物业服务采购</w:t>
      </w:r>
      <w:r>
        <w:rPr>
          <w:rFonts w:hint="eastAsia"/>
          <w:color w:val="auto"/>
          <w:sz w:val="22"/>
          <w:highlight w:val="none"/>
        </w:rPr>
        <w:t xml:space="preserve">  </w:t>
      </w:r>
      <w:r>
        <w:rPr>
          <w:rFonts w:hint="eastAsia"/>
          <w:color w:val="auto"/>
          <w:sz w:val="22"/>
          <w:highlight w:val="none"/>
        </w:rPr>
        <w:br w:type="textWrapping" w:clear="all"/>
      </w:r>
      <w:r>
        <w:rPr>
          <w:rFonts w:hint="eastAsia"/>
          <w:color w:val="auto"/>
          <w:sz w:val="22"/>
          <w:highlight w:val="none"/>
        </w:rPr>
        <w:t>    预算金额（元）：38000000.00 </w:t>
      </w:r>
      <w:r>
        <w:rPr>
          <w:rFonts w:hint="eastAsia"/>
          <w:color w:val="auto"/>
          <w:sz w:val="22"/>
          <w:highlight w:val="none"/>
        </w:rPr>
        <w:br w:type="textWrapping" w:clear="all"/>
      </w:r>
      <w:r>
        <w:rPr>
          <w:rFonts w:hint="eastAsia"/>
          <w:color w:val="auto"/>
          <w:sz w:val="22"/>
          <w:highlight w:val="none"/>
        </w:rPr>
        <w:t>    简要规格描述或项目基本概况介绍、用途：详见招标文件 </w:t>
      </w:r>
      <w:r>
        <w:rPr>
          <w:rFonts w:hint="eastAsia"/>
          <w:color w:val="auto"/>
          <w:sz w:val="22"/>
          <w:highlight w:val="none"/>
        </w:rPr>
        <w:br w:type="textWrapping" w:clear="all"/>
      </w:r>
      <w:r>
        <w:rPr>
          <w:rFonts w:hint="eastAsia"/>
          <w:color w:val="auto"/>
          <w:sz w:val="22"/>
          <w:highlight w:val="none"/>
        </w:rPr>
        <w:t>    备注： </w:t>
      </w:r>
    </w:p>
    <w:p w14:paraId="3200B212">
      <w:pPr>
        <w:pStyle w:val="26"/>
        <w:spacing w:before="0" w:beforeAutospacing="0" w:after="0" w:afterAutospacing="0" w:line="360" w:lineRule="exact"/>
        <w:rPr>
          <w:color w:val="auto"/>
          <w:sz w:val="22"/>
          <w:highlight w:val="none"/>
        </w:rPr>
      </w:pPr>
      <w:r>
        <w:rPr>
          <w:rFonts w:hint="eastAsia"/>
          <w:color w:val="auto"/>
          <w:sz w:val="22"/>
          <w:highlight w:val="none"/>
        </w:rPr>
        <w:t>    合同履约期限：标项 1，3年</w:t>
      </w:r>
    </w:p>
    <w:p w14:paraId="3A7262C3">
      <w:pPr>
        <w:pStyle w:val="26"/>
        <w:spacing w:before="0" w:beforeAutospacing="0" w:after="0" w:afterAutospacing="0" w:line="360" w:lineRule="exact"/>
        <w:rPr>
          <w:color w:val="auto"/>
          <w:sz w:val="22"/>
          <w:highlight w:val="none"/>
        </w:rPr>
      </w:pPr>
      <w:r>
        <w:rPr>
          <w:rFonts w:hint="eastAsia"/>
          <w:color w:val="auto"/>
          <w:sz w:val="22"/>
          <w:highlight w:val="none"/>
        </w:rPr>
        <w:t>    本项目（是）接受联合体投标。</w:t>
      </w:r>
    </w:p>
    <w:p w14:paraId="014A320B">
      <w:pPr>
        <w:pStyle w:val="26"/>
        <w:spacing w:before="0" w:beforeAutospacing="0" w:after="0" w:afterAutospacing="0" w:line="360" w:lineRule="exact"/>
        <w:rPr>
          <w:color w:val="auto"/>
          <w:sz w:val="22"/>
          <w:highlight w:val="none"/>
        </w:rPr>
      </w:pPr>
      <w:r>
        <w:rPr>
          <w:rStyle w:val="33"/>
          <w:rFonts w:hint="eastAsia"/>
          <w:color w:val="auto"/>
          <w:sz w:val="22"/>
          <w:highlight w:val="none"/>
        </w:rPr>
        <w:t>二、申请人的资格要求：</w:t>
      </w:r>
    </w:p>
    <w:p w14:paraId="11A23125">
      <w:pPr>
        <w:pStyle w:val="26"/>
        <w:spacing w:before="0" w:beforeAutospacing="0" w:after="0" w:afterAutospacing="0" w:line="360" w:lineRule="exact"/>
        <w:rPr>
          <w:color w:val="auto"/>
          <w:sz w:val="22"/>
          <w:highlight w:val="none"/>
        </w:rPr>
      </w:pPr>
      <w:r>
        <w:rPr>
          <w:rFonts w:hint="eastAsia"/>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04026785">
      <w:pPr>
        <w:pStyle w:val="26"/>
        <w:spacing w:before="0" w:beforeAutospacing="0" w:after="0" w:afterAutospacing="0" w:line="360" w:lineRule="exact"/>
        <w:rPr>
          <w:color w:val="auto"/>
          <w:sz w:val="22"/>
          <w:highlight w:val="none"/>
        </w:rPr>
      </w:pPr>
      <w:r>
        <w:rPr>
          <w:rFonts w:hint="eastAsia"/>
          <w:color w:val="auto"/>
          <w:sz w:val="22"/>
          <w:highlight w:val="none"/>
        </w:rPr>
        <w:t>    2.落实政府采购政策需满足的资格要求：标项1：无 </w:t>
      </w:r>
    </w:p>
    <w:p w14:paraId="53CC2101">
      <w:pPr>
        <w:pStyle w:val="26"/>
        <w:spacing w:before="0" w:beforeAutospacing="0" w:after="0" w:afterAutospacing="0" w:line="360" w:lineRule="exact"/>
        <w:rPr>
          <w:color w:val="auto"/>
          <w:sz w:val="22"/>
          <w:highlight w:val="none"/>
        </w:rPr>
      </w:pPr>
      <w:r>
        <w:rPr>
          <w:rFonts w:hint="eastAsia"/>
          <w:color w:val="auto"/>
          <w:sz w:val="22"/>
          <w:highlight w:val="none"/>
        </w:rPr>
        <w:t>    3.本项目的特定资格要求：标项1：无 </w:t>
      </w:r>
    </w:p>
    <w:p w14:paraId="0CBA91C0">
      <w:pPr>
        <w:pStyle w:val="26"/>
        <w:spacing w:before="0" w:beforeAutospacing="0" w:after="0" w:afterAutospacing="0" w:line="360" w:lineRule="exact"/>
        <w:jc w:val="both"/>
        <w:rPr>
          <w:color w:val="auto"/>
          <w:sz w:val="22"/>
          <w:highlight w:val="none"/>
        </w:rPr>
      </w:pPr>
      <w:r>
        <w:rPr>
          <w:rStyle w:val="33"/>
          <w:rFonts w:hint="eastAsia"/>
          <w:color w:val="auto"/>
          <w:sz w:val="22"/>
          <w:highlight w:val="none"/>
        </w:rPr>
        <w:t>三、获取招标文件</w:t>
      </w:r>
      <w:r>
        <w:rPr>
          <w:rFonts w:hint="eastAsia"/>
          <w:color w:val="auto"/>
          <w:sz w:val="22"/>
          <w:highlight w:val="none"/>
        </w:rPr>
        <w:t> </w:t>
      </w:r>
    </w:p>
    <w:p w14:paraId="10519BDC">
      <w:pPr>
        <w:pStyle w:val="26"/>
        <w:spacing w:before="0" w:beforeAutospacing="0" w:after="0" w:afterAutospacing="0" w:line="360" w:lineRule="exact"/>
        <w:rPr>
          <w:color w:val="auto"/>
          <w:sz w:val="22"/>
          <w:highlight w:val="none"/>
        </w:rPr>
      </w:pPr>
      <w:r>
        <w:rPr>
          <w:rFonts w:hint="eastAsia"/>
          <w:color w:val="auto"/>
          <w:sz w:val="22"/>
          <w:highlight w:val="none"/>
        </w:rPr>
        <w:t>    时间：202</w:t>
      </w:r>
      <w:r>
        <w:rPr>
          <w:rFonts w:hint="eastAsia"/>
          <w:color w:val="auto"/>
          <w:sz w:val="22"/>
          <w:highlight w:val="none"/>
          <w:lang w:val="en-US" w:eastAsia="zh-CN"/>
        </w:rPr>
        <w:t>5</w:t>
      </w:r>
      <w:r>
        <w:rPr>
          <w:rFonts w:hint="eastAsia"/>
          <w:color w:val="auto"/>
          <w:sz w:val="22"/>
          <w:highlight w:val="none"/>
        </w:rPr>
        <w:t>年</w:t>
      </w:r>
      <w:r>
        <w:rPr>
          <w:rFonts w:hint="eastAsia"/>
          <w:color w:val="auto"/>
          <w:sz w:val="22"/>
          <w:highlight w:val="none"/>
          <w:lang w:val="en-US" w:eastAsia="zh-CN"/>
        </w:rPr>
        <w:t>07</w:t>
      </w:r>
      <w:r>
        <w:rPr>
          <w:rFonts w:hint="eastAsia"/>
          <w:color w:val="auto"/>
          <w:sz w:val="22"/>
          <w:highlight w:val="none"/>
        </w:rPr>
        <w:t>月</w:t>
      </w:r>
      <w:r>
        <w:rPr>
          <w:rFonts w:hint="eastAsia"/>
          <w:color w:val="auto"/>
          <w:sz w:val="22"/>
          <w:highlight w:val="none"/>
          <w:lang w:val="en-US" w:eastAsia="zh-CN"/>
        </w:rPr>
        <w:t>18</w:t>
      </w:r>
      <w:r>
        <w:rPr>
          <w:rFonts w:hint="eastAsia"/>
          <w:color w:val="auto"/>
          <w:sz w:val="22"/>
          <w:highlight w:val="none"/>
        </w:rPr>
        <w:t>日至</w:t>
      </w:r>
      <w:r>
        <w:rPr>
          <w:rFonts w:hint="eastAsia"/>
          <w:color w:val="auto"/>
          <w:sz w:val="22"/>
          <w:highlight w:val="none"/>
          <w:lang w:val="en-US" w:eastAsia="zh-CN"/>
        </w:rPr>
        <w:t>投标截止时间</w:t>
      </w:r>
      <w:r>
        <w:rPr>
          <w:rFonts w:hint="eastAsia"/>
          <w:color w:val="auto"/>
          <w:sz w:val="22"/>
          <w:highlight w:val="none"/>
        </w:rPr>
        <w:t>，每天上午00:00至12:00 ，下午12:00至23:59（北京时间，线上获取法定节假日均可，线下获取文件法定节假日除外）</w:t>
      </w:r>
    </w:p>
    <w:p w14:paraId="13E7938A">
      <w:pPr>
        <w:pStyle w:val="26"/>
        <w:spacing w:before="0" w:beforeAutospacing="0" w:after="0" w:afterAutospacing="0" w:line="360" w:lineRule="exact"/>
        <w:rPr>
          <w:color w:val="auto"/>
          <w:sz w:val="22"/>
          <w:highlight w:val="none"/>
        </w:rPr>
      </w:pPr>
      <w:r>
        <w:rPr>
          <w:rFonts w:hint="eastAsia"/>
          <w:color w:val="auto"/>
          <w:sz w:val="22"/>
          <w:highlight w:val="none"/>
        </w:rPr>
        <w:t>    地点（网址）：政采云平台线上获取 </w:t>
      </w:r>
    </w:p>
    <w:p w14:paraId="41D21AAE">
      <w:pPr>
        <w:pStyle w:val="26"/>
        <w:spacing w:before="0" w:beforeAutospacing="0" w:after="0" w:afterAutospacing="0" w:line="360" w:lineRule="exact"/>
        <w:rPr>
          <w:color w:val="auto"/>
          <w:sz w:val="22"/>
          <w:highlight w:val="none"/>
        </w:rPr>
      </w:pPr>
      <w:r>
        <w:rPr>
          <w:rFonts w:hint="eastAsia"/>
          <w:color w:val="auto"/>
          <w:sz w:val="22"/>
          <w:highlight w:val="none"/>
        </w:rPr>
        <w:t>    方式：供应商登录政采云平台https://www.zcygov.cn/在线申请获取</w:t>
      </w:r>
      <w:r>
        <w:rPr>
          <w:rFonts w:hint="eastAsia"/>
          <w:color w:val="auto"/>
          <w:sz w:val="22"/>
          <w:highlight w:val="none"/>
          <w:lang w:eastAsia="zh-CN"/>
        </w:rPr>
        <w:t>招标文件</w:t>
      </w:r>
      <w:r>
        <w:rPr>
          <w:rFonts w:hint="eastAsia"/>
          <w:color w:val="auto"/>
          <w:sz w:val="22"/>
          <w:highlight w:val="none"/>
        </w:rPr>
        <w:t>（进入“项目采购”应用，在获取</w:t>
      </w:r>
      <w:r>
        <w:rPr>
          <w:rFonts w:hint="eastAsia"/>
          <w:color w:val="auto"/>
          <w:sz w:val="22"/>
          <w:highlight w:val="none"/>
          <w:lang w:eastAsia="zh-CN"/>
        </w:rPr>
        <w:t>招标文件</w:t>
      </w:r>
      <w:r>
        <w:rPr>
          <w:rFonts w:hint="eastAsia"/>
          <w:color w:val="auto"/>
          <w:sz w:val="22"/>
          <w:highlight w:val="none"/>
        </w:rPr>
        <w:t>菜单中选择项目，申请获取</w:t>
      </w:r>
      <w:r>
        <w:rPr>
          <w:rFonts w:hint="eastAsia"/>
          <w:color w:val="auto"/>
          <w:sz w:val="22"/>
          <w:highlight w:val="none"/>
          <w:lang w:eastAsia="zh-CN"/>
        </w:rPr>
        <w:t>招标文件</w:t>
      </w:r>
      <w:r>
        <w:rPr>
          <w:rFonts w:hint="eastAsia"/>
          <w:color w:val="auto"/>
          <w:sz w:val="22"/>
          <w:highlight w:val="none"/>
        </w:rPr>
        <w:t>）（公告规定的招标文件获取方式为依法获取招标文件的方式，未按照公告规定的方式获取招标文件的，不得对招标文件提起质疑、投诉。） </w:t>
      </w:r>
    </w:p>
    <w:p w14:paraId="42A3F993">
      <w:pPr>
        <w:pStyle w:val="26"/>
        <w:spacing w:before="0" w:beforeAutospacing="0" w:after="0" w:afterAutospacing="0" w:line="360" w:lineRule="exact"/>
        <w:rPr>
          <w:color w:val="auto"/>
          <w:sz w:val="22"/>
          <w:highlight w:val="none"/>
        </w:rPr>
      </w:pPr>
      <w:r>
        <w:rPr>
          <w:rFonts w:hint="eastAsia"/>
          <w:color w:val="auto"/>
          <w:sz w:val="22"/>
          <w:highlight w:val="none"/>
        </w:rPr>
        <w:t>    售价（元）：0 </w:t>
      </w:r>
    </w:p>
    <w:p w14:paraId="2C06278B">
      <w:pPr>
        <w:pStyle w:val="26"/>
        <w:spacing w:before="0" w:beforeAutospacing="0" w:after="0" w:afterAutospacing="0" w:line="360" w:lineRule="exact"/>
        <w:jc w:val="both"/>
        <w:rPr>
          <w:color w:val="auto"/>
          <w:sz w:val="22"/>
          <w:highlight w:val="none"/>
        </w:rPr>
      </w:pPr>
      <w:r>
        <w:rPr>
          <w:rStyle w:val="33"/>
          <w:rFonts w:hint="eastAsia"/>
          <w:color w:val="auto"/>
          <w:sz w:val="22"/>
          <w:highlight w:val="none"/>
        </w:rPr>
        <w:t>四、提交投标文件截止时间、开标时间和地点</w:t>
      </w:r>
    </w:p>
    <w:p w14:paraId="2B7CA214">
      <w:pPr>
        <w:pStyle w:val="26"/>
        <w:spacing w:before="0" w:beforeAutospacing="0" w:after="0" w:afterAutospacing="0" w:line="360" w:lineRule="exact"/>
        <w:rPr>
          <w:color w:val="auto"/>
          <w:sz w:val="22"/>
          <w:highlight w:val="none"/>
        </w:rPr>
      </w:pPr>
      <w:r>
        <w:rPr>
          <w:rFonts w:hint="eastAsia"/>
          <w:color w:val="auto"/>
          <w:sz w:val="22"/>
          <w:highlight w:val="none"/>
        </w:rPr>
        <w:t>   提交投标文件截止时间：202</w:t>
      </w:r>
      <w:r>
        <w:rPr>
          <w:rFonts w:hint="eastAsia"/>
          <w:color w:val="auto"/>
          <w:sz w:val="22"/>
          <w:highlight w:val="none"/>
          <w:lang w:val="en-US" w:eastAsia="zh-CN"/>
        </w:rPr>
        <w:t>5</w:t>
      </w:r>
      <w:r>
        <w:rPr>
          <w:rFonts w:hint="eastAsia"/>
          <w:color w:val="auto"/>
          <w:sz w:val="22"/>
          <w:highlight w:val="none"/>
        </w:rPr>
        <w:t>年</w:t>
      </w:r>
      <w:r>
        <w:rPr>
          <w:rFonts w:hint="eastAsia"/>
          <w:color w:val="auto"/>
          <w:sz w:val="22"/>
          <w:highlight w:val="none"/>
          <w:lang w:val="en-US" w:eastAsia="zh-CN"/>
        </w:rPr>
        <w:t>08</w:t>
      </w:r>
      <w:r>
        <w:rPr>
          <w:rFonts w:hint="eastAsia"/>
          <w:color w:val="auto"/>
          <w:sz w:val="22"/>
          <w:highlight w:val="none"/>
        </w:rPr>
        <w:t>月</w:t>
      </w:r>
      <w:r>
        <w:rPr>
          <w:rFonts w:hint="eastAsia"/>
          <w:color w:val="auto"/>
          <w:sz w:val="22"/>
          <w:highlight w:val="none"/>
          <w:lang w:val="en-US" w:eastAsia="zh-CN"/>
        </w:rPr>
        <w:t>11</w:t>
      </w:r>
      <w:r>
        <w:rPr>
          <w:rFonts w:hint="eastAsia"/>
          <w:color w:val="auto"/>
          <w:sz w:val="22"/>
          <w:highlight w:val="none"/>
        </w:rPr>
        <w:t>日</w:t>
      </w:r>
      <w:r>
        <w:rPr>
          <w:rFonts w:hint="eastAsia"/>
          <w:color w:val="auto"/>
          <w:sz w:val="22"/>
          <w:highlight w:val="none"/>
          <w:lang w:val="en-US" w:eastAsia="zh-CN"/>
        </w:rPr>
        <w:t>上午09</w:t>
      </w:r>
      <w:r>
        <w:rPr>
          <w:rFonts w:hint="eastAsia"/>
          <w:color w:val="auto"/>
          <w:sz w:val="22"/>
          <w:highlight w:val="none"/>
        </w:rPr>
        <w:t>:</w:t>
      </w:r>
      <w:r>
        <w:rPr>
          <w:rFonts w:hint="eastAsia"/>
          <w:color w:val="auto"/>
          <w:sz w:val="22"/>
          <w:highlight w:val="none"/>
          <w:lang w:val="en-US" w:eastAsia="zh-CN"/>
        </w:rPr>
        <w:t>30</w:t>
      </w:r>
      <w:r>
        <w:rPr>
          <w:rFonts w:hint="eastAsia"/>
          <w:color w:val="auto"/>
          <w:sz w:val="22"/>
          <w:highlight w:val="none"/>
        </w:rPr>
        <w:t>（北京时间）</w:t>
      </w:r>
    </w:p>
    <w:p w14:paraId="699182F9">
      <w:pPr>
        <w:pStyle w:val="26"/>
        <w:spacing w:before="0" w:beforeAutospacing="0" w:after="0" w:afterAutospacing="0" w:line="360" w:lineRule="exact"/>
        <w:rPr>
          <w:color w:val="auto"/>
          <w:sz w:val="22"/>
          <w:highlight w:val="none"/>
        </w:rPr>
      </w:pPr>
      <w:r>
        <w:rPr>
          <w:rFonts w:hint="eastAsia"/>
          <w:color w:val="auto"/>
          <w:sz w:val="22"/>
          <w:highlight w:val="none"/>
        </w:rPr>
        <w:t>   投标地点（网址）：请登录政采云投标客户端投标</w:t>
      </w:r>
    </w:p>
    <w:p w14:paraId="244ABF80">
      <w:pPr>
        <w:pStyle w:val="26"/>
        <w:spacing w:before="0" w:beforeAutospacing="0" w:after="0" w:afterAutospacing="0" w:line="360" w:lineRule="exact"/>
        <w:rPr>
          <w:color w:val="auto"/>
          <w:sz w:val="22"/>
          <w:highlight w:val="none"/>
        </w:rPr>
      </w:pPr>
      <w:r>
        <w:rPr>
          <w:rFonts w:hint="eastAsia"/>
          <w:color w:val="auto"/>
          <w:sz w:val="22"/>
          <w:highlight w:val="none"/>
        </w:rPr>
        <w:t>   开标时间：202</w:t>
      </w:r>
      <w:r>
        <w:rPr>
          <w:rFonts w:hint="eastAsia"/>
          <w:color w:val="auto"/>
          <w:sz w:val="22"/>
          <w:highlight w:val="none"/>
          <w:lang w:val="en-US" w:eastAsia="zh-CN"/>
        </w:rPr>
        <w:t>5</w:t>
      </w:r>
      <w:r>
        <w:rPr>
          <w:rFonts w:hint="eastAsia"/>
          <w:color w:val="auto"/>
          <w:sz w:val="22"/>
          <w:highlight w:val="none"/>
        </w:rPr>
        <w:t>年</w:t>
      </w:r>
      <w:r>
        <w:rPr>
          <w:rFonts w:hint="eastAsia"/>
          <w:color w:val="auto"/>
          <w:sz w:val="22"/>
          <w:highlight w:val="none"/>
          <w:lang w:val="en-US" w:eastAsia="zh-CN"/>
        </w:rPr>
        <w:t>08</w:t>
      </w:r>
      <w:r>
        <w:rPr>
          <w:rFonts w:hint="eastAsia"/>
          <w:color w:val="auto"/>
          <w:sz w:val="22"/>
          <w:highlight w:val="none"/>
        </w:rPr>
        <w:t>月</w:t>
      </w:r>
      <w:r>
        <w:rPr>
          <w:rFonts w:hint="eastAsia"/>
          <w:color w:val="auto"/>
          <w:sz w:val="22"/>
          <w:highlight w:val="none"/>
          <w:lang w:val="en-US" w:eastAsia="zh-CN"/>
        </w:rPr>
        <w:t>11</w:t>
      </w:r>
      <w:r>
        <w:rPr>
          <w:rFonts w:hint="eastAsia"/>
          <w:color w:val="auto"/>
          <w:sz w:val="22"/>
          <w:highlight w:val="none"/>
        </w:rPr>
        <w:t>日</w:t>
      </w:r>
      <w:r>
        <w:rPr>
          <w:rFonts w:hint="eastAsia"/>
          <w:color w:val="auto"/>
          <w:sz w:val="22"/>
          <w:highlight w:val="none"/>
          <w:lang w:val="en-US" w:eastAsia="zh-CN"/>
        </w:rPr>
        <w:t>上午09</w:t>
      </w:r>
      <w:r>
        <w:rPr>
          <w:rFonts w:hint="eastAsia"/>
          <w:color w:val="auto"/>
          <w:sz w:val="22"/>
          <w:highlight w:val="none"/>
        </w:rPr>
        <w:t>:</w:t>
      </w:r>
      <w:r>
        <w:rPr>
          <w:rFonts w:hint="eastAsia"/>
          <w:color w:val="auto"/>
          <w:sz w:val="22"/>
          <w:highlight w:val="none"/>
          <w:lang w:val="en-US" w:eastAsia="zh-CN"/>
        </w:rPr>
        <w:t>30</w:t>
      </w:r>
      <w:r>
        <w:rPr>
          <w:rFonts w:hint="eastAsia"/>
          <w:color w:val="auto"/>
          <w:sz w:val="22"/>
          <w:highlight w:val="none"/>
        </w:rPr>
        <w:t>（北京时间） </w:t>
      </w:r>
    </w:p>
    <w:p w14:paraId="268F5FE8">
      <w:pPr>
        <w:pStyle w:val="26"/>
        <w:spacing w:before="0" w:beforeAutospacing="0" w:after="0" w:afterAutospacing="0" w:line="360" w:lineRule="exact"/>
        <w:rPr>
          <w:color w:val="auto"/>
          <w:sz w:val="22"/>
          <w:highlight w:val="none"/>
        </w:rPr>
      </w:pPr>
      <w:r>
        <w:rPr>
          <w:rFonts w:hint="eastAsia"/>
          <w:color w:val="auto"/>
          <w:sz w:val="22"/>
          <w:highlight w:val="none"/>
        </w:rPr>
        <w:t>   开标地点（网址）：浙江乐诚工程咨询有限公司评审室（温州市瓯海区三垟街道桥头河大桥温州生命健康小镇B03)（https://www.zcygov.cn/）</w:t>
      </w:r>
    </w:p>
    <w:p w14:paraId="4A608D3C">
      <w:pPr>
        <w:pStyle w:val="26"/>
        <w:spacing w:before="0" w:beforeAutospacing="0" w:after="0" w:afterAutospacing="0" w:line="360" w:lineRule="exact"/>
        <w:jc w:val="both"/>
        <w:rPr>
          <w:color w:val="auto"/>
          <w:sz w:val="22"/>
          <w:highlight w:val="none"/>
        </w:rPr>
      </w:pPr>
      <w:r>
        <w:rPr>
          <w:rStyle w:val="33"/>
          <w:rFonts w:hint="eastAsia"/>
          <w:color w:val="auto"/>
          <w:sz w:val="22"/>
          <w:highlight w:val="none"/>
        </w:rPr>
        <w:t>五、公告期限</w:t>
      </w:r>
      <w:r>
        <w:rPr>
          <w:rFonts w:hint="eastAsia"/>
          <w:color w:val="auto"/>
          <w:sz w:val="22"/>
          <w:highlight w:val="none"/>
        </w:rPr>
        <w:t> </w:t>
      </w:r>
    </w:p>
    <w:p w14:paraId="06958ED5">
      <w:pPr>
        <w:pStyle w:val="26"/>
        <w:spacing w:before="0" w:beforeAutospacing="0" w:after="0" w:afterAutospacing="0" w:line="360" w:lineRule="exact"/>
        <w:rPr>
          <w:color w:val="auto"/>
          <w:sz w:val="22"/>
          <w:highlight w:val="none"/>
        </w:rPr>
      </w:pPr>
      <w:r>
        <w:rPr>
          <w:rFonts w:hint="eastAsia"/>
          <w:color w:val="auto"/>
          <w:sz w:val="22"/>
          <w:highlight w:val="none"/>
        </w:rPr>
        <w:t>    自本公告发布之日起5个工作日。</w:t>
      </w:r>
    </w:p>
    <w:p w14:paraId="252C16A9">
      <w:pPr>
        <w:pStyle w:val="26"/>
        <w:spacing w:before="0" w:beforeAutospacing="0" w:after="0" w:afterAutospacing="0" w:line="360" w:lineRule="exact"/>
        <w:jc w:val="both"/>
        <w:rPr>
          <w:color w:val="auto"/>
          <w:sz w:val="22"/>
          <w:highlight w:val="none"/>
        </w:rPr>
      </w:pPr>
      <w:r>
        <w:rPr>
          <w:rStyle w:val="33"/>
          <w:rFonts w:hint="eastAsia"/>
          <w:color w:val="auto"/>
          <w:sz w:val="22"/>
          <w:highlight w:val="none"/>
        </w:rPr>
        <w:t>六、其他补充事宜</w:t>
      </w:r>
    </w:p>
    <w:p w14:paraId="67D35895">
      <w:pPr>
        <w:pStyle w:val="26"/>
        <w:spacing w:before="0" w:beforeAutospacing="0" w:after="0" w:afterAutospacing="0" w:line="360" w:lineRule="exact"/>
        <w:ind w:firstLine="440" w:firstLineChars="200"/>
        <w:rPr>
          <w:color w:val="auto"/>
          <w:sz w:val="22"/>
          <w:highlight w:val="none"/>
        </w:rPr>
      </w:pPr>
      <w:r>
        <w:rPr>
          <w:rFonts w:hint="eastAsia"/>
          <w:color w:val="auto"/>
          <w:sz w:val="2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A4511D">
      <w:pPr>
        <w:pStyle w:val="26"/>
        <w:spacing w:before="0" w:beforeAutospacing="0" w:after="0" w:afterAutospacing="0" w:line="360" w:lineRule="exact"/>
        <w:ind w:firstLine="440" w:firstLineChars="200"/>
        <w:rPr>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D5CDBE6">
      <w:pPr>
        <w:pStyle w:val="26"/>
        <w:spacing w:before="0" w:beforeAutospacing="0" w:after="0" w:afterAutospacing="0" w:line="360" w:lineRule="exact"/>
        <w:ind w:firstLine="440" w:firstLineChars="200"/>
        <w:rPr>
          <w:color w:val="auto"/>
          <w:sz w:val="22"/>
          <w:highlight w:val="none"/>
        </w:rPr>
      </w:pPr>
      <w:r>
        <w:rPr>
          <w:rFonts w:hint="eastAsia"/>
          <w:color w:val="auto"/>
          <w:sz w:val="22"/>
          <w:highlight w:val="none"/>
        </w:rPr>
        <w:t>3.供应商认为</w:t>
      </w:r>
      <w:r>
        <w:rPr>
          <w:rFonts w:hint="eastAsia"/>
          <w:color w:val="auto"/>
          <w:sz w:val="22"/>
          <w:highlight w:val="none"/>
          <w:lang w:eastAsia="zh-CN"/>
        </w:rPr>
        <w:t>招标文件</w:t>
      </w:r>
      <w:r>
        <w:rPr>
          <w:rFonts w:hint="eastAsia"/>
          <w:color w:val="auto"/>
          <w:sz w:val="22"/>
          <w:highlight w:val="none"/>
        </w:rPr>
        <w:t>使自己的权益受到损害的，可以自获取</w:t>
      </w:r>
      <w:r>
        <w:rPr>
          <w:rFonts w:hint="eastAsia"/>
          <w:color w:val="auto"/>
          <w:sz w:val="22"/>
          <w:highlight w:val="none"/>
          <w:lang w:eastAsia="zh-CN"/>
        </w:rPr>
        <w:t>招标文件</w:t>
      </w:r>
      <w:r>
        <w:rPr>
          <w:rFonts w:hint="eastAsia"/>
          <w:color w:val="auto"/>
          <w:sz w:val="22"/>
          <w:highlight w:val="none"/>
        </w:rPr>
        <w:t>之日或者采购公告期限届满之日（公告期限届满后获取</w:t>
      </w:r>
      <w:r>
        <w:rPr>
          <w:rFonts w:hint="eastAsia"/>
          <w:color w:val="auto"/>
          <w:sz w:val="22"/>
          <w:highlight w:val="none"/>
          <w:lang w:eastAsia="zh-CN"/>
        </w:rPr>
        <w:t>招标文件</w:t>
      </w:r>
      <w:r>
        <w:rPr>
          <w:rFonts w:hint="eastAsia"/>
          <w:color w:val="auto"/>
          <w:sz w:val="22"/>
          <w:highlight w:val="none"/>
        </w:rPr>
        <w:t>的，以公告期限届满之日为准）起7个工作日内，对</w:t>
      </w:r>
      <w:r>
        <w:rPr>
          <w:rFonts w:hint="eastAsia"/>
          <w:color w:val="auto"/>
          <w:sz w:val="22"/>
          <w:highlight w:val="none"/>
          <w:lang w:eastAsia="zh-CN"/>
        </w:rPr>
        <w:t>招标文件</w:t>
      </w:r>
      <w:r>
        <w:rPr>
          <w:rFonts w:hint="eastAsia"/>
          <w:color w:val="auto"/>
          <w:sz w:val="22"/>
          <w:highlight w:val="none"/>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3CE030D5">
      <w:pPr>
        <w:pStyle w:val="26"/>
        <w:spacing w:before="0" w:beforeAutospacing="0" w:after="0" w:afterAutospacing="0" w:line="360" w:lineRule="exact"/>
        <w:ind w:firstLine="440" w:firstLineChars="200"/>
        <w:rPr>
          <w:color w:val="auto"/>
          <w:sz w:val="22"/>
          <w:highlight w:val="none"/>
        </w:rPr>
      </w:pPr>
      <w:r>
        <w:rPr>
          <w:rFonts w:hint="eastAsia"/>
          <w:color w:val="auto"/>
          <w:sz w:val="22"/>
          <w:highlight w:val="none"/>
        </w:rPr>
        <w:t>4.其他事项：无</w:t>
      </w:r>
    </w:p>
    <w:p w14:paraId="42784D8B">
      <w:pPr>
        <w:pStyle w:val="26"/>
        <w:spacing w:before="0" w:beforeAutospacing="0" w:after="0" w:afterAutospacing="0" w:line="360" w:lineRule="exact"/>
        <w:jc w:val="both"/>
        <w:rPr>
          <w:color w:val="auto"/>
          <w:sz w:val="22"/>
          <w:highlight w:val="none"/>
        </w:rPr>
      </w:pPr>
      <w:r>
        <w:rPr>
          <w:rStyle w:val="33"/>
          <w:rFonts w:hint="eastAsia"/>
          <w:color w:val="auto"/>
          <w:sz w:val="22"/>
          <w:highlight w:val="none"/>
        </w:rPr>
        <w:t>七、对本次采购提出询问、质疑、投诉，请按以下方式联系</w:t>
      </w:r>
    </w:p>
    <w:p w14:paraId="5BB14562">
      <w:pPr>
        <w:pStyle w:val="26"/>
        <w:spacing w:before="0" w:beforeAutospacing="0" w:after="0" w:afterAutospacing="0" w:line="360" w:lineRule="exact"/>
        <w:rPr>
          <w:color w:val="auto"/>
          <w:sz w:val="22"/>
          <w:highlight w:val="none"/>
        </w:rPr>
      </w:pPr>
      <w:r>
        <w:rPr>
          <w:rFonts w:hint="eastAsia"/>
          <w:color w:val="auto"/>
          <w:sz w:val="22"/>
          <w:highlight w:val="none"/>
        </w:rPr>
        <w:t>    1.采购人信息</w:t>
      </w:r>
    </w:p>
    <w:p w14:paraId="52AB61FE">
      <w:pPr>
        <w:pStyle w:val="26"/>
        <w:spacing w:before="0" w:beforeAutospacing="0" w:after="0" w:afterAutospacing="0" w:line="360" w:lineRule="exact"/>
        <w:rPr>
          <w:color w:val="auto"/>
          <w:sz w:val="22"/>
          <w:highlight w:val="none"/>
        </w:rPr>
      </w:pPr>
      <w:r>
        <w:rPr>
          <w:rFonts w:hint="eastAsia"/>
          <w:color w:val="auto"/>
          <w:sz w:val="22"/>
          <w:highlight w:val="none"/>
        </w:rPr>
        <w:t>    名    称：温州肯恩大学 </w:t>
      </w:r>
    </w:p>
    <w:p w14:paraId="0CFF6D52">
      <w:pPr>
        <w:pStyle w:val="26"/>
        <w:spacing w:before="0" w:beforeAutospacing="0" w:after="0" w:afterAutospacing="0" w:line="360" w:lineRule="exact"/>
        <w:rPr>
          <w:color w:val="auto"/>
          <w:sz w:val="22"/>
          <w:highlight w:val="none"/>
        </w:rPr>
      </w:pPr>
      <w:r>
        <w:rPr>
          <w:rFonts w:hint="eastAsia"/>
          <w:color w:val="auto"/>
          <w:sz w:val="22"/>
          <w:highlight w:val="none"/>
        </w:rPr>
        <w:t>    地    址：温州市瓯海区丽岙街道大学路88号 </w:t>
      </w:r>
    </w:p>
    <w:p w14:paraId="58CB7B9F">
      <w:pPr>
        <w:pStyle w:val="26"/>
        <w:spacing w:before="0" w:beforeAutospacing="0" w:after="0" w:afterAutospacing="0" w:line="360" w:lineRule="exact"/>
        <w:ind w:firstLine="660"/>
        <w:rPr>
          <w:color w:val="auto"/>
          <w:sz w:val="22"/>
          <w:highlight w:val="none"/>
        </w:rPr>
      </w:pPr>
      <w:r>
        <w:rPr>
          <w:rFonts w:hint="eastAsia"/>
          <w:color w:val="auto"/>
          <w:sz w:val="22"/>
          <w:highlight w:val="none"/>
        </w:rPr>
        <w:t>传    真：/  </w:t>
      </w:r>
    </w:p>
    <w:p w14:paraId="38CEAB11">
      <w:pPr>
        <w:pStyle w:val="26"/>
        <w:spacing w:before="0" w:beforeAutospacing="0" w:after="0" w:afterAutospacing="0" w:line="360" w:lineRule="exact"/>
        <w:ind w:firstLine="660" w:firstLineChars="300"/>
        <w:rPr>
          <w:color w:val="auto"/>
          <w:sz w:val="22"/>
          <w:highlight w:val="none"/>
        </w:rPr>
      </w:pPr>
      <w:r>
        <w:rPr>
          <w:rFonts w:hint="eastAsia"/>
          <w:color w:val="auto"/>
          <w:sz w:val="22"/>
          <w:highlight w:val="none"/>
        </w:rPr>
        <w:t>项目联系人（询问）</w:t>
      </w:r>
      <w:r>
        <w:rPr>
          <w:rFonts w:hint="eastAsia"/>
          <w:color w:val="auto"/>
          <w:sz w:val="22"/>
          <w:highlight w:val="none"/>
          <w:lang w:eastAsia="zh-CN"/>
        </w:rPr>
        <w:t>：</w:t>
      </w:r>
      <w:r>
        <w:rPr>
          <w:rFonts w:hint="eastAsia"/>
          <w:color w:val="auto"/>
          <w:sz w:val="22"/>
          <w:highlight w:val="none"/>
        </w:rPr>
        <w:t>孙老师</w:t>
      </w:r>
    </w:p>
    <w:p w14:paraId="0F6F0B9E">
      <w:pPr>
        <w:pStyle w:val="26"/>
        <w:spacing w:before="0" w:beforeAutospacing="0" w:after="0" w:afterAutospacing="0" w:line="360" w:lineRule="exact"/>
        <w:rPr>
          <w:color w:val="auto"/>
          <w:sz w:val="22"/>
          <w:highlight w:val="none"/>
        </w:rPr>
      </w:pPr>
      <w:r>
        <w:rPr>
          <w:rFonts w:hint="eastAsia"/>
          <w:color w:val="auto"/>
          <w:sz w:val="22"/>
          <w:highlight w:val="none"/>
        </w:rPr>
        <w:t>    项目联系方式（询问）：0577-55870565</w:t>
      </w:r>
    </w:p>
    <w:p w14:paraId="1307700C">
      <w:pPr>
        <w:pStyle w:val="26"/>
        <w:spacing w:before="0" w:beforeAutospacing="0" w:after="0" w:afterAutospacing="0" w:line="360" w:lineRule="exact"/>
        <w:rPr>
          <w:color w:val="auto"/>
          <w:sz w:val="22"/>
          <w:highlight w:val="none"/>
        </w:rPr>
      </w:pPr>
    </w:p>
    <w:p w14:paraId="73CD7856">
      <w:pPr>
        <w:pStyle w:val="26"/>
        <w:spacing w:before="0" w:beforeAutospacing="0" w:after="0" w:afterAutospacing="0" w:line="360" w:lineRule="exact"/>
        <w:rPr>
          <w:color w:val="auto"/>
          <w:sz w:val="22"/>
          <w:highlight w:val="none"/>
        </w:rPr>
      </w:pPr>
      <w:r>
        <w:rPr>
          <w:rFonts w:hint="eastAsia"/>
          <w:color w:val="auto"/>
          <w:sz w:val="22"/>
          <w:highlight w:val="none"/>
        </w:rPr>
        <w:t>    质疑联系人：刘老师    </w:t>
      </w:r>
    </w:p>
    <w:p w14:paraId="0DB8601A">
      <w:pPr>
        <w:pStyle w:val="26"/>
        <w:spacing w:before="0" w:beforeAutospacing="0" w:after="0" w:afterAutospacing="0" w:line="360" w:lineRule="exact"/>
        <w:rPr>
          <w:color w:val="auto"/>
          <w:sz w:val="22"/>
          <w:highlight w:val="none"/>
        </w:rPr>
      </w:pPr>
      <w:r>
        <w:rPr>
          <w:rFonts w:hint="eastAsia"/>
          <w:color w:val="auto"/>
          <w:sz w:val="22"/>
          <w:highlight w:val="none"/>
        </w:rPr>
        <w:t>    质疑联系方式：0577-55870553 </w:t>
      </w:r>
    </w:p>
    <w:p w14:paraId="0A357B5E">
      <w:pPr>
        <w:pStyle w:val="26"/>
        <w:spacing w:before="0" w:beforeAutospacing="0" w:after="0" w:afterAutospacing="0" w:line="360" w:lineRule="exact"/>
        <w:rPr>
          <w:color w:val="auto"/>
          <w:sz w:val="22"/>
          <w:highlight w:val="none"/>
        </w:rPr>
      </w:pPr>
      <w:r>
        <w:rPr>
          <w:rFonts w:hint="eastAsia"/>
          <w:color w:val="auto"/>
          <w:sz w:val="22"/>
          <w:highlight w:val="none"/>
        </w:rPr>
        <w:t>   </w:t>
      </w:r>
      <w:r>
        <w:rPr>
          <w:rFonts w:hint="eastAsia"/>
          <w:color w:val="auto"/>
          <w:sz w:val="22"/>
          <w:highlight w:val="none"/>
        </w:rPr>
        <w:br w:type="textWrapping" w:clear="all"/>
      </w:r>
      <w:r>
        <w:rPr>
          <w:rFonts w:hint="eastAsia"/>
          <w:color w:val="auto"/>
          <w:sz w:val="22"/>
          <w:highlight w:val="none"/>
        </w:rPr>
        <w:t>    2.采购代理机构信息            </w:t>
      </w:r>
    </w:p>
    <w:p w14:paraId="33CE33BC">
      <w:pPr>
        <w:pStyle w:val="26"/>
        <w:spacing w:before="0" w:beforeAutospacing="0" w:after="0" w:afterAutospacing="0" w:line="360" w:lineRule="exact"/>
        <w:rPr>
          <w:color w:val="auto"/>
          <w:sz w:val="22"/>
          <w:highlight w:val="none"/>
        </w:rPr>
      </w:pPr>
      <w:r>
        <w:rPr>
          <w:rFonts w:hint="eastAsia"/>
          <w:color w:val="auto"/>
          <w:sz w:val="22"/>
          <w:highlight w:val="none"/>
        </w:rPr>
        <w:t>    名    称：浙江乐诚工程咨询有限公司             </w:t>
      </w:r>
    </w:p>
    <w:p w14:paraId="0C0C3876">
      <w:pPr>
        <w:pStyle w:val="26"/>
        <w:spacing w:before="0" w:beforeAutospacing="0" w:after="0" w:afterAutospacing="0" w:line="360" w:lineRule="exact"/>
        <w:rPr>
          <w:color w:val="auto"/>
          <w:sz w:val="22"/>
          <w:highlight w:val="none"/>
        </w:rPr>
      </w:pPr>
      <w:r>
        <w:rPr>
          <w:rFonts w:hint="eastAsia"/>
          <w:color w:val="auto"/>
          <w:sz w:val="22"/>
          <w:highlight w:val="none"/>
        </w:rPr>
        <w:t>    地    址：温州市瓯海区三垟街道桥头河大桥温州生命健康小镇B03             </w:t>
      </w:r>
    </w:p>
    <w:p w14:paraId="1628CE32">
      <w:pPr>
        <w:pStyle w:val="26"/>
        <w:spacing w:before="0" w:beforeAutospacing="0" w:after="0" w:afterAutospacing="0" w:line="360" w:lineRule="exact"/>
        <w:ind w:firstLine="660"/>
        <w:rPr>
          <w:color w:val="auto"/>
          <w:sz w:val="22"/>
          <w:highlight w:val="none"/>
        </w:rPr>
      </w:pPr>
      <w:r>
        <w:rPr>
          <w:rFonts w:hint="eastAsia"/>
          <w:color w:val="auto"/>
          <w:sz w:val="22"/>
          <w:highlight w:val="none"/>
        </w:rPr>
        <w:t>传    真：          </w:t>
      </w:r>
    </w:p>
    <w:p w14:paraId="40A13788">
      <w:pPr>
        <w:pStyle w:val="26"/>
        <w:spacing w:before="0" w:beforeAutospacing="0" w:after="0" w:afterAutospacing="0" w:line="360" w:lineRule="exact"/>
        <w:ind w:firstLine="660"/>
        <w:rPr>
          <w:color w:val="auto"/>
          <w:sz w:val="22"/>
          <w:highlight w:val="none"/>
        </w:rPr>
      </w:pPr>
      <w:r>
        <w:rPr>
          <w:rFonts w:hint="eastAsia"/>
          <w:color w:val="auto"/>
          <w:sz w:val="22"/>
          <w:highlight w:val="none"/>
        </w:rPr>
        <w:t>项目联系人（询问）：钱学丰、陈素芳</w:t>
      </w:r>
    </w:p>
    <w:p w14:paraId="40720859">
      <w:pPr>
        <w:pStyle w:val="26"/>
        <w:spacing w:before="0" w:beforeAutospacing="0" w:after="0" w:afterAutospacing="0" w:line="360" w:lineRule="exact"/>
        <w:ind w:firstLine="660"/>
        <w:rPr>
          <w:color w:val="auto"/>
          <w:sz w:val="22"/>
          <w:highlight w:val="none"/>
        </w:rPr>
      </w:pPr>
      <w:r>
        <w:rPr>
          <w:rFonts w:hint="eastAsia"/>
          <w:color w:val="auto"/>
          <w:sz w:val="22"/>
          <w:highlight w:val="none"/>
        </w:rPr>
        <w:t>项目联系方式（询问）：15356271770/0577-86077700</w:t>
      </w:r>
    </w:p>
    <w:p w14:paraId="1140FEA5">
      <w:pPr>
        <w:pStyle w:val="26"/>
        <w:spacing w:before="0" w:beforeAutospacing="0" w:after="0" w:afterAutospacing="0" w:line="360" w:lineRule="exact"/>
        <w:ind w:firstLine="660"/>
        <w:rPr>
          <w:color w:val="auto"/>
          <w:sz w:val="22"/>
          <w:highlight w:val="none"/>
        </w:rPr>
      </w:pPr>
      <w:r>
        <w:rPr>
          <w:rFonts w:hint="eastAsia"/>
          <w:color w:val="auto"/>
          <w:sz w:val="22"/>
          <w:highlight w:val="none"/>
        </w:rPr>
        <w:t>质疑联系人：王纪凤</w:t>
      </w:r>
    </w:p>
    <w:p w14:paraId="270E528A">
      <w:pPr>
        <w:pStyle w:val="26"/>
        <w:spacing w:before="0" w:beforeAutospacing="0" w:after="0" w:afterAutospacing="0" w:line="360" w:lineRule="exact"/>
        <w:ind w:firstLine="660"/>
        <w:rPr>
          <w:color w:val="auto"/>
          <w:sz w:val="22"/>
          <w:highlight w:val="none"/>
        </w:rPr>
      </w:pPr>
      <w:r>
        <w:rPr>
          <w:rFonts w:hint="eastAsia"/>
          <w:color w:val="auto"/>
          <w:sz w:val="22"/>
          <w:highlight w:val="none"/>
        </w:rPr>
        <w:t>质疑联系方式：15805779720</w:t>
      </w:r>
    </w:p>
    <w:p w14:paraId="14768DFE">
      <w:pPr>
        <w:pStyle w:val="26"/>
        <w:spacing w:before="0" w:beforeAutospacing="0" w:after="0" w:afterAutospacing="0" w:line="360" w:lineRule="exact"/>
        <w:ind w:left="655" w:leftChars="312" w:firstLine="28" w:firstLineChars="13"/>
        <w:rPr>
          <w:color w:val="auto"/>
          <w:sz w:val="22"/>
          <w:highlight w:val="none"/>
        </w:rPr>
      </w:pPr>
      <w:r>
        <w:rPr>
          <w:rFonts w:hint="eastAsia"/>
          <w:color w:val="auto"/>
          <w:sz w:val="22"/>
          <w:highlight w:val="none"/>
        </w:rPr>
        <w:t>　　　　        </w:t>
      </w:r>
      <w:r>
        <w:rPr>
          <w:rFonts w:hint="eastAsia"/>
          <w:color w:val="auto"/>
          <w:sz w:val="22"/>
          <w:highlight w:val="none"/>
        </w:rPr>
        <w:br w:type="textWrapping" w:clear="all"/>
      </w:r>
      <w:r>
        <w:rPr>
          <w:rFonts w:hint="eastAsia"/>
          <w:color w:val="auto"/>
          <w:sz w:val="22"/>
          <w:highlight w:val="none"/>
        </w:rPr>
        <w:t>3.采购监督管理部门</w:t>
      </w:r>
    </w:p>
    <w:p w14:paraId="52987A69">
      <w:pPr>
        <w:pStyle w:val="26"/>
        <w:spacing w:before="0" w:beforeAutospacing="0" w:after="0" w:afterAutospacing="0" w:line="360" w:lineRule="exact"/>
        <w:ind w:firstLine="660"/>
        <w:rPr>
          <w:color w:val="auto"/>
          <w:sz w:val="22"/>
          <w:highlight w:val="none"/>
        </w:rPr>
      </w:pPr>
      <w:r>
        <w:rPr>
          <w:rFonts w:hint="eastAsia"/>
          <w:color w:val="auto"/>
          <w:sz w:val="22"/>
          <w:highlight w:val="none"/>
        </w:rPr>
        <w:t>名    称：温州肯恩大学</w:t>
      </w:r>
    </w:p>
    <w:p w14:paraId="60D7F53A">
      <w:pPr>
        <w:pStyle w:val="26"/>
        <w:spacing w:before="0" w:beforeAutospacing="0" w:after="0" w:afterAutospacing="0" w:line="360" w:lineRule="exact"/>
        <w:ind w:firstLine="660"/>
        <w:rPr>
          <w:color w:val="auto"/>
          <w:sz w:val="22"/>
          <w:highlight w:val="none"/>
        </w:rPr>
      </w:pPr>
      <w:r>
        <w:rPr>
          <w:rFonts w:hint="eastAsia"/>
          <w:color w:val="auto"/>
          <w:sz w:val="22"/>
          <w:highlight w:val="none"/>
        </w:rPr>
        <w:t>地    址：温州市瓯海区丽岙街道大学路88号</w:t>
      </w:r>
    </w:p>
    <w:p w14:paraId="6E70671E">
      <w:pPr>
        <w:pStyle w:val="26"/>
        <w:spacing w:before="0" w:beforeAutospacing="0" w:after="0" w:afterAutospacing="0" w:line="360" w:lineRule="exact"/>
        <w:ind w:firstLine="660"/>
        <w:rPr>
          <w:color w:val="auto"/>
          <w:sz w:val="22"/>
          <w:highlight w:val="none"/>
        </w:rPr>
      </w:pPr>
      <w:r>
        <w:rPr>
          <w:rFonts w:hint="eastAsia"/>
          <w:color w:val="auto"/>
          <w:sz w:val="22"/>
          <w:highlight w:val="none"/>
        </w:rPr>
        <w:t>联 系 人：林老师</w:t>
      </w:r>
    </w:p>
    <w:p w14:paraId="0779A88C">
      <w:pPr>
        <w:pStyle w:val="26"/>
        <w:spacing w:before="0" w:beforeAutospacing="0" w:after="0" w:afterAutospacing="0" w:line="360" w:lineRule="exact"/>
        <w:ind w:firstLine="660"/>
        <w:rPr>
          <w:color w:val="auto"/>
          <w:sz w:val="22"/>
          <w:highlight w:val="none"/>
        </w:rPr>
      </w:pPr>
      <w:r>
        <w:rPr>
          <w:rFonts w:hint="eastAsia"/>
          <w:color w:val="auto"/>
          <w:sz w:val="22"/>
          <w:highlight w:val="none"/>
        </w:rPr>
        <w:t>监督投诉电话：0577-55870046</w:t>
      </w:r>
    </w:p>
    <w:p w14:paraId="05AAD65F">
      <w:pPr>
        <w:pStyle w:val="26"/>
        <w:spacing w:before="0" w:beforeAutospacing="0" w:after="0" w:afterAutospacing="0" w:line="360" w:lineRule="exact"/>
        <w:rPr>
          <w:color w:val="auto"/>
          <w:sz w:val="22"/>
          <w:highlight w:val="none"/>
        </w:rPr>
      </w:pPr>
      <w:r>
        <w:rPr>
          <w:rFonts w:hint="eastAsia"/>
          <w:color w:val="auto"/>
          <w:sz w:val="22"/>
          <w:highlight w:val="none"/>
        </w:rPr>
        <w:t>         </w:t>
      </w:r>
    </w:p>
    <w:p w14:paraId="4C6D816B">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若对项目采购电子交易系统操作有疑问，可登录政采云（https://www.zcygov.cn/），点击右侧咨询小采，获取采小蜜智能服务管家帮助，或拨打政采云服务热线95763获取热线服务帮助。</w:t>
      </w:r>
      <w:r>
        <w:rPr>
          <w:rFonts w:hint="eastAsia" w:ascii="宋体" w:hAnsi="宋体" w:cs="宋体"/>
          <w:color w:val="auto"/>
          <w:kern w:val="0"/>
          <w:sz w:val="22"/>
          <w:highlight w:val="none"/>
          <w:lang w:bidi="ar"/>
        </w:rPr>
        <w:t>CA问题联系电话（人工）：汇信CA 400-888-4636；天谷CA 400-087-8198。</w:t>
      </w:r>
    </w:p>
    <w:p w14:paraId="3092DC63">
      <w:pPr>
        <w:pStyle w:val="26"/>
        <w:spacing w:before="60" w:beforeAutospacing="0" w:after="60" w:afterAutospacing="0" w:line="240" w:lineRule="atLeast"/>
        <w:rPr>
          <w:color w:val="auto"/>
          <w:sz w:val="22"/>
          <w:highlight w:val="none"/>
        </w:rPr>
      </w:pPr>
      <w:r>
        <w:rPr>
          <w:rFonts w:hint="eastAsia"/>
          <w:color w:val="auto"/>
          <w:sz w:val="22"/>
          <w:highlight w:val="none"/>
        </w:rPr>
        <w:t>     </w:t>
      </w:r>
      <w:r>
        <w:rPr>
          <w:rFonts w:hint="eastAsia"/>
          <w:color w:val="auto"/>
          <w:sz w:val="22"/>
          <w:highlight w:val="none"/>
        </w:rPr>
        <w:br w:type="textWrapping" w:clear="all"/>
      </w:r>
      <w:r>
        <w:rPr>
          <w:rFonts w:hint="eastAsia"/>
          <w:color w:val="auto"/>
          <w:sz w:val="22"/>
          <w:highlight w:val="none"/>
        </w:rPr>
        <w:t>         </w:t>
      </w:r>
    </w:p>
    <w:p w14:paraId="6A4F8C36">
      <w:pPr>
        <w:spacing w:line="360" w:lineRule="exact"/>
        <w:jc w:val="right"/>
        <w:rPr>
          <w:rFonts w:ascii="宋体" w:hAnsi="宋体" w:cs="宋体"/>
          <w:color w:val="auto"/>
          <w:sz w:val="22"/>
          <w:highlight w:val="none"/>
        </w:rPr>
      </w:pPr>
    </w:p>
    <w:p w14:paraId="244DC281">
      <w:pPr>
        <w:spacing w:line="360" w:lineRule="exact"/>
        <w:jc w:val="right"/>
        <w:rPr>
          <w:rFonts w:ascii="宋体" w:hAnsi="宋体" w:cs="宋体"/>
          <w:color w:val="auto"/>
          <w:sz w:val="22"/>
          <w:highlight w:val="none"/>
        </w:rPr>
      </w:pPr>
      <w:r>
        <w:rPr>
          <w:rFonts w:hint="eastAsia" w:ascii="宋体" w:hAnsi="宋体" w:cs="宋体"/>
          <w:color w:val="auto"/>
          <w:sz w:val="22"/>
          <w:highlight w:val="none"/>
        </w:rPr>
        <w:t>温州肯恩大学</w:t>
      </w:r>
    </w:p>
    <w:p w14:paraId="4EA705E2">
      <w:pPr>
        <w:spacing w:line="360" w:lineRule="exact"/>
        <w:jc w:val="right"/>
        <w:rPr>
          <w:rFonts w:ascii="宋体" w:hAnsi="宋体" w:cs="宋体"/>
          <w:color w:val="auto"/>
          <w:sz w:val="22"/>
          <w:highlight w:val="none"/>
        </w:rPr>
      </w:pPr>
      <w:r>
        <w:rPr>
          <w:rFonts w:hint="eastAsia" w:ascii="宋体" w:hAnsi="宋体" w:cs="宋体"/>
          <w:color w:val="auto"/>
          <w:sz w:val="22"/>
          <w:highlight w:val="none"/>
        </w:rPr>
        <w:t>浙江乐诚工程咨询有限公司</w:t>
      </w:r>
    </w:p>
    <w:p w14:paraId="143613FB">
      <w:pPr>
        <w:spacing w:line="360" w:lineRule="exact"/>
        <w:jc w:val="right"/>
        <w:rPr>
          <w:rFonts w:ascii="宋体" w:hAnsi="宋体" w:cs="宋体"/>
          <w:color w:val="auto"/>
          <w:sz w:val="22"/>
          <w:highlight w:val="none"/>
        </w:rPr>
      </w:pPr>
      <w:r>
        <w:rPr>
          <w:rFonts w:hint="eastAsia" w:ascii="宋体" w:hAnsi="宋体" w:cs="宋体"/>
          <w:color w:val="auto"/>
          <w:sz w:val="22"/>
          <w:highlight w:val="none"/>
        </w:rPr>
        <w:t>202</w:t>
      </w:r>
      <w:r>
        <w:rPr>
          <w:rFonts w:hint="eastAsia" w:ascii="宋体" w:hAnsi="宋体" w:cs="宋体"/>
          <w:color w:val="auto"/>
          <w:sz w:val="22"/>
          <w:highlight w:val="none"/>
          <w:lang w:val="en-US" w:eastAsia="zh-CN"/>
        </w:rPr>
        <w:t>5</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07</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18</w:t>
      </w:r>
      <w:r>
        <w:rPr>
          <w:rFonts w:hint="eastAsia" w:ascii="宋体" w:hAnsi="宋体" w:cs="宋体"/>
          <w:color w:val="auto"/>
          <w:sz w:val="22"/>
          <w:highlight w:val="none"/>
        </w:rPr>
        <w:t>日</w:t>
      </w:r>
    </w:p>
    <w:p w14:paraId="1AB81378">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br w:type="page"/>
      </w:r>
      <w:bookmarkStart w:id="1" w:name="_Toc24511"/>
      <w:r>
        <w:rPr>
          <w:rFonts w:hint="eastAsia" w:ascii="宋体" w:hAnsi="宋体" w:cs="宋体"/>
          <w:b/>
          <w:color w:val="auto"/>
          <w:sz w:val="32"/>
          <w:highlight w:val="none"/>
        </w:rPr>
        <w:t>第二部分 投标人须知</w:t>
      </w:r>
      <w:bookmarkEnd w:id="1"/>
    </w:p>
    <w:p w14:paraId="290AF7FA">
      <w:pPr>
        <w:spacing w:line="360" w:lineRule="exact"/>
        <w:jc w:val="center"/>
        <w:outlineLvl w:val="1"/>
        <w:rPr>
          <w:rFonts w:ascii="宋体" w:hAnsi="宋体" w:cs="宋体"/>
          <w:b/>
          <w:bCs/>
          <w:color w:val="auto"/>
          <w:sz w:val="28"/>
          <w:szCs w:val="28"/>
          <w:highlight w:val="none"/>
        </w:rPr>
      </w:pPr>
      <w:bookmarkStart w:id="2" w:name="_Toc20118"/>
      <w:r>
        <w:rPr>
          <w:rFonts w:hint="eastAsia" w:ascii="宋体" w:hAnsi="宋体" w:cs="宋体"/>
          <w:b/>
          <w:bCs/>
          <w:color w:val="auto"/>
          <w:sz w:val="28"/>
          <w:szCs w:val="28"/>
          <w:highlight w:val="none"/>
        </w:rPr>
        <w:t>投标人须知前附表</w:t>
      </w:r>
      <w:bookmarkEnd w:id="2"/>
    </w:p>
    <w:tbl>
      <w:tblPr>
        <w:tblStyle w:val="30"/>
        <w:tblW w:w="0" w:type="auto"/>
        <w:jc w:val="center"/>
        <w:tblLayout w:type="fixed"/>
        <w:tblCellMar>
          <w:top w:w="0" w:type="dxa"/>
          <w:left w:w="108" w:type="dxa"/>
          <w:bottom w:w="0" w:type="dxa"/>
          <w:right w:w="108" w:type="dxa"/>
        </w:tblCellMar>
      </w:tblPr>
      <w:tblGrid>
        <w:gridCol w:w="766"/>
        <w:gridCol w:w="1680"/>
        <w:gridCol w:w="7214"/>
      </w:tblGrid>
      <w:tr w14:paraId="17A01D62">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108822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7F1D3D1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7214" w:type="dxa"/>
            <w:tcBorders>
              <w:top w:val="single" w:color="auto" w:sz="4" w:space="0"/>
              <w:left w:val="single" w:color="auto" w:sz="4" w:space="0"/>
              <w:bottom w:val="single" w:color="auto" w:sz="4" w:space="0"/>
              <w:right w:val="single" w:color="auto" w:sz="4" w:space="0"/>
            </w:tcBorders>
            <w:vAlign w:val="center"/>
          </w:tcPr>
          <w:p w14:paraId="6AC1152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59E6F322">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8C1220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680" w:type="dxa"/>
            <w:tcBorders>
              <w:top w:val="single" w:color="auto" w:sz="4" w:space="0"/>
              <w:left w:val="single" w:color="auto" w:sz="4" w:space="0"/>
              <w:bottom w:val="single" w:color="auto" w:sz="4" w:space="0"/>
              <w:right w:val="single" w:color="auto" w:sz="4" w:space="0"/>
            </w:tcBorders>
            <w:vAlign w:val="center"/>
          </w:tcPr>
          <w:p w14:paraId="15FA5299">
            <w:pPr>
              <w:autoSpaceDE w:val="0"/>
              <w:autoSpaceDN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7214" w:type="dxa"/>
            <w:tcBorders>
              <w:top w:val="single" w:color="auto" w:sz="4" w:space="0"/>
              <w:left w:val="single" w:color="auto" w:sz="4" w:space="0"/>
              <w:bottom w:val="single" w:color="auto" w:sz="4" w:space="0"/>
              <w:right w:val="single" w:color="auto" w:sz="4" w:space="0"/>
            </w:tcBorders>
            <w:vAlign w:val="center"/>
          </w:tcPr>
          <w:p w14:paraId="7862B7F7">
            <w:pPr>
              <w:autoSpaceDE w:val="0"/>
              <w:autoSpaceDN w:val="0"/>
              <w:spacing w:line="360" w:lineRule="exact"/>
              <w:jc w:val="left"/>
              <w:rPr>
                <w:rFonts w:ascii="宋体" w:hAnsi="宋体" w:cs="宋体"/>
                <w:color w:val="auto"/>
                <w:sz w:val="22"/>
                <w:highlight w:val="none"/>
                <w:lang w:val="zh-CN"/>
              </w:rPr>
            </w:pPr>
            <w:r>
              <w:rPr>
                <w:rFonts w:hint="eastAsia" w:ascii="宋体" w:hAnsi="宋体" w:cs="宋体"/>
                <w:color w:val="auto"/>
                <w:kern w:val="0"/>
                <w:sz w:val="22"/>
                <w:highlight w:val="none"/>
                <w:lang w:val="zh-CN"/>
              </w:rPr>
              <w:t>温州肯恩大学</w:t>
            </w:r>
          </w:p>
        </w:tc>
      </w:tr>
      <w:tr w14:paraId="48FA5EC3">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8B934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680" w:type="dxa"/>
            <w:tcBorders>
              <w:top w:val="single" w:color="auto" w:sz="4" w:space="0"/>
              <w:left w:val="single" w:color="auto" w:sz="4" w:space="0"/>
              <w:bottom w:val="single" w:color="auto" w:sz="4" w:space="0"/>
              <w:right w:val="single" w:color="auto" w:sz="4" w:space="0"/>
            </w:tcBorders>
            <w:vAlign w:val="center"/>
          </w:tcPr>
          <w:p w14:paraId="0B3E355A">
            <w:pPr>
              <w:autoSpaceDE w:val="0"/>
              <w:autoSpaceDN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7214" w:type="dxa"/>
            <w:tcBorders>
              <w:top w:val="single" w:color="auto" w:sz="4" w:space="0"/>
              <w:left w:val="single" w:color="auto" w:sz="4" w:space="0"/>
              <w:bottom w:val="single" w:color="auto" w:sz="4" w:space="0"/>
              <w:right w:val="single" w:color="auto" w:sz="4" w:space="0"/>
            </w:tcBorders>
            <w:vAlign w:val="center"/>
          </w:tcPr>
          <w:p w14:paraId="6395C058">
            <w:pPr>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66EEEFCA">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55E35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680" w:type="dxa"/>
            <w:tcBorders>
              <w:top w:val="single" w:color="auto" w:sz="4" w:space="0"/>
              <w:left w:val="single" w:color="auto" w:sz="4" w:space="0"/>
              <w:bottom w:val="single" w:color="auto" w:sz="4" w:space="0"/>
              <w:right w:val="single" w:color="auto" w:sz="4" w:space="0"/>
            </w:tcBorders>
            <w:vAlign w:val="center"/>
          </w:tcPr>
          <w:p w14:paraId="68C79B2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项目名称</w:t>
            </w:r>
          </w:p>
        </w:tc>
        <w:tc>
          <w:tcPr>
            <w:tcW w:w="7214" w:type="dxa"/>
            <w:tcBorders>
              <w:top w:val="single" w:color="auto" w:sz="4" w:space="0"/>
              <w:left w:val="single" w:color="auto" w:sz="4" w:space="0"/>
              <w:bottom w:val="single" w:color="auto" w:sz="4" w:space="0"/>
              <w:right w:val="single" w:color="auto" w:sz="4" w:space="0"/>
            </w:tcBorders>
            <w:vAlign w:val="center"/>
          </w:tcPr>
          <w:p w14:paraId="75215FD9">
            <w:pPr>
              <w:autoSpaceDE w:val="0"/>
              <w:autoSpaceDN w:val="0"/>
              <w:spacing w:line="360" w:lineRule="exact"/>
              <w:rPr>
                <w:rFonts w:ascii="宋体" w:hAnsi="宋体" w:cs="宋体"/>
                <w:color w:val="auto"/>
                <w:sz w:val="22"/>
                <w:highlight w:val="none"/>
              </w:rPr>
            </w:pPr>
            <w:r>
              <w:rPr>
                <w:rFonts w:hint="eastAsia" w:ascii="宋体" w:hAnsi="宋体" w:cs="宋体"/>
                <w:color w:val="auto"/>
                <w:sz w:val="22"/>
                <w:highlight w:val="none"/>
                <w:lang w:eastAsia="zh-CN"/>
              </w:rPr>
              <w:t>温州肯恩大学2025年到2028年校园物业服务采购</w:t>
            </w:r>
            <w:r>
              <w:rPr>
                <w:rFonts w:hint="eastAsia" w:ascii="宋体" w:hAnsi="宋体" w:cs="宋体"/>
                <w:color w:val="auto"/>
                <w:sz w:val="22"/>
                <w:highlight w:val="none"/>
              </w:rPr>
              <w:t xml:space="preserve"> </w:t>
            </w:r>
          </w:p>
          <w:p w14:paraId="71BCA5B5">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项目编号：ZJYC2025020（GK)</w:t>
            </w:r>
          </w:p>
        </w:tc>
      </w:tr>
      <w:tr w14:paraId="0E63D75E">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B323D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680" w:type="dxa"/>
            <w:tcBorders>
              <w:top w:val="single" w:color="auto" w:sz="4" w:space="0"/>
              <w:left w:val="single" w:color="auto" w:sz="4" w:space="0"/>
              <w:bottom w:val="single" w:color="auto" w:sz="4" w:space="0"/>
              <w:right w:val="single" w:color="auto" w:sz="4" w:space="0"/>
            </w:tcBorders>
            <w:vAlign w:val="center"/>
          </w:tcPr>
          <w:p w14:paraId="2F03FC42">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lang w:val="zh-CN"/>
              </w:rPr>
              <w:t>预算金额</w:t>
            </w:r>
            <w:r>
              <w:rPr>
                <w:rFonts w:hint="eastAsia" w:ascii="宋体" w:hAnsi="宋体" w:cs="宋体"/>
                <w:color w:val="auto"/>
                <w:kern w:val="0"/>
                <w:sz w:val="22"/>
                <w:highlight w:val="none"/>
              </w:rPr>
              <w:t>及资金来源</w:t>
            </w:r>
          </w:p>
        </w:tc>
        <w:tc>
          <w:tcPr>
            <w:tcW w:w="7214" w:type="dxa"/>
            <w:tcBorders>
              <w:top w:val="single" w:color="auto" w:sz="4" w:space="0"/>
              <w:left w:val="single" w:color="auto" w:sz="4" w:space="0"/>
              <w:bottom w:val="single" w:color="auto" w:sz="4" w:space="0"/>
              <w:right w:val="single" w:color="auto" w:sz="4" w:space="0"/>
            </w:tcBorders>
            <w:vAlign w:val="center"/>
          </w:tcPr>
          <w:p w14:paraId="7B455D0F">
            <w:pPr>
              <w:spacing w:line="360" w:lineRule="exact"/>
              <w:rPr>
                <w:color w:val="auto"/>
                <w:highlight w:val="none"/>
                <w:lang w:val="zh-CN"/>
              </w:rPr>
            </w:pPr>
            <w:r>
              <w:rPr>
                <w:rFonts w:hint="eastAsia" w:ascii="宋体" w:hAnsi="宋体" w:cs="宋体"/>
                <w:color w:val="auto"/>
                <w:sz w:val="22"/>
                <w:highlight w:val="none"/>
              </w:rPr>
              <w:t>三年总预算金额：38000000.00元：第一年预算金额</w:t>
            </w:r>
            <w:r>
              <w:rPr>
                <w:rFonts w:hint="eastAsia" w:ascii="宋体" w:hAnsi="宋体" w:cs="宋体"/>
                <w:color w:val="auto"/>
                <w:spacing w:val="-6"/>
                <w:sz w:val="22"/>
                <w:highlight w:val="none"/>
              </w:rPr>
              <w:t>11800000.00</w:t>
            </w:r>
            <w:r>
              <w:rPr>
                <w:rFonts w:hint="eastAsia" w:ascii="宋体" w:hAnsi="宋体" w:cs="宋体"/>
                <w:color w:val="auto"/>
                <w:sz w:val="22"/>
                <w:highlight w:val="none"/>
              </w:rPr>
              <w:t>元；第二年预算金额</w:t>
            </w:r>
            <w:r>
              <w:rPr>
                <w:rFonts w:hint="eastAsia" w:ascii="宋体" w:hAnsi="宋体" w:cs="宋体"/>
                <w:color w:val="auto"/>
                <w:spacing w:val="-6"/>
                <w:sz w:val="22"/>
                <w:highlight w:val="none"/>
              </w:rPr>
              <w:t>12800000.00</w:t>
            </w:r>
            <w:r>
              <w:rPr>
                <w:rFonts w:hint="eastAsia" w:ascii="宋体" w:hAnsi="宋体" w:cs="宋体"/>
                <w:color w:val="auto"/>
                <w:sz w:val="22"/>
                <w:highlight w:val="none"/>
              </w:rPr>
              <w:t>元；第三年预算金额</w:t>
            </w:r>
            <w:r>
              <w:rPr>
                <w:rFonts w:hint="eastAsia" w:ascii="宋体" w:hAnsi="宋体" w:cs="宋体"/>
                <w:color w:val="auto"/>
                <w:spacing w:val="-6"/>
                <w:sz w:val="22"/>
                <w:highlight w:val="none"/>
              </w:rPr>
              <w:t>13400000.00</w:t>
            </w:r>
            <w:r>
              <w:rPr>
                <w:rFonts w:hint="eastAsia" w:ascii="宋体" w:hAnsi="宋体" w:cs="宋体"/>
                <w:color w:val="auto"/>
                <w:sz w:val="22"/>
                <w:highlight w:val="none"/>
              </w:rPr>
              <w:t>元。</w:t>
            </w:r>
          </w:p>
        </w:tc>
      </w:tr>
      <w:tr w14:paraId="1DF9EFDA">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289583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680" w:type="dxa"/>
            <w:tcBorders>
              <w:top w:val="single" w:color="auto" w:sz="4" w:space="0"/>
              <w:left w:val="single" w:color="auto" w:sz="4" w:space="0"/>
              <w:bottom w:val="single" w:color="auto" w:sz="4" w:space="0"/>
              <w:right w:val="single" w:color="auto" w:sz="4" w:space="0"/>
            </w:tcBorders>
            <w:vAlign w:val="center"/>
          </w:tcPr>
          <w:p w14:paraId="3506547E">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最高限价</w:t>
            </w:r>
          </w:p>
        </w:tc>
        <w:tc>
          <w:tcPr>
            <w:tcW w:w="7214" w:type="dxa"/>
            <w:tcBorders>
              <w:top w:val="single" w:color="auto" w:sz="4" w:space="0"/>
              <w:left w:val="single" w:color="auto" w:sz="4" w:space="0"/>
              <w:bottom w:val="single" w:color="auto" w:sz="4" w:space="0"/>
              <w:right w:val="single" w:color="auto" w:sz="4" w:space="0"/>
            </w:tcBorders>
            <w:vAlign w:val="center"/>
          </w:tcPr>
          <w:p w14:paraId="4CAE847B">
            <w:pPr>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14:paraId="0F1E00D5">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0D2C5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680" w:type="dxa"/>
            <w:tcBorders>
              <w:top w:val="single" w:color="auto" w:sz="4" w:space="0"/>
              <w:left w:val="single" w:color="auto" w:sz="4" w:space="0"/>
              <w:bottom w:val="single" w:color="auto" w:sz="4" w:space="0"/>
              <w:right w:val="single" w:color="auto" w:sz="4" w:space="0"/>
            </w:tcBorders>
            <w:vAlign w:val="center"/>
          </w:tcPr>
          <w:p w14:paraId="5ABEE32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7214" w:type="dxa"/>
            <w:tcBorders>
              <w:top w:val="single" w:color="auto" w:sz="4" w:space="0"/>
              <w:left w:val="single" w:color="auto" w:sz="4" w:space="0"/>
              <w:bottom w:val="single" w:color="auto" w:sz="4" w:space="0"/>
              <w:right w:val="single" w:color="auto" w:sz="4" w:space="0"/>
            </w:tcBorders>
            <w:vAlign w:val="center"/>
          </w:tcPr>
          <w:p w14:paraId="3A06BBF4">
            <w:pPr>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详见第五部分</w:t>
            </w:r>
          </w:p>
        </w:tc>
      </w:tr>
      <w:tr w14:paraId="74F99F90">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1E2BAF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680" w:type="dxa"/>
            <w:tcBorders>
              <w:top w:val="single" w:color="auto" w:sz="4" w:space="0"/>
              <w:left w:val="single" w:color="auto" w:sz="4" w:space="0"/>
              <w:bottom w:val="single" w:color="auto" w:sz="4" w:space="0"/>
              <w:right w:val="single" w:color="auto" w:sz="4" w:space="0"/>
            </w:tcBorders>
            <w:vAlign w:val="center"/>
          </w:tcPr>
          <w:p w14:paraId="419A8796">
            <w:pPr>
              <w:autoSpaceDE w:val="0"/>
              <w:autoSpaceDN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7214" w:type="dxa"/>
            <w:tcBorders>
              <w:top w:val="single" w:color="auto" w:sz="4" w:space="0"/>
              <w:left w:val="single" w:color="auto" w:sz="4" w:space="0"/>
              <w:bottom w:val="single" w:color="auto" w:sz="4" w:space="0"/>
              <w:right w:val="single" w:color="auto" w:sz="4" w:space="0"/>
            </w:tcBorders>
            <w:vAlign w:val="center"/>
          </w:tcPr>
          <w:p w14:paraId="18BB1D72">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79A33B11">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14:paraId="62BB187D">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5D2050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680" w:type="dxa"/>
            <w:tcBorders>
              <w:top w:val="single" w:color="auto" w:sz="4" w:space="0"/>
              <w:left w:val="single" w:color="auto" w:sz="4" w:space="0"/>
              <w:bottom w:val="single" w:color="auto" w:sz="4" w:space="0"/>
              <w:right w:val="single" w:color="auto" w:sz="4" w:space="0"/>
            </w:tcBorders>
            <w:vAlign w:val="center"/>
          </w:tcPr>
          <w:p w14:paraId="400C2B7F">
            <w:pPr>
              <w:autoSpaceDE w:val="0"/>
              <w:autoSpaceDN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7214" w:type="dxa"/>
            <w:tcBorders>
              <w:top w:val="single" w:color="auto" w:sz="4" w:space="0"/>
              <w:left w:val="single" w:color="auto" w:sz="4" w:space="0"/>
              <w:bottom w:val="single" w:color="auto" w:sz="4" w:space="0"/>
              <w:right w:val="single" w:color="auto" w:sz="4" w:space="0"/>
            </w:tcBorders>
            <w:vAlign w:val="center"/>
          </w:tcPr>
          <w:p w14:paraId="240D6CD2">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3D371D10">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22449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680" w:type="dxa"/>
            <w:tcBorders>
              <w:top w:val="single" w:color="auto" w:sz="4" w:space="0"/>
              <w:left w:val="single" w:color="auto" w:sz="4" w:space="0"/>
              <w:bottom w:val="single" w:color="auto" w:sz="4" w:space="0"/>
              <w:right w:val="single" w:color="auto" w:sz="4" w:space="0"/>
            </w:tcBorders>
            <w:vAlign w:val="center"/>
          </w:tcPr>
          <w:p w14:paraId="4A367C3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投标人资质格要求</w:t>
            </w:r>
          </w:p>
        </w:tc>
        <w:tc>
          <w:tcPr>
            <w:tcW w:w="7214" w:type="dxa"/>
            <w:tcBorders>
              <w:top w:val="single" w:color="auto" w:sz="4" w:space="0"/>
              <w:left w:val="single" w:color="auto" w:sz="4" w:space="0"/>
              <w:bottom w:val="single" w:color="auto" w:sz="4" w:space="0"/>
              <w:right w:val="single" w:color="auto" w:sz="4" w:space="0"/>
            </w:tcBorders>
            <w:vAlign w:val="center"/>
          </w:tcPr>
          <w:p w14:paraId="1F0416CE">
            <w:pPr>
              <w:autoSpaceDE w:val="0"/>
              <w:autoSpaceDN w:val="0"/>
              <w:spacing w:line="360" w:lineRule="exact"/>
              <w:rPr>
                <w:rFonts w:ascii="宋体" w:hAnsi="宋体" w:cs="宋体"/>
                <w:color w:val="auto"/>
                <w:kern w:val="0"/>
                <w:sz w:val="22"/>
                <w:highlight w:val="none"/>
              </w:rPr>
            </w:pPr>
            <w:r>
              <w:rPr>
                <w:rFonts w:hint="eastAsia" w:ascii="宋体" w:hAnsi="宋体" w:cs="宋体"/>
                <w:color w:val="auto"/>
                <w:sz w:val="22"/>
                <w:highlight w:val="none"/>
              </w:rPr>
              <w:t>详见公开招标公告</w:t>
            </w:r>
          </w:p>
        </w:tc>
      </w:tr>
      <w:tr w14:paraId="4076EC65">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7EAF9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680" w:type="dxa"/>
            <w:tcBorders>
              <w:top w:val="single" w:color="auto" w:sz="4" w:space="0"/>
              <w:left w:val="single" w:color="auto" w:sz="4" w:space="0"/>
              <w:bottom w:val="single" w:color="auto" w:sz="4" w:space="0"/>
              <w:right w:val="single" w:color="auto" w:sz="4" w:space="0"/>
            </w:tcBorders>
            <w:vAlign w:val="center"/>
          </w:tcPr>
          <w:p w14:paraId="2F93B5F4">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7214" w:type="dxa"/>
            <w:tcBorders>
              <w:top w:val="single" w:color="auto" w:sz="4" w:space="0"/>
              <w:left w:val="single" w:color="auto" w:sz="4" w:space="0"/>
              <w:bottom w:val="single" w:color="auto" w:sz="4" w:space="0"/>
              <w:right w:val="single" w:color="auto" w:sz="4" w:space="0"/>
            </w:tcBorders>
            <w:vAlign w:val="center"/>
          </w:tcPr>
          <w:p w14:paraId="7D113233">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接受，但必须满足以下条件：</w:t>
            </w:r>
          </w:p>
          <w:p w14:paraId="02FA104C">
            <w:pPr>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1.</w:t>
            </w:r>
            <w:r>
              <w:rPr>
                <w:rFonts w:hint="eastAsia" w:ascii="宋体" w:hAnsi="宋体" w:cs="宋体"/>
                <w:b/>
                <w:bCs/>
                <w:color w:val="auto"/>
                <w:sz w:val="22"/>
                <w:highlight w:val="none"/>
              </w:rPr>
              <w:t>两个以上的自然人、法人或者其他组织可以组成一个联合体，以一个供应商的身份共同参加政府采购。</w:t>
            </w:r>
          </w:p>
          <w:p w14:paraId="28F23933">
            <w:pPr>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67ED1DD">
            <w:pPr>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17BAE1A8">
            <w:pPr>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4.联合体中有同类资质的供应商按照联合体分工承担相同工作的，按照资质等级较低的供应商确定资质等级。</w:t>
            </w:r>
          </w:p>
          <w:p w14:paraId="492DDDA1">
            <w:pPr>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5.联合体各方指定其中一家企业为牵头人，由牵头人之法定代表人或其委托代理人为联合体授权代表执行联合体有关的决议，以联合体名义处理与本项目相关的事务。</w:t>
            </w:r>
          </w:p>
          <w:p w14:paraId="57FF50CB">
            <w:pPr>
              <w:spacing w:line="360" w:lineRule="exact"/>
              <w:jc w:val="lef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6.以联合体形式参加采购活动的，联合体各方不得再单独参加或者与其他供应商另外组成联合体参加同一合同项下的采购活动。</w:t>
            </w:r>
          </w:p>
          <w:p w14:paraId="2063A898">
            <w:pPr>
              <w:autoSpaceDE w:val="0"/>
              <w:autoSpaceDN w:val="0"/>
              <w:spacing w:line="360" w:lineRule="exact"/>
              <w:jc w:val="lef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7.投标文件中需要签章或签字的内容（资格文件等其他另有要求的除外）可只需加盖联合体牵头人有效电子签章或公章及联合体牵头人授权代表（或其法定代表人）签字或盖章。</w:t>
            </w:r>
          </w:p>
        </w:tc>
      </w:tr>
      <w:tr w14:paraId="06B861F2">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84C44A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680" w:type="dxa"/>
            <w:tcBorders>
              <w:top w:val="single" w:color="auto" w:sz="4" w:space="0"/>
              <w:left w:val="single" w:color="auto" w:sz="4" w:space="0"/>
              <w:bottom w:val="single" w:color="auto" w:sz="4" w:space="0"/>
              <w:right w:val="single" w:color="auto" w:sz="4" w:space="0"/>
            </w:tcBorders>
            <w:vAlign w:val="center"/>
          </w:tcPr>
          <w:p w14:paraId="780544D7">
            <w:pPr>
              <w:spacing w:line="360" w:lineRule="exact"/>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踏勘现场</w:t>
            </w:r>
          </w:p>
        </w:tc>
        <w:tc>
          <w:tcPr>
            <w:tcW w:w="7214" w:type="dxa"/>
            <w:tcBorders>
              <w:top w:val="single" w:color="auto" w:sz="4" w:space="0"/>
              <w:left w:val="single" w:color="auto" w:sz="4" w:space="0"/>
              <w:bottom w:val="single" w:color="auto" w:sz="4" w:space="0"/>
              <w:right w:val="single" w:color="auto" w:sz="4" w:space="0"/>
            </w:tcBorders>
            <w:vAlign w:val="center"/>
          </w:tcPr>
          <w:p w14:paraId="605C147E">
            <w:pPr>
              <w:autoSpaceDE w:val="0"/>
              <w:autoSpaceDN w:val="0"/>
              <w:spacing w:line="360" w:lineRule="exact"/>
              <w:rPr>
                <w:rFonts w:ascii="宋体" w:hAnsi="宋体" w:cs="宋体"/>
                <w:color w:val="auto"/>
                <w:kern w:val="0"/>
                <w:sz w:val="22"/>
                <w:highlight w:val="none"/>
                <w:lang w:val="zh-CN"/>
              </w:rPr>
            </w:pPr>
            <w:r>
              <w:rPr>
                <w:rFonts w:hint="eastAsia" w:ascii="宋体" w:hAnsi="宋体" w:cs="宋体"/>
                <w:b/>
                <w:bCs/>
                <w:color w:val="auto"/>
                <w:kern w:val="0"/>
                <w:sz w:val="22"/>
                <w:highlight w:val="none"/>
                <w:lang w:val="zh-CN"/>
              </w:rPr>
              <w:t>不</w:t>
            </w:r>
            <w:r>
              <w:rPr>
                <w:rFonts w:hint="eastAsia" w:ascii="宋体" w:hAnsi="宋体" w:cs="宋体"/>
                <w:b/>
                <w:bCs/>
                <w:color w:val="auto"/>
                <w:kern w:val="0"/>
                <w:sz w:val="22"/>
                <w:highlight w:val="none"/>
              </w:rPr>
              <w:t>统一组织，</w:t>
            </w:r>
            <w:r>
              <w:rPr>
                <w:rFonts w:hint="eastAsia" w:ascii="宋体" w:hAnsi="宋体" w:cs="宋体"/>
                <w:b/>
                <w:bCs/>
                <w:snapToGrid w:val="0"/>
                <w:color w:val="auto"/>
                <w:sz w:val="22"/>
                <w:highlight w:val="none"/>
              </w:rPr>
              <w:t>如有需要</w:t>
            </w:r>
            <w:r>
              <w:rPr>
                <w:rFonts w:hint="eastAsia" w:ascii="宋体" w:hAnsi="宋体" w:cs="宋体"/>
                <w:b/>
                <w:bCs/>
                <w:snapToGrid w:val="0"/>
                <w:color w:val="auto"/>
                <w:sz w:val="22"/>
                <w:highlight w:val="none"/>
                <w:lang w:val="zh-CN"/>
              </w:rPr>
              <w:t>投标人自行前往项目现场进行踏勘（校方</w:t>
            </w:r>
            <w:r>
              <w:rPr>
                <w:rFonts w:hint="eastAsia" w:ascii="宋体" w:hAnsi="宋体" w:cs="宋体"/>
                <w:b/>
                <w:bCs/>
                <w:snapToGrid w:val="0"/>
                <w:color w:val="auto"/>
                <w:sz w:val="22"/>
                <w:highlight w:val="none"/>
              </w:rPr>
              <w:t>联系人：王老师，联系电话：0577-55870272</w:t>
            </w:r>
            <w:r>
              <w:rPr>
                <w:rFonts w:hint="eastAsia" w:ascii="宋体" w:hAnsi="宋体" w:cs="宋体"/>
                <w:b/>
                <w:bCs/>
                <w:snapToGrid w:val="0"/>
                <w:color w:val="auto"/>
                <w:sz w:val="22"/>
                <w:highlight w:val="none"/>
                <w:lang w:val="zh-CN"/>
              </w:rPr>
              <w:t>），</w:t>
            </w:r>
            <w:r>
              <w:rPr>
                <w:rFonts w:hint="eastAsia" w:ascii="宋体" w:hAnsi="宋体" w:cs="宋体"/>
                <w:b/>
                <w:bCs/>
                <w:snapToGrid w:val="0"/>
                <w:color w:val="auto"/>
                <w:sz w:val="22"/>
                <w:highlight w:val="none"/>
              </w:rPr>
              <w:t>投标人</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投标人</w:t>
            </w:r>
            <w:r>
              <w:rPr>
                <w:rFonts w:hint="eastAsia" w:ascii="宋体" w:hAnsi="宋体" w:cs="宋体"/>
                <w:b/>
                <w:bCs/>
                <w:snapToGrid w:val="0"/>
                <w:color w:val="auto"/>
                <w:sz w:val="22"/>
                <w:highlight w:val="none"/>
                <w:lang w:val="zh-CN"/>
              </w:rPr>
              <w:t>自行承担。因投标人自身不能参加现场勘察或现场踏勘不全面的，投标人不得因此提出修改投标报价或提出索赔等要求。</w:t>
            </w:r>
          </w:p>
        </w:tc>
      </w:tr>
      <w:tr w14:paraId="434E5700">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58080C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680" w:type="dxa"/>
            <w:tcBorders>
              <w:top w:val="single" w:color="auto" w:sz="4" w:space="0"/>
              <w:left w:val="single" w:color="auto" w:sz="4" w:space="0"/>
              <w:bottom w:val="single" w:color="auto" w:sz="4" w:space="0"/>
              <w:right w:val="single" w:color="auto" w:sz="4" w:space="0"/>
            </w:tcBorders>
            <w:vAlign w:val="center"/>
          </w:tcPr>
          <w:p w14:paraId="751CBEE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7214" w:type="dxa"/>
            <w:tcBorders>
              <w:top w:val="single" w:color="auto" w:sz="4" w:space="0"/>
              <w:left w:val="single" w:color="auto" w:sz="4" w:space="0"/>
              <w:bottom w:val="single" w:color="auto" w:sz="4" w:space="0"/>
              <w:right w:val="single" w:color="auto" w:sz="4" w:space="0"/>
            </w:tcBorders>
            <w:vAlign w:val="center"/>
          </w:tcPr>
          <w:p w14:paraId="1BA728B0">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204F0E36">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3586CA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680" w:type="dxa"/>
            <w:tcBorders>
              <w:top w:val="single" w:color="auto" w:sz="4" w:space="0"/>
              <w:left w:val="single" w:color="auto" w:sz="4" w:space="0"/>
              <w:bottom w:val="single" w:color="auto" w:sz="4" w:space="0"/>
              <w:right w:val="single" w:color="auto" w:sz="4" w:space="0"/>
            </w:tcBorders>
            <w:vAlign w:val="center"/>
          </w:tcPr>
          <w:p w14:paraId="61F01A2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7214" w:type="dxa"/>
            <w:tcBorders>
              <w:top w:val="single" w:color="auto" w:sz="4" w:space="0"/>
              <w:left w:val="single" w:color="auto" w:sz="4" w:space="0"/>
              <w:bottom w:val="single" w:color="auto" w:sz="4" w:space="0"/>
              <w:right w:val="single" w:color="auto" w:sz="4" w:space="0"/>
            </w:tcBorders>
            <w:vAlign w:val="center"/>
          </w:tcPr>
          <w:p w14:paraId="7036921C">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本项目不允许转包</w:t>
            </w:r>
          </w:p>
          <w:p w14:paraId="16A1BC2A">
            <w:pPr>
              <w:autoSpaceDE w:val="0"/>
              <w:autoSpaceDN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2.分包</w:t>
            </w:r>
          </w:p>
          <w:p w14:paraId="161EEEC7">
            <w:pPr>
              <w:autoSpaceDE w:val="0"/>
              <w:autoSpaceDN w:val="0"/>
              <w:spacing w:line="360" w:lineRule="exact"/>
              <w:rPr>
                <w:rFonts w:ascii="宋体" w:hAnsi="宋体" w:cs="宋体"/>
                <w:color w:val="auto"/>
                <w:sz w:val="22"/>
                <w:highlight w:val="none"/>
              </w:rPr>
            </w:pPr>
            <w:r>
              <w:rPr>
                <w:rFonts w:hint="eastAsia" w:ascii="宋体" w:hAnsi="宋体" w:cs="宋体"/>
                <w:color w:val="auto"/>
                <w:sz w:val="22"/>
                <w:highlight w:val="none"/>
              </w:rPr>
              <w:t>2.1本项目允许分包的（非主体、非关键性的工作）具体内容为：垃圾清运；外墙清洗专项；化粪池、隔油池清疏及雨污水管道疏通；学校水箱和开水机维护服务；设施设备维修。具体分包内容和分包单位在实施前报采购人确认。</w:t>
            </w:r>
          </w:p>
          <w:p w14:paraId="6140B0A6">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2.2</w:t>
            </w:r>
            <w:r>
              <w:rPr>
                <w:rFonts w:hint="eastAsia" w:ascii="宋体" w:hAnsi="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501CBDA9">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2.3</w:t>
            </w:r>
            <w:r>
              <w:rPr>
                <w:rFonts w:hint="eastAsia" w:ascii="宋体" w:hAnsi="宋体" w:cs="宋体"/>
                <w:color w:val="auto"/>
                <w:kern w:val="0"/>
                <w:sz w:val="22"/>
                <w:highlight w:val="none"/>
                <w:lang w:val="zh-CN"/>
              </w:rPr>
              <w:t>依据政府采购促进中小企业发展管理办法规定享受扶持政策获得政府采购合同的，小微企业不得将合同分包给大中型企业，中型企业不得将合同分包给大型企业。</w:t>
            </w:r>
          </w:p>
        </w:tc>
      </w:tr>
      <w:tr w14:paraId="38742F3C">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6B658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680" w:type="dxa"/>
            <w:tcBorders>
              <w:top w:val="single" w:color="auto" w:sz="4" w:space="0"/>
              <w:left w:val="single" w:color="auto" w:sz="4" w:space="0"/>
              <w:bottom w:val="single" w:color="auto" w:sz="4" w:space="0"/>
              <w:right w:val="single" w:color="auto" w:sz="4" w:space="0"/>
            </w:tcBorders>
            <w:vAlign w:val="center"/>
          </w:tcPr>
          <w:p w14:paraId="70C7C20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7214" w:type="dxa"/>
            <w:tcBorders>
              <w:top w:val="single" w:color="auto" w:sz="4" w:space="0"/>
              <w:left w:val="single" w:color="auto" w:sz="4" w:space="0"/>
              <w:bottom w:val="single" w:color="auto" w:sz="4" w:space="0"/>
              <w:right w:val="single" w:color="auto" w:sz="4" w:space="0"/>
            </w:tcBorders>
            <w:vAlign w:val="center"/>
          </w:tcPr>
          <w:p w14:paraId="7DE1F52B">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偏差程度由评审小组判断，细微偏差要求投标人在评标结束前予以澄清、说明或补正，不接受要求的，评审小组有权做投标无效处理。详见评标办法。</w:t>
            </w:r>
          </w:p>
        </w:tc>
      </w:tr>
      <w:tr w14:paraId="75170A35">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8CDAA6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680" w:type="dxa"/>
            <w:tcBorders>
              <w:top w:val="single" w:color="auto" w:sz="4" w:space="0"/>
              <w:left w:val="single" w:color="auto" w:sz="4" w:space="0"/>
              <w:bottom w:val="single" w:color="auto" w:sz="4" w:space="0"/>
              <w:right w:val="single" w:color="auto" w:sz="4" w:space="0"/>
            </w:tcBorders>
            <w:vAlign w:val="center"/>
          </w:tcPr>
          <w:p w14:paraId="607CFE1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7214" w:type="dxa"/>
            <w:tcBorders>
              <w:top w:val="single" w:color="auto" w:sz="4" w:space="0"/>
              <w:left w:val="single" w:color="auto" w:sz="4" w:space="0"/>
              <w:bottom w:val="single" w:color="auto" w:sz="4" w:space="0"/>
              <w:right w:val="single" w:color="auto" w:sz="4" w:space="0"/>
            </w:tcBorders>
            <w:vAlign w:val="center"/>
          </w:tcPr>
          <w:p w14:paraId="140C7385">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32BD58BC">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9A957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680" w:type="dxa"/>
            <w:tcBorders>
              <w:top w:val="single" w:color="auto" w:sz="4" w:space="0"/>
              <w:left w:val="single" w:color="auto" w:sz="4" w:space="0"/>
              <w:bottom w:val="single" w:color="auto" w:sz="4" w:space="0"/>
              <w:right w:val="single" w:color="auto" w:sz="4" w:space="0"/>
            </w:tcBorders>
            <w:vAlign w:val="center"/>
          </w:tcPr>
          <w:p w14:paraId="4947803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7214" w:type="dxa"/>
            <w:tcBorders>
              <w:top w:val="single" w:color="auto" w:sz="4" w:space="0"/>
              <w:left w:val="single" w:color="auto" w:sz="4" w:space="0"/>
              <w:bottom w:val="single" w:color="auto" w:sz="4" w:space="0"/>
              <w:right w:val="single" w:color="auto" w:sz="4" w:space="0"/>
            </w:tcBorders>
            <w:vAlign w:val="center"/>
          </w:tcPr>
          <w:p w14:paraId="38CDE981">
            <w:pPr>
              <w:autoSpaceDE w:val="0"/>
              <w:autoSpaceDN w:val="0"/>
              <w:spacing w:line="360" w:lineRule="exact"/>
              <w:rPr>
                <w:rFonts w:ascii="宋体" w:hAnsi="宋体" w:cs="宋体"/>
                <w:color w:val="auto"/>
                <w:kern w:val="0"/>
                <w:sz w:val="22"/>
                <w:highlight w:val="none"/>
              </w:rPr>
            </w:pPr>
            <w:r>
              <w:rPr>
                <w:rFonts w:hint="eastAsia" w:ascii="宋体" w:hAnsi="宋体" w:cs="宋体"/>
                <w:color w:val="auto"/>
                <w:sz w:val="22"/>
                <w:highlight w:val="none"/>
              </w:rPr>
              <w:t>无</w:t>
            </w:r>
          </w:p>
        </w:tc>
      </w:tr>
      <w:tr w14:paraId="2AD5EBF4">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25ADE8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680" w:type="dxa"/>
            <w:tcBorders>
              <w:top w:val="single" w:color="auto" w:sz="4" w:space="0"/>
              <w:left w:val="single" w:color="auto" w:sz="4" w:space="0"/>
              <w:bottom w:val="single" w:color="auto" w:sz="4" w:space="0"/>
              <w:right w:val="single" w:color="auto" w:sz="4" w:space="0"/>
            </w:tcBorders>
            <w:vAlign w:val="center"/>
          </w:tcPr>
          <w:p w14:paraId="2646BF83">
            <w:pPr>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7214" w:type="dxa"/>
            <w:tcBorders>
              <w:top w:val="single" w:color="auto" w:sz="4" w:space="0"/>
              <w:left w:val="single" w:color="auto" w:sz="4" w:space="0"/>
              <w:bottom w:val="single" w:color="auto" w:sz="4" w:space="0"/>
              <w:right w:val="single" w:color="auto" w:sz="4" w:space="0"/>
            </w:tcBorders>
            <w:vAlign w:val="center"/>
          </w:tcPr>
          <w:p w14:paraId="50539977">
            <w:pPr>
              <w:pStyle w:val="14"/>
              <w:overflowPunct/>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57847E08">
            <w:pPr>
              <w:pStyle w:val="14"/>
              <w:overflowPunct/>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79FF5EA9">
            <w:pPr>
              <w:pStyle w:val="14"/>
              <w:overflowPunct/>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55C2C919">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3"/>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3"/>
                <w:rFonts w:hint="eastAsia" w:ascii="宋体" w:hAnsi="宋体" w:cs="宋体"/>
                <w:bCs/>
                <w:color w:val="auto"/>
                <w:sz w:val="22"/>
                <w:highlight w:val="none"/>
              </w:rPr>
              <w:t>。</w:t>
            </w:r>
          </w:p>
          <w:p w14:paraId="6A9CCE96">
            <w:pPr>
              <w:pStyle w:val="14"/>
              <w:overflowPunct/>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68D964BD">
            <w:pPr>
              <w:pStyle w:val="14"/>
              <w:overflowPunct/>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注：中标人在领取中标通知书时按采购人要求提供全套纸质投标文件叁份。</w:t>
            </w:r>
          </w:p>
        </w:tc>
      </w:tr>
      <w:tr w14:paraId="1A284EA9">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BC7CCC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680" w:type="dxa"/>
            <w:tcBorders>
              <w:top w:val="single" w:color="auto" w:sz="4" w:space="0"/>
              <w:left w:val="single" w:color="auto" w:sz="4" w:space="0"/>
              <w:bottom w:val="single" w:color="auto" w:sz="4" w:space="0"/>
              <w:right w:val="single" w:color="auto" w:sz="4" w:space="0"/>
            </w:tcBorders>
            <w:vAlign w:val="center"/>
          </w:tcPr>
          <w:p w14:paraId="2715A07A">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7214" w:type="dxa"/>
            <w:tcBorders>
              <w:top w:val="single" w:color="auto" w:sz="4" w:space="0"/>
              <w:left w:val="single" w:color="auto" w:sz="4" w:space="0"/>
              <w:bottom w:val="single" w:color="auto" w:sz="4" w:space="0"/>
              <w:right w:val="single" w:color="auto" w:sz="4" w:space="0"/>
            </w:tcBorders>
            <w:vAlign w:val="center"/>
          </w:tcPr>
          <w:p w14:paraId="46E9209A">
            <w:pPr>
              <w:spacing w:line="360" w:lineRule="exact"/>
              <w:rPr>
                <w:rFonts w:hint="eastAsia" w:ascii="宋体" w:hAnsi="宋体" w:eastAsia="宋体" w:cs="宋体"/>
                <w:b/>
                <w:bCs/>
                <w:color w:val="auto"/>
                <w:sz w:val="22"/>
                <w:highlight w:val="none"/>
                <w:lang w:eastAsia="zh-CN"/>
              </w:rPr>
            </w:pPr>
            <w:r>
              <w:rPr>
                <w:rFonts w:hint="eastAsia" w:ascii="宋体" w:hAnsi="宋体" w:eastAsia="宋体" w:cs="宋体"/>
                <w:b/>
                <w:bCs/>
                <w:color w:val="auto"/>
                <w:w w:val="100"/>
                <w:sz w:val="22"/>
                <w:szCs w:val="22"/>
                <w:highlight w:val="none"/>
              </w:rPr>
              <w:t>本项目采用政采云电子招投标开标及评审程序，遇以下特殊情形的，按以下方式处理</w:t>
            </w:r>
            <w:r>
              <w:rPr>
                <w:rFonts w:hint="eastAsia" w:ascii="宋体" w:hAnsi="宋体" w:eastAsia="宋体" w:cs="宋体"/>
                <w:b/>
                <w:bCs/>
                <w:color w:val="auto"/>
                <w:w w:val="100"/>
                <w:sz w:val="22"/>
                <w:szCs w:val="22"/>
                <w:highlight w:val="none"/>
                <w:lang w:eastAsia="zh-CN"/>
              </w:rPr>
              <w:t>：</w:t>
            </w:r>
          </w:p>
          <w:p w14:paraId="077F50D3">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7A50C983">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66C98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680" w:type="dxa"/>
            <w:tcBorders>
              <w:top w:val="single" w:color="auto" w:sz="4" w:space="0"/>
              <w:left w:val="single" w:color="auto" w:sz="4" w:space="0"/>
              <w:bottom w:val="single" w:color="auto" w:sz="4" w:space="0"/>
              <w:right w:val="single" w:color="auto" w:sz="4" w:space="0"/>
            </w:tcBorders>
            <w:vAlign w:val="center"/>
          </w:tcPr>
          <w:p w14:paraId="3FDE471A">
            <w:pPr>
              <w:jc w:val="center"/>
              <w:rPr>
                <w:rFonts w:ascii="宋体" w:hAnsi="宋体" w:cs="宋体"/>
                <w:color w:val="auto"/>
                <w:kern w:val="0"/>
                <w:sz w:val="22"/>
                <w:highlight w:val="none"/>
              </w:rPr>
            </w:pPr>
            <w:r>
              <w:rPr>
                <w:rFonts w:hint="eastAsia" w:ascii="宋体" w:hAnsi="宋体" w:cs="宋体"/>
                <w:b/>
                <w:bCs/>
                <w:color w:val="auto"/>
                <w:sz w:val="22"/>
                <w:highlight w:val="none"/>
              </w:rPr>
              <w:t>投标委托</w:t>
            </w:r>
          </w:p>
        </w:tc>
        <w:tc>
          <w:tcPr>
            <w:tcW w:w="7214" w:type="dxa"/>
            <w:tcBorders>
              <w:top w:val="single" w:color="auto" w:sz="4" w:space="0"/>
              <w:left w:val="single" w:color="auto" w:sz="4" w:space="0"/>
              <w:bottom w:val="single" w:color="auto" w:sz="4" w:space="0"/>
              <w:right w:val="single" w:color="auto" w:sz="4" w:space="0"/>
            </w:tcBorders>
            <w:vAlign w:val="center"/>
          </w:tcPr>
          <w:p w14:paraId="33D4A43F">
            <w:pPr>
              <w:spacing w:line="36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▲1.投标委托（适用于非联合体投标）：</w:t>
            </w:r>
          </w:p>
          <w:p w14:paraId="20E4C586">
            <w:pPr>
              <w:spacing w:line="36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1.1投标人代表是法定代表人（单位负责人、自然人本人）的，提供法定代表人资格证明书（格式见招标文件第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w:t>
            </w:r>
          </w:p>
          <w:p w14:paraId="6C1301CD">
            <w:pPr>
              <w:spacing w:line="36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1.2投标人代表不是法定代表人（单位负责人、自然人本人）的，</w:t>
            </w:r>
            <w:r>
              <w:rPr>
                <w:rFonts w:hint="eastAsia" w:ascii="宋体" w:hAnsi="宋体" w:cs="宋体"/>
                <w:b/>
                <w:bCs/>
                <w:color w:val="auto"/>
                <w:kern w:val="0"/>
                <w:sz w:val="22"/>
                <w:highlight w:val="none"/>
                <w:u w:val="single"/>
              </w:rPr>
              <w:t>投标人授权代表必须为投标人本单位在职职工，</w:t>
            </w:r>
            <w:r>
              <w:rPr>
                <w:rFonts w:hint="eastAsia" w:ascii="宋体" w:hAnsi="宋体" w:cs="宋体"/>
                <w:b/>
                <w:bCs/>
                <w:color w:val="auto"/>
                <w:sz w:val="22"/>
                <w:highlight w:val="none"/>
                <w:u w:val="single"/>
              </w:rPr>
              <w:t>提供授权委托书（格式见招标文件第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部分）和授权代表社保缴纳证明（2025年01月01日（含）至本项目投标文件提交截止时间止任意一月）</w:t>
            </w:r>
            <w:r>
              <w:rPr>
                <w:rFonts w:hint="eastAsia" w:ascii="宋体" w:hAnsi="宋体" w:cs="宋体"/>
                <w:b/>
                <w:bCs/>
                <w:color w:val="auto"/>
                <w:kern w:val="0"/>
                <w:sz w:val="22"/>
                <w:highlight w:val="none"/>
                <w:u w:val="single"/>
              </w:rPr>
              <w:t>或有效的劳务合同复印件</w:t>
            </w:r>
            <w:r>
              <w:rPr>
                <w:rFonts w:hint="eastAsia" w:ascii="宋体" w:hAnsi="宋体" w:cs="宋体"/>
                <w:b/>
                <w:bCs/>
                <w:color w:val="auto"/>
                <w:sz w:val="22"/>
                <w:highlight w:val="none"/>
                <w:u w:val="single"/>
              </w:rPr>
              <w:t>。</w:t>
            </w:r>
          </w:p>
          <w:p w14:paraId="7EE19B2B">
            <w:pPr>
              <w:spacing w:line="36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2.投标委托（适用于联合体投标）：</w:t>
            </w:r>
          </w:p>
          <w:p w14:paraId="1966A6D2">
            <w:pPr>
              <w:spacing w:line="36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2.1投标人代表是联合体牵头人法定代表人（单位负责人、自然人本人）的，提供授权委托书（格式见招标文件第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w:t>
            </w:r>
          </w:p>
          <w:p w14:paraId="2AE2FB24">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u w:val="single"/>
              </w:rPr>
              <w:t>2.2投标人代表不是联合体牵头人法定代表人（单位负责人、自然人本人）的，</w:t>
            </w:r>
            <w:r>
              <w:rPr>
                <w:rFonts w:hint="eastAsia" w:ascii="宋体" w:hAnsi="宋体" w:cs="宋体"/>
                <w:b/>
                <w:bCs/>
                <w:color w:val="auto"/>
                <w:kern w:val="0"/>
                <w:sz w:val="22"/>
                <w:highlight w:val="none"/>
                <w:u w:val="single"/>
              </w:rPr>
              <w:t>投标人授权代表必须为联合体牵头人本单位在职职工，</w:t>
            </w:r>
            <w:r>
              <w:rPr>
                <w:rFonts w:hint="eastAsia" w:ascii="宋体" w:hAnsi="宋体" w:cs="宋体"/>
                <w:b/>
                <w:bCs/>
                <w:color w:val="auto"/>
                <w:sz w:val="22"/>
                <w:highlight w:val="none"/>
                <w:u w:val="single"/>
              </w:rPr>
              <w:t>提供授权委托书（格式见招标文件第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部分）和授权代表社保缴纳证明（2025年01月01日（含）至本项目投标文件提交截止时间止任意一月）</w:t>
            </w:r>
            <w:r>
              <w:rPr>
                <w:rFonts w:hint="eastAsia" w:ascii="宋体" w:hAnsi="宋体" w:cs="宋体"/>
                <w:b/>
                <w:bCs/>
                <w:color w:val="auto"/>
                <w:kern w:val="0"/>
                <w:sz w:val="22"/>
                <w:highlight w:val="none"/>
                <w:u w:val="single"/>
              </w:rPr>
              <w:t>或有效的劳务合同复印件。</w:t>
            </w:r>
          </w:p>
        </w:tc>
      </w:tr>
      <w:tr w14:paraId="675F4C7D">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3B588B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680" w:type="dxa"/>
            <w:tcBorders>
              <w:top w:val="single" w:color="auto" w:sz="4" w:space="0"/>
              <w:left w:val="single" w:color="auto" w:sz="4" w:space="0"/>
              <w:bottom w:val="single" w:color="auto" w:sz="4" w:space="0"/>
              <w:right w:val="single" w:color="auto" w:sz="4" w:space="0"/>
            </w:tcBorders>
            <w:vAlign w:val="center"/>
          </w:tcPr>
          <w:p w14:paraId="6E996E8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7214" w:type="dxa"/>
            <w:tcBorders>
              <w:top w:val="single" w:color="auto" w:sz="4" w:space="0"/>
              <w:left w:val="single" w:color="auto" w:sz="4" w:space="0"/>
              <w:bottom w:val="single" w:color="auto" w:sz="4" w:space="0"/>
              <w:right w:val="single" w:color="auto" w:sz="4" w:space="0"/>
            </w:tcBorders>
            <w:vAlign w:val="center"/>
          </w:tcPr>
          <w:p w14:paraId="142549E1">
            <w:pPr>
              <w:autoSpaceDE w:val="0"/>
              <w:autoSpaceDN w:val="0"/>
              <w:spacing w:line="360" w:lineRule="exact"/>
              <w:ind w:firstLine="31"/>
              <w:rPr>
                <w:rFonts w:ascii="宋体" w:hAnsi="宋体" w:cs="宋体"/>
                <w:color w:val="auto"/>
                <w:sz w:val="22"/>
                <w:highlight w:val="none"/>
              </w:rPr>
            </w:pPr>
            <w:r>
              <w:rPr>
                <w:rFonts w:hint="eastAsia" w:ascii="宋体" w:hAnsi="宋体" w:cs="宋体"/>
                <w:color w:val="auto"/>
                <w:kern w:val="0"/>
                <w:sz w:val="22"/>
                <w:highlight w:val="none"/>
                <w:lang w:val="zh-CN"/>
              </w:rPr>
              <w:t>评审小组成员</w:t>
            </w:r>
            <w:r>
              <w:rPr>
                <w:rFonts w:hint="eastAsia" w:ascii="宋体" w:hAnsi="宋体" w:eastAsia="宋体" w:cs="宋体"/>
                <w:color w:val="auto"/>
                <w:w w:val="100"/>
                <w:kern w:val="0"/>
                <w:sz w:val="22"/>
                <w:szCs w:val="22"/>
                <w:highlight w:val="none"/>
                <w:lang w:val="zh-CN"/>
              </w:rPr>
              <w:t>由采购人代表和评审专家组成，成员人数应当为</w:t>
            </w:r>
            <w:r>
              <w:rPr>
                <w:rFonts w:hint="eastAsia" w:ascii="宋体" w:hAnsi="宋体" w:cs="宋体"/>
                <w:color w:val="auto"/>
                <w:w w:val="100"/>
                <w:kern w:val="0"/>
                <w:sz w:val="22"/>
                <w:szCs w:val="22"/>
                <w:highlight w:val="none"/>
                <w:lang w:val="en-US" w:eastAsia="zh-CN"/>
              </w:rPr>
              <w:t>7</w:t>
            </w:r>
            <w:bookmarkStart w:id="37" w:name="_GoBack"/>
            <w:bookmarkEnd w:id="37"/>
            <w:r>
              <w:rPr>
                <w:rFonts w:hint="eastAsia" w:ascii="宋体" w:hAnsi="宋体" w:eastAsia="宋体" w:cs="宋体"/>
                <w:color w:val="auto"/>
                <w:w w:val="100"/>
                <w:kern w:val="0"/>
                <w:sz w:val="22"/>
                <w:szCs w:val="22"/>
                <w:highlight w:val="none"/>
                <w:lang w:val="zh-CN"/>
              </w:rPr>
              <w:t>人以上单数，其中评审专家不得少于成员总数的三分之二</w:t>
            </w:r>
          </w:p>
        </w:tc>
      </w:tr>
      <w:tr w14:paraId="5034EEC0">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0D4A2B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680" w:type="dxa"/>
            <w:tcBorders>
              <w:top w:val="single" w:color="auto" w:sz="4" w:space="0"/>
              <w:left w:val="single" w:color="auto" w:sz="4" w:space="0"/>
              <w:bottom w:val="single" w:color="auto" w:sz="4" w:space="0"/>
              <w:right w:val="single" w:color="auto" w:sz="4" w:space="0"/>
            </w:tcBorders>
            <w:vAlign w:val="center"/>
          </w:tcPr>
          <w:p w14:paraId="75410F0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7214" w:type="dxa"/>
            <w:tcBorders>
              <w:top w:val="single" w:color="auto" w:sz="4" w:space="0"/>
              <w:left w:val="single" w:color="auto" w:sz="4" w:space="0"/>
              <w:bottom w:val="single" w:color="auto" w:sz="4" w:space="0"/>
              <w:right w:val="single" w:color="auto" w:sz="4" w:space="0"/>
            </w:tcBorders>
            <w:vAlign w:val="center"/>
          </w:tcPr>
          <w:p w14:paraId="09CCE78F">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浙江乐诚工程咨询有限公司评审室（温州市瓯海区三垟街道桥头河大桥温州生命健康小镇B03）</w:t>
            </w:r>
          </w:p>
        </w:tc>
      </w:tr>
      <w:tr w14:paraId="040DC820">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A0FA45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680" w:type="dxa"/>
            <w:tcBorders>
              <w:top w:val="single" w:color="auto" w:sz="4" w:space="0"/>
              <w:left w:val="single" w:color="auto" w:sz="4" w:space="0"/>
              <w:bottom w:val="single" w:color="auto" w:sz="4" w:space="0"/>
              <w:right w:val="single" w:color="auto" w:sz="4" w:space="0"/>
            </w:tcBorders>
            <w:vAlign w:val="center"/>
          </w:tcPr>
          <w:p w14:paraId="1D22D512">
            <w:pPr>
              <w:jc w:val="center"/>
              <w:rPr>
                <w:rFonts w:ascii="宋体" w:hAnsi="宋体" w:cs="宋体"/>
                <w:b/>
                <w:color w:val="auto"/>
                <w:sz w:val="22"/>
                <w:highlight w:val="none"/>
              </w:rPr>
            </w:pPr>
            <w:r>
              <w:rPr>
                <w:rFonts w:hint="eastAsia" w:ascii="宋体" w:hAnsi="宋体" w:cs="宋体"/>
                <w:b/>
                <w:color w:val="auto"/>
                <w:sz w:val="22"/>
                <w:highlight w:val="none"/>
              </w:rPr>
              <w:t>项目属性与核心产品</w:t>
            </w:r>
          </w:p>
        </w:tc>
        <w:tc>
          <w:tcPr>
            <w:tcW w:w="7214" w:type="dxa"/>
            <w:tcBorders>
              <w:top w:val="single" w:color="auto" w:sz="4" w:space="0"/>
              <w:left w:val="single" w:color="auto" w:sz="4" w:space="0"/>
              <w:bottom w:val="single" w:color="auto" w:sz="4" w:space="0"/>
              <w:right w:val="single" w:color="auto" w:sz="4" w:space="0"/>
            </w:tcBorders>
            <w:vAlign w:val="center"/>
          </w:tcPr>
          <w:p w14:paraId="285EE2AB">
            <w:pPr>
              <w:spacing w:line="360" w:lineRule="exact"/>
              <w:rPr>
                <w:rFonts w:ascii="宋体" w:hAnsi="宋体" w:cs="宋体"/>
                <w:color w:val="auto"/>
                <w:sz w:val="22"/>
                <w:highlight w:val="none"/>
              </w:rPr>
            </w:pPr>
            <w:r>
              <w:rPr>
                <w:rFonts w:hint="eastAsia" w:ascii="宋体" w:hAnsi="宋体" w:cs="宋体"/>
                <w:b/>
                <w:bCs/>
                <w:color w:val="auto"/>
                <w:kern w:val="0"/>
                <w:sz w:val="22"/>
                <w:highlight w:val="none"/>
              </w:rPr>
              <w:t>服务类</w:t>
            </w:r>
          </w:p>
        </w:tc>
      </w:tr>
      <w:tr w14:paraId="4965A890">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77EF40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680" w:type="dxa"/>
            <w:tcBorders>
              <w:top w:val="single" w:color="auto" w:sz="4" w:space="0"/>
              <w:left w:val="single" w:color="auto" w:sz="4" w:space="0"/>
              <w:bottom w:val="single" w:color="auto" w:sz="4" w:space="0"/>
              <w:right w:val="single" w:color="auto" w:sz="4" w:space="0"/>
            </w:tcBorders>
            <w:vAlign w:val="center"/>
          </w:tcPr>
          <w:p w14:paraId="3016181F">
            <w:pPr>
              <w:spacing w:line="360" w:lineRule="exact"/>
              <w:jc w:val="center"/>
              <w:rPr>
                <w:rFonts w:ascii="宋体" w:hAnsi="宋体" w:cs="宋体"/>
                <w:b/>
                <w:bCs/>
                <w:snapToGrid w:val="0"/>
                <w:color w:val="auto"/>
                <w:sz w:val="22"/>
                <w:highlight w:val="none"/>
              </w:rPr>
            </w:pPr>
            <w:r>
              <w:rPr>
                <w:rFonts w:hint="eastAsia" w:ascii="宋体" w:hAnsi="宋体" w:cs="宋体"/>
                <w:snapToGrid w:val="0"/>
                <w:color w:val="auto"/>
                <w:sz w:val="22"/>
                <w:highlight w:val="none"/>
              </w:rPr>
              <w:t>中小企业预留份额情况</w:t>
            </w:r>
          </w:p>
        </w:tc>
        <w:tc>
          <w:tcPr>
            <w:tcW w:w="7214" w:type="dxa"/>
            <w:tcBorders>
              <w:top w:val="single" w:color="auto" w:sz="4" w:space="0"/>
              <w:left w:val="single" w:color="auto" w:sz="4" w:space="0"/>
              <w:bottom w:val="single" w:color="auto" w:sz="4" w:space="0"/>
              <w:right w:val="single" w:color="auto" w:sz="4" w:space="0"/>
            </w:tcBorders>
            <w:vAlign w:val="center"/>
          </w:tcPr>
          <w:p w14:paraId="6FDEF6A8">
            <w:pPr>
              <w:autoSpaceDE w:val="0"/>
              <w:autoSpaceDN w:val="0"/>
              <w:spacing w:line="360" w:lineRule="exact"/>
              <w:rPr>
                <w:rFonts w:ascii="宋体" w:hAnsi="宋体" w:cs="宋体"/>
                <w:b/>
                <w:bCs/>
                <w:snapToGrid w:val="0"/>
                <w:color w:val="auto"/>
                <w:sz w:val="22"/>
                <w:highlight w:val="none"/>
                <w:lang w:val="zh-CN"/>
              </w:rPr>
            </w:pPr>
            <w:r>
              <w:rPr>
                <w:rFonts w:hint="eastAsia" w:ascii="宋体" w:hAnsi="宋体" w:cs="宋体"/>
                <w:b/>
                <w:color w:val="auto"/>
                <w:sz w:val="22"/>
                <w:highlight w:val="none"/>
              </w:rPr>
              <w:t>根据《政府采购促进中小企业发展管理办法》财库〔2020〕46号文件的规定，本项目不属于预留份额专门面向中小企业采购的项目，执行价格评审优惠的扶持政策。</w:t>
            </w:r>
          </w:p>
        </w:tc>
      </w:tr>
      <w:tr w14:paraId="696C861F">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C2F165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680" w:type="dxa"/>
            <w:tcBorders>
              <w:top w:val="single" w:color="auto" w:sz="4" w:space="0"/>
              <w:left w:val="single" w:color="auto" w:sz="4" w:space="0"/>
              <w:bottom w:val="single" w:color="auto" w:sz="4" w:space="0"/>
              <w:right w:val="single" w:color="auto" w:sz="4" w:space="0"/>
            </w:tcBorders>
            <w:vAlign w:val="center"/>
          </w:tcPr>
          <w:p w14:paraId="345A7A6B">
            <w:pPr>
              <w:spacing w:line="360" w:lineRule="exact"/>
              <w:jc w:val="center"/>
              <w:rPr>
                <w:rFonts w:ascii="宋体" w:hAnsi="宋体" w:cs="宋体"/>
                <w:snapToGrid w:val="0"/>
                <w:color w:val="auto"/>
                <w:sz w:val="22"/>
                <w:highlight w:val="none"/>
              </w:rPr>
            </w:pPr>
            <w:r>
              <w:rPr>
                <w:rFonts w:hint="eastAsia" w:ascii="宋体" w:hAnsi="宋体" w:cs="宋体"/>
                <w:b/>
                <w:bCs/>
                <w:color w:val="auto"/>
                <w:sz w:val="22"/>
                <w:highlight w:val="none"/>
              </w:rPr>
              <w:t>采购标的名称及其对应的中小企业划分标准所属行业</w:t>
            </w:r>
          </w:p>
        </w:tc>
        <w:tc>
          <w:tcPr>
            <w:tcW w:w="7214" w:type="dxa"/>
            <w:tcBorders>
              <w:top w:val="single" w:color="auto" w:sz="4" w:space="0"/>
              <w:left w:val="single" w:color="auto" w:sz="4" w:space="0"/>
              <w:bottom w:val="single" w:color="auto" w:sz="4" w:space="0"/>
              <w:right w:val="single" w:color="auto" w:sz="4" w:space="0"/>
            </w:tcBorders>
            <w:vAlign w:val="center"/>
          </w:tcPr>
          <w:p w14:paraId="376BB350">
            <w:pPr>
              <w:autoSpaceDE w:val="0"/>
              <w:autoSpaceDN w:val="0"/>
              <w:spacing w:line="360" w:lineRule="exact"/>
              <w:rPr>
                <w:rFonts w:hint="eastAsia" w:ascii="宋体" w:hAnsi="宋体" w:eastAsia="宋体" w:cs="宋体"/>
                <w:color w:val="auto"/>
                <w:kern w:val="0"/>
                <w:sz w:val="22"/>
                <w:highlight w:val="none"/>
                <w:u w:val="single"/>
                <w:lang w:eastAsia="zh-CN"/>
              </w:rPr>
            </w:pPr>
            <w:r>
              <w:rPr>
                <w:rFonts w:hint="eastAsia" w:ascii="宋体" w:hAnsi="宋体" w:cs="宋体"/>
                <w:b/>
                <w:bCs/>
                <w:color w:val="auto"/>
                <w:sz w:val="22"/>
                <w:highlight w:val="none"/>
              </w:rPr>
              <w:t>1.标的名称</w:t>
            </w:r>
            <w:r>
              <w:rPr>
                <w:rFonts w:hint="eastAsia" w:ascii="宋体" w:hAnsi="宋体" w:cs="宋体"/>
                <w:color w:val="auto"/>
                <w:sz w:val="22"/>
                <w:highlight w:val="none"/>
              </w:rPr>
              <w:t>：</w:t>
            </w:r>
            <w:r>
              <w:rPr>
                <w:rFonts w:hint="eastAsia" w:ascii="宋体" w:hAnsi="宋体" w:cs="宋体"/>
                <w:b/>
                <w:bCs/>
                <w:color w:val="auto"/>
                <w:sz w:val="22"/>
                <w:highlight w:val="none"/>
                <w:u w:val="single"/>
                <w:lang w:eastAsia="zh-CN"/>
              </w:rPr>
              <w:t>温州肯恩大学2025年到2028年校园物业服务采购</w:t>
            </w:r>
          </w:p>
          <w:p w14:paraId="5D062EEF">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2.中小企业划分标准所属行业（具体根据《中小企业划型标准规定》执行）</w:t>
            </w:r>
          </w:p>
          <w:p w14:paraId="0A0F2A63">
            <w:pPr>
              <w:widowControl/>
              <w:spacing w:line="360" w:lineRule="exact"/>
              <w:jc w:val="left"/>
              <w:rPr>
                <w:rFonts w:ascii="宋体" w:hAnsi="宋体" w:cs="宋体"/>
                <w:color w:val="auto"/>
                <w:sz w:val="22"/>
                <w:highlight w:val="none"/>
              </w:rPr>
            </w:pPr>
            <w:r>
              <w:rPr>
                <w:rFonts w:hint="eastAsia" w:ascii="宋体" w:hAnsi="宋体" w:cs="宋体"/>
                <w:b/>
                <w:bCs/>
                <w:color w:val="auto"/>
                <w:sz w:val="22"/>
                <w:highlight w:val="none"/>
              </w:rPr>
              <w:t>所属行业：物业管理</w:t>
            </w:r>
            <w:r>
              <w:rPr>
                <w:rFonts w:hint="eastAsia" w:ascii="宋体" w:hAnsi="宋体" w:cs="宋体"/>
                <w:color w:val="auto"/>
                <w:sz w:val="22"/>
                <w:highlight w:val="none"/>
              </w:rPr>
              <w:t xml:space="preserve">。 </w:t>
            </w:r>
          </w:p>
          <w:p w14:paraId="58C0B738">
            <w:pPr>
              <w:widowControl/>
              <w:spacing w:line="360" w:lineRule="exact"/>
              <w:jc w:val="left"/>
              <w:rPr>
                <w:rFonts w:ascii="宋体" w:hAnsi="宋体" w:cs="宋体"/>
                <w:color w:val="auto"/>
                <w:sz w:val="22"/>
                <w:highlight w:val="none"/>
                <w:lang w:val="zh-CN"/>
              </w:rPr>
            </w:pPr>
            <w:r>
              <w:rPr>
                <w:rFonts w:hint="eastAsia" w:ascii="宋体" w:hAnsi="宋体" w:cs="宋体"/>
                <w:color w:val="auto"/>
                <w:sz w:val="22"/>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90B1F6E">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894E4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680" w:type="dxa"/>
            <w:tcBorders>
              <w:top w:val="single" w:color="auto" w:sz="4" w:space="0"/>
              <w:left w:val="single" w:color="auto" w:sz="4" w:space="0"/>
              <w:bottom w:val="single" w:color="auto" w:sz="4" w:space="0"/>
              <w:right w:val="single" w:color="auto" w:sz="4" w:space="0"/>
            </w:tcBorders>
            <w:vAlign w:val="center"/>
          </w:tcPr>
          <w:p w14:paraId="6B33EFCF">
            <w:pPr>
              <w:autoSpaceDE w:val="0"/>
              <w:autoSpaceDN w:val="0"/>
              <w:spacing w:line="360" w:lineRule="exact"/>
              <w:ind w:firstLine="31"/>
              <w:jc w:val="center"/>
              <w:rPr>
                <w:rFonts w:ascii="宋体" w:hAnsi="宋体" w:cs="宋体"/>
                <w:b/>
                <w:bCs/>
                <w:color w:val="auto"/>
                <w:sz w:val="22"/>
                <w:highlight w:val="none"/>
              </w:rPr>
            </w:pPr>
            <w:r>
              <w:rPr>
                <w:rFonts w:hint="eastAsia" w:ascii="宋体" w:hAnsi="宋体" w:cs="宋体"/>
                <w:b/>
                <w:bCs/>
                <w:color w:val="auto"/>
                <w:sz w:val="22"/>
                <w:highlight w:val="none"/>
                <w:lang w:val="zh-CN"/>
              </w:rPr>
              <w:t>是否允许采购进口产品</w:t>
            </w:r>
          </w:p>
        </w:tc>
        <w:tc>
          <w:tcPr>
            <w:tcW w:w="7214" w:type="dxa"/>
            <w:tcBorders>
              <w:top w:val="single" w:color="auto" w:sz="4" w:space="0"/>
              <w:left w:val="single" w:color="auto" w:sz="4" w:space="0"/>
              <w:bottom w:val="single" w:color="auto" w:sz="4" w:space="0"/>
              <w:right w:val="single" w:color="auto" w:sz="4" w:space="0"/>
            </w:tcBorders>
            <w:vAlign w:val="center"/>
          </w:tcPr>
          <w:p w14:paraId="63B7ECB5">
            <w:pPr>
              <w:spacing w:line="360" w:lineRule="exact"/>
              <w:jc w:val="left"/>
              <w:rPr>
                <w:rFonts w:ascii="宋体" w:hAnsi="宋体" w:cs="宋体"/>
                <w:snapToGrid w:val="0"/>
                <w:color w:val="auto"/>
                <w:sz w:val="22"/>
                <w:highlight w:val="none"/>
                <w:lang w:val="zh-CN"/>
              </w:rPr>
            </w:pPr>
            <w:r>
              <w:rPr>
                <w:rFonts w:hint="eastAsia" w:ascii="宋体" w:hAnsi="宋体" w:cs="宋体"/>
                <w:snapToGrid w:val="0"/>
                <w:color w:val="auto"/>
                <w:sz w:val="22"/>
                <w:highlight w:val="none"/>
              </w:rPr>
              <w:t>本项目不允许采购进口产品</w:t>
            </w:r>
          </w:p>
        </w:tc>
      </w:tr>
      <w:tr w14:paraId="4A7BFA62">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0B947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26</w:t>
            </w:r>
          </w:p>
        </w:tc>
        <w:tc>
          <w:tcPr>
            <w:tcW w:w="1680" w:type="dxa"/>
            <w:tcBorders>
              <w:top w:val="single" w:color="auto" w:sz="4" w:space="0"/>
              <w:left w:val="single" w:color="auto" w:sz="4" w:space="0"/>
              <w:bottom w:val="single" w:color="auto" w:sz="4" w:space="0"/>
              <w:right w:val="single" w:color="auto" w:sz="4" w:space="0"/>
            </w:tcBorders>
            <w:vAlign w:val="center"/>
          </w:tcPr>
          <w:p w14:paraId="7EA1D0A7">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7214" w:type="dxa"/>
            <w:tcBorders>
              <w:top w:val="single" w:color="auto" w:sz="4" w:space="0"/>
              <w:left w:val="single" w:color="auto" w:sz="4" w:space="0"/>
              <w:bottom w:val="single" w:color="auto" w:sz="4" w:space="0"/>
              <w:right w:val="single" w:color="auto" w:sz="4" w:space="0"/>
            </w:tcBorders>
            <w:vAlign w:val="center"/>
          </w:tcPr>
          <w:p w14:paraId="5E02B1D7">
            <w:pPr>
              <w:autoSpaceDE w:val="0"/>
              <w:autoSpaceDN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综合评分法，详见第六部分  评标原则及方法。</w:t>
            </w:r>
          </w:p>
        </w:tc>
      </w:tr>
      <w:tr w14:paraId="54D20FF2">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523AA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27</w:t>
            </w:r>
          </w:p>
        </w:tc>
        <w:tc>
          <w:tcPr>
            <w:tcW w:w="1680" w:type="dxa"/>
            <w:tcBorders>
              <w:top w:val="single" w:color="auto" w:sz="4" w:space="0"/>
              <w:left w:val="single" w:color="auto" w:sz="4" w:space="0"/>
              <w:bottom w:val="single" w:color="auto" w:sz="4" w:space="0"/>
              <w:right w:val="single" w:color="auto" w:sz="4" w:space="0"/>
            </w:tcBorders>
            <w:vAlign w:val="center"/>
          </w:tcPr>
          <w:p w14:paraId="30156C1D">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7214" w:type="dxa"/>
            <w:tcBorders>
              <w:top w:val="single" w:color="auto" w:sz="4" w:space="0"/>
              <w:left w:val="single" w:color="auto" w:sz="4" w:space="0"/>
              <w:bottom w:val="single" w:color="auto" w:sz="4" w:space="0"/>
              <w:right w:val="single" w:color="auto" w:sz="4" w:space="0"/>
            </w:tcBorders>
            <w:vAlign w:val="center"/>
          </w:tcPr>
          <w:p w14:paraId="580FE7AC">
            <w:pPr>
              <w:autoSpaceDE w:val="0"/>
              <w:autoSpaceDN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6CBE6D23">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E07D8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28</w:t>
            </w:r>
          </w:p>
        </w:tc>
        <w:tc>
          <w:tcPr>
            <w:tcW w:w="1680" w:type="dxa"/>
            <w:tcBorders>
              <w:top w:val="single" w:color="auto" w:sz="4" w:space="0"/>
              <w:left w:val="single" w:color="auto" w:sz="4" w:space="0"/>
              <w:bottom w:val="single" w:color="auto" w:sz="4" w:space="0"/>
              <w:right w:val="single" w:color="auto" w:sz="4" w:space="0"/>
            </w:tcBorders>
            <w:vAlign w:val="center"/>
          </w:tcPr>
          <w:p w14:paraId="78F443BB">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合同签订</w:t>
            </w:r>
          </w:p>
        </w:tc>
        <w:tc>
          <w:tcPr>
            <w:tcW w:w="7214" w:type="dxa"/>
            <w:tcBorders>
              <w:top w:val="single" w:color="auto" w:sz="4" w:space="0"/>
              <w:left w:val="single" w:color="auto" w:sz="4" w:space="0"/>
              <w:bottom w:val="single" w:color="auto" w:sz="4" w:space="0"/>
              <w:right w:val="single" w:color="auto" w:sz="4" w:space="0"/>
            </w:tcBorders>
            <w:vAlign w:val="center"/>
          </w:tcPr>
          <w:p w14:paraId="2C20ED51">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14:paraId="39857535">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B3A574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29</w:t>
            </w:r>
          </w:p>
        </w:tc>
        <w:tc>
          <w:tcPr>
            <w:tcW w:w="1680" w:type="dxa"/>
            <w:tcBorders>
              <w:top w:val="single" w:color="auto" w:sz="4" w:space="0"/>
              <w:left w:val="single" w:color="auto" w:sz="4" w:space="0"/>
              <w:bottom w:val="single" w:color="auto" w:sz="4" w:space="0"/>
              <w:right w:val="single" w:color="auto" w:sz="4" w:space="0"/>
            </w:tcBorders>
            <w:vAlign w:val="center"/>
          </w:tcPr>
          <w:p w14:paraId="5FB459B2">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214" w:type="dxa"/>
            <w:tcBorders>
              <w:top w:val="single" w:color="auto" w:sz="4" w:space="0"/>
              <w:left w:val="single" w:color="auto" w:sz="4" w:space="0"/>
              <w:bottom w:val="single" w:color="auto" w:sz="4" w:space="0"/>
              <w:right w:val="single" w:color="auto" w:sz="4" w:space="0"/>
            </w:tcBorders>
            <w:vAlign w:val="center"/>
          </w:tcPr>
          <w:p w14:paraId="7B6B7941">
            <w:pPr>
              <w:spacing w:line="360" w:lineRule="exact"/>
              <w:rPr>
                <w:rFonts w:ascii="宋体" w:hAnsi="宋体" w:cs="宋体"/>
                <w:color w:val="auto"/>
                <w:sz w:val="22"/>
                <w:highlight w:val="none"/>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7D6F4FC3">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21F5A2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30</w:t>
            </w:r>
          </w:p>
        </w:tc>
        <w:tc>
          <w:tcPr>
            <w:tcW w:w="1680" w:type="dxa"/>
            <w:tcBorders>
              <w:top w:val="single" w:color="auto" w:sz="4" w:space="0"/>
              <w:left w:val="single" w:color="auto" w:sz="4" w:space="0"/>
              <w:bottom w:val="single" w:color="auto" w:sz="4" w:space="0"/>
              <w:right w:val="single" w:color="auto" w:sz="4" w:space="0"/>
            </w:tcBorders>
            <w:vAlign w:val="center"/>
          </w:tcPr>
          <w:p w14:paraId="66908209">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w:t>
            </w:r>
          </w:p>
        </w:tc>
        <w:tc>
          <w:tcPr>
            <w:tcW w:w="7214" w:type="dxa"/>
            <w:tcBorders>
              <w:top w:val="single" w:color="auto" w:sz="4" w:space="0"/>
              <w:left w:val="single" w:color="auto" w:sz="4" w:space="0"/>
              <w:bottom w:val="single" w:color="auto" w:sz="4" w:space="0"/>
              <w:right w:val="single" w:color="auto" w:sz="4" w:space="0"/>
            </w:tcBorders>
            <w:vAlign w:val="center"/>
          </w:tcPr>
          <w:p w14:paraId="1DF7FC6B">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1.公开招标公告属于本招标文件的一部分</w:t>
            </w:r>
          </w:p>
          <w:p w14:paraId="50E940AF">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2.电子评标注意事项：</w:t>
            </w:r>
          </w:p>
          <w:p w14:paraId="0565FDF5">
            <w:pPr>
              <w:pStyle w:val="26"/>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20BF8B49">
            <w:pPr>
              <w:pStyle w:val="26"/>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307AB459">
            <w:pPr>
              <w:pStyle w:val="26"/>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2E6C583C">
            <w:pPr>
              <w:pStyle w:val="26"/>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2138EF1D">
            <w:pPr>
              <w:pStyle w:val="26"/>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2.5投标人可通过浙江省“电子交易/不见面开评标”学习专题提前进行专题学习，熟悉操作，避免影响采购活动（https://edu.zcygov.cn/luban/e-biding）。</w:t>
            </w:r>
          </w:p>
          <w:p w14:paraId="7E7C5A10">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2195DB15">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109FDF18">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3A82D2DB">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437A327A">
            <w:pPr>
              <w:spacing w:line="360" w:lineRule="exact"/>
              <w:rPr>
                <w:rFonts w:ascii="宋体" w:hAnsi="宋体" w:cs="宋体"/>
                <w:color w:val="auto"/>
                <w:sz w:val="22"/>
                <w:highlight w:val="none"/>
              </w:rPr>
            </w:pPr>
            <w:r>
              <w:rPr>
                <w:rFonts w:hint="eastAsia" w:ascii="宋体" w:hAnsi="宋体" w:cs="宋体"/>
                <w:b/>
                <w:color w:val="auto"/>
                <w:sz w:val="22"/>
                <w:highlight w:val="none"/>
              </w:rPr>
              <w:t>7.投标截止时间同</w:t>
            </w:r>
            <w:r>
              <w:rPr>
                <w:rStyle w:val="33"/>
                <w:rFonts w:hint="eastAsia" w:ascii="宋体" w:hAnsi="宋体" w:cs="宋体"/>
                <w:color w:val="auto"/>
                <w:sz w:val="22"/>
                <w:highlight w:val="none"/>
              </w:rPr>
              <w:t>提交投标文件截止时间。</w:t>
            </w:r>
          </w:p>
          <w:p w14:paraId="4A41BD2C">
            <w:pPr>
              <w:spacing w:line="360" w:lineRule="exact"/>
              <w:rPr>
                <w:rFonts w:ascii="宋体" w:hAnsi="宋体" w:cs="宋体"/>
                <w:color w:val="auto"/>
                <w:sz w:val="22"/>
                <w:highlight w:val="none"/>
              </w:rPr>
            </w:pPr>
            <w:r>
              <w:rPr>
                <w:rStyle w:val="33"/>
                <w:rFonts w:hint="eastAsia" w:ascii="宋体" w:hAnsi="宋体" w:cs="宋体"/>
                <w:color w:val="auto"/>
                <w:sz w:val="22"/>
                <w:highlight w:val="none"/>
              </w:rPr>
              <w:t>8.</w:t>
            </w:r>
            <w:r>
              <w:rPr>
                <w:rFonts w:hint="eastAsia" w:ascii="宋体" w:hAnsi="宋体" w:cs="宋体"/>
                <w:b/>
                <w:bCs/>
                <w:color w:val="auto"/>
                <w:sz w:val="22"/>
                <w:highlight w:val="none"/>
              </w:rPr>
              <w:t>客户端填写的内容与以pdf格式上传文件中不一致的，应以Pdf格式上传文件中的内容为准。</w:t>
            </w:r>
          </w:p>
        </w:tc>
      </w:tr>
      <w:tr w14:paraId="36FB4719">
        <w:tblPrEx>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9F220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31</w:t>
            </w:r>
          </w:p>
        </w:tc>
        <w:tc>
          <w:tcPr>
            <w:tcW w:w="1680" w:type="dxa"/>
            <w:tcBorders>
              <w:top w:val="single" w:color="auto" w:sz="4" w:space="0"/>
              <w:left w:val="single" w:color="auto" w:sz="4" w:space="0"/>
              <w:bottom w:val="single" w:color="auto" w:sz="4" w:space="0"/>
              <w:right w:val="single" w:color="auto" w:sz="4" w:space="0"/>
            </w:tcBorders>
            <w:vAlign w:val="center"/>
          </w:tcPr>
          <w:p w14:paraId="4CE414EC">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现场述标</w:t>
            </w:r>
          </w:p>
        </w:tc>
        <w:tc>
          <w:tcPr>
            <w:tcW w:w="7214" w:type="dxa"/>
            <w:tcBorders>
              <w:top w:val="single" w:color="auto" w:sz="4" w:space="0"/>
              <w:left w:val="single" w:color="auto" w:sz="4" w:space="0"/>
              <w:bottom w:val="single" w:color="auto" w:sz="4" w:space="0"/>
              <w:right w:val="single" w:color="auto" w:sz="4" w:space="0"/>
            </w:tcBorders>
            <w:vAlign w:val="center"/>
          </w:tcPr>
          <w:p w14:paraId="451D6C66">
            <w:pPr>
              <w:pStyle w:val="11"/>
              <w:spacing w:line="360" w:lineRule="exact"/>
              <w:ind w:left="442" w:hanging="442"/>
              <w:rPr>
                <w:rFonts w:hint="eastAsia" w:ascii="宋体" w:hAnsi="宋体" w:cs="宋体"/>
                <w:b/>
                <w:bCs/>
                <w:color w:val="auto"/>
                <w:sz w:val="22"/>
                <w:highlight w:val="none"/>
              </w:rPr>
            </w:pPr>
            <w:r>
              <w:rPr>
                <w:rFonts w:hint="eastAsia" w:ascii="宋体" w:hAnsi="宋体" w:cs="宋体"/>
                <w:b/>
                <w:bCs/>
                <w:color w:val="auto"/>
                <w:sz w:val="22"/>
                <w:highlight w:val="none"/>
              </w:rPr>
              <w:t>1)述标形式：投标人针对招标文件述标要求提供具体内容（如PPT等展示内容）。</w:t>
            </w:r>
          </w:p>
          <w:p w14:paraId="2ABC3071">
            <w:pPr>
              <w:pStyle w:val="11"/>
              <w:spacing w:line="360" w:lineRule="exact"/>
              <w:ind w:left="442" w:hanging="442"/>
              <w:rPr>
                <w:rFonts w:hint="eastAsia" w:ascii="宋体" w:hAnsi="宋体" w:cs="宋体"/>
                <w:b/>
                <w:bCs/>
                <w:color w:val="auto"/>
                <w:sz w:val="22"/>
                <w:highlight w:val="none"/>
              </w:rPr>
            </w:pPr>
            <w:r>
              <w:rPr>
                <w:rFonts w:hint="eastAsia" w:ascii="宋体" w:hAnsi="宋体" w:cs="宋体"/>
                <w:b/>
                <w:bCs/>
                <w:color w:val="auto"/>
                <w:sz w:val="22"/>
                <w:highlight w:val="none"/>
              </w:rPr>
              <w:t>2) 提交方式：由述标人自行准备U盘带入评审现场（无法播放自行负责）。</w:t>
            </w:r>
          </w:p>
          <w:p w14:paraId="3CEED731">
            <w:pPr>
              <w:rPr>
                <w:rFonts w:ascii="宋体" w:hAnsi="宋体" w:cs="宋体"/>
                <w:b/>
                <w:bCs/>
                <w:color w:val="auto"/>
                <w:sz w:val="22"/>
                <w:highlight w:val="none"/>
              </w:rPr>
            </w:pPr>
            <w:r>
              <w:rPr>
                <w:rFonts w:hint="eastAsia" w:ascii="宋体" w:hAnsi="宋体" w:cs="宋体"/>
                <w:b/>
                <w:bCs/>
                <w:color w:val="auto"/>
                <w:sz w:val="22"/>
                <w:highlight w:val="none"/>
              </w:rPr>
              <w:t>3）述标顺序按各投标人投标文件解密的先后顺序进行。</w:t>
            </w:r>
          </w:p>
          <w:p w14:paraId="795B6D53">
            <w:pPr>
              <w:rPr>
                <w:rFonts w:ascii="宋体" w:hAnsi="宋体" w:cs="宋体"/>
                <w:b/>
                <w:bCs/>
                <w:color w:val="auto"/>
                <w:sz w:val="22"/>
                <w:highlight w:val="none"/>
              </w:rPr>
            </w:pPr>
            <w:r>
              <w:rPr>
                <w:rFonts w:hint="eastAsia" w:ascii="宋体" w:hAnsi="宋体" w:cs="宋体"/>
                <w:b/>
                <w:bCs/>
                <w:color w:val="auto"/>
                <w:sz w:val="22"/>
                <w:highlight w:val="none"/>
              </w:rPr>
              <w:t>4）现场述标签到地点：浙江乐诚工程咨询有限公司评审室（温州市瓯海区三垟街道桥头河大桥温州生命健康小镇B03)。</w:t>
            </w:r>
          </w:p>
          <w:p w14:paraId="592E156D">
            <w:pPr>
              <w:rPr>
                <w:rFonts w:ascii="宋体" w:hAnsi="宋体" w:cs="宋体"/>
                <w:b/>
                <w:bCs/>
                <w:color w:val="auto"/>
                <w:sz w:val="22"/>
                <w:highlight w:val="none"/>
              </w:rPr>
            </w:pPr>
            <w:r>
              <w:rPr>
                <w:rFonts w:hint="eastAsia" w:ascii="宋体" w:hAnsi="宋体" w:cs="宋体"/>
                <w:b/>
                <w:bCs/>
                <w:color w:val="auto"/>
                <w:sz w:val="22"/>
                <w:highlight w:val="none"/>
              </w:rPr>
              <w:t>5) 现场述标签到截止时间：同本项目投标截止时间。</w:t>
            </w:r>
          </w:p>
          <w:p w14:paraId="2E2ECA62">
            <w:pPr>
              <w:rPr>
                <w:rFonts w:ascii="宋体" w:hAnsi="宋体" w:cs="宋体"/>
                <w:b/>
                <w:bCs/>
                <w:color w:val="auto"/>
                <w:sz w:val="22"/>
                <w:highlight w:val="none"/>
              </w:rPr>
            </w:pPr>
            <w:r>
              <w:rPr>
                <w:rFonts w:hint="eastAsia" w:ascii="宋体" w:hAnsi="宋体" w:cs="宋体"/>
                <w:b/>
                <w:bCs/>
                <w:color w:val="auto"/>
                <w:sz w:val="22"/>
                <w:highlight w:val="none"/>
              </w:rPr>
              <w:t>6)未按规定地点时间签到视为放弃述标权利，述标分值按0分计算。</w:t>
            </w:r>
          </w:p>
        </w:tc>
      </w:tr>
    </w:tbl>
    <w:p w14:paraId="17AB482C">
      <w:pPr>
        <w:spacing w:before="240" w:after="240" w:line="400" w:lineRule="exact"/>
        <w:jc w:val="center"/>
        <w:outlineLvl w:val="1"/>
        <w:rPr>
          <w:rFonts w:ascii="宋体" w:hAnsi="宋体" w:cs="宋体"/>
          <w:b/>
          <w:color w:val="auto"/>
          <w:sz w:val="26"/>
          <w:highlight w:val="none"/>
        </w:rPr>
      </w:pPr>
      <w:r>
        <w:rPr>
          <w:rFonts w:hint="eastAsia" w:ascii="宋体" w:hAnsi="宋体" w:cs="宋体"/>
          <w:b/>
          <w:color w:val="auto"/>
          <w:sz w:val="26"/>
          <w:highlight w:val="none"/>
        </w:rPr>
        <w:br w:type="page"/>
      </w:r>
      <w:bookmarkStart w:id="3" w:name="_Toc12668"/>
      <w:r>
        <w:rPr>
          <w:rFonts w:hint="eastAsia" w:ascii="宋体" w:hAnsi="宋体" w:cs="宋体"/>
          <w:b/>
          <w:color w:val="auto"/>
          <w:sz w:val="26"/>
          <w:highlight w:val="none"/>
        </w:rPr>
        <w:t>一、说明</w:t>
      </w:r>
      <w:bookmarkEnd w:id="3"/>
    </w:p>
    <w:p w14:paraId="006EAF3E">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2ED82CA1">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14:paraId="57BC0213">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2.1“采购人”系指温州肯恩大学；</w:t>
      </w:r>
    </w:p>
    <w:p w14:paraId="02B1E59F">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2.2“采购代理机构”系指组织本次招标的浙江乐诚工程咨询有限公司；</w:t>
      </w:r>
    </w:p>
    <w:p w14:paraId="2CAB3AD8">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2.3“投标人”“供应商”系指响应招标、参加投标竞争的法人、其他组织或者自然人；</w:t>
      </w:r>
    </w:p>
    <w:p w14:paraId="08C27829">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2.4“书面形式”包括合同书、信件和数据电文(包括电报、电传、传真、电子数据交换和电子邮件)等可以有形地表现所载内容的形式。</w:t>
      </w:r>
    </w:p>
    <w:p w14:paraId="5DE90E3C">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2.5“电子加密投标文件”系指通过政采云电子交易客户端（政采云投标客户端）完成投标</w:t>
      </w:r>
      <w:bookmarkStart w:id="4" w:name="_Hlk96327615"/>
      <w:r>
        <w:rPr>
          <w:rFonts w:hint="eastAsia" w:ascii="宋体" w:hAnsi="宋体" w:cs="宋体"/>
          <w:color w:val="auto"/>
          <w:sz w:val="22"/>
          <w:highlight w:val="none"/>
        </w:rPr>
        <w:t>文件编制后生成并加密的数据电文形式的投标文件（文件扩展名为.jmbs），“备份投标文件”系指与“电子加密投标文件”同时生成的数据电文形式的电子文件（文件扩展名为.bfbs）；</w:t>
      </w:r>
    </w:p>
    <w:p w14:paraId="5BDA9469">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2.6“电子签章”系指数据电文中以电子形式所含、所附用于识别签名人身份并表明签名人认可其中内容的数据；“公章”系指单位法定名称章。</w:t>
      </w:r>
    </w:p>
    <w:p w14:paraId="2AA564D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2.7招标文件对投标</w:t>
      </w:r>
      <w:bookmarkEnd w:id="4"/>
      <w:r>
        <w:rPr>
          <w:rFonts w:hint="eastAsia" w:ascii="宋体" w:hAnsi="宋体" w:cs="宋体"/>
          <w:color w:val="auto"/>
          <w:sz w:val="22"/>
          <w:highlight w:val="none"/>
        </w:rPr>
        <w:t>文件签署、盖章的要求适用于电子签章或公章。</w:t>
      </w:r>
    </w:p>
    <w:p w14:paraId="2203E0AF">
      <w:pPr>
        <w:tabs>
          <w:tab w:val="left" w:pos="360"/>
        </w:tabs>
        <w:spacing w:line="360" w:lineRule="exact"/>
        <w:ind w:firstLine="440" w:firstLineChars="200"/>
        <w:rPr>
          <w:rFonts w:ascii="宋体" w:hAnsi="宋体" w:cs="宋体"/>
          <w:color w:val="auto"/>
          <w:kern w:val="0"/>
          <w:sz w:val="22"/>
          <w:highlight w:val="none"/>
          <w:lang w:val="zh-CN"/>
        </w:rPr>
      </w:pPr>
      <w:r>
        <w:rPr>
          <w:rFonts w:hint="eastAsia" w:ascii="宋体" w:hAnsi="宋体" w:cs="宋体"/>
          <w:color w:val="auto"/>
          <w:sz w:val="22"/>
          <w:highlight w:val="none"/>
        </w:rPr>
        <w:t>2.8“▲且加下划线”系指实质性要求条款，投标人应当做出实质性响应。</w:t>
      </w:r>
    </w:p>
    <w:p w14:paraId="74DEFF21">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24BB74AE">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指全权代表投标人参加投标活动并签署投标文件的人。投标人须携带有效身份证件。如投标人代表不是法定代表人，须有授权委托书，投标人未参加开标的，视同认可开标结果。</w:t>
      </w:r>
    </w:p>
    <w:p w14:paraId="1DD88475">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63325590">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78A3BAF2">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在收到中标通知书时向采购代理机构交纳采购代理服务费，收费标准按28200元收取：</w:t>
      </w:r>
      <w:r>
        <w:rPr>
          <w:rFonts w:hint="eastAsia" w:ascii="宋体" w:hAnsi="宋体" w:cs="宋体"/>
          <w:b/>
          <w:bCs/>
          <w:color w:val="auto"/>
          <w:sz w:val="22"/>
          <w:highlight w:val="none"/>
        </w:rPr>
        <w:t>请各投标人将采购代理服务费包含在投标总报价中，但不单独列出。</w:t>
      </w:r>
      <w:r>
        <w:rPr>
          <w:rFonts w:hint="eastAsia" w:ascii="宋体" w:hAnsi="宋体" w:cs="宋体"/>
          <w:color w:val="auto"/>
          <w:sz w:val="22"/>
          <w:highlight w:val="none"/>
        </w:rPr>
        <w:t>采购代理服务费可以是现金、支票或汇票。采购代理服务费汇入账户：</w:t>
      </w:r>
    </w:p>
    <w:p w14:paraId="501642F4">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收款户名：浙江乐诚工程咨询有限公司</w:t>
      </w:r>
    </w:p>
    <w:p w14:paraId="2A8ACF1B">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收款账号：76060122000323292</w:t>
      </w:r>
    </w:p>
    <w:p w14:paraId="08D3022D">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收款银行：宁波银行温州瓯海支行</w:t>
      </w:r>
    </w:p>
    <w:p w14:paraId="4A541C02">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收款行号：313333030036</w:t>
      </w:r>
    </w:p>
    <w:p w14:paraId="70D924A1">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关于采购代理服务费的详细事宜请咨询采购代理机构钱先生（0577-86077700）</w:t>
      </w:r>
    </w:p>
    <w:p w14:paraId="53F0BAE5">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0019F7C8">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55D00E80">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p>
    <w:p w14:paraId="3CECE39E">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rFonts w:hint="eastAsia"/>
          <w:color w:val="auto"/>
          <w:highlight w:val="none"/>
        </w:rPr>
        <w:fldChar w:fldCharType="begin"/>
      </w:r>
      <w:r>
        <w:rPr>
          <w:color w:val="auto"/>
          <w:highlight w:val="none"/>
        </w:rPr>
        <w:instrText xml:space="preserve"> HYPERLINK "https://www.creditchina.gov.cn/" </w:instrText>
      </w:r>
      <w:r>
        <w:rPr>
          <w:rFonts w:hint="eastAsia"/>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rFonts w:hint="eastAsia"/>
          <w:color w:val="auto"/>
          <w:highlight w:val="none"/>
        </w:rPr>
        <w:fldChar w:fldCharType="begin"/>
      </w:r>
      <w:r>
        <w:rPr>
          <w:color w:val="auto"/>
          <w:highlight w:val="none"/>
        </w:rPr>
        <w:instrText xml:space="preserve"> HYPERLINK "http://www.ccgp.gov.cn/" </w:instrText>
      </w:r>
      <w:r>
        <w:rPr>
          <w:rFonts w:hint="eastAsia"/>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1D31160B">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64B7B295">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40CBF43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1626E585">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联合体信用信息查询：联合体以一个投标人的身份共同参加政府采购活动的，应当对所有联合体成员进行信用记录查询，联合体成员存在不良信用记录的，视同联合体存在不良信用记录。</w:t>
      </w:r>
    </w:p>
    <w:p w14:paraId="3FB88BBA">
      <w:pPr>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1342357A">
      <w:pPr>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78E364C9">
      <w:pPr>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3AD6BB70">
      <w:pPr>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44CD9FD4">
      <w:pPr>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EDEC6F5">
      <w:pPr>
        <w:spacing w:line="40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3倍赔偿采购人，且民事赔偿并不免除违法投标人的行政与刑事责任。</w:t>
      </w:r>
    </w:p>
    <w:p w14:paraId="6E812E6F">
      <w:pPr>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7.采购项目需要落实的政府采购政策</w:t>
      </w:r>
    </w:p>
    <w:p w14:paraId="04B6C6E4">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7.1 本项目不允许采购进口产品。</w:t>
      </w:r>
    </w:p>
    <w:p w14:paraId="0CD4540D">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 支持绿色发展</w:t>
      </w:r>
    </w:p>
    <w:p w14:paraId="39D2A950">
      <w:pPr>
        <w:spacing w:line="360" w:lineRule="exact"/>
        <w:ind w:firstLine="442" w:firstLineChars="201"/>
        <w:rPr>
          <w:rFonts w:ascii="宋体" w:hAnsi="宋体" w:cs="宋体"/>
          <w:b/>
          <w:color w:val="auto"/>
          <w:sz w:val="22"/>
          <w:highlight w:val="none"/>
        </w:rPr>
      </w:pPr>
      <w:r>
        <w:rPr>
          <w:rFonts w:hint="eastAsia" w:ascii="宋体" w:hAnsi="宋体" w:cs="宋体"/>
          <w:color w:val="auto"/>
          <w:sz w:val="22"/>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2"/>
          <w:highlight w:val="none"/>
          <w:u w:val="single"/>
        </w:rPr>
        <w:t>▲</w:t>
      </w:r>
      <w:r>
        <w:rPr>
          <w:rFonts w:hint="eastAsia" w:ascii="宋体" w:hAnsi="宋体" w:cs="宋体"/>
          <w:color w:val="auto"/>
          <w:sz w:val="22"/>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宋体" w:hAnsi="宋体" w:cs="宋体"/>
          <w:b/>
          <w:bCs/>
          <w:color w:val="auto"/>
          <w:sz w:val="22"/>
          <w:highlight w:val="none"/>
          <w:u w:val="single"/>
        </w:rPr>
        <w:t>。（本项目不适用）</w:t>
      </w:r>
    </w:p>
    <w:p w14:paraId="4B92B594">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7.2.2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5" w:name="_Hlk107568539"/>
      <w:r>
        <w:rPr>
          <w:rFonts w:hint="eastAsia" w:ascii="宋体" w:hAnsi="宋体" w:cs="宋体"/>
          <w:color w:val="auto"/>
          <w:sz w:val="22"/>
          <w:highlight w:val="none"/>
        </w:rPr>
        <w:t>鼓励采购单位优先采购秸秆环保板材等资源综合利用产品。鼓励采购单位优先采购绿色物流配送服务、提供新能源交通工具的租赁服务。</w:t>
      </w:r>
    </w:p>
    <w:p w14:paraId="5DB61CD9">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7.2.3 鼓励供应商在参加政府采购过程中开展绿色设计、选择绿色材料、打造绿色制造工艺、开展绿色运输、做好废弃产品回收处理，实现产品全周期的绿色环保。</w:t>
      </w:r>
      <w:bookmarkEnd w:id="5"/>
    </w:p>
    <w:p w14:paraId="797757EC">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7.3支持中小企业发展</w:t>
      </w:r>
    </w:p>
    <w:p w14:paraId="57CD1E75">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683B741E">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符合中小企业划分标准的个体工商户，在政府采购活动中视同中小企业。</w:t>
      </w:r>
    </w:p>
    <w:p w14:paraId="58E5844B">
      <w:pPr>
        <w:widowControl/>
        <w:spacing w:line="360" w:lineRule="exact"/>
        <w:ind w:firstLine="442" w:firstLineChars="201"/>
        <w:jc w:val="left"/>
        <w:rPr>
          <w:rFonts w:ascii="宋体" w:hAnsi="宋体" w:cs="宋体"/>
          <w:color w:val="auto"/>
          <w:kern w:val="0"/>
          <w:sz w:val="22"/>
          <w:highlight w:val="none"/>
        </w:rPr>
      </w:pPr>
      <w:r>
        <w:rPr>
          <w:rFonts w:hint="eastAsia" w:ascii="宋体" w:hAnsi="宋体" w:cs="宋体"/>
          <w:bCs/>
          <w:color w:val="auto"/>
          <w:sz w:val="22"/>
          <w:highlight w:val="none"/>
        </w:rPr>
        <w:t>7.3.2</w:t>
      </w:r>
      <w:r>
        <w:rPr>
          <w:rFonts w:hint="eastAsia" w:ascii="宋体" w:hAnsi="宋体" w:cs="宋体"/>
          <w:color w:val="auto"/>
          <w:kern w:val="0"/>
          <w:sz w:val="22"/>
          <w:highlight w:val="none"/>
        </w:rPr>
        <w:t>在政府采购活动中，投标人提供的货物、工程或者服务符合下列情形的，享受中小企业扶持政策：</w:t>
      </w:r>
    </w:p>
    <w:p w14:paraId="5A821413">
      <w:pPr>
        <w:widowControl/>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7.3.2.1在货物采购项目中，货物由中小企业制造，即货物由中小企业生产且使用该中小企业商号或者注册商标；</w:t>
      </w:r>
    </w:p>
    <w:p w14:paraId="278EED73">
      <w:pPr>
        <w:widowControl/>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7.3.2.2在工程采购项目中，工程由中小企业承建，即工程施工单位为中小企业；</w:t>
      </w:r>
    </w:p>
    <w:p w14:paraId="42BE5C15">
      <w:pPr>
        <w:widowControl/>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7.3.2.3在服务采购项目中，服务由中小企业承接，即提供服务的人员为中小企业依照《中华人民共和国劳动合同法》订立劳动合同的从业人员。</w:t>
      </w:r>
    </w:p>
    <w:p w14:paraId="6FE25E9D">
      <w:pPr>
        <w:widowControl/>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在货物采购项目中，投标人提供的货物既有中小企业制造货物，也有大型企业制造货物的，不享受中小企业扶持政策。</w:t>
      </w:r>
    </w:p>
    <w:p w14:paraId="2D4203AA">
      <w:pPr>
        <w:widowControl/>
        <w:spacing w:line="360" w:lineRule="exact"/>
        <w:ind w:firstLine="442" w:firstLineChars="201"/>
        <w:jc w:val="left"/>
        <w:rPr>
          <w:rFonts w:ascii="宋体" w:hAnsi="宋体" w:cs="宋体"/>
          <w:color w:val="auto"/>
          <w:kern w:val="0"/>
          <w:sz w:val="22"/>
          <w:highlight w:val="none"/>
        </w:rPr>
      </w:pPr>
      <w:r>
        <w:rPr>
          <w:rFonts w:hint="eastAsia" w:ascii="宋体" w:hAnsi="宋体" w:cs="宋体"/>
          <w:color w:val="auto"/>
          <w:kern w:val="0"/>
          <w:sz w:val="22"/>
          <w:highlight w:val="none"/>
        </w:rPr>
        <w:t>以联合体形式参加政府采购活动，联合体各方均为中小企业的，联合体视同中小企业。其中，联合体各方均为小微企业的，联合体视同小微企业。</w:t>
      </w:r>
    </w:p>
    <w:p w14:paraId="1E788DE3">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7.3.3对于未预留份额专门面向中小企业的政府采购货物或服务项目，以及预留份额政府采购货物或服务项目中的非预留部分标项，对小型和微型企业的投标报价给予10%的扣除，用扣除后的价格参与评审。组成联合体或者接受分包的小微企业与联合体内其他企业、分包企业之间存在直接控股、管理关系的，不享受价格扣除优惠政策。</w:t>
      </w:r>
    </w:p>
    <w:p w14:paraId="7530387D">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7.3.4符合《关于促进残疾人就业政府采购政策的通知》（财库〔2017〕141号）规定的条件并提供《残疾人福利性单位声明函》（附件）的残疾人福利性单位视同小型、微型企业；</w:t>
      </w:r>
    </w:p>
    <w:p w14:paraId="178532BA">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805251">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7854A9">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7.3.7中小企业享受扶持政策获得政府采购合同的，小微企业不得将合同分包给大中型企业，中型企业不得将合同分包给大型企业。</w:t>
      </w:r>
    </w:p>
    <w:p w14:paraId="0453BA14">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w:t>
      </w:r>
      <w:r>
        <w:rPr>
          <w:rFonts w:hint="eastAsia" w:ascii="宋体" w:hAnsi="宋体" w:cs="宋体"/>
          <w:bCs/>
          <w:color w:val="auto"/>
          <w:sz w:val="22"/>
          <w:highlight w:val="none"/>
        </w:rPr>
        <w:t>支持创新发展</w:t>
      </w:r>
    </w:p>
    <w:p w14:paraId="276DBE44">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7.4.1采购人优先采购被认定为首台套产品和“制造精品”的自主创新产品。</w:t>
      </w:r>
    </w:p>
    <w:p w14:paraId="4D3C4AA0">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4BFCF7F1">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7.5平等对待内外资企业和符合条件的破产重整企业</w:t>
      </w:r>
    </w:p>
    <w:p w14:paraId="7CD01E5E">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平等对待内外资企业和符合条件的破产重整企业，切实保障企业公平竞争，平等维护企业的合法利益。</w:t>
      </w:r>
    </w:p>
    <w:p w14:paraId="61A7A930">
      <w:pPr>
        <w:spacing w:line="36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7.6</w:t>
      </w:r>
      <w:r>
        <w:rPr>
          <w:rFonts w:hint="eastAsia" w:ascii="宋体" w:hAnsi="宋体" w:cs="宋体"/>
          <w:snapToGrid w:val="0"/>
          <w:color w:val="auto"/>
          <w:sz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1C438948">
      <w:pPr>
        <w:spacing w:before="240" w:after="240" w:line="400" w:lineRule="exact"/>
        <w:ind w:firstLine="522" w:firstLineChars="200"/>
        <w:jc w:val="center"/>
        <w:outlineLvl w:val="1"/>
        <w:rPr>
          <w:rFonts w:ascii="宋体" w:hAnsi="宋体" w:cs="宋体"/>
          <w:b/>
          <w:color w:val="auto"/>
          <w:sz w:val="26"/>
          <w:highlight w:val="none"/>
        </w:rPr>
      </w:pPr>
      <w:bookmarkStart w:id="6" w:name="_Toc1526"/>
      <w:r>
        <w:rPr>
          <w:rFonts w:hint="eastAsia" w:ascii="宋体" w:hAnsi="宋体" w:cs="宋体"/>
          <w:b/>
          <w:color w:val="auto"/>
          <w:sz w:val="26"/>
          <w:highlight w:val="none"/>
        </w:rPr>
        <w:t>二、招标文件</w:t>
      </w:r>
      <w:bookmarkEnd w:id="6"/>
    </w:p>
    <w:p w14:paraId="07C7CD8E">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575EF0E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14:paraId="529E930E">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163DC76">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14:paraId="776F058D">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（一）投标人的姓名或者名称、地址、邮编、联系人及联系方式；</w:t>
      </w:r>
    </w:p>
    <w:p w14:paraId="30973C16">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14:paraId="5AB92C5C">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14:paraId="69358423">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14:paraId="27E2474F">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14:paraId="5FC3A140">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14:paraId="302F7693">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投标人为自然人的，应当由本人签字；投标人为法人或者其他组织的，应当由法定代表人、主要负责人，或者其授权代表签字或者盖章，并加盖电子签章或公章。</w:t>
      </w:r>
    </w:p>
    <w:p w14:paraId="12CAF25D">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6A2942F8">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14:paraId="21A0BDD5">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14:paraId="4CCF18A6">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14:paraId="3215C662">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14:paraId="7A7B2625">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14:paraId="19B30104">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14:paraId="24391FCE">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质疑投标人对采购人、采购代理机构的答复不满意或者采购人、采购代理机构未在规定的时间内作出答复的，可以在答复期满后十五个工作日内向采购监督</w:t>
      </w:r>
      <w:r>
        <w:rPr>
          <w:rFonts w:hint="eastAsia" w:ascii="宋体" w:hAnsi="宋体" w:cs="宋体"/>
          <w:color w:val="auto"/>
          <w:sz w:val="22"/>
          <w:highlight w:val="none"/>
        </w:rPr>
        <w:t>管理</w:t>
      </w:r>
      <w:r>
        <w:rPr>
          <w:rFonts w:hint="eastAsia" w:ascii="宋体" w:hAnsi="宋体" w:cs="宋体"/>
          <w:color w:val="auto"/>
          <w:spacing w:val="6"/>
          <w:sz w:val="22"/>
          <w:highlight w:val="none"/>
        </w:rPr>
        <w:t>部门投诉。投诉书范本请到“浙江政府采购网下载专区”下载。</w:t>
      </w:r>
    </w:p>
    <w:p w14:paraId="00EC7A24">
      <w:pPr>
        <w:spacing w:line="400" w:lineRule="exact"/>
        <w:ind w:firstLine="440" w:firstLineChars="200"/>
        <w:rPr>
          <w:rFonts w:ascii="宋体" w:hAnsi="宋体" w:cs="宋体"/>
          <w:color w:val="auto"/>
          <w:highlight w:val="none"/>
        </w:rPr>
      </w:pPr>
      <w:r>
        <w:rPr>
          <w:rFonts w:hint="eastAsia" w:ascii="宋体" w:hAnsi="宋体" w:cs="宋体"/>
          <w:color w:val="auto"/>
          <w:sz w:val="22"/>
          <w:highlight w:val="none"/>
        </w:rPr>
        <w:t>以联合体形式参加政府采购活动的，其质疑或投诉应当由组成联合体的所有投标人共同提出。</w:t>
      </w:r>
    </w:p>
    <w:p w14:paraId="2892B263">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14:paraId="706F208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3"/>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电子签章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14:paraId="56BEFBF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4.2澄清或者修改的内容可能影响投标文件编制的，采购人或者采购代理机构应当在投标文件提交截止时间至少15日前，以书面形式（</w:t>
      </w:r>
      <w:r>
        <w:rPr>
          <w:rStyle w:val="33"/>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）通知所有获取招标文件的潜在投标人；不足15日的，采购人或者采购代理机构应当顺延提交投标文件的截止时间。</w:t>
      </w:r>
    </w:p>
    <w:p w14:paraId="65E33945">
      <w:pPr>
        <w:spacing w:before="240" w:after="240" w:line="400" w:lineRule="exact"/>
        <w:ind w:firstLine="522" w:firstLineChars="200"/>
        <w:jc w:val="center"/>
        <w:outlineLvl w:val="1"/>
        <w:rPr>
          <w:rFonts w:ascii="宋体" w:hAnsi="宋体" w:cs="宋体"/>
          <w:b/>
          <w:color w:val="auto"/>
          <w:sz w:val="26"/>
          <w:highlight w:val="none"/>
        </w:rPr>
      </w:pPr>
      <w:bookmarkStart w:id="7" w:name="_Toc11959"/>
      <w:r>
        <w:rPr>
          <w:rFonts w:hint="eastAsia" w:ascii="宋体" w:hAnsi="宋体" w:cs="宋体"/>
          <w:b/>
          <w:color w:val="auto"/>
          <w:sz w:val="26"/>
          <w:highlight w:val="none"/>
        </w:rPr>
        <w:t>三、投标文件的编制</w:t>
      </w:r>
      <w:bookmarkEnd w:id="7"/>
    </w:p>
    <w:p w14:paraId="24B8F852">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44EADEBB">
      <w:pPr>
        <w:pStyle w:val="14"/>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06AFE67D">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57E79B9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3"/>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3"/>
          <w:rFonts w:hint="eastAsia" w:ascii="宋体" w:hAnsi="宋体" w:cs="宋体"/>
          <w:bCs/>
          <w:color w:val="auto"/>
          <w:sz w:val="22"/>
          <w:highlight w:val="none"/>
        </w:rPr>
        <w:t>。</w:t>
      </w:r>
    </w:p>
    <w:p w14:paraId="42D1C886">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4024DC44">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1A319D32">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0C710F01">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2FE816D3">
      <w:pPr>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6B8B9127">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57C74344">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（1）报价文件</w:t>
      </w:r>
    </w:p>
    <w:p w14:paraId="44DEFA64">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14:paraId="17EA29A7">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14:paraId="3530B71E">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3）中小企业声明</w:t>
      </w:r>
      <w:r>
        <w:rPr>
          <w:rFonts w:hint="eastAsia" w:ascii="宋体" w:hAnsi="宋体" w:eastAsia="宋体" w:cs="宋体"/>
          <w:color w:val="auto"/>
          <w:sz w:val="22"/>
          <w:highlight w:val="none"/>
        </w:rPr>
        <w:t>函</w:t>
      </w:r>
      <w:r>
        <w:rPr>
          <w:rFonts w:hint="eastAsia" w:ascii="宋体" w:hAnsi="宋体" w:eastAsia="宋体" w:cs="宋体"/>
          <w:color w:val="auto"/>
          <w:sz w:val="22"/>
          <w:highlight w:val="none"/>
          <w:lang w:eastAsia="zh-CN"/>
        </w:rPr>
        <w:t>（</w:t>
      </w:r>
      <w:r>
        <w:rPr>
          <w:rFonts w:hint="eastAsia" w:ascii="宋体" w:hAnsi="宋体" w:eastAsia="宋体" w:cs="宋体"/>
          <w:b w:val="0"/>
          <w:bCs w:val="0"/>
          <w:color w:val="auto"/>
          <w:w w:val="100"/>
          <w:sz w:val="22"/>
          <w:szCs w:val="22"/>
          <w:highlight w:val="none"/>
          <w:lang w:val="en-US" w:eastAsia="zh-CN"/>
        </w:rPr>
        <w:t>监狱企业资格证明材料、残疾人福利性单位声明函</w:t>
      </w:r>
      <w:r>
        <w:rPr>
          <w:rFonts w:hint="eastAsia" w:ascii="宋体" w:hAnsi="宋体" w:eastAsia="宋体" w:cs="宋体"/>
          <w:color w:val="auto"/>
          <w:sz w:val="22"/>
          <w:highlight w:val="none"/>
          <w:lang w:eastAsia="zh-CN"/>
        </w:rPr>
        <w:t>）</w:t>
      </w:r>
      <w:r>
        <w:rPr>
          <w:rFonts w:hint="eastAsia" w:ascii="宋体" w:hAnsi="宋体" w:cs="宋体"/>
          <w:color w:val="auto"/>
          <w:sz w:val="22"/>
          <w:highlight w:val="none"/>
        </w:rPr>
        <w:t>；（见附件3）</w:t>
      </w:r>
    </w:p>
    <w:p w14:paraId="1A93766A">
      <w:pPr>
        <w:tabs>
          <w:tab w:val="left" w:pos="535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4）投标报价部分其他内容（如有，格式自拟）。</w:t>
      </w:r>
    </w:p>
    <w:p w14:paraId="0297E575">
      <w:pPr>
        <w:tabs>
          <w:tab w:val="left" w:pos="535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（2）资格文件：（见附件4）</w:t>
      </w:r>
    </w:p>
    <w:p w14:paraId="168E017E">
      <w:pPr>
        <w:autoSpaceDE w:val="0"/>
        <w:autoSpaceDN w:val="0"/>
        <w:spacing w:line="360" w:lineRule="exact"/>
        <w:ind w:firstLine="442" w:firstLineChars="200"/>
        <w:rPr>
          <w:rFonts w:ascii="宋体" w:hAnsi="宋体" w:cs="宋体"/>
          <w:b/>
          <w:bCs/>
          <w:snapToGrid w:val="0"/>
          <w:color w:val="auto"/>
          <w:sz w:val="22"/>
          <w:highlight w:val="none"/>
        </w:rPr>
      </w:pPr>
      <w:r>
        <w:rPr>
          <w:rFonts w:hint="eastAsia" w:ascii="宋体" w:hAnsi="宋体" w:cs="宋体"/>
          <w:b/>
          <w:bCs/>
          <w:snapToGrid w:val="0"/>
          <w:color w:val="auto"/>
          <w:sz w:val="22"/>
          <w:highlight w:val="none"/>
        </w:rPr>
        <w:t>①有效的法人或者其他组织的营业执照等证明文件，自然人的身份证明（五选一）</w:t>
      </w:r>
      <w:r>
        <w:rPr>
          <w:rFonts w:hint="eastAsia" w:ascii="宋体" w:hAnsi="宋体" w:cs="宋体"/>
          <w:b/>
          <w:bCs/>
          <w:color w:val="auto"/>
          <w:sz w:val="22"/>
          <w:highlight w:val="none"/>
        </w:rPr>
        <w:t>（见附件4-1）</w:t>
      </w:r>
      <w:r>
        <w:rPr>
          <w:rFonts w:hint="eastAsia" w:ascii="宋体" w:hAnsi="宋体" w:cs="宋体"/>
          <w:b/>
          <w:bCs/>
          <w:color w:val="auto"/>
          <w:sz w:val="22"/>
          <w:highlight w:val="none"/>
          <w:u w:val="single"/>
        </w:rPr>
        <w:t>（如为联合体投标，则联合体各方均须提供）</w:t>
      </w:r>
    </w:p>
    <w:p w14:paraId="17C9BF9A">
      <w:pPr>
        <w:autoSpaceDE w:val="0"/>
        <w:autoSpaceDN w:val="0"/>
        <w:spacing w:line="360" w:lineRule="exact"/>
        <w:ind w:firstLine="470" w:firstLineChars="213"/>
        <w:rPr>
          <w:rFonts w:ascii="宋体" w:hAnsi="宋体" w:cs="宋体"/>
          <w:b/>
          <w:bCs/>
          <w:color w:val="auto"/>
          <w:sz w:val="22"/>
          <w:highlight w:val="none"/>
        </w:rPr>
      </w:pPr>
      <w:r>
        <w:rPr>
          <w:rFonts w:hint="eastAsia" w:ascii="宋体" w:hAnsi="宋体" w:cs="宋体"/>
          <w:b/>
          <w:bCs/>
          <w:snapToGrid w:val="0"/>
          <w:color w:val="auto"/>
          <w:sz w:val="22"/>
          <w:highlight w:val="none"/>
        </w:rPr>
        <w:t>②关于符合《中华人民共和国政府采购法》第二十二条规定的承诺函</w:t>
      </w:r>
      <w:r>
        <w:rPr>
          <w:rFonts w:hint="eastAsia" w:ascii="宋体" w:hAnsi="宋体" w:cs="宋体"/>
          <w:b/>
          <w:bCs/>
          <w:color w:val="auto"/>
          <w:sz w:val="22"/>
          <w:highlight w:val="none"/>
        </w:rPr>
        <w:t>（见附件4-2）</w:t>
      </w:r>
      <w:r>
        <w:rPr>
          <w:rFonts w:hint="eastAsia" w:ascii="宋体" w:hAnsi="宋体" w:cs="宋体"/>
          <w:b/>
          <w:bCs/>
          <w:color w:val="auto"/>
          <w:sz w:val="22"/>
          <w:highlight w:val="none"/>
          <w:u w:val="single"/>
        </w:rPr>
        <w:t>（如为联合体投标，则联合体各方均须提供，并各自加盖电子签章或公章）</w:t>
      </w:r>
    </w:p>
    <w:p w14:paraId="3F9E2A31">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③联合体投标协议书（如有）（见附件4-3）</w:t>
      </w:r>
    </w:p>
    <w:p w14:paraId="6FCF4633">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06D69451">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评分索引表（见附件5）</w:t>
      </w:r>
    </w:p>
    <w:p w14:paraId="13D07340">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法定代表人资格证明书或授权委托书；（见附件6）</w:t>
      </w:r>
    </w:p>
    <w:p w14:paraId="02506778">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投标函（见附件7）</w:t>
      </w:r>
    </w:p>
    <w:p w14:paraId="659C2E67">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 xml:space="preserve">投标人基本情况表（见附件8）                </w:t>
      </w:r>
    </w:p>
    <w:p w14:paraId="2239861F">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同类项目经验（如有）（见附件9）；</w:t>
      </w:r>
    </w:p>
    <w:p w14:paraId="4E8E423A">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采购需求偏离表（见附件10）；</w:t>
      </w:r>
    </w:p>
    <w:p w14:paraId="7DB844B7">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项目组成员一览表（见附件11）</w:t>
      </w:r>
    </w:p>
    <w:p w14:paraId="067245EB">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政府采购活动现场确认声明书（见附件12）；</w:t>
      </w:r>
    </w:p>
    <w:p w14:paraId="2814B726">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承诺函（见附件13）；</w:t>
      </w:r>
    </w:p>
    <w:p w14:paraId="30BFFDD9">
      <w:pPr>
        <w:numPr>
          <w:ilvl w:val="0"/>
          <w:numId w:val="2"/>
        </w:numPr>
        <w:tabs>
          <w:tab w:val="clear" w:pos="0"/>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投标人需要说明的其他文件和说明（格式自拟）。</w:t>
      </w:r>
    </w:p>
    <w:p w14:paraId="18C6E02E">
      <w:pPr>
        <w:spacing w:line="40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37873AB7">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投标人可在招标文件中对项目的技术规格和要求选用替代标准，但这些替代标准必须相等于或优于招标文件中提出的相应要求，并使采购人满意。同时在采购需求偏离表中作出详细说明。</w:t>
      </w:r>
    </w:p>
    <w:p w14:paraId="2F6FC170">
      <w:pPr>
        <w:pStyle w:val="14"/>
        <w:spacing w:line="40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32DF9A9E">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421629A8">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3DFF988B">
      <w:pPr>
        <w:pStyle w:val="14"/>
        <w:spacing w:line="40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6CAFBEF3">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28792A2F">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56A3BD69">
      <w:pPr>
        <w:tabs>
          <w:tab w:val="left" w:pos="-180"/>
          <w:tab w:val="left" w:pos="180"/>
          <w:tab w:val="left" w:pos="360"/>
        </w:tabs>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7FE09AB5">
      <w:pPr>
        <w:ind w:firstLine="440" w:firstLineChars="200"/>
        <w:rPr>
          <w:rFonts w:ascii="宋体" w:hAnsi="宋体" w:cs="宋体"/>
          <w:color w:val="auto"/>
          <w:sz w:val="22"/>
          <w:highlight w:val="none"/>
        </w:rPr>
      </w:pPr>
      <w:r>
        <w:rPr>
          <w:rFonts w:hint="eastAsia" w:ascii="宋体" w:hAnsi="宋体" w:cs="宋体"/>
          <w:color w:val="auto"/>
          <w:sz w:val="22"/>
          <w:highlight w:val="none"/>
        </w:rPr>
        <w:t>7.1投标报价是指投标人完全履行合同义务后，采购人应支付给投标人所有的服务价款，即在承包区域内提供物业服务所需的人工费（包括工人工资、奖金、节日加班费、劳保福利、餐费、社保、意外保险、工伤费、教育培训费、每年体检费、暂住费及处理伤亡事故等费用）、单价300元及以下的维修材料和配件费用、保洁及设施设备维修工器具费用、物业耗材及其他专项服务费（垃圾清运、外墙清洗保洁、化粪池清理和管道疏通、学校生活水箱和热水水箱清洗、维修材料配件、新投用建筑保洁开荒、宿舍卫生间保洁、校车清洗、毕业生房间清理、室外防腐木、钢制栏杆及钢构件刷漆服务、考试会场及大型活动服务）、安全文明生产装备费（包括员工冬、夏装工作服等）、校园文化建设费用、投标人行政办公费、企业应缴税金、利润以及完成合同所需的所有工作开支，政策性文件规定合同包含的所有风险、责任等各项费用。</w:t>
      </w:r>
    </w:p>
    <w:p w14:paraId="772CB33A">
      <w:pPr>
        <w:ind w:firstLine="440" w:firstLineChars="200"/>
        <w:rPr>
          <w:rFonts w:ascii="宋体" w:hAnsi="宋体" w:cs="宋体"/>
          <w:color w:val="auto"/>
          <w:sz w:val="22"/>
          <w:highlight w:val="none"/>
        </w:rPr>
      </w:pPr>
      <w:r>
        <w:rPr>
          <w:rFonts w:hint="eastAsia" w:ascii="宋体" w:hAnsi="宋体" w:cs="宋体"/>
          <w:color w:val="auto"/>
          <w:sz w:val="22"/>
          <w:szCs w:val="20"/>
          <w:highlight w:val="none"/>
        </w:rPr>
        <w:t>7.2学校承担费用包含：1、公共区域日常保洁耗材（空气清新剂、皂液器、蚊香、香精球、卷纸盒、擦手纸盒、洗手液、擦手纸、卷纸、垃圾袋、84消毒水、垃圾桶）及会务用品；2、单价费用在300元以上的维修配件及材料费用。</w:t>
      </w:r>
    </w:p>
    <w:p w14:paraId="0708C547">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7.3投标人须按第四部分附件的开标一览表（统一格式）、投标报价明细表（统一格式）的内容填写单价、合价及其他事项，并由法定代表人或授权代表签字或盖章。</w:t>
      </w:r>
    </w:p>
    <w:p w14:paraId="60312971">
      <w:pPr>
        <w:tabs>
          <w:tab w:val="left" w:pos="-180"/>
          <w:tab w:val="left" w:pos="180"/>
          <w:tab w:val="left" w:pos="360"/>
        </w:tabs>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7.4报价货币为人民币。</w:t>
      </w:r>
    </w:p>
    <w:p w14:paraId="5CB15498">
      <w:pPr>
        <w:tabs>
          <w:tab w:val="left" w:pos="-180"/>
          <w:tab w:val="left" w:pos="180"/>
          <w:tab w:val="left" w:pos="360"/>
        </w:tabs>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▲7.5采购人不接受任何选择报价，对每一种服务只允许一个报价。</w:t>
      </w:r>
    </w:p>
    <w:p w14:paraId="09D851BE">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7.6最低报价不能作为中标的保证。</w:t>
      </w:r>
    </w:p>
    <w:p w14:paraId="14764D76">
      <w:pPr>
        <w:tabs>
          <w:tab w:val="left" w:pos="-180"/>
          <w:tab w:val="left" w:pos="180"/>
          <w:tab w:val="left" w:pos="360"/>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45FA717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01F2DD39">
      <w:pPr>
        <w:spacing w:line="40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670F3DAD">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2DDCA75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10D9318E">
      <w:pPr>
        <w:spacing w:line="400" w:lineRule="exact"/>
        <w:ind w:firstLine="440" w:firstLineChars="200"/>
        <w:jc w:val="left"/>
        <w:rPr>
          <w:rFonts w:ascii="宋体" w:hAnsi="宋体" w:cs="宋体"/>
          <w:b/>
          <w:bCs/>
          <w:color w:val="auto"/>
          <w:spacing w:val="-6"/>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548FB90E">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6ADF8705">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5C5813F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752215BA">
      <w:pPr>
        <w:spacing w:before="240" w:after="240" w:line="400" w:lineRule="exact"/>
        <w:ind w:firstLine="522" w:firstLineChars="200"/>
        <w:jc w:val="center"/>
        <w:outlineLvl w:val="1"/>
        <w:rPr>
          <w:rFonts w:ascii="宋体" w:hAnsi="宋体" w:cs="宋体"/>
          <w:b/>
          <w:color w:val="auto"/>
          <w:sz w:val="26"/>
          <w:highlight w:val="none"/>
        </w:rPr>
      </w:pPr>
      <w:bookmarkStart w:id="8" w:name="_Toc10461"/>
      <w:r>
        <w:rPr>
          <w:rFonts w:hint="eastAsia" w:ascii="宋体" w:hAnsi="宋体" w:cs="宋体"/>
          <w:b/>
          <w:color w:val="auto"/>
          <w:sz w:val="26"/>
          <w:highlight w:val="none"/>
        </w:rPr>
        <w:t>四、投标文件的递交</w:t>
      </w:r>
      <w:bookmarkEnd w:id="8"/>
    </w:p>
    <w:p w14:paraId="43080838">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23AD08B4">
      <w:pPr>
        <w:spacing w:line="40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098D519D">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06F7CCC2">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6E175A83">
      <w:pPr>
        <w:pStyle w:val="14"/>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23A13332">
      <w:pPr>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2E0ED39A">
      <w:pPr>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49B8E051">
      <w:pPr>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3989B43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3.投标文件的修改、撤回和撤销</w:t>
      </w:r>
    </w:p>
    <w:p w14:paraId="709CE22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5053F19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7E48265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w:t>
      </w:r>
      <w:r>
        <w:rPr>
          <w:rFonts w:hint="eastAsia" w:ascii="宋体" w:hAnsi="宋体" w:cs="宋体"/>
          <w:color w:val="auto"/>
          <w:spacing w:val="-20"/>
          <w:kern w:val="0"/>
          <w:sz w:val="22"/>
          <w:highlight w:val="none"/>
        </w:rPr>
        <w:t>在投标(响应）截止时间起至投标（响应）有效期届满，投标人投标（响应）文件不可撤销。</w:t>
      </w:r>
    </w:p>
    <w:p w14:paraId="3344471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7A54BA48">
      <w:pPr>
        <w:spacing w:before="240" w:after="240" w:line="400" w:lineRule="exact"/>
        <w:ind w:firstLine="522" w:firstLineChars="200"/>
        <w:jc w:val="center"/>
        <w:outlineLvl w:val="1"/>
        <w:rPr>
          <w:rFonts w:ascii="宋体" w:hAnsi="宋体" w:cs="宋体"/>
          <w:b/>
          <w:color w:val="auto"/>
          <w:sz w:val="26"/>
          <w:highlight w:val="none"/>
        </w:rPr>
      </w:pPr>
      <w:bookmarkStart w:id="9" w:name="_Toc26720"/>
      <w:r>
        <w:rPr>
          <w:rFonts w:hint="eastAsia" w:ascii="宋体" w:hAnsi="宋体" w:cs="宋体"/>
          <w:b/>
          <w:color w:val="auto"/>
          <w:sz w:val="26"/>
          <w:highlight w:val="none"/>
        </w:rPr>
        <w:t>五、开标和评标</w:t>
      </w:r>
      <w:bookmarkEnd w:id="9"/>
    </w:p>
    <w:p w14:paraId="72A0E4F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14:paraId="4236A5A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6B9F92D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4860ADD3">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2.1开标后直至向中标人授予合同时止，凡与评审有关的资料均不得向投标人及与评标无关人员透露。如果投标人在评标过程中试图向采购人施加影响，其投标将被拒绝。</w:t>
      </w:r>
    </w:p>
    <w:p w14:paraId="6449CD6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3.开标</w:t>
      </w:r>
    </w:p>
    <w:p w14:paraId="10976501">
      <w:pPr>
        <w:pStyle w:val="46"/>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19D44335">
      <w:pPr>
        <w:pStyle w:val="46"/>
        <w:spacing w:line="360" w:lineRule="exact"/>
        <w:ind w:firstLine="440" w:firstLineChars="200"/>
        <w:rPr>
          <w:color w:val="auto"/>
          <w:sz w:val="22"/>
          <w:highlight w:val="none"/>
        </w:rPr>
      </w:pPr>
      <w:r>
        <w:rPr>
          <w:rFonts w:hint="eastAsia"/>
          <w:color w:val="auto"/>
          <w:sz w:val="22"/>
          <w:highlight w:val="none"/>
        </w:rPr>
        <w:t>3.1开标准备</w:t>
      </w:r>
    </w:p>
    <w:p w14:paraId="7C3C95F9">
      <w:pPr>
        <w:pStyle w:val="46"/>
        <w:spacing w:line="360" w:lineRule="exact"/>
        <w:ind w:firstLine="440" w:firstLineChars="200"/>
        <w:rPr>
          <w:color w:val="auto"/>
          <w:sz w:val="22"/>
          <w:highlight w:val="none"/>
        </w:rPr>
      </w:pPr>
      <w:r>
        <w:rPr>
          <w:rFonts w:hint="eastAsia"/>
          <w:color w:val="auto"/>
          <w:sz w:val="22"/>
          <w:highlight w:val="none"/>
        </w:rPr>
        <w:t>3.1.1制订开标、评审工作的组织方案，落实工作场地、设施，检查录音录像采集设备运行情况。采用电子评审方式的，验证电子评审系统是否正常运行。</w:t>
      </w:r>
    </w:p>
    <w:p w14:paraId="4FB1EA0C">
      <w:pPr>
        <w:pStyle w:val="46"/>
        <w:spacing w:line="360" w:lineRule="exact"/>
        <w:ind w:firstLine="440" w:firstLineChars="200"/>
        <w:rPr>
          <w:color w:val="auto"/>
          <w:sz w:val="22"/>
          <w:highlight w:val="none"/>
        </w:rPr>
      </w:pPr>
      <w:r>
        <w:rPr>
          <w:rFonts w:hint="eastAsia"/>
          <w:color w:val="auto"/>
          <w:sz w:val="22"/>
          <w:highlight w:val="none"/>
        </w:rPr>
        <w:t>3.1.2通知或邀请相关单位和人员出席开标、评审活动（按规定由相关监管部门或其授权机构随机抽取、通知的政府采购评审专家除外）。</w:t>
      </w:r>
    </w:p>
    <w:p w14:paraId="44887CC1">
      <w:pPr>
        <w:pStyle w:val="46"/>
        <w:spacing w:line="360" w:lineRule="exact"/>
        <w:ind w:firstLine="440" w:firstLineChars="200"/>
        <w:rPr>
          <w:color w:val="auto"/>
          <w:sz w:val="22"/>
          <w:highlight w:val="none"/>
        </w:rPr>
      </w:pPr>
      <w:r>
        <w:rPr>
          <w:rFonts w:hint="eastAsia"/>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6DE73153">
      <w:pPr>
        <w:pStyle w:val="46"/>
        <w:spacing w:line="360" w:lineRule="exact"/>
        <w:ind w:firstLine="440" w:firstLineChars="200"/>
        <w:rPr>
          <w:color w:val="auto"/>
          <w:sz w:val="22"/>
          <w:highlight w:val="none"/>
        </w:rPr>
      </w:pPr>
      <w:r>
        <w:rPr>
          <w:rFonts w:hint="eastAsia"/>
          <w:color w:val="auto"/>
          <w:sz w:val="22"/>
          <w:highlight w:val="none"/>
        </w:rPr>
        <w:t>3.1.4其他应准备的事项。</w:t>
      </w:r>
    </w:p>
    <w:p w14:paraId="662E278E">
      <w:pPr>
        <w:pStyle w:val="11"/>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13011269">
      <w:pPr>
        <w:pStyle w:val="14"/>
        <w:spacing w:line="360" w:lineRule="exact"/>
        <w:ind w:firstLine="440" w:firstLineChars="200"/>
        <w:rPr>
          <w:rFonts w:hAnsi="宋体" w:cs="宋体"/>
          <w:color w:val="auto"/>
          <w:spacing w:val="-6"/>
          <w:sz w:val="22"/>
          <w:highlight w:val="none"/>
        </w:rPr>
      </w:pPr>
      <w:r>
        <w:rPr>
          <w:rFonts w:hint="eastAsia" w:hAnsi="宋体" w:cs="宋体"/>
          <w:color w:val="auto"/>
          <w:sz w:val="22"/>
          <w:highlight w:val="none"/>
        </w:rPr>
        <w:t>3.2.1</w:t>
      </w:r>
      <w:r>
        <w:rPr>
          <w:rFonts w:hint="eastAsia" w:hAnsi="宋体" w:cs="宋体"/>
          <w:color w:val="auto"/>
          <w:spacing w:val="-6"/>
          <w:sz w:val="22"/>
          <w:highlight w:val="none"/>
        </w:rPr>
        <w:t>开启评审场地的录音录像采集设备，并确保其正常运行。</w:t>
      </w:r>
    </w:p>
    <w:p w14:paraId="61CA5EEE">
      <w:pPr>
        <w:pStyle w:val="26"/>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3.2.2解密</w:t>
      </w:r>
    </w:p>
    <w:p w14:paraId="3D08F65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475E6903">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68F6A833">
      <w:pPr>
        <w:pStyle w:val="14"/>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710BEBC7">
      <w:pPr>
        <w:pStyle w:val="14"/>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51F0AE7A">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投标人不足3家的，不得开标。</w:t>
      </w:r>
    </w:p>
    <w:p w14:paraId="489FFFE9">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3.2.3投标文件解密结束，组织投标人签署《政府采购活动现场确认声明书》，格式详见附件。</w:t>
      </w:r>
    </w:p>
    <w:p w14:paraId="08C8BA78">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3.2.4采购代理机构对资格进行审查。</w:t>
      </w:r>
    </w:p>
    <w:p w14:paraId="481E66A4">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3.2.5评审小组对商务技术文件进行评审。</w:t>
      </w:r>
    </w:p>
    <w:p w14:paraId="4429BCAC">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3.2.6评审小组对报价情况进行评审。</w:t>
      </w:r>
    </w:p>
    <w:p w14:paraId="564B9FE0">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3.2.7在系统上公布评审结果。</w:t>
      </w:r>
    </w:p>
    <w:p w14:paraId="3DFA533B">
      <w:pPr>
        <w:pStyle w:val="14"/>
        <w:widowControl w:val="0"/>
        <w:spacing w:line="360" w:lineRule="exact"/>
        <w:ind w:firstLine="440" w:firstLineChars="200"/>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53014FFB">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08447038">
      <w:pPr>
        <w:pStyle w:val="14"/>
        <w:spacing w:line="360" w:lineRule="exact"/>
        <w:ind w:firstLine="416" w:firstLineChars="200"/>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6101DFAF">
      <w:pPr>
        <w:pStyle w:val="14"/>
        <w:spacing w:line="360" w:lineRule="exact"/>
        <w:ind w:firstLine="440" w:firstLineChars="200"/>
        <w:rPr>
          <w:rFonts w:hAnsi="宋体" w:cs="宋体"/>
          <w:color w:val="auto"/>
          <w:spacing w:val="-6"/>
          <w:sz w:val="22"/>
          <w:highlight w:val="none"/>
        </w:rPr>
      </w:pPr>
      <w:r>
        <w:rPr>
          <w:rFonts w:hint="eastAsia" w:hAnsi="宋体" w:cs="宋体"/>
          <w:color w:val="auto"/>
          <w:sz w:val="22"/>
          <w:highlight w:val="none"/>
        </w:rPr>
        <w:t>4.1</w:t>
      </w:r>
      <w:r>
        <w:rPr>
          <w:rFonts w:hint="eastAsia" w:hAnsi="宋体" w:cs="宋体"/>
          <w:color w:val="auto"/>
          <w:spacing w:val="-6"/>
          <w:sz w:val="22"/>
          <w:highlight w:val="none"/>
        </w:rPr>
        <w:t>开启评审场地的录音录像采集设备，并确保其正常运行。</w:t>
      </w:r>
    </w:p>
    <w:p w14:paraId="0A3CF2B9">
      <w:pPr>
        <w:pStyle w:val="14"/>
        <w:spacing w:line="360" w:lineRule="exact"/>
        <w:ind w:firstLine="440" w:firstLineChars="200"/>
        <w:rPr>
          <w:rFonts w:hAnsi="宋体" w:cs="宋体"/>
          <w:color w:val="auto"/>
          <w:spacing w:val="-6"/>
          <w:sz w:val="22"/>
          <w:highlight w:val="none"/>
        </w:rPr>
      </w:pPr>
      <w:r>
        <w:rPr>
          <w:rFonts w:hint="eastAsia" w:hAnsi="宋体" w:cs="宋体"/>
          <w:color w:val="auto"/>
          <w:sz w:val="22"/>
          <w:highlight w:val="none"/>
        </w:rPr>
        <w:t>4.2</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4492D30F">
      <w:pPr>
        <w:pStyle w:val="14"/>
        <w:spacing w:line="360" w:lineRule="exact"/>
        <w:ind w:firstLine="416" w:firstLineChars="200"/>
        <w:rPr>
          <w:rFonts w:hAnsi="宋体" w:cs="宋体"/>
          <w:color w:val="auto"/>
          <w:spacing w:val="-6"/>
          <w:sz w:val="22"/>
          <w:highlight w:val="none"/>
        </w:rPr>
      </w:pPr>
      <w:r>
        <w:rPr>
          <w:rFonts w:hint="eastAsia" w:hAnsi="宋体" w:cs="宋体"/>
          <w:color w:val="auto"/>
          <w:spacing w:val="-6"/>
          <w:sz w:val="22"/>
          <w:highlight w:val="none"/>
        </w:rPr>
        <w:t>4.3介绍评审现场的人员情况，宣布评审工作纪律，告知评审小组应当回避情形；组织推选评审小组组长。</w:t>
      </w:r>
    </w:p>
    <w:p w14:paraId="5AAD76C6">
      <w:pPr>
        <w:pStyle w:val="14"/>
        <w:spacing w:line="360" w:lineRule="exact"/>
        <w:ind w:firstLine="440" w:firstLineChars="200"/>
        <w:rPr>
          <w:rFonts w:hAnsi="宋体" w:cs="宋体"/>
          <w:color w:val="auto"/>
          <w:spacing w:val="-6"/>
          <w:sz w:val="22"/>
          <w:highlight w:val="none"/>
        </w:rPr>
      </w:pPr>
      <w:r>
        <w:rPr>
          <w:rFonts w:hint="eastAsia" w:hAnsi="宋体" w:cs="宋体"/>
          <w:color w:val="auto"/>
          <w:sz w:val="22"/>
          <w:highlight w:val="none"/>
        </w:rPr>
        <w:t>4.4宣布获取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1BFCB898">
      <w:pPr>
        <w:pStyle w:val="14"/>
        <w:spacing w:line="360" w:lineRule="exact"/>
        <w:ind w:firstLine="416" w:firstLineChars="200"/>
        <w:rPr>
          <w:rFonts w:hAnsi="宋体" w:cs="宋体"/>
          <w:color w:val="auto"/>
          <w:spacing w:val="-6"/>
          <w:sz w:val="22"/>
          <w:highlight w:val="none"/>
        </w:rPr>
      </w:pPr>
      <w:r>
        <w:rPr>
          <w:rFonts w:hint="eastAsia" w:hAnsi="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39E726AA">
      <w:pPr>
        <w:pStyle w:val="46"/>
        <w:spacing w:line="360" w:lineRule="exact"/>
        <w:ind w:firstLine="416" w:firstLineChars="200"/>
        <w:rPr>
          <w:color w:val="auto"/>
          <w:spacing w:val="-6"/>
          <w:sz w:val="22"/>
          <w:highlight w:val="none"/>
        </w:rPr>
      </w:pPr>
      <w:r>
        <w:rPr>
          <w:rFonts w:hint="eastAsia"/>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46B18E26">
      <w:pPr>
        <w:pStyle w:val="14"/>
        <w:spacing w:line="360" w:lineRule="exact"/>
        <w:ind w:firstLine="416" w:firstLineChars="200"/>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3743F050">
      <w:pPr>
        <w:pStyle w:val="14"/>
        <w:spacing w:line="360" w:lineRule="exact"/>
        <w:ind w:firstLine="416" w:firstLineChars="200"/>
        <w:rPr>
          <w:rFonts w:hAnsi="宋体" w:cs="宋体"/>
          <w:b/>
          <w:bCs/>
          <w:color w:val="auto"/>
          <w:sz w:val="22"/>
          <w:highlight w:val="none"/>
        </w:rPr>
      </w:pPr>
      <w:r>
        <w:rPr>
          <w:rFonts w:hint="eastAsia" w:hAnsi="宋体" w:cs="宋体"/>
          <w:color w:val="auto"/>
          <w:spacing w:val="-6"/>
          <w:sz w:val="22"/>
          <w:highlight w:val="none"/>
        </w:rPr>
        <w:t>4.7评审结束后，采购代理机构交还评审人员及其他现场相关人员的通讯工具。</w:t>
      </w:r>
    </w:p>
    <w:p w14:paraId="190DB4CD">
      <w:pPr>
        <w:spacing w:line="40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14:paraId="0B822133">
      <w:pPr>
        <w:pStyle w:val="14"/>
        <w:overflowPunct/>
        <w:autoSpaceDE/>
        <w:autoSpaceDN/>
        <w:spacing w:line="400" w:lineRule="exact"/>
        <w:ind w:firstLine="440" w:firstLineChars="200"/>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68876929">
      <w:pPr>
        <w:pStyle w:val="14"/>
        <w:spacing w:line="360" w:lineRule="exact"/>
        <w:ind w:firstLine="416" w:firstLineChars="200"/>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14:paraId="6DA72756">
      <w:pPr>
        <w:pStyle w:val="14"/>
        <w:spacing w:line="360" w:lineRule="exact"/>
        <w:ind w:firstLine="416" w:firstLineChars="200"/>
        <w:rPr>
          <w:rFonts w:hAnsi="宋体" w:cs="宋体"/>
          <w:color w:val="auto"/>
          <w:spacing w:val="-6"/>
          <w:sz w:val="22"/>
          <w:highlight w:val="none"/>
          <w:u w:val="single"/>
        </w:rPr>
      </w:pPr>
      <w:r>
        <w:rPr>
          <w:rFonts w:hint="eastAsia" w:hAnsi="宋体" w:cs="宋体"/>
          <w:color w:val="auto"/>
          <w:spacing w:val="-6"/>
          <w:sz w:val="22"/>
          <w:highlight w:val="none"/>
          <w:u w:val="single"/>
        </w:rPr>
        <w:t>（2）仅递交备份投标文件的；</w:t>
      </w:r>
    </w:p>
    <w:p w14:paraId="2BBD649A">
      <w:pPr>
        <w:pStyle w:val="14"/>
        <w:spacing w:line="360" w:lineRule="exact"/>
        <w:ind w:firstLine="416" w:firstLineChars="200"/>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14:paraId="1ADA6956">
      <w:pPr>
        <w:spacing w:line="360" w:lineRule="exact"/>
        <w:ind w:firstLine="416" w:firstLineChars="200"/>
        <w:rPr>
          <w:rFonts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电子投标文件解密失败的，且未在规定时间内提交备份投标文件的视为投标无效。</w:t>
      </w:r>
    </w:p>
    <w:p w14:paraId="5F96DB57">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101B925D">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6B2EE19F">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（2）资格审查材料未按招标文件要求签署、盖章的；</w:t>
      </w:r>
    </w:p>
    <w:p w14:paraId="38A2599C">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（3）不具备招标文件中规定的资格条件的；</w:t>
      </w:r>
    </w:p>
    <w:p w14:paraId="0EAA2AB1">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（4）经查询存在不良信用记录的。</w:t>
      </w:r>
    </w:p>
    <w:p w14:paraId="76B407CB">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1C23ACFD">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（1）“商务和技术文件”未按招标文件要求签署、盖章的；</w:t>
      </w:r>
    </w:p>
    <w:p w14:paraId="569CBDF8">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（2）未提供合法、有效有效授权委托书；法定代表人或委托授权代表与投标文件所附身份证明不符；</w:t>
      </w:r>
    </w:p>
    <w:p w14:paraId="36B80197">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（3）明显不符合招标文件实质性要求或者与招标文件中标“▲且加下划线”的内容发生实质性偏离的；</w:t>
      </w:r>
    </w:p>
    <w:p w14:paraId="7F557A6F">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（4）未提供或未如实提供采购需求偏离表的；</w:t>
      </w:r>
    </w:p>
    <w:p w14:paraId="7133BA48">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（5）未提供或未如实提供投标项目的技术参数，或者投标文件标明的响应或偏离与事实不符或虚假投标的；</w:t>
      </w:r>
    </w:p>
    <w:p w14:paraId="5B4CE3CA">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（6）投标有效期不能满足招标文件要求的；</w:t>
      </w:r>
    </w:p>
    <w:p w14:paraId="5C2D10B7">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（7）投标技术方案不明确，存在一个或一个以上备选（替代）投标方案的；</w:t>
      </w:r>
    </w:p>
    <w:p w14:paraId="0B94BD87">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（8）投标文件含有采购人不能接受的附加条件的；</w:t>
      </w:r>
    </w:p>
    <w:p w14:paraId="6AECF2CF">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（9）在“资格文件”或“商务和技术文件”中出现投标报价的；</w:t>
      </w:r>
    </w:p>
    <w:p w14:paraId="1B0B9BA1">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（10）法律、法规和招标文件中规定的其他无效情形的。</w:t>
      </w:r>
    </w:p>
    <w:p w14:paraId="216B3D4D">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6410152F">
      <w:pPr>
        <w:spacing w:line="400" w:lineRule="exact"/>
        <w:ind w:left="420" w:left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69D7AAA3">
      <w:pPr>
        <w:spacing w:line="400" w:lineRule="exact"/>
        <w:ind w:left="420" w:left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3DF367E1">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（3）报价超出招标文件中规定的预算金额或者最高限价的；</w:t>
      </w:r>
    </w:p>
    <w:p w14:paraId="7551C046">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（4）投标报价具有选择性，或者开标价格与投标文件承诺的优惠（折扣）价格不一致的；</w:t>
      </w:r>
    </w:p>
    <w:p w14:paraId="2438BD2E">
      <w:pPr>
        <w:spacing w:line="400" w:lineRule="exact"/>
        <w:ind w:firstLine="440" w:firstLineChars="200"/>
        <w:rPr>
          <w:rFonts w:ascii="宋体" w:hAnsi="宋体" w:cs="宋体"/>
          <w:color w:val="auto"/>
          <w:kern w:val="0"/>
          <w:sz w:val="22"/>
          <w:highlight w:val="none"/>
          <w:u w:val="singl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3AB51291">
      <w:pPr>
        <w:spacing w:line="400" w:lineRule="exact"/>
        <w:ind w:firstLine="440" w:firstLineChars="200"/>
        <w:rPr>
          <w:rFonts w:ascii="宋体" w:hAnsi="宋体" w:cs="宋体"/>
          <w:color w:val="auto"/>
          <w:kern w:val="0"/>
          <w:sz w:val="22"/>
          <w:highlight w:val="none"/>
          <w:u w:val="single"/>
        </w:rPr>
      </w:pPr>
      <w:r>
        <w:rPr>
          <w:rFonts w:hint="eastAsia" w:ascii="宋体" w:hAnsi="宋体" w:cs="宋体"/>
          <w:color w:val="auto"/>
          <w:sz w:val="22"/>
          <w:highlight w:val="none"/>
          <w:u w:val="single"/>
        </w:rPr>
        <w:t>（6）</w:t>
      </w:r>
      <w:r>
        <w:rPr>
          <w:rFonts w:hint="eastAsia" w:ascii="宋体" w:hAnsi="宋体" w:cs="宋体"/>
          <w:color w:val="auto"/>
          <w:kern w:val="0"/>
          <w:sz w:val="22"/>
          <w:highlight w:val="none"/>
          <w:u w:val="single"/>
        </w:rPr>
        <w:t>投标人报价低于项目预算50%（含）的，未在报价文件中详细阐述不影响产品质量或者诚信履约的具体原因的（包括项目具体成本测算与报价合理性相关的说明、材料等）或阐述了具体原因但评审小组认为不能证明其报价合理性的；应当将其作为无效投标处理。</w:t>
      </w:r>
    </w:p>
    <w:p w14:paraId="028EDF68">
      <w:pPr>
        <w:spacing w:line="400" w:lineRule="exact"/>
        <w:ind w:firstLine="440" w:firstLineChars="200"/>
        <w:rPr>
          <w:rFonts w:ascii="宋体" w:hAnsi="宋体" w:cs="宋体"/>
          <w:color w:val="auto"/>
          <w:sz w:val="22"/>
          <w:highlight w:val="none"/>
          <w:u w:val="single"/>
        </w:rPr>
      </w:pPr>
      <w:r>
        <w:rPr>
          <w:rFonts w:hint="eastAsia" w:ascii="宋体" w:hAnsi="宋体" w:cs="宋体"/>
          <w:color w:val="auto"/>
          <w:kern w:val="0"/>
          <w:sz w:val="22"/>
          <w:highlight w:val="none"/>
          <w:u w:val="single"/>
        </w:rPr>
        <w:t>评审现场，评审小组认为投标人的报价明显低于其他通过符合性审查投标人的报价，有可能影响产品质量或者不能诚信履约的，应当要求其在评标现场规定的时间内提供书面说明及必要的相关证明材料（书面说明及证明材料主要是项目具体成本测算与报价合理性相关的说明、材料等），对投标价格作出解释。投标人不提供“书面说明及证明材料”或者提供的“书面说明及证明材料”不能证明其报价合理性的，应当将其作为无效投标处理（</w:t>
      </w:r>
      <w:r>
        <w:rPr>
          <w:rFonts w:hint="eastAsia" w:ascii="宋体" w:hAnsi="宋体" w:cs="宋体"/>
          <w:color w:val="auto"/>
          <w:sz w:val="22"/>
          <w:highlight w:val="none"/>
          <w:u w:val="single"/>
        </w:rPr>
        <w:t>人员的薪资不低于当地规定的最新现行标准，若经测算发现投标人的报价低于该标准，则其投标作无效标处理。</w:t>
      </w:r>
      <w:r>
        <w:rPr>
          <w:rFonts w:hint="eastAsia" w:ascii="宋体" w:hAnsi="宋体" w:cs="宋体"/>
          <w:color w:val="auto"/>
          <w:kern w:val="0"/>
          <w:sz w:val="22"/>
          <w:highlight w:val="none"/>
          <w:u w:val="single"/>
        </w:rPr>
        <w:t>）。</w:t>
      </w:r>
    </w:p>
    <w:p w14:paraId="29A4C08B">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，由采购人或采购代理机构上报采购监督管理部门，视情列入不良行为记录名单，在一至三年内禁止参加政府采购活动：</w:t>
      </w:r>
    </w:p>
    <w:p w14:paraId="6BA1433E">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r>
        <w:rPr>
          <w:rFonts w:hint="eastAsia" w:ascii="仿宋" w:hAnsi="仿宋" w:eastAsia="仿宋" w:cs="仿宋_GB2312"/>
          <w:color w:val="000000"/>
          <w:spacing w:val="-20"/>
          <w:kern w:val="0"/>
          <w:szCs w:val="21"/>
          <w:highlight w:val="none"/>
          <w:u w:val="single"/>
        </w:rPr>
        <w:t>（同一IP地址上传投标、响应文件）</w:t>
      </w:r>
      <w:r>
        <w:rPr>
          <w:rFonts w:hint="eastAsia" w:ascii="宋体" w:hAnsi="宋体" w:cs="宋体"/>
          <w:color w:val="auto"/>
          <w:sz w:val="22"/>
          <w:highlight w:val="none"/>
          <w:u w:val="single"/>
          <w:lang w:val="zh-CN"/>
        </w:rPr>
        <w:t>；</w:t>
      </w:r>
    </w:p>
    <w:p w14:paraId="64C20636">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5D288BA2">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025FF1BC">
      <w:pPr>
        <w:spacing w:line="40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643BBC3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7380053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6</w:t>
      </w:r>
      <w:r>
        <w:rPr>
          <w:rFonts w:hint="eastAsia" w:ascii="宋体" w:hAnsi="宋体" w:cs="宋体"/>
          <w:color w:val="auto"/>
          <w:sz w:val="22"/>
          <w:highlight w:val="none"/>
          <w:u w:val="single"/>
        </w:rPr>
        <w:t>参与同一个采购包（标段）的供应商存在下列情形之一且无法合理解释的，其投标（响应）文件无效：</w:t>
      </w:r>
    </w:p>
    <w:p w14:paraId="6CE88B9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（1）不同供应商的电子投标（响应）文件上传计算机的网卡MAC地址或硬盘序列号等硬件信息相同的；</w:t>
      </w:r>
    </w:p>
    <w:p w14:paraId="2544F6F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（2）上传的电子投标（响应）文件若出现使用本项目其他投标（响应）供应商的数字证书加密的，或者加盖本项目其他投标（响应）供应商的电子印章的；</w:t>
      </w:r>
    </w:p>
    <w:p w14:paraId="33A58F9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（3）不同供应商的投标（响应）文件的内容存在</w:t>
      </w:r>
      <w:r>
        <w:rPr>
          <w:rFonts w:hint="eastAsia" w:ascii="宋体" w:hAnsi="宋体" w:cs="宋体"/>
          <w:color w:val="auto"/>
          <w:sz w:val="22"/>
          <w:highlight w:val="none"/>
          <w:u w:val="single"/>
          <w:lang w:eastAsia="zh"/>
        </w:rPr>
        <w:t>3</w:t>
      </w:r>
      <w:r>
        <w:rPr>
          <w:rFonts w:hint="eastAsia" w:ascii="宋体" w:hAnsi="宋体" w:cs="宋体"/>
          <w:color w:val="auto"/>
          <w:sz w:val="22"/>
          <w:highlight w:val="none"/>
          <w:u w:val="single"/>
        </w:rPr>
        <w:t>处（含）以上错误一致的；</w:t>
      </w:r>
    </w:p>
    <w:p w14:paraId="29E585A1">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（4）不同供应商联系人为同一人或不同联系人的联系电话一致的。</w:t>
      </w:r>
    </w:p>
    <w:p w14:paraId="7F12D733">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6.错误修正</w:t>
      </w:r>
    </w:p>
    <w:p w14:paraId="7EA501CF">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66FF5FB5">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4C9F83E5">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64801D33">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175A1162">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3564D0A4">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135349AB">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14B0FC54">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563A2A6E">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7.投标文件的澄清</w:t>
      </w:r>
    </w:p>
    <w:p w14:paraId="5F64F031">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1F6D4E18">
      <w:pPr>
        <w:pStyle w:val="14"/>
        <w:tabs>
          <w:tab w:val="left" w:pos="0"/>
        </w:tabs>
        <w:spacing w:line="40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593FE66F">
      <w:pPr>
        <w:tabs>
          <w:tab w:val="left" w:pos="1365"/>
        </w:tabs>
        <w:spacing w:line="400" w:lineRule="exact"/>
        <w:ind w:firstLine="440" w:firstLineChars="200"/>
        <w:rPr>
          <w:rFonts w:ascii="宋体" w:hAnsi="宋体" w:cs="宋体"/>
          <w:b/>
          <w:color w:val="auto"/>
          <w:sz w:val="22"/>
          <w:highlight w:val="none"/>
          <w:u w:val="single"/>
        </w:rPr>
      </w:pPr>
      <w:r>
        <w:rPr>
          <w:rFonts w:hint="eastAsia" w:ascii="宋体" w:hAnsi="宋体" w:cs="宋体"/>
          <w:color w:val="auto"/>
          <w:sz w:val="22"/>
          <w:highlight w:val="none"/>
        </w:rPr>
        <w:t>7.3采用书面形式的澄清、说明或者更正，在规定时间内（不少于半小时）通过指定的途径提交。</w:t>
      </w:r>
    </w:p>
    <w:p w14:paraId="53B3E5A4">
      <w:pPr>
        <w:pStyle w:val="14"/>
        <w:tabs>
          <w:tab w:val="left" w:pos="630"/>
        </w:tabs>
        <w:overflowPunct/>
        <w:autoSpaceDE/>
        <w:autoSpaceDN/>
        <w:spacing w:line="400" w:lineRule="exact"/>
        <w:ind w:firstLine="433" w:firstLineChars="196"/>
        <w:rPr>
          <w:rFonts w:hAnsi="宋体" w:cs="宋体"/>
          <w:color w:val="auto"/>
          <w:sz w:val="22"/>
          <w:highlight w:val="none"/>
          <w:u w:val="single"/>
        </w:rPr>
      </w:pPr>
      <w:r>
        <w:rPr>
          <w:rFonts w:hint="eastAsia" w:hAnsi="宋体" w:cs="宋体"/>
          <w:b/>
          <w:color w:val="auto"/>
          <w:sz w:val="22"/>
          <w:highlight w:val="none"/>
          <w:u w:val="single"/>
        </w:rPr>
        <w:t>▲</w:t>
      </w:r>
      <w:r>
        <w:rPr>
          <w:rFonts w:hint="eastAsia" w:hAnsi="宋体" w:cs="宋体"/>
          <w:color w:val="auto"/>
          <w:sz w:val="22"/>
          <w:highlight w:val="none"/>
          <w:u w:val="single"/>
        </w:rPr>
        <w:t>7.4经澄清后，若偏差仍存在，且不可接受，投标人则被认为是“没有实质性响应招标文件要求”，其投标不进入下一步评审</w:t>
      </w:r>
    </w:p>
    <w:p w14:paraId="46D24D0F">
      <w:pPr>
        <w:pStyle w:val="14"/>
        <w:tabs>
          <w:tab w:val="left" w:pos="630"/>
        </w:tabs>
        <w:overflowPunct/>
        <w:autoSpaceDE/>
        <w:autoSpaceDN/>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8.评标原则和评标办法</w:t>
      </w:r>
    </w:p>
    <w:p w14:paraId="0330E516">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5C02B685">
      <w:pPr>
        <w:pStyle w:val="26"/>
        <w:spacing w:before="0" w:beforeAutospacing="0" w:after="0" w:afterAutospacing="0" w:line="40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6069253D">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1CFF6B5C">
      <w:pPr>
        <w:pStyle w:val="14"/>
        <w:overflowPunct/>
        <w:autoSpaceDE/>
        <w:autoSpaceDN/>
        <w:spacing w:line="400" w:lineRule="exact"/>
        <w:ind w:firstLine="440" w:firstLineChars="200"/>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4BEDF776">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8.5评标过程中遇到特殊情况，由评审小组遵循公开、公正原则，采取投票方式按照少数服从多数原则决定。</w:t>
      </w:r>
    </w:p>
    <w:p w14:paraId="582D0615">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8.6《中华人民共和国政府采购法》第三十六条 在招标采购中，出现下列情形之一的，应予废标：</w:t>
      </w:r>
    </w:p>
    <w:p w14:paraId="662FE9AC">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3DE0D564">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14:paraId="7E8917C7">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14:paraId="7818766F">
      <w:pPr>
        <w:pStyle w:val="14"/>
        <w:overflowPunct/>
        <w:autoSpaceDE/>
        <w:autoSpaceDN/>
        <w:spacing w:line="400" w:lineRule="exact"/>
        <w:ind w:firstLine="442" w:firstLineChars="200"/>
        <w:rPr>
          <w:rFonts w:hAnsi="宋体" w:cs="宋体"/>
          <w:b/>
          <w:bCs/>
          <w:color w:val="auto"/>
          <w:sz w:val="22"/>
          <w:highlight w:val="none"/>
        </w:rPr>
      </w:pPr>
      <w:r>
        <w:rPr>
          <w:rFonts w:hint="eastAsia" w:hAnsi="宋体" w:cs="宋体"/>
          <w:b/>
          <w:bCs/>
          <w:color w:val="auto"/>
          <w:sz w:val="22"/>
          <w:highlight w:val="none"/>
        </w:rPr>
        <w:t>（四）因重大变故，采购任务取消的。</w:t>
      </w:r>
    </w:p>
    <w:p w14:paraId="1DCB31F1">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60D08F87">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71A6DB52">
      <w:pPr>
        <w:tabs>
          <w:tab w:val="left" w:pos="1365"/>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6251ECCF">
      <w:pPr>
        <w:widowControl/>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上述情形采购人可以直接确定排名第二的中标候选人为中标人，也可重新组织采购。</w:t>
      </w:r>
    </w:p>
    <w:p w14:paraId="479BF0A0">
      <w:pPr>
        <w:tabs>
          <w:tab w:val="left" w:pos="136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70AA27C3">
      <w:pPr>
        <w:tabs>
          <w:tab w:val="left" w:pos="1365"/>
        </w:tabs>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2F45E0CB">
      <w:pPr>
        <w:pStyle w:val="14"/>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156B109F">
      <w:pPr>
        <w:pStyle w:val="14"/>
        <w:spacing w:line="40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14:paraId="79DB0AD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color w:val="auto"/>
          <w:spacing w:val="-20"/>
          <w:kern w:val="0"/>
          <w:sz w:val="22"/>
          <w:highlight w:val="none"/>
        </w:rPr>
        <w:t>在采购结果确认环节，中标（成交）候选人撤销投标（响应）文件不能成为采购人不确认采购结果的正当理由。</w:t>
      </w:r>
    </w:p>
    <w:p w14:paraId="63594932">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68F6426C">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11.采购结果复核</w:t>
      </w:r>
    </w:p>
    <w:p w14:paraId="19FDA7B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在评审结束后、合同签订前，采购人、采购代理机构应及时通过网站查询、原件核对等方式对中标人在投标文件中涉及客观分评审内容的检测报告、认证证书等资料的真实性进行复核，复核情况详细记录，并纳入采购档案。发现供应商提供虚假材料的，应及时书面报告本级财政部门。</w:t>
      </w:r>
    </w:p>
    <w:p w14:paraId="18B039EF">
      <w:pPr>
        <w:spacing w:before="240" w:after="240" w:line="400" w:lineRule="exact"/>
        <w:ind w:firstLine="522" w:firstLineChars="200"/>
        <w:jc w:val="center"/>
        <w:outlineLvl w:val="1"/>
        <w:rPr>
          <w:rFonts w:ascii="宋体" w:hAnsi="宋体" w:cs="宋体"/>
          <w:b/>
          <w:color w:val="auto"/>
          <w:sz w:val="26"/>
          <w:highlight w:val="none"/>
        </w:rPr>
      </w:pPr>
      <w:bookmarkStart w:id="10" w:name="_Toc15975"/>
      <w:r>
        <w:rPr>
          <w:rFonts w:hint="eastAsia" w:ascii="宋体" w:hAnsi="宋体" w:cs="宋体"/>
          <w:b/>
          <w:color w:val="auto"/>
          <w:sz w:val="26"/>
          <w:highlight w:val="none"/>
        </w:rPr>
        <w:t>六、授予合同</w:t>
      </w:r>
      <w:bookmarkEnd w:id="10"/>
    </w:p>
    <w:p w14:paraId="75B6C4F6">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5E9DE4E">
      <w:pPr>
        <w:spacing w:line="40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中标后无正当理由拒不与采购人签订政府采购合同，将取消中标资格，并处以采购金额千分之五以上千分之十以下的罚款，由采购监督管理部门列入不良行为记录名单，在一至三年内禁止参加政府采购活动，有违法所得的，并处没收违法所得。</w:t>
      </w:r>
    </w:p>
    <w:p w14:paraId="1793A39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标人在政府采购活动中违反政府采购相关规定给采购组织机构造成损失的，投标人承担赔偿责任；中标投标人放弃中标资格导致重新采购的，应当承担支付采购代理服务费和专家评审费等费用在内的赔偿责任。</w:t>
      </w:r>
    </w:p>
    <w:p w14:paraId="36768B6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4.采购人不得向投标人索要或者接受其给予的赠品、回扣或者与采购无关的其他商品、服务。采购过程（</w:t>
      </w:r>
      <w:r>
        <w:rPr>
          <w:rFonts w:hint="eastAsia" w:ascii="宋体" w:hAnsi="宋体" w:cs="宋体"/>
          <w:color w:val="auto"/>
          <w:spacing w:val="6"/>
          <w:sz w:val="22"/>
          <w:highlight w:val="none"/>
          <w:lang w:eastAsia="zh-CN"/>
        </w:rPr>
        <w:t>招标文件</w:t>
      </w:r>
      <w:r>
        <w:rPr>
          <w:rFonts w:hint="eastAsia" w:ascii="宋体" w:hAnsi="宋体" w:cs="宋体"/>
          <w:color w:val="auto"/>
          <w:spacing w:val="6"/>
          <w:sz w:val="22"/>
          <w:highlight w:val="none"/>
        </w:rPr>
        <w:t>）中应明确以下要求：</w:t>
      </w:r>
    </w:p>
    <w:p w14:paraId="5BA7660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4.1不得明示或暗示投标人提供赠品、回扣、采购预算中本身不包含的其他商品或服务；</w:t>
      </w:r>
    </w:p>
    <w:p w14:paraId="29987CB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4.2投标人承诺提供赠品、回扣、采购预算中本身不包含的其他商品或服务，视作无效承诺；不得因无效承诺对投标人实行差别待遇或者歧视待遇；</w:t>
      </w:r>
    </w:p>
    <w:p w14:paraId="12A308FF">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4.3合同单价不为零，报价明细表中部分产品、服务单价为零的，视作已包含在报价中（</w:t>
      </w:r>
      <w:r>
        <w:rPr>
          <w:rFonts w:hint="eastAsia" w:ascii="宋体" w:hAnsi="宋体" w:cs="宋体"/>
          <w:color w:val="auto"/>
          <w:spacing w:val="6"/>
          <w:sz w:val="22"/>
          <w:highlight w:val="none"/>
          <w:lang w:eastAsia="zh-CN"/>
        </w:rPr>
        <w:t>招标文件</w:t>
      </w:r>
      <w:r>
        <w:rPr>
          <w:rFonts w:hint="eastAsia" w:ascii="宋体" w:hAnsi="宋体" w:cs="宋体"/>
          <w:color w:val="auto"/>
          <w:spacing w:val="6"/>
          <w:sz w:val="22"/>
          <w:highlight w:val="none"/>
        </w:rPr>
        <w:t>中明确）；</w:t>
      </w:r>
    </w:p>
    <w:p w14:paraId="6371ADB0">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4.4不得将投标人提供赠品、回扣、采购预算中本身不包含的其他商品或服务作为中标（成交）条件或者合同签订条件；</w:t>
      </w:r>
    </w:p>
    <w:p w14:paraId="26BDDD0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4.5合同签订后，不得接受投标人无效承诺的赠品、回扣、采购预算中本身不包含的其他商品或服务；</w:t>
      </w:r>
    </w:p>
    <w:p w14:paraId="209EE90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4.6合同签订后，不得向投标人索要赠品、回扣、采购预算中本身不包含的其他商品或服务；</w:t>
      </w:r>
    </w:p>
    <w:p w14:paraId="5D8E9D2B">
      <w:pPr>
        <w:spacing w:line="360" w:lineRule="exact"/>
        <w:ind w:firstLine="464" w:firstLineChars="200"/>
        <w:rPr>
          <w:rFonts w:ascii="宋体" w:hAnsi="宋体" w:cs="宋体"/>
          <w:b/>
          <w:color w:val="auto"/>
          <w:sz w:val="26"/>
          <w:highlight w:val="none"/>
        </w:rPr>
      </w:pPr>
      <w:r>
        <w:rPr>
          <w:rFonts w:hint="eastAsia" w:ascii="宋体" w:hAnsi="宋体" w:cs="宋体"/>
          <w:color w:val="auto"/>
          <w:spacing w:val="6"/>
          <w:sz w:val="22"/>
          <w:highlight w:val="none"/>
        </w:rPr>
        <w:t>4.7履约验收环节，不得因投标人提供赠品、回扣、采购预算中本身不包含的其他商品或服务减免投标人违约责任。</w:t>
      </w:r>
    </w:p>
    <w:p w14:paraId="6E399702">
      <w:pPr>
        <w:spacing w:before="240" w:after="240" w:line="400" w:lineRule="exact"/>
        <w:ind w:firstLine="522" w:firstLineChars="200"/>
        <w:jc w:val="center"/>
        <w:outlineLvl w:val="1"/>
        <w:rPr>
          <w:rFonts w:ascii="宋体" w:hAnsi="宋体" w:cs="宋体"/>
          <w:b/>
          <w:color w:val="auto"/>
          <w:sz w:val="26"/>
          <w:highlight w:val="none"/>
        </w:rPr>
      </w:pPr>
      <w:bookmarkStart w:id="11" w:name="_Toc25420"/>
      <w:r>
        <w:rPr>
          <w:rFonts w:hint="eastAsia" w:ascii="宋体" w:hAnsi="宋体" w:cs="宋体"/>
          <w:b/>
          <w:color w:val="auto"/>
          <w:sz w:val="26"/>
          <w:highlight w:val="none"/>
        </w:rPr>
        <w:t>七、可中止电子交易活动的情形</w:t>
      </w:r>
      <w:bookmarkEnd w:id="11"/>
    </w:p>
    <w:p w14:paraId="06097CEE">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04CD29E1">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（一）电子交易平台发生故障而无法登录访问的； </w:t>
      </w:r>
    </w:p>
    <w:p w14:paraId="5EBD0D3A">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（二）电子交易平台应用或数据库出现错误，不能进行正常操作的；</w:t>
      </w:r>
    </w:p>
    <w:p w14:paraId="4D03FBA6">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（三）电子交易平台发现严重安全漏洞，有潜在泄密危险的；</w:t>
      </w:r>
    </w:p>
    <w:p w14:paraId="469FED88">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（四）病毒发作导致不能进行正常操作的； </w:t>
      </w:r>
    </w:p>
    <w:p w14:paraId="1D271F29">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（五）其他无法保证电子交易的公平、公正和安全的情况。</w:t>
      </w:r>
    </w:p>
    <w:p w14:paraId="0011B77A">
      <w:pPr>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300C3693">
      <w:pPr>
        <w:spacing w:line="400" w:lineRule="exact"/>
        <w:ind w:firstLine="442" w:firstLineChars="200"/>
        <w:jc w:val="center"/>
        <w:outlineLvl w:val="0"/>
        <w:rPr>
          <w:rFonts w:ascii="宋体" w:hAnsi="宋体" w:cs="宋体"/>
          <w:b/>
          <w:bCs/>
          <w:color w:val="auto"/>
          <w:szCs w:val="21"/>
          <w:highlight w:val="none"/>
        </w:rPr>
      </w:pPr>
      <w:r>
        <w:rPr>
          <w:rFonts w:hint="eastAsia" w:ascii="宋体" w:hAnsi="宋体" w:cs="宋体"/>
          <w:b/>
          <w:color w:val="auto"/>
          <w:sz w:val="22"/>
          <w:highlight w:val="none"/>
        </w:rPr>
        <w:br w:type="page"/>
      </w:r>
      <w:bookmarkStart w:id="12" w:name="_Toc4507"/>
      <w:r>
        <w:rPr>
          <w:rFonts w:hint="eastAsia" w:ascii="宋体" w:hAnsi="宋体" w:cs="宋体"/>
          <w:b/>
          <w:bCs/>
          <w:color w:val="auto"/>
          <w:sz w:val="36"/>
          <w:szCs w:val="36"/>
          <w:highlight w:val="none"/>
        </w:rPr>
        <w:t>第三部分 拟签订的合同文本</w:t>
      </w:r>
      <w:bookmarkEnd w:id="12"/>
    </w:p>
    <w:p w14:paraId="6B0A6431">
      <w:pPr>
        <w:snapToGrid w:val="0"/>
        <w:spacing w:line="360" w:lineRule="auto"/>
        <w:jc w:val="center"/>
        <w:rPr>
          <w:rFonts w:ascii="宋体" w:hAnsi="宋体" w:cs="宋体"/>
          <w:color w:val="auto"/>
          <w:sz w:val="22"/>
          <w:highlight w:val="none"/>
        </w:rPr>
      </w:pPr>
      <w:r>
        <w:rPr>
          <w:rFonts w:hint="eastAsia" w:ascii="宋体" w:hAnsi="宋体" w:cs="宋体"/>
          <w:color w:val="auto"/>
          <w:sz w:val="22"/>
          <w:highlight w:val="none"/>
        </w:rPr>
        <w:t>合同将由温州肯恩大学（以下简称</w:t>
      </w:r>
      <w:r>
        <w:rPr>
          <w:rFonts w:hint="eastAsia" w:ascii="宋体" w:hAnsi="宋体" w:cs="宋体"/>
          <w:color w:val="auto"/>
          <w:sz w:val="22"/>
          <w:highlight w:val="none"/>
          <w:lang w:val="en-US" w:eastAsia="zh-CN"/>
        </w:rPr>
        <w:t>甲方</w:t>
      </w:r>
      <w:r>
        <w:rPr>
          <w:rFonts w:hint="eastAsia" w:ascii="宋体" w:hAnsi="宋体" w:cs="宋体"/>
          <w:color w:val="auto"/>
          <w:sz w:val="22"/>
          <w:highlight w:val="none"/>
        </w:rPr>
        <w:t>）与经评审最终确定的中标人（以下简称乙方）结合本项目具体情况协商后签订。以下为采购人提出涉及中标人的主要条款，供应商在投标文件中应对其进行确认或拒绝。如供应商在其投标文件中未做拒绝或提出修改要求的，采购人将视作认同。</w:t>
      </w:r>
    </w:p>
    <w:p w14:paraId="56234387">
      <w:pPr>
        <w:spacing w:line="480" w:lineRule="auto"/>
        <w:rPr>
          <w:rFonts w:ascii="宋体" w:hAnsi="宋体" w:cs="宋体"/>
          <w:color w:val="auto"/>
          <w:kern w:val="0"/>
          <w:sz w:val="22"/>
          <w:highlight w:val="none"/>
        </w:rPr>
      </w:pPr>
      <w:r>
        <w:rPr>
          <w:rFonts w:hint="eastAsia" w:ascii="宋体" w:hAnsi="宋体" w:cs="宋体"/>
          <w:color w:val="auto"/>
          <w:kern w:val="0"/>
          <w:sz w:val="22"/>
          <w:highlight w:val="none"/>
        </w:rPr>
        <w:t xml:space="preserve">项目名称： </w:t>
      </w:r>
    </w:p>
    <w:p w14:paraId="5A32AEF9">
      <w:pPr>
        <w:snapToGrid w:val="0"/>
        <w:spacing w:line="480" w:lineRule="auto"/>
        <w:rPr>
          <w:rFonts w:ascii="宋体" w:hAnsi="宋体" w:cs="宋体"/>
          <w:color w:val="auto"/>
          <w:kern w:val="0"/>
          <w:sz w:val="22"/>
          <w:highlight w:val="none"/>
        </w:rPr>
      </w:pPr>
      <w:r>
        <w:rPr>
          <w:rFonts w:hint="eastAsia" w:ascii="宋体" w:hAnsi="宋体" w:cs="宋体"/>
          <w:b/>
          <w:color w:val="auto"/>
          <w:kern w:val="0"/>
          <w:sz w:val="22"/>
          <w:highlight w:val="none"/>
        </w:rPr>
        <w:t>甲方：</w:t>
      </w:r>
      <w:r>
        <w:rPr>
          <w:rFonts w:hint="eastAsia" w:ascii="宋体" w:hAnsi="宋体" w:cs="宋体"/>
          <w:color w:val="auto"/>
          <w:kern w:val="0"/>
          <w:sz w:val="22"/>
          <w:highlight w:val="none"/>
        </w:rPr>
        <w:t xml:space="preserve">                                       合同编号：</w:t>
      </w:r>
    </w:p>
    <w:p w14:paraId="2C04F4B2">
      <w:pPr>
        <w:snapToGrid w:val="0"/>
        <w:spacing w:after="120" w:line="480" w:lineRule="auto"/>
        <w:rPr>
          <w:rFonts w:ascii="宋体" w:hAnsi="宋体" w:cs="宋体"/>
          <w:color w:val="auto"/>
          <w:kern w:val="0"/>
          <w:sz w:val="22"/>
          <w:highlight w:val="none"/>
        </w:rPr>
      </w:pPr>
      <w:r>
        <w:rPr>
          <w:rFonts w:hint="eastAsia" w:ascii="宋体" w:hAnsi="宋体" w:cs="宋体"/>
          <w:b/>
          <w:color w:val="auto"/>
          <w:kern w:val="0"/>
          <w:sz w:val="22"/>
          <w:highlight w:val="none"/>
        </w:rPr>
        <w:t>乙方：</w:t>
      </w:r>
      <w:r>
        <w:rPr>
          <w:rFonts w:hint="eastAsia" w:ascii="宋体" w:hAnsi="宋体" w:cs="宋体"/>
          <w:color w:val="auto"/>
          <w:kern w:val="0"/>
          <w:sz w:val="22"/>
          <w:highlight w:val="none"/>
        </w:rPr>
        <w:t xml:space="preserve">                                       签订日期：    年   月  日</w:t>
      </w:r>
    </w:p>
    <w:p w14:paraId="486ABD3B">
      <w:pPr>
        <w:snapToGrid w:val="0"/>
        <w:spacing w:line="480" w:lineRule="auto"/>
        <w:rPr>
          <w:rFonts w:ascii="宋体" w:hAnsi="宋体" w:cs="宋体"/>
          <w:color w:val="auto"/>
          <w:kern w:val="0"/>
          <w:sz w:val="22"/>
          <w:highlight w:val="none"/>
        </w:rPr>
      </w:pPr>
      <w:r>
        <w:rPr>
          <w:rFonts w:hint="eastAsia" w:ascii="宋体" w:hAnsi="宋体" w:cs="宋体"/>
          <w:color w:val="auto"/>
          <w:kern w:val="0"/>
          <w:sz w:val="22"/>
          <w:highlight w:val="none"/>
        </w:rPr>
        <w:t>甲乙双方经协商，一致同意订立如下条款：</w:t>
      </w:r>
    </w:p>
    <w:p w14:paraId="1157541D">
      <w:pPr>
        <w:snapToGrid w:val="0"/>
        <w:spacing w:line="480" w:lineRule="auto"/>
        <w:rPr>
          <w:rFonts w:ascii="宋体" w:hAnsi="宋体" w:cs="宋体"/>
          <w:color w:val="auto"/>
          <w:kern w:val="0"/>
          <w:sz w:val="22"/>
          <w:highlight w:val="none"/>
        </w:rPr>
      </w:pPr>
      <w:r>
        <w:rPr>
          <w:rFonts w:hint="eastAsia" w:ascii="宋体" w:hAnsi="宋体" w:cs="宋体"/>
          <w:color w:val="auto"/>
          <w:kern w:val="0"/>
          <w:sz w:val="22"/>
          <w:highlight w:val="none"/>
        </w:rPr>
        <w:t xml:space="preserve">甲方（发包方）： </w:t>
      </w:r>
    </w:p>
    <w:p w14:paraId="6E866126">
      <w:pPr>
        <w:snapToGrid w:val="0"/>
        <w:spacing w:after="120" w:line="480" w:lineRule="auto"/>
        <w:rPr>
          <w:rFonts w:ascii="宋体" w:hAnsi="宋体" w:cs="宋体"/>
          <w:color w:val="auto"/>
          <w:kern w:val="0"/>
          <w:sz w:val="22"/>
          <w:highlight w:val="none"/>
        </w:rPr>
      </w:pPr>
      <w:r>
        <w:rPr>
          <w:rFonts w:hint="eastAsia" w:ascii="宋体" w:hAnsi="宋体" w:cs="宋体"/>
          <w:color w:val="auto"/>
          <w:kern w:val="0"/>
          <w:sz w:val="22"/>
          <w:highlight w:val="none"/>
        </w:rPr>
        <w:t xml:space="preserve">乙方（中标方）： </w:t>
      </w:r>
    </w:p>
    <w:p w14:paraId="53796194">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甲、乙双方根据有关法律规定，本着友好合作、协商一致的原则，经双方同意，就乙方中标甲方物业管理服务项目签订本协议。</w:t>
      </w:r>
    </w:p>
    <w:p w14:paraId="1DB27403">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一、服务范围、内容和相关约定：</w:t>
      </w:r>
    </w:p>
    <w:p w14:paraId="479ED71C">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 xml:space="preserve">1.服务区域：温州肯恩大学一二期场地及建筑面积，详见招标文件相应内容。 </w:t>
      </w:r>
    </w:p>
    <w:p w14:paraId="13533AF6">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2.服务内容</w:t>
      </w:r>
      <w:r>
        <w:rPr>
          <w:rFonts w:hint="eastAsia"/>
          <w:color w:val="auto"/>
          <w:highlight w:val="none"/>
        </w:rPr>
        <w:t>：</w:t>
      </w:r>
      <w:r>
        <w:rPr>
          <w:rFonts w:hint="eastAsia" w:ascii="宋体" w:hAnsi="宋体" w:cs="宋体"/>
          <w:color w:val="auto"/>
          <w:sz w:val="22"/>
          <w:highlight w:val="none"/>
        </w:rPr>
        <w:t>本项目</w:t>
      </w:r>
      <w:r>
        <w:rPr>
          <w:rFonts w:hint="eastAsia" w:ascii="宋体" w:hAnsi="宋体" w:cs="宋体"/>
          <w:color w:val="auto"/>
          <w:kern w:val="0"/>
          <w:sz w:val="22"/>
          <w:highlight w:val="none"/>
        </w:rPr>
        <w:t>物业管理服务内容主要包括：</w:t>
      </w:r>
      <w:r>
        <w:rPr>
          <w:rFonts w:hint="eastAsia" w:ascii="宋体" w:hAnsi="宋体" w:cs="宋体"/>
          <w:color w:val="auto"/>
          <w:sz w:val="22"/>
          <w:highlight w:val="none"/>
        </w:rPr>
        <w:t>楼宇管理工作、学生公寓管理工作、卫生保洁、设施设备</w:t>
      </w:r>
      <w:r>
        <w:rPr>
          <w:rFonts w:hint="eastAsia" w:ascii="宋体" w:hAnsi="宋体" w:cs="宋体"/>
          <w:b/>
          <w:color w:val="auto"/>
          <w:sz w:val="22"/>
          <w:highlight w:val="none"/>
        </w:rPr>
        <w:t>维修及维护</w:t>
      </w:r>
      <w:r>
        <w:rPr>
          <w:rFonts w:hint="eastAsia" w:ascii="宋体" w:hAnsi="宋体" w:cs="宋体"/>
          <w:color w:val="auto"/>
          <w:sz w:val="22"/>
          <w:highlight w:val="none"/>
        </w:rPr>
        <w:t>、能源管理工作、会务及接待、搬运管理工作及其他专项服务</w:t>
      </w:r>
      <w:r>
        <w:rPr>
          <w:rFonts w:hint="eastAsia" w:ascii="宋体" w:hAnsi="宋体" w:cs="宋体"/>
          <w:color w:val="auto"/>
          <w:kern w:val="0"/>
          <w:sz w:val="22"/>
          <w:highlight w:val="none"/>
        </w:rPr>
        <w:t>等（详见招标文件的相应内容）。</w:t>
      </w:r>
    </w:p>
    <w:p w14:paraId="79115DBF">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3.乙方在技术标中明确的服务内容、管理措施、岗位责任制和服务流程、服务管理质量目标、控制及检验手段作为考核办法的补充考核依据，乙方必须严格落实</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相关内容未执行到位，甲方有权要求予以整改，整改仍未满足要求按</w:t>
      </w:r>
      <w:r>
        <w:rPr>
          <w:rFonts w:hint="eastAsia" w:ascii="宋体" w:hAnsi="宋体" w:cs="宋体"/>
          <w:color w:val="auto"/>
          <w:kern w:val="0"/>
          <w:sz w:val="22"/>
          <w:highlight w:val="none"/>
        </w:rPr>
        <w:t>《温州肯恩大学物业管理服务考核办法》</w:t>
      </w:r>
      <w:r>
        <w:rPr>
          <w:rFonts w:hint="eastAsia" w:ascii="宋体" w:hAnsi="宋体" w:cs="宋体"/>
          <w:color w:val="auto"/>
          <w:kern w:val="0"/>
          <w:sz w:val="22"/>
          <w:highlight w:val="none"/>
          <w:lang w:val="en-US" w:eastAsia="zh-CN"/>
        </w:rPr>
        <w:t>内容予以响应扣分</w:t>
      </w:r>
      <w:r>
        <w:rPr>
          <w:rFonts w:hint="eastAsia" w:ascii="宋体" w:hAnsi="宋体" w:cs="宋体"/>
          <w:color w:val="auto"/>
          <w:kern w:val="0"/>
          <w:sz w:val="22"/>
          <w:highlight w:val="none"/>
        </w:rPr>
        <w:t>。</w:t>
      </w:r>
    </w:p>
    <w:p w14:paraId="3F914E4C">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4.投标文件中约定的拟驻现场项目主要管理人员配置及考核激励办法，稳定和提升人员素质的具体措施应严格履行，否则甲方可单方面采取相应措施予以落实。</w:t>
      </w:r>
    </w:p>
    <w:p w14:paraId="11805D8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5.甲方的《温州肯恩大学物业管理服务考核办法》作为合同附件，与合同具有同等法律效力。</w:t>
      </w:r>
    </w:p>
    <w:p w14:paraId="07C02073">
      <w:pPr>
        <w:pStyle w:val="3"/>
        <w:ind w:firstLine="660" w:firstLineChars="300"/>
        <w:rPr>
          <w:rFonts w:ascii="宋体" w:hAnsi="宋体" w:cs="宋体"/>
          <w:color w:val="auto"/>
          <w:kern w:val="0"/>
          <w:sz w:val="22"/>
          <w:highlight w:val="none"/>
        </w:rPr>
      </w:pPr>
      <w:r>
        <w:rPr>
          <w:rFonts w:hint="eastAsia" w:ascii="宋体" w:hAnsi="宋体" w:cs="宋体"/>
          <w:color w:val="auto"/>
          <w:kern w:val="0"/>
          <w:sz w:val="22"/>
          <w:highlight w:val="none"/>
        </w:rPr>
        <w:t>6.</w:t>
      </w:r>
      <w:r>
        <w:rPr>
          <w:rFonts w:hint="eastAsia" w:ascii="宋体" w:hAnsi="宋体" w:cs="宋体"/>
          <w:color w:val="auto"/>
          <w:kern w:val="0"/>
          <w:sz w:val="22"/>
          <w:highlight w:val="none"/>
          <w:u w:val="single"/>
        </w:rPr>
        <w:t xml:space="preserve">甲负责人：       联系电话：       乙方负责人：        联系电话：    </w:t>
      </w:r>
    </w:p>
    <w:p w14:paraId="7AAD803E">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二、服务价款及支付：</w:t>
      </w:r>
    </w:p>
    <w:p w14:paraId="0F62F153">
      <w:pPr>
        <w:numPr>
          <w:ilvl w:val="-1"/>
          <w:numId w:val="0"/>
        </w:numPr>
        <w:ind w:firstLine="220" w:firstLineChars="100"/>
        <w:rPr>
          <w:rFonts w:ascii="宋体" w:hAnsi="宋体" w:cs="宋体"/>
          <w:color w:val="auto"/>
          <w:sz w:val="22"/>
          <w:highlight w:val="none"/>
        </w:rPr>
      </w:pP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1.第一年合同价格为人民币XXXXXXXX元整(￥XXXXXXXX元)；第二年合同价格为人民币XXXXXXXX元整(￥XXXXXXXX元)；第三年合同价格为人民币XXXXXXXX元整(￥XXXXXXXX元)；以上单年价格是</w:t>
      </w:r>
      <w:r>
        <w:rPr>
          <w:rFonts w:hint="eastAsia" w:ascii="宋体" w:hAnsi="宋体" w:cs="宋体"/>
          <w:color w:val="auto"/>
          <w:sz w:val="22"/>
          <w:highlight w:val="none"/>
        </w:rPr>
        <w:t>指乙方完全履行合同义务后，甲方应支付给乙方所有的服务价款，即在承包区域内提供物业服务所需的人工费（包括工人工资、奖金、节日加班费、劳保福利、餐费、社保、意外保险、工伤费、教育培训费、每年体检费、暂住费及处理伤亡事故等费用）、单价300元及以下的维修材料和配件费用、保洁及设施设备维修工器具费用、物业耗材及其他专项服务费（垃圾清运、外墙清洗保洁、化粪池清理和管道疏通、学校生活水箱和热水水箱清洗、维修材料配件、新投用建筑保洁开荒、宿舍卫生间保洁、校车清洗、毕业生房间清理、室外防腐木、钢制栏杆及钢构件刷漆服务、考试会场及大型活动服务）、安全文明生产装备费（包括员工冬、夏装工作服等）、校园文化建设费用、乙方行政办公费、企业应缴税金、利润以及完成合同所需的所有工作开支，政策性文件规定合同包含的所有风险、责任等各项费用。</w:t>
      </w:r>
    </w:p>
    <w:p w14:paraId="71DB5538">
      <w:pPr>
        <w:ind w:firstLine="420" w:firstLineChars="200"/>
        <w:rPr>
          <w:color w:val="auto"/>
          <w:highlight w:val="none"/>
        </w:rPr>
      </w:pPr>
    </w:p>
    <w:p w14:paraId="74F65556">
      <w:pPr>
        <w:spacing w:line="360" w:lineRule="auto"/>
        <w:ind w:firstLine="442" w:firstLineChars="200"/>
        <w:rPr>
          <w:rFonts w:ascii="宋体" w:hAnsi="宋体" w:cs="宋体"/>
          <w:color w:val="auto"/>
          <w:kern w:val="0"/>
          <w:sz w:val="22"/>
          <w:highlight w:val="none"/>
        </w:rPr>
      </w:pPr>
      <w:r>
        <w:rPr>
          <w:rFonts w:hint="eastAsia" w:ascii="宋体" w:hAnsi="宋体" w:cs="宋体"/>
          <w:b/>
          <w:bCs/>
          <w:color w:val="auto"/>
          <w:kern w:val="0"/>
          <w:sz w:val="22"/>
          <w:highlight w:val="none"/>
        </w:rPr>
        <w:t>2.服务费用</w:t>
      </w:r>
      <w:r>
        <w:rPr>
          <w:rFonts w:hint="eastAsia" w:ascii="宋体" w:hAnsi="宋体" w:cs="宋体"/>
          <w:color w:val="auto"/>
          <w:kern w:val="0"/>
          <w:sz w:val="22"/>
          <w:highlight w:val="none"/>
        </w:rPr>
        <w:t>支付及结算条款：</w:t>
      </w:r>
    </w:p>
    <w:p w14:paraId="6B36F70C">
      <w:pPr>
        <w:spacing w:line="400" w:lineRule="exact"/>
        <w:ind w:firstLine="442" w:firstLineChars="200"/>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2.1</w:t>
      </w:r>
      <w:r>
        <w:rPr>
          <w:rFonts w:hint="eastAsia" w:ascii="宋体" w:hAnsi="宋体" w:cs="宋体"/>
          <w:b/>
          <w:bCs/>
          <w:color w:val="auto"/>
          <w:sz w:val="22"/>
          <w:highlight w:val="none"/>
          <w:u w:val="single"/>
          <w:lang w:val="en-US" w:eastAsia="zh-CN"/>
        </w:rPr>
        <w:t>服务价款内除去</w:t>
      </w:r>
      <w:r>
        <w:rPr>
          <w:rFonts w:hint="eastAsia" w:ascii="宋体" w:hAnsi="宋体" w:cs="宋体"/>
          <w:b/>
          <w:bCs/>
          <w:color w:val="auto"/>
          <w:sz w:val="22"/>
          <w:highlight w:val="none"/>
          <w:u w:val="single"/>
        </w:rPr>
        <w:t>其他专项服务费</w:t>
      </w:r>
      <w:r>
        <w:rPr>
          <w:rFonts w:hint="eastAsia" w:ascii="宋体" w:hAnsi="宋体" w:cs="宋体"/>
          <w:b/>
          <w:bCs/>
          <w:color w:val="auto"/>
          <w:sz w:val="22"/>
          <w:highlight w:val="none"/>
          <w:u w:val="single"/>
          <w:lang w:val="en-US" w:eastAsia="zh-CN"/>
        </w:rPr>
        <w:t>外的</w:t>
      </w:r>
      <w:r>
        <w:rPr>
          <w:rFonts w:hint="eastAsia" w:ascii="宋体" w:hAnsi="宋体" w:cs="宋体"/>
          <w:b/>
          <w:bCs/>
          <w:color w:val="auto"/>
          <w:sz w:val="22"/>
          <w:highlight w:val="none"/>
          <w:u w:val="single"/>
        </w:rPr>
        <w:t>费用支付方式 ：</w:t>
      </w:r>
    </w:p>
    <w:p w14:paraId="60A1A02C">
      <w:pPr>
        <w:numPr>
          <w:ilvl w:val="0"/>
          <w:numId w:val="3"/>
        </w:numPr>
        <w:spacing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甲方按月度进行支付，先服务后支付，月度</w:t>
      </w:r>
      <w:r>
        <w:rPr>
          <w:color w:val="auto"/>
          <w:sz w:val="22"/>
          <w:highlight w:val="none"/>
          <w:u w:val="single"/>
        </w:rPr>
        <w:t>服务费</w:t>
      </w:r>
      <w:r>
        <w:rPr>
          <w:rFonts w:hint="eastAsia"/>
          <w:color w:val="auto"/>
          <w:sz w:val="22"/>
          <w:highlight w:val="none"/>
          <w:u w:val="single"/>
        </w:rPr>
        <w:t>=（单年度中标金额减去其他专项服务中标金额）/12再减去</w:t>
      </w:r>
      <w:r>
        <w:rPr>
          <w:rFonts w:hint="eastAsia" w:ascii="宋体" w:hAnsi="宋体" w:cs="宋体"/>
          <w:color w:val="auto"/>
          <w:sz w:val="22"/>
          <w:highlight w:val="none"/>
          <w:u w:val="single"/>
        </w:rPr>
        <w:t>月度考核扣款；</w:t>
      </w:r>
    </w:p>
    <w:p w14:paraId="22DBA496">
      <w:pPr>
        <w:numPr>
          <w:ilvl w:val="0"/>
          <w:numId w:val="3"/>
        </w:numPr>
        <w:spacing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 xml:space="preserve"> 甲方对于满足合同约定支付条件的，自收到相应金额的正式发票后7个工作日内将资金支付到合同约定的乙方账户。</w:t>
      </w:r>
    </w:p>
    <w:p w14:paraId="02273EEE">
      <w:pPr>
        <w:spacing w:line="360" w:lineRule="auto"/>
        <w:ind w:firstLine="424" w:firstLineChars="193"/>
        <w:rPr>
          <w:rFonts w:ascii="宋体" w:hAnsi="宋体" w:cs="宋体"/>
          <w:color w:val="auto"/>
          <w:sz w:val="22"/>
          <w:highlight w:val="none"/>
          <w:u w:val="single"/>
        </w:rPr>
      </w:pPr>
      <w:r>
        <w:rPr>
          <w:rFonts w:hint="eastAsia" w:ascii="宋体" w:hAnsi="宋体" w:cs="宋体"/>
          <w:color w:val="auto"/>
          <w:sz w:val="22"/>
          <w:highlight w:val="none"/>
          <w:u w:val="single"/>
        </w:rPr>
        <w:t>（3）甲方根据乙方考核得分情况付款，考核评分表见合同附件。</w:t>
      </w:r>
    </w:p>
    <w:p w14:paraId="57534FCC">
      <w:pPr>
        <w:spacing w:line="360" w:lineRule="auto"/>
        <w:ind w:firstLine="426" w:firstLineChars="193"/>
        <w:rPr>
          <w:rFonts w:ascii="宋体" w:hAnsi="宋体" w:cs="宋体"/>
          <w:color w:val="auto"/>
          <w:sz w:val="22"/>
          <w:highlight w:val="none"/>
          <w:u w:val="single"/>
        </w:rPr>
      </w:pPr>
      <w:r>
        <w:rPr>
          <w:rFonts w:hint="eastAsia" w:ascii="宋体" w:hAnsi="宋体" w:cs="宋体"/>
          <w:b/>
          <w:bCs/>
          <w:color w:val="auto"/>
          <w:sz w:val="22"/>
          <w:highlight w:val="none"/>
          <w:u w:val="single"/>
        </w:rPr>
        <w:t>2.2其他专项服务费支付方式：</w:t>
      </w:r>
      <w:r>
        <w:rPr>
          <w:rFonts w:hint="eastAsia" w:ascii="宋体" w:hAnsi="宋体" w:cs="宋体"/>
          <w:color w:val="auto"/>
          <w:sz w:val="22"/>
          <w:highlight w:val="none"/>
          <w:u w:val="single"/>
        </w:rPr>
        <w:t>甲方按半年支付一次，先服务后支付，甲方对于满足支付条件的，自收到相应金额的正式发票后7个工作日内将资金支付到合同约定的乙方账户。</w:t>
      </w:r>
    </w:p>
    <w:p w14:paraId="396ABCBC">
      <w:pPr>
        <w:snapToGrid w:val="0"/>
        <w:spacing w:line="360" w:lineRule="auto"/>
        <w:ind w:firstLine="440" w:firstLineChars="200"/>
        <w:rPr>
          <w:rFonts w:hint="eastAsia" w:ascii="宋体" w:hAnsi="宋体" w:cs="宋体"/>
          <w:color w:val="auto"/>
          <w:kern w:val="0"/>
          <w:sz w:val="22"/>
          <w:highlight w:val="none"/>
        </w:rPr>
      </w:pPr>
      <w:r>
        <w:rPr>
          <w:rFonts w:hint="eastAsia" w:ascii="宋体" w:hAnsi="宋体" w:cs="宋体"/>
          <w:color w:val="auto"/>
          <w:kern w:val="0"/>
          <w:sz w:val="22"/>
          <w:highlight w:val="none"/>
        </w:rPr>
        <w:t>2.3若乙方采用先进设备或智能化管理模式优化服务人员配置的，须保证调整后的服务质量不低于招标文件要求。优化方案报甲方同意后，服务人员数量可以优化减少，合同价格不调整。</w:t>
      </w:r>
    </w:p>
    <w:p w14:paraId="0B6AE036">
      <w:pPr>
        <w:snapToGrid w:val="0"/>
        <w:spacing w:line="360" w:lineRule="auto"/>
        <w:ind w:firstLine="420" w:firstLineChars="200"/>
        <w:rPr>
          <w:rFonts w:ascii="宋体" w:hAnsi="宋体" w:cs="宋体"/>
          <w:color w:val="auto"/>
          <w:sz w:val="22"/>
          <w:highlight w:val="none"/>
          <w:u w:val="single"/>
        </w:rPr>
      </w:pPr>
      <w:r>
        <w:rPr>
          <w:rFonts w:hint="eastAsia"/>
          <w:color w:val="auto"/>
          <w:highlight w:val="none"/>
        </w:rPr>
        <w:t>2.4</w:t>
      </w:r>
      <w:r>
        <w:rPr>
          <w:rFonts w:hint="eastAsia" w:ascii="宋体" w:hAnsi="宋体"/>
          <w:b/>
          <w:color w:val="auto"/>
          <w:szCs w:val="21"/>
          <w:highlight w:val="none"/>
          <w:u w:val="single"/>
        </w:rPr>
        <w:t>因甲方需求变更导致乙方服务人员数量与投标文件有变化的，按下列方式调整合同价格：根据每月变动的人数乘以对应人员中标单价（（根据投标报价明细表内当年的</w:t>
      </w:r>
      <w:r>
        <w:rPr>
          <w:rFonts w:hint="eastAsia" w:ascii="宋体" w:hAnsi="宋体"/>
          <w:b/>
          <w:color w:val="auto"/>
          <w:szCs w:val="21"/>
          <w:highlight w:val="none"/>
          <w:u w:val="single"/>
          <w:lang w:val="en-US" w:eastAsia="zh-CN"/>
        </w:rPr>
        <w:t>人工费用</w:t>
      </w:r>
      <w:r>
        <w:rPr>
          <w:rFonts w:hint="eastAsia" w:ascii="宋体" w:hAnsi="宋体"/>
          <w:b/>
          <w:color w:val="auto"/>
          <w:szCs w:val="21"/>
          <w:highlight w:val="none"/>
          <w:u w:val="single"/>
        </w:rPr>
        <w:t>进行计算））按月据实结算。</w:t>
      </w:r>
    </w:p>
    <w:p w14:paraId="26CBB625">
      <w:pPr>
        <w:snapToGrid w:val="0"/>
        <w:spacing w:line="360" w:lineRule="auto"/>
        <w:ind w:firstLine="442" w:firstLineChars="200"/>
        <w:rPr>
          <w:rFonts w:ascii="宋体" w:hAnsi="宋体" w:cs="宋体"/>
          <w:b/>
          <w:color w:val="auto"/>
          <w:kern w:val="0"/>
          <w:sz w:val="22"/>
          <w:highlight w:val="none"/>
        </w:rPr>
      </w:pPr>
      <w:r>
        <w:rPr>
          <w:rFonts w:hint="eastAsia" w:ascii="宋体" w:hAnsi="宋体" w:cs="宋体"/>
          <w:b/>
          <w:color w:val="auto"/>
          <w:kern w:val="0"/>
          <w:sz w:val="22"/>
          <w:highlight w:val="none"/>
        </w:rPr>
        <w:t>三、履约保证金：</w:t>
      </w:r>
      <w:r>
        <w:rPr>
          <w:rFonts w:hint="eastAsia" w:ascii="宋体" w:hAnsi="宋体" w:cs="宋体"/>
          <w:color w:val="auto"/>
          <w:sz w:val="22"/>
          <w:highlight w:val="none"/>
          <w:u w:val="single"/>
        </w:rPr>
        <w:t>合同生效以及具备实施条件后7个工作日内，乙方以银行转账/转帐支票/银行汇票/银行、保险公司出具的保函形式向甲方提供单年合同金额（按第一年合同金额）1%的履约保证金。履约保证金用于乙方在履行本合同过程中发生违约行为应支付甲方的违约金、赔偿金等费用。如无任何问题，甲方将在乙方履行完毕本合同项下全部义务（项目验收合格）之日起5个工作日内无息退还给乙方。（保函应满足以下几个条件：①为无条件保函：即在乙方没有实施合同或者未履行合同义务时，甲方不需要出具任何证明和理由，若乙方违约，甲方无需通知乙方，即可单方对保函进行收兑；②保函期限：自本合同生效之日起至合同履约完毕之日止；③如果由于合同执行延误或银行、保险公司要求分期出具保函的，则在前一份保函有效期届满之日起2个月前必须重新出具相同内容的保函。）</w:t>
      </w:r>
    </w:p>
    <w:p w14:paraId="371A9FC1">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四、经营制约</w:t>
      </w:r>
    </w:p>
    <w:p w14:paraId="46E8FA10">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1.未经甲方同意，乙方无权在承包中区域从事任何广告活动或类似宣传，甲方有权依照广告法和甲方相关的规定责令乙方限期改正，并接受处罚。</w:t>
      </w:r>
    </w:p>
    <w:p w14:paraId="17B417C0">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2.乙方不得以甲方的名义从事任何经济活动，且由此发生的一切债权、债务与甲方无关。</w:t>
      </w:r>
    </w:p>
    <w:p w14:paraId="1B95BA05">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五、双方权利和义务</w:t>
      </w:r>
    </w:p>
    <w:p w14:paraId="230CFC19">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1.乙方权利和义务：</w:t>
      </w:r>
    </w:p>
    <w:p w14:paraId="3ABBFF2F">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1.1乙方按招标文件规定获取物业服务费。</w:t>
      </w:r>
    </w:p>
    <w:p w14:paraId="71C7BC9D">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1.2履行约定的承包范围、内容的服务管理职责，履行约定。不以任何形式转租、转让、抵押承包区域，在承包区域只从事甲方认可的服务工作。在承包期间，乙方的任何股份配置变动应通知甲方。未经甲方书面批准，任何占有支配地位的股份转让都将视为乙方出租、转让的行为，按违约论处；</w:t>
      </w:r>
      <w:r>
        <w:rPr>
          <w:rFonts w:hint="eastAsia" w:ascii="宋体" w:hAnsi="宋体" w:cs="宋体"/>
          <w:color w:val="auto"/>
          <w:sz w:val="22"/>
          <w:highlight w:val="none"/>
        </w:rPr>
        <w:t>本项目允许分包的（非主体、非关键性的工作）具体内容为：垃圾清运；外墙清洗专项；化粪池、隔油池清疏及雨污水管道疏通；学校水箱和开水机维护服务；设施设备维修。乙方必须将具体分包内容和分包单位在实施前报甲方确认。</w:t>
      </w:r>
    </w:p>
    <w:p w14:paraId="33610734">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1.3乙方应允许甲方或其授权的人员对承包区域内各项服务质量进行检查。</w:t>
      </w:r>
    </w:p>
    <w:p w14:paraId="05F75BC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1.4在服务区域内的各项工作，其工作时间必须满足甲方的工作要求。工作日原则上应全员到岗（轮休除外）；双休及寒暑假等节假日至少</w:t>
      </w:r>
      <w:r>
        <w:rPr>
          <w:rFonts w:hint="eastAsia" w:ascii="宋体" w:hAnsi="宋体" w:cs="宋体"/>
          <w:color w:val="auto"/>
          <w:kern w:val="0"/>
          <w:sz w:val="22"/>
          <w:highlight w:val="none"/>
          <w:u w:val="single"/>
        </w:rPr>
        <w:t>2</w:t>
      </w:r>
      <w:r>
        <w:rPr>
          <w:rFonts w:hint="eastAsia" w:ascii="宋体" w:hAnsi="宋体" w:cs="宋体"/>
          <w:color w:val="auto"/>
          <w:kern w:val="0"/>
          <w:sz w:val="22"/>
          <w:highlight w:val="none"/>
        </w:rPr>
        <w:t>名以上管理人员值班，普通员工一半人员以上出勤。乙方每月应提前将当月排班表报甲方审核同意后作为支付和考核依据。</w:t>
      </w:r>
    </w:p>
    <w:p w14:paraId="64EC8D4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1.5乙方的主管人员必须按投标文件进行配置且必须指定一位项目经理（负责人），全权代表乙方与甲方保持密切联系并保证承包区域服务管理工作；除甲方要求更换外，以上管理人员原则上不允许进行更换；如确有发生不可预见情况需更换的，乙方</w:t>
      </w:r>
      <w:r>
        <w:rPr>
          <w:rFonts w:hint="eastAsia" w:ascii="宋体" w:hAnsi="宋体" w:cs="宋体"/>
          <w:color w:val="auto"/>
          <w:sz w:val="22"/>
          <w:highlight w:val="none"/>
        </w:rPr>
        <w:t>须保证更换后的管理人员资质条件不低于原人员，并经甲方同意后方可更换</w:t>
      </w:r>
      <w:r>
        <w:rPr>
          <w:rFonts w:hint="eastAsia" w:ascii="宋体" w:hAnsi="宋体" w:cs="宋体"/>
          <w:color w:val="auto"/>
          <w:kern w:val="0"/>
          <w:sz w:val="22"/>
          <w:highlight w:val="none"/>
        </w:rPr>
        <w:t>：项目经理更换一次罚款5万元，项目主管更换一次罚款2万元。</w:t>
      </w:r>
    </w:p>
    <w:p w14:paraId="4738DF96">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1.6为承包区域的服务工作配备足够的人员，且聘用的工作人员必须符合劳动部门有关用工规定持证上岗，甲方有权进行审核。</w:t>
      </w:r>
    </w:p>
    <w:p w14:paraId="5F78392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1.7乙方应保持物业管理队伍的日常稳定，每月向甲方递交当月物业员工变更情况报表。每年物业员工在试用期后流动率不得超过20%（员工因违纪、自行离职情况除外）。本物业公司主管以上的骨干人员的调动在试用期后需提前10天以书面形式向甲方征求意见；物业员工在工作时间内如需借离出本项目服务区域，需事先征得甲方同意并以书面形式备案甲方，未经甲方同意人员不得擅自借调。</w:t>
      </w:r>
    </w:p>
    <w:p w14:paraId="2B80D141">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1.8工作人员上岗穿由甲方确认的制服及甲方许可的装饰物品，费用和制作均由乙方负担。</w:t>
      </w:r>
    </w:p>
    <w:p w14:paraId="389CA0A6">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1.9乙方必须确保为甲方提供优质、高效的专业服务，并根据甲方要求改变不满意的服务状况。接受有关部门监督与检查。同时，自觉参加甲方认为有助提高甲方形象和经营业绩的宣传活动。</w:t>
      </w:r>
    </w:p>
    <w:p w14:paraId="78784C06">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1.10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甲方提供的所有设备、设施、工具由乙方使用的，除正常使用折旧外，乙方保证各设备、设施、工具的完好性（修理费由承包商承担）。乙方需对维修的质量负责，如因此引起人身财产受到损害的应当承担相应赔偿责任。</w:t>
      </w:r>
    </w:p>
    <w:p w14:paraId="50EBB951">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1.11乙方在承包区域因作业所需增加机械、电力设备及设施应征得甲方同意，并聘请有资格的承造商进行安装、保养并将施工安装保养记录手册和图纸，交由甲方备案。</w:t>
      </w:r>
    </w:p>
    <w:p w14:paraId="0A45D7F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1.12乙方人员结构合理，分工明确。一般员工有相关专业所需的上岗证。会议服务人员须满足礼仪标准，要求形象佳，通过培训后方可上岗。所有人员要求政治上可靠，身体素质好，懂礼貌，善服务，无不良行为记录。</w:t>
      </w:r>
    </w:p>
    <w:p w14:paraId="1CFB384D">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 xml:space="preserve">1.13禁止事项 </w:t>
      </w:r>
    </w:p>
    <w:p w14:paraId="237866F3">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（1）乙方不得以任何理由向甲方工作人员支付小费或赠送实物，违者将终止合同。乙方人员也不得以任何形式向行政大楼内相关人员索取小费或钱物等。</w:t>
      </w:r>
    </w:p>
    <w:p w14:paraId="1ED19881">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（2）不得在承包区域住宿或从事非法活动，也不得从事有损甲方利益的活动，同时不允许在承包区域对甲方活动进行滋扰性的行为。</w:t>
      </w:r>
    </w:p>
    <w:p w14:paraId="1E5D5806">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（3）除经甲方批准进行必要的维修工程外，乙方不得损毁承包区域原有的设施和装潢，不得更改已铺设的电缆、电线等电力装置。同时，也不得安装任何可能造成电缆负载过大的电器设备，以免无线电受干扰。</w:t>
      </w:r>
    </w:p>
    <w:p w14:paraId="134750E8">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（4）未获甲方书面同意，乙方任何时候都不能在承包区域存放易燃物品、挥发性大或气味浓烈的液体等。</w:t>
      </w:r>
    </w:p>
    <w:p w14:paraId="061F9AD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（5）乙方需对下属服务人员严格管理，如校内发现服务人员将一次性消耗品带出校园等情况，发现一次扣</w:t>
      </w:r>
      <w:r>
        <w:rPr>
          <w:rFonts w:hint="eastAsia" w:ascii="宋体" w:hAnsi="宋体" w:cs="宋体"/>
          <w:color w:val="auto"/>
          <w:kern w:val="0"/>
          <w:sz w:val="22"/>
          <w:highlight w:val="none"/>
          <w:lang w:val="en-US" w:eastAsia="zh-CN"/>
        </w:rPr>
        <w:t>除乙方</w:t>
      </w:r>
      <w:r>
        <w:rPr>
          <w:rFonts w:hint="eastAsia" w:ascii="宋体" w:hAnsi="宋体" w:cs="宋体"/>
          <w:color w:val="auto"/>
          <w:kern w:val="0"/>
          <w:sz w:val="22"/>
          <w:highlight w:val="none"/>
        </w:rPr>
        <w:t>500元；乙方服务人员如有在校内赌博、滋事、扰乱治安等行为，经发现将直接辞退，情节严重的，将移交公安机关处理。</w:t>
      </w:r>
    </w:p>
    <w:p w14:paraId="7FE7EE49">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1.14保险</w:t>
      </w:r>
    </w:p>
    <w:p w14:paraId="26B5153D">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1.14.1第三者责任保险</w:t>
      </w:r>
    </w:p>
    <w:p w14:paraId="11B8ECBC">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（1）乙方应对甲方的物业和人员以及第三方全权负责（乙方应投保第三责任险），在乙方的责任区内由于乙方原因导致的事故由乙方负责，甲方不承担任何责任。</w:t>
      </w:r>
    </w:p>
    <w:p w14:paraId="09804028">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（2）乙方需在承包期内向甲方出示各类保险单及已付清保险费的收据。</w:t>
      </w:r>
    </w:p>
    <w:p w14:paraId="607BE791">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1.14.2员工人身意外</w:t>
      </w:r>
    </w:p>
    <w:p w14:paraId="7FBB2F34">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在承包期内，乙方所有人员的事故由乙方自行全权负责（乙方应对其员工投保人身意外险），甲方在乙方工作人员索偿时不受任何责任的约束。</w:t>
      </w:r>
    </w:p>
    <w:p w14:paraId="599DA9D9">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1.14.3其他保险及费用</w:t>
      </w:r>
    </w:p>
    <w:p w14:paraId="1FA84DCE">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乙方应按政府各部门有关规定为全体服务人员交纳所有相关的社会保险及其他相关费用。乙方应对此全权负责。</w:t>
      </w:r>
    </w:p>
    <w:p w14:paraId="0ED5716E">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1.15乙方及其员工严格遵守甲方的一切行政管理、消防安全设备设施管理、保密等规定和制度，保证承包区域的设备设施能正常使用，通道畅通，同时承担违规责任。</w:t>
      </w:r>
    </w:p>
    <w:p w14:paraId="0777152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1.16遇突发事件或安全检查时，乙方必须配合执行任务，并指定专职人员协助工作，直至完成。</w:t>
      </w:r>
    </w:p>
    <w:p w14:paraId="0BF5B70C">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1.17乙方保证在承包期满当天下午五时前撤离现场。</w:t>
      </w:r>
    </w:p>
    <w:p w14:paraId="61BD04F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1.18乙方对履行了合同期间知悉甲方秘密负有保密责任；</w:t>
      </w:r>
    </w:p>
    <w:p w14:paraId="32DE585B">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1.19乙方的保密责任不因合同终止而终止；</w:t>
      </w:r>
    </w:p>
    <w:p w14:paraId="4AFA3FBF">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1.20乙方违反保密要求，甲方除按照有关规定追究乙方单位及个人经济上的赔偿责任外，有权提请司法机关追究有关人员及单位的法律责任。</w:t>
      </w:r>
    </w:p>
    <w:p w14:paraId="27E5E419">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1.21甲方开展后勤育人相关工作，乙方需积极配合开展相关工作。</w:t>
      </w:r>
    </w:p>
    <w:p w14:paraId="6A0C084D">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1.22根据甲方要求对服务人数进行增减，乙方根据实际人数乘以中标单价</w:t>
      </w:r>
      <w:r>
        <w:rPr>
          <w:rFonts w:hint="eastAsia" w:ascii="宋体" w:hAnsi="宋体" w:cs="宋体"/>
          <w:color w:val="auto"/>
          <w:kern w:val="0"/>
          <w:sz w:val="22"/>
          <w:highlight w:val="none"/>
          <w:lang w:eastAsia="zh-CN"/>
        </w:rPr>
        <w:t>（</w:t>
      </w:r>
      <w:r>
        <w:rPr>
          <w:rFonts w:hint="eastAsia" w:ascii="宋体" w:hAnsi="宋体"/>
          <w:b/>
          <w:color w:val="auto"/>
          <w:szCs w:val="21"/>
          <w:highlight w:val="none"/>
          <w:u w:val="single"/>
        </w:rPr>
        <w:t>根据投标报价明细表内当年的人员</w:t>
      </w:r>
      <w:r>
        <w:rPr>
          <w:rFonts w:hint="eastAsia" w:ascii="宋体" w:hAnsi="宋体"/>
          <w:b/>
          <w:color w:val="auto"/>
          <w:szCs w:val="21"/>
          <w:highlight w:val="none"/>
          <w:u w:val="single"/>
          <w:lang w:val="en-US" w:eastAsia="zh-CN"/>
        </w:rPr>
        <w:t>费用</w:t>
      </w:r>
      <w:r>
        <w:rPr>
          <w:rFonts w:hint="eastAsia" w:ascii="宋体" w:hAnsi="宋体"/>
          <w:b/>
          <w:color w:val="auto"/>
          <w:szCs w:val="21"/>
          <w:highlight w:val="none"/>
          <w:u w:val="single"/>
        </w:rPr>
        <w:t>进行计算</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进行结算。</w:t>
      </w:r>
    </w:p>
    <w:p w14:paraId="046630AC">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2.甲方权利和义务：</w:t>
      </w:r>
    </w:p>
    <w:p w14:paraId="2CB84FAF">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2.1甲方在职权范围内保证乙方的正常经营不受干扰。</w:t>
      </w:r>
    </w:p>
    <w:p w14:paraId="0302B37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2.2甲方提供乙方办公场所，具体数量及面积由乙方提出与甲方协商落实。</w:t>
      </w:r>
    </w:p>
    <w:p w14:paraId="7D30366E">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2.3甲方发现乙方提供的物业服务未达到附件的标准内容，并就同一服务项目内容连续发出二次以上（包括二次）的书面告知单或整改意见单仍未有效整改的，甲方有权延期付款或拒绝付款,甚至单方提出解除合同。</w:t>
      </w:r>
    </w:p>
    <w:p w14:paraId="2211C53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2.4检查、监督、考评乙方管理工作的执行情况，如甲方发现乙方管理工作未达到甲方的标准，甲方有权提出书面整改意见，乙方应按照甲方提出的整改意见执行。</w:t>
      </w:r>
    </w:p>
    <w:p w14:paraId="6ABDB650">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2.5对乙方从业人员服务态度不好、长期工作不认真、造成不良影响的，甲方有权向乙方提出改派该人员的要求。并发出书面整改，乙方应在规定的时间内完成整改。</w:t>
      </w:r>
    </w:p>
    <w:p w14:paraId="74253909">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2.6发现乙方从业人员不遵守校内各项规定的，甲方有权向乙方要求该从业人员调离。</w:t>
      </w:r>
    </w:p>
    <w:p w14:paraId="4ED703B2">
      <w:pPr>
        <w:snapToGrid w:val="0"/>
        <w:spacing w:line="360" w:lineRule="auto"/>
        <w:ind w:firstLine="550"/>
        <w:rPr>
          <w:color w:val="auto"/>
          <w:highlight w:val="none"/>
        </w:rPr>
      </w:pPr>
      <w:r>
        <w:rPr>
          <w:rFonts w:hint="eastAsia" w:ascii="宋体" w:hAnsi="宋体" w:cs="宋体"/>
          <w:color w:val="auto"/>
          <w:kern w:val="0"/>
          <w:sz w:val="22"/>
          <w:highlight w:val="none"/>
        </w:rPr>
        <w:t>2.7甲方有权对乙方人员排班情况进行考核，发现缺岗的，根据缺岗人数和日期予以</w:t>
      </w:r>
      <w:r>
        <w:rPr>
          <w:rFonts w:hint="eastAsia" w:ascii="宋体" w:hAnsi="宋体" w:cs="宋体"/>
          <w:color w:val="auto"/>
          <w:kern w:val="0"/>
          <w:sz w:val="22"/>
          <w:highlight w:val="none"/>
          <w:lang w:val="en-US" w:eastAsia="zh-CN"/>
        </w:rPr>
        <w:t>人工费</w:t>
      </w:r>
      <w:r>
        <w:rPr>
          <w:rFonts w:hint="eastAsia"/>
          <w:highlight w:val="none"/>
          <w:lang w:val="en-US" w:eastAsia="zh-CN"/>
        </w:rPr>
        <w:t>用</w:t>
      </w:r>
      <w:r>
        <w:rPr>
          <w:rFonts w:hint="eastAsia" w:ascii="宋体" w:hAnsi="宋体" w:cs="宋体"/>
          <w:color w:val="auto"/>
          <w:kern w:val="0"/>
          <w:sz w:val="22"/>
          <w:highlight w:val="none"/>
        </w:rPr>
        <w:t>2倍金额的罚款。</w:t>
      </w:r>
    </w:p>
    <w:p w14:paraId="514C1CC3">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2.8未经甲方同意，乙方管理人员不得在外兼职，如发现乙方管理人员在外兼职的，发现一次扣</w:t>
      </w:r>
      <w:r>
        <w:rPr>
          <w:rFonts w:hint="eastAsia" w:ascii="宋体" w:hAnsi="宋体" w:cs="宋体"/>
          <w:color w:val="auto"/>
          <w:kern w:val="0"/>
          <w:sz w:val="22"/>
          <w:highlight w:val="none"/>
          <w:lang w:val="en-US" w:eastAsia="zh-CN"/>
        </w:rPr>
        <w:t>除</w:t>
      </w:r>
      <w:r>
        <w:rPr>
          <w:rFonts w:hint="eastAsia" w:ascii="宋体" w:hAnsi="宋体" w:cs="宋体"/>
          <w:color w:val="auto"/>
          <w:kern w:val="0"/>
          <w:sz w:val="22"/>
          <w:highlight w:val="none"/>
        </w:rPr>
        <w:t>乙方1万元的费用，发现二次扣除乙方3万元费用，发现三次扣除乙方5万元费用，发现四次的除扣乙方10万元费用外且有权无条件终止合同，并要求乙方赔偿由此带来的损失。</w:t>
      </w:r>
    </w:p>
    <w:p w14:paraId="669631A9">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2.9甲方为鼓励人员提升服务，甲方每年对物业服务个人进行年度评优等奖励措施，以上奖励金额不在本项目报价范围内，具体奖励金额由甲方另行支付。</w:t>
      </w:r>
    </w:p>
    <w:p w14:paraId="00B13307">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六、不可抗力</w:t>
      </w:r>
    </w:p>
    <w:p w14:paraId="1C2126A1">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在承包期间发生地震、台风、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14:paraId="60FAC1C3">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2.遇国家政策性调整，影响合同履行，双方协商解决。</w:t>
      </w:r>
    </w:p>
    <w:p w14:paraId="038E8BF4">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七、合同生效和终止</w:t>
      </w:r>
    </w:p>
    <w:p w14:paraId="603A8E95">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1.本合同经双方授权代表签字盖章并在乙方提交履约保证金后生效。</w:t>
      </w:r>
    </w:p>
    <w:p w14:paraId="0E6E133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2.终止</w:t>
      </w:r>
    </w:p>
    <w:p w14:paraId="56EFDF3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2.1提前终止</w:t>
      </w:r>
    </w:p>
    <w:p w14:paraId="67752107">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2.1.1因承包区域布局调整，导致乙方无法正常经营，甲方须提前一个月向乙方发出书面通知终止承包。</w:t>
      </w:r>
    </w:p>
    <w:p w14:paraId="152975A8">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2.1.2因乙方服务在月度考核评定未达到甲方的要求，甲方可单方面终止承包。</w:t>
      </w:r>
    </w:p>
    <w:p w14:paraId="6BB7519F">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2.1.3乙方亦可向甲方提前三个月发出书面通知终止承包，乙方支付给甲方月度承包服务款三倍金额的赔偿金，乙方承诺从</w:t>
      </w:r>
      <w:r>
        <w:rPr>
          <w:rFonts w:hint="eastAsia" w:ascii="宋体" w:hAnsi="宋体" w:cs="宋体"/>
          <w:color w:val="auto"/>
          <w:kern w:val="0"/>
          <w:sz w:val="22"/>
          <w:highlight w:val="none"/>
          <w:lang w:val="en-US" w:eastAsia="zh-CN"/>
        </w:rPr>
        <w:t>履约</w:t>
      </w:r>
      <w:r>
        <w:rPr>
          <w:rFonts w:hint="eastAsia" w:ascii="宋体" w:hAnsi="宋体" w:cs="宋体"/>
          <w:color w:val="auto"/>
          <w:kern w:val="0"/>
          <w:sz w:val="22"/>
          <w:highlight w:val="none"/>
        </w:rPr>
        <w:t>保证金中扣除该款，</w:t>
      </w:r>
      <w:r>
        <w:rPr>
          <w:rFonts w:hint="eastAsia" w:ascii="宋体" w:hAnsi="宋体" w:cs="宋体"/>
          <w:color w:val="auto"/>
          <w:kern w:val="0"/>
          <w:sz w:val="22"/>
          <w:highlight w:val="none"/>
          <w:lang w:val="en-US" w:eastAsia="zh-CN"/>
        </w:rPr>
        <w:t>如履约保证金不足时，乙方需在书面通知发出后5个工作日内补齐以上金额，</w:t>
      </w:r>
      <w:r>
        <w:rPr>
          <w:rFonts w:hint="eastAsia" w:ascii="宋体" w:hAnsi="宋体" w:cs="宋体"/>
          <w:color w:val="auto"/>
          <w:kern w:val="0"/>
          <w:sz w:val="22"/>
          <w:highlight w:val="none"/>
        </w:rPr>
        <w:t>甲方的其他应收款不受影响。</w:t>
      </w:r>
    </w:p>
    <w:p w14:paraId="61C65F8D">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2.1.4提前终止承包期早于月底最后一天，应视为月底最后一天期满，此条适用于上述2.1.1、2.1.2、2.1.3三条。</w:t>
      </w:r>
    </w:p>
    <w:p w14:paraId="10102680">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2.1.5乙方未能履行合同和遵守有关规定，在甲方发出书面警告后仍无采取补救措施可立即终止承包。</w:t>
      </w:r>
    </w:p>
    <w:p w14:paraId="0FC7CBEA">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2.1.6乙方破产清算、重组及兼并等事实发生，或被债权人接管经营，甲方不必通知乙方即可终止承包。</w:t>
      </w:r>
    </w:p>
    <w:p w14:paraId="2B6588DD">
      <w:pPr>
        <w:snapToGrid w:val="0"/>
        <w:spacing w:line="360" w:lineRule="auto"/>
        <w:ind w:firstLine="660" w:firstLineChars="300"/>
        <w:rPr>
          <w:rFonts w:ascii="宋体" w:hAnsi="宋体" w:cs="宋体"/>
          <w:color w:val="auto"/>
          <w:kern w:val="0"/>
          <w:sz w:val="22"/>
          <w:highlight w:val="none"/>
        </w:rPr>
      </w:pPr>
      <w:r>
        <w:rPr>
          <w:rFonts w:hint="eastAsia" w:ascii="宋体" w:hAnsi="宋体" w:cs="宋体"/>
          <w:color w:val="auto"/>
          <w:kern w:val="0"/>
          <w:sz w:val="22"/>
          <w:highlight w:val="none"/>
        </w:rPr>
        <w:t>2.2协议终止</w:t>
      </w:r>
    </w:p>
    <w:p w14:paraId="326D7B6E">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 xml:space="preserve">经双方协商同意，可在任何时候终止承包。 </w:t>
      </w:r>
    </w:p>
    <w:p w14:paraId="00FF12AF">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3.承包终止后果</w:t>
      </w:r>
    </w:p>
    <w:p w14:paraId="4C6423EB">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3.1终止承包，不影响根据合同规定进行的赔偿、补偿，也不影响履约保证金的效力。</w:t>
      </w:r>
    </w:p>
    <w:p w14:paraId="78B4663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3.2上述2.1.2、2.1.5二条的终止，乙方的履约保证金作为违约金支付给甲方。</w:t>
      </w:r>
    </w:p>
    <w:p w14:paraId="04113BB2">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3.3承包终止时，双方应进行结算，甲方同时进行乙方承包区域设施、设备状况检查并要求乙方三天内将乙方物品撤离承包区域，否则甲方将代理处理，并追偿甲方代理费及15%的手续费。</w:t>
      </w:r>
    </w:p>
    <w:p w14:paraId="7C0D867D">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4.不放弃权利</w:t>
      </w:r>
    </w:p>
    <w:p w14:paraId="7E109EF5">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甲方接受乙方的服务，但不放弃对乙方违约行为进行追究的权利；同时，若甲方对乙方某一违约行为放弃进行追究的权利，但不放弃对乙方其他违约行为进行追究的权利。</w:t>
      </w:r>
    </w:p>
    <w:p w14:paraId="5DD5592B">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八、其他</w:t>
      </w:r>
    </w:p>
    <w:p w14:paraId="34FA55F4">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1.乙方所有人员的事故由乙方自行全权负责，甲方不承担任何责任。在乙方的责任区内由于乙方原因导致第三方的事故由乙方负责，甲方不承担任何责任。</w:t>
      </w:r>
    </w:p>
    <w:p w14:paraId="357B0833">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2.本合同中所述通知，必须为书面形式，并有送达签收。</w:t>
      </w:r>
    </w:p>
    <w:p w14:paraId="2D783031">
      <w:pPr>
        <w:snapToGrid/>
        <w:spacing w:line="360" w:lineRule="exact"/>
        <w:ind w:firstLine="440" w:firstLineChars="200"/>
        <w:rPr>
          <w:rFonts w:hint="eastAsia" w:ascii="宋体" w:hAnsi="宋体" w:cs="宋体"/>
          <w:bCs/>
          <w:color w:val="auto"/>
          <w:sz w:val="22"/>
          <w:highlight w:val="none"/>
        </w:rPr>
      </w:pPr>
      <w:r>
        <w:rPr>
          <w:rFonts w:hint="eastAsia" w:ascii="宋体" w:hAnsi="宋体" w:cs="宋体"/>
          <w:color w:val="auto"/>
          <w:kern w:val="0"/>
          <w:sz w:val="22"/>
          <w:highlight w:val="none"/>
        </w:rPr>
        <w:t>3.</w:t>
      </w:r>
      <w:r>
        <w:rPr>
          <w:rFonts w:hint="eastAsia" w:ascii="宋体" w:hAnsi="宋体" w:cs="宋体"/>
          <w:bCs/>
          <w:color w:val="auto"/>
          <w:sz w:val="22"/>
          <w:highlight w:val="none"/>
        </w:rPr>
        <w:t>合同实施或与合同有关的一切争端，甲乙双方首先应通过友好协商解决，如果协商仍得不到解决，任何一方可向</w:t>
      </w:r>
      <w:r>
        <w:rPr>
          <w:rFonts w:hint="eastAsia" w:ascii="宋体" w:hAnsi="宋体" w:cs="宋体"/>
          <w:bCs/>
          <w:color w:val="auto"/>
          <w:sz w:val="22"/>
          <w:highlight w:val="none"/>
          <w:lang w:val="en-US" w:eastAsia="zh-CN"/>
        </w:rPr>
        <w:t>甲方所在地的</w:t>
      </w:r>
      <w:r>
        <w:rPr>
          <w:rFonts w:hint="eastAsia" w:ascii="宋体" w:hAnsi="宋体" w:cs="宋体"/>
          <w:bCs/>
          <w:color w:val="auto"/>
          <w:sz w:val="22"/>
          <w:highlight w:val="none"/>
        </w:rPr>
        <w:t>人民法院申请诉讼。</w:t>
      </w:r>
    </w:p>
    <w:p w14:paraId="6BF35974">
      <w:pPr>
        <w:snapToGrid/>
        <w:spacing w:line="360" w:lineRule="exact"/>
        <w:ind w:firstLine="440" w:firstLineChars="200"/>
        <w:rPr>
          <w:rFonts w:hint="eastAsia" w:ascii="宋体" w:hAnsi="宋体" w:cs="宋体"/>
          <w:bCs/>
          <w:color w:val="auto"/>
          <w:kern w:val="2"/>
          <w:sz w:val="22"/>
          <w:highlight w:val="none"/>
        </w:rPr>
      </w:pPr>
    </w:p>
    <w:p w14:paraId="32C1CF01">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4.如双方同意，可以书面修改或补充本合同条款；合同的附件、修改（补充）件均与本主合同同效。</w:t>
      </w:r>
    </w:p>
    <w:p w14:paraId="28628020">
      <w:pPr>
        <w:snapToGrid w:val="0"/>
        <w:spacing w:line="360" w:lineRule="auto"/>
        <w:ind w:firstLine="550"/>
        <w:rPr>
          <w:rFonts w:ascii="宋体" w:hAnsi="宋体" w:cs="宋体"/>
          <w:color w:val="auto"/>
          <w:kern w:val="0"/>
          <w:sz w:val="22"/>
          <w:highlight w:val="none"/>
        </w:rPr>
      </w:pPr>
      <w:r>
        <w:rPr>
          <w:rFonts w:hint="eastAsia" w:ascii="宋体" w:hAnsi="宋体" w:cs="宋体"/>
          <w:color w:val="auto"/>
          <w:kern w:val="0"/>
          <w:sz w:val="22"/>
          <w:highlight w:val="none"/>
        </w:rPr>
        <w:t>5.本合同一式四份，甲乙双方各执两份。</w:t>
      </w:r>
    </w:p>
    <w:p w14:paraId="2FDBFE4F">
      <w:pPr>
        <w:snapToGrid w:val="0"/>
        <w:spacing w:line="380" w:lineRule="exact"/>
        <w:ind w:firstLine="660" w:firstLineChars="300"/>
        <w:rPr>
          <w:rFonts w:ascii="宋体" w:hAnsi="宋体" w:cs="宋体"/>
          <w:bCs/>
          <w:color w:val="auto"/>
          <w:sz w:val="22"/>
          <w:highlight w:val="none"/>
        </w:rPr>
      </w:pPr>
      <w:r>
        <w:rPr>
          <w:rFonts w:hint="eastAsia" w:ascii="宋体" w:hAnsi="宋体" w:cs="宋体"/>
          <w:color w:val="auto"/>
          <w:kern w:val="0"/>
          <w:sz w:val="22"/>
          <w:highlight w:val="none"/>
        </w:rPr>
        <w:t>6.合同生效及其</w:t>
      </w:r>
      <w:r>
        <w:rPr>
          <w:rFonts w:hint="eastAsia" w:ascii="宋体" w:hAnsi="宋体" w:cs="宋体"/>
          <w:bCs/>
          <w:color w:val="auto"/>
          <w:kern w:val="1"/>
          <w:sz w:val="22"/>
          <w:highlight w:val="none"/>
        </w:rPr>
        <w:t>他</w:t>
      </w:r>
      <w:r>
        <w:rPr>
          <w:rFonts w:hint="eastAsia" w:ascii="宋体" w:hAnsi="宋体" w:cs="宋体"/>
          <w:bCs/>
          <w:color w:val="auto"/>
          <w:sz w:val="22"/>
          <w:highlight w:val="none"/>
        </w:rPr>
        <w:t>招标文件以及投标文件、询标记录、承诺书（如有）是本合同不可分割的组成部分，本合同未尽事宜从其规定。若本合同约定与前述文件约定不一致的，按照下列顺序予以解释：</w:t>
      </w:r>
    </w:p>
    <w:p w14:paraId="2A4DDE0C">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（1）本合同履行过程中双方签署的变更或补充协议（如有）；</w:t>
      </w:r>
    </w:p>
    <w:p w14:paraId="221EF72A">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（2）本合同；</w:t>
      </w:r>
    </w:p>
    <w:p w14:paraId="3ADED99C">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（3）项目承诺书（如有）；</w:t>
      </w:r>
    </w:p>
    <w:p w14:paraId="316C49C2">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（4）投标文件；</w:t>
      </w:r>
    </w:p>
    <w:p w14:paraId="6421E629">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（5）招标文件；</w:t>
      </w:r>
    </w:p>
    <w:p w14:paraId="6D8751F4">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（6）其他合同文件。</w:t>
      </w:r>
    </w:p>
    <w:p w14:paraId="57A1E9BE">
      <w:pPr>
        <w:snapToGrid w:val="0"/>
        <w:spacing w:line="360" w:lineRule="auto"/>
        <w:rPr>
          <w:rFonts w:ascii="宋体" w:hAnsi="宋体" w:cs="宋体"/>
          <w:b/>
          <w:color w:val="auto"/>
          <w:kern w:val="0"/>
          <w:sz w:val="22"/>
          <w:highlight w:val="none"/>
        </w:rPr>
      </w:pPr>
      <w:r>
        <w:rPr>
          <w:rFonts w:hint="eastAsia" w:ascii="宋体" w:hAnsi="宋体" w:cs="宋体"/>
          <w:b/>
          <w:color w:val="auto"/>
          <w:kern w:val="0"/>
          <w:sz w:val="22"/>
          <w:highlight w:val="none"/>
        </w:rPr>
        <w:t>九、合同有效时间</w:t>
      </w:r>
    </w:p>
    <w:p w14:paraId="6B1E5C19">
      <w:pPr>
        <w:snapToGrid w:val="0"/>
        <w:spacing w:line="360" w:lineRule="auto"/>
        <w:ind w:firstLine="539"/>
        <w:rPr>
          <w:rFonts w:ascii="宋体" w:hAnsi="宋体" w:cs="宋体"/>
          <w:color w:val="auto"/>
          <w:kern w:val="0"/>
          <w:sz w:val="22"/>
          <w:highlight w:val="none"/>
        </w:rPr>
      </w:pPr>
      <w:r>
        <w:rPr>
          <w:rFonts w:hint="eastAsia" w:ascii="宋体" w:hAnsi="宋体" w:cs="宋体"/>
          <w:color w:val="auto"/>
          <w:kern w:val="0"/>
          <w:sz w:val="22"/>
          <w:highlight w:val="none"/>
          <w:u w:val="single"/>
        </w:rPr>
        <w:t>本轮招标服务管理期限采用3年模式（2025年9月16日至2028年9月15日）</w:t>
      </w:r>
      <w:r>
        <w:rPr>
          <w:rFonts w:hint="eastAsia" w:ascii="宋体" w:hAnsi="宋体" w:cs="宋体"/>
          <w:color w:val="auto"/>
          <w:kern w:val="0"/>
          <w:sz w:val="22"/>
          <w:highlight w:val="none"/>
        </w:rPr>
        <w:t>。</w:t>
      </w:r>
    </w:p>
    <w:p w14:paraId="11B3281D">
      <w:pPr>
        <w:widowControl/>
        <w:spacing w:line="360" w:lineRule="auto"/>
        <w:jc w:val="left"/>
        <w:rPr>
          <w:rFonts w:ascii="宋体" w:hAnsi="宋体" w:cs="宋体"/>
          <w:b/>
          <w:bCs/>
          <w:color w:val="auto"/>
          <w:kern w:val="0"/>
          <w:sz w:val="22"/>
          <w:highlight w:val="none"/>
        </w:rPr>
      </w:pPr>
      <w:r>
        <w:rPr>
          <w:rFonts w:hint="eastAsia" w:ascii="宋体" w:hAnsi="宋体" w:cs="宋体"/>
          <w:b/>
          <w:bCs/>
          <w:color w:val="auto"/>
          <w:kern w:val="0"/>
          <w:sz w:val="22"/>
          <w:highlight w:val="none"/>
        </w:rPr>
        <w:t xml:space="preserve">附件一：人员配置要求  </w:t>
      </w:r>
    </w:p>
    <w:p w14:paraId="73B24D96">
      <w:pPr>
        <w:widowControl/>
        <w:spacing w:line="360" w:lineRule="auto"/>
        <w:jc w:val="left"/>
        <w:rPr>
          <w:rFonts w:ascii="宋体" w:hAnsi="宋体" w:cs="宋体"/>
          <w:b/>
          <w:bCs/>
          <w:color w:val="auto"/>
          <w:kern w:val="0"/>
          <w:sz w:val="22"/>
          <w:highlight w:val="none"/>
        </w:rPr>
      </w:pPr>
      <w:r>
        <w:rPr>
          <w:rFonts w:hint="eastAsia" w:ascii="宋体" w:hAnsi="宋体" w:cs="宋体"/>
          <w:b/>
          <w:bCs/>
          <w:color w:val="auto"/>
          <w:kern w:val="0"/>
          <w:sz w:val="22"/>
          <w:highlight w:val="none"/>
        </w:rPr>
        <w:t>附件二：相关考核</w:t>
      </w:r>
    </w:p>
    <w:p w14:paraId="113C924F">
      <w:pPr>
        <w:snapToGrid w:val="0"/>
        <w:spacing w:line="360" w:lineRule="auto"/>
        <w:ind w:right="-1191" w:rightChars="-567"/>
        <w:rPr>
          <w:rFonts w:ascii="宋体" w:hAnsi="宋体" w:cs="宋体"/>
          <w:color w:val="auto"/>
          <w:kern w:val="0"/>
          <w:sz w:val="22"/>
          <w:highlight w:val="none"/>
        </w:rPr>
      </w:pPr>
      <w:r>
        <w:rPr>
          <w:rFonts w:hint="eastAsia" w:ascii="宋体" w:hAnsi="宋体" w:cs="宋体"/>
          <w:color w:val="auto"/>
          <w:kern w:val="0"/>
          <w:sz w:val="22"/>
          <w:highlight w:val="none"/>
        </w:rPr>
        <w:t xml:space="preserve">甲方：温州肯恩大学                      乙方： </w:t>
      </w:r>
    </w:p>
    <w:p w14:paraId="4384E112">
      <w:pPr>
        <w:snapToGrid w:val="0"/>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（盖章）                                （盖章）</w:t>
      </w:r>
    </w:p>
    <w:p w14:paraId="29FC6A81">
      <w:pPr>
        <w:snapToGrid w:val="0"/>
        <w:spacing w:line="360" w:lineRule="auto"/>
        <w:rPr>
          <w:rFonts w:ascii="宋体" w:hAnsi="宋体" w:cs="宋体"/>
          <w:color w:val="auto"/>
          <w:kern w:val="0"/>
          <w:sz w:val="22"/>
          <w:highlight w:val="none"/>
        </w:rPr>
      </w:pPr>
    </w:p>
    <w:p w14:paraId="738BADF9">
      <w:pPr>
        <w:snapToGrid w:val="0"/>
        <w:spacing w:line="360" w:lineRule="auto"/>
        <w:rPr>
          <w:rFonts w:ascii="宋体" w:hAnsi="宋体" w:cs="宋体"/>
          <w:color w:val="auto"/>
          <w:kern w:val="0"/>
          <w:sz w:val="22"/>
          <w:highlight w:val="none"/>
        </w:rPr>
      </w:pPr>
      <w:r>
        <w:rPr>
          <w:rFonts w:hint="eastAsia" w:ascii="宋体" w:hAnsi="宋体" w:cs="宋体"/>
          <w:color w:val="auto"/>
          <w:kern w:val="0"/>
          <w:sz w:val="22"/>
          <w:highlight w:val="none"/>
        </w:rPr>
        <w:t>授权代表（签字）：                       授权代表（签字）：</w:t>
      </w:r>
    </w:p>
    <w:p w14:paraId="29A3F8F4">
      <w:pPr>
        <w:snapToGrid w:val="0"/>
        <w:spacing w:line="360" w:lineRule="auto"/>
        <w:rPr>
          <w:rFonts w:ascii="宋体" w:hAnsi="宋体" w:cs="宋体"/>
          <w:color w:val="auto"/>
          <w:kern w:val="0"/>
          <w:sz w:val="22"/>
          <w:highlight w:val="none"/>
        </w:rPr>
      </w:pPr>
    </w:p>
    <w:p w14:paraId="2276505F">
      <w:pPr>
        <w:snapToGrid w:val="0"/>
        <w:spacing w:line="360" w:lineRule="auto"/>
        <w:ind w:left="5170" w:right="-1331" w:rightChars="-634" w:hanging="5170" w:hangingChars="2350"/>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地址：温州瓯海区丽岙街道大学路88号      地址： </w:t>
      </w:r>
    </w:p>
    <w:p w14:paraId="7EAE546A">
      <w:pPr>
        <w:snapToGrid w:val="0"/>
        <w:spacing w:line="360" w:lineRule="auto"/>
        <w:ind w:left="5170" w:hanging="5170" w:hangingChars="2350"/>
        <w:jc w:val="left"/>
        <w:rPr>
          <w:rFonts w:ascii="宋体" w:hAnsi="宋体" w:cs="宋体"/>
          <w:color w:val="auto"/>
          <w:kern w:val="0"/>
          <w:sz w:val="22"/>
          <w:highlight w:val="none"/>
        </w:rPr>
      </w:pPr>
    </w:p>
    <w:p w14:paraId="7CF7D86E">
      <w:pPr>
        <w:snapToGrid w:val="0"/>
        <w:spacing w:line="600" w:lineRule="auto"/>
        <w:rPr>
          <w:rFonts w:ascii="宋体" w:hAnsi="宋体" w:cs="宋体"/>
          <w:color w:val="auto"/>
          <w:kern w:val="0"/>
          <w:sz w:val="22"/>
          <w:highlight w:val="none"/>
        </w:rPr>
      </w:pPr>
      <w:r>
        <w:rPr>
          <w:rFonts w:hint="eastAsia" w:ascii="宋体" w:hAnsi="宋体" w:cs="宋体"/>
          <w:color w:val="auto"/>
          <w:kern w:val="0"/>
          <w:sz w:val="22"/>
          <w:highlight w:val="none"/>
        </w:rPr>
        <w:t>邮政编码：325016                         邮政编码：</w:t>
      </w:r>
    </w:p>
    <w:p w14:paraId="31A93258">
      <w:pPr>
        <w:snapToGrid w:val="0"/>
        <w:spacing w:line="600" w:lineRule="auto"/>
        <w:rPr>
          <w:rFonts w:ascii="宋体" w:hAnsi="宋体" w:cs="宋体"/>
          <w:color w:val="auto"/>
          <w:kern w:val="0"/>
          <w:sz w:val="22"/>
          <w:highlight w:val="none"/>
        </w:rPr>
      </w:pPr>
      <w:r>
        <w:rPr>
          <w:rFonts w:hint="eastAsia" w:ascii="宋体" w:hAnsi="宋体" w:cs="宋体"/>
          <w:color w:val="auto"/>
          <w:kern w:val="0"/>
          <w:sz w:val="22"/>
          <w:highlight w:val="none"/>
        </w:rPr>
        <w:t>电话：                                   电话：</w:t>
      </w:r>
    </w:p>
    <w:p w14:paraId="6DF17B90">
      <w:pPr>
        <w:snapToGrid w:val="0"/>
        <w:spacing w:line="600" w:lineRule="auto"/>
        <w:rPr>
          <w:rFonts w:ascii="宋体" w:hAnsi="宋体" w:cs="宋体"/>
          <w:color w:val="auto"/>
          <w:kern w:val="0"/>
          <w:sz w:val="22"/>
          <w:highlight w:val="none"/>
        </w:rPr>
      </w:pPr>
      <w:r>
        <w:rPr>
          <w:rFonts w:hint="eastAsia" w:ascii="宋体" w:hAnsi="宋体" w:cs="宋体"/>
          <w:color w:val="auto"/>
          <w:kern w:val="0"/>
          <w:sz w:val="22"/>
          <w:highlight w:val="none"/>
        </w:rPr>
        <w:t>传真：                                   传真：</w:t>
      </w:r>
    </w:p>
    <w:p w14:paraId="51F890FB">
      <w:pPr>
        <w:snapToGrid w:val="0"/>
        <w:spacing w:line="600" w:lineRule="auto"/>
        <w:ind w:right="-624" w:rightChars="-297"/>
        <w:rPr>
          <w:rFonts w:ascii="宋体" w:hAnsi="宋体" w:cs="宋体"/>
          <w:color w:val="auto"/>
          <w:kern w:val="0"/>
          <w:sz w:val="22"/>
          <w:highlight w:val="none"/>
        </w:rPr>
      </w:pPr>
      <w:r>
        <w:rPr>
          <w:rFonts w:hint="eastAsia" w:ascii="宋体" w:hAnsi="宋体" w:cs="宋体"/>
          <w:color w:val="auto"/>
          <w:kern w:val="0"/>
          <w:sz w:val="22"/>
          <w:highlight w:val="none"/>
        </w:rPr>
        <w:t xml:space="preserve">开户银行：工行温州分行营业部             开户银行： </w:t>
      </w:r>
    </w:p>
    <w:p w14:paraId="63D27D20">
      <w:pPr>
        <w:snapToGrid w:val="0"/>
        <w:spacing w:line="600" w:lineRule="auto"/>
        <w:rPr>
          <w:rFonts w:ascii="宋体" w:hAnsi="宋体" w:cs="宋体"/>
          <w:color w:val="auto"/>
          <w:kern w:val="0"/>
          <w:sz w:val="22"/>
          <w:highlight w:val="none"/>
        </w:rPr>
      </w:pPr>
      <w:r>
        <w:rPr>
          <w:rFonts w:hint="eastAsia" w:ascii="宋体" w:hAnsi="宋体" w:cs="宋体"/>
          <w:color w:val="auto"/>
          <w:kern w:val="0"/>
          <w:sz w:val="22"/>
          <w:highlight w:val="none"/>
        </w:rPr>
        <w:t>账号：1203202009045435292                账号：</w:t>
      </w:r>
    </w:p>
    <w:p w14:paraId="6843D21A">
      <w:pPr>
        <w:rPr>
          <w:color w:val="auto"/>
          <w:highlight w:val="none"/>
        </w:rPr>
      </w:pPr>
      <w:r>
        <w:rPr>
          <w:rFonts w:hint="eastAsia" w:ascii="宋体" w:hAnsi="宋体" w:cs="宋体"/>
          <w:color w:val="auto"/>
          <w:kern w:val="0"/>
          <w:sz w:val="22"/>
          <w:highlight w:val="none"/>
        </w:rPr>
        <w:t xml:space="preserve">时间：                                   时间： </w:t>
      </w:r>
    </w:p>
    <w:p w14:paraId="627A176B">
      <w:pPr>
        <w:tabs>
          <w:tab w:val="left" w:pos="540"/>
        </w:tabs>
        <w:snapToGrid w:val="0"/>
        <w:spacing w:line="600" w:lineRule="auto"/>
        <w:rPr>
          <w:rFonts w:ascii="宋体" w:hAnsi="宋体" w:cs="宋体"/>
          <w:b/>
          <w:bCs/>
          <w:color w:val="auto"/>
          <w:kern w:val="0"/>
          <w:sz w:val="22"/>
          <w:highlight w:val="none"/>
        </w:rPr>
      </w:pPr>
      <w:r>
        <w:rPr>
          <w:rFonts w:hint="eastAsia" w:ascii="宋体" w:hAnsi="宋体" w:cs="宋体"/>
          <w:b/>
          <w:bCs/>
          <w:color w:val="auto"/>
          <w:kern w:val="0"/>
          <w:sz w:val="22"/>
          <w:highlight w:val="none"/>
        </w:rPr>
        <w:t>附件一：人员配置要求：根据乙方中标具体情况填写</w:t>
      </w:r>
    </w:p>
    <w:p w14:paraId="659FB768">
      <w:pPr>
        <w:snapToGrid w:val="0"/>
        <w:spacing w:line="440" w:lineRule="exact"/>
        <w:jc w:val="center"/>
        <w:rPr>
          <w:rFonts w:ascii="宋体" w:hAnsi="宋体" w:cs="宋体"/>
          <w:color w:val="auto"/>
          <w:sz w:val="22"/>
          <w:highlight w:val="none"/>
        </w:rPr>
      </w:pPr>
    </w:p>
    <w:p w14:paraId="01CA0533">
      <w:pPr>
        <w:pStyle w:val="3"/>
        <w:rPr>
          <w:rFonts w:ascii="宋体" w:hAnsi="宋体" w:cs="宋体"/>
          <w:color w:val="auto"/>
          <w:sz w:val="22"/>
          <w:highlight w:val="none"/>
        </w:rPr>
      </w:pPr>
    </w:p>
    <w:p w14:paraId="11ACABF9">
      <w:pPr>
        <w:rPr>
          <w:color w:val="auto"/>
          <w:highlight w:val="none"/>
        </w:rPr>
      </w:pPr>
    </w:p>
    <w:p w14:paraId="540453B5">
      <w:pPr>
        <w:widowControl/>
        <w:spacing w:line="360" w:lineRule="auto"/>
        <w:jc w:val="left"/>
        <w:rPr>
          <w:rFonts w:ascii="宋体" w:hAnsi="宋体" w:cs="宋体"/>
          <w:b/>
          <w:bCs/>
          <w:color w:val="auto"/>
          <w:kern w:val="0"/>
          <w:sz w:val="22"/>
          <w:highlight w:val="none"/>
        </w:rPr>
      </w:pPr>
      <w:r>
        <w:rPr>
          <w:rFonts w:hint="eastAsia" w:ascii="宋体" w:hAnsi="宋体" w:cs="宋体"/>
          <w:b/>
          <w:bCs/>
          <w:color w:val="auto"/>
          <w:kern w:val="0"/>
          <w:sz w:val="22"/>
          <w:highlight w:val="none"/>
        </w:rPr>
        <w:t>附件二：</w:t>
      </w:r>
      <w:r>
        <w:rPr>
          <w:rFonts w:hint="eastAsia" w:ascii="宋体" w:hAnsi="宋体" w:cs="宋体"/>
          <w:color w:val="auto"/>
          <w:kern w:val="0"/>
          <w:sz w:val="22"/>
          <w:highlight w:val="none"/>
        </w:rPr>
        <w:t>《温州肯恩大学物业管理服务考核办法》：详见招标文件采购需求</w:t>
      </w:r>
    </w:p>
    <w:p w14:paraId="22AB93C1">
      <w:pPr>
        <w:tabs>
          <w:tab w:val="left" w:pos="4286"/>
        </w:tabs>
        <w:spacing w:line="400" w:lineRule="exact"/>
        <w:jc w:val="center"/>
        <w:outlineLvl w:val="0"/>
        <w:rPr>
          <w:rFonts w:ascii="宋体" w:hAnsi="宋体" w:cs="宋体"/>
          <w:b/>
          <w:color w:val="auto"/>
          <w:sz w:val="32"/>
          <w:highlight w:val="none"/>
        </w:rPr>
      </w:pPr>
      <w:bookmarkStart w:id="13" w:name="_Toc14824"/>
    </w:p>
    <w:p w14:paraId="094221DD">
      <w:pPr>
        <w:tabs>
          <w:tab w:val="left" w:pos="4286"/>
        </w:tabs>
        <w:spacing w:line="400" w:lineRule="exact"/>
        <w:jc w:val="center"/>
        <w:outlineLvl w:val="0"/>
        <w:rPr>
          <w:rFonts w:ascii="宋体" w:hAnsi="宋体" w:cs="宋体"/>
          <w:b/>
          <w:color w:val="auto"/>
          <w:sz w:val="32"/>
          <w:highlight w:val="none"/>
        </w:rPr>
      </w:pPr>
    </w:p>
    <w:p w14:paraId="22E531FD">
      <w:pPr>
        <w:tabs>
          <w:tab w:val="left" w:pos="4286"/>
        </w:tabs>
        <w:spacing w:line="400" w:lineRule="exact"/>
        <w:jc w:val="center"/>
        <w:outlineLvl w:val="0"/>
        <w:rPr>
          <w:rFonts w:ascii="宋体" w:hAnsi="宋体" w:cs="宋体"/>
          <w:b/>
          <w:color w:val="auto"/>
          <w:sz w:val="32"/>
          <w:highlight w:val="none"/>
        </w:rPr>
      </w:pPr>
    </w:p>
    <w:p w14:paraId="25571414">
      <w:pPr>
        <w:tabs>
          <w:tab w:val="left" w:pos="4286"/>
        </w:tabs>
        <w:spacing w:line="400" w:lineRule="exact"/>
        <w:jc w:val="center"/>
        <w:outlineLvl w:val="0"/>
        <w:rPr>
          <w:rFonts w:ascii="宋体" w:hAnsi="宋体" w:cs="宋体"/>
          <w:b/>
          <w:color w:val="auto"/>
          <w:sz w:val="32"/>
          <w:highlight w:val="none"/>
        </w:rPr>
      </w:pPr>
    </w:p>
    <w:p w14:paraId="50C4C9B0">
      <w:pPr>
        <w:tabs>
          <w:tab w:val="left" w:pos="4286"/>
        </w:tabs>
        <w:spacing w:line="400" w:lineRule="exact"/>
        <w:jc w:val="center"/>
        <w:outlineLvl w:val="0"/>
        <w:rPr>
          <w:rFonts w:ascii="宋体" w:hAnsi="宋体" w:cs="宋体"/>
          <w:b/>
          <w:color w:val="auto"/>
          <w:sz w:val="32"/>
          <w:highlight w:val="none"/>
        </w:rPr>
      </w:pPr>
    </w:p>
    <w:p w14:paraId="6FDC6663">
      <w:pPr>
        <w:tabs>
          <w:tab w:val="left" w:pos="4286"/>
        </w:tabs>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第四部分 附件</w:t>
      </w:r>
      <w:bookmarkEnd w:id="13"/>
    </w:p>
    <w:p w14:paraId="0FDBF742">
      <w:pPr>
        <w:spacing w:before="120" w:after="50"/>
        <w:jc w:val="center"/>
        <w:rPr>
          <w:rFonts w:ascii="宋体" w:hAnsi="宋体" w:cs="宋体"/>
          <w:b/>
          <w:color w:val="auto"/>
          <w:sz w:val="24"/>
          <w:highlight w:val="none"/>
        </w:rPr>
      </w:pPr>
      <w:r>
        <w:rPr>
          <w:rFonts w:hint="eastAsia" w:ascii="宋体" w:hAnsi="宋体" w:cs="宋体"/>
          <w:b/>
          <w:bCs/>
          <w:color w:val="auto"/>
          <w:sz w:val="24"/>
          <w:highlight w:val="none"/>
        </w:rPr>
        <w:t>一、报价文件部分格式</w:t>
      </w:r>
    </w:p>
    <w:p w14:paraId="77C6CC1E">
      <w:pPr>
        <w:spacing w:before="50" w:after="120"/>
        <w:jc w:val="left"/>
        <w:rPr>
          <w:rFonts w:ascii="宋体" w:hAnsi="宋体" w:cs="宋体"/>
          <w:b/>
          <w:color w:val="auto"/>
          <w:sz w:val="24"/>
          <w:highlight w:val="none"/>
        </w:rPr>
      </w:pPr>
    </w:p>
    <w:p w14:paraId="226EE371">
      <w:pPr>
        <w:spacing w:before="50" w:after="120"/>
        <w:jc w:val="left"/>
        <w:rPr>
          <w:rFonts w:ascii="宋体" w:hAnsi="宋体" w:cs="宋体"/>
          <w:b/>
          <w:color w:val="auto"/>
          <w:sz w:val="24"/>
          <w:highlight w:val="none"/>
        </w:rPr>
      </w:pPr>
    </w:p>
    <w:p w14:paraId="4180618F">
      <w:pPr>
        <w:spacing w:before="50" w:after="12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3CFCB6AC">
      <w:pPr>
        <w:pStyle w:val="13"/>
        <w:ind w:left="0" w:leftChars="0" w:right="1470"/>
        <w:rPr>
          <w:rFonts w:ascii="宋体" w:hAnsi="宋体" w:cs="宋体"/>
          <w:b/>
          <w:color w:val="auto"/>
          <w:sz w:val="24"/>
          <w:szCs w:val="24"/>
          <w:highlight w:val="none"/>
        </w:rPr>
      </w:pPr>
    </w:p>
    <w:p w14:paraId="194276D5">
      <w:pPr>
        <w:spacing w:line="400" w:lineRule="exact"/>
        <w:jc w:val="center"/>
        <w:rPr>
          <w:rFonts w:ascii="宋体" w:hAnsi="宋体" w:cs="宋体"/>
          <w:b/>
          <w:bCs/>
          <w:color w:val="auto"/>
          <w:sz w:val="24"/>
          <w:szCs w:val="20"/>
          <w:highlight w:val="none"/>
        </w:rPr>
      </w:pPr>
    </w:p>
    <w:p w14:paraId="1166DC7D">
      <w:pPr>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514090"/>
                <wp:effectExtent l="5080" t="5080" r="4445" b="5080"/>
                <wp:wrapTopAndBottom/>
                <wp:docPr id="2" name="000069"/>
                <wp:cNvGraphicFramePr/>
                <a:graphic xmlns:a="http://schemas.openxmlformats.org/drawingml/2006/main">
                  <a:graphicData uri="http://schemas.microsoft.com/office/word/2010/wordprocessingShape">
                    <wps:wsp>
                      <wps:cNvSpPr txBox="1"/>
                      <wps:spPr>
                        <a:xfrm>
                          <a:off x="0" y="0"/>
                          <a:ext cx="5076825" cy="3514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7C5748">
                            <w:pPr>
                              <w:spacing w:before="120" w:after="50"/>
                              <w:ind w:left="-850" w:leftChars="-405"/>
                              <w:rPr>
                                <w:rFonts w:ascii="宋体" w:hAnsi="宋体"/>
                                <w:sz w:val="24"/>
                                <w:szCs w:val="20"/>
                              </w:rPr>
                            </w:pPr>
                          </w:p>
                          <w:p w14:paraId="1E693A19">
                            <w:pPr>
                              <w:pStyle w:val="29"/>
                              <w:ind w:hanging="480"/>
                            </w:pPr>
                          </w:p>
                          <w:p w14:paraId="20A54F9C">
                            <w:pPr>
                              <w:spacing w:before="120" w:after="50"/>
                              <w:jc w:val="center"/>
                              <w:rPr>
                                <w:rFonts w:ascii="宋体" w:hAnsi="宋体"/>
                                <w:bCs/>
                                <w:sz w:val="24"/>
                                <w:szCs w:val="20"/>
                              </w:rPr>
                            </w:pPr>
                            <w:r>
                              <w:rPr>
                                <w:rFonts w:hint="eastAsia" w:ascii="宋体" w:hAnsi="宋体"/>
                                <w:bCs/>
                                <w:sz w:val="24"/>
                                <w:szCs w:val="20"/>
                              </w:rPr>
                              <w:t>投标报价文件</w:t>
                            </w:r>
                          </w:p>
                          <w:p w14:paraId="5FA29E32">
                            <w:pPr>
                              <w:spacing w:before="120" w:after="50"/>
                              <w:rPr>
                                <w:rFonts w:ascii="宋体" w:hAnsi="宋体"/>
                                <w:bCs/>
                                <w:sz w:val="24"/>
                                <w:szCs w:val="20"/>
                              </w:rPr>
                            </w:pPr>
                          </w:p>
                          <w:p w14:paraId="425D8C6F">
                            <w:pPr>
                              <w:spacing w:before="120" w:after="50"/>
                              <w:ind w:firstLine="1068" w:firstLineChars="445"/>
                              <w:rPr>
                                <w:rFonts w:ascii="宋体" w:hAnsi="宋体"/>
                                <w:bCs/>
                                <w:sz w:val="24"/>
                              </w:rPr>
                            </w:pPr>
                            <w:r>
                              <w:rPr>
                                <w:rFonts w:hint="eastAsia" w:ascii="宋体" w:hAnsi="宋体"/>
                                <w:bCs/>
                                <w:sz w:val="24"/>
                              </w:rPr>
                              <w:t>项目名称：</w:t>
                            </w:r>
                          </w:p>
                          <w:p w14:paraId="3F189B2B">
                            <w:pPr>
                              <w:spacing w:before="120" w:after="50"/>
                              <w:ind w:firstLine="1068" w:firstLineChars="445"/>
                              <w:rPr>
                                <w:rFonts w:ascii="宋体" w:hAnsi="宋体"/>
                                <w:bCs/>
                                <w:sz w:val="24"/>
                              </w:rPr>
                            </w:pPr>
                            <w:r>
                              <w:rPr>
                                <w:rFonts w:hint="eastAsia" w:ascii="宋体" w:hAnsi="宋体"/>
                                <w:bCs/>
                                <w:sz w:val="24"/>
                              </w:rPr>
                              <w:t>项目编号：</w:t>
                            </w:r>
                          </w:p>
                          <w:p w14:paraId="758922A9">
                            <w:pPr>
                              <w:spacing w:before="12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73E7DF73">
                            <w:pPr>
                              <w:spacing w:before="120" w:after="50"/>
                              <w:ind w:firstLine="1068" w:firstLineChars="445"/>
                              <w:rPr>
                                <w:rFonts w:ascii="宋体" w:hAnsi="宋体"/>
                                <w:bCs/>
                                <w:sz w:val="24"/>
                              </w:rPr>
                            </w:pPr>
                            <w:r>
                              <w:rPr>
                                <w:rFonts w:hint="eastAsia" w:ascii="宋体" w:hAnsi="宋体"/>
                                <w:bCs/>
                                <w:sz w:val="24"/>
                              </w:rPr>
                              <w:t>投标人地址：</w:t>
                            </w:r>
                          </w:p>
                          <w:p w14:paraId="3955A7BB">
                            <w:pPr>
                              <w:spacing w:before="120" w:after="50"/>
                              <w:ind w:firstLine="1068" w:firstLineChars="445"/>
                              <w:rPr>
                                <w:rFonts w:ascii="宋体" w:hAnsi="宋体"/>
                                <w:bCs/>
                                <w:sz w:val="24"/>
                              </w:rPr>
                            </w:pPr>
                          </w:p>
                          <w:p w14:paraId="01E71D0A">
                            <w:pPr>
                              <w:spacing w:before="120" w:after="50"/>
                              <w:ind w:firstLine="4080" w:firstLineChars="1700"/>
                              <w:rPr>
                                <w:rFonts w:ascii="宋体" w:hAnsi="宋体"/>
                                <w:sz w:val="24"/>
                                <w:szCs w:val="20"/>
                              </w:rPr>
                            </w:pPr>
                          </w:p>
                          <w:p w14:paraId="5B584E30">
                            <w:pPr>
                              <w:ind w:firstLine="240" w:firstLineChars="100"/>
                            </w:pPr>
                            <w:r>
                              <w:rPr>
                                <w:rFonts w:hint="eastAsia"/>
                                <w:sz w:val="24"/>
                              </w:rPr>
                              <w:t>年 月 日</w:t>
                            </w:r>
                          </w:p>
                          <w:p w14:paraId="571C9912"/>
                        </w:txbxContent>
                      </wps:txbx>
                      <wps:bodyPr upright="1"/>
                    </wps:wsp>
                  </a:graphicData>
                </a:graphic>
              </wp:anchor>
            </w:drawing>
          </mc:Choice>
          <mc:Fallback>
            <w:pict>
              <v:shape id="000069" o:spid="_x0000_s1026" o:spt="202" type="#_x0000_t202" style="position:absolute;left:0pt;margin-left:30.7pt;margin-top:16pt;height:276.7pt;width:399.75pt;mso-wrap-distance-bottom:0pt;mso-wrap-distance-top:0pt;z-index:251660288;mso-width-relative:page;mso-height-relative:page;" fillcolor="#FFFFFF" filled="t" stroked="t" coordsize="21600,21600" o:gfxdata="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KwSitkAAAAJAQAADwAAAAAAAAABACAAAAAiAAAAZHJzL2Rvd25y&#10;ZXYueG1sUEsBAhQAFAAAAAgAh07iQA1kgEz9AQAAMgQAAA4AAAAAAAAAAQAgAAAAKAEAAGRycy9l&#10;Mm9Eb2MueG1sUEsFBgAAAAAGAAYAWQEAAJcFAAAAAA==&#10;">
                <v:fill on="t" focussize="0,0"/>
                <v:stroke color="#000000" joinstyle="miter"/>
                <v:imagedata o:title=""/>
                <o:lock v:ext="edit" aspectratio="f"/>
                <v:textbox>
                  <w:txbxContent>
                    <w:p w14:paraId="247C5748">
                      <w:pPr>
                        <w:spacing w:before="120" w:after="50"/>
                        <w:ind w:left="-850" w:leftChars="-405"/>
                        <w:rPr>
                          <w:rFonts w:ascii="宋体" w:hAnsi="宋体"/>
                          <w:sz w:val="24"/>
                          <w:szCs w:val="20"/>
                        </w:rPr>
                      </w:pPr>
                    </w:p>
                    <w:p w14:paraId="1E693A19">
                      <w:pPr>
                        <w:pStyle w:val="29"/>
                        <w:ind w:hanging="480"/>
                      </w:pPr>
                    </w:p>
                    <w:p w14:paraId="20A54F9C">
                      <w:pPr>
                        <w:spacing w:before="120" w:after="50"/>
                        <w:jc w:val="center"/>
                        <w:rPr>
                          <w:rFonts w:ascii="宋体" w:hAnsi="宋体"/>
                          <w:bCs/>
                          <w:sz w:val="24"/>
                          <w:szCs w:val="20"/>
                        </w:rPr>
                      </w:pPr>
                      <w:r>
                        <w:rPr>
                          <w:rFonts w:hint="eastAsia" w:ascii="宋体" w:hAnsi="宋体"/>
                          <w:bCs/>
                          <w:sz w:val="24"/>
                          <w:szCs w:val="20"/>
                        </w:rPr>
                        <w:t>投标报价文件</w:t>
                      </w:r>
                    </w:p>
                    <w:p w14:paraId="5FA29E32">
                      <w:pPr>
                        <w:spacing w:before="120" w:after="50"/>
                        <w:rPr>
                          <w:rFonts w:ascii="宋体" w:hAnsi="宋体"/>
                          <w:bCs/>
                          <w:sz w:val="24"/>
                          <w:szCs w:val="20"/>
                        </w:rPr>
                      </w:pPr>
                    </w:p>
                    <w:p w14:paraId="425D8C6F">
                      <w:pPr>
                        <w:spacing w:before="120" w:after="50"/>
                        <w:ind w:firstLine="1068" w:firstLineChars="445"/>
                        <w:rPr>
                          <w:rFonts w:ascii="宋体" w:hAnsi="宋体"/>
                          <w:bCs/>
                          <w:sz w:val="24"/>
                        </w:rPr>
                      </w:pPr>
                      <w:r>
                        <w:rPr>
                          <w:rFonts w:hint="eastAsia" w:ascii="宋体" w:hAnsi="宋体"/>
                          <w:bCs/>
                          <w:sz w:val="24"/>
                        </w:rPr>
                        <w:t>项目名称：</w:t>
                      </w:r>
                    </w:p>
                    <w:p w14:paraId="3F189B2B">
                      <w:pPr>
                        <w:spacing w:before="120" w:after="50"/>
                        <w:ind w:firstLine="1068" w:firstLineChars="445"/>
                        <w:rPr>
                          <w:rFonts w:ascii="宋体" w:hAnsi="宋体"/>
                          <w:bCs/>
                          <w:sz w:val="24"/>
                        </w:rPr>
                      </w:pPr>
                      <w:r>
                        <w:rPr>
                          <w:rFonts w:hint="eastAsia" w:ascii="宋体" w:hAnsi="宋体"/>
                          <w:bCs/>
                          <w:sz w:val="24"/>
                        </w:rPr>
                        <w:t>项目编号：</w:t>
                      </w:r>
                    </w:p>
                    <w:p w14:paraId="758922A9">
                      <w:pPr>
                        <w:spacing w:before="12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73E7DF73">
                      <w:pPr>
                        <w:spacing w:before="120" w:after="50"/>
                        <w:ind w:firstLine="1068" w:firstLineChars="445"/>
                        <w:rPr>
                          <w:rFonts w:ascii="宋体" w:hAnsi="宋体"/>
                          <w:bCs/>
                          <w:sz w:val="24"/>
                        </w:rPr>
                      </w:pPr>
                      <w:r>
                        <w:rPr>
                          <w:rFonts w:hint="eastAsia" w:ascii="宋体" w:hAnsi="宋体"/>
                          <w:bCs/>
                          <w:sz w:val="24"/>
                        </w:rPr>
                        <w:t>投标人地址：</w:t>
                      </w:r>
                    </w:p>
                    <w:p w14:paraId="3955A7BB">
                      <w:pPr>
                        <w:spacing w:before="120" w:after="50"/>
                        <w:ind w:firstLine="1068" w:firstLineChars="445"/>
                        <w:rPr>
                          <w:rFonts w:ascii="宋体" w:hAnsi="宋体"/>
                          <w:bCs/>
                          <w:sz w:val="24"/>
                        </w:rPr>
                      </w:pPr>
                    </w:p>
                    <w:p w14:paraId="01E71D0A">
                      <w:pPr>
                        <w:spacing w:before="120" w:after="50"/>
                        <w:ind w:firstLine="4080" w:firstLineChars="1700"/>
                        <w:rPr>
                          <w:rFonts w:ascii="宋体" w:hAnsi="宋体"/>
                          <w:sz w:val="24"/>
                          <w:szCs w:val="20"/>
                        </w:rPr>
                      </w:pPr>
                    </w:p>
                    <w:p w14:paraId="5B584E30">
                      <w:pPr>
                        <w:ind w:firstLine="240" w:firstLineChars="100"/>
                      </w:pPr>
                      <w:r>
                        <w:rPr>
                          <w:rFonts w:hint="eastAsia"/>
                          <w:sz w:val="24"/>
                        </w:rPr>
                        <w:t>年 月 日</w:t>
                      </w:r>
                    </w:p>
                    <w:p w14:paraId="571C9912"/>
                  </w:txbxContent>
                </v:textbox>
                <w10:wrap type="topAndBottom"/>
              </v:shape>
            </w:pict>
          </mc:Fallback>
        </mc:AlternateContent>
      </w:r>
    </w:p>
    <w:p w14:paraId="63838825">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附件1</w:t>
      </w:r>
    </w:p>
    <w:p w14:paraId="6D5752FE">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开标一览表</w:t>
      </w:r>
    </w:p>
    <w:p w14:paraId="660A27AF">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项目名称：                                   单位：人民币（元）        </w:t>
      </w:r>
    </w:p>
    <w:tbl>
      <w:tblPr>
        <w:tblStyle w:val="3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349"/>
        <w:gridCol w:w="1596"/>
        <w:gridCol w:w="2471"/>
      </w:tblGrid>
      <w:tr w14:paraId="5547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14:paraId="56C8D73F">
            <w:pPr>
              <w:pStyle w:val="14"/>
              <w:spacing w:line="400" w:lineRule="exact"/>
              <w:jc w:val="center"/>
              <w:rPr>
                <w:rFonts w:hAnsi="宋体" w:cs="宋体"/>
                <w:color w:val="auto"/>
                <w:sz w:val="22"/>
                <w:highlight w:val="none"/>
              </w:rPr>
            </w:pPr>
            <w:r>
              <w:rPr>
                <w:rFonts w:hint="eastAsia" w:hAnsi="宋体" w:cs="宋体"/>
                <w:color w:val="auto"/>
                <w:sz w:val="22"/>
                <w:highlight w:val="none"/>
              </w:rPr>
              <w:t>序号</w:t>
            </w:r>
          </w:p>
        </w:tc>
        <w:tc>
          <w:tcPr>
            <w:tcW w:w="4349" w:type="dxa"/>
            <w:vAlign w:val="center"/>
          </w:tcPr>
          <w:p w14:paraId="311D3DF0">
            <w:pPr>
              <w:pStyle w:val="14"/>
              <w:spacing w:line="400" w:lineRule="exact"/>
              <w:jc w:val="center"/>
              <w:rPr>
                <w:rFonts w:hAnsi="宋体" w:cs="宋体"/>
                <w:color w:val="auto"/>
                <w:sz w:val="22"/>
                <w:highlight w:val="none"/>
              </w:rPr>
            </w:pPr>
            <w:r>
              <w:rPr>
                <w:rFonts w:hint="eastAsia" w:hAnsi="宋体" w:cs="宋体"/>
                <w:color w:val="auto"/>
                <w:sz w:val="22"/>
                <w:highlight w:val="none"/>
              </w:rPr>
              <w:t>标项名称</w:t>
            </w:r>
          </w:p>
        </w:tc>
        <w:tc>
          <w:tcPr>
            <w:tcW w:w="1596" w:type="dxa"/>
            <w:vAlign w:val="center"/>
          </w:tcPr>
          <w:p w14:paraId="6E9AE298">
            <w:pPr>
              <w:pStyle w:val="14"/>
              <w:spacing w:line="400" w:lineRule="exact"/>
              <w:jc w:val="center"/>
              <w:rPr>
                <w:rFonts w:hAnsi="宋体" w:cs="宋体"/>
                <w:color w:val="auto"/>
                <w:sz w:val="22"/>
                <w:highlight w:val="none"/>
              </w:rPr>
            </w:pPr>
            <w:r>
              <w:rPr>
                <w:rFonts w:hint="eastAsia" w:hAnsi="宋体" w:cs="宋体"/>
                <w:color w:val="auto"/>
                <w:sz w:val="22"/>
                <w:highlight w:val="none"/>
              </w:rPr>
              <w:t>服务期限</w:t>
            </w:r>
          </w:p>
        </w:tc>
        <w:tc>
          <w:tcPr>
            <w:tcW w:w="2471" w:type="dxa"/>
            <w:vAlign w:val="center"/>
          </w:tcPr>
          <w:p w14:paraId="24D2BE0F">
            <w:pPr>
              <w:pStyle w:val="14"/>
              <w:spacing w:line="400" w:lineRule="exact"/>
              <w:jc w:val="center"/>
              <w:rPr>
                <w:rFonts w:hAnsi="宋体" w:cs="宋体"/>
                <w:color w:val="auto"/>
                <w:sz w:val="22"/>
                <w:highlight w:val="none"/>
              </w:rPr>
            </w:pPr>
            <w:r>
              <w:rPr>
                <w:rFonts w:hint="eastAsia" w:hAnsi="宋体" w:cs="宋体"/>
                <w:color w:val="auto"/>
                <w:sz w:val="22"/>
                <w:highlight w:val="none"/>
              </w:rPr>
              <w:t>投标总价（元）</w:t>
            </w:r>
          </w:p>
        </w:tc>
      </w:tr>
      <w:tr w14:paraId="089A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14:paraId="16EF0BB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4349" w:type="dxa"/>
            <w:vMerge w:val="restart"/>
            <w:vAlign w:val="center"/>
          </w:tcPr>
          <w:p w14:paraId="5ED87E2E">
            <w:pPr>
              <w:spacing w:line="40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温州肯恩大学2025年到2028年校园物业服务采购</w:t>
            </w:r>
          </w:p>
        </w:tc>
        <w:tc>
          <w:tcPr>
            <w:tcW w:w="1596" w:type="dxa"/>
            <w:vAlign w:val="center"/>
          </w:tcPr>
          <w:p w14:paraId="4B657B11">
            <w:pPr>
              <w:spacing w:line="400" w:lineRule="exact"/>
              <w:jc w:val="center"/>
              <w:rPr>
                <w:rFonts w:ascii="宋体" w:hAnsi="宋体" w:cs="宋体"/>
                <w:color w:val="auto"/>
                <w:sz w:val="22"/>
                <w:highlight w:val="none"/>
              </w:rPr>
            </w:pPr>
            <w:r>
              <w:rPr>
                <w:rFonts w:hint="eastAsia" w:ascii="宋体" w:hAnsi="宋体"/>
                <w:bCs/>
                <w:color w:val="auto"/>
                <w:szCs w:val="21"/>
                <w:highlight w:val="none"/>
              </w:rPr>
              <w:t>第一年</w:t>
            </w:r>
          </w:p>
        </w:tc>
        <w:tc>
          <w:tcPr>
            <w:tcW w:w="2471" w:type="dxa"/>
            <w:vAlign w:val="center"/>
          </w:tcPr>
          <w:p w14:paraId="4532433F">
            <w:pPr>
              <w:pStyle w:val="14"/>
              <w:spacing w:line="400" w:lineRule="exact"/>
              <w:rPr>
                <w:rFonts w:hAnsi="宋体" w:cs="宋体"/>
                <w:color w:val="auto"/>
                <w:sz w:val="22"/>
                <w:highlight w:val="none"/>
              </w:rPr>
            </w:pPr>
            <w:r>
              <w:rPr>
                <w:rFonts w:hint="eastAsia" w:hAnsi="宋体" w:cs="宋体"/>
                <w:color w:val="auto"/>
                <w:sz w:val="22"/>
                <w:highlight w:val="none"/>
              </w:rPr>
              <w:t>小写：</w:t>
            </w:r>
          </w:p>
          <w:p w14:paraId="23061A88">
            <w:pPr>
              <w:pStyle w:val="14"/>
              <w:spacing w:line="400" w:lineRule="exact"/>
              <w:jc w:val="both"/>
              <w:rPr>
                <w:rFonts w:hAnsi="宋体" w:cs="宋体"/>
                <w:color w:val="auto"/>
                <w:sz w:val="22"/>
                <w:highlight w:val="none"/>
              </w:rPr>
            </w:pPr>
            <w:r>
              <w:rPr>
                <w:rFonts w:hint="eastAsia" w:hAnsi="宋体" w:cs="宋体"/>
                <w:color w:val="auto"/>
                <w:sz w:val="22"/>
                <w:highlight w:val="none"/>
              </w:rPr>
              <w:t>大写：</w:t>
            </w:r>
          </w:p>
        </w:tc>
      </w:tr>
      <w:tr w14:paraId="5429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14:paraId="2C0F22C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4349" w:type="dxa"/>
            <w:vMerge w:val="continue"/>
            <w:vAlign w:val="center"/>
          </w:tcPr>
          <w:p w14:paraId="55909C9E">
            <w:pPr>
              <w:spacing w:line="400" w:lineRule="exact"/>
              <w:jc w:val="center"/>
              <w:rPr>
                <w:rFonts w:ascii="宋体" w:hAnsi="宋体" w:cs="宋体"/>
                <w:color w:val="auto"/>
                <w:sz w:val="22"/>
                <w:highlight w:val="none"/>
              </w:rPr>
            </w:pPr>
          </w:p>
        </w:tc>
        <w:tc>
          <w:tcPr>
            <w:tcW w:w="1596" w:type="dxa"/>
            <w:vAlign w:val="center"/>
          </w:tcPr>
          <w:p w14:paraId="603563DB">
            <w:pPr>
              <w:spacing w:line="400" w:lineRule="exact"/>
              <w:jc w:val="center"/>
              <w:rPr>
                <w:rFonts w:ascii="宋体" w:hAnsi="宋体"/>
                <w:bCs/>
                <w:color w:val="auto"/>
                <w:szCs w:val="21"/>
                <w:highlight w:val="none"/>
              </w:rPr>
            </w:pPr>
            <w:r>
              <w:rPr>
                <w:rFonts w:hint="eastAsia" w:ascii="宋体" w:hAnsi="宋体"/>
                <w:bCs/>
                <w:color w:val="auto"/>
                <w:szCs w:val="21"/>
                <w:highlight w:val="none"/>
              </w:rPr>
              <w:t>第二年</w:t>
            </w:r>
          </w:p>
        </w:tc>
        <w:tc>
          <w:tcPr>
            <w:tcW w:w="2471" w:type="dxa"/>
            <w:vAlign w:val="center"/>
          </w:tcPr>
          <w:p w14:paraId="47247783">
            <w:pPr>
              <w:pStyle w:val="14"/>
              <w:spacing w:line="400" w:lineRule="exact"/>
              <w:rPr>
                <w:rFonts w:hAnsi="宋体" w:cs="宋体"/>
                <w:color w:val="auto"/>
                <w:sz w:val="22"/>
                <w:highlight w:val="none"/>
              </w:rPr>
            </w:pPr>
            <w:r>
              <w:rPr>
                <w:rFonts w:hint="eastAsia" w:hAnsi="宋体" w:cs="宋体"/>
                <w:color w:val="auto"/>
                <w:sz w:val="22"/>
                <w:highlight w:val="none"/>
              </w:rPr>
              <w:t>小写：</w:t>
            </w:r>
          </w:p>
          <w:p w14:paraId="28521A66">
            <w:pPr>
              <w:pStyle w:val="14"/>
              <w:spacing w:line="400" w:lineRule="exact"/>
              <w:jc w:val="both"/>
              <w:rPr>
                <w:rFonts w:hAnsi="宋体" w:cs="宋体"/>
                <w:color w:val="auto"/>
                <w:sz w:val="22"/>
                <w:highlight w:val="none"/>
              </w:rPr>
            </w:pPr>
            <w:r>
              <w:rPr>
                <w:rFonts w:hint="eastAsia" w:hAnsi="宋体" w:cs="宋体"/>
                <w:color w:val="auto"/>
                <w:sz w:val="22"/>
                <w:highlight w:val="none"/>
              </w:rPr>
              <w:t>大写：</w:t>
            </w:r>
          </w:p>
        </w:tc>
      </w:tr>
      <w:tr w14:paraId="6CCC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1" w:type="dxa"/>
            <w:vAlign w:val="center"/>
          </w:tcPr>
          <w:p w14:paraId="0833CF80">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4349" w:type="dxa"/>
            <w:vMerge w:val="continue"/>
            <w:vAlign w:val="center"/>
          </w:tcPr>
          <w:p w14:paraId="08F43C52">
            <w:pPr>
              <w:spacing w:line="400" w:lineRule="exact"/>
              <w:jc w:val="center"/>
              <w:rPr>
                <w:rFonts w:ascii="宋体" w:hAnsi="宋体" w:cs="宋体"/>
                <w:color w:val="auto"/>
                <w:sz w:val="22"/>
                <w:highlight w:val="none"/>
              </w:rPr>
            </w:pPr>
          </w:p>
        </w:tc>
        <w:tc>
          <w:tcPr>
            <w:tcW w:w="1596" w:type="dxa"/>
            <w:vAlign w:val="center"/>
          </w:tcPr>
          <w:p w14:paraId="7C932E85">
            <w:pPr>
              <w:spacing w:line="400" w:lineRule="exact"/>
              <w:jc w:val="center"/>
              <w:rPr>
                <w:rFonts w:ascii="宋体" w:hAnsi="宋体"/>
                <w:bCs/>
                <w:color w:val="auto"/>
                <w:szCs w:val="21"/>
                <w:highlight w:val="none"/>
              </w:rPr>
            </w:pPr>
            <w:r>
              <w:rPr>
                <w:rFonts w:hint="eastAsia" w:ascii="宋体" w:hAnsi="宋体"/>
                <w:bCs/>
                <w:color w:val="auto"/>
                <w:szCs w:val="21"/>
                <w:highlight w:val="none"/>
              </w:rPr>
              <w:t>第三年</w:t>
            </w:r>
          </w:p>
        </w:tc>
        <w:tc>
          <w:tcPr>
            <w:tcW w:w="2471" w:type="dxa"/>
            <w:vAlign w:val="center"/>
          </w:tcPr>
          <w:p w14:paraId="4CE4FF63">
            <w:pPr>
              <w:pStyle w:val="14"/>
              <w:spacing w:line="400" w:lineRule="exact"/>
              <w:rPr>
                <w:rFonts w:hAnsi="宋体" w:cs="宋体"/>
                <w:color w:val="auto"/>
                <w:sz w:val="22"/>
                <w:highlight w:val="none"/>
              </w:rPr>
            </w:pPr>
            <w:r>
              <w:rPr>
                <w:rFonts w:hint="eastAsia" w:hAnsi="宋体" w:cs="宋体"/>
                <w:color w:val="auto"/>
                <w:sz w:val="22"/>
                <w:highlight w:val="none"/>
              </w:rPr>
              <w:t>小写：</w:t>
            </w:r>
          </w:p>
          <w:p w14:paraId="7AE9E30F">
            <w:pPr>
              <w:pStyle w:val="14"/>
              <w:spacing w:line="400" w:lineRule="exact"/>
              <w:jc w:val="both"/>
              <w:rPr>
                <w:rFonts w:hAnsi="宋体" w:cs="宋体"/>
                <w:color w:val="auto"/>
                <w:sz w:val="22"/>
                <w:highlight w:val="none"/>
              </w:rPr>
            </w:pPr>
            <w:r>
              <w:rPr>
                <w:rFonts w:hint="eastAsia" w:hAnsi="宋体" w:cs="宋体"/>
                <w:color w:val="auto"/>
                <w:sz w:val="22"/>
                <w:highlight w:val="none"/>
              </w:rPr>
              <w:t>大写：</w:t>
            </w:r>
          </w:p>
        </w:tc>
      </w:tr>
      <w:tr w14:paraId="526D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7" w:type="dxa"/>
            <w:gridSpan w:val="4"/>
            <w:vAlign w:val="center"/>
          </w:tcPr>
          <w:p w14:paraId="1496E255">
            <w:pPr>
              <w:pStyle w:val="14"/>
              <w:spacing w:line="400" w:lineRule="exact"/>
              <w:rPr>
                <w:rFonts w:hAnsi="宋体" w:cs="宋体"/>
                <w:b/>
                <w:color w:val="auto"/>
                <w:sz w:val="22"/>
                <w:highlight w:val="none"/>
              </w:rPr>
            </w:pPr>
            <w:r>
              <w:rPr>
                <w:rFonts w:hint="eastAsia" w:hAnsi="宋体" w:cs="宋体"/>
                <w:b/>
                <w:color w:val="auto"/>
                <w:sz w:val="22"/>
                <w:highlight w:val="none"/>
              </w:rPr>
              <w:t>三年合计金额：</w:t>
            </w:r>
            <w:r>
              <w:rPr>
                <w:rFonts w:hint="eastAsia" w:hAnsi="宋体" w:cs="宋体"/>
                <w:color w:val="auto"/>
                <w:sz w:val="22"/>
                <w:highlight w:val="none"/>
              </w:rPr>
              <w:t>小写：                      大写：</w:t>
            </w:r>
          </w:p>
        </w:tc>
      </w:tr>
    </w:tbl>
    <w:p w14:paraId="3ADC74F5">
      <w:pPr>
        <w:spacing w:line="400" w:lineRule="exact"/>
        <w:rPr>
          <w:rFonts w:ascii="宋体" w:hAnsi="宋体" w:cs="宋体"/>
          <w:color w:val="auto"/>
          <w:sz w:val="22"/>
          <w:highlight w:val="none"/>
        </w:rPr>
      </w:pPr>
      <w:r>
        <w:rPr>
          <w:rFonts w:hint="eastAsia" w:ascii="宋体" w:hAnsi="宋体" w:cs="宋体"/>
          <w:color w:val="auto"/>
          <w:sz w:val="24"/>
          <w:highlight w:val="none"/>
        </w:rPr>
        <w:t xml:space="preserve">      </w:t>
      </w:r>
    </w:p>
    <w:p w14:paraId="516AD274">
      <w:pPr>
        <w:pStyle w:val="15"/>
        <w:snapToGrid w:val="0"/>
        <w:spacing w:line="360" w:lineRule="auto"/>
        <w:ind w:left="0" w:leftChars="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p>
    <w:p w14:paraId="6E874AA6">
      <w:pPr>
        <w:numPr>
          <w:ilvl w:val="0"/>
          <w:numId w:val="4"/>
        </w:numPr>
        <w:ind w:firstLine="440" w:firstLineChars="200"/>
        <w:rPr>
          <w:rFonts w:ascii="宋体" w:hAnsi="宋体" w:cs="宋体"/>
          <w:color w:val="auto"/>
          <w:sz w:val="22"/>
          <w:highlight w:val="none"/>
        </w:rPr>
      </w:pPr>
      <w:r>
        <w:rPr>
          <w:rFonts w:hint="eastAsia" w:ascii="宋体" w:hAnsi="宋体" w:cs="宋体"/>
          <w:color w:val="auto"/>
          <w:sz w:val="22"/>
          <w:highlight w:val="none"/>
        </w:rPr>
        <w:t>投标报价是指投标人完全履行合同义务后，采购人应支付给投标人所有的服务价款，即在承包区域内提供物业服务所需的人工费（包括工人工资、奖金、节日加班费、劳保福利、餐费、社保、意外保险、工伤费、教育培训费、每年体检费、暂住费及处理伤亡事故等费用）、单价300元及以下的维修材料和配件费用、保洁及设施设备维修工器具费用、物业耗材及其他专项服务</w:t>
      </w:r>
      <w:r>
        <w:rPr>
          <w:rFonts w:hint="eastAsia" w:ascii="宋体" w:hAnsi="宋体" w:cs="宋体"/>
          <w:color w:val="auto"/>
          <w:sz w:val="22"/>
          <w:highlight w:val="none"/>
          <w:lang w:eastAsia="zh-CN"/>
        </w:rPr>
        <w:t>费</w:t>
      </w:r>
      <w:r>
        <w:rPr>
          <w:rFonts w:hint="eastAsia" w:ascii="宋体" w:hAnsi="宋体" w:cs="宋体"/>
          <w:color w:val="auto"/>
          <w:sz w:val="22"/>
          <w:highlight w:val="none"/>
        </w:rPr>
        <w:t>（垃圾清运、外墙清洗保洁、化粪池清理和管道疏通、学校生活水箱和热水水箱清洗、维修材料配件、新投用建筑保洁开荒、宿舍卫生间保洁、校车清洗、毕业生房间清理、室外防腐木、钢制栏杆及钢构件刷漆服务、考试会场及大型活动服务）、安全文明生产装备费（包括员工冬、夏装工作服等）、校园文化建设费用、投标人行政办公费、企业应缴税金、利润以及完成合同所需的所有工作开支，政策性文件规定合同包含的所有风险、责任等各项费用。</w:t>
      </w:r>
    </w:p>
    <w:p w14:paraId="4D5D8002">
      <w:pPr>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2、中标单位负责承担包含：1)、物业耗材；2)、维修的工器具配置费用；3)、单价费用在300元及以下的维修配件及材料费用；4)、保洁工具（推车、清洁剂、洗衣粉、工具组等）；5)、按招标文件需要配置设备。</w:t>
      </w:r>
    </w:p>
    <w:p w14:paraId="5335B08C">
      <w:pPr>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3、学校承担费用包含：1)、公共区域日常保洁耗材（空气清新剂、皂液器、蚊香、香精球、卷纸盒、擦手纸盒、洗手液、擦手纸、卷纸、垃圾袋、84消毒水、垃圾桶）及会务用品；2)、单价费用在300元以上的维修配件及材料费用。</w:t>
      </w:r>
    </w:p>
    <w:p w14:paraId="44F98DC3">
      <w:pPr>
        <w:pStyle w:val="15"/>
        <w:snapToGrid w:val="0"/>
        <w:spacing w:line="360" w:lineRule="auto"/>
        <w:ind w:left="420" w:leftChars="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4、不提供开标一览表的投标文件将被视为未实质性响应招标文件。</w:t>
      </w:r>
    </w:p>
    <w:p w14:paraId="3BD8A7D3">
      <w:pPr>
        <w:pStyle w:val="15"/>
        <w:snapToGrid w:val="0"/>
        <w:spacing w:line="360" w:lineRule="auto"/>
        <w:ind w:left="420" w:leftChars="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5、此栏内投标报价应与“投标报价明细表”中投标总价相一致。</w:t>
      </w:r>
    </w:p>
    <w:p w14:paraId="03ACF2CB">
      <w:pPr>
        <w:pStyle w:val="15"/>
        <w:snapToGrid w:val="0"/>
        <w:spacing w:line="360" w:lineRule="auto"/>
        <w:ind w:left="420" w:leftChars="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6、客户端填写的报价与以pdf格式上传文件中的报价不一致的，应以Pdf格式上传文件中的报价为准。</w:t>
      </w:r>
    </w:p>
    <w:p w14:paraId="509460B9">
      <w:pPr>
        <w:ind w:left="420"/>
        <w:rPr>
          <w:rFonts w:ascii="宋体" w:hAnsi="宋体" w:cs="宋体"/>
          <w:color w:val="auto"/>
          <w:sz w:val="22"/>
          <w:szCs w:val="20"/>
          <w:highlight w:val="none"/>
          <w:u w:val="single"/>
        </w:rPr>
      </w:pPr>
      <w:r>
        <w:rPr>
          <w:rFonts w:hint="eastAsia" w:ascii="宋体" w:hAnsi="宋体" w:cs="宋体"/>
          <w:b/>
          <w:color w:val="auto"/>
          <w:sz w:val="22"/>
          <w:highlight w:val="none"/>
        </w:rPr>
        <w:t>7、▲</w:t>
      </w:r>
      <w:r>
        <w:rPr>
          <w:rFonts w:hint="eastAsia" w:ascii="宋体" w:hAnsi="宋体" w:cs="宋体"/>
          <w:color w:val="auto"/>
          <w:sz w:val="22"/>
          <w:szCs w:val="20"/>
          <w:highlight w:val="none"/>
          <w:u w:val="single"/>
        </w:rPr>
        <w:t>三年总预算金额：38000000.00元：第一年预算金额11800000.00元；第二年预算金额12800000.00元；第三年预算金额13400000.00元；投标人报价不得超以上任意一项，未按规定报价投标文件按无效标处理。</w:t>
      </w:r>
    </w:p>
    <w:p w14:paraId="50E2881E">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0B0DD52">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65FC3982">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2636B1C5">
      <w:pPr>
        <w:spacing w:line="400" w:lineRule="exact"/>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附件2</w:t>
      </w:r>
    </w:p>
    <w:p w14:paraId="694C80E7">
      <w:pPr>
        <w:pStyle w:val="14"/>
        <w:spacing w:line="400" w:lineRule="exact"/>
        <w:jc w:val="center"/>
        <w:rPr>
          <w:rFonts w:hAnsi="宋体" w:cs="宋体"/>
          <w:b/>
          <w:color w:val="auto"/>
          <w:highlight w:val="none"/>
        </w:rPr>
      </w:pPr>
      <w:r>
        <w:rPr>
          <w:rFonts w:hint="eastAsia" w:hAnsi="宋体" w:cs="宋体"/>
          <w:b/>
          <w:color w:val="auto"/>
          <w:highlight w:val="none"/>
        </w:rPr>
        <w:t>投标报价明细表</w:t>
      </w:r>
    </w:p>
    <w:p w14:paraId="101632BE">
      <w:pPr>
        <w:spacing w:line="400" w:lineRule="exact"/>
        <w:rPr>
          <w:rFonts w:ascii="宋体" w:hAnsi="宋体" w:cs="宋体"/>
          <w:color w:val="auto"/>
          <w:sz w:val="22"/>
          <w:highlight w:val="none"/>
        </w:rPr>
      </w:pPr>
    </w:p>
    <w:p w14:paraId="7B4881B1">
      <w:pPr>
        <w:spacing w:line="400" w:lineRule="exact"/>
        <w:rPr>
          <w:rFonts w:ascii="宋体" w:hAnsi="宋体" w:cs="宋体"/>
          <w:color w:val="auto"/>
          <w:szCs w:val="21"/>
          <w:highlight w:val="none"/>
        </w:rPr>
      </w:pPr>
      <w:r>
        <w:rPr>
          <w:rFonts w:hint="eastAsia" w:ascii="宋体" w:hAnsi="宋体" w:cs="宋体"/>
          <w:color w:val="auto"/>
          <w:sz w:val="22"/>
          <w:highlight w:val="none"/>
        </w:rPr>
        <w:t>项目名称：                          项目编号：                      单位：人民币（元）</w:t>
      </w:r>
      <w:r>
        <w:rPr>
          <w:rFonts w:hint="eastAsia" w:ascii="宋体" w:hAnsi="宋体" w:cs="宋体"/>
          <w:color w:val="auto"/>
          <w:sz w:val="24"/>
          <w:highlight w:val="none"/>
        </w:rPr>
        <w:t xml:space="preserve"> </w:t>
      </w:r>
    </w:p>
    <w:tbl>
      <w:tblPr>
        <w:tblStyle w:val="30"/>
        <w:tblW w:w="5101"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8"/>
        <w:gridCol w:w="390"/>
        <w:gridCol w:w="903"/>
        <w:gridCol w:w="564"/>
        <w:gridCol w:w="679"/>
        <w:gridCol w:w="730"/>
        <w:gridCol w:w="734"/>
        <w:gridCol w:w="679"/>
        <w:gridCol w:w="716"/>
        <w:gridCol w:w="933"/>
        <w:gridCol w:w="547"/>
        <w:gridCol w:w="762"/>
        <w:gridCol w:w="907"/>
        <w:gridCol w:w="681"/>
        <w:gridCol w:w="642"/>
      </w:tblGrid>
      <w:tr w14:paraId="6310E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3" w:hRule="atLeast"/>
        </w:trPr>
        <w:tc>
          <w:tcPr>
            <w:tcW w:w="146" w:type="pct"/>
            <w:vMerge w:val="restart"/>
            <w:vAlign w:val="center"/>
          </w:tcPr>
          <w:p w14:paraId="4C529F56">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序号</w:t>
            </w:r>
          </w:p>
        </w:tc>
        <w:tc>
          <w:tcPr>
            <w:tcW w:w="636" w:type="pct"/>
            <w:gridSpan w:val="2"/>
            <w:vMerge w:val="restart"/>
            <w:vAlign w:val="center"/>
          </w:tcPr>
          <w:p w14:paraId="4EF795D7">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分项</w:t>
            </w:r>
          </w:p>
        </w:tc>
        <w:tc>
          <w:tcPr>
            <w:tcW w:w="4217" w:type="pct"/>
            <w:gridSpan w:val="12"/>
            <w:tcBorders>
              <w:bottom w:val="single" w:color="auto" w:sz="4" w:space="0"/>
            </w:tcBorders>
            <w:vAlign w:val="center"/>
          </w:tcPr>
          <w:p w14:paraId="7DFB10B5">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支出</w:t>
            </w:r>
          </w:p>
        </w:tc>
      </w:tr>
      <w:tr w14:paraId="0AED0E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6" w:hRule="atLeast"/>
        </w:trPr>
        <w:tc>
          <w:tcPr>
            <w:tcW w:w="146" w:type="pct"/>
            <w:vMerge w:val="continue"/>
            <w:vAlign w:val="center"/>
          </w:tcPr>
          <w:p w14:paraId="26141CB0">
            <w:pPr>
              <w:snapToGrid w:val="0"/>
              <w:jc w:val="center"/>
              <w:rPr>
                <w:rFonts w:hint="eastAsia" w:ascii="宋体" w:hAnsi="宋体" w:cs="宋体"/>
                <w:color w:val="auto"/>
                <w:sz w:val="20"/>
                <w:szCs w:val="20"/>
                <w:highlight w:val="none"/>
              </w:rPr>
            </w:pPr>
          </w:p>
        </w:tc>
        <w:tc>
          <w:tcPr>
            <w:tcW w:w="636" w:type="pct"/>
            <w:gridSpan w:val="2"/>
            <w:vMerge w:val="continue"/>
            <w:vAlign w:val="center"/>
          </w:tcPr>
          <w:p w14:paraId="4CD938C2">
            <w:pPr>
              <w:snapToGrid w:val="0"/>
              <w:jc w:val="center"/>
              <w:rPr>
                <w:rFonts w:hint="eastAsia" w:ascii="宋体" w:hAnsi="宋体" w:cs="宋体"/>
                <w:color w:val="auto"/>
                <w:sz w:val="20"/>
                <w:szCs w:val="20"/>
                <w:highlight w:val="none"/>
              </w:rPr>
            </w:pPr>
          </w:p>
        </w:tc>
        <w:tc>
          <w:tcPr>
            <w:tcW w:w="970" w:type="pct"/>
            <w:gridSpan w:val="3"/>
            <w:tcBorders>
              <w:top w:val="single" w:color="auto" w:sz="4" w:space="0"/>
            </w:tcBorders>
            <w:vAlign w:val="center"/>
          </w:tcPr>
          <w:p w14:paraId="0F7430CA">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第一年2025.9.16-2026.9.15</w:t>
            </w:r>
          </w:p>
        </w:tc>
        <w:tc>
          <w:tcPr>
            <w:tcW w:w="1047" w:type="pct"/>
            <w:gridSpan w:val="3"/>
            <w:tcBorders>
              <w:top w:val="single" w:color="auto" w:sz="4" w:space="0"/>
            </w:tcBorders>
          </w:tcPr>
          <w:p w14:paraId="611D6C79">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第二年2026.9.16-2027.2.15</w:t>
            </w:r>
          </w:p>
        </w:tc>
        <w:tc>
          <w:tcPr>
            <w:tcW w:w="1102" w:type="pct"/>
            <w:gridSpan w:val="3"/>
            <w:tcBorders>
              <w:top w:val="single" w:color="auto" w:sz="4" w:space="0"/>
            </w:tcBorders>
          </w:tcPr>
          <w:p w14:paraId="5F0638A3">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第二年2027.2.16-2027.9.15</w:t>
            </w:r>
          </w:p>
        </w:tc>
        <w:tc>
          <w:tcPr>
            <w:tcW w:w="1096" w:type="pct"/>
            <w:gridSpan w:val="3"/>
            <w:tcBorders>
              <w:top w:val="single" w:color="auto" w:sz="4" w:space="0"/>
            </w:tcBorders>
          </w:tcPr>
          <w:p w14:paraId="115C6109">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第三年2027.9.16-2028.9.15</w:t>
            </w:r>
          </w:p>
        </w:tc>
      </w:tr>
      <w:tr w14:paraId="61326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vAlign w:val="center"/>
          </w:tcPr>
          <w:p w14:paraId="7C0EA80E">
            <w:pPr>
              <w:snapToGrid w:val="0"/>
              <w:jc w:val="center"/>
              <w:rPr>
                <w:rFonts w:hint="eastAsia" w:ascii="宋体" w:hAnsi="宋体" w:cs="宋体"/>
                <w:bCs/>
                <w:color w:val="auto"/>
                <w:sz w:val="20"/>
                <w:szCs w:val="20"/>
                <w:highlight w:val="none"/>
              </w:rPr>
            </w:pPr>
          </w:p>
        </w:tc>
        <w:tc>
          <w:tcPr>
            <w:tcW w:w="636" w:type="pct"/>
            <w:gridSpan w:val="2"/>
            <w:vMerge w:val="continue"/>
            <w:vAlign w:val="center"/>
          </w:tcPr>
          <w:p w14:paraId="3461F40F">
            <w:pPr>
              <w:snapToGrid w:val="0"/>
              <w:rPr>
                <w:rFonts w:hint="eastAsia" w:ascii="宋体" w:hAnsi="宋体" w:cs="宋体"/>
                <w:color w:val="auto"/>
                <w:sz w:val="20"/>
                <w:szCs w:val="20"/>
                <w:highlight w:val="none"/>
              </w:rPr>
            </w:pPr>
          </w:p>
        </w:tc>
        <w:tc>
          <w:tcPr>
            <w:tcW w:w="277" w:type="pct"/>
            <w:tcBorders>
              <w:right w:val="single" w:color="auto" w:sz="4" w:space="0"/>
            </w:tcBorders>
            <w:vAlign w:val="center"/>
          </w:tcPr>
          <w:p w14:paraId="647C6830">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数量/单位</w:t>
            </w:r>
          </w:p>
        </w:tc>
        <w:tc>
          <w:tcPr>
            <w:tcW w:w="333" w:type="pct"/>
            <w:tcBorders>
              <w:left w:val="single" w:color="auto" w:sz="4" w:space="0"/>
              <w:right w:val="single" w:color="auto" w:sz="4" w:space="0"/>
            </w:tcBorders>
            <w:vAlign w:val="center"/>
          </w:tcPr>
          <w:p w14:paraId="21B0D7C8">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单价</w:t>
            </w:r>
          </w:p>
        </w:tc>
        <w:tc>
          <w:tcPr>
            <w:tcW w:w="359" w:type="pct"/>
            <w:tcBorders>
              <w:left w:val="single" w:color="auto" w:sz="4" w:space="0"/>
            </w:tcBorders>
            <w:vAlign w:val="center"/>
          </w:tcPr>
          <w:p w14:paraId="0CB753BC">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合价</w:t>
            </w:r>
          </w:p>
        </w:tc>
        <w:tc>
          <w:tcPr>
            <w:tcW w:w="361" w:type="pct"/>
            <w:tcBorders>
              <w:right w:val="single" w:color="auto" w:sz="4" w:space="0"/>
            </w:tcBorders>
            <w:vAlign w:val="center"/>
          </w:tcPr>
          <w:p w14:paraId="685611C5">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数量/单位</w:t>
            </w:r>
          </w:p>
        </w:tc>
        <w:tc>
          <w:tcPr>
            <w:tcW w:w="333" w:type="pct"/>
            <w:tcBorders>
              <w:left w:val="single" w:color="auto" w:sz="4" w:space="0"/>
              <w:right w:val="single" w:color="auto" w:sz="4" w:space="0"/>
            </w:tcBorders>
            <w:vAlign w:val="center"/>
          </w:tcPr>
          <w:p w14:paraId="521C87B9">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单价</w:t>
            </w:r>
          </w:p>
        </w:tc>
        <w:tc>
          <w:tcPr>
            <w:tcW w:w="352" w:type="pct"/>
            <w:tcBorders>
              <w:left w:val="single" w:color="auto" w:sz="4" w:space="0"/>
            </w:tcBorders>
            <w:vAlign w:val="center"/>
          </w:tcPr>
          <w:p w14:paraId="07110EFA">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合价</w:t>
            </w:r>
          </w:p>
        </w:tc>
        <w:tc>
          <w:tcPr>
            <w:tcW w:w="458" w:type="pct"/>
            <w:tcBorders>
              <w:right w:val="single" w:color="auto" w:sz="4" w:space="0"/>
            </w:tcBorders>
            <w:vAlign w:val="center"/>
          </w:tcPr>
          <w:p w14:paraId="2207BE2F">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数量/单位</w:t>
            </w:r>
          </w:p>
        </w:tc>
        <w:tc>
          <w:tcPr>
            <w:tcW w:w="269" w:type="pct"/>
            <w:tcBorders>
              <w:right w:val="single" w:color="auto" w:sz="4" w:space="0"/>
            </w:tcBorders>
            <w:vAlign w:val="center"/>
          </w:tcPr>
          <w:p w14:paraId="53BA9E71">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单价</w:t>
            </w:r>
          </w:p>
        </w:tc>
        <w:tc>
          <w:tcPr>
            <w:tcW w:w="374" w:type="pct"/>
            <w:tcBorders>
              <w:right w:val="single" w:color="auto" w:sz="4" w:space="0"/>
            </w:tcBorders>
            <w:vAlign w:val="center"/>
          </w:tcPr>
          <w:p w14:paraId="5C71E447">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合价</w:t>
            </w:r>
          </w:p>
        </w:tc>
        <w:tc>
          <w:tcPr>
            <w:tcW w:w="446" w:type="pct"/>
            <w:tcBorders>
              <w:right w:val="single" w:color="auto" w:sz="4" w:space="0"/>
            </w:tcBorders>
            <w:vAlign w:val="center"/>
          </w:tcPr>
          <w:p w14:paraId="3EB43D73">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数量/单位</w:t>
            </w:r>
          </w:p>
        </w:tc>
        <w:tc>
          <w:tcPr>
            <w:tcW w:w="334" w:type="pct"/>
            <w:tcBorders>
              <w:left w:val="single" w:color="auto" w:sz="4" w:space="0"/>
              <w:right w:val="single" w:color="auto" w:sz="4" w:space="0"/>
            </w:tcBorders>
            <w:vAlign w:val="center"/>
          </w:tcPr>
          <w:p w14:paraId="12BF6EF3">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单价</w:t>
            </w:r>
          </w:p>
        </w:tc>
        <w:tc>
          <w:tcPr>
            <w:tcW w:w="315" w:type="pct"/>
            <w:tcBorders>
              <w:left w:val="single" w:color="auto" w:sz="4" w:space="0"/>
            </w:tcBorders>
            <w:vAlign w:val="center"/>
          </w:tcPr>
          <w:p w14:paraId="2BF4407C">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合价</w:t>
            </w:r>
          </w:p>
        </w:tc>
      </w:tr>
      <w:tr w14:paraId="678B4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restart"/>
            <w:shd w:val="clear" w:color="auto" w:fill="FFFFFF"/>
            <w:vAlign w:val="center"/>
          </w:tcPr>
          <w:p w14:paraId="5110D462">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 xml:space="preserve">1         </w:t>
            </w:r>
          </w:p>
        </w:tc>
        <w:tc>
          <w:tcPr>
            <w:tcW w:w="191" w:type="pct"/>
            <w:vMerge w:val="restart"/>
            <w:shd w:val="clear" w:color="auto" w:fill="FFFFFF"/>
            <w:vAlign w:val="center"/>
          </w:tcPr>
          <w:p w14:paraId="078DE32C">
            <w:pPr>
              <w:snapToGrid w:val="0"/>
              <w:rPr>
                <w:rFonts w:hint="default" w:ascii="宋体" w:hAnsi="宋体" w:eastAsia="宋体" w:cs="宋体"/>
                <w:bCs/>
                <w:color w:val="auto"/>
                <w:sz w:val="20"/>
                <w:szCs w:val="20"/>
                <w:highlight w:val="none"/>
                <w:lang w:val="en-US" w:eastAsia="zh-CN"/>
              </w:rPr>
            </w:pPr>
            <w:r>
              <w:rPr>
                <w:rFonts w:hint="eastAsia" w:ascii="宋体" w:hAnsi="宋体" w:cs="宋体"/>
                <w:color w:val="auto"/>
                <w:sz w:val="20"/>
                <w:szCs w:val="20"/>
                <w:highlight w:val="none"/>
                <w:lang w:val="en-US" w:eastAsia="zh-CN"/>
              </w:rPr>
              <w:t>人工费</w:t>
            </w:r>
          </w:p>
        </w:tc>
        <w:tc>
          <w:tcPr>
            <w:tcW w:w="4661" w:type="pct"/>
            <w:gridSpan w:val="13"/>
            <w:shd w:val="clear" w:color="auto" w:fill="FFFFFF"/>
            <w:vAlign w:val="center"/>
          </w:tcPr>
          <w:p w14:paraId="536A17DB">
            <w:pPr>
              <w:snapToGrid w:val="0"/>
              <w:jc w:val="left"/>
              <w:rPr>
                <w:rFonts w:hint="eastAsia" w:ascii="宋体" w:hAnsi="宋体" w:cs="宋体"/>
                <w:b/>
                <w:color w:val="auto"/>
                <w:sz w:val="20"/>
                <w:szCs w:val="20"/>
                <w:highlight w:val="none"/>
                <w:u w:val="single"/>
              </w:rPr>
            </w:pPr>
            <w:r>
              <w:rPr>
                <w:rFonts w:hint="eastAsia" w:ascii="宋体" w:hAnsi="宋体" w:cs="宋体"/>
                <w:color w:val="auto"/>
                <w:sz w:val="20"/>
                <w:szCs w:val="20"/>
                <w:highlight w:val="none"/>
              </w:rPr>
              <w:t>1、</w:t>
            </w:r>
            <w:r>
              <w:rPr>
                <w:rFonts w:hint="eastAsia" w:ascii="宋体" w:hAnsi="宋体" w:cs="宋体"/>
                <w:color w:val="auto"/>
                <w:sz w:val="22"/>
                <w:highlight w:val="none"/>
              </w:rPr>
              <w:t>人工费（包括工人工资、奖金、节日加班费、劳保福利、餐费、社保、意外保险、工伤费、教育培训费、每年体检费、暂住费及处理伤亡事故等费用）</w:t>
            </w:r>
          </w:p>
        </w:tc>
      </w:tr>
      <w:tr w14:paraId="0BE65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1FB6791C">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2408A89B">
            <w:pPr>
              <w:snapToGrid w:val="0"/>
              <w:rPr>
                <w:rFonts w:hint="eastAsia" w:ascii="宋体" w:hAnsi="宋体" w:cs="宋体"/>
                <w:color w:val="auto"/>
                <w:sz w:val="20"/>
                <w:szCs w:val="20"/>
                <w:highlight w:val="none"/>
              </w:rPr>
            </w:pPr>
          </w:p>
        </w:tc>
        <w:tc>
          <w:tcPr>
            <w:tcW w:w="444" w:type="pct"/>
            <w:shd w:val="clear" w:color="auto" w:fill="FFFFFF"/>
            <w:vAlign w:val="center"/>
          </w:tcPr>
          <w:p w14:paraId="6DD6F9D7">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(1)项目经理</w:t>
            </w:r>
          </w:p>
        </w:tc>
        <w:tc>
          <w:tcPr>
            <w:tcW w:w="277" w:type="pct"/>
            <w:tcBorders>
              <w:right w:val="single" w:color="auto" w:sz="4" w:space="0"/>
            </w:tcBorders>
            <w:shd w:val="clear" w:color="auto" w:fill="FFFFFF"/>
            <w:vAlign w:val="center"/>
          </w:tcPr>
          <w:p w14:paraId="7FAC7DA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vAlign w:val="center"/>
          </w:tcPr>
          <w:p w14:paraId="48D76AC7">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vAlign w:val="center"/>
          </w:tcPr>
          <w:p w14:paraId="0C97A70F">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7449E9D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tcPr>
          <w:p w14:paraId="0E9C388D">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5DAB11F5">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10FCD54D">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69" w:type="pct"/>
            <w:tcBorders>
              <w:right w:val="single" w:color="auto" w:sz="4" w:space="0"/>
            </w:tcBorders>
            <w:shd w:val="clear" w:color="auto" w:fill="FFFFFF"/>
          </w:tcPr>
          <w:p w14:paraId="6182F447">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0B18D293">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12DAC1D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4" w:type="pct"/>
            <w:tcBorders>
              <w:left w:val="single" w:color="auto" w:sz="4" w:space="0"/>
              <w:right w:val="single" w:color="auto" w:sz="4" w:space="0"/>
            </w:tcBorders>
            <w:shd w:val="clear" w:color="auto" w:fill="FFFFFF"/>
          </w:tcPr>
          <w:p w14:paraId="16970482">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5A1A21B6">
            <w:pPr>
              <w:snapToGrid w:val="0"/>
              <w:jc w:val="center"/>
              <w:rPr>
                <w:rFonts w:hint="eastAsia" w:ascii="宋体" w:hAnsi="宋体" w:cs="宋体"/>
                <w:color w:val="auto"/>
                <w:sz w:val="20"/>
                <w:szCs w:val="20"/>
                <w:highlight w:val="none"/>
              </w:rPr>
            </w:pPr>
          </w:p>
        </w:tc>
      </w:tr>
      <w:tr w14:paraId="2CE4B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5DD0C1C9">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7D25090F">
            <w:pPr>
              <w:snapToGrid w:val="0"/>
              <w:rPr>
                <w:rFonts w:hint="eastAsia" w:ascii="宋体" w:hAnsi="宋体" w:cs="宋体"/>
                <w:color w:val="auto"/>
                <w:sz w:val="20"/>
                <w:szCs w:val="20"/>
                <w:highlight w:val="none"/>
              </w:rPr>
            </w:pPr>
          </w:p>
        </w:tc>
        <w:tc>
          <w:tcPr>
            <w:tcW w:w="444" w:type="pct"/>
            <w:shd w:val="clear" w:color="auto" w:fill="FFFFFF"/>
            <w:vAlign w:val="center"/>
          </w:tcPr>
          <w:p w14:paraId="7594F8BC">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(2)项目副经理</w:t>
            </w:r>
          </w:p>
        </w:tc>
        <w:tc>
          <w:tcPr>
            <w:tcW w:w="277" w:type="pct"/>
            <w:tcBorders>
              <w:right w:val="single" w:color="auto" w:sz="4" w:space="0"/>
            </w:tcBorders>
            <w:shd w:val="clear" w:color="auto" w:fill="FFFFFF"/>
            <w:vAlign w:val="center"/>
          </w:tcPr>
          <w:p w14:paraId="231ACBC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vAlign w:val="center"/>
          </w:tcPr>
          <w:p w14:paraId="6E985137">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vAlign w:val="center"/>
          </w:tcPr>
          <w:p w14:paraId="72E2D356">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6CD7C8F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tcPr>
          <w:p w14:paraId="1E244E5B">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59BEB534">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211AFA9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69" w:type="pct"/>
            <w:tcBorders>
              <w:right w:val="single" w:color="auto" w:sz="4" w:space="0"/>
            </w:tcBorders>
            <w:shd w:val="clear" w:color="auto" w:fill="FFFFFF"/>
          </w:tcPr>
          <w:p w14:paraId="3D1D43B6">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57D8B0EF">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5E1B1D6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4" w:type="pct"/>
            <w:tcBorders>
              <w:left w:val="single" w:color="auto" w:sz="4" w:space="0"/>
              <w:right w:val="single" w:color="auto" w:sz="4" w:space="0"/>
            </w:tcBorders>
            <w:shd w:val="clear" w:color="auto" w:fill="FFFFFF"/>
          </w:tcPr>
          <w:p w14:paraId="32ABD759">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16242A52">
            <w:pPr>
              <w:snapToGrid w:val="0"/>
              <w:jc w:val="center"/>
              <w:rPr>
                <w:rFonts w:hint="eastAsia" w:ascii="宋体" w:hAnsi="宋体" w:cs="宋体"/>
                <w:color w:val="auto"/>
                <w:sz w:val="20"/>
                <w:szCs w:val="20"/>
                <w:highlight w:val="none"/>
              </w:rPr>
            </w:pPr>
          </w:p>
        </w:tc>
      </w:tr>
      <w:tr w14:paraId="096BB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77D3CFA0">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158FFEFB">
            <w:pPr>
              <w:snapToGrid w:val="0"/>
              <w:rPr>
                <w:rFonts w:hint="eastAsia" w:ascii="宋体" w:hAnsi="宋体" w:cs="宋体"/>
                <w:color w:val="auto"/>
                <w:sz w:val="20"/>
                <w:szCs w:val="20"/>
                <w:highlight w:val="none"/>
              </w:rPr>
            </w:pPr>
          </w:p>
        </w:tc>
        <w:tc>
          <w:tcPr>
            <w:tcW w:w="444" w:type="pct"/>
            <w:shd w:val="clear" w:color="auto" w:fill="FFFFFF"/>
            <w:vAlign w:val="center"/>
          </w:tcPr>
          <w:p w14:paraId="076FFB36">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(3)综合主管</w:t>
            </w:r>
          </w:p>
        </w:tc>
        <w:tc>
          <w:tcPr>
            <w:tcW w:w="277" w:type="pct"/>
            <w:tcBorders>
              <w:right w:val="single" w:color="auto" w:sz="4" w:space="0"/>
            </w:tcBorders>
            <w:shd w:val="clear" w:color="auto" w:fill="FFFFFF"/>
            <w:vAlign w:val="center"/>
          </w:tcPr>
          <w:p w14:paraId="6E1638D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vAlign w:val="center"/>
          </w:tcPr>
          <w:p w14:paraId="48DC173B">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vAlign w:val="center"/>
          </w:tcPr>
          <w:p w14:paraId="370D6FDA">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3887667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tcPr>
          <w:p w14:paraId="7950D22C">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096C48D7">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35BAFF8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69" w:type="pct"/>
            <w:tcBorders>
              <w:right w:val="single" w:color="auto" w:sz="4" w:space="0"/>
            </w:tcBorders>
            <w:shd w:val="clear" w:color="auto" w:fill="FFFFFF"/>
          </w:tcPr>
          <w:p w14:paraId="40BCC02E">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38B24AF9">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0F97B07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4" w:type="pct"/>
            <w:tcBorders>
              <w:left w:val="single" w:color="auto" w:sz="4" w:space="0"/>
              <w:right w:val="single" w:color="auto" w:sz="4" w:space="0"/>
            </w:tcBorders>
            <w:shd w:val="clear" w:color="auto" w:fill="FFFFFF"/>
          </w:tcPr>
          <w:p w14:paraId="0BF4DB68">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7DAA1310">
            <w:pPr>
              <w:snapToGrid w:val="0"/>
              <w:jc w:val="center"/>
              <w:rPr>
                <w:rFonts w:hint="eastAsia" w:ascii="宋体" w:hAnsi="宋体" w:cs="宋体"/>
                <w:color w:val="auto"/>
                <w:sz w:val="20"/>
                <w:szCs w:val="20"/>
                <w:highlight w:val="none"/>
              </w:rPr>
            </w:pPr>
          </w:p>
        </w:tc>
      </w:tr>
      <w:tr w14:paraId="07D8A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632D1BE2">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0269EF3D">
            <w:pPr>
              <w:snapToGrid w:val="0"/>
              <w:rPr>
                <w:rFonts w:hint="eastAsia" w:ascii="宋体" w:hAnsi="宋体" w:cs="宋体"/>
                <w:color w:val="auto"/>
                <w:sz w:val="20"/>
                <w:szCs w:val="20"/>
                <w:highlight w:val="none"/>
              </w:rPr>
            </w:pPr>
          </w:p>
        </w:tc>
        <w:tc>
          <w:tcPr>
            <w:tcW w:w="444" w:type="pct"/>
            <w:shd w:val="clear" w:color="auto" w:fill="FFFFFF"/>
            <w:vAlign w:val="center"/>
          </w:tcPr>
          <w:p w14:paraId="16C66403">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(4)工程维修主管</w:t>
            </w:r>
          </w:p>
        </w:tc>
        <w:tc>
          <w:tcPr>
            <w:tcW w:w="277" w:type="pct"/>
            <w:tcBorders>
              <w:right w:val="single" w:color="auto" w:sz="4" w:space="0"/>
            </w:tcBorders>
            <w:shd w:val="clear" w:color="auto" w:fill="FFFFFF"/>
            <w:vAlign w:val="center"/>
          </w:tcPr>
          <w:p w14:paraId="6E9F206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vAlign w:val="center"/>
          </w:tcPr>
          <w:p w14:paraId="5CDFCEE9">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vAlign w:val="center"/>
          </w:tcPr>
          <w:p w14:paraId="1D5AFD3A">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125F802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tcPr>
          <w:p w14:paraId="1A18259C">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2B12A502">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00514EF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69" w:type="pct"/>
            <w:tcBorders>
              <w:right w:val="single" w:color="auto" w:sz="4" w:space="0"/>
            </w:tcBorders>
            <w:shd w:val="clear" w:color="auto" w:fill="FFFFFF"/>
          </w:tcPr>
          <w:p w14:paraId="13D43627">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473204C2">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605640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4" w:type="pct"/>
            <w:tcBorders>
              <w:left w:val="single" w:color="auto" w:sz="4" w:space="0"/>
              <w:right w:val="single" w:color="auto" w:sz="4" w:space="0"/>
            </w:tcBorders>
            <w:shd w:val="clear" w:color="auto" w:fill="FFFFFF"/>
          </w:tcPr>
          <w:p w14:paraId="74CB5A4C">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3AF6ED5B">
            <w:pPr>
              <w:snapToGrid w:val="0"/>
              <w:jc w:val="center"/>
              <w:rPr>
                <w:rFonts w:hint="eastAsia" w:ascii="宋体" w:hAnsi="宋体" w:cs="宋体"/>
                <w:color w:val="auto"/>
                <w:sz w:val="20"/>
                <w:szCs w:val="20"/>
                <w:highlight w:val="none"/>
              </w:rPr>
            </w:pPr>
          </w:p>
        </w:tc>
      </w:tr>
      <w:tr w14:paraId="0D91D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5383D796">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5A230C43">
            <w:pPr>
              <w:snapToGrid w:val="0"/>
              <w:rPr>
                <w:rFonts w:hint="eastAsia" w:ascii="宋体" w:hAnsi="宋体" w:cs="宋体"/>
                <w:color w:val="auto"/>
                <w:sz w:val="20"/>
                <w:szCs w:val="20"/>
                <w:highlight w:val="none"/>
              </w:rPr>
            </w:pPr>
          </w:p>
        </w:tc>
        <w:tc>
          <w:tcPr>
            <w:tcW w:w="444" w:type="pct"/>
            <w:shd w:val="clear" w:color="auto" w:fill="FFFFFF"/>
            <w:vAlign w:val="center"/>
          </w:tcPr>
          <w:p w14:paraId="5AFB495C">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(5)保洁主管</w:t>
            </w:r>
          </w:p>
        </w:tc>
        <w:tc>
          <w:tcPr>
            <w:tcW w:w="277" w:type="pct"/>
            <w:tcBorders>
              <w:right w:val="single" w:color="auto" w:sz="4" w:space="0"/>
            </w:tcBorders>
            <w:shd w:val="clear" w:color="auto" w:fill="FFFFFF"/>
            <w:vAlign w:val="center"/>
          </w:tcPr>
          <w:p w14:paraId="204BA16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vAlign w:val="center"/>
          </w:tcPr>
          <w:p w14:paraId="0C3E3BCC">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vAlign w:val="center"/>
          </w:tcPr>
          <w:p w14:paraId="07B94339">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1937D60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tcPr>
          <w:p w14:paraId="78D91705">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3CECBC0E">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2522461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69" w:type="pct"/>
            <w:tcBorders>
              <w:right w:val="single" w:color="auto" w:sz="4" w:space="0"/>
            </w:tcBorders>
            <w:shd w:val="clear" w:color="auto" w:fill="FFFFFF"/>
          </w:tcPr>
          <w:p w14:paraId="6F0DB292">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1366BAA4">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0421CE2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4" w:type="pct"/>
            <w:tcBorders>
              <w:left w:val="single" w:color="auto" w:sz="4" w:space="0"/>
              <w:right w:val="single" w:color="auto" w:sz="4" w:space="0"/>
            </w:tcBorders>
            <w:shd w:val="clear" w:color="auto" w:fill="FFFFFF"/>
          </w:tcPr>
          <w:p w14:paraId="23984A94">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1E6981D0">
            <w:pPr>
              <w:snapToGrid w:val="0"/>
              <w:jc w:val="center"/>
              <w:rPr>
                <w:rFonts w:hint="eastAsia" w:ascii="宋体" w:hAnsi="宋体" w:cs="宋体"/>
                <w:color w:val="auto"/>
                <w:sz w:val="20"/>
                <w:szCs w:val="20"/>
                <w:highlight w:val="none"/>
              </w:rPr>
            </w:pPr>
          </w:p>
        </w:tc>
      </w:tr>
      <w:tr w14:paraId="1C9DD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7C3C4936">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162859C4">
            <w:pPr>
              <w:snapToGrid w:val="0"/>
              <w:rPr>
                <w:rFonts w:hint="eastAsia" w:ascii="宋体" w:hAnsi="宋体" w:cs="宋体"/>
                <w:color w:val="auto"/>
                <w:sz w:val="20"/>
                <w:szCs w:val="20"/>
                <w:highlight w:val="none"/>
              </w:rPr>
            </w:pPr>
          </w:p>
        </w:tc>
        <w:tc>
          <w:tcPr>
            <w:tcW w:w="444" w:type="pct"/>
            <w:shd w:val="clear" w:color="auto" w:fill="FFFFFF"/>
            <w:vAlign w:val="center"/>
          </w:tcPr>
          <w:p w14:paraId="783C0F5A">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(6)公寓管理主管</w:t>
            </w:r>
          </w:p>
        </w:tc>
        <w:tc>
          <w:tcPr>
            <w:tcW w:w="277" w:type="pct"/>
            <w:tcBorders>
              <w:right w:val="single" w:color="auto" w:sz="4" w:space="0"/>
            </w:tcBorders>
            <w:shd w:val="clear" w:color="auto" w:fill="FFFFFF"/>
            <w:vAlign w:val="center"/>
          </w:tcPr>
          <w:p w14:paraId="3469BC5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vAlign w:val="center"/>
          </w:tcPr>
          <w:p w14:paraId="195C8B13">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vAlign w:val="center"/>
          </w:tcPr>
          <w:p w14:paraId="034D2723">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035FBB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3" w:type="pct"/>
            <w:tcBorders>
              <w:left w:val="single" w:color="auto" w:sz="4" w:space="0"/>
              <w:right w:val="single" w:color="auto" w:sz="4" w:space="0"/>
            </w:tcBorders>
            <w:shd w:val="clear" w:color="auto" w:fill="FFFFFF"/>
          </w:tcPr>
          <w:p w14:paraId="33BF8F44">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5E972E79">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1636F22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269" w:type="pct"/>
            <w:tcBorders>
              <w:right w:val="single" w:color="auto" w:sz="4" w:space="0"/>
            </w:tcBorders>
            <w:shd w:val="clear" w:color="auto" w:fill="FFFFFF"/>
          </w:tcPr>
          <w:p w14:paraId="5BA1B127">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0F01F4B7">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3214BBB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334" w:type="pct"/>
            <w:tcBorders>
              <w:left w:val="single" w:color="auto" w:sz="4" w:space="0"/>
              <w:right w:val="single" w:color="auto" w:sz="4" w:space="0"/>
            </w:tcBorders>
            <w:shd w:val="clear" w:color="auto" w:fill="FFFFFF"/>
          </w:tcPr>
          <w:p w14:paraId="33245242">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5EEC357F">
            <w:pPr>
              <w:snapToGrid w:val="0"/>
              <w:jc w:val="center"/>
              <w:rPr>
                <w:rFonts w:hint="eastAsia" w:ascii="宋体" w:hAnsi="宋体" w:cs="宋体"/>
                <w:color w:val="auto"/>
                <w:sz w:val="20"/>
                <w:szCs w:val="20"/>
                <w:highlight w:val="none"/>
              </w:rPr>
            </w:pPr>
          </w:p>
        </w:tc>
      </w:tr>
      <w:tr w14:paraId="6E9FC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6DE03B73">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07CAD555">
            <w:pPr>
              <w:snapToGrid w:val="0"/>
              <w:rPr>
                <w:rFonts w:hint="eastAsia" w:ascii="宋体" w:hAnsi="宋体" w:cs="宋体"/>
                <w:color w:val="auto"/>
                <w:sz w:val="20"/>
                <w:szCs w:val="20"/>
                <w:highlight w:val="none"/>
              </w:rPr>
            </w:pPr>
          </w:p>
        </w:tc>
        <w:tc>
          <w:tcPr>
            <w:tcW w:w="444" w:type="pct"/>
            <w:shd w:val="clear" w:color="auto" w:fill="FFFFFF"/>
            <w:vAlign w:val="center"/>
          </w:tcPr>
          <w:p w14:paraId="0CFFFBF8">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(7)保洁人员</w:t>
            </w:r>
          </w:p>
        </w:tc>
        <w:tc>
          <w:tcPr>
            <w:tcW w:w="277" w:type="pct"/>
            <w:tcBorders>
              <w:right w:val="single" w:color="auto" w:sz="4" w:space="0"/>
            </w:tcBorders>
            <w:shd w:val="clear" w:color="auto" w:fill="FFFFFF"/>
            <w:vAlign w:val="center"/>
          </w:tcPr>
          <w:p w14:paraId="07CCC13E">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76</w:t>
            </w:r>
          </w:p>
        </w:tc>
        <w:tc>
          <w:tcPr>
            <w:tcW w:w="333" w:type="pct"/>
            <w:tcBorders>
              <w:left w:val="single" w:color="auto" w:sz="4" w:space="0"/>
              <w:right w:val="single" w:color="auto" w:sz="4" w:space="0"/>
            </w:tcBorders>
            <w:shd w:val="clear" w:color="auto" w:fill="FFFFFF"/>
          </w:tcPr>
          <w:p w14:paraId="23CE2675">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tcPr>
          <w:p w14:paraId="202C52BA">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11A0869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80</w:t>
            </w:r>
          </w:p>
        </w:tc>
        <w:tc>
          <w:tcPr>
            <w:tcW w:w="333" w:type="pct"/>
            <w:tcBorders>
              <w:left w:val="single" w:color="auto" w:sz="4" w:space="0"/>
              <w:right w:val="single" w:color="auto" w:sz="4" w:space="0"/>
            </w:tcBorders>
            <w:shd w:val="clear" w:color="auto" w:fill="FFFFFF"/>
          </w:tcPr>
          <w:p w14:paraId="32260C3C">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78323717">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7AED2FC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88</w:t>
            </w:r>
          </w:p>
        </w:tc>
        <w:tc>
          <w:tcPr>
            <w:tcW w:w="269" w:type="pct"/>
            <w:tcBorders>
              <w:right w:val="single" w:color="auto" w:sz="4" w:space="0"/>
            </w:tcBorders>
            <w:shd w:val="clear" w:color="auto" w:fill="FFFFFF"/>
          </w:tcPr>
          <w:p w14:paraId="20018A14">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7CAA5C2D">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2823313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89</w:t>
            </w:r>
          </w:p>
        </w:tc>
        <w:tc>
          <w:tcPr>
            <w:tcW w:w="334" w:type="pct"/>
            <w:tcBorders>
              <w:left w:val="single" w:color="auto" w:sz="4" w:space="0"/>
              <w:right w:val="single" w:color="auto" w:sz="4" w:space="0"/>
            </w:tcBorders>
            <w:shd w:val="clear" w:color="auto" w:fill="FFFFFF"/>
          </w:tcPr>
          <w:p w14:paraId="1F5E2EEC">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4463A49B">
            <w:pPr>
              <w:snapToGrid w:val="0"/>
              <w:jc w:val="center"/>
              <w:rPr>
                <w:rFonts w:hint="eastAsia" w:ascii="宋体" w:hAnsi="宋体" w:cs="宋体"/>
                <w:color w:val="auto"/>
                <w:sz w:val="20"/>
                <w:szCs w:val="20"/>
                <w:highlight w:val="none"/>
              </w:rPr>
            </w:pPr>
          </w:p>
        </w:tc>
      </w:tr>
      <w:tr w14:paraId="1029F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7A8CAB6D">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464B5A5E">
            <w:pPr>
              <w:snapToGrid w:val="0"/>
              <w:rPr>
                <w:rFonts w:hint="eastAsia" w:ascii="宋体" w:hAnsi="宋体" w:cs="宋体"/>
                <w:color w:val="auto"/>
                <w:sz w:val="20"/>
                <w:szCs w:val="20"/>
                <w:highlight w:val="none"/>
              </w:rPr>
            </w:pPr>
          </w:p>
        </w:tc>
        <w:tc>
          <w:tcPr>
            <w:tcW w:w="444" w:type="pct"/>
            <w:shd w:val="clear" w:color="auto" w:fill="FFFFFF"/>
            <w:vAlign w:val="center"/>
          </w:tcPr>
          <w:p w14:paraId="2C3FBF4F">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(8)工程维修人员（含水泥工）</w:t>
            </w:r>
          </w:p>
        </w:tc>
        <w:tc>
          <w:tcPr>
            <w:tcW w:w="277" w:type="pct"/>
            <w:tcBorders>
              <w:right w:val="single" w:color="auto" w:sz="4" w:space="0"/>
            </w:tcBorders>
            <w:shd w:val="clear" w:color="auto" w:fill="FFFFFF"/>
            <w:vAlign w:val="center"/>
          </w:tcPr>
          <w:p w14:paraId="53DC099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333" w:type="pct"/>
            <w:tcBorders>
              <w:left w:val="single" w:color="auto" w:sz="4" w:space="0"/>
              <w:right w:val="single" w:color="auto" w:sz="4" w:space="0"/>
            </w:tcBorders>
            <w:shd w:val="clear" w:color="auto" w:fill="FFFFFF"/>
          </w:tcPr>
          <w:p w14:paraId="4B8D2BF5">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tcPr>
          <w:p w14:paraId="6D94A979">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704BD18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333" w:type="pct"/>
            <w:tcBorders>
              <w:left w:val="single" w:color="auto" w:sz="4" w:space="0"/>
              <w:right w:val="single" w:color="auto" w:sz="4" w:space="0"/>
            </w:tcBorders>
            <w:shd w:val="clear" w:color="auto" w:fill="FFFFFF"/>
          </w:tcPr>
          <w:p w14:paraId="50E98B40">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03DE8EED">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62418E5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269" w:type="pct"/>
            <w:tcBorders>
              <w:right w:val="single" w:color="auto" w:sz="4" w:space="0"/>
            </w:tcBorders>
            <w:shd w:val="clear" w:color="auto" w:fill="FFFFFF"/>
          </w:tcPr>
          <w:p w14:paraId="038CD9E3">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20698533">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1A411A63">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334" w:type="pct"/>
            <w:tcBorders>
              <w:left w:val="single" w:color="auto" w:sz="4" w:space="0"/>
              <w:right w:val="single" w:color="auto" w:sz="4" w:space="0"/>
            </w:tcBorders>
            <w:shd w:val="clear" w:color="auto" w:fill="FFFFFF"/>
          </w:tcPr>
          <w:p w14:paraId="3A8E9E55">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09F509D1">
            <w:pPr>
              <w:snapToGrid w:val="0"/>
              <w:jc w:val="center"/>
              <w:rPr>
                <w:rFonts w:hint="eastAsia" w:ascii="宋体" w:hAnsi="宋体" w:cs="宋体"/>
                <w:color w:val="auto"/>
                <w:sz w:val="20"/>
                <w:szCs w:val="20"/>
                <w:highlight w:val="none"/>
              </w:rPr>
            </w:pPr>
          </w:p>
        </w:tc>
      </w:tr>
      <w:tr w14:paraId="330B0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367DBDD0">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42A7A536">
            <w:pPr>
              <w:snapToGrid w:val="0"/>
              <w:rPr>
                <w:rFonts w:hint="eastAsia" w:ascii="宋体" w:hAnsi="宋体" w:cs="宋体"/>
                <w:color w:val="auto"/>
                <w:sz w:val="20"/>
                <w:szCs w:val="20"/>
                <w:highlight w:val="none"/>
              </w:rPr>
            </w:pPr>
          </w:p>
        </w:tc>
        <w:tc>
          <w:tcPr>
            <w:tcW w:w="444" w:type="pct"/>
            <w:shd w:val="clear" w:color="auto" w:fill="FFFFFF"/>
            <w:vAlign w:val="center"/>
          </w:tcPr>
          <w:p w14:paraId="22F4385C">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(9)会务人员</w:t>
            </w:r>
          </w:p>
        </w:tc>
        <w:tc>
          <w:tcPr>
            <w:tcW w:w="277" w:type="pct"/>
            <w:tcBorders>
              <w:right w:val="single" w:color="auto" w:sz="4" w:space="0"/>
            </w:tcBorders>
            <w:shd w:val="clear" w:color="auto" w:fill="FFFFFF"/>
            <w:vAlign w:val="center"/>
          </w:tcPr>
          <w:p w14:paraId="15BEB238">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333" w:type="pct"/>
            <w:tcBorders>
              <w:left w:val="single" w:color="auto" w:sz="4" w:space="0"/>
              <w:right w:val="single" w:color="auto" w:sz="4" w:space="0"/>
            </w:tcBorders>
            <w:shd w:val="clear" w:color="auto" w:fill="FFFFFF"/>
          </w:tcPr>
          <w:p w14:paraId="27CD17B5">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tcPr>
          <w:p w14:paraId="7804FBE3">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72DF36E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333" w:type="pct"/>
            <w:tcBorders>
              <w:left w:val="single" w:color="auto" w:sz="4" w:space="0"/>
              <w:right w:val="single" w:color="auto" w:sz="4" w:space="0"/>
            </w:tcBorders>
            <w:shd w:val="clear" w:color="auto" w:fill="FFFFFF"/>
          </w:tcPr>
          <w:p w14:paraId="40B57FC9">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29ED4CF5">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532E082A">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269" w:type="pct"/>
            <w:tcBorders>
              <w:right w:val="single" w:color="auto" w:sz="4" w:space="0"/>
            </w:tcBorders>
            <w:shd w:val="clear" w:color="auto" w:fill="FFFFFF"/>
          </w:tcPr>
          <w:p w14:paraId="49BE73C0">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7DD1050E">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2E131A41">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334" w:type="pct"/>
            <w:tcBorders>
              <w:left w:val="single" w:color="auto" w:sz="4" w:space="0"/>
              <w:right w:val="single" w:color="auto" w:sz="4" w:space="0"/>
            </w:tcBorders>
            <w:shd w:val="clear" w:color="auto" w:fill="FFFFFF"/>
          </w:tcPr>
          <w:p w14:paraId="2E1FCD31">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791A0F45">
            <w:pPr>
              <w:snapToGrid w:val="0"/>
              <w:jc w:val="center"/>
              <w:rPr>
                <w:rFonts w:hint="eastAsia" w:ascii="宋体" w:hAnsi="宋体" w:cs="宋体"/>
                <w:color w:val="auto"/>
                <w:sz w:val="20"/>
                <w:szCs w:val="20"/>
                <w:highlight w:val="none"/>
              </w:rPr>
            </w:pPr>
          </w:p>
        </w:tc>
      </w:tr>
      <w:tr w14:paraId="10D5E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7D67C499">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7CBF53D6">
            <w:pPr>
              <w:snapToGrid w:val="0"/>
              <w:rPr>
                <w:rFonts w:hint="eastAsia" w:ascii="宋体" w:hAnsi="宋体" w:cs="宋体"/>
                <w:color w:val="auto"/>
                <w:sz w:val="20"/>
                <w:szCs w:val="20"/>
                <w:highlight w:val="none"/>
              </w:rPr>
            </w:pPr>
          </w:p>
        </w:tc>
        <w:tc>
          <w:tcPr>
            <w:tcW w:w="444" w:type="pct"/>
            <w:shd w:val="clear" w:color="auto" w:fill="FFFFFF"/>
            <w:vAlign w:val="center"/>
          </w:tcPr>
          <w:p w14:paraId="2C735638">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(10)楼宇管理人员</w:t>
            </w:r>
          </w:p>
        </w:tc>
        <w:tc>
          <w:tcPr>
            <w:tcW w:w="277" w:type="pct"/>
            <w:tcBorders>
              <w:right w:val="single" w:color="auto" w:sz="4" w:space="0"/>
            </w:tcBorders>
            <w:shd w:val="clear" w:color="auto" w:fill="FFFFFF"/>
            <w:vAlign w:val="center"/>
          </w:tcPr>
          <w:p w14:paraId="6173CBBB">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333" w:type="pct"/>
            <w:tcBorders>
              <w:left w:val="single" w:color="auto" w:sz="4" w:space="0"/>
              <w:right w:val="single" w:color="auto" w:sz="4" w:space="0"/>
            </w:tcBorders>
            <w:shd w:val="clear" w:color="auto" w:fill="FFFFFF"/>
          </w:tcPr>
          <w:p w14:paraId="6AE320F8">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tcPr>
          <w:p w14:paraId="45D31ACA">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08F1946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333" w:type="pct"/>
            <w:tcBorders>
              <w:left w:val="single" w:color="auto" w:sz="4" w:space="0"/>
              <w:right w:val="single" w:color="auto" w:sz="4" w:space="0"/>
            </w:tcBorders>
            <w:shd w:val="clear" w:color="auto" w:fill="FFFFFF"/>
          </w:tcPr>
          <w:p w14:paraId="7BF7CB53">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028A95AE">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4ABC29BF">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269" w:type="pct"/>
            <w:tcBorders>
              <w:right w:val="single" w:color="auto" w:sz="4" w:space="0"/>
            </w:tcBorders>
            <w:shd w:val="clear" w:color="auto" w:fill="FFFFFF"/>
          </w:tcPr>
          <w:p w14:paraId="38691D80">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79704617">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79F40014">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334" w:type="pct"/>
            <w:tcBorders>
              <w:left w:val="single" w:color="auto" w:sz="4" w:space="0"/>
              <w:right w:val="single" w:color="auto" w:sz="4" w:space="0"/>
            </w:tcBorders>
            <w:shd w:val="clear" w:color="auto" w:fill="FFFFFF"/>
          </w:tcPr>
          <w:p w14:paraId="2BFB5535">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7C2217F7">
            <w:pPr>
              <w:snapToGrid w:val="0"/>
              <w:jc w:val="center"/>
              <w:rPr>
                <w:rFonts w:hint="eastAsia" w:ascii="宋体" w:hAnsi="宋体" w:cs="宋体"/>
                <w:color w:val="auto"/>
                <w:sz w:val="20"/>
                <w:szCs w:val="20"/>
                <w:highlight w:val="none"/>
              </w:rPr>
            </w:pPr>
          </w:p>
        </w:tc>
      </w:tr>
      <w:tr w14:paraId="6955B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4087E750">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68764CFF">
            <w:pPr>
              <w:snapToGrid w:val="0"/>
              <w:rPr>
                <w:rFonts w:hint="eastAsia" w:ascii="宋体" w:hAnsi="宋体" w:cs="宋体"/>
                <w:color w:val="auto"/>
                <w:sz w:val="20"/>
                <w:szCs w:val="20"/>
                <w:highlight w:val="none"/>
              </w:rPr>
            </w:pPr>
          </w:p>
        </w:tc>
        <w:tc>
          <w:tcPr>
            <w:tcW w:w="444" w:type="pct"/>
            <w:shd w:val="clear" w:color="auto" w:fill="FFFFFF"/>
            <w:vAlign w:val="center"/>
          </w:tcPr>
          <w:p w14:paraId="029EA2FA">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(11)宿舍管理人员</w:t>
            </w:r>
          </w:p>
        </w:tc>
        <w:tc>
          <w:tcPr>
            <w:tcW w:w="277" w:type="pct"/>
            <w:tcBorders>
              <w:right w:val="single" w:color="auto" w:sz="4" w:space="0"/>
            </w:tcBorders>
            <w:shd w:val="clear" w:color="auto" w:fill="FFFFFF"/>
            <w:vAlign w:val="center"/>
          </w:tcPr>
          <w:p w14:paraId="716403D5">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51</w:t>
            </w:r>
          </w:p>
        </w:tc>
        <w:tc>
          <w:tcPr>
            <w:tcW w:w="333" w:type="pct"/>
            <w:tcBorders>
              <w:left w:val="single" w:color="auto" w:sz="4" w:space="0"/>
              <w:right w:val="single" w:color="auto" w:sz="4" w:space="0"/>
            </w:tcBorders>
            <w:shd w:val="clear" w:color="auto" w:fill="FFFFFF"/>
          </w:tcPr>
          <w:p w14:paraId="05988140">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tcPr>
          <w:p w14:paraId="171AA705">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284061C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w:t>
            </w:r>
          </w:p>
        </w:tc>
        <w:tc>
          <w:tcPr>
            <w:tcW w:w="333" w:type="pct"/>
            <w:tcBorders>
              <w:left w:val="single" w:color="auto" w:sz="4" w:space="0"/>
              <w:right w:val="single" w:color="auto" w:sz="4" w:space="0"/>
            </w:tcBorders>
            <w:shd w:val="clear" w:color="auto" w:fill="FFFFFF"/>
          </w:tcPr>
          <w:p w14:paraId="719EEFAD">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470A5364">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56881C52">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60</w:t>
            </w:r>
          </w:p>
        </w:tc>
        <w:tc>
          <w:tcPr>
            <w:tcW w:w="269" w:type="pct"/>
            <w:tcBorders>
              <w:right w:val="single" w:color="auto" w:sz="4" w:space="0"/>
            </w:tcBorders>
            <w:shd w:val="clear" w:color="auto" w:fill="FFFFFF"/>
          </w:tcPr>
          <w:p w14:paraId="3DD47279">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132DD393">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38AD9266">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66</w:t>
            </w:r>
          </w:p>
        </w:tc>
        <w:tc>
          <w:tcPr>
            <w:tcW w:w="334" w:type="pct"/>
            <w:tcBorders>
              <w:left w:val="single" w:color="auto" w:sz="4" w:space="0"/>
              <w:right w:val="single" w:color="auto" w:sz="4" w:space="0"/>
            </w:tcBorders>
            <w:shd w:val="clear" w:color="auto" w:fill="FFFFFF"/>
          </w:tcPr>
          <w:p w14:paraId="48836954">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063E7414">
            <w:pPr>
              <w:snapToGrid w:val="0"/>
              <w:jc w:val="center"/>
              <w:rPr>
                <w:rFonts w:hint="eastAsia" w:ascii="宋体" w:hAnsi="宋体" w:cs="宋体"/>
                <w:color w:val="auto"/>
                <w:sz w:val="20"/>
                <w:szCs w:val="20"/>
                <w:highlight w:val="none"/>
              </w:rPr>
            </w:pPr>
          </w:p>
        </w:tc>
      </w:tr>
      <w:tr w14:paraId="1D49E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02FECFEF">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57741186">
            <w:pPr>
              <w:snapToGrid w:val="0"/>
              <w:rPr>
                <w:rFonts w:hint="eastAsia" w:ascii="宋体" w:hAnsi="宋体" w:cs="宋体"/>
                <w:color w:val="auto"/>
                <w:sz w:val="20"/>
                <w:szCs w:val="20"/>
                <w:highlight w:val="none"/>
              </w:rPr>
            </w:pPr>
          </w:p>
        </w:tc>
        <w:tc>
          <w:tcPr>
            <w:tcW w:w="444" w:type="pct"/>
            <w:shd w:val="clear" w:color="auto" w:fill="FFFFFF"/>
            <w:vAlign w:val="center"/>
          </w:tcPr>
          <w:p w14:paraId="6C436302">
            <w:pPr>
              <w:snapToGrid w:val="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(12)搬运人员</w:t>
            </w:r>
          </w:p>
        </w:tc>
        <w:tc>
          <w:tcPr>
            <w:tcW w:w="277" w:type="pct"/>
            <w:tcBorders>
              <w:right w:val="single" w:color="auto" w:sz="4" w:space="0"/>
            </w:tcBorders>
            <w:shd w:val="clear" w:color="auto" w:fill="FFFFFF"/>
            <w:vAlign w:val="center"/>
          </w:tcPr>
          <w:p w14:paraId="2856692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333" w:type="pct"/>
            <w:tcBorders>
              <w:left w:val="single" w:color="auto" w:sz="4" w:space="0"/>
              <w:right w:val="single" w:color="auto" w:sz="4" w:space="0"/>
            </w:tcBorders>
            <w:shd w:val="clear" w:color="auto" w:fill="FFFFFF"/>
          </w:tcPr>
          <w:p w14:paraId="6CD45EB2">
            <w:pPr>
              <w:snapToGrid w:val="0"/>
              <w:jc w:val="center"/>
              <w:rPr>
                <w:rFonts w:hint="eastAsia" w:ascii="宋体" w:hAnsi="宋体" w:cs="宋体"/>
                <w:color w:val="auto"/>
                <w:sz w:val="20"/>
                <w:szCs w:val="20"/>
                <w:highlight w:val="none"/>
              </w:rPr>
            </w:pPr>
          </w:p>
        </w:tc>
        <w:tc>
          <w:tcPr>
            <w:tcW w:w="359" w:type="pct"/>
            <w:tcBorders>
              <w:left w:val="single" w:color="auto" w:sz="4" w:space="0"/>
            </w:tcBorders>
            <w:shd w:val="clear" w:color="auto" w:fill="FFFFFF"/>
          </w:tcPr>
          <w:p w14:paraId="6A057CE8">
            <w:pPr>
              <w:snapToGrid w:val="0"/>
              <w:jc w:val="center"/>
              <w:rPr>
                <w:rFonts w:hint="eastAsia" w:ascii="宋体" w:hAnsi="宋体" w:cs="宋体"/>
                <w:color w:val="auto"/>
                <w:sz w:val="20"/>
                <w:szCs w:val="20"/>
                <w:highlight w:val="none"/>
              </w:rPr>
            </w:pPr>
          </w:p>
        </w:tc>
        <w:tc>
          <w:tcPr>
            <w:tcW w:w="361" w:type="pct"/>
            <w:tcBorders>
              <w:right w:val="single" w:color="auto" w:sz="4" w:space="0"/>
            </w:tcBorders>
            <w:shd w:val="clear" w:color="auto" w:fill="FFFFFF"/>
            <w:vAlign w:val="center"/>
          </w:tcPr>
          <w:p w14:paraId="05318E57">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333" w:type="pct"/>
            <w:tcBorders>
              <w:left w:val="single" w:color="auto" w:sz="4" w:space="0"/>
              <w:right w:val="single" w:color="auto" w:sz="4" w:space="0"/>
            </w:tcBorders>
            <w:shd w:val="clear" w:color="auto" w:fill="FFFFFF"/>
          </w:tcPr>
          <w:p w14:paraId="10B2488E">
            <w:pPr>
              <w:snapToGrid w:val="0"/>
              <w:jc w:val="center"/>
              <w:rPr>
                <w:rFonts w:hint="eastAsia" w:ascii="宋体" w:hAnsi="宋体" w:cs="宋体"/>
                <w:color w:val="auto"/>
                <w:sz w:val="20"/>
                <w:szCs w:val="20"/>
                <w:highlight w:val="none"/>
              </w:rPr>
            </w:pPr>
          </w:p>
        </w:tc>
        <w:tc>
          <w:tcPr>
            <w:tcW w:w="352" w:type="pct"/>
            <w:tcBorders>
              <w:left w:val="single" w:color="auto" w:sz="4" w:space="0"/>
            </w:tcBorders>
            <w:shd w:val="clear" w:color="auto" w:fill="FFFFFF"/>
          </w:tcPr>
          <w:p w14:paraId="42538CBD">
            <w:pPr>
              <w:snapToGrid w:val="0"/>
              <w:jc w:val="center"/>
              <w:rPr>
                <w:rFonts w:hint="eastAsia" w:ascii="宋体" w:hAnsi="宋体" w:cs="宋体"/>
                <w:color w:val="auto"/>
                <w:sz w:val="20"/>
                <w:szCs w:val="20"/>
                <w:highlight w:val="none"/>
              </w:rPr>
            </w:pPr>
          </w:p>
        </w:tc>
        <w:tc>
          <w:tcPr>
            <w:tcW w:w="458" w:type="pct"/>
            <w:tcBorders>
              <w:right w:val="single" w:color="auto" w:sz="4" w:space="0"/>
            </w:tcBorders>
            <w:shd w:val="clear" w:color="auto" w:fill="FFFFFF"/>
            <w:vAlign w:val="center"/>
          </w:tcPr>
          <w:p w14:paraId="4F7AC190">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269" w:type="pct"/>
            <w:tcBorders>
              <w:right w:val="single" w:color="auto" w:sz="4" w:space="0"/>
            </w:tcBorders>
            <w:shd w:val="clear" w:color="auto" w:fill="FFFFFF"/>
          </w:tcPr>
          <w:p w14:paraId="68B216E2">
            <w:pPr>
              <w:snapToGrid w:val="0"/>
              <w:jc w:val="center"/>
              <w:rPr>
                <w:rFonts w:hint="eastAsia" w:ascii="宋体" w:hAnsi="宋体" w:cs="宋体"/>
                <w:color w:val="auto"/>
                <w:sz w:val="20"/>
                <w:szCs w:val="20"/>
                <w:highlight w:val="none"/>
              </w:rPr>
            </w:pPr>
          </w:p>
        </w:tc>
        <w:tc>
          <w:tcPr>
            <w:tcW w:w="374" w:type="pct"/>
            <w:tcBorders>
              <w:right w:val="single" w:color="auto" w:sz="4" w:space="0"/>
            </w:tcBorders>
            <w:shd w:val="clear" w:color="auto" w:fill="FFFFFF"/>
          </w:tcPr>
          <w:p w14:paraId="76FBF817">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1BED9B9C">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334" w:type="pct"/>
            <w:tcBorders>
              <w:left w:val="single" w:color="auto" w:sz="4" w:space="0"/>
              <w:right w:val="single" w:color="auto" w:sz="4" w:space="0"/>
            </w:tcBorders>
            <w:shd w:val="clear" w:color="auto" w:fill="FFFFFF"/>
          </w:tcPr>
          <w:p w14:paraId="5B76D7CA">
            <w:pPr>
              <w:snapToGrid w:val="0"/>
              <w:jc w:val="center"/>
              <w:rPr>
                <w:rFonts w:hint="eastAsia" w:ascii="宋体" w:hAnsi="宋体" w:cs="宋体"/>
                <w:color w:val="auto"/>
                <w:sz w:val="20"/>
                <w:szCs w:val="20"/>
                <w:highlight w:val="none"/>
              </w:rPr>
            </w:pPr>
          </w:p>
        </w:tc>
        <w:tc>
          <w:tcPr>
            <w:tcW w:w="315" w:type="pct"/>
            <w:tcBorders>
              <w:left w:val="single" w:color="auto" w:sz="4" w:space="0"/>
            </w:tcBorders>
            <w:shd w:val="clear" w:color="auto" w:fill="FFFFFF"/>
          </w:tcPr>
          <w:p w14:paraId="6C34608F">
            <w:pPr>
              <w:snapToGrid w:val="0"/>
              <w:jc w:val="center"/>
              <w:rPr>
                <w:rFonts w:hint="eastAsia" w:ascii="宋体" w:hAnsi="宋体" w:cs="宋体"/>
                <w:color w:val="auto"/>
                <w:sz w:val="20"/>
                <w:szCs w:val="20"/>
                <w:highlight w:val="none"/>
              </w:rPr>
            </w:pPr>
          </w:p>
        </w:tc>
      </w:tr>
      <w:tr w14:paraId="55449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3" w:hRule="atLeast"/>
        </w:trPr>
        <w:tc>
          <w:tcPr>
            <w:tcW w:w="146" w:type="pct"/>
            <w:vMerge w:val="continue"/>
            <w:shd w:val="clear" w:color="auto" w:fill="FFFFFF"/>
            <w:vAlign w:val="center"/>
          </w:tcPr>
          <w:p w14:paraId="42D6C2AE">
            <w:pPr>
              <w:snapToGrid w:val="0"/>
              <w:jc w:val="center"/>
              <w:rPr>
                <w:rFonts w:hint="eastAsia" w:ascii="宋体" w:hAnsi="宋体" w:cs="宋体"/>
                <w:bCs/>
                <w:color w:val="auto"/>
                <w:sz w:val="20"/>
                <w:szCs w:val="20"/>
                <w:highlight w:val="none"/>
              </w:rPr>
            </w:pPr>
          </w:p>
        </w:tc>
        <w:tc>
          <w:tcPr>
            <w:tcW w:w="636" w:type="pct"/>
            <w:gridSpan w:val="2"/>
            <w:shd w:val="clear" w:color="auto" w:fill="FFFFFF"/>
            <w:vAlign w:val="center"/>
          </w:tcPr>
          <w:p w14:paraId="68E04BB1">
            <w:pPr>
              <w:snapToGrid w:val="0"/>
              <w:jc w:val="left"/>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合同</w:t>
            </w:r>
            <w:r>
              <w:rPr>
                <w:rFonts w:hint="eastAsia" w:ascii="宋体" w:hAnsi="宋体" w:cs="宋体"/>
                <w:color w:val="auto"/>
                <w:sz w:val="20"/>
                <w:szCs w:val="20"/>
                <w:highlight w:val="none"/>
              </w:rPr>
              <w:t>服务价款</w:t>
            </w:r>
            <w:r>
              <w:rPr>
                <w:rFonts w:hint="eastAsia" w:ascii="宋体" w:hAnsi="宋体" w:cs="宋体"/>
                <w:color w:val="auto"/>
                <w:sz w:val="20"/>
                <w:szCs w:val="20"/>
                <w:highlight w:val="none"/>
                <w:lang w:val="en-US" w:eastAsia="zh-CN"/>
              </w:rPr>
              <w:t>内除去</w:t>
            </w:r>
            <w:r>
              <w:rPr>
                <w:rFonts w:hint="eastAsia" w:ascii="宋体" w:hAnsi="宋体" w:cs="宋体"/>
                <w:color w:val="auto"/>
                <w:sz w:val="20"/>
                <w:szCs w:val="20"/>
                <w:highlight w:val="none"/>
              </w:rPr>
              <w:t>人工费</w:t>
            </w:r>
            <w:r>
              <w:rPr>
                <w:rFonts w:hint="eastAsia" w:ascii="宋体" w:hAnsi="宋体" w:cs="宋体"/>
                <w:color w:val="auto"/>
                <w:sz w:val="20"/>
                <w:szCs w:val="20"/>
                <w:highlight w:val="none"/>
                <w:lang w:val="en-US" w:eastAsia="zh-CN"/>
              </w:rPr>
              <w:t>和</w:t>
            </w:r>
            <w:r>
              <w:rPr>
                <w:rFonts w:hint="eastAsia" w:ascii="宋体" w:hAnsi="宋体" w:cs="宋体"/>
                <w:b w:val="0"/>
                <w:color w:val="auto"/>
                <w:sz w:val="20"/>
                <w:szCs w:val="20"/>
                <w:highlight w:val="none"/>
              </w:rPr>
              <w:t>其他专项服务</w:t>
            </w:r>
            <w:r>
              <w:rPr>
                <w:rFonts w:hint="eastAsia" w:ascii="宋体" w:hAnsi="宋体" w:cs="宋体"/>
                <w:b w:val="0"/>
                <w:color w:val="auto"/>
                <w:sz w:val="20"/>
                <w:szCs w:val="20"/>
                <w:highlight w:val="none"/>
                <w:lang w:val="en-US" w:eastAsia="zh-CN"/>
              </w:rPr>
              <w:t>费外的所有费用</w:t>
            </w:r>
            <w:r>
              <w:rPr>
                <w:rFonts w:hint="eastAsia"/>
                <w:highlight w:val="none"/>
                <w:lang w:val="en-US" w:eastAsia="zh-CN"/>
              </w:rPr>
              <w:t>(可另附明细)</w:t>
            </w:r>
          </w:p>
        </w:tc>
        <w:tc>
          <w:tcPr>
            <w:tcW w:w="970" w:type="pct"/>
            <w:gridSpan w:val="3"/>
            <w:shd w:val="clear" w:color="auto" w:fill="FFFFFF"/>
          </w:tcPr>
          <w:p w14:paraId="39694574">
            <w:pPr>
              <w:snapToGrid w:val="0"/>
              <w:jc w:val="center"/>
              <w:rPr>
                <w:rFonts w:hint="eastAsia" w:ascii="宋体" w:hAnsi="宋体" w:cs="宋体"/>
                <w:color w:val="auto"/>
                <w:sz w:val="20"/>
                <w:szCs w:val="20"/>
                <w:highlight w:val="none"/>
              </w:rPr>
            </w:pPr>
          </w:p>
        </w:tc>
        <w:tc>
          <w:tcPr>
            <w:tcW w:w="1047" w:type="pct"/>
            <w:gridSpan w:val="3"/>
            <w:shd w:val="clear" w:color="auto" w:fill="FFFFFF"/>
          </w:tcPr>
          <w:p w14:paraId="76CB5F15">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tcPr>
          <w:p w14:paraId="109D4E22">
            <w:pPr>
              <w:snapToGrid w:val="0"/>
              <w:jc w:val="center"/>
              <w:rPr>
                <w:rFonts w:hint="eastAsia" w:ascii="宋体" w:hAnsi="宋体" w:cs="宋体"/>
                <w:color w:val="auto"/>
                <w:sz w:val="20"/>
                <w:szCs w:val="20"/>
                <w:highlight w:val="none"/>
              </w:rPr>
            </w:pPr>
          </w:p>
        </w:tc>
        <w:tc>
          <w:tcPr>
            <w:tcW w:w="1096" w:type="pct"/>
            <w:gridSpan w:val="3"/>
            <w:shd w:val="clear" w:color="auto" w:fill="FFFFFF"/>
          </w:tcPr>
          <w:p w14:paraId="76ED4AC3">
            <w:pPr>
              <w:snapToGrid w:val="0"/>
              <w:jc w:val="center"/>
              <w:rPr>
                <w:rFonts w:hint="eastAsia" w:ascii="宋体" w:hAnsi="宋体" w:cs="宋体"/>
                <w:color w:val="auto"/>
                <w:sz w:val="20"/>
                <w:szCs w:val="20"/>
                <w:highlight w:val="none"/>
              </w:rPr>
            </w:pPr>
          </w:p>
        </w:tc>
      </w:tr>
      <w:tr w14:paraId="62842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099919B2">
            <w:pPr>
              <w:snapToGrid w:val="0"/>
              <w:jc w:val="center"/>
              <w:rPr>
                <w:rFonts w:hint="eastAsia" w:ascii="宋体" w:hAnsi="宋体" w:cs="宋体"/>
                <w:color w:val="auto"/>
                <w:sz w:val="20"/>
                <w:szCs w:val="20"/>
                <w:highlight w:val="none"/>
              </w:rPr>
            </w:pPr>
          </w:p>
        </w:tc>
        <w:tc>
          <w:tcPr>
            <w:tcW w:w="636" w:type="pct"/>
            <w:gridSpan w:val="2"/>
            <w:shd w:val="clear" w:color="auto" w:fill="FFFFFF"/>
            <w:vAlign w:val="center"/>
          </w:tcPr>
          <w:p w14:paraId="37D713E8">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合计金额</w:t>
            </w:r>
          </w:p>
        </w:tc>
        <w:tc>
          <w:tcPr>
            <w:tcW w:w="970" w:type="pct"/>
            <w:gridSpan w:val="3"/>
            <w:shd w:val="clear" w:color="auto" w:fill="FFFFFF"/>
            <w:vAlign w:val="center"/>
          </w:tcPr>
          <w:p w14:paraId="7010FB3D">
            <w:pPr>
              <w:snapToGrid w:val="0"/>
              <w:jc w:val="center"/>
              <w:rPr>
                <w:rFonts w:hint="eastAsia" w:ascii="宋体" w:hAnsi="宋体" w:cs="宋体"/>
                <w:color w:val="auto"/>
                <w:sz w:val="20"/>
                <w:szCs w:val="20"/>
                <w:highlight w:val="none"/>
              </w:rPr>
            </w:pPr>
          </w:p>
          <w:p w14:paraId="1828C95E">
            <w:pPr>
              <w:snapToGrid w:val="0"/>
              <w:jc w:val="center"/>
              <w:rPr>
                <w:rFonts w:hint="eastAsia" w:ascii="宋体" w:hAnsi="宋体" w:cs="宋体"/>
                <w:color w:val="auto"/>
                <w:sz w:val="20"/>
                <w:szCs w:val="20"/>
                <w:highlight w:val="none"/>
              </w:rPr>
            </w:pPr>
          </w:p>
        </w:tc>
        <w:tc>
          <w:tcPr>
            <w:tcW w:w="1047" w:type="pct"/>
            <w:gridSpan w:val="3"/>
            <w:shd w:val="clear" w:color="auto" w:fill="FFFFFF"/>
          </w:tcPr>
          <w:p w14:paraId="66D0D973">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tcPr>
          <w:p w14:paraId="052D5C08">
            <w:pPr>
              <w:snapToGrid w:val="0"/>
              <w:jc w:val="center"/>
              <w:rPr>
                <w:rFonts w:hint="eastAsia" w:ascii="宋体" w:hAnsi="宋体" w:cs="宋体"/>
                <w:color w:val="auto"/>
                <w:sz w:val="20"/>
                <w:szCs w:val="20"/>
                <w:highlight w:val="none"/>
              </w:rPr>
            </w:pPr>
          </w:p>
        </w:tc>
        <w:tc>
          <w:tcPr>
            <w:tcW w:w="1096" w:type="pct"/>
            <w:gridSpan w:val="3"/>
            <w:shd w:val="clear" w:color="auto" w:fill="FFFFFF"/>
          </w:tcPr>
          <w:p w14:paraId="1E08ABF1">
            <w:pPr>
              <w:snapToGrid w:val="0"/>
              <w:jc w:val="center"/>
              <w:rPr>
                <w:rFonts w:hint="eastAsia" w:ascii="宋体" w:hAnsi="宋体" w:cs="宋体"/>
                <w:color w:val="auto"/>
                <w:sz w:val="20"/>
                <w:szCs w:val="20"/>
                <w:highlight w:val="none"/>
              </w:rPr>
            </w:pPr>
          </w:p>
        </w:tc>
      </w:tr>
      <w:tr w14:paraId="57039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restart"/>
            <w:shd w:val="clear" w:color="auto" w:fill="FFFFFF"/>
            <w:vAlign w:val="center"/>
          </w:tcPr>
          <w:p w14:paraId="152D52AE">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2</w:t>
            </w:r>
          </w:p>
        </w:tc>
        <w:tc>
          <w:tcPr>
            <w:tcW w:w="191" w:type="pct"/>
            <w:vMerge w:val="restart"/>
            <w:shd w:val="clear" w:color="auto" w:fill="FFFFFF"/>
            <w:vAlign w:val="center"/>
          </w:tcPr>
          <w:p w14:paraId="1F2A1B71">
            <w:pPr>
              <w:snapToGrid w:val="0"/>
              <w:jc w:val="center"/>
              <w:rPr>
                <w:rFonts w:hint="eastAsia" w:ascii="宋体" w:hAnsi="宋体" w:cs="宋体"/>
                <w:color w:val="auto"/>
                <w:sz w:val="20"/>
                <w:szCs w:val="20"/>
                <w:highlight w:val="none"/>
              </w:rPr>
            </w:pPr>
            <w:r>
              <w:rPr>
                <w:rFonts w:hint="eastAsia" w:ascii="宋体" w:hAnsi="宋体" w:cs="宋体"/>
                <w:b/>
                <w:color w:val="auto"/>
                <w:sz w:val="20"/>
                <w:szCs w:val="20"/>
                <w:highlight w:val="none"/>
              </w:rPr>
              <w:t>其他专项服务</w:t>
            </w:r>
          </w:p>
        </w:tc>
        <w:tc>
          <w:tcPr>
            <w:tcW w:w="4661" w:type="pct"/>
            <w:gridSpan w:val="13"/>
            <w:shd w:val="clear" w:color="auto" w:fill="FFFFFF"/>
            <w:vAlign w:val="center"/>
          </w:tcPr>
          <w:p w14:paraId="7871B0D0">
            <w:pPr>
              <w:snapToGrid w:val="0"/>
              <w:jc w:val="center"/>
              <w:rPr>
                <w:rFonts w:hint="eastAsia" w:ascii="宋体" w:hAnsi="宋体" w:eastAsia="宋体" w:cs="宋体"/>
                <w:color w:val="auto"/>
                <w:sz w:val="20"/>
                <w:szCs w:val="20"/>
                <w:highlight w:val="none"/>
                <w:lang w:val="en-US" w:eastAsia="zh-CN"/>
              </w:rPr>
            </w:pPr>
            <w:r>
              <w:rPr>
                <w:rFonts w:hint="eastAsia" w:ascii="宋体" w:hAnsi="宋体" w:cs="宋体"/>
                <w:b/>
                <w:color w:val="auto"/>
                <w:sz w:val="20"/>
                <w:szCs w:val="20"/>
                <w:highlight w:val="none"/>
              </w:rPr>
              <w:t>2.其他专项服务：</w:t>
            </w:r>
            <w:r>
              <w:rPr>
                <w:rFonts w:hint="eastAsia" w:ascii="宋体" w:hAnsi="宋体" w:cs="宋体"/>
                <w:b/>
                <w:color w:val="auto"/>
                <w:sz w:val="20"/>
                <w:szCs w:val="20"/>
                <w:highlight w:val="none"/>
                <w:lang w:val="en-US" w:eastAsia="zh-CN"/>
              </w:rPr>
              <w:t>具体单项预算详见备注</w:t>
            </w:r>
          </w:p>
        </w:tc>
      </w:tr>
      <w:tr w14:paraId="54016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trPr>
        <w:tc>
          <w:tcPr>
            <w:tcW w:w="146" w:type="pct"/>
            <w:vMerge w:val="continue"/>
            <w:shd w:val="clear" w:color="auto" w:fill="FFFFFF"/>
            <w:vAlign w:val="center"/>
          </w:tcPr>
          <w:p w14:paraId="20845D93">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49B7CBA8">
            <w:pPr>
              <w:snapToGrid w:val="0"/>
              <w:jc w:val="center"/>
              <w:rPr>
                <w:rFonts w:hint="eastAsia" w:ascii="宋体" w:hAnsi="宋体" w:cs="宋体"/>
                <w:color w:val="auto"/>
                <w:sz w:val="20"/>
                <w:szCs w:val="20"/>
                <w:highlight w:val="none"/>
              </w:rPr>
            </w:pPr>
          </w:p>
        </w:tc>
        <w:tc>
          <w:tcPr>
            <w:tcW w:w="444" w:type="pct"/>
            <w:vMerge w:val="restart"/>
            <w:shd w:val="clear" w:color="auto" w:fill="FFFFFF"/>
            <w:vAlign w:val="center"/>
          </w:tcPr>
          <w:p w14:paraId="4EEDC557">
            <w:pPr>
              <w:snapToGrid w:val="0"/>
              <w:rPr>
                <w:rFonts w:ascii="宋体" w:hAnsi="宋体" w:cs="宋体"/>
                <w:color w:val="auto"/>
                <w:sz w:val="20"/>
                <w:szCs w:val="20"/>
                <w:highlight w:val="none"/>
              </w:rPr>
            </w:pPr>
            <w:r>
              <w:rPr>
                <w:rFonts w:hint="eastAsia" w:ascii="宋体" w:hAnsi="宋体" w:cs="宋体"/>
                <w:color w:val="auto"/>
                <w:sz w:val="20"/>
                <w:szCs w:val="20"/>
                <w:highlight w:val="none"/>
              </w:rPr>
              <w:t>名称</w:t>
            </w:r>
          </w:p>
        </w:tc>
        <w:tc>
          <w:tcPr>
            <w:tcW w:w="970" w:type="pct"/>
            <w:gridSpan w:val="3"/>
            <w:shd w:val="clear" w:color="auto" w:fill="FFFFFF"/>
            <w:vAlign w:val="center"/>
          </w:tcPr>
          <w:p w14:paraId="4C95197E">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第一年</w:t>
            </w:r>
          </w:p>
        </w:tc>
        <w:tc>
          <w:tcPr>
            <w:tcW w:w="1047" w:type="pct"/>
            <w:gridSpan w:val="3"/>
            <w:shd w:val="clear" w:color="auto" w:fill="FFFFFF"/>
          </w:tcPr>
          <w:p w14:paraId="1A25794C">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第二年</w:t>
            </w:r>
          </w:p>
        </w:tc>
        <w:tc>
          <w:tcPr>
            <w:tcW w:w="1102" w:type="pct"/>
            <w:gridSpan w:val="3"/>
            <w:tcBorders>
              <w:right w:val="single" w:color="auto" w:sz="4" w:space="0"/>
            </w:tcBorders>
            <w:shd w:val="clear" w:color="auto" w:fill="FFFFFF"/>
          </w:tcPr>
          <w:p w14:paraId="59129FCC">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第二年</w:t>
            </w:r>
          </w:p>
        </w:tc>
        <w:tc>
          <w:tcPr>
            <w:tcW w:w="1096" w:type="pct"/>
            <w:gridSpan w:val="3"/>
            <w:shd w:val="clear" w:color="auto" w:fill="FFFFFF"/>
          </w:tcPr>
          <w:p w14:paraId="7EAE08CD">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备注</w:t>
            </w:r>
          </w:p>
        </w:tc>
      </w:tr>
      <w:tr w14:paraId="0CC71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4" w:hRule="atLeast"/>
        </w:trPr>
        <w:tc>
          <w:tcPr>
            <w:tcW w:w="146" w:type="pct"/>
            <w:vMerge w:val="continue"/>
            <w:shd w:val="clear" w:color="auto" w:fill="FFFFFF"/>
            <w:vAlign w:val="center"/>
          </w:tcPr>
          <w:p w14:paraId="001F0CBA">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377C7A0C">
            <w:pPr>
              <w:snapToGrid w:val="0"/>
              <w:jc w:val="center"/>
              <w:rPr>
                <w:rFonts w:hint="eastAsia" w:ascii="宋体" w:hAnsi="宋体" w:cs="宋体"/>
                <w:color w:val="auto"/>
                <w:sz w:val="20"/>
                <w:szCs w:val="20"/>
                <w:highlight w:val="none"/>
              </w:rPr>
            </w:pPr>
          </w:p>
        </w:tc>
        <w:tc>
          <w:tcPr>
            <w:tcW w:w="444" w:type="pct"/>
            <w:vMerge w:val="continue"/>
            <w:shd w:val="clear" w:color="auto" w:fill="FFFFFF"/>
            <w:vAlign w:val="center"/>
          </w:tcPr>
          <w:p w14:paraId="66CF2C50">
            <w:pPr>
              <w:snapToGrid w:val="0"/>
              <w:rPr>
                <w:rFonts w:ascii="宋体" w:hAnsi="宋体" w:cs="宋体"/>
                <w:color w:val="auto"/>
                <w:sz w:val="20"/>
                <w:szCs w:val="20"/>
                <w:highlight w:val="none"/>
              </w:rPr>
            </w:pPr>
          </w:p>
        </w:tc>
        <w:tc>
          <w:tcPr>
            <w:tcW w:w="970" w:type="pct"/>
            <w:gridSpan w:val="3"/>
            <w:shd w:val="clear" w:color="auto" w:fill="FFFFFF"/>
            <w:vAlign w:val="center"/>
          </w:tcPr>
          <w:p w14:paraId="21B32F0A">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合计报价</w:t>
            </w:r>
          </w:p>
        </w:tc>
        <w:tc>
          <w:tcPr>
            <w:tcW w:w="1047" w:type="pct"/>
            <w:gridSpan w:val="3"/>
            <w:shd w:val="clear" w:color="auto" w:fill="FFFFFF"/>
            <w:vAlign w:val="center"/>
          </w:tcPr>
          <w:p w14:paraId="28DE595A">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合计报价</w:t>
            </w:r>
          </w:p>
        </w:tc>
        <w:tc>
          <w:tcPr>
            <w:tcW w:w="1102" w:type="pct"/>
            <w:gridSpan w:val="3"/>
            <w:tcBorders>
              <w:right w:val="single" w:color="auto" w:sz="4" w:space="0"/>
            </w:tcBorders>
            <w:shd w:val="clear" w:color="auto" w:fill="FFFFFF"/>
            <w:vAlign w:val="center"/>
          </w:tcPr>
          <w:p w14:paraId="23A0F87B">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合计报价</w:t>
            </w:r>
          </w:p>
        </w:tc>
        <w:tc>
          <w:tcPr>
            <w:tcW w:w="446" w:type="pct"/>
            <w:tcBorders>
              <w:right w:val="single" w:color="auto" w:sz="4" w:space="0"/>
            </w:tcBorders>
            <w:shd w:val="clear" w:color="auto" w:fill="FFFFFF"/>
            <w:vAlign w:val="center"/>
          </w:tcPr>
          <w:p w14:paraId="1AEE1A52">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单年单项预算金额（元）</w:t>
            </w:r>
          </w:p>
        </w:tc>
        <w:tc>
          <w:tcPr>
            <w:tcW w:w="650" w:type="pct"/>
            <w:gridSpan w:val="2"/>
            <w:vMerge w:val="restart"/>
            <w:tcBorders>
              <w:left w:val="single" w:color="auto" w:sz="4" w:space="0"/>
            </w:tcBorders>
            <w:shd w:val="clear" w:color="auto" w:fill="FFFFFF"/>
            <w:vAlign w:val="center"/>
          </w:tcPr>
          <w:p w14:paraId="2CC4C416">
            <w:pPr>
              <w:snapToGrid w:val="0"/>
              <w:jc w:val="center"/>
              <w:rPr>
                <w:rFonts w:hint="eastAsia" w:ascii="宋体" w:hAnsi="宋体" w:cs="宋体"/>
                <w:color w:val="auto"/>
                <w:sz w:val="20"/>
                <w:szCs w:val="20"/>
                <w:highlight w:val="none"/>
              </w:rPr>
            </w:pPr>
          </w:p>
        </w:tc>
      </w:tr>
      <w:tr w14:paraId="63DDD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5282A8E8">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4D209296">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5BDC170B">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1.垃圾清运</w:t>
            </w:r>
          </w:p>
        </w:tc>
        <w:tc>
          <w:tcPr>
            <w:tcW w:w="970" w:type="pct"/>
            <w:gridSpan w:val="3"/>
            <w:shd w:val="clear" w:color="auto" w:fill="FFFFFF"/>
            <w:vAlign w:val="center"/>
          </w:tcPr>
          <w:p w14:paraId="552BC27D">
            <w:pPr>
              <w:snapToGrid w:val="0"/>
              <w:jc w:val="center"/>
              <w:rPr>
                <w:rFonts w:hint="eastAsia" w:ascii="宋体" w:hAnsi="宋体" w:cs="宋体"/>
                <w:color w:val="auto"/>
                <w:sz w:val="20"/>
                <w:szCs w:val="20"/>
                <w:highlight w:val="none"/>
              </w:rPr>
            </w:pPr>
          </w:p>
        </w:tc>
        <w:tc>
          <w:tcPr>
            <w:tcW w:w="1047" w:type="pct"/>
            <w:gridSpan w:val="3"/>
            <w:shd w:val="clear" w:color="auto" w:fill="FFFFFF"/>
            <w:vAlign w:val="center"/>
          </w:tcPr>
          <w:p w14:paraId="13459A01">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vAlign w:val="center"/>
          </w:tcPr>
          <w:p w14:paraId="2194E6BE">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762F4991">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200000</w:t>
            </w:r>
          </w:p>
        </w:tc>
        <w:tc>
          <w:tcPr>
            <w:tcW w:w="650" w:type="pct"/>
            <w:gridSpan w:val="2"/>
            <w:vMerge w:val="continue"/>
            <w:tcBorders>
              <w:left w:val="single" w:color="auto" w:sz="4" w:space="0"/>
            </w:tcBorders>
            <w:shd w:val="clear" w:color="auto" w:fill="FFFFFF"/>
          </w:tcPr>
          <w:p w14:paraId="0EB7510D">
            <w:pPr>
              <w:snapToGrid w:val="0"/>
              <w:jc w:val="center"/>
              <w:rPr>
                <w:rFonts w:hint="eastAsia" w:ascii="宋体" w:hAnsi="宋体" w:cs="宋体"/>
                <w:color w:val="auto"/>
                <w:sz w:val="20"/>
                <w:szCs w:val="20"/>
                <w:highlight w:val="none"/>
              </w:rPr>
            </w:pPr>
          </w:p>
        </w:tc>
      </w:tr>
      <w:tr w14:paraId="40589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52C4624B">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0CC5BBFA">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083BF3A2">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2.外墙清洗保洁</w:t>
            </w:r>
          </w:p>
        </w:tc>
        <w:tc>
          <w:tcPr>
            <w:tcW w:w="970" w:type="pct"/>
            <w:gridSpan w:val="3"/>
            <w:shd w:val="clear" w:color="auto" w:fill="FFFFFF"/>
            <w:vAlign w:val="center"/>
          </w:tcPr>
          <w:p w14:paraId="3FC36747">
            <w:pPr>
              <w:snapToGrid w:val="0"/>
              <w:jc w:val="center"/>
              <w:rPr>
                <w:rFonts w:hint="eastAsia" w:ascii="宋体" w:hAnsi="宋体" w:cs="宋体"/>
                <w:color w:val="auto"/>
                <w:sz w:val="20"/>
                <w:szCs w:val="20"/>
                <w:highlight w:val="none"/>
              </w:rPr>
            </w:pPr>
          </w:p>
        </w:tc>
        <w:tc>
          <w:tcPr>
            <w:tcW w:w="1047" w:type="pct"/>
            <w:gridSpan w:val="3"/>
            <w:shd w:val="clear" w:color="auto" w:fill="FFFFFF"/>
            <w:vAlign w:val="center"/>
          </w:tcPr>
          <w:p w14:paraId="02B3587F">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vAlign w:val="center"/>
          </w:tcPr>
          <w:p w14:paraId="0116B0F3">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31F9405E">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120000</w:t>
            </w:r>
          </w:p>
        </w:tc>
        <w:tc>
          <w:tcPr>
            <w:tcW w:w="650" w:type="pct"/>
            <w:gridSpan w:val="2"/>
            <w:vMerge w:val="continue"/>
            <w:tcBorders>
              <w:left w:val="single" w:color="auto" w:sz="4" w:space="0"/>
            </w:tcBorders>
            <w:shd w:val="clear" w:color="auto" w:fill="FFFFFF"/>
          </w:tcPr>
          <w:p w14:paraId="38AF7FF6">
            <w:pPr>
              <w:snapToGrid w:val="0"/>
              <w:jc w:val="center"/>
              <w:rPr>
                <w:rFonts w:hint="eastAsia" w:ascii="宋体" w:hAnsi="宋体" w:cs="宋体"/>
                <w:color w:val="auto"/>
                <w:sz w:val="20"/>
                <w:szCs w:val="20"/>
                <w:highlight w:val="none"/>
              </w:rPr>
            </w:pPr>
          </w:p>
        </w:tc>
      </w:tr>
      <w:tr w14:paraId="32B1A6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507CA872">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51D376AB">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44409A01">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3.化粪池清理和管道疏通</w:t>
            </w:r>
          </w:p>
        </w:tc>
        <w:tc>
          <w:tcPr>
            <w:tcW w:w="970" w:type="pct"/>
            <w:gridSpan w:val="3"/>
            <w:shd w:val="clear" w:color="auto" w:fill="FFFFFF"/>
            <w:vAlign w:val="center"/>
          </w:tcPr>
          <w:p w14:paraId="15BB15B4">
            <w:pPr>
              <w:snapToGrid w:val="0"/>
              <w:jc w:val="center"/>
              <w:rPr>
                <w:rFonts w:hint="eastAsia" w:ascii="宋体" w:hAnsi="宋体" w:cs="宋体"/>
                <w:color w:val="auto"/>
                <w:sz w:val="20"/>
                <w:szCs w:val="20"/>
                <w:highlight w:val="none"/>
              </w:rPr>
            </w:pPr>
          </w:p>
        </w:tc>
        <w:tc>
          <w:tcPr>
            <w:tcW w:w="1047" w:type="pct"/>
            <w:gridSpan w:val="3"/>
            <w:shd w:val="clear" w:color="auto" w:fill="FFFFFF"/>
            <w:vAlign w:val="center"/>
          </w:tcPr>
          <w:p w14:paraId="2DAA9923">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vAlign w:val="center"/>
          </w:tcPr>
          <w:p w14:paraId="13A846F5">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5EE639AB">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100000</w:t>
            </w:r>
          </w:p>
        </w:tc>
        <w:tc>
          <w:tcPr>
            <w:tcW w:w="650" w:type="pct"/>
            <w:gridSpan w:val="2"/>
            <w:vMerge w:val="continue"/>
            <w:tcBorders>
              <w:left w:val="single" w:color="auto" w:sz="4" w:space="0"/>
            </w:tcBorders>
            <w:shd w:val="clear" w:color="auto" w:fill="FFFFFF"/>
          </w:tcPr>
          <w:p w14:paraId="27CBE7F3">
            <w:pPr>
              <w:snapToGrid w:val="0"/>
              <w:jc w:val="center"/>
              <w:rPr>
                <w:rFonts w:hint="eastAsia" w:ascii="宋体" w:hAnsi="宋体" w:cs="宋体"/>
                <w:color w:val="auto"/>
                <w:sz w:val="20"/>
                <w:szCs w:val="20"/>
                <w:highlight w:val="none"/>
              </w:rPr>
            </w:pPr>
          </w:p>
        </w:tc>
      </w:tr>
      <w:tr w14:paraId="7B97B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745CA427">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67465D59">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6E2111F6">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4.学校生活水箱和热水水箱清洗</w:t>
            </w:r>
          </w:p>
        </w:tc>
        <w:tc>
          <w:tcPr>
            <w:tcW w:w="970" w:type="pct"/>
            <w:gridSpan w:val="3"/>
            <w:shd w:val="clear" w:color="auto" w:fill="FFFFFF"/>
            <w:vAlign w:val="center"/>
          </w:tcPr>
          <w:p w14:paraId="11633BFF">
            <w:pPr>
              <w:snapToGrid w:val="0"/>
              <w:jc w:val="center"/>
              <w:rPr>
                <w:rFonts w:hint="eastAsia" w:ascii="宋体" w:hAnsi="宋体" w:cs="宋体"/>
                <w:color w:val="auto"/>
                <w:sz w:val="20"/>
                <w:szCs w:val="20"/>
                <w:highlight w:val="none"/>
              </w:rPr>
            </w:pPr>
          </w:p>
        </w:tc>
        <w:tc>
          <w:tcPr>
            <w:tcW w:w="1047" w:type="pct"/>
            <w:gridSpan w:val="3"/>
            <w:shd w:val="clear" w:color="auto" w:fill="FFFFFF"/>
            <w:vAlign w:val="center"/>
          </w:tcPr>
          <w:p w14:paraId="26884B4D">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vAlign w:val="center"/>
          </w:tcPr>
          <w:p w14:paraId="4B790EFA">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04B12A66">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40000</w:t>
            </w:r>
          </w:p>
        </w:tc>
        <w:tc>
          <w:tcPr>
            <w:tcW w:w="650" w:type="pct"/>
            <w:gridSpan w:val="2"/>
            <w:vMerge w:val="continue"/>
            <w:tcBorders>
              <w:left w:val="single" w:color="auto" w:sz="4" w:space="0"/>
            </w:tcBorders>
            <w:shd w:val="clear" w:color="auto" w:fill="FFFFFF"/>
          </w:tcPr>
          <w:p w14:paraId="117F2F6A">
            <w:pPr>
              <w:snapToGrid w:val="0"/>
              <w:jc w:val="center"/>
              <w:rPr>
                <w:rFonts w:hint="eastAsia" w:ascii="宋体" w:hAnsi="宋体" w:cs="宋体"/>
                <w:color w:val="auto"/>
                <w:sz w:val="20"/>
                <w:szCs w:val="20"/>
                <w:highlight w:val="none"/>
              </w:rPr>
            </w:pPr>
          </w:p>
        </w:tc>
      </w:tr>
      <w:tr w14:paraId="7C499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1013775D">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3940F9B6">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5432E000">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5.维修材料配件</w:t>
            </w:r>
          </w:p>
        </w:tc>
        <w:tc>
          <w:tcPr>
            <w:tcW w:w="970" w:type="pct"/>
            <w:gridSpan w:val="3"/>
            <w:shd w:val="clear" w:color="auto" w:fill="FFFFFF"/>
            <w:vAlign w:val="center"/>
          </w:tcPr>
          <w:p w14:paraId="65085485">
            <w:pPr>
              <w:snapToGrid w:val="0"/>
              <w:jc w:val="center"/>
              <w:rPr>
                <w:rFonts w:hint="eastAsia" w:ascii="宋体" w:hAnsi="宋体" w:cs="宋体"/>
                <w:color w:val="auto"/>
                <w:sz w:val="20"/>
                <w:szCs w:val="20"/>
                <w:highlight w:val="none"/>
              </w:rPr>
            </w:pPr>
          </w:p>
        </w:tc>
        <w:tc>
          <w:tcPr>
            <w:tcW w:w="1047" w:type="pct"/>
            <w:gridSpan w:val="3"/>
            <w:shd w:val="clear" w:color="auto" w:fill="FFFFFF"/>
            <w:vAlign w:val="center"/>
          </w:tcPr>
          <w:p w14:paraId="1F114FD3">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vAlign w:val="center"/>
          </w:tcPr>
          <w:p w14:paraId="769C3220">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vAlign w:val="center"/>
          </w:tcPr>
          <w:p w14:paraId="0F4BD84C">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200000</w:t>
            </w:r>
          </w:p>
        </w:tc>
        <w:tc>
          <w:tcPr>
            <w:tcW w:w="650" w:type="pct"/>
            <w:gridSpan w:val="2"/>
            <w:vMerge w:val="continue"/>
            <w:tcBorders>
              <w:left w:val="single" w:color="auto" w:sz="4" w:space="0"/>
            </w:tcBorders>
            <w:shd w:val="clear" w:color="auto" w:fill="FFFFFF"/>
          </w:tcPr>
          <w:p w14:paraId="3AB29484">
            <w:pPr>
              <w:snapToGrid w:val="0"/>
              <w:jc w:val="center"/>
              <w:rPr>
                <w:rFonts w:hint="eastAsia" w:ascii="宋体" w:hAnsi="宋体" w:cs="宋体"/>
                <w:color w:val="auto"/>
                <w:sz w:val="20"/>
                <w:szCs w:val="20"/>
                <w:highlight w:val="none"/>
              </w:rPr>
            </w:pPr>
          </w:p>
        </w:tc>
      </w:tr>
      <w:tr w14:paraId="02332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3C758350">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520EFDED">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729174B9">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6.新投用建筑保洁开荒</w:t>
            </w:r>
          </w:p>
        </w:tc>
        <w:tc>
          <w:tcPr>
            <w:tcW w:w="970" w:type="pct"/>
            <w:gridSpan w:val="3"/>
            <w:vMerge w:val="restart"/>
            <w:shd w:val="clear" w:color="auto" w:fill="FFFFFF"/>
            <w:vAlign w:val="center"/>
          </w:tcPr>
          <w:p w14:paraId="5CDA3A65">
            <w:pPr>
              <w:snapToGrid w:val="0"/>
              <w:jc w:val="center"/>
              <w:rPr>
                <w:rFonts w:hint="eastAsia" w:ascii="宋体" w:hAnsi="宋体" w:cs="宋体"/>
                <w:color w:val="auto"/>
                <w:sz w:val="20"/>
                <w:szCs w:val="20"/>
                <w:highlight w:val="none"/>
              </w:rPr>
            </w:pPr>
          </w:p>
        </w:tc>
        <w:tc>
          <w:tcPr>
            <w:tcW w:w="1047" w:type="pct"/>
            <w:gridSpan w:val="3"/>
            <w:vMerge w:val="restart"/>
            <w:shd w:val="clear" w:color="auto" w:fill="FFFFFF"/>
            <w:vAlign w:val="center"/>
          </w:tcPr>
          <w:p w14:paraId="5E8B7A97">
            <w:pPr>
              <w:snapToGrid w:val="0"/>
              <w:jc w:val="center"/>
              <w:rPr>
                <w:rFonts w:hint="eastAsia" w:ascii="宋体" w:hAnsi="宋体" w:cs="宋体"/>
                <w:color w:val="auto"/>
                <w:sz w:val="20"/>
                <w:szCs w:val="20"/>
                <w:highlight w:val="none"/>
              </w:rPr>
            </w:pPr>
          </w:p>
        </w:tc>
        <w:tc>
          <w:tcPr>
            <w:tcW w:w="1102" w:type="pct"/>
            <w:gridSpan w:val="3"/>
            <w:vMerge w:val="restart"/>
            <w:tcBorders>
              <w:right w:val="single" w:color="auto" w:sz="4" w:space="0"/>
            </w:tcBorders>
            <w:shd w:val="clear" w:color="auto" w:fill="FFFFFF"/>
            <w:vAlign w:val="center"/>
          </w:tcPr>
          <w:p w14:paraId="6E0D5E66">
            <w:pPr>
              <w:snapToGrid w:val="0"/>
              <w:jc w:val="center"/>
              <w:rPr>
                <w:rFonts w:hint="eastAsia" w:ascii="宋体" w:hAnsi="宋体" w:cs="宋体"/>
                <w:color w:val="auto"/>
                <w:sz w:val="20"/>
                <w:szCs w:val="20"/>
                <w:highlight w:val="none"/>
              </w:rPr>
            </w:pPr>
          </w:p>
        </w:tc>
        <w:tc>
          <w:tcPr>
            <w:tcW w:w="446" w:type="pct"/>
            <w:vMerge w:val="restart"/>
            <w:tcBorders>
              <w:right w:val="single" w:color="auto" w:sz="4" w:space="0"/>
            </w:tcBorders>
            <w:shd w:val="clear" w:color="auto" w:fill="FFFFFF"/>
            <w:vAlign w:val="center"/>
          </w:tcPr>
          <w:p w14:paraId="4EBD5F6A">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140000</w:t>
            </w:r>
          </w:p>
        </w:tc>
        <w:tc>
          <w:tcPr>
            <w:tcW w:w="650" w:type="pct"/>
            <w:gridSpan w:val="2"/>
            <w:vMerge w:val="continue"/>
            <w:tcBorders>
              <w:left w:val="single" w:color="auto" w:sz="4" w:space="0"/>
            </w:tcBorders>
            <w:shd w:val="clear" w:color="auto" w:fill="FFFFFF"/>
          </w:tcPr>
          <w:p w14:paraId="2F6BBF9F">
            <w:pPr>
              <w:snapToGrid w:val="0"/>
              <w:jc w:val="center"/>
              <w:rPr>
                <w:rFonts w:hint="eastAsia" w:ascii="宋体" w:hAnsi="宋体" w:cs="宋体"/>
                <w:color w:val="auto"/>
                <w:sz w:val="20"/>
                <w:szCs w:val="20"/>
                <w:highlight w:val="none"/>
              </w:rPr>
            </w:pPr>
          </w:p>
        </w:tc>
      </w:tr>
      <w:tr w14:paraId="56EA2A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29BE1919">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5CBB36F5">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6A2DB712">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7.宿舍卫生间保洁</w:t>
            </w:r>
          </w:p>
        </w:tc>
        <w:tc>
          <w:tcPr>
            <w:tcW w:w="970" w:type="pct"/>
            <w:gridSpan w:val="3"/>
            <w:vMerge w:val="continue"/>
            <w:shd w:val="clear" w:color="auto" w:fill="FFFFFF"/>
            <w:vAlign w:val="center"/>
          </w:tcPr>
          <w:p w14:paraId="646F04C0">
            <w:pPr>
              <w:snapToGrid w:val="0"/>
              <w:jc w:val="center"/>
              <w:rPr>
                <w:rFonts w:hint="eastAsia" w:ascii="宋体" w:hAnsi="宋体" w:cs="宋体"/>
                <w:color w:val="auto"/>
                <w:sz w:val="20"/>
                <w:szCs w:val="20"/>
                <w:highlight w:val="none"/>
              </w:rPr>
            </w:pPr>
          </w:p>
        </w:tc>
        <w:tc>
          <w:tcPr>
            <w:tcW w:w="1047" w:type="pct"/>
            <w:gridSpan w:val="3"/>
            <w:vMerge w:val="continue"/>
            <w:shd w:val="clear" w:color="auto" w:fill="FFFFFF"/>
            <w:vAlign w:val="center"/>
          </w:tcPr>
          <w:p w14:paraId="474E0B1A">
            <w:pPr>
              <w:snapToGrid w:val="0"/>
              <w:jc w:val="center"/>
              <w:rPr>
                <w:rFonts w:hint="eastAsia" w:ascii="宋体" w:hAnsi="宋体" w:cs="宋体"/>
                <w:color w:val="auto"/>
                <w:sz w:val="20"/>
                <w:szCs w:val="20"/>
                <w:highlight w:val="none"/>
              </w:rPr>
            </w:pPr>
          </w:p>
        </w:tc>
        <w:tc>
          <w:tcPr>
            <w:tcW w:w="1102" w:type="pct"/>
            <w:gridSpan w:val="3"/>
            <w:vMerge w:val="continue"/>
            <w:tcBorders>
              <w:right w:val="single" w:color="auto" w:sz="4" w:space="0"/>
            </w:tcBorders>
            <w:shd w:val="clear" w:color="auto" w:fill="FFFFFF"/>
            <w:vAlign w:val="center"/>
          </w:tcPr>
          <w:p w14:paraId="7555508C">
            <w:pPr>
              <w:snapToGrid w:val="0"/>
              <w:jc w:val="center"/>
              <w:rPr>
                <w:rFonts w:hint="eastAsia" w:ascii="宋体" w:hAnsi="宋体" w:cs="宋体"/>
                <w:color w:val="auto"/>
                <w:sz w:val="20"/>
                <w:szCs w:val="20"/>
                <w:highlight w:val="none"/>
              </w:rPr>
            </w:pPr>
          </w:p>
        </w:tc>
        <w:tc>
          <w:tcPr>
            <w:tcW w:w="446" w:type="pct"/>
            <w:vMerge w:val="continue"/>
            <w:tcBorders>
              <w:right w:val="single" w:color="auto" w:sz="4" w:space="0"/>
            </w:tcBorders>
            <w:shd w:val="clear" w:color="auto" w:fill="FFFFFF"/>
          </w:tcPr>
          <w:p w14:paraId="050DB2E8">
            <w:pPr>
              <w:snapToGrid w:val="0"/>
              <w:jc w:val="center"/>
              <w:rPr>
                <w:rFonts w:hint="eastAsia" w:ascii="宋体" w:hAnsi="宋体" w:cs="宋体"/>
                <w:color w:val="auto"/>
                <w:sz w:val="20"/>
                <w:szCs w:val="20"/>
                <w:highlight w:val="none"/>
              </w:rPr>
            </w:pPr>
          </w:p>
        </w:tc>
        <w:tc>
          <w:tcPr>
            <w:tcW w:w="650" w:type="pct"/>
            <w:gridSpan w:val="2"/>
            <w:vMerge w:val="continue"/>
            <w:tcBorders>
              <w:left w:val="single" w:color="auto" w:sz="4" w:space="0"/>
            </w:tcBorders>
            <w:shd w:val="clear" w:color="auto" w:fill="FFFFFF"/>
          </w:tcPr>
          <w:p w14:paraId="339CC9A1">
            <w:pPr>
              <w:snapToGrid w:val="0"/>
              <w:jc w:val="center"/>
              <w:rPr>
                <w:rFonts w:hint="eastAsia" w:ascii="宋体" w:hAnsi="宋体" w:cs="宋体"/>
                <w:color w:val="auto"/>
                <w:sz w:val="20"/>
                <w:szCs w:val="20"/>
                <w:highlight w:val="none"/>
              </w:rPr>
            </w:pPr>
          </w:p>
        </w:tc>
      </w:tr>
      <w:tr w14:paraId="4BD7F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6460DBD7">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30B9AB81">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255DE7AF">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8.校车清洗</w:t>
            </w:r>
          </w:p>
        </w:tc>
        <w:tc>
          <w:tcPr>
            <w:tcW w:w="970" w:type="pct"/>
            <w:gridSpan w:val="3"/>
            <w:vMerge w:val="continue"/>
            <w:shd w:val="clear" w:color="auto" w:fill="FFFFFF"/>
            <w:vAlign w:val="center"/>
          </w:tcPr>
          <w:p w14:paraId="662DF78B">
            <w:pPr>
              <w:snapToGrid w:val="0"/>
              <w:jc w:val="center"/>
              <w:rPr>
                <w:rFonts w:hint="eastAsia" w:ascii="宋体" w:hAnsi="宋体" w:cs="宋体"/>
                <w:color w:val="auto"/>
                <w:sz w:val="20"/>
                <w:szCs w:val="20"/>
                <w:highlight w:val="none"/>
              </w:rPr>
            </w:pPr>
          </w:p>
        </w:tc>
        <w:tc>
          <w:tcPr>
            <w:tcW w:w="1047" w:type="pct"/>
            <w:gridSpan w:val="3"/>
            <w:vMerge w:val="continue"/>
            <w:shd w:val="clear" w:color="auto" w:fill="FFFFFF"/>
            <w:vAlign w:val="center"/>
          </w:tcPr>
          <w:p w14:paraId="160CC41C">
            <w:pPr>
              <w:snapToGrid w:val="0"/>
              <w:jc w:val="center"/>
              <w:rPr>
                <w:rFonts w:hint="eastAsia" w:ascii="宋体" w:hAnsi="宋体" w:cs="宋体"/>
                <w:color w:val="auto"/>
                <w:sz w:val="20"/>
                <w:szCs w:val="20"/>
                <w:highlight w:val="none"/>
              </w:rPr>
            </w:pPr>
          </w:p>
        </w:tc>
        <w:tc>
          <w:tcPr>
            <w:tcW w:w="1102" w:type="pct"/>
            <w:gridSpan w:val="3"/>
            <w:vMerge w:val="continue"/>
            <w:tcBorders>
              <w:right w:val="single" w:color="auto" w:sz="4" w:space="0"/>
            </w:tcBorders>
            <w:shd w:val="clear" w:color="auto" w:fill="FFFFFF"/>
            <w:vAlign w:val="center"/>
          </w:tcPr>
          <w:p w14:paraId="69AA6C41">
            <w:pPr>
              <w:snapToGrid w:val="0"/>
              <w:jc w:val="center"/>
              <w:rPr>
                <w:rFonts w:hint="eastAsia" w:ascii="宋体" w:hAnsi="宋体" w:cs="宋体"/>
                <w:color w:val="auto"/>
                <w:sz w:val="20"/>
                <w:szCs w:val="20"/>
                <w:highlight w:val="none"/>
              </w:rPr>
            </w:pPr>
          </w:p>
        </w:tc>
        <w:tc>
          <w:tcPr>
            <w:tcW w:w="446" w:type="pct"/>
            <w:vMerge w:val="continue"/>
            <w:tcBorders>
              <w:right w:val="single" w:color="auto" w:sz="4" w:space="0"/>
            </w:tcBorders>
            <w:shd w:val="clear" w:color="auto" w:fill="FFFFFF"/>
          </w:tcPr>
          <w:p w14:paraId="69443C82">
            <w:pPr>
              <w:snapToGrid w:val="0"/>
              <w:jc w:val="center"/>
              <w:rPr>
                <w:rFonts w:hint="eastAsia" w:ascii="宋体" w:hAnsi="宋体" w:cs="宋体"/>
                <w:color w:val="auto"/>
                <w:sz w:val="20"/>
                <w:szCs w:val="20"/>
                <w:highlight w:val="none"/>
              </w:rPr>
            </w:pPr>
          </w:p>
        </w:tc>
        <w:tc>
          <w:tcPr>
            <w:tcW w:w="650" w:type="pct"/>
            <w:gridSpan w:val="2"/>
            <w:vMerge w:val="continue"/>
            <w:tcBorders>
              <w:left w:val="single" w:color="auto" w:sz="4" w:space="0"/>
            </w:tcBorders>
            <w:shd w:val="clear" w:color="auto" w:fill="FFFFFF"/>
          </w:tcPr>
          <w:p w14:paraId="282560C0">
            <w:pPr>
              <w:snapToGrid w:val="0"/>
              <w:jc w:val="center"/>
              <w:rPr>
                <w:rFonts w:hint="eastAsia" w:ascii="宋体" w:hAnsi="宋体" w:cs="宋体"/>
                <w:color w:val="auto"/>
                <w:sz w:val="20"/>
                <w:szCs w:val="20"/>
                <w:highlight w:val="none"/>
              </w:rPr>
            </w:pPr>
          </w:p>
        </w:tc>
      </w:tr>
      <w:tr w14:paraId="4981C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1BDDCA64">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0BED44B1">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2BED3914">
            <w:pPr>
              <w:snapToGrid w:val="0"/>
              <w:rPr>
                <w:rFonts w:ascii="宋体" w:hAnsi="宋体" w:cs="宋体"/>
                <w:color w:val="auto"/>
                <w:sz w:val="20"/>
                <w:szCs w:val="20"/>
                <w:highlight w:val="none"/>
              </w:rPr>
            </w:pPr>
            <w:r>
              <w:rPr>
                <w:rFonts w:hint="eastAsia" w:ascii="宋体" w:hAnsi="宋体" w:cs="宋体"/>
                <w:color w:val="auto"/>
                <w:sz w:val="20"/>
                <w:szCs w:val="20"/>
                <w:highlight w:val="none"/>
              </w:rPr>
              <w:t>9.毕业生房间清理</w:t>
            </w:r>
          </w:p>
        </w:tc>
        <w:tc>
          <w:tcPr>
            <w:tcW w:w="970" w:type="pct"/>
            <w:gridSpan w:val="3"/>
            <w:vMerge w:val="continue"/>
            <w:shd w:val="clear" w:color="auto" w:fill="FFFFFF"/>
            <w:vAlign w:val="center"/>
          </w:tcPr>
          <w:p w14:paraId="73E29242">
            <w:pPr>
              <w:snapToGrid w:val="0"/>
              <w:jc w:val="center"/>
              <w:rPr>
                <w:rFonts w:hint="eastAsia" w:ascii="宋体" w:hAnsi="宋体" w:cs="宋体"/>
                <w:color w:val="auto"/>
                <w:sz w:val="20"/>
                <w:szCs w:val="20"/>
                <w:highlight w:val="none"/>
              </w:rPr>
            </w:pPr>
          </w:p>
        </w:tc>
        <w:tc>
          <w:tcPr>
            <w:tcW w:w="1047" w:type="pct"/>
            <w:gridSpan w:val="3"/>
            <w:vMerge w:val="continue"/>
            <w:shd w:val="clear" w:color="auto" w:fill="FFFFFF"/>
            <w:vAlign w:val="center"/>
          </w:tcPr>
          <w:p w14:paraId="3FBD88B0">
            <w:pPr>
              <w:snapToGrid w:val="0"/>
              <w:jc w:val="center"/>
              <w:rPr>
                <w:rFonts w:hint="eastAsia" w:ascii="宋体" w:hAnsi="宋体" w:cs="宋体"/>
                <w:color w:val="auto"/>
                <w:sz w:val="20"/>
                <w:szCs w:val="20"/>
                <w:highlight w:val="none"/>
              </w:rPr>
            </w:pPr>
          </w:p>
        </w:tc>
        <w:tc>
          <w:tcPr>
            <w:tcW w:w="1102" w:type="pct"/>
            <w:gridSpan w:val="3"/>
            <w:vMerge w:val="continue"/>
            <w:tcBorders>
              <w:right w:val="single" w:color="auto" w:sz="4" w:space="0"/>
            </w:tcBorders>
            <w:shd w:val="clear" w:color="auto" w:fill="FFFFFF"/>
            <w:vAlign w:val="center"/>
          </w:tcPr>
          <w:p w14:paraId="3FE8E0C6">
            <w:pPr>
              <w:snapToGrid w:val="0"/>
              <w:jc w:val="center"/>
              <w:rPr>
                <w:rFonts w:hint="eastAsia" w:ascii="宋体" w:hAnsi="宋体" w:cs="宋体"/>
                <w:color w:val="auto"/>
                <w:sz w:val="20"/>
                <w:szCs w:val="20"/>
                <w:highlight w:val="none"/>
              </w:rPr>
            </w:pPr>
          </w:p>
        </w:tc>
        <w:tc>
          <w:tcPr>
            <w:tcW w:w="446" w:type="pct"/>
            <w:vMerge w:val="continue"/>
            <w:tcBorders>
              <w:right w:val="single" w:color="auto" w:sz="4" w:space="0"/>
            </w:tcBorders>
            <w:shd w:val="clear" w:color="auto" w:fill="FFFFFF"/>
          </w:tcPr>
          <w:p w14:paraId="690DBDB0">
            <w:pPr>
              <w:snapToGrid w:val="0"/>
              <w:jc w:val="center"/>
              <w:rPr>
                <w:rFonts w:hint="eastAsia" w:ascii="宋体" w:hAnsi="宋体" w:cs="宋体"/>
                <w:color w:val="auto"/>
                <w:sz w:val="20"/>
                <w:szCs w:val="20"/>
                <w:highlight w:val="none"/>
              </w:rPr>
            </w:pPr>
          </w:p>
        </w:tc>
        <w:tc>
          <w:tcPr>
            <w:tcW w:w="650" w:type="pct"/>
            <w:gridSpan w:val="2"/>
            <w:vMerge w:val="continue"/>
            <w:tcBorders>
              <w:left w:val="single" w:color="auto" w:sz="4" w:space="0"/>
            </w:tcBorders>
            <w:shd w:val="clear" w:color="auto" w:fill="FFFFFF"/>
          </w:tcPr>
          <w:p w14:paraId="27DE6FD6">
            <w:pPr>
              <w:snapToGrid w:val="0"/>
              <w:jc w:val="center"/>
              <w:rPr>
                <w:rFonts w:hint="eastAsia" w:ascii="宋体" w:hAnsi="宋体" w:cs="宋体"/>
                <w:color w:val="auto"/>
                <w:sz w:val="20"/>
                <w:szCs w:val="20"/>
                <w:highlight w:val="none"/>
              </w:rPr>
            </w:pPr>
          </w:p>
        </w:tc>
      </w:tr>
      <w:tr w14:paraId="21121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7E5A3634">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659115A8">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5E8CD164">
            <w:pPr>
              <w:snapToGrid w:val="0"/>
              <w:rPr>
                <w:rFonts w:ascii="宋体" w:hAnsi="宋体" w:cs="宋体"/>
                <w:color w:val="auto"/>
                <w:sz w:val="20"/>
                <w:szCs w:val="20"/>
                <w:highlight w:val="none"/>
              </w:rPr>
            </w:pPr>
            <w:r>
              <w:rPr>
                <w:rFonts w:hint="eastAsia" w:ascii="宋体" w:hAnsi="宋体" w:cs="宋体"/>
                <w:color w:val="auto"/>
                <w:sz w:val="20"/>
                <w:szCs w:val="20"/>
                <w:highlight w:val="none"/>
              </w:rPr>
              <w:t>10.室外防腐木、钢制栏杆及钢构件刷漆服务</w:t>
            </w:r>
          </w:p>
        </w:tc>
        <w:tc>
          <w:tcPr>
            <w:tcW w:w="970" w:type="pct"/>
            <w:gridSpan w:val="3"/>
            <w:vMerge w:val="continue"/>
            <w:shd w:val="clear" w:color="auto" w:fill="FFFFFF"/>
            <w:vAlign w:val="center"/>
          </w:tcPr>
          <w:p w14:paraId="5EA63F87">
            <w:pPr>
              <w:snapToGrid w:val="0"/>
              <w:jc w:val="center"/>
              <w:rPr>
                <w:rFonts w:hint="eastAsia" w:ascii="宋体" w:hAnsi="宋体" w:cs="宋体"/>
                <w:color w:val="auto"/>
                <w:sz w:val="20"/>
                <w:szCs w:val="20"/>
                <w:highlight w:val="none"/>
              </w:rPr>
            </w:pPr>
          </w:p>
        </w:tc>
        <w:tc>
          <w:tcPr>
            <w:tcW w:w="1047" w:type="pct"/>
            <w:gridSpan w:val="3"/>
            <w:vMerge w:val="continue"/>
            <w:shd w:val="clear" w:color="auto" w:fill="FFFFFF"/>
            <w:vAlign w:val="center"/>
          </w:tcPr>
          <w:p w14:paraId="0017764E">
            <w:pPr>
              <w:snapToGrid w:val="0"/>
              <w:jc w:val="center"/>
              <w:rPr>
                <w:rFonts w:hint="eastAsia" w:ascii="宋体" w:hAnsi="宋体" w:cs="宋体"/>
                <w:color w:val="auto"/>
                <w:sz w:val="20"/>
                <w:szCs w:val="20"/>
                <w:highlight w:val="none"/>
              </w:rPr>
            </w:pPr>
          </w:p>
        </w:tc>
        <w:tc>
          <w:tcPr>
            <w:tcW w:w="1102" w:type="pct"/>
            <w:gridSpan w:val="3"/>
            <w:vMerge w:val="continue"/>
            <w:tcBorders>
              <w:right w:val="single" w:color="auto" w:sz="4" w:space="0"/>
            </w:tcBorders>
            <w:shd w:val="clear" w:color="auto" w:fill="FFFFFF"/>
            <w:vAlign w:val="center"/>
          </w:tcPr>
          <w:p w14:paraId="1506F0D6">
            <w:pPr>
              <w:snapToGrid w:val="0"/>
              <w:jc w:val="center"/>
              <w:rPr>
                <w:rFonts w:hint="eastAsia" w:ascii="宋体" w:hAnsi="宋体" w:cs="宋体"/>
                <w:color w:val="auto"/>
                <w:sz w:val="20"/>
                <w:szCs w:val="20"/>
                <w:highlight w:val="none"/>
              </w:rPr>
            </w:pPr>
          </w:p>
        </w:tc>
        <w:tc>
          <w:tcPr>
            <w:tcW w:w="446" w:type="pct"/>
            <w:vMerge w:val="continue"/>
            <w:tcBorders>
              <w:right w:val="single" w:color="auto" w:sz="4" w:space="0"/>
            </w:tcBorders>
            <w:shd w:val="clear" w:color="auto" w:fill="FFFFFF"/>
          </w:tcPr>
          <w:p w14:paraId="27932F14">
            <w:pPr>
              <w:snapToGrid w:val="0"/>
              <w:jc w:val="center"/>
              <w:rPr>
                <w:rFonts w:hint="eastAsia" w:ascii="宋体" w:hAnsi="宋体" w:cs="宋体"/>
                <w:color w:val="auto"/>
                <w:sz w:val="20"/>
                <w:szCs w:val="20"/>
                <w:highlight w:val="none"/>
              </w:rPr>
            </w:pPr>
          </w:p>
        </w:tc>
        <w:tc>
          <w:tcPr>
            <w:tcW w:w="650" w:type="pct"/>
            <w:gridSpan w:val="2"/>
            <w:vMerge w:val="continue"/>
            <w:tcBorders>
              <w:left w:val="single" w:color="auto" w:sz="4" w:space="0"/>
            </w:tcBorders>
            <w:shd w:val="clear" w:color="auto" w:fill="FFFFFF"/>
          </w:tcPr>
          <w:p w14:paraId="3D638AC7">
            <w:pPr>
              <w:snapToGrid w:val="0"/>
              <w:jc w:val="center"/>
              <w:rPr>
                <w:rFonts w:hint="eastAsia" w:ascii="宋体" w:hAnsi="宋体" w:cs="宋体"/>
                <w:color w:val="auto"/>
                <w:sz w:val="20"/>
                <w:szCs w:val="20"/>
                <w:highlight w:val="none"/>
              </w:rPr>
            </w:pPr>
          </w:p>
        </w:tc>
      </w:tr>
      <w:tr w14:paraId="0450F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8" w:hRule="atLeast"/>
        </w:trPr>
        <w:tc>
          <w:tcPr>
            <w:tcW w:w="146" w:type="pct"/>
            <w:vMerge w:val="continue"/>
            <w:shd w:val="clear" w:color="auto" w:fill="FFFFFF"/>
            <w:vAlign w:val="center"/>
          </w:tcPr>
          <w:p w14:paraId="2D93ABBC">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4D5AC81B">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483D9FA1">
            <w:pPr>
              <w:snapToGrid w:val="0"/>
              <w:rPr>
                <w:rFonts w:ascii="宋体" w:hAnsi="宋体" w:cs="宋体"/>
                <w:color w:val="auto"/>
                <w:sz w:val="20"/>
                <w:szCs w:val="20"/>
                <w:highlight w:val="none"/>
              </w:rPr>
            </w:pPr>
            <w:r>
              <w:rPr>
                <w:rFonts w:hint="eastAsia" w:ascii="宋体" w:hAnsi="宋体" w:cs="宋体"/>
                <w:color w:val="auto"/>
                <w:sz w:val="20"/>
                <w:szCs w:val="20"/>
                <w:highlight w:val="none"/>
              </w:rPr>
              <w:t>11.考试会场及大型活动服务</w:t>
            </w:r>
          </w:p>
        </w:tc>
        <w:tc>
          <w:tcPr>
            <w:tcW w:w="970" w:type="pct"/>
            <w:gridSpan w:val="3"/>
            <w:shd w:val="clear" w:color="auto" w:fill="FFFFFF"/>
            <w:vAlign w:val="center"/>
          </w:tcPr>
          <w:p w14:paraId="69244C97">
            <w:pPr>
              <w:snapToGrid w:val="0"/>
              <w:jc w:val="center"/>
              <w:rPr>
                <w:rFonts w:hint="eastAsia" w:ascii="宋体" w:hAnsi="宋体" w:cs="宋体"/>
                <w:color w:val="auto"/>
                <w:sz w:val="20"/>
                <w:szCs w:val="20"/>
                <w:highlight w:val="none"/>
              </w:rPr>
            </w:pPr>
          </w:p>
        </w:tc>
        <w:tc>
          <w:tcPr>
            <w:tcW w:w="1047" w:type="pct"/>
            <w:gridSpan w:val="3"/>
            <w:shd w:val="clear" w:color="auto" w:fill="FFFFFF"/>
            <w:vAlign w:val="center"/>
          </w:tcPr>
          <w:p w14:paraId="4883E436">
            <w:pPr>
              <w:snapToGrid w:val="0"/>
              <w:jc w:val="center"/>
              <w:rPr>
                <w:rFonts w:hint="eastAsia" w:ascii="宋体" w:hAnsi="宋体" w:cs="宋体"/>
                <w:color w:val="auto"/>
                <w:sz w:val="20"/>
                <w:szCs w:val="20"/>
                <w:highlight w:val="none"/>
              </w:rPr>
            </w:pPr>
          </w:p>
        </w:tc>
        <w:tc>
          <w:tcPr>
            <w:tcW w:w="1102" w:type="pct"/>
            <w:gridSpan w:val="3"/>
            <w:tcBorders>
              <w:right w:val="single" w:color="auto" w:sz="4" w:space="0"/>
            </w:tcBorders>
            <w:shd w:val="clear" w:color="auto" w:fill="FFFFFF"/>
            <w:vAlign w:val="center"/>
          </w:tcPr>
          <w:p w14:paraId="776DA2A3">
            <w:pPr>
              <w:snapToGrid w:val="0"/>
              <w:jc w:val="center"/>
              <w:rPr>
                <w:rFonts w:hint="eastAsia" w:ascii="宋体" w:hAnsi="宋体" w:cs="宋体"/>
                <w:color w:val="auto"/>
                <w:sz w:val="20"/>
                <w:szCs w:val="20"/>
                <w:highlight w:val="none"/>
              </w:rPr>
            </w:pPr>
          </w:p>
        </w:tc>
        <w:tc>
          <w:tcPr>
            <w:tcW w:w="446" w:type="pct"/>
            <w:tcBorders>
              <w:right w:val="single" w:color="auto" w:sz="4" w:space="0"/>
            </w:tcBorders>
            <w:shd w:val="clear" w:color="auto" w:fill="FFFFFF"/>
          </w:tcPr>
          <w:p w14:paraId="5518F2B3">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100000</w:t>
            </w:r>
          </w:p>
        </w:tc>
        <w:tc>
          <w:tcPr>
            <w:tcW w:w="650" w:type="pct"/>
            <w:gridSpan w:val="2"/>
            <w:vMerge w:val="continue"/>
            <w:tcBorders>
              <w:left w:val="single" w:color="auto" w:sz="4" w:space="0"/>
            </w:tcBorders>
            <w:shd w:val="clear" w:color="auto" w:fill="FFFFFF"/>
          </w:tcPr>
          <w:p w14:paraId="22B63433">
            <w:pPr>
              <w:snapToGrid w:val="0"/>
              <w:jc w:val="center"/>
              <w:rPr>
                <w:rFonts w:hint="eastAsia" w:ascii="宋体" w:hAnsi="宋体" w:cs="宋体"/>
                <w:color w:val="auto"/>
                <w:sz w:val="20"/>
                <w:szCs w:val="20"/>
                <w:highlight w:val="none"/>
              </w:rPr>
            </w:pPr>
          </w:p>
        </w:tc>
      </w:tr>
      <w:tr w14:paraId="53620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146" w:type="pct"/>
            <w:vMerge w:val="continue"/>
            <w:shd w:val="clear" w:color="auto" w:fill="FFFFFF"/>
            <w:vAlign w:val="center"/>
          </w:tcPr>
          <w:p w14:paraId="269107A4">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594020A2">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59800EDF">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合计金额</w:t>
            </w:r>
          </w:p>
        </w:tc>
        <w:tc>
          <w:tcPr>
            <w:tcW w:w="970" w:type="pct"/>
            <w:gridSpan w:val="3"/>
            <w:shd w:val="clear" w:color="auto" w:fill="FFFFFF"/>
            <w:vAlign w:val="center"/>
          </w:tcPr>
          <w:p w14:paraId="546775CA">
            <w:pPr>
              <w:snapToGrid w:val="0"/>
              <w:jc w:val="left"/>
              <w:rPr>
                <w:rFonts w:hint="eastAsia" w:ascii="宋体" w:hAnsi="宋体" w:cs="宋体"/>
                <w:color w:val="auto"/>
                <w:spacing w:val="-20"/>
                <w:sz w:val="20"/>
                <w:szCs w:val="20"/>
                <w:highlight w:val="none"/>
              </w:rPr>
            </w:pPr>
            <w:r>
              <w:rPr>
                <w:rFonts w:hint="eastAsia" w:ascii="宋体" w:hAnsi="宋体" w:cs="宋体"/>
                <w:bCs/>
                <w:color w:val="auto"/>
                <w:sz w:val="20"/>
                <w:szCs w:val="20"/>
                <w:highlight w:val="none"/>
              </w:rPr>
              <w:t>小写：</w:t>
            </w:r>
          </w:p>
        </w:tc>
        <w:tc>
          <w:tcPr>
            <w:tcW w:w="1047" w:type="pct"/>
            <w:gridSpan w:val="3"/>
            <w:shd w:val="clear" w:color="auto" w:fill="FFFFFF"/>
            <w:vAlign w:val="center"/>
          </w:tcPr>
          <w:p w14:paraId="791831CF">
            <w:pPr>
              <w:snapToGrid w:val="0"/>
              <w:jc w:val="left"/>
              <w:rPr>
                <w:rFonts w:hint="eastAsia" w:ascii="宋体" w:hAnsi="宋体" w:cs="宋体"/>
                <w:color w:val="auto"/>
                <w:spacing w:val="-20"/>
                <w:sz w:val="20"/>
                <w:szCs w:val="20"/>
                <w:highlight w:val="none"/>
              </w:rPr>
            </w:pPr>
            <w:r>
              <w:rPr>
                <w:rFonts w:hint="eastAsia" w:ascii="宋体" w:hAnsi="宋体" w:cs="宋体"/>
                <w:bCs/>
                <w:color w:val="auto"/>
                <w:sz w:val="20"/>
                <w:szCs w:val="20"/>
                <w:highlight w:val="none"/>
              </w:rPr>
              <w:t>小写：</w:t>
            </w:r>
          </w:p>
        </w:tc>
        <w:tc>
          <w:tcPr>
            <w:tcW w:w="1102" w:type="pct"/>
            <w:gridSpan w:val="3"/>
            <w:shd w:val="clear" w:color="auto" w:fill="FFFFFF"/>
            <w:vAlign w:val="center"/>
          </w:tcPr>
          <w:p w14:paraId="6F2CB44D">
            <w:pPr>
              <w:snapToGrid w:val="0"/>
              <w:jc w:val="left"/>
              <w:rPr>
                <w:rFonts w:hint="eastAsia" w:ascii="宋体" w:hAnsi="宋体" w:cs="宋体"/>
                <w:color w:val="auto"/>
                <w:spacing w:val="-20"/>
                <w:sz w:val="20"/>
                <w:szCs w:val="20"/>
                <w:highlight w:val="none"/>
              </w:rPr>
            </w:pPr>
            <w:r>
              <w:rPr>
                <w:rFonts w:hint="eastAsia" w:ascii="宋体" w:hAnsi="宋体" w:cs="宋体"/>
                <w:bCs/>
                <w:color w:val="auto"/>
                <w:sz w:val="20"/>
                <w:szCs w:val="20"/>
                <w:highlight w:val="none"/>
              </w:rPr>
              <w:t>小写：</w:t>
            </w:r>
          </w:p>
        </w:tc>
        <w:tc>
          <w:tcPr>
            <w:tcW w:w="1096" w:type="pct"/>
            <w:gridSpan w:val="3"/>
            <w:shd w:val="clear" w:color="auto" w:fill="FFFFFF"/>
          </w:tcPr>
          <w:p w14:paraId="53F54A46">
            <w:pPr>
              <w:snapToGrid w:val="0"/>
              <w:jc w:val="center"/>
              <w:rPr>
                <w:rFonts w:hint="eastAsia" w:ascii="宋体" w:hAnsi="宋体" w:cs="宋体"/>
                <w:color w:val="auto"/>
                <w:spacing w:val="-20"/>
                <w:sz w:val="20"/>
                <w:szCs w:val="20"/>
                <w:highlight w:val="none"/>
              </w:rPr>
            </w:pPr>
            <w:r>
              <w:rPr>
                <w:rFonts w:hint="eastAsia" w:ascii="宋体" w:hAnsi="宋体" w:cs="宋体"/>
                <w:color w:val="auto"/>
                <w:spacing w:val="-20"/>
                <w:sz w:val="20"/>
                <w:szCs w:val="20"/>
                <w:highlight w:val="none"/>
              </w:rPr>
              <w:t>/</w:t>
            </w:r>
          </w:p>
        </w:tc>
      </w:tr>
      <w:tr w14:paraId="54754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5" w:hRule="atLeast"/>
        </w:trPr>
        <w:tc>
          <w:tcPr>
            <w:tcW w:w="146" w:type="pct"/>
            <w:vMerge w:val="continue"/>
            <w:shd w:val="clear" w:color="auto" w:fill="FFFFFF"/>
            <w:vAlign w:val="center"/>
          </w:tcPr>
          <w:p w14:paraId="095EC503">
            <w:pPr>
              <w:snapToGrid w:val="0"/>
              <w:jc w:val="center"/>
              <w:rPr>
                <w:rFonts w:hint="eastAsia" w:ascii="宋体" w:hAnsi="宋体" w:cs="宋体"/>
                <w:bCs/>
                <w:color w:val="auto"/>
                <w:sz w:val="20"/>
                <w:szCs w:val="20"/>
                <w:highlight w:val="none"/>
              </w:rPr>
            </w:pPr>
          </w:p>
        </w:tc>
        <w:tc>
          <w:tcPr>
            <w:tcW w:w="191" w:type="pct"/>
            <w:vMerge w:val="continue"/>
            <w:shd w:val="clear" w:color="auto" w:fill="FFFFFF"/>
            <w:vAlign w:val="center"/>
          </w:tcPr>
          <w:p w14:paraId="4FD076EC">
            <w:pPr>
              <w:snapToGrid w:val="0"/>
              <w:jc w:val="center"/>
              <w:rPr>
                <w:rFonts w:hint="eastAsia" w:ascii="宋体" w:hAnsi="宋体" w:cs="宋体"/>
                <w:color w:val="auto"/>
                <w:sz w:val="20"/>
                <w:szCs w:val="20"/>
                <w:highlight w:val="none"/>
              </w:rPr>
            </w:pPr>
          </w:p>
        </w:tc>
        <w:tc>
          <w:tcPr>
            <w:tcW w:w="444" w:type="pct"/>
            <w:shd w:val="clear" w:color="auto" w:fill="FFFFFF"/>
            <w:vAlign w:val="center"/>
          </w:tcPr>
          <w:p w14:paraId="7FE413D7">
            <w:pPr>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3年合计金额</w:t>
            </w:r>
          </w:p>
        </w:tc>
        <w:tc>
          <w:tcPr>
            <w:tcW w:w="3120" w:type="pct"/>
            <w:gridSpan w:val="9"/>
            <w:shd w:val="clear" w:color="auto" w:fill="FFFFFF"/>
            <w:vAlign w:val="center"/>
          </w:tcPr>
          <w:p w14:paraId="4ED62BB9">
            <w:pPr>
              <w:snapToGrid w:val="0"/>
              <w:jc w:val="left"/>
              <w:rPr>
                <w:rFonts w:hint="eastAsia" w:ascii="宋体" w:hAnsi="宋体" w:cs="宋体"/>
                <w:color w:val="auto"/>
                <w:spacing w:val="-20"/>
                <w:sz w:val="20"/>
                <w:szCs w:val="20"/>
                <w:highlight w:val="none"/>
              </w:rPr>
            </w:pPr>
            <w:r>
              <w:rPr>
                <w:rFonts w:hint="eastAsia" w:ascii="宋体" w:hAnsi="宋体" w:cs="宋体"/>
                <w:bCs/>
                <w:color w:val="auto"/>
                <w:sz w:val="20"/>
                <w:szCs w:val="20"/>
                <w:highlight w:val="none"/>
              </w:rPr>
              <w:t>小写：</w:t>
            </w:r>
          </w:p>
        </w:tc>
        <w:tc>
          <w:tcPr>
            <w:tcW w:w="1096" w:type="pct"/>
            <w:gridSpan w:val="3"/>
            <w:shd w:val="clear" w:color="auto" w:fill="FFFFFF"/>
          </w:tcPr>
          <w:p w14:paraId="76837011">
            <w:pPr>
              <w:snapToGrid w:val="0"/>
              <w:jc w:val="center"/>
              <w:rPr>
                <w:rFonts w:hint="eastAsia" w:ascii="宋体" w:hAnsi="宋体" w:eastAsia="宋体" w:cs="宋体"/>
                <w:color w:val="auto"/>
                <w:spacing w:val="-20"/>
                <w:sz w:val="20"/>
                <w:szCs w:val="20"/>
                <w:highlight w:val="none"/>
                <w:lang w:eastAsia="zh-CN"/>
              </w:rPr>
            </w:pPr>
            <w:r>
              <w:rPr>
                <w:rFonts w:hint="eastAsia" w:ascii="宋体" w:hAnsi="宋体" w:cs="宋体"/>
                <w:color w:val="auto"/>
                <w:spacing w:val="-20"/>
                <w:sz w:val="20"/>
                <w:szCs w:val="20"/>
                <w:highlight w:val="none"/>
              </w:rPr>
              <w:t>/</w:t>
            </w:r>
          </w:p>
        </w:tc>
      </w:tr>
      <w:tr w14:paraId="6FA28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1" w:hRule="atLeast"/>
        </w:trPr>
        <w:tc>
          <w:tcPr>
            <w:tcW w:w="782" w:type="pct"/>
            <w:gridSpan w:val="3"/>
            <w:vMerge w:val="restart"/>
            <w:shd w:val="clear" w:color="auto" w:fill="FFFFFF"/>
            <w:vAlign w:val="center"/>
          </w:tcPr>
          <w:p w14:paraId="2525CB1A">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本项目单年合计金额</w:t>
            </w:r>
          </w:p>
        </w:tc>
        <w:tc>
          <w:tcPr>
            <w:tcW w:w="970" w:type="pct"/>
            <w:gridSpan w:val="3"/>
            <w:tcBorders>
              <w:top w:val="single" w:color="auto" w:sz="4" w:space="0"/>
            </w:tcBorders>
            <w:shd w:val="clear" w:color="auto" w:fill="FFFFFF"/>
            <w:vAlign w:val="center"/>
          </w:tcPr>
          <w:p w14:paraId="7D8D95BB">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第一年</w:t>
            </w:r>
          </w:p>
        </w:tc>
        <w:tc>
          <w:tcPr>
            <w:tcW w:w="1047" w:type="pct"/>
            <w:gridSpan w:val="3"/>
            <w:shd w:val="clear" w:color="auto" w:fill="FFFFFF"/>
            <w:vAlign w:val="center"/>
          </w:tcPr>
          <w:p w14:paraId="244CC8FF">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第二年</w:t>
            </w:r>
          </w:p>
        </w:tc>
        <w:tc>
          <w:tcPr>
            <w:tcW w:w="1102" w:type="pct"/>
            <w:gridSpan w:val="3"/>
            <w:shd w:val="clear" w:color="auto" w:fill="FFFFFF"/>
            <w:vAlign w:val="center"/>
          </w:tcPr>
          <w:p w14:paraId="4E4C4A51">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第三年</w:t>
            </w:r>
          </w:p>
        </w:tc>
        <w:tc>
          <w:tcPr>
            <w:tcW w:w="1096" w:type="pct"/>
            <w:gridSpan w:val="3"/>
            <w:shd w:val="clear" w:color="auto" w:fill="FFFFFF"/>
            <w:vAlign w:val="center"/>
          </w:tcPr>
          <w:p w14:paraId="033E412E">
            <w:pPr>
              <w:snapToGrid w:val="0"/>
              <w:jc w:val="center"/>
              <w:rPr>
                <w:rFonts w:hint="eastAsia" w:ascii="宋体" w:hAnsi="宋体" w:cs="宋体"/>
                <w:bCs/>
                <w:color w:val="auto"/>
                <w:sz w:val="20"/>
                <w:szCs w:val="20"/>
                <w:highlight w:val="none"/>
              </w:rPr>
            </w:pPr>
            <w:r>
              <w:rPr>
                <w:rFonts w:hint="eastAsia" w:ascii="宋体" w:hAnsi="宋体" w:cs="宋体"/>
                <w:bCs/>
                <w:color w:val="auto"/>
                <w:sz w:val="20"/>
                <w:szCs w:val="20"/>
                <w:highlight w:val="none"/>
              </w:rPr>
              <w:t>备注</w:t>
            </w:r>
          </w:p>
        </w:tc>
      </w:tr>
      <w:tr w14:paraId="31A62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1" w:hRule="atLeast"/>
        </w:trPr>
        <w:tc>
          <w:tcPr>
            <w:tcW w:w="782" w:type="pct"/>
            <w:gridSpan w:val="3"/>
            <w:vMerge w:val="continue"/>
            <w:shd w:val="clear" w:color="auto" w:fill="FFFFFF"/>
            <w:vAlign w:val="center"/>
          </w:tcPr>
          <w:p w14:paraId="50CDF0C1">
            <w:pPr>
              <w:snapToGrid w:val="0"/>
              <w:jc w:val="center"/>
              <w:rPr>
                <w:rFonts w:hint="eastAsia" w:ascii="宋体" w:hAnsi="宋体" w:cs="宋体"/>
                <w:bCs/>
                <w:color w:val="auto"/>
                <w:sz w:val="20"/>
                <w:szCs w:val="20"/>
                <w:highlight w:val="none"/>
              </w:rPr>
            </w:pPr>
          </w:p>
        </w:tc>
        <w:tc>
          <w:tcPr>
            <w:tcW w:w="970" w:type="pct"/>
            <w:gridSpan w:val="3"/>
            <w:tcBorders>
              <w:top w:val="single" w:color="auto" w:sz="4" w:space="0"/>
            </w:tcBorders>
            <w:shd w:val="clear" w:color="auto" w:fill="FFFFFF"/>
            <w:vAlign w:val="center"/>
          </w:tcPr>
          <w:p w14:paraId="6E6383D9">
            <w:pPr>
              <w:snapToGrid w:val="0"/>
              <w:jc w:val="left"/>
              <w:rPr>
                <w:rFonts w:hint="eastAsia" w:ascii="宋体" w:hAnsi="宋体" w:cs="宋体"/>
                <w:bCs/>
                <w:color w:val="auto"/>
                <w:sz w:val="20"/>
                <w:szCs w:val="20"/>
                <w:highlight w:val="none"/>
              </w:rPr>
            </w:pPr>
            <w:r>
              <w:rPr>
                <w:rFonts w:hint="eastAsia" w:ascii="宋体" w:hAnsi="宋体" w:cs="宋体"/>
                <w:bCs/>
                <w:color w:val="auto"/>
                <w:sz w:val="20"/>
                <w:szCs w:val="20"/>
                <w:highlight w:val="none"/>
              </w:rPr>
              <w:t>小写：</w:t>
            </w:r>
          </w:p>
          <w:p w14:paraId="37C3E598">
            <w:pPr>
              <w:snapToGrid w:val="0"/>
              <w:jc w:val="left"/>
              <w:rPr>
                <w:rFonts w:hint="eastAsia" w:ascii="宋体" w:hAnsi="宋体" w:cs="宋体"/>
                <w:bCs/>
                <w:color w:val="auto"/>
                <w:sz w:val="20"/>
                <w:szCs w:val="20"/>
                <w:highlight w:val="none"/>
              </w:rPr>
            </w:pPr>
          </w:p>
        </w:tc>
        <w:tc>
          <w:tcPr>
            <w:tcW w:w="1047" w:type="pct"/>
            <w:gridSpan w:val="3"/>
            <w:shd w:val="clear" w:color="auto" w:fill="FFFFFF"/>
            <w:vAlign w:val="center"/>
          </w:tcPr>
          <w:p w14:paraId="67BB7009">
            <w:pPr>
              <w:snapToGrid w:val="0"/>
              <w:jc w:val="left"/>
              <w:rPr>
                <w:rFonts w:hint="eastAsia" w:ascii="宋体" w:hAnsi="宋体" w:cs="宋体"/>
                <w:bCs/>
                <w:color w:val="auto"/>
                <w:sz w:val="20"/>
                <w:szCs w:val="20"/>
                <w:highlight w:val="none"/>
              </w:rPr>
            </w:pPr>
            <w:r>
              <w:rPr>
                <w:rFonts w:hint="eastAsia" w:ascii="宋体" w:hAnsi="宋体" w:cs="宋体"/>
                <w:bCs/>
                <w:color w:val="auto"/>
                <w:sz w:val="20"/>
                <w:szCs w:val="20"/>
                <w:highlight w:val="none"/>
              </w:rPr>
              <w:t>小写：</w:t>
            </w:r>
          </w:p>
          <w:p w14:paraId="352A9445">
            <w:pPr>
              <w:snapToGrid w:val="0"/>
              <w:jc w:val="left"/>
              <w:rPr>
                <w:rFonts w:hint="eastAsia" w:ascii="宋体" w:hAnsi="宋体" w:cs="宋体"/>
                <w:bCs/>
                <w:color w:val="auto"/>
                <w:sz w:val="20"/>
                <w:szCs w:val="20"/>
                <w:highlight w:val="none"/>
              </w:rPr>
            </w:pPr>
          </w:p>
        </w:tc>
        <w:tc>
          <w:tcPr>
            <w:tcW w:w="1102" w:type="pct"/>
            <w:gridSpan w:val="3"/>
            <w:shd w:val="clear" w:color="auto" w:fill="FFFFFF"/>
            <w:vAlign w:val="center"/>
          </w:tcPr>
          <w:p w14:paraId="4765083D">
            <w:pPr>
              <w:snapToGrid w:val="0"/>
              <w:jc w:val="left"/>
              <w:rPr>
                <w:rFonts w:hint="eastAsia" w:ascii="宋体" w:hAnsi="宋体" w:cs="宋体"/>
                <w:bCs/>
                <w:color w:val="auto"/>
                <w:sz w:val="20"/>
                <w:szCs w:val="20"/>
                <w:highlight w:val="none"/>
              </w:rPr>
            </w:pPr>
            <w:r>
              <w:rPr>
                <w:rFonts w:hint="eastAsia" w:ascii="宋体" w:hAnsi="宋体" w:cs="宋体"/>
                <w:bCs/>
                <w:color w:val="auto"/>
                <w:sz w:val="20"/>
                <w:szCs w:val="20"/>
                <w:highlight w:val="none"/>
              </w:rPr>
              <w:t>小写：</w:t>
            </w:r>
          </w:p>
          <w:p w14:paraId="6D7FB0BF">
            <w:pPr>
              <w:snapToGrid w:val="0"/>
              <w:jc w:val="left"/>
              <w:rPr>
                <w:rFonts w:hint="eastAsia" w:ascii="宋体" w:hAnsi="宋体" w:cs="宋体"/>
                <w:bCs/>
                <w:color w:val="auto"/>
                <w:sz w:val="20"/>
                <w:szCs w:val="20"/>
                <w:highlight w:val="none"/>
              </w:rPr>
            </w:pPr>
          </w:p>
        </w:tc>
        <w:tc>
          <w:tcPr>
            <w:tcW w:w="1096" w:type="pct"/>
            <w:gridSpan w:val="3"/>
            <w:shd w:val="clear" w:color="auto" w:fill="FFFFFF"/>
          </w:tcPr>
          <w:p w14:paraId="4EEB3F89">
            <w:pPr>
              <w:snapToGrid w:val="0"/>
              <w:jc w:val="left"/>
              <w:rPr>
                <w:rFonts w:hint="eastAsia" w:ascii="宋体" w:hAnsi="宋体" w:cs="宋体"/>
                <w:bCs/>
                <w:color w:val="auto"/>
                <w:sz w:val="20"/>
                <w:szCs w:val="20"/>
                <w:highlight w:val="none"/>
              </w:rPr>
            </w:pPr>
          </w:p>
        </w:tc>
      </w:tr>
      <w:tr w14:paraId="2C053F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trPr>
        <w:tc>
          <w:tcPr>
            <w:tcW w:w="5000" w:type="pct"/>
            <w:gridSpan w:val="15"/>
            <w:vAlign w:val="center"/>
          </w:tcPr>
          <w:p w14:paraId="0FED4684">
            <w:pPr>
              <w:snapToGrid w:val="0"/>
              <w:jc w:val="left"/>
              <w:rPr>
                <w:rFonts w:hint="eastAsia" w:ascii="宋体" w:hAnsi="宋体" w:cs="宋体"/>
                <w:bCs/>
                <w:color w:val="auto"/>
                <w:sz w:val="20"/>
                <w:szCs w:val="20"/>
                <w:highlight w:val="none"/>
              </w:rPr>
            </w:pPr>
            <w:r>
              <w:rPr>
                <w:rFonts w:hint="eastAsia" w:ascii="宋体" w:hAnsi="宋体" w:cs="宋体"/>
                <w:bCs/>
                <w:color w:val="auto"/>
                <w:sz w:val="20"/>
                <w:szCs w:val="20"/>
                <w:highlight w:val="none"/>
              </w:rPr>
              <w:t xml:space="preserve">本项目3年合计总价小写：      </w:t>
            </w:r>
          </w:p>
          <w:p w14:paraId="1B93455C">
            <w:pPr>
              <w:snapToGrid w:val="0"/>
              <w:jc w:val="left"/>
              <w:rPr>
                <w:rFonts w:hint="eastAsia" w:ascii="宋体" w:hAnsi="宋体" w:cs="宋体"/>
                <w:bCs/>
                <w:color w:val="auto"/>
                <w:sz w:val="20"/>
                <w:szCs w:val="20"/>
                <w:highlight w:val="none"/>
              </w:rPr>
            </w:pPr>
            <w:r>
              <w:rPr>
                <w:rFonts w:hint="eastAsia" w:ascii="宋体" w:hAnsi="宋体" w:cs="宋体"/>
                <w:bCs/>
                <w:color w:val="auto"/>
                <w:sz w:val="20"/>
                <w:szCs w:val="20"/>
                <w:highlight w:val="none"/>
              </w:rPr>
              <w:t xml:space="preserve">           大写：</w:t>
            </w:r>
          </w:p>
        </w:tc>
      </w:tr>
      <w:tr w14:paraId="627DE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trPr>
        <w:tc>
          <w:tcPr>
            <w:tcW w:w="5000" w:type="pct"/>
            <w:gridSpan w:val="15"/>
            <w:vAlign w:val="center"/>
          </w:tcPr>
          <w:p w14:paraId="4357F547">
            <w:pPr>
              <w:snapToGrid w:val="0"/>
              <w:jc w:val="left"/>
              <w:rPr>
                <w:rFonts w:hint="eastAsia" w:ascii="宋体" w:hAnsi="宋体" w:cs="宋体"/>
                <w:b/>
                <w:color w:val="auto"/>
                <w:sz w:val="20"/>
                <w:szCs w:val="20"/>
                <w:highlight w:val="none"/>
              </w:rPr>
            </w:pPr>
            <w:r>
              <w:rPr>
                <w:rFonts w:hint="eastAsia" w:ascii="宋体" w:hAnsi="宋体" w:cs="宋体"/>
                <w:b/>
                <w:color w:val="auto"/>
                <w:sz w:val="20"/>
                <w:szCs w:val="20"/>
                <w:highlight w:val="none"/>
              </w:rPr>
              <w:t>说明：</w:t>
            </w:r>
          </w:p>
          <w:p w14:paraId="53A9C1BF">
            <w:pPr>
              <w:snapToGrid w:val="0"/>
              <w:jc w:val="left"/>
              <w:rPr>
                <w:rFonts w:hint="eastAsia" w:ascii="宋体" w:hAnsi="宋体" w:cs="宋体"/>
                <w:color w:val="auto"/>
                <w:sz w:val="20"/>
                <w:szCs w:val="20"/>
                <w:highlight w:val="none"/>
              </w:rPr>
            </w:pPr>
            <w:r>
              <w:rPr>
                <w:rFonts w:hint="eastAsia" w:ascii="宋体" w:hAnsi="宋体" w:cs="宋体"/>
                <w:b/>
                <w:color w:val="auto"/>
                <w:sz w:val="20"/>
                <w:szCs w:val="20"/>
                <w:highlight w:val="none"/>
              </w:rPr>
              <w:t>▲</w:t>
            </w:r>
            <w:r>
              <w:rPr>
                <w:rFonts w:hint="eastAsia" w:ascii="宋体" w:hAnsi="宋体" w:cs="宋体"/>
                <w:b/>
                <w:color w:val="auto"/>
                <w:sz w:val="20"/>
                <w:szCs w:val="20"/>
                <w:highlight w:val="none"/>
                <w:u w:val="single"/>
              </w:rPr>
              <w:t>序号1人员费用：各投标人需根据招标文件采购需求关于物业管理人员配备要求中每年所设定的人员数量进行填写，合计报价只作为本项目报价评审因素，最终支付根据实际人数据实结算。</w:t>
            </w:r>
          </w:p>
          <w:p w14:paraId="6F40FEE9">
            <w:pPr>
              <w:spacing w:line="460" w:lineRule="exact"/>
              <w:rPr>
                <w:rFonts w:hint="eastAsia" w:ascii="宋体" w:hAnsi="宋体" w:cs="宋体"/>
                <w:color w:val="auto"/>
                <w:sz w:val="20"/>
                <w:szCs w:val="20"/>
                <w:highlight w:val="none"/>
              </w:rPr>
            </w:pPr>
            <w:r>
              <w:rPr>
                <w:rFonts w:hint="eastAsia" w:ascii="宋体" w:hAnsi="宋体" w:cs="宋体"/>
                <w:b/>
                <w:color w:val="auto"/>
                <w:sz w:val="20"/>
                <w:szCs w:val="20"/>
                <w:highlight w:val="none"/>
                <w:u w:val="single"/>
              </w:rPr>
              <w:t>▲序号2其他专项服务合计预算金额90万/年：序号6-10合计预算14万/年，其他对应内容均有对应预算金额（投标人报价不得超对应预算金额，详见上方表格对应预算金额），以上费用投标人自行报价，校方将不再额外支付相关费用。</w:t>
            </w:r>
          </w:p>
          <w:p w14:paraId="229B7E99">
            <w:pPr>
              <w:pStyle w:val="3"/>
              <w:rPr>
                <w:rFonts w:hint="eastAsia" w:ascii="宋体" w:hAnsi="宋体" w:cs="宋体"/>
                <w:color w:val="auto"/>
                <w:sz w:val="20"/>
                <w:szCs w:val="20"/>
                <w:highlight w:val="none"/>
              </w:rPr>
            </w:pPr>
          </w:p>
        </w:tc>
      </w:tr>
    </w:tbl>
    <w:p w14:paraId="2A278F13">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注：1、“报价明细表”内“总报价”应与附件1“开标一览表”中对应的“投标报价”相一致。</w:t>
      </w:r>
    </w:p>
    <w:p w14:paraId="42A0BD08">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2、如果含在费用价格中则填“含”，如无此项内容则填“无”，不留空白。此表投标人可根据实际需求自行编制。</w:t>
      </w:r>
    </w:p>
    <w:p w14:paraId="673EE9EA">
      <w:pPr>
        <w:spacing w:line="360" w:lineRule="exact"/>
        <w:rPr>
          <w:rFonts w:ascii="宋体" w:hAnsi="宋体" w:cs="宋体"/>
          <w:bCs/>
          <w:color w:val="auto"/>
          <w:sz w:val="22"/>
          <w:highlight w:val="none"/>
          <w:u w:val="single"/>
        </w:rPr>
      </w:pPr>
      <w:r>
        <w:rPr>
          <w:rFonts w:hint="eastAsia" w:ascii="宋体" w:hAnsi="宋体" w:cs="宋体"/>
          <w:b/>
          <w:bCs/>
          <w:color w:val="auto"/>
          <w:sz w:val="22"/>
          <w:highlight w:val="none"/>
        </w:rPr>
        <w:t>3、</w:t>
      </w:r>
      <w:r>
        <w:rPr>
          <w:rFonts w:hint="eastAsia" w:ascii="宋体" w:hAnsi="宋体" w:cs="宋体"/>
          <w:bCs/>
          <w:color w:val="auto"/>
          <w:sz w:val="22"/>
          <w:highlight w:val="none"/>
          <w:u w:val="single"/>
        </w:rPr>
        <w:t>▲不提供此表格将被视为没有实质性响应招标文件，其投标将被否决。</w:t>
      </w:r>
    </w:p>
    <w:p w14:paraId="3723DCF3">
      <w:pPr>
        <w:spacing w:line="360" w:lineRule="exact"/>
        <w:rPr>
          <w:rFonts w:ascii="宋体" w:hAnsi="宋体" w:cs="宋体"/>
          <w:color w:val="auto"/>
          <w:spacing w:val="-6"/>
          <w:sz w:val="22"/>
          <w:highlight w:val="none"/>
        </w:rPr>
      </w:pPr>
      <w:r>
        <w:rPr>
          <w:rFonts w:hint="eastAsia" w:ascii="宋体" w:hAnsi="宋体" w:cs="宋体"/>
          <w:color w:val="auto"/>
          <w:sz w:val="22"/>
          <w:highlight w:val="none"/>
        </w:rPr>
        <w:t>4、</w:t>
      </w:r>
      <w:r>
        <w:rPr>
          <w:rFonts w:hint="eastAsia" w:ascii="宋体" w:hAnsi="宋体" w:cs="宋体"/>
          <w:color w:val="auto"/>
          <w:spacing w:val="-6"/>
          <w:sz w:val="22"/>
          <w:highlight w:val="none"/>
        </w:rPr>
        <w:t>客户端填写的报价与以pdf格式上传文件中的报价不一致的，应以Pdf格式上传文件中的报价为准。</w:t>
      </w:r>
    </w:p>
    <w:p w14:paraId="679EAAD7">
      <w:pPr>
        <w:spacing w:line="360" w:lineRule="exact"/>
        <w:rPr>
          <w:rFonts w:ascii="宋体" w:hAnsi="宋体" w:cs="宋体"/>
          <w:color w:val="auto"/>
          <w:sz w:val="22"/>
          <w:highlight w:val="none"/>
        </w:rPr>
      </w:pPr>
      <w:r>
        <w:rPr>
          <w:rFonts w:hint="eastAsia" w:ascii="宋体" w:hAnsi="宋体" w:cs="宋体"/>
          <w:color w:val="auto"/>
          <w:sz w:val="22"/>
          <w:highlight w:val="none"/>
        </w:rPr>
        <w:t>5、在中标或者成交公告的内容中增加本表，请各投标人认真填写，确保报价数据的真实性、完整性和合理性。</w:t>
      </w:r>
    </w:p>
    <w:p w14:paraId="5AA26839">
      <w:pPr>
        <w:spacing w:line="360" w:lineRule="exact"/>
        <w:rPr>
          <w:rFonts w:ascii="宋体" w:hAnsi="宋体" w:cs="宋体"/>
          <w:color w:val="auto"/>
          <w:sz w:val="22"/>
          <w:highlight w:val="none"/>
        </w:rPr>
      </w:pPr>
      <w:r>
        <w:rPr>
          <w:rFonts w:hint="eastAsia" w:ascii="宋体" w:hAnsi="宋体" w:cs="宋体"/>
          <w:color w:val="auto"/>
          <w:sz w:val="22"/>
          <w:highlight w:val="none"/>
        </w:rPr>
        <w:t>6、本表仅供参考，各投标人可根据投标方案自行编制报价明细表。</w:t>
      </w:r>
    </w:p>
    <w:p w14:paraId="63CB760C">
      <w:pPr>
        <w:spacing w:line="400" w:lineRule="exact"/>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kern w:val="0"/>
          <w:sz w:val="22"/>
          <w:highlight w:val="none"/>
          <w:u w:val="none"/>
        </w:rPr>
        <w:t>投标人报价低于项目预算50%（含）的，未在报价文件中详细阐述不影响产品质量或者诚信履约的具体原因的（包括项目具体成本测算与报价合理性相关的说明、材料等）或阐述了具体原因但评审小组认为不能证明其报价合理性的；应当将其作为无效投标处理。评审现场，评审小组认为投标人的报价明显低于其他通过符合性审查投标人的报价，有可能影响产品质量或者不能诚信履约的，应当要求其在评标现场规定的时间内提供书面说明及必要的相关证明材料（书面说明及证明材料主要是项目具体成本测算与报价合理性相关的说明、材料等），对投标价格作出解释。投标人不提供“书面说明及证明材料”或者提供的“书面说明及证明材料”不能证明其报价合理性的，应当将其作为无效投标处理（</w:t>
      </w:r>
      <w:r>
        <w:rPr>
          <w:rFonts w:hint="eastAsia" w:ascii="宋体" w:hAnsi="宋体" w:cs="宋体"/>
          <w:color w:val="auto"/>
          <w:sz w:val="22"/>
          <w:highlight w:val="none"/>
          <w:u w:val="none"/>
        </w:rPr>
        <w:t>人员的薪资不低于当地规定的最新现行标准，若经测算发现投标人的报价低于该标准，则其投标作无效标处理。</w:t>
      </w:r>
      <w:r>
        <w:rPr>
          <w:rFonts w:hint="eastAsia" w:ascii="宋体" w:hAnsi="宋体" w:cs="宋体"/>
          <w:color w:val="auto"/>
          <w:kern w:val="0"/>
          <w:sz w:val="22"/>
          <w:highlight w:val="none"/>
          <w:u w:val="none"/>
        </w:rPr>
        <w:t>）</w:t>
      </w:r>
    </w:p>
    <w:p w14:paraId="3FF40ABD">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356DCC2">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3C60B8E7">
      <w:pPr>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303D63A7">
      <w:pPr>
        <w:spacing w:line="400" w:lineRule="exact"/>
        <w:rPr>
          <w:rFonts w:ascii="宋体" w:hAnsi="宋体" w:cs="宋体"/>
          <w:color w:val="auto"/>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附件3</w:t>
      </w:r>
    </w:p>
    <w:p w14:paraId="7266C693">
      <w:pPr>
        <w:pStyle w:val="26"/>
        <w:spacing w:before="0" w:beforeAutospacing="0" w:after="0" w:afterAutospacing="0" w:line="400" w:lineRule="exact"/>
        <w:jc w:val="center"/>
        <w:rPr>
          <w:b/>
          <w:bCs/>
          <w:color w:val="auto"/>
          <w:sz w:val="28"/>
          <w:szCs w:val="28"/>
          <w:highlight w:val="none"/>
          <w:shd w:val="clear" w:color="auto" w:fill="FFFFFF"/>
        </w:rPr>
      </w:pPr>
    </w:p>
    <w:p w14:paraId="6A29C959">
      <w:pPr>
        <w:pStyle w:val="26"/>
        <w:spacing w:before="0" w:beforeAutospacing="0" w:after="0" w:afterAutospacing="0" w:line="400" w:lineRule="exact"/>
        <w:jc w:val="center"/>
        <w:rPr>
          <w:b/>
          <w:bCs/>
          <w:color w:val="auto"/>
          <w:sz w:val="28"/>
          <w:szCs w:val="28"/>
          <w:highlight w:val="none"/>
          <w:shd w:val="clear" w:color="auto" w:fill="FFFFFF"/>
        </w:rPr>
      </w:pPr>
      <w:r>
        <w:rPr>
          <w:rFonts w:hint="eastAsia"/>
          <w:b/>
          <w:bCs/>
          <w:color w:val="auto"/>
          <w:sz w:val="28"/>
          <w:szCs w:val="28"/>
          <w:highlight w:val="none"/>
          <w:shd w:val="clear" w:color="auto" w:fill="FFFFFF"/>
        </w:rPr>
        <w:t>中小企业声明函（服务）</w:t>
      </w:r>
    </w:p>
    <w:p w14:paraId="38EBB416">
      <w:pPr>
        <w:pStyle w:val="26"/>
        <w:spacing w:before="0" w:beforeAutospacing="0" w:after="0" w:afterAutospacing="0" w:line="400" w:lineRule="exact"/>
        <w:jc w:val="center"/>
        <w:rPr>
          <w:color w:val="auto"/>
          <w:sz w:val="28"/>
          <w:szCs w:val="28"/>
          <w:highlight w:val="none"/>
          <w:shd w:val="clear" w:color="auto" w:fill="FFFFFF"/>
        </w:rPr>
      </w:pPr>
    </w:p>
    <w:p w14:paraId="4A58469E">
      <w:pPr>
        <w:pStyle w:val="64"/>
        <w:spacing w:line="381" w:lineRule="exact"/>
        <w:ind w:firstLine="480"/>
        <w:rPr>
          <w:color w:val="auto"/>
          <w:sz w:val="24"/>
          <w:szCs w:val="24"/>
          <w:highlight w:val="none"/>
          <w:lang w:eastAsia="zh-CN"/>
        </w:rPr>
      </w:pPr>
      <w:r>
        <w:rPr>
          <w:rFonts w:hint="eastAsia"/>
          <w:color w:val="auto"/>
          <w:sz w:val="24"/>
          <w:szCs w:val="24"/>
          <w:highlight w:val="none"/>
          <w:lang w:eastAsia="zh-CN"/>
        </w:rPr>
        <w:t>本公司（联合体）郑重声明，根据《政府采购促进中小企业发展管理办法》（财库（2020）46号）的规定，本公司（联合体）参加</w:t>
      </w:r>
      <w:r>
        <w:rPr>
          <w:rFonts w:hint="eastAsia"/>
          <w:color w:val="auto"/>
          <w:sz w:val="24"/>
          <w:szCs w:val="24"/>
          <w:highlight w:val="none"/>
          <w:u w:val="single"/>
          <w:lang w:val="en-US" w:eastAsia="zh-CN"/>
        </w:rPr>
        <w:t>温州肯恩大学</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单</w:t>
      </w:r>
      <w:r>
        <w:rPr>
          <w:rFonts w:hint="eastAsia"/>
          <w:color w:val="auto"/>
          <w:sz w:val="24"/>
          <w:szCs w:val="24"/>
          <w:highlight w:val="none"/>
          <w:u w:val="single"/>
          <w:lang w:eastAsia="zh-CN"/>
        </w:rPr>
        <w:t>位名称）</w:t>
      </w:r>
      <w:r>
        <w:rPr>
          <w:rFonts w:hint="eastAsia"/>
          <w:color w:val="auto"/>
          <w:sz w:val="24"/>
          <w:szCs w:val="24"/>
          <w:highlight w:val="none"/>
          <w:lang w:eastAsia="zh-CN"/>
        </w:rPr>
        <w:t>的</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温州肯恩大学2025年到2028年校园物业服务采购 </w:t>
      </w:r>
      <w:r>
        <w:rPr>
          <w:rFonts w:hint="eastAsia"/>
          <w:color w:val="auto"/>
          <w:sz w:val="24"/>
          <w:szCs w:val="24"/>
          <w:highlight w:val="none"/>
          <w:u w:val="single"/>
          <w:lang w:eastAsia="zh-CN"/>
        </w:rPr>
        <w:t>（项目名称）</w:t>
      </w:r>
      <w:r>
        <w:rPr>
          <w:rFonts w:hint="eastAsia"/>
          <w:color w:val="auto"/>
          <w:sz w:val="24"/>
          <w:szCs w:val="24"/>
          <w:highlight w:val="none"/>
          <w:lang w:eastAsia="zh-CN"/>
        </w:rPr>
        <w:t>采购</w:t>
      </w:r>
      <w:r>
        <w:rPr>
          <w:rFonts w:hint="eastAsia"/>
          <w:color w:val="auto"/>
          <w:sz w:val="24"/>
          <w:szCs w:val="24"/>
          <w:highlight w:val="none"/>
          <w:lang w:val="zh-CN" w:eastAsia="zh-CN" w:bidi="zh-CN"/>
        </w:rPr>
        <w:t>活动，</w:t>
      </w:r>
      <w:r>
        <w:rPr>
          <w:rFonts w:hint="eastAsia"/>
          <w:color w:val="auto"/>
          <w:sz w:val="24"/>
          <w:szCs w:val="24"/>
          <w:highlight w:val="none"/>
          <w:lang w:eastAsia="zh-CN"/>
        </w:rPr>
        <w:t>服务全部由符合政策要求的中小企业承接。相关企业（</w:t>
      </w:r>
      <w:r>
        <w:rPr>
          <w:color w:val="auto"/>
          <w:sz w:val="24"/>
          <w:szCs w:val="24"/>
          <w:highlight w:val="none"/>
          <w:lang w:eastAsia="zh-CN"/>
        </w:rPr>
        <w:t>含联合体中的中小企业、签订分包意向协议的中小企业</w:t>
      </w:r>
      <w:r>
        <w:rPr>
          <w:rFonts w:hint="eastAsia"/>
          <w:color w:val="auto"/>
          <w:sz w:val="24"/>
          <w:szCs w:val="24"/>
          <w:highlight w:val="none"/>
          <w:lang w:eastAsia="zh-CN"/>
        </w:rPr>
        <w:t>）的具体情况如下：</w:t>
      </w:r>
    </w:p>
    <w:p w14:paraId="3BAEAF77">
      <w:pPr>
        <w:pStyle w:val="64"/>
        <w:numPr>
          <w:ilvl w:val="0"/>
          <w:numId w:val="5"/>
        </w:numPr>
        <w:tabs>
          <w:tab w:val="left" w:pos="879"/>
        </w:tabs>
        <w:spacing w:line="381" w:lineRule="exact"/>
        <w:ind w:firstLine="480"/>
        <w:rPr>
          <w:color w:val="auto"/>
          <w:sz w:val="24"/>
          <w:szCs w:val="24"/>
          <w:highlight w:val="none"/>
          <w:lang w:eastAsia="zh-CN"/>
        </w:rPr>
      </w:pPr>
      <w:r>
        <w:rPr>
          <w:rFonts w:hint="eastAsia"/>
          <w:color w:val="auto"/>
          <w:sz w:val="24"/>
          <w:szCs w:val="24"/>
          <w:highlight w:val="none"/>
          <w:u w:val="single"/>
          <w:lang w:val="en-US" w:eastAsia="zh-CN"/>
        </w:rPr>
        <w:t xml:space="preserve">温州肯恩大学2025年到2028年校园物业服务采购 </w:t>
      </w:r>
      <w:r>
        <w:rPr>
          <w:rFonts w:hint="eastAsia"/>
          <w:color w:val="auto"/>
          <w:sz w:val="24"/>
          <w:szCs w:val="24"/>
          <w:highlight w:val="none"/>
          <w:u w:val="single"/>
          <w:lang w:eastAsia="zh-CN"/>
        </w:rPr>
        <w:t>（标的名称）</w:t>
      </w:r>
      <w:r>
        <w:rPr>
          <w:rFonts w:hint="eastAsia"/>
          <w:color w:val="auto"/>
          <w:sz w:val="24"/>
          <w:szCs w:val="24"/>
          <w:highlight w:val="none"/>
          <w:lang w:eastAsia="zh-CN"/>
        </w:rPr>
        <w:t>,属于</w:t>
      </w:r>
      <w:r>
        <w:rPr>
          <w:rFonts w:hint="eastAsia"/>
          <w:b/>
          <w:bCs/>
          <w:color w:val="auto"/>
          <w:highlight w:val="none"/>
          <w:u w:val="single"/>
          <w:lang w:eastAsia="zh-CN"/>
        </w:rPr>
        <w:t>物业管理</w:t>
      </w:r>
      <w:r>
        <w:rPr>
          <w:rFonts w:hint="eastAsia"/>
          <w:color w:val="auto"/>
          <w:sz w:val="24"/>
          <w:szCs w:val="24"/>
          <w:highlight w:val="none"/>
          <w:u w:val="single"/>
          <w:lang w:eastAsia="zh-CN"/>
        </w:rPr>
        <w:t>（招标文件中明确的所属行业）</w:t>
      </w:r>
      <w:r>
        <w:rPr>
          <w:rFonts w:hint="eastAsia"/>
          <w:color w:val="auto"/>
          <w:sz w:val="24"/>
          <w:szCs w:val="24"/>
          <w:highlight w:val="none"/>
          <w:lang w:val="en-US" w:eastAsia="zh-CN" w:bidi="en-US"/>
        </w:rPr>
        <w:t>；</w:t>
      </w:r>
      <w:r>
        <w:rPr>
          <w:rFonts w:hint="eastAsia"/>
          <w:color w:val="auto"/>
          <w:sz w:val="24"/>
          <w:szCs w:val="24"/>
          <w:highlight w:val="none"/>
          <w:lang w:eastAsia="zh-CN"/>
        </w:rPr>
        <w:t>承建（承接）企业为</w:t>
      </w:r>
      <w:r>
        <w:rPr>
          <w:rFonts w:hint="eastAsia"/>
          <w:color w:val="auto"/>
          <w:sz w:val="24"/>
          <w:szCs w:val="24"/>
          <w:highlight w:val="none"/>
          <w:u w:val="single"/>
          <w:lang w:eastAsia="zh-CN"/>
        </w:rPr>
        <w:t xml:space="preserve">           （企业名称）</w:t>
      </w:r>
      <w:r>
        <w:rPr>
          <w:rFonts w:hint="eastAsia"/>
          <w:i/>
          <w:iCs/>
          <w:color w:val="auto"/>
          <w:sz w:val="24"/>
          <w:szCs w:val="24"/>
          <w:highlight w:val="none"/>
          <w:lang w:eastAsia="zh-CN"/>
        </w:rPr>
        <w:t>,</w:t>
      </w:r>
      <w:r>
        <w:rPr>
          <w:rFonts w:hint="eastAsia"/>
          <w:color w:val="auto"/>
          <w:sz w:val="24"/>
          <w:szCs w:val="24"/>
          <w:highlight w:val="none"/>
          <w:lang w:eastAsia="zh-CN"/>
        </w:rPr>
        <w:t>从业人员</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 xml:space="preserve">          </w:t>
      </w:r>
      <w:r>
        <w:rPr>
          <w:rFonts w:hint="eastAsia"/>
          <w:color w:val="auto"/>
          <w:sz w:val="24"/>
          <w:szCs w:val="24"/>
          <w:highlight w:val="none"/>
          <w:lang w:eastAsia="zh-CN"/>
        </w:rPr>
        <w:t>人，营业收入为</w:t>
      </w:r>
      <w:r>
        <w:rPr>
          <w:rFonts w:hint="eastAsia"/>
          <w:color w:val="auto"/>
          <w:sz w:val="24"/>
          <w:szCs w:val="24"/>
          <w:highlight w:val="none"/>
          <w:u w:val="single"/>
          <w:lang w:eastAsia="zh-CN"/>
        </w:rPr>
        <w:t xml:space="preserve">           </w:t>
      </w:r>
      <w:r>
        <w:rPr>
          <w:rFonts w:hint="eastAsia"/>
          <w:color w:val="auto"/>
          <w:sz w:val="24"/>
          <w:szCs w:val="24"/>
          <w:highlight w:val="none"/>
          <w:lang w:eastAsia="zh-CN"/>
        </w:rPr>
        <w:t>万元，资产总额为</w:t>
      </w:r>
      <w:r>
        <w:rPr>
          <w:rFonts w:hint="eastAsia"/>
          <w:color w:val="auto"/>
          <w:sz w:val="24"/>
          <w:szCs w:val="24"/>
          <w:highlight w:val="none"/>
          <w:u w:val="single"/>
          <w:lang w:eastAsia="zh-CN"/>
        </w:rPr>
        <w:t xml:space="preserve">           </w:t>
      </w:r>
      <w:r>
        <w:rPr>
          <w:rFonts w:hint="eastAsia"/>
          <w:color w:val="auto"/>
          <w:sz w:val="24"/>
          <w:szCs w:val="24"/>
          <w:highlight w:val="none"/>
          <w:lang w:eastAsia="zh-CN"/>
        </w:rPr>
        <w:t>万元</w:t>
      </w:r>
      <w:r>
        <w:rPr>
          <w:rStyle w:val="37"/>
          <w:rFonts w:hint="eastAsia" w:cs="宋体"/>
          <w:color w:val="auto"/>
          <w:sz w:val="24"/>
          <w:szCs w:val="24"/>
          <w:highlight w:val="none"/>
        </w:rPr>
        <w:footnoteReference w:id="0"/>
      </w:r>
      <w:r>
        <w:rPr>
          <w:rFonts w:hint="eastAsia"/>
          <w:color w:val="auto"/>
          <w:sz w:val="24"/>
          <w:szCs w:val="24"/>
          <w:highlight w:val="none"/>
          <w:lang w:val="en-US" w:eastAsia="zh-CN" w:bidi="en-US"/>
        </w:rPr>
        <w:t>，</w:t>
      </w:r>
      <w:r>
        <w:rPr>
          <w:rFonts w:hint="eastAsia"/>
          <w:color w:val="auto"/>
          <w:sz w:val="24"/>
          <w:szCs w:val="24"/>
          <w:highlight w:val="none"/>
          <w:lang w:eastAsia="zh-CN"/>
        </w:rPr>
        <w:t>属于</w:t>
      </w:r>
      <w:r>
        <w:rPr>
          <w:rFonts w:hint="eastAsia"/>
          <w:color w:val="auto"/>
          <w:sz w:val="24"/>
          <w:szCs w:val="24"/>
          <w:highlight w:val="none"/>
          <w:u w:val="single"/>
          <w:lang w:eastAsia="zh-CN"/>
        </w:rPr>
        <w:t xml:space="preserve">           （中型企业、 小型企业、微型企业）</w:t>
      </w:r>
      <w:r>
        <w:rPr>
          <w:rFonts w:hint="eastAsia"/>
          <w:color w:val="auto"/>
          <w:sz w:val="24"/>
          <w:szCs w:val="24"/>
          <w:highlight w:val="none"/>
          <w:lang w:eastAsia="zh-CN"/>
        </w:rPr>
        <w:t>；</w:t>
      </w:r>
    </w:p>
    <w:p w14:paraId="0BE6FA0D">
      <w:pPr>
        <w:pStyle w:val="64"/>
        <w:tabs>
          <w:tab w:val="left" w:pos="879"/>
          <w:tab w:val="left" w:pos="1136"/>
          <w:tab w:val="left" w:pos="3461"/>
        </w:tabs>
        <w:spacing w:line="381" w:lineRule="exact"/>
        <w:ind w:left="480" w:firstLine="0"/>
        <w:rPr>
          <w:color w:val="auto"/>
          <w:sz w:val="24"/>
          <w:szCs w:val="24"/>
          <w:highlight w:val="none"/>
          <w:lang w:val="en-US" w:eastAsia="zh-CN"/>
        </w:rPr>
      </w:pPr>
      <w:r>
        <w:rPr>
          <w:rFonts w:hint="eastAsia"/>
          <w:color w:val="auto"/>
          <w:sz w:val="24"/>
          <w:szCs w:val="24"/>
          <w:highlight w:val="none"/>
          <w:lang w:val="en-US" w:eastAsia="zh-CN"/>
        </w:rPr>
        <w:t>……</w:t>
      </w:r>
    </w:p>
    <w:p w14:paraId="3EAD369A">
      <w:pPr>
        <w:pStyle w:val="64"/>
        <w:tabs>
          <w:tab w:val="left" w:leader="dot" w:pos="-4890"/>
        </w:tabs>
        <w:spacing w:line="374" w:lineRule="exact"/>
        <w:rPr>
          <w:color w:val="auto"/>
          <w:sz w:val="24"/>
          <w:szCs w:val="24"/>
          <w:highlight w:val="none"/>
          <w:lang w:eastAsia="zh-CN"/>
        </w:rPr>
      </w:pPr>
      <w:r>
        <w:rPr>
          <w:rFonts w:hint="eastAsia"/>
          <w:color w:val="auto"/>
          <w:sz w:val="24"/>
          <w:szCs w:val="24"/>
          <w:highlight w:val="none"/>
          <w:lang w:eastAsia="zh-CN"/>
        </w:rPr>
        <w:t>以上企业，不属于大企业的分支机构，不存在控股股东为大企业的情形，也不存在与大企业的负责人为同一人的情形。</w:t>
      </w:r>
    </w:p>
    <w:p w14:paraId="49C289FF">
      <w:pPr>
        <w:pStyle w:val="64"/>
        <w:spacing w:line="374" w:lineRule="exact"/>
        <w:ind w:firstLine="480"/>
        <w:rPr>
          <w:color w:val="auto"/>
          <w:sz w:val="24"/>
          <w:szCs w:val="24"/>
          <w:highlight w:val="none"/>
          <w:lang w:eastAsia="zh-CN"/>
        </w:rPr>
      </w:pPr>
      <w:r>
        <w:rPr>
          <w:rFonts w:hint="eastAsia"/>
          <w:color w:val="auto"/>
          <w:sz w:val="24"/>
          <w:szCs w:val="24"/>
          <w:highlight w:val="none"/>
          <w:lang w:eastAsia="zh-CN"/>
        </w:rPr>
        <w:t>本企业对上述声明内容的真实性负责。如有虚假，将依法承担相应责任。</w:t>
      </w:r>
    </w:p>
    <w:p w14:paraId="5402E54B">
      <w:pPr>
        <w:pStyle w:val="64"/>
        <w:spacing w:line="374" w:lineRule="exact"/>
        <w:ind w:firstLine="0"/>
        <w:jc w:val="center"/>
        <w:rPr>
          <w:color w:val="auto"/>
          <w:sz w:val="24"/>
          <w:szCs w:val="24"/>
          <w:highlight w:val="none"/>
          <w:lang w:eastAsia="zh-CN"/>
        </w:rPr>
      </w:pPr>
    </w:p>
    <w:p w14:paraId="5EB31B12">
      <w:pPr>
        <w:pStyle w:val="64"/>
        <w:spacing w:line="374" w:lineRule="exact"/>
        <w:ind w:firstLine="0"/>
        <w:jc w:val="center"/>
        <w:rPr>
          <w:color w:val="auto"/>
          <w:sz w:val="24"/>
          <w:szCs w:val="24"/>
          <w:highlight w:val="none"/>
          <w:lang w:eastAsia="zh-CN"/>
        </w:rPr>
      </w:pPr>
    </w:p>
    <w:p w14:paraId="7899E48F">
      <w:pPr>
        <w:pStyle w:val="64"/>
        <w:spacing w:line="374" w:lineRule="exact"/>
        <w:ind w:firstLine="0"/>
        <w:jc w:val="center"/>
        <w:rPr>
          <w:color w:val="auto"/>
          <w:sz w:val="24"/>
          <w:szCs w:val="24"/>
          <w:highlight w:val="none"/>
          <w:lang w:eastAsia="zh-CN"/>
        </w:rPr>
      </w:pPr>
      <w:r>
        <w:rPr>
          <w:rFonts w:hint="eastAsia"/>
          <w:color w:val="auto"/>
          <w:sz w:val="24"/>
          <w:szCs w:val="24"/>
          <w:highlight w:val="none"/>
          <w:lang w:eastAsia="zh-CN"/>
        </w:rPr>
        <w:t>企业名称（电子签章或公章）：</w:t>
      </w:r>
    </w:p>
    <w:p w14:paraId="0077E30A">
      <w:pPr>
        <w:pStyle w:val="64"/>
        <w:spacing w:line="374" w:lineRule="exact"/>
        <w:ind w:firstLine="0"/>
        <w:jc w:val="center"/>
        <w:rPr>
          <w:color w:val="auto"/>
          <w:sz w:val="24"/>
          <w:szCs w:val="24"/>
          <w:highlight w:val="none"/>
          <w:lang w:eastAsia="zh-CN"/>
        </w:rPr>
      </w:pPr>
      <w:r>
        <w:rPr>
          <w:rFonts w:hint="eastAsia"/>
          <w:color w:val="auto"/>
          <w:sz w:val="24"/>
          <w:szCs w:val="24"/>
          <w:highlight w:val="none"/>
          <w:lang w:eastAsia="zh-CN"/>
        </w:rPr>
        <w:t>日期：</w:t>
      </w:r>
    </w:p>
    <w:p w14:paraId="0C2F156B">
      <w:pPr>
        <w:pStyle w:val="64"/>
        <w:tabs>
          <w:tab w:val="left" w:pos="662"/>
          <w:tab w:val="left" w:pos="908"/>
          <w:tab w:val="left" w:pos="2945"/>
        </w:tabs>
        <w:spacing w:line="370" w:lineRule="exact"/>
        <w:ind w:firstLine="442" w:firstLineChars="200"/>
        <w:rPr>
          <w:b/>
          <w:bCs/>
          <w:color w:val="auto"/>
          <w:highlight w:val="none"/>
          <w:lang w:eastAsia="zh-CN"/>
        </w:rPr>
      </w:pPr>
    </w:p>
    <w:p w14:paraId="41D57B99">
      <w:pPr>
        <w:pStyle w:val="64"/>
        <w:tabs>
          <w:tab w:val="left" w:pos="662"/>
          <w:tab w:val="left" w:pos="908"/>
          <w:tab w:val="left" w:pos="2945"/>
        </w:tabs>
        <w:spacing w:line="370" w:lineRule="exact"/>
        <w:ind w:firstLine="0"/>
        <w:rPr>
          <w:b/>
          <w:bCs/>
          <w:color w:val="auto"/>
          <w:highlight w:val="none"/>
          <w:lang w:eastAsia="zh-CN"/>
        </w:rPr>
      </w:pPr>
      <w:r>
        <w:rPr>
          <w:rFonts w:hint="eastAsia"/>
          <w:b/>
          <w:bCs/>
          <w:color w:val="auto"/>
          <w:highlight w:val="none"/>
          <w:lang w:eastAsia="zh-CN"/>
        </w:rPr>
        <w:t>注：</w:t>
      </w:r>
      <w:r>
        <w:rPr>
          <w:rFonts w:hint="eastAsia"/>
          <w:b/>
          <w:bCs/>
          <w:color w:val="auto"/>
          <w:highlight w:val="none"/>
          <w:lang w:val="en-US" w:eastAsia="zh-CN"/>
        </w:rPr>
        <w:t>1.</w:t>
      </w:r>
      <w:r>
        <w:rPr>
          <w:rFonts w:hint="eastAsia"/>
          <w:b/>
          <w:bCs/>
          <w:color w:val="auto"/>
          <w:highlight w:val="none"/>
          <w:lang w:eastAsia="zh-CN"/>
        </w:rPr>
        <w:t>从业人员、营业收入、资产总额填报上一年度数据，无上一年度数据的新成立企业可不填报。（无上一年度数据的新成立企业需提供相关证明材料）</w:t>
      </w:r>
    </w:p>
    <w:p w14:paraId="44DB43DD">
      <w:pPr>
        <w:pStyle w:val="64"/>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2.</w:t>
      </w:r>
      <w:r>
        <w:rPr>
          <w:rFonts w:hint="eastAsia"/>
          <w:b/>
          <w:bCs/>
          <w:color w:val="auto"/>
          <w:highlight w:val="none"/>
          <w:lang w:eastAsia="zh-CN"/>
        </w:rPr>
        <w:t>“标的名称”、“招标文件中明确的所属行业”依据招标文件第二部分供应商须知前附表中“采购标的名</w:t>
      </w:r>
      <w:r>
        <w:rPr>
          <w:rFonts w:hint="eastAsia"/>
          <w:b/>
          <w:bCs/>
          <w:color w:val="auto"/>
          <w:highlight w:val="none"/>
          <w:lang w:val="en-US" w:eastAsia="zh-CN"/>
        </w:rPr>
        <w:t>称</w:t>
      </w:r>
      <w:r>
        <w:rPr>
          <w:rFonts w:hint="eastAsia"/>
          <w:b/>
          <w:bCs/>
          <w:color w:val="auto"/>
          <w:highlight w:val="none"/>
          <w:lang w:eastAsia="zh-CN"/>
        </w:rPr>
        <w:t>及其对应的中小企业划</w:t>
      </w:r>
      <w:r>
        <w:rPr>
          <w:rFonts w:hint="eastAsia"/>
          <w:b/>
          <w:bCs/>
          <w:color w:val="auto"/>
          <w:highlight w:val="none"/>
          <w:lang w:val="en-US" w:eastAsia="zh-CN"/>
        </w:rPr>
        <w:t>分</w:t>
      </w:r>
      <w:r>
        <w:rPr>
          <w:rFonts w:hint="eastAsia"/>
          <w:b/>
          <w:bCs/>
          <w:color w:val="auto"/>
          <w:highlight w:val="none"/>
          <w:lang w:eastAsia="zh-CN"/>
        </w:rPr>
        <w:t>标准所属行业”填写，不得缺漏；中型企业、小型企业、微型企业等3种企业类型，结合以上数据，依据《中小企业划型标准规定》（工信部联企业〔2011〕300号）确定；</w:t>
      </w:r>
    </w:p>
    <w:p w14:paraId="435AB9E4">
      <w:pPr>
        <w:pStyle w:val="64"/>
        <w:tabs>
          <w:tab w:val="left" w:pos="662"/>
          <w:tab w:val="left" w:pos="908"/>
          <w:tab w:val="left" w:pos="2945"/>
        </w:tabs>
        <w:spacing w:line="370" w:lineRule="exact"/>
        <w:ind w:firstLine="442" w:firstLineChars="200"/>
        <w:rPr>
          <w:b/>
          <w:bCs/>
          <w:color w:val="auto"/>
          <w:highlight w:val="none"/>
          <w:lang w:val="en-US" w:eastAsia="zh-CN"/>
        </w:rPr>
      </w:pPr>
      <w:r>
        <w:rPr>
          <w:rFonts w:hint="eastAsia"/>
          <w:b/>
          <w:bCs/>
          <w:color w:val="auto"/>
          <w:highlight w:val="none"/>
          <w:lang w:val="en-US" w:eastAsia="zh-CN"/>
        </w:rPr>
        <w:t>3.</w:t>
      </w:r>
      <w:r>
        <w:rPr>
          <w:rFonts w:hint="eastAsia"/>
          <w:b/>
          <w:bCs/>
          <w:color w:val="auto"/>
          <w:highlight w:val="none"/>
          <w:lang w:eastAsia="zh-CN"/>
        </w:rPr>
        <w:t>供应商提供的《中小企业声明函》与实际情况不符的或者未按以上要求填写的，中小企业声明函无效，不享受中小企业扶持政策。声明内容不实的，属于提供虚假材料谋取中标、成交的，依法承担法律责任。</w:t>
      </w:r>
    </w:p>
    <w:p w14:paraId="12C51959">
      <w:pPr>
        <w:pStyle w:val="64"/>
        <w:tabs>
          <w:tab w:val="left" w:pos="662"/>
          <w:tab w:val="left" w:pos="908"/>
          <w:tab w:val="left" w:pos="2945"/>
        </w:tabs>
        <w:spacing w:line="370" w:lineRule="exact"/>
        <w:ind w:firstLine="442" w:firstLineChars="200"/>
        <w:rPr>
          <w:b/>
          <w:color w:val="auto"/>
          <w:sz w:val="24"/>
          <w:szCs w:val="24"/>
          <w:highlight w:val="none"/>
          <w:lang w:eastAsia="zh-CN"/>
        </w:rPr>
      </w:pPr>
      <w:r>
        <w:rPr>
          <w:rFonts w:hint="eastAsia"/>
          <w:b/>
          <w:bCs/>
          <w:color w:val="auto"/>
          <w:highlight w:val="none"/>
          <w:lang w:val="en-US" w:eastAsia="zh-CN"/>
        </w:rPr>
        <w:t>4.</w:t>
      </w:r>
      <w:r>
        <w:rPr>
          <w:rFonts w:hint="eastAsia"/>
          <w:b/>
          <w:bCs/>
          <w:color w:val="auto"/>
          <w:highlight w:val="none"/>
          <w:lang w:eastAsia="zh-CN"/>
        </w:rPr>
        <w:t>中标、中标人享受《政府采购促进中小企业发展管理办法》的通知（财库〔2020〕46号）规定的中小企业扶持政策的，采购人、采购代理机构应当随中标、成交结果公开中标、中标人的《中小企业声明函》。</w:t>
      </w:r>
    </w:p>
    <w:p w14:paraId="37195850">
      <w:pPr>
        <w:pStyle w:val="64"/>
        <w:tabs>
          <w:tab w:val="left" w:pos="662"/>
          <w:tab w:val="left" w:pos="908"/>
          <w:tab w:val="left" w:pos="2945"/>
        </w:tabs>
        <w:spacing w:line="370" w:lineRule="exact"/>
        <w:ind w:firstLine="442" w:firstLineChars="200"/>
        <w:rPr>
          <w:b/>
          <w:bCs/>
          <w:color w:val="auto"/>
          <w:kern w:val="0"/>
          <w:highlight w:val="none"/>
          <w:lang w:eastAsia="zh-CN"/>
        </w:rPr>
      </w:pPr>
      <w:r>
        <w:rPr>
          <w:rFonts w:hint="eastAsia"/>
          <w:b/>
          <w:bCs/>
          <w:color w:val="auto"/>
          <w:highlight w:val="none"/>
          <w:lang w:val="en-US" w:eastAsia="zh-CN"/>
        </w:rPr>
        <w:t>5.</w:t>
      </w:r>
      <w:r>
        <w:rPr>
          <w:rFonts w:hint="eastAsia"/>
          <w:b/>
          <w:bCs/>
          <w:color w:val="auto"/>
          <w:kern w:val="0"/>
          <w:highlight w:val="none"/>
          <w:lang w:val="en-US" w:eastAsia="zh-CN"/>
        </w:rPr>
        <w:t>供应商</w:t>
      </w:r>
      <w:r>
        <w:rPr>
          <w:rFonts w:hint="eastAsia"/>
          <w:b/>
          <w:bCs/>
          <w:color w:val="auto"/>
          <w:kern w:val="0"/>
          <w:highlight w:val="none"/>
          <w:lang w:eastAsia="zh-CN"/>
        </w:rPr>
        <w:t>为联合体形式的，企业名称填写所有联合体成员名称，盖章可只需联合体牵头方盖章。</w:t>
      </w:r>
    </w:p>
    <w:p w14:paraId="67E9364A">
      <w:pPr>
        <w:pStyle w:val="13"/>
        <w:spacing w:after="0" w:line="400" w:lineRule="exact"/>
        <w:ind w:left="0" w:leftChars="0" w:right="0" w:rightChars="0"/>
        <w:rPr>
          <w:rFonts w:ascii="宋体" w:hAnsi="宋体" w:cs="宋体"/>
          <w:color w:val="auto"/>
          <w:highlight w:val="none"/>
        </w:rPr>
      </w:pPr>
    </w:p>
    <w:p w14:paraId="506D8F6B">
      <w:pPr>
        <w:pStyle w:val="13"/>
        <w:spacing w:after="0" w:line="400" w:lineRule="exact"/>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监狱企业资格证明材料</w:t>
      </w:r>
    </w:p>
    <w:p w14:paraId="69E50714">
      <w:pPr>
        <w:jc w:val="center"/>
        <w:rPr>
          <w:rFonts w:ascii="宋体" w:hAnsi="宋体" w:cs="宋体"/>
          <w:color w:val="auto"/>
          <w:sz w:val="24"/>
          <w:highlight w:val="none"/>
        </w:rPr>
      </w:pPr>
      <w:r>
        <w:rPr>
          <w:rFonts w:hint="eastAsia" w:ascii="宋体" w:hAnsi="宋体" w:cs="宋体"/>
          <w:color w:val="auto"/>
          <w:sz w:val="24"/>
          <w:highlight w:val="none"/>
        </w:rPr>
        <w:t>（注：符合条件的监狱企业请提供本函，不符合的不提供本函）</w:t>
      </w:r>
    </w:p>
    <w:p w14:paraId="14622855">
      <w:pPr>
        <w:pStyle w:val="13"/>
        <w:spacing w:after="0" w:line="400" w:lineRule="exact"/>
        <w:ind w:left="0" w:leftChars="0" w:right="0" w:rightChars="0"/>
        <w:jc w:val="center"/>
        <w:rPr>
          <w:rFonts w:ascii="宋体" w:hAnsi="宋体" w:cs="宋体"/>
          <w:b/>
          <w:bCs/>
          <w:color w:val="auto"/>
          <w:sz w:val="24"/>
          <w:highlight w:val="none"/>
        </w:rPr>
      </w:pPr>
    </w:p>
    <w:p w14:paraId="031FA40C">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（省级以上监狱管理局、戒毒管理局（含新疆生产建设兵团）出具的属于监狱企业的证明文件）</w:t>
      </w:r>
    </w:p>
    <w:p w14:paraId="480457A8">
      <w:pPr>
        <w:pStyle w:val="13"/>
        <w:spacing w:after="0" w:line="400" w:lineRule="exact"/>
        <w:ind w:left="0" w:leftChars="0" w:right="0" w:rightChars="0"/>
        <w:rPr>
          <w:rFonts w:ascii="宋体" w:hAnsi="宋体" w:cs="宋体"/>
          <w:color w:val="auto"/>
          <w:sz w:val="22"/>
          <w:highlight w:val="none"/>
        </w:rPr>
      </w:pPr>
    </w:p>
    <w:p w14:paraId="7AD5F9F6">
      <w:pPr>
        <w:pStyle w:val="13"/>
        <w:spacing w:after="0" w:line="400" w:lineRule="exact"/>
        <w:ind w:left="0" w:leftChars="0" w:right="0" w:rightChars="0"/>
        <w:rPr>
          <w:rFonts w:ascii="宋体" w:hAnsi="宋体" w:cs="宋体"/>
          <w:color w:val="auto"/>
          <w:sz w:val="22"/>
          <w:highlight w:val="none"/>
        </w:rPr>
      </w:pPr>
    </w:p>
    <w:p w14:paraId="6AA2A1B2">
      <w:pPr>
        <w:pStyle w:val="13"/>
        <w:spacing w:after="0" w:line="400" w:lineRule="exact"/>
        <w:ind w:left="0" w:leftChars="0" w:right="0" w:rightChars="0"/>
        <w:rPr>
          <w:rFonts w:ascii="宋体" w:hAnsi="宋体" w:cs="宋体"/>
          <w:color w:val="auto"/>
          <w:sz w:val="22"/>
          <w:highlight w:val="none"/>
        </w:rPr>
      </w:pPr>
    </w:p>
    <w:p w14:paraId="64B943F5">
      <w:pPr>
        <w:pStyle w:val="13"/>
        <w:spacing w:after="0" w:line="400" w:lineRule="exact"/>
        <w:ind w:left="0" w:leftChars="0" w:right="0" w:rightChars="0"/>
        <w:rPr>
          <w:rFonts w:ascii="宋体" w:hAnsi="宋体" w:cs="宋体"/>
          <w:color w:val="auto"/>
          <w:sz w:val="22"/>
          <w:highlight w:val="none"/>
        </w:rPr>
      </w:pPr>
    </w:p>
    <w:p w14:paraId="5FD9EF2C">
      <w:pPr>
        <w:pStyle w:val="13"/>
        <w:spacing w:after="0" w:line="400" w:lineRule="exact"/>
        <w:ind w:left="0" w:leftChars="0" w:right="0" w:rightChars="0"/>
        <w:rPr>
          <w:rFonts w:ascii="宋体" w:hAnsi="宋体" w:cs="宋体"/>
          <w:color w:val="auto"/>
          <w:highlight w:val="none"/>
        </w:rPr>
      </w:pPr>
    </w:p>
    <w:p w14:paraId="7016BBDC">
      <w:pPr>
        <w:pStyle w:val="13"/>
        <w:spacing w:after="0" w:line="400" w:lineRule="exact"/>
        <w:ind w:left="0" w:leftChars="0" w:right="0" w:rightChars="0"/>
        <w:rPr>
          <w:rFonts w:ascii="宋体" w:hAnsi="宋体" w:cs="宋体"/>
          <w:color w:val="auto"/>
          <w:highlight w:val="none"/>
        </w:rPr>
      </w:pPr>
    </w:p>
    <w:p w14:paraId="79BC38D5">
      <w:pPr>
        <w:jc w:val="center"/>
        <w:rPr>
          <w:rFonts w:ascii="宋体" w:hAnsi="宋体" w:cs="宋体"/>
          <w:b/>
          <w:bCs/>
          <w:color w:val="auto"/>
          <w:sz w:val="24"/>
          <w:highlight w:val="none"/>
        </w:rPr>
      </w:pPr>
      <w:r>
        <w:rPr>
          <w:rFonts w:hint="eastAsia" w:ascii="宋体" w:hAnsi="宋体" w:cs="宋体"/>
          <w:b/>
          <w:bCs/>
          <w:color w:val="auto"/>
          <w:sz w:val="24"/>
          <w:highlight w:val="none"/>
        </w:rPr>
        <w:t>残疾人福利性单位声明函</w:t>
      </w:r>
    </w:p>
    <w:p w14:paraId="06E3C375">
      <w:pPr>
        <w:jc w:val="center"/>
        <w:rPr>
          <w:rFonts w:ascii="宋体" w:hAnsi="宋体" w:cs="宋体"/>
          <w:color w:val="auto"/>
          <w:sz w:val="24"/>
          <w:highlight w:val="none"/>
        </w:rPr>
      </w:pPr>
      <w:r>
        <w:rPr>
          <w:rFonts w:hint="eastAsia" w:ascii="宋体" w:hAnsi="宋体" w:cs="宋体"/>
          <w:color w:val="auto"/>
          <w:sz w:val="24"/>
          <w:highlight w:val="none"/>
        </w:rPr>
        <w:t>（注：符合条件的残疾人福利性单位请提供本函，不符合的不提供本函）</w:t>
      </w:r>
    </w:p>
    <w:p w14:paraId="0B9225AF">
      <w:pPr>
        <w:spacing w:line="400" w:lineRule="exact"/>
        <w:jc w:val="center"/>
        <w:rPr>
          <w:rFonts w:ascii="宋体" w:hAnsi="宋体" w:cs="宋体"/>
          <w:b/>
          <w:bCs/>
          <w:color w:val="auto"/>
          <w:sz w:val="24"/>
          <w:highlight w:val="none"/>
        </w:rPr>
      </w:pPr>
    </w:p>
    <w:p w14:paraId="757D1F74">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s="宋体"/>
          <w:color w:val="auto"/>
          <w:sz w:val="24"/>
          <w:szCs w:val="24"/>
          <w:highlight w:val="none"/>
        </w:rPr>
        <w:t>〔2017〕 141</w:t>
      </w:r>
      <w:r>
        <w:rPr>
          <w:rFonts w:hint="eastAsia" w:ascii="宋体" w:hAnsi="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7AA9A2">
      <w:pPr>
        <w:spacing w:line="400" w:lineRule="exact"/>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本单位对上述声明的真实性负责。如有虚假，将依法承担相应责任。</w:t>
      </w:r>
    </w:p>
    <w:p w14:paraId="7F26210F">
      <w:pPr>
        <w:spacing w:line="400" w:lineRule="exact"/>
        <w:ind w:firstLine="504" w:firstLineChars="200"/>
        <w:rPr>
          <w:rFonts w:ascii="宋体" w:hAnsi="宋体" w:cs="宋体"/>
          <w:color w:val="auto"/>
          <w:spacing w:val="6"/>
          <w:sz w:val="24"/>
          <w:szCs w:val="24"/>
          <w:highlight w:val="none"/>
        </w:rPr>
      </w:pPr>
    </w:p>
    <w:p w14:paraId="01B9AC1A">
      <w:pPr>
        <w:tabs>
          <w:tab w:val="left" w:pos="4860"/>
        </w:tabs>
        <w:spacing w:line="400" w:lineRule="exact"/>
        <w:ind w:firstLine="504" w:firstLineChars="200"/>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单位名称（</w:t>
      </w:r>
      <w:r>
        <w:rPr>
          <w:rFonts w:hint="eastAsia" w:ascii="宋体" w:hAnsi="宋体" w:cs="宋体"/>
          <w:color w:val="auto"/>
          <w:sz w:val="24"/>
          <w:szCs w:val="24"/>
          <w:highlight w:val="none"/>
        </w:rPr>
        <w:t>电子签章或公章</w:t>
      </w:r>
      <w:r>
        <w:rPr>
          <w:rFonts w:hint="eastAsia" w:ascii="宋体" w:hAnsi="宋体" w:cs="宋体"/>
          <w:color w:val="auto"/>
          <w:spacing w:val="6"/>
          <w:sz w:val="24"/>
          <w:szCs w:val="24"/>
          <w:highlight w:val="none"/>
        </w:rPr>
        <w:t>）：</w:t>
      </w:r>
    </w:p>
    <w:p w14:paraId="111D0EBF">
      <w:pPr>
        <w:tabs>
          <w:tab w:val="left" w:pos="4860"/>
        </w:tabs>
        <w:spacing w:line="400" w:lineRule="exact"/>
        <w:ind w:firstLine="504" w:firstLineChars="200"/>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日        期：</w:t>
      </w:r>
    </w:p>
    <w:p w14:paraId="4E285B34">
      <w:pPr>
        <w:spacing w:line="400" w:lineRule="exact"/>
        <w:rPr>
          <w:rFonts w:ascii="宋体" w:hAnsi="宋体" w:cs="宋体"/>
          <w:b/>
          <w:color w:val="auto"/>
          <w:sz w:val="24"/>
          <w:szCs w:val="24"/>
          <w:highlight w:val="none"/>
        </w:rPr>
      </w:pPr>
    </w:p>
    <w:p w14:paraId="0FAA7A63">
      <w:pPr>
        <w:spacing w:line="400" w:lineRule="exact"/>
        <w:rPr>
          <w:rFonts w:ascii="宋体" w:hAnsi="宋体" w:cs="宋体"/>
          <w:color w:val="auto"/>
          <w:highlight w:val="none"/>
        </w:rPr>
      </w:pPr>
      <w:r>
        <w:rPr>
          <w:rFonts w:hint="eastAsia" w:ascii="宋体" w:hAnsi="宋体" w:cs="宋体"/>
          <w:b/>
          <w:bCs/>
          <w:color w:val="auto"/>
          <w:sz w:val="24"/>
          <w:highlight w:val="none"/>
        </w:rPr>
        <w:t>注：投标人不属于残疾人福利性单位的，无需提供此声明函，如提供所引起的后果由投标人承担。中标人为残疾人福利性单位的，采购代理机构将随中标结果同时公告其《残疾人福利性单位声明函》，接受社会监督。</w:t>
      </w:r>
    </w:p>
    <w:p w14:paraId="04E01D53">
      <w:pPr>
        <w:spacing w:line="400" w:lineRule="exact"/>
        <w:rPr>
          <w:rFonts w:ascii="宋体" w:hAnsi="宋体" w:cs="宋体"/>
          <w:b/>
          <w:color w:val="auto"/>
          <w:sz w:val="24"/>
          <w:szCs w:val="24"/>
          <w:highlight w:val="none"/>
        </w:rPr>
      </w:pPr>
    </w:p>
    <w:p w14:paraId="607BC46F">
      <w:pPr>
        <w:pStyle w:val="13"/>
        <w:ind w:left="1470" w:right="1470"/>
        <w:rPr>
          <w:rFonts w:ascii="宋体" w:hAnsi="宋体" w:cs="宋体"/>
          <w:color w:val="auto"/>
          <w:highlight w:val="none"/>
        </w:rPr>
      </w:pPr>
    </w:p>
    <w:p w14:paraId="2AA5C6EB">
      <w:pPr>
        <w:spacing w:before="120" w:after="50"/>
        <w:jc w:val="center"/>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二、资格文件部分封面格式</w:t>
      </w:r>
    </w:p>
    <w:p w14:paraId="7B8185B9">
      <w:pPr>
        <w:spacing w:before="120" w:after="50"/>
        <w:jc w:val="center"/>
        <w:rPr>
          <w:rFonts w:ascii="宋体" w:hAnsi="宋体" w:cs="宋体"/>
          <w:b/>
          <w:bCs/>
          <w:color w:val="auto"/>
          <w:sz w:val="24"/>
          <w:highlight w:val="none"/>
        </w:rPr>
      </w:pPr>
    </w:p>
    <w:p w14:paraId="71CC97D0">
      <w:pPr>
        <w:pStyle w:val="13"/>
        <w:ind w:left="0" w:leftChars="0" w:right="1470"/>
        <w:rPr>
          <w:rFonts w:ascii="宋体" w:hAnsi="宋体" w:cs="宋体"/>
          <w:b/>
          <w:color w:val="auto"/>
          <w:sz w:val="24"/>
          <w:szCs w:val="24"/>
          <w:highlight w:val="none"/>
        </w:rPr>
      </w:pPr>
    </w:p>
    <w:p w14:paraId="718ED888">
      <w:pPr>
        <w:spacing w:line="400" w:lineRule="exact"/>
        <w:jc w:val="center"/>
        <w:rPr>
          <w:rFonts w:ascii="宋体" w:hAnsi="宋体" w:cs="宋体"/>
          <w:b/>
          <w:bCs/>
          <w:color w:val="auto"/>
          <w:sz w:val="24"/>
          <w:szCs w:val="20"/>
          <w:highlight w:val="none"/>
        </w:rPr>
      </w:pPr>
    </w:p>
    <w:p w14:paraId="6039E585">
      <w:pPr>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 name="00006b"/>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9CF212">
                            <w:pPr>
                              <w:spacing w:before="120" w:after="50"/>
                              <w:jc w:val="right"/>
                              <w:rPr>
                                <w:rFonts w:ascii="宋体" w:hAnsi="宋体"/>
                                <w:b/>
                                <w:bCs/>
                                <w:sz w:val="32"/>
                                <w:szCs w:val="20"/>
                              </w:rPr>
                            </w:pPr>
                          </w:p>
                          <w:p w14:paraId="0B4D7836">
                            <w:pPr>
                              <w:spacing w:before="120" w:after="50"/>
                              <w:ind w:left="-850" w:leftChars="-405"/>
                              <w:rPr>
                                <w:rFonts w:ascii="宋体" w:hAnsi="宋体"/>
                                <w:sz w:val="24"/>
                                <w:szCs w:val="20"/>
                              </w:rPr>
                            </w:pPr>
                          </w:p>
                          <w:p w14:paraId="79BB41FD">
                            <w:pPr>
                              <w:spacing w:before="120" w:after="50"/>
                              <w:jc w:val="center"/>
                              <w:rPr>
                                <w:rFonts w:ascii="宋体" w:hAnsi="宋体"/>
                                <w:bCs/>
                                <w:sz w:val="24"/>
                                <w:szCs w:val="20"/>
                              </w:rPr>
                            </w:pPr>
                            <w:r>
                              <w:rPr>
                                <w:rFonts w:hint="eastAsia" w:ascii="宋体" w:hAnsi="宋体"/>
                                <w:bCs/>
                                <w:sz w:val="24"/>
                                <w:szCs w:val="20"/>
                              </w:rPr>
                              <w:t>资格文件</w:t>
                            </w:r>
                          </w:p>
                          <w:p w14:paraId="5382E8F0">
                            <w:pPr>
                              <w:spacing w:before="120" w:after="50"/>
                              <w:rPr>
                                <w:rFonts w:ascii="宋体" w:hAnsi="宋体"/>
                                <w:bCs/>
                                <w:sz w:val="24"/>
                                <w:szCs w:val="20"/>
                              </w:rPr>
                            </w:pPr>
                          </w:p>
                          <w:p w14:paraId="420531CD">
                            <w:pPr>
                              <w:spacing w:before="120" w:after="50"/>
                              <w:ind w:firstLine="1068" w:firstLineChars="445"/>
                              <w:rPr>
                                <w:rFonts w:ascii="宋体" w:hAnsi="宋体"/>
                                <w:bCs/>
                                <w:sz w:val="24"/>
                              </w:rPr>
                            </w:pPr>
                            <w:r>
                              <w:rPr>
                                <w:rFonts w:hint="eastAsia" w:ascii="宋体" w:hAnsi="宋体"/>
                                <w:bCs/>
                                <w:sz w:val="24"/>
                              </w:rPr>
                              <w:t>项目名称：</w:t>
                            </w:r>
                          </w:p>
                          <w:p w14:paraId="2136B629">
                            <w:pPr>
                              <w:spacing w:before="120" w:after="50"/>
                              <w:ind w:firstLine="1068" w:firstLineChars="445"/>
                              <w:rPr>
                                <w:rFonts w:ascii="宋体" w:hAnsi="宋体"/>
                                <w:bCs/>
                                <w:sz w:val="24"/>
                              </w:rPr>
                            </w:pPr>
                            <w:r>
                              <w:rPr>
                                <w:rFonts w:hint="eastAsia" w:ascii="宋体" w:hAnsi="宋体"/>
                                <w:bCs/>
                                <w:sz w:val="24"/>
                              </w:rPr>
                              <w:t>项目编号：</w:t>
                            </w:r>
                          </w:p>
                          <w:p w14:paraId="1533F016">
                            <w:pPr>
                              <w:spacing w:before="12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0AE5593">
                            <w:pPr>
                              <w:spacing w:before="120" w:after="50"/>
                              <w:ind w:firstLine="1068" w:firstLineChars="445"/>
                              <w:rPr>
                                <w:rFonts w:ascii="宋体" w:hAnsi="宋体"/>
                                <w:bCs/>
                                <w:sz w:val="24"/>
                              </w:rPr>
                            </w:pPr>
                            <w:r>
                              <w:rPr>
                                <w:rFonts w:hint="eastAsia" w:ascii="宋体" w:hAnsi="宋体"/>
                                <w:bCs/>
                                <w:sz w:val="24"/>
                              </w:rPr>
                              <w:t>投标人地址：</w:t>
                            </w:r>
                          </w:p>
                          <w:p w14:paraId="235A804C">
                            <w:pPr>
                              <w:spacing w:before="120" w:after="50"/>
                              <w:ind w:firstLine="1068" w:firstLineChars="445"/>
                              <w:rPr>
                                <w:rFonts w:ascii="宋体" w:hAnsi="宋体"/>
                                <w:bCs/>
                                <w:sz w:val="24"/>
                              </w:rPr>
                            </w:pPr>
                          </w:p>
                          <w:p w14:paraId="54869A1B">
                            <w:pPr>
                              <w:spacing w:before="120" w:after="50"/>
                              <w:ind w:firstLine="4080" w:firstLineChars="1700"/>
                              <w:rPr>
                                <w:rFonts w:ascii="宋体" w:hAnsi="宋体"/>
                                <w:sz w:val="24"/>
                                <w:szCs w:val="20"/>
                              </w:rPr>
                            </w:pPr>
                          </w:p>
                          <w:p w14:paraId="34DB438F">
                            <w:r>
                              <w:rPr>
                                <w:rFonts w:hint="eastAsia"/>
                                <w:sz w:val="24"/>
                              </w:rPr>
                              <w:t>年月日</w:t>
                            </w:r>
                          </w:p>
                          <w:p w14:paraId="5E510876"/>
                        </w:txbxContent>
                      </wps:txbx>
                      <wps:bodyPr upright="1"/>
                    </wps:wsp>
                  </a:graphicData>
                </a:graphic>
              </wp:anchor>
            </w:drawing>
          </mc:Choice>
          <mc:Fallback>
            <w:pict>
              <v:shape id="00006b"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6LEN9kAAAAJAQAADwAAAAAAAAABACAAAAAiAAAAZHJzL2Rvd25y&#10;ZXYueG1sUEsBAhQAFAAAAAgAh07iQO5G9or9AQAAMgQAAA4AAAAAAAAAAQAgAAAAKAEAAGRycy9l&#10;Mm9Eb2MueG1sUEsFBgAAAAAGAAYAWQEAAJcFAAAAAA==&#10;">
                <v:fill on="t" focussize="0,0"/>
                <v:stroke color="#000000" joinstyle="miter"/>
                <v:imagedata o:title=""/>
                <o:lock v:ext="edit" aspectratio="f"/>
                <v:textbox>
                  <w:txbxContent>
                    <w:p w14:paraId="369CF212">
                      <w:pPr>
                        <w:spacing w:before="120" w:after="50"/>
                        <w:jc w:val="right"/>
                        <w:rPr>
                          <w:rFonts w:ascii="宋体" w:hAnsi="宋体"/>
                          <w:b/>
                          <w:bCs/>
                          <w:sz w:val="32"/>
                          <w:szCs w:val="20"/>
                        </w:rPr>
                      </w:pPr>
                    </w:p>
                    <w:p w14:paraId="0B4D7836">
                      <w:pPr>
                        <w:spacing w:before="120" w:after="50"/>
                        <w:ind w:left="-850" w:leftChars="-405"/>
                        <w:rPr>
                          <w:rFonts w:ascii="宋体" w:hAnsi="宋体"/>
                          <w:sz w:val="24"/>
                          <w:szCs w:val="20"/>
                        </w:rPr>
                      </w:pPr>
                    </w:p>
                    <w:p w14:paraId="79BB41FD">
                      <w:pPr>
                        <w:spacing w:before="120" w:after="50"/>
                        <w:jc w:val="center"/>
                        <w:rPr>
                          <w:rFonts w:ascii="宋体" w:hAnsi="宋体"/>
                          <w:bCs/>
                          <w:sz w:val="24"/>
                          <w:szCs w:val="20"/>
                        </w:rPr>
                      </w:pPr>
                      <w:r>
                        <w:rPr>
                          <w:rFonts w:hint="eastAsia" w:ascii="宋体" w:hAnsi="宋体"/>
                          <w:bCs/>
                          <w:sz w:val="24"/>
                          <w:szCs w:val="20"/>
                        </w:rPr>
                        <w:t>资格文件</w:t>
                      </w:r>
                    </w:p>
                    <w:p w14:paraId="5382E8F0">
                      <w:pPr>
                        <w:spacing w:before="120" w:after="50"/>
                        <w:rPr>
                          <w:rFonts w:ascii="宋体" w:hAnsi="宋体"/>
                          <w:bCs/>
                          <w:sz w:val="24"/>
                          <w:szCs w:val="20"/>
                        </w:rPr>
                      </w:pPr>
                    </w:p>
                    <w:p w14:paraId="420531CD">
                      <w:pPr>
                        <w:spacing w:before="120" w:after="50"/>
                        <w:ind w:firstLine="1068" w:firstLineChars="445"/>
                        <w:rPr>
                          <w:rFonts w:ascii="宋体" w:hAnsi="宋体"/>
                          <w:bCs/>
                          <w:sz w:val="24"/>
                        </w:rPr>
                      </w:pPr>
                      <w:r>
                        <w:rPr>
                          <w:rFonts w:hint="eastAsia" w:ascii="宋体" w:hAnsi="宋体"/>
                          <w:bCs/>
                          <w:sz w:val="24"/>
                        </w:rPr>
                        <w:t>项目名称：</w:t>
                      </w:r>
                    </w:p>
                    <w:p w14:paraId="2136B629">
                      <w:pPr>
                        <w:spacing w:before="120" w:after="50"/>
                        <w:ind w:firstLine="1068" w:firstLineChars="445"/>
                        <w:rPr>
                          <w:rFonts w:ascii="宋体" w:hAnsi="宋体"/>
                          <w:bCs/>
                          <w:sz w:val="24"/>
                        </w:rPr>
                      </w:pPr>
                      <w:r>
                        <w:rPr>
                          <w:rFonts w:hint="eastAsia" w:ascii="宋体" w:hAnsi="宋体"/>
                          <w:bCs/>
                          <w:sz w:val="24"/>
                        </w:rPr>
                        <w:t>项目编号：</w:t>
                      </w:r>
                    </w:p>
                    <w:p w14:paraId="1533F016">
                      <w:pPr>
                        <w:spacing w:before="12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30AE5593">
                      <w:pPr>
                        <w:spacing w:before="120" w:after="50"/>
                        <w:ind w:firstLine="1068" w:firstLineChars="445"/>
                        <w:rPr>
                          <w:rFonts w:ascii="宋体" w:hAnsi="宋体"/>
                          <w:bCs/>
                          <w:sz w:val="24"/>
                        </w:rPr>
                      </w:pPr>
                      <w:r>
                        <w:rPr>
                          <w:rFonts w:hint="eastAsia" w:ascii="宋体" w:hAnsi="宋体"/>
                          <w:bCs/>
                          <w:sz w:val="24"/>
                        </w:rPr>
                        <w:t>投标人地址：</w:t>
                      </w:r>
                    </w:p>
                    <w:p w14:paraId="235A804C">
                      <w:pPr>
                        <w:spacing w:before="120" w:after="50"/>
                        <w:ind w:firstLine="1068" w:firstLineChars="445"/>
                        <w:rPr>
                          <w:rFonts w:ascii="宋体" w:hAnsi="宋体"/>
                          <w:bCs/>
                          <w:sz w:val="24"/>
                        </w:rPr>
                      </w:pPr>
                    </w:p>
                    <w:p w14:paraId="54869A1B">
                      <w:pPr>
                        <w:spacing w:before="120" w:after="50"/>
                        <w:ind w:firstLine="4080" w:firstLineChars="1700"/>
                        <w:rPr>
                          <w:rFonts w:ascii="宋体" w:hAnsi="宋体"/>
                          <w:sz w:val="24"/>
                          <w:szCs w:val="20"/>
                        </w:rPr>
                      </w:pPr>
                    </w:p>
                    <w:p w14:paraId="34DB438F">
                      <w:r>
                        <w:rPr>
                          <w:rFonts w:hint="eastAsia"/>
                          <w:sz w:val="24"/>
                        </w:rPr>
                        <w:t>年月日</w:t>
                      </w:r>
                    </w:p>
                    <w:p w14:paraId="5E510876"/>
                  </w:txbxContent>
                </v:textbox>
                <w10:wrap type="topAndBottom"/>
              </v:shape>
            </w:pict>
          </mc:Fallback>
        </mc:AlternateContent>
      </w:r>
    </w:p>
    <w:p w14:paraId="33F391F5">
      <w:pPr>
        <w:spacing w:before="120" w:after="50"/>
        <w:jc w:val="center"/>
        <w:rPr>
          <w:rFonts w:ascii="宋体" w:hAnsi="宋体" w:cs="宋体"/>
          <w:b/>
          <w:bCs/>
          <w:color w:val="auto"/>
          <w:sz w:val="24"/>
          <w:highlight w:val="none"/>
        </w:rPr>
      </w:pPr>
    </w:p>
    <w:p w14:paraId="21D0258A">
      <w:pPr>
        <w:pStyle w:val="13"/>
        <w:ind w:left="1470" w:right="1470"/>
        <w:rPr>
          <w:rFonts w:ascii="宋体" w:hAnsi="宋体" w:cs="宋体"/>
          <w:b/>
          <w:bCs/>
          <w:color w:val="auto"/>
          <w:sz w:val="24"/>
          <w:highlight w:val="none"/>
        </w:rPr>
      </w:pPr>
    </w:p>
    <w:p w14:paraId="2FC897E4">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 xml:space="preserve">附件4                             </w:t>
      </w:r>
    </w:p>
    <w:p w14:paraId="33F44CE2">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资格文件</w:t>
      </w:r>
    </w:p>
    <w:p w14:paraId="7C9E1214">
      <w:pPr>
        <w:spacing w:line="400" w:lineRule="exact"/>
        <w:ind w:firstLine="240" w:firstLineChars="100"/>
        <w:rPr>
          <w:rFonts w:ascii="宋体" w:hAnsi="宋体" w:cs="宋体"/>
          <w:color w:val="auto"/>
          <w:sz w:val="24"/>
          <w:szCs w:val="24"/>
          <w:highlight w:val="none"/>
        </w:rPr>
      </w:pPr>
    </w:p>
    <w:p w14:paraId="60EDED9D">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附件4-1</w:t>
      </w:r>
    </w:p>
    <w:p w14:paraId="1A7D94D9">
      <w:pPr>
        <w:pStyle w:val="11"/>
        <w:ind w:left="482" w:hanging="482"/>
        <w:rPr>
          <w:rFonts w:ascii="宋体" w:hAnsi="宋体" w:cs="宋体"/>
          <w:b/>
          <w:color w:val="auto"/>
          <w:szCs w:val="24"/>
          <w:highlight w:val="none"/>
        </w:rPr>
      </w:pPr>
    </w:p>
    <w:p w14:paraId="12F56211">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有效的法人或者其他组织的营业执照等证明文件，自然人的身份证明（五选一）</w:t>
      </w:r>
    </w:p>
    <w:p w14:paraId="24E0C9FF">
      <w:pPr>
        <w:spacing w:line="360" w:lineRule="auto"/>
        <w:jc w:val="center"/>
        <w:rPr>
          <w:rFonts w:ascii="宋体" w:hAnsi="宋体" w:cs="宋体"/>
          <w:b/>
          <w:color w:val="auto"/>
          <w:sz w:val="24"/>
          <w:szCs w:val="24"/>
          <w:highlight w:val="none"/>
        </w:rPr>
      </w:pPr>
      <w:r>
        <w:rPr>
          <w:rFonts w:hint="eastAsia" w:ascii="宋体" w:hAnsi="宋体" w:cs="宋体"/>
          <w:b/>
          <w:bCs/>
          <w:color w:val="auto"/>
          <w:sz w:val="22"/>
          <w:highlight w:val="none"/>
          <w:u w:val="single"/>
        </w:rPr>
        <w:t>（如为联合体投标，则联合体各方均须提供）</w:t>
      </w:r>
    </w:p>
    <w:p w14:paraId="310C3C90">
      <w:pPr>
        <w:spacing w:line="360" w:lineRule="auto"/>
        <w:rPr>
          <w:rFonts w:ascii="宋体" w:hAnsi="宋体" w:cs="宋体"/>
          <w:b/>
          <w:color w:val="auto"/>
          <w:sz w:val="24"/>
          <w:szCs w:val="24"/>
          <w:highlight w:val="none"/>
        </w:rPr>
      </w:pPr>
    </w:p>
    <w:p w14:paraId="137A650B">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370DE395">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47F628AF">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017AD973">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31B5D9F0">
      <w:pPr>
        <w:pStyle w:val="23"/>
        <w:spacing w:line="360" w:lineRule="auto"/>
        <w:ind w:left="418" w:hanging="418"/>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7C074102">
      <w:pPr>
        <w:pStyle w:val="23"/>
        <w:spacing w:line="360" w:lineRule="auto"/>
        <w:ind w:left="418" w:hanging="418"/>
        <w:rPr>
          <w:rFonts w:ascii="宋体" w:hAnsi="宋体" w:cs="宋体"/>
          <w:color w:val="auto"/>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7F50681F">
      <w:pPr>
        <w:spacing w:line="400" w:lineRule="exact"/>
        <w:rPr>
          <w:rFonts w:ascii="宋体" w:hAnsi="宋体" w:cs="宋体"/>
          <w:b/>
          <w:color w:val="auto"/>
          <w:sz w:val="24"/>
          <w:szCs w:val="24"/>
          <w:highlight w:val="none"/>
        </w:rPr>
      </w:pPr>
    </w:p>
    <w:p w14:paraId="50F357BA">
      <w:pPr>
        <w:spacing w:line="400" w:lineRule="exact"/>
        <w:rPr>
          <w:rFonts w:ascii="宋体" w:hAnsi="宋体" w:cs="宋体"/>
          <w:b/>
          <w:color w:val="auto"/>
          <w:sz w:val="24"/>
          <w:szCs w:val="24"/>
          <w:highlight w:val="none"/>
        </w:rPr>
      </w:pPr>
    </w:p>
    <w:p w14:paraId="59DC10BA">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附件4-2</w:t>
      </w:r>
    </w:p>
    <w:p w14:paraId="1840119F">
      <w:pPr>
        <w:spacing w:before="240"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关于符合《中华人民共和国政府采购法》第二十二条规定的承诺函</w:t>
      </w:r>
    </w:p>
    <w:p w14:paraId="410ED9CC">
      <w:pPr>
        <w:spacing w:line="360" w:lineRule="exact"/>
        <w:jc w:val="center"/>
        <w:rPr>
          <w:rFonts w:ascii="宋体" w:hAnsi="宋体" w:cs="宋体"/>
          <w:b/>
          <w:bCs/>
          <w:color w:val="auto"/>
          <w:sz w:val="22"/>
          <w:highlight w:val="none"/>
          <w:u w:val="single"/>
        </w:rPr>
      </w:pPr>
      <w:r>
        <w:rPr>
          <w:rFonts w:hint="eastAsia" w:ascii="宋体" w:hAnsi="宋体" w:cs="宋体"/>
          <w:b/>
          <w:bCs/>
          <w:color w:val="auto"/>
          <w:sz w:val="22"/>
          <w:highlight w:val="none"/>
          <w:u w:val="single"/>
        </w:rPr>
        <w:t>（如为联合体投标，则联合体各方均须提供，并各自加盖电子签章或公章）</w:t>
      </w:r>
    </w:p>
    <w:p w14:paraId="7F09E285">
      <w:pPr>
        <w:spacing w:line="360" w:lineRule="exact"/>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温州肯恩大学、浙江乐诚工程咨询有限公司</w:t>
      </w:r>
      <w:r>
        <w:rPr>
          <w:rFonts w:hint="eastAsia" w:ascii="宋体" w:hAnsi="宋体" w:cs="宋体"/>
          <w:color w:val="auto"/>
          <w:spacing w:val="-6"/>
          <w:sz w:val="22"/>
          <w:highlight w:val="none"/>
        </w:rPr>
        <w:t>：</w:t>
      </w:r>
    </w:p>
    <w:p w14:paraId="74D6E03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我方就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6513D738">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1、我方符合《中华人民共和国政府采购法》第22条规定的资格条件：</w:t>
      </w:r>
    </w:p>
    <w:p w14:paraId="414C59A2">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（1）</w:t>
      </w:r>
      <w:r>
        <w:rPr>
          <w:rFonts w:hint="eastAsia"/>
          <w:color w:val="auto"/>
          <w:sz w:val="22"/>
          <w:highlight w:val="none"/>
        </w:rPr>
        <w:t>我方</w:t>
      </w:r>
      <w:r>
        <w:rPr>
          <w:rFonts w:hint="eastAsia"/>
          <w:bCs/>
          <w:color w:val="auto"/>
          <w:kern w:val="2"/>
          <w:sz w:val="22"/>
          <w:highlight w:val="none"/>
        </w:rPr>
        <w:t>具有独立承担民事责任的能力；</w:t>
      </w:r>
    </w:p>
    <w:p w14:paraId="4D995086">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具有良好的商业信誉和健全的财务会计制度；</w:t>
      </w:r>
    </w:p>
    <w:p w14:paraId="3839C444">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（3）</w:t>
      </w:r>
      <w:r>
        <w:rPr>
          <w:rFonts w:hint="eastAsia"/>
          <w:color w:val="auto"/>
          <w:sz w:val="22"/>
          <w:highlight w:val="none"/>
        </w:rPr>
        <w:t>我方</w:t>
      </w:r>
      <w:r>
        <w:rPr>
          <w:rFonts w:hint="eastAsia"/>
          <w:bCs/>
          <w:color w:val="auto"/>
          <w:kern w:val="2"/>
          <w:sz w:val="22"/>
          <w:highlight w:val="none"/>
        </w:rPr>
        <w:t>具有履行合同所必需的设备和专业技术能力；</w:t>
      </w:r>
    </w:p>
    <w:p w14:paraId="19218940">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（4）</w:t>
      </w:r>
      <w:r>
        <w:rPr>
          <w:rFonts w:hint="eastAsia"/>
          <w:color w:val="auto"/>
          <w:sz w:val="22"/>
          <w:highlight w:val="none"/>
        </w:rPr>
        <w:t>我方</w:t>
      </w:r>
      <w:r>
        <w:rPr>
          <w:rFonts w:hint="eastAsia"/>
          <w:bCs/>
          <w:color w:val="auto"/>
          <w:kern w:val="2"/>
          <w:sz w:val="22"/>
          <w:highlight w:val="none"/>
        </w:rPr>
        <w:t>有依法缴纳税收和社会保障资金的良好记录；</w:t>
      </w:r>
    </w:p>
    <w:p w14:paraId="6E152962">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027D279">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（6）我方具有法律、行政法规规定的其他条件。</w:t>
      </w:r>
    </w:p>
    <w:p w14:paraId="2A6DCC32">
      <w:pPr>
        <w:pStyle w:val="26"/>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2、</w:t>
      </w:r>
      <w:r>
        <w:rPr>
          <w:rFonts w:hint="eastAsia"/>
          <w:color w:val="auto"/>
          <w:sz w:val="22"/>
          <w:highlight w:val="none"/>
        </w:rPr>
        <w:t>我方</w:t>
      </w:r>
      <w:r>
        <w:rPr>
          <w:rFonts w:hint="eastAsia"/>
          <w:bCs/>
          <w:color w:val="auto"/>
          <w:kern w:val="2"/>
          <w:sz w:val="22"/>
          <w:highlight w:val="none"/>
        </w:rPr>
        <w:t>未被“信用中国”（www.creditchina.gov.cn）、中国政府采购网（www.ccgp.gov.cn）列入失信被执行人、重大税收违法案件当事人名单、政府采购严重违法失信行为记录名单：以采购代理机构在开标当日查询记录为准。</w:t>
      </w:r>
    </w:p>
    <w:p w14:paraId="569C938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3、不存在以下情况：</w:t>
      </w:r>
    </w:p>
    <w:p w14:paraId="38099FB4">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4477F637">
      <w:pPr>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1BFA5FB0">
      <w:pPr>
        <w:pStyle w:val="26"/>
        <w:spacing w:before="0" w:beforeAutospacing="0" w:after="0" w:afterAutospacing="0" w:line="360" w:lineRule="exact"/>
        <w:ind w:firstLine="442" w:firstLineChars="200"/>
        <w:rPr>
          <w:color w:val="auto"/>
          <w:sz w:val="22"/>
          <w:highlight w:val="none"/>
        </w:rPr>
      </w:pPr>
      <w:r>
        <w:rPr>
          <w:rStyle w:val="55"/>
          <w:rFonts w:hint="eastAsia"/>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55"/>
          <w:rFonts w:hint="eastAsia"/>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中华人民共和国政府采购法实施条例》第十九条第一款规定的“</w:t>
      </w:r>
      <w:r>
        <w:rPr>
          <w:rFonts w:hint="eastAsia"/>
          <w:color w:val="auto"/>
          <w:kern w:val="2"/>
          <w:sz w:val="22"/>
          <w:highlight w:val="none"/>
        </w:rPr>
        <w:t>较大数额罚款</w:t>
      </w:r>
      <w:r>
        <w:rPr>
          <w:rStyle w:val="55"/>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55"/>
          <w:rFonts w:hint="eastAsia"/>
          <w:color w:val="auto"/>
          <w:sz w:val="22"/>
          <w:highlight w:val="none"/>
        </w:rPr>
        <w:t>”标准高于200万元的，从其规定。</w:t>
      </w:r>
    </w:p>
    <w:p w14:paraId="4C35A4F6">
      <w:pPr>
        <w:pStyle w:val="26"/>
        <w:spacing w:before="0" w:beforeAutospacing="0" w:after="0" w:afterAutospacing="0" w:line="360" w:lineRule="exact"/>
        <w:ind w:firstLine="440" w:firstLineChars="200"/>
        <w:rPr>
          <w:color w:val="auto"/>
          <w:sz w:val="22"/>
          <w:highlight w:val="none"/>
        </w:rPr>
      </w:pPr>
      <w:r>
        <w:rPr>
          <w:rStyle w:val="55"/>
          <w:rFonts w:hint="eastAsia"/>
          <w:color w:val="auto"/>
          <w:sz w:val="22"/>
          <w:highlight w:val="none"/>
        </w:rPr>
        <w:t>我单位已知晓前述法律规定，对此无任何异议。</w:t>
      </w:r>
    </w:p>
    <w:p w14:paraId="5B1557AF">
      <w:pPr>
        <w:spacing w:line="360" w:lineRule="exact"/>
        <w:ind w:firstLine="442" w:firstLineChars="200"/>
        <w:rPr>
          <w:rFonts w:ascii="宋体" w:hAnsi="宋体" w:cs="宋体"/>
          <w:b/>
          <w:bCs/>
          <w:color w:val="auto"/>
          <w:sz w:val="22"/>
          <w:highlight w:val="none"/>
          <w:u w:val="single"/>
        </w:rPr>
      </w:pPr>
      <w:r>
        <w:rPr>
          <w:rStyle w:val="55"/>
          <w:rFonts w:hint="eastAsia" w:ascii="宋体" w:hAnsi="宋体" w:cs="宋体"/>
          <w:b/>
          <w:bCs/>
          <w:color w:val="auto"/>
          <w:sz w:val="22"/>
          <w:highlight w:val="none"/>
        </w:rPr>
        <w:t>注：</w:t>
      </w:r>
      <w:r>
        <w:rPr>
          <w:rStyle w:val="55"/>
          <w:rFonts w:hint="eastAsia" w:ascii="宋体" w:hAnsi="宋体" w:cs="宋体"/>
          <w:color w:val="auto"/>
          <w:sz w:val="22"/>
          <w:highlight w:val="none"/>
          <w:u w:val="single"/>
        </w:rPr>
        <w:t>▲</w:t>
      </w:r>
      <w:r>
        <w:rPr>
          <w:rStyle w:val="55"/>
          <w:rFonts w:hint="eastAsia" w:ascii="宋体" w:hAnsi="宋体" w:cs="宋体"/>
          <w:b/>
          <w:bCs/>
          <w:color w:val="auto"/>
          <w:sz w:val="22"/>
          <w:highlight w:val="none"/>
          <w:u w:val="single"/>
        </w:rPr>
        <w:t>本承诺函必须提供。</w:t>
      </w:r>
    </w:p>
    <w:p w14:paraId="056CFC99">
      <w:pPr>
        <w:spacing w:line="360" w:lineRule="exact"/>
        <w:rPr>
          <w:rFonts w:ascii="宋体" w:hAnsi="宋体" w:cs="宋体"/>
          <w:color w:val="auto"/>
          <w:sz w:val="22"/>
          <w:highlight w:val="none"/>
        </w:rPr>
      </w:pPr>
    </w:p>
    <w:p w14:paraId="7FE51540">
      <w:pPr>
        <w:widowControl/>
        <w:spacing w:line="36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357EFC9">
      <w:pPr>
        <w:widowControl/>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41D04EF7">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012D364">
      <w:pPr>
        <w:pStyle w:val="13"/>
        <w:ind w:left="1470" w:right="1470"/>
        <w:rPr>
          <w:rFonts w:ascii="宋体" w:hAnsi="宋体" w:cs="宋体"/>
          <w:color w:val="auto"/>
          <w:sz w:val="24"/>
          <w:szCs w:val="24"/>
          <w:highlight w:val="none"/>
        </w:rPr>
      </w:pPr>
    </w:p>
    <w:p w14:paraId="5FB456FE">
      <w:pPr>
        <w:pStyle w:val="2"/>
        <w:ind w:firstLine="0" w:firstLineChars="0"/>
        <w:rPr>
          <w:rFonts w:ascii="宋体" w:hAnsi="宋体" w:cs="宋体"/>
          <w:bCs/>
          <w:color w:val="auto"/>
          <w:sz w:val="22"/>
          <w:highlight w:val="none"/>
        </w:rPr>
      </w:pPr>
      <w:r>
        <w:rPr>
          <w:rFonts w:hint="eastAsia" w:ascii="宋体" w:hAnsi="宋体" w:cs="宋体"/>
          <w:bCs/>
          <w:color w:val="auto"/>
          <w:sz w:val="22"/>
          <w:highlight w:val="none"/>
        </w:rPr>
        <w:br w:type="page"/>
      </w:r>
      <w:r>
        <w:rPr>
          <w:rFonts w:hint="eastAsia" w:ascii="宋体" w:hAnsi="宋体" w:cs="宋体"/>
          <w:color w:val="auto"/>
          <w:sz w:val="24"/>
          <w:szCs w:val="24"/>
          <w:highlight w:val="none"/>
        </w:rPr>
        <w:t>附件4-3</w:t>
      </w:r>
    </w:p>
    <w:p w14:paraId="229976C6">
      <w:pPr>
        <w:pStyle w:val="2"/>
        <w:ind w:firstLine="221"/>
        <w:rPr>
          <w:rFonts w:ascii="宋体" w:hAnsi="宋体" w:cs="宋体"/>
          <w:bCs/>
          <w:color w:val="auto"/>
          <w:sz w:val="22"/>
          <w:highlight w:val="none"/>
        </w:rPr>
      </w:pPr>
    </w:p>
    <w:p w14:paraId="19BD178F">
      <w:pPr>
        <w:numPr>
          <w:ilvl w:val="1"/>
          <w:numId w:val="0"/>
        </w:num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联合体投标协议书（如有）</w:t>
      </w:r>
    </w:p>
    <w:p w14:paraId="34E0DA08">
      <w:pPr>
        <w:numPr>
          <w:ilvl w:val="1"/>
          <w:numId w:val="0"/>
        </w:num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联合体投标协议书</w:t>
      </w:r>
    </w:p>
    <w:p w14:paraId="4819F348">
      <w:pPr>
        <w:widowControl/>
        <w:spacing w:line="360" w:lineRule="auto"/>
        <w:jc w:val="center"/>
        <w:rPr>
          <w:rFonts w:ascii="宋体" w:hAnsi="宋体" w:cs="宋体"/>
          <w:color w:val="auto"/>
          <w:sz w:val="22"/>
          <w:highlight w:val="none"/>
        </w:rPr>
      </w:pPr>
      <w:r>
        <w:rPr>
          <w:rFonts w:hint="eastAsia" w:ascii="宋体" w:hAnsi="宋体" w:cs="宋体"/>
          <w:b/>
          <w:color w:val="auto"/>
          <w:sz w:val="22"/>
          <w:highlight w:val="none"/>
        </w:rPr>
        <w:t>（以联合体形式投标的提供联合投标协议，项目不接受联合体投标或投标人不以联合体形式投标的则不需要提供）</w:t>
      </w:r>
    </w:p>
    <w:p w14:paraId="78BE68FB">
      <w:pPr>
        <w:spacing w:line="360" w:lineRule="exact"/>
        <w:ind w:firstLine="442" w:firstLineChars="201"/>
        <w:jc w:val="left"/>
        <w:rPr>
          <w:rFonts w:ascii="宋体" w:hAnsi="宋体" w:cs="宋体"/>
          <w:color w:val="auto"/>
          <w:kern w:val="0"/>
          <w:sz w:val="22"/>
          <w:highlight w:val="none"/>
          <w:lang w:val="zh-CN"/>
        </w:rPr>
      </w:pPr>
      <w:r>
        <w:rPr>
          <w:rFonts w:hint="eastAsia" w:ascii="宋体" w:hAnsi="宋体" w:cs="宋体"/>
          <w:color w:val="auto"/>
          <w:kern w:val="0"/>
          <w:sz w:val="22"/>
          <w:highlight w:val="none"/>
        </w:rPr>
        <w:t>_______</w:t>
      </w:r>
      <w:r>
        <w:rPr>
          <w:rFonts w:hint="eastAsia" w:ascii="宋体" w:hAnsi="宋体" w:cs="宋体"/>
          <w:color w:val="auto"/>
          <w:kern w:val="0"/>
          <w:sz w:val="22"/>
          <w:highlight w:val="none"/>
          <w:u w:val="single"/>
        </w:rPr>
        <w:t>（联合体所有成员名称）</w:t>
      </w:r>
      <w:r>
        <w:rPr>
          <w:rFonts w:hint="eastAsia" w:ascii="宋体" w:hAnsi="宋体" w:cs="宋体"/>
          <w:color w:val="auto"/>
          <w:kern w:val="0"/>
          <w:sz w:val="22"/>
          <w:highlight w:val="none"/>
        </w:rPr>
        <w:t>自愿</w:t>
      </w:r>
      <w:r>
        <w:rPr>
          <w:rFonts w:hint="eastAsia" w:ascii="宋体" w:hAnsi="宋体" w:cs="宋体"/>
          <w:color w:val="auto"/>
          <w:kern w:val="0"/>
          <w:sz w:val="22"/>
          <w:highlight w:val="none"/>
          <w:lang w:val="zh-CN"/>
        </w:rPr>
        <w:t>组成一个联合体，以一个投标人的身份</w:t>
      </w:r>
      <w:r>
        <w:rPr>
          <w:rFonts w:hint="eastAsia" w:ascii="宋体" w:hAnsi="宋体" w:cs="宋体"/>
          <w:color w:val="auto"/>
          <w:kern w:val="0"/>
          <w:sz w:val="22"/>
          <w:highlight w:val="none"/>
        </w:rPr>
        <w:t>参加_______</w:t>
      </w:r>
      <w:r>
        <w:rPr>
          <w:rFonts w:hint="eastAsia" w:ascii="宋体" w:hAnsi="宋体" w:cs="宋体"/>
          <w:color w:val="auto"/>
          <w:sz w:val="22"/>
          <w:highlight w:val="none"/>
        </w:rPr>
        <w:t>（项目名称）</w:t>
      </w:r>
      <w:r>
        <w:rPr>
          <w:rFonts w:hint="eastAsia" w:ascii="宋体" w:hAnsi="宋体" w:cs="宋体"/>
          <w:color w:val="auto"/>
          <w:kern w:val="0"/>
          <w:sz w:val="22"/>
          <w:highlight w:val="none"/>
        </w:rPr>
        <w:t>_______</w:t>
      </w:r>
      <w:r>
        <w:rPr>
          <w:rFonts w:hint="eastAsia" w:ascii="宋体" w:hAnsi="宋体" w:cs="宋体"/>
          <w:color w:val="auto"/>
          <w:sz w:val="22"/>
          <w:highlight w:val="none"/>
        </w:rPr>
        <w:t>（项目编号）</w:t>
      </w:r>
      <w:r>
        <w:rPr>
          <w:rFonts w:hint="eastAsia" w:ascii="宋体" w:hAnsi="宋体" w:cs="宋体"/>
          <w:bCs/>
          <w:color w:val="auto"/>
          <w:kern w:val="0"/>
          <w:sz w:val="22"/>
          <w:highlight w:val="none"/>
        </w:rPr>
        <w:t>的政府采购活动</w:t>
      </w:r>
      <w:r>
        <w:rPr>
          <w:rFonts w:hint="eastAsia" w:ascii="宋体" w:hAnsi="宋体" w:cs="宋体"/>
          <w:color w:val="auto"/>
          <w:kern w:val="0"/>
          <w:sz w:val="22"/>
          <w:highlight w:val="none"/>
          <w:lang w:val="zh-CN"/>
        </w:rPr>
        <w:t>。</w:t>
      </w:r>
    </w:p>
    <w:p w14:paraId="5A2C556C">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现就有关联合投标事宜订立协议如下： </w:t>
      </w:r>
    </w:p>
    <w:p w14:paraId="7E1954BB">
      <w:pPr>
        <w:widowControl/>
        <w:numPr>
          <w:ilvl w:val="0"/>
          <w:numId w:val="6"/>
        </w:num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（牵头人全称）              </w:t>
      </w:r>
      <w:r>
        <w:rPr>
          <w:rFonts w:hint="eastAsia" w:ascii="宋体" w:hAnsi="宋体" w:cs="宋体"/>
          <w:color w:val="auto"/>
          <w:kern w:val="0"/>
          <w:sz w:val="22"/>
          <w:highlight w:val="none"/>
        </w:rPr>
        <w:t>为联合体的牵头人，</w:t>
      </w:r>
    </w:p>
    <w:p w14:paraId="3D039B4D">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u w:val="single"/>
        </w:rPr>
        <w:t xml:space="preserve">       （联合体其他成员全称）         </w:t>
      </w:r>
      <w:r>
        <w:rPr>
          <w:rFonts w:hint="eastAsia" w:ascii="宋体" w:hAnsi="宋体" w:cs="宋体"/>
          <w:color w:val="auto"/>
          <w:kern w:val="0"/>
          <w:sz w:val="22"/>
          <w:highlight w:val="none"/>
        </w:rPr>
        <w:t xml:space="preserve">为联合体的成员方； </w:t>
      </w:r>
    </w:p>
    <w:p w14:paraId="3AACF971">
      <w:pPr>
        <w:pStyle w:val="11"/>
        <w:spacing w:line="360" w:lineRule="exact"/>
        <w:ind w:left="440" w:hanging="440"/>
        <w:jc w:val="left"/>
        <w:rPr>
          <w:rFonts w:ascii="宋体" w:hAnsi="宋体" w:cs="宋体"/>
          <w:color w:val="auto"/>
          <w:sz w:val="22"/>
          <w:highlight w:val="none"/>
        </w:rPr>
      </w:pPr>
      <w:r>
        <w:rPr>
          <w:rFonts w:hint="eastAsia" w:ascii="宋体" w:hAnsi="宋体" w:cs="宋体"/>
          <w:color w:val="auto"/>
          <w:sz w:val="22"/>
          <w:highlight w:val="none"/>
        </w:rPr>
        <w:t>......</w:t>
      </w:r>
    </w:p>
    <w:p w14:paraId="0E78770E">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2、联合体内部有关事项规定如下： </w:t>
      </w:r>
    </w:p>
    <w:p w14:paraId="0B92C6C1">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（1）由牵头人代表本联合体与采购人联系，负责协调工作。 </w:t>
      </w:r>
    </w:p>
    <w:p w14:paraId="4138DF2C">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4A61980F">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59C02417">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（4）如中标，联合体内部将遵守以下规定： </w:t>
      </w:r>
    </w:p>
    <w:p w14:paraId="21A5A99E">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a．联合体牵头人和成员共同与采购人签订采购合同，并就中标项目向采购人负责有连带的和各自的法律责任； </w:t>
      </w:r>
    </w:p>
    <w:p w14:paraId="28DADC92">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b．联合体牵头人代表联合体成员接收采购人的指令、指示和通知，并且在整个合同实施过程中的全部事宜（包括合同款支付）均由联合体牵头人负责； </w:t>
      </w:r>
    </w:p>
    <w:p w14:paraId="00D4B84A">
      <w:pPr>
        <w:widowControl/>
        <w:spacing w:line="40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c．联合体各方承担的工作和义务详细安排如下： </w:t>
      </w:r>
    </w:p>
    <w:p w14:paraId="742B0FF9">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38B2808E">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3250FF77">
      <w:pPr>
        <w:widowControl/>
        <w:spacing w:line="400" w:lineRule="exact"/>
        <w:jc w:val="left"/>
        <w:rPr>
          <w:rFonts w:ascii="宋体" w:hAnsi="宋体" w:cs="宋体"/>
          <w:color w:val="auto"/>
          <w:sz w:val="22"/>
          <w:highlight w:val="none"/>
        </w:rPr>
      </w:pPr>
      <w:r>
        <w:rPr>
          <w:rFonts w:hint="eastAsia" w:ascii="宋体" w:hAnsi="宋体" w:cs="宋体"/>
          <w:color w:val="auto"/>
          <w:kern w:val="0"/>
          <w:sz w:val="22"/>
          <w:highlight w:val="none"/>
        </w:rPr>
        <w:t>___________________________________________________________________________________</w:t>
      </w:r>
    </w:p>
    <w:p w14:paraId="7CFD0A56">
      <w:pPr>
        <w:widowControl/>
        <w:spacing w:line="400" w:lineRule="exact"/>
        <w:jc w:val="left"/>
        <w:rPr>
          <w:rFonts w:ascii="宋体" w:hAnsi="宋体" w:cs="宋体"/>
          <w:bCs/>
          <w:color w:val="auto"/>
          <w:highlight w:val="none"/>
        </w:rPr>
      </w:pPr>
      <w:r>
        <w:rPr>
          <w:rFonts w:hint="eastAsia" w:ascii="宋体" w:hAnsi="宋体" w:cs="宋体"/>
          <w:color w:val="auto"/>
          <w:kern w:val="0"/>
          <w:sz w:val="22"/>
          <w:highlight w:val="none"/>
        </w:rPr>
        <w:t xml:space="preserve">___________________________________________________________________________________ </w:t>
      </w:r>
    </w:p>
    <w:p w14:paraId="4D9717D4">
      <w:pPr>
        <w:widowControl/>
        <w:spacing w:line="360" w:lineRule="exact"/>
        <w:jc w:val="left"/>
        <w:rPr>
          <w:rFonts w:ascii="宋体" w:hAnsi="宋体" w:cs="宋体"/>
          <w:color w:val="auto"/>
          <w:sz w:val="22"/>
          <w:highlight w:val="none"/>
        </w:rPr>
      </w:pPr>
      <w:r>
        <w:rPr>
          <w:rFonts w:hint="eastAsia" w:ascii="宋体" w:hAnsi="宋体" w:cs="宋体"/>
          <w:b/>
          <w:color w:val="auto"/>
          <w:kern w:val="0"/>
          <w:sz w:val="22"/>
          <w:highlight w:val="none"/>
        </w:rPr>
        <w:t xml:space="preserve">（5）投标工作和联合体在中标后项目实施过程中的有关合同占比按各自承担的工作量分摊，具体说明如下： </w:t>
      </w:r>
    </w:p>
    <w:p w14:paraId="08E8CDA9">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____________________________________________________________________________________  </w:t>
      </w:r>
    </w:p>
    <w:p w14:paraId="1E702C3E">
      <w:pPr>
        <w:widowControl/>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____________________________________________________________________________________</w:t>
      </w:r>
      <w:r>
        <w:rPr>
          <w:rFonts w:hint="eastAsia" w:ascii="宋体" w:hAnsi="宋体" w:cs="宋体"/>
          <w:color w:val="auto"/>
          <w:kern w:val="0"/>
          <w:sz w:val="22"/>
          <w:highlight w:val="none"/>
          <w:u w:val="single"/>
        </w:rPr>
        <w:t xml:space="preserve">（牵头人全称）            </w:t>
      </w:r>
      <w:r>
        <w:rPr>
          <w:rFonts w:hint="eastAsia" w:ascii="宋体" w:hAnsi="宋体" w:cs="宋体"/>
          <w:color w:val="auto"/>
          <w:kern w:val="0"/>
          <w:sz w:val="22"/>
          <w:highlight w:val="none"/>
        </w:rPr>
        <w:t>合同占比：_______%</w:t>
      </w:r>
    </w:p>
    <w:p w14:paraId="1303329A">
      <w:pPr>
        <w:widowControl/>
        <w:spacing w:line="400" w:lineRule="exact"/>
        <w:jc w:val="left"/>
        <w:rPr>
          <w:rFonts w:ascii="宋体" w:hAnsi="宋体" w:cs="宋体"/>
          <w:b/>
          <w:color w:val="auto"/>
          <w:kern w:val="0"/>
          <w:sz w:val="22"/>
          <w:highlight w:val="none"/>
        </w:rPr>
      </w:pPr>
      <w:r>
        <w:rPr>
          <w:rFonts w:hint="eastAsia" w:ascii="宋体" w:hAnsi="宋体" w:cs="宋体"/>
          <w:color w:val="auto"/>
          <w:kern w:val="0"/>
          <w:sz w:val="22"/>
          <w:highlight w:val="none"/>
          <w:u w:val="single"/>
        </w:rPr>
        <w:t xml:space="preserve">（联合体其他成员全称）    </w:t>
      </w:r>
      <w:r>
        <w:rPr>
          <w:rFonts w:hint="eastAsia" w:ascii="宋体" w:hAnsi="宋体" w:cs="宋体"/>
          <w:color w:val="auto"/>
          <w:kern w:val="0"/>
          <w:sz w:val="22"/>
          <w:highlight w:val="none"/>
        </w:rPr>
        <w:t>合同占比：_______%</w:t>
      </w:r>
    </w:p>
    <w:p w14:paraId="1026B912">
      <w:pPr>
        <w:pStyle w:val="11"/>
        <w:spacing w:line="360" w:lineRule="exact"/>
        <w:ind w:left="440" w:hanging="440"/>
        <w:jc w:val="left"/>
        <w:rPr>
          <w:rFonts w:ascii="宋体" w:hAnsi="宋体" w:cs="宋体"/>
          <w:color w:val="auto"/>
          <w:highlight w:val="none"/>
        </w:rPr>
      </w:pPr>
      <w:r>
        <w:rPr>
          <w:rFonts w:hint="eastAsia" w:ascii="宋体" w:hAnsi="宋体" w:cs="宋体"/>
          <w:color w:val="auto"/>
          <w:sz w:val="22"/>
          <w:highlight w:val="none"/>
        </w:rPr>
        <w:t>......</w:t>
      </w:r>
    </w:p>
    <w:p w14:paraId="3D225403">
      <w:pPr>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、有关本次联合投标的其他事宜：</w:t>
      </w:r>
    </w:p>
    <w:p w14:paraId="1A4D47A2">
      <w:pPr>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）联合体各方不再单独参加或者与其他供应商另外组成联合体参加同一合同项下的政府采购活动。</w:t>
      </w:r>
    </w:p>
    <w:p w14:paraId="75FFAE31">
      <w:pPr>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2</w:t>
      </w:r>
      <w:r>
        <w:rPr>
          <w:rFonts w:hint="eastAsia" w:ascii="宋体" w:hAnsi="宋体" w:cs="宋体"/>
          <w:color w:val="auto"/>
          <w:kern w:val="0"/>
          <w:sz w:val="22"/>
          <w:highlight w:val="none"/>
          <w:lang w:val="zh-CN"/>
        </w:rPr>
        <w:t>）联合体中有同类资质的各方按照联合体分工承担相同工作的，按照资质等级较低的供应商确定资质等级。</w:t>
      </w:r>
    </w:p>
    <w:p w14:paraId="200E93FA">
      <w:pPr>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）本协议提交采购人、采购机构后，联合体各方不得以任何形式对上述内容进行修改或撤销。</w:t>
      </w:r>
    </w:p>
    <w:p w14:paraId="4926A68F">
      <w:pPr>
        <w:spacing w:line="360" w:lineRule="exact"/>
        <w:jc w:val="left"/>
        <w:rPr>
          <w:rFonts w:ascii="宋体" w:hAnsi="宋体" w:cs="宋体"/>
          <w:color w:val="auto"/>
          <w:sz w:val="22"/>
          <w:highlight w:val="none"/>
        </w:rPr>
      </w:pPr>
      <w:r>
        <w:rPr>
          <w:rFonts w:hint="eastAsia" w:ascii="宋体" w:hAnsi="宋体" w:cs="宋体"/>
          <w:color w:val="auto"/>
          <w:kern w:val="0"/>
          <w:sz w:val="22"/>
          <w:highlight w:val="none"/>
          <w:lang w:val="zh-CN"/>
        </w:rPr>
        <w:t>（4）</w:t>
      </w:r>
      <w:r>
        <w:rPr>
          <w:rFonts w:hint="eastAsia" w:ascii="宋体" w:hAnsi="宋体" w:cs="宋体"/>
          <w:color w:val="auto"/>
          <w:sz w:val="22"/>
          <w:highlight w:val="none"/>
          <w:u w:val="single"/>
        </w:rPr>
        <w:t xml:space="preserve">          </w:t>
      </w:r>
      <w:r>
        <w:rPr>
          <w:rFonts w:hint="eastAsia" w:ascii="宋体" w:hAnsi="宋体" w:cs="宋体"/>
          <w:color w:val="auto"/>
          <w:kern w:val="0"/>
          <w:sz w:val="22"/>
          <w:highlight w:val="none"/>
          <w:lang w:val="zh-CN"/>
        </w:rPr>
        <w:t>（联</w:t>
      </w:r>
      <w:r>
        <w:rPr>
          <w:rFonts w:hint="eastAsia" w:ascii="宋体" w:hAnsi="宋体" w:cs="宋体"/>
          <w:color w:val="auto"/>
          <w:sz w:val="22"/>
          <w:highlight w:val="none"/>
        </w:rPr>
        <w:t>合体牵头人</w:t>
      </w:r>
      <w:r>
        <w:rPr>
          <w:rFonts w:hint="eastAsia" w:ascii="宋体" w:hAnsi="宋体" w:cs="宋体"/>
          <w:color w:val="auto"/>
          <w:kern w:val="0"/>
          <w:sz w:val="22"/>
          <w:highlight w:val="none"/>
          <w:lang w:val="zh-CN"/>
        </w:rPr>
        <w:t>）</w:t>
      </w:r>
      <w:r>
        <w:rPr>
          <w:rFonts w:hint="eastAsia" w:ascii="宋体" w:hAnsi="宋体" w:cs="宋体"/>
          <w:color w:val="auto"/>
          <w:sz w:val="22"/>
          <w:highlight w:val="none"/>
        </w:rPr>
        <w:t>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r>
        <w:rPr>
          <w:rFonts w:hint="eastAsia" w:ascii="宋体" w:hAnsi="宋体" w:cs="宋体"/>
          <w:color w:val="auto"/>
          <w:kern w:val="0"/>
          <w:sz w:val="22"/>
          <w:highlight w:val="none"/>
        </w:rPr>
        <w:t>联合体的成员方</w:t>
      </w:r>
      <w:r>
        <w:rPr>
          <w:rFonts w:hint="eastAsia" w:ascii="宋体" w:hAnsi="宋体" w:cs="宋体"/>
          <w:color w:val="auto"/>
          <w:sz w:val="22"/>
          <w:highlight w:val="none"/>
        </w:rPr>
        <w:t>）之间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（填写是或者否）存在直接控股、管理关系。</w:t>
      </w:r>
    </w:p>
    <w:p w14:paraId="68D95CBB">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4、本协议书自签署之日起生效，在上述（4）a 所述的合同书规定的期限之后自行失效；如中标后，联合体内部另有协议的，联合体牵头人应将该协议书原件送交采购人。 </w:t>
      </w:r>
    </w:p>
    <w:p w14:paraId="6D1D7F16">
      <w:pPr>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5、如中标，本项目的采购代理服务费由联合体牵头人缴纳，合同款支付至合同约定的牵头人账号。</w:t>
      </w:r>
    </w:p>
    <w:p w14:paraId="4D0B49CE">
      <w:pPr>
        <w:widowControl/>
        <w:spacing w:line="360" w:lineRule="exact"/>
        <w:jc w:val="left"/>
        <w:rPr>
          <w:rFonts w:ascii="宋体" w:hAnsi="宋体" w:cs="宋体"/>
          <w:color w:val="auto"/>
          <w:kern w:val="0"/>
          <w:sz w:val="22"/>
          <w:highlight w:val="none"/>
        </w:rPr>
      </w:pPr>
    </w:p>
    <w:p w14:paraId="001E3EF4">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单位名称（</w:t>
      </w:r>
      <w:r>
        <w:rPr>
          <w:rFonts w:hint="eastAsia" w:ascii="宋体" w:hAnsi="宋体" w:cs="宋体"/>
          <w:color w:val="auto"/>
          <w:kern w:val="0"/>
          <w:sz w:val="24"/>
          <w:szCs w:val="24"/>
          <w:highlight w:val="none"/>
        </w:rPr>
        <w:t>电</w:t>
      </w:r>
      <w:r>
        <w:rPr>
          <w:rFonts w:hint="eastAsia" w:ascii="宋体" w:hAnsi="宋体" w:cs="宋体"/>
          <w:color w:val="auto"/>
          <w:kern w:val="0"/>
          <w:sz w:val="22"/>
          <w:highlight w:val="none"/>
        </w:rPr>
        <w:t xml:space="preserve">子签章或公章）：                         单位名称（电子签章或公章）： </w:t>
      </w:r>
    </w:p>
    <w:p w14:paraId="3424C008">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地址：                                               地址： </w:t>
      </w:r>
    </w:p>
    <w:p w14:paraId="1B6620D1">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法定代表人或授权代表（签字或盖章）：                 法定代表人或授权代表（签字或盖章）： </w:t>
      </w:r>
    </w:p>
    <w:p w14:paraId="7B639D10">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xml:space="preserve">联系方式：                                           联系方式： </w:t>
      </w:r>
    </w:p>
    <w:p w14:paraId="3A73C05E">
      <w:pPr>
        <w:widowControl/>
        <w:spacing w:line="36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协议签订时间：                                       协议签订时间：</w:t>
      </w:r>
    </w:p>
    <w:p w14:paraId="3B78EC45">
      <w:pPr>
        <w:pStyle w:val="2"/>
        <w:ind w:firstLine="229"/>
        <w:jc w:val="center"/>
        <w:rPr>
          <w:rFonts w:ascii="宋体" w:hAnsi="宋体" w:cs="宋体"/>
          <w:b w:val="0"/>
          <w:color w:val="auto"/>
          <w:sz w:val="24"/>
          <w:highlight w:val="none"/>
        </w:rPr>
      </w:pPr>
      <w:r>
        <w:rPr>
          <w:rFonts w:hint="eastAsia" w:ascii="宋体" w:hAnsi="宋体" w:cs="宋体"/>
          <w:color w:val="auto"/>
          <w:spacing w:val="-6"/>
          <w:sz w:val="24"/>
          <w:highlight w:val="none"/>
        </w:rPr>
        <w:br w:type="page"/>
      </w:r>
      <w:r>
        <w:rPr>
          <w:rFonts w:hint="eastAsia" w:ascii="宋体" w:hAnsi="宋体" w:cs="宋体"/>
          <w:b w:val="0"/>
          <w:bCs/>
          <w:color w:val="auto"/>
          <w:sz w:val="24"/>
          <w:highlight w:val="none"/>
        </w:rPr>
        <w:t>三、商务和技术文件部分封面格式</w:t>
      </w:r>
    </w:p>
    <w:p w14:paraId="09A0B3B1">
      <w:pPr>
        <w:spacing w:before="120" w:after="50"/>
        <w:jc w:val="center"/>
        <w:rPr>
          <w:rFonts w:ascii="宋体" w:hAnsi="宋体" w:cs="宋体"/>
          <w:b/>
          <w:bCs/>
          <w:color w:val="auto"/>
          <w:sz w:val="24"/>
          <w:highlight w:val="none"/>
        </w:rPr>
      </w:pPr>
    </w:p>
    <w:p w14:paraId="3603F82B">
      <w:pPr>
        <w:pStyle w:val="13"/>
        <w:ind w:left="0" w:leftChars="0" w:right="1470"/>
        <w:rPr>
          <w:rFonts w:ascii="宋体" w:hAnsi="宋体" w:cs="宋体"/>
          <w:b/>
          <w:color w:val="auto"/>
          <w:sz w:val="24"/>
          <w:szCs w:val="24"/>
          <w:highlight w:val="none"/>
        </w:rPr>
      </w:pPr>
    </w:p>
    <w:p w14:paraId="5C043CCB">
      <w:pPr>
        <w:spacing w:line="400" w:lineRule="exact"/>
        <w:jc w:val="center"/>
        <w:rPr>
          <w:rFonts w:ascii="宋体" w:hAnsi="宋体" w:cs="宋体"/>
          <w:b/>
          <w:bCs/>
          <w:color w:val="auto"/>
          <w:sz w:val="24"/>
          <w:szCs w:val="20"/>
          <w:highlight w:val="none"/>
        </w:rPr>
      </w:pPr>
    </w:p>
    <w:p w14:paraId="57C407AA">
      <w:pPr>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622040"/>
                <wp:effectExtent l="4445" t="4445" r="5080" b="12065"/>
                <wp:wrapTopAndBottom/>
                <wp:docPr id="3" name="00006c"/>
                <wp:cNvGraphicFramePr/>
                <a:graphic xmlns:a="http://schemas.openxmlformats.org/drawingml/2006/main">
                  <a:graphicData uri="http://schemas.microsoft.com/office/word/2010/wordprocessingShape">
                    <wps:wsp>
                      <wps:cNvSpPr txBox="1"/>
                      <wps:spPr>
                        <a:xfrm>
                          <a:off x="0" y="0"/>
                          <a:ext cx="5076825" cy="3622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AAFDFB">
                            <w:pPr>
                              <w:spacing w:before="120" w:after="50"/>
                              <w:jc w:val="right"/>
                              <w:rPr>
                                <w:rFonts w:ascii="宋体" w:hAnsi="宋体"/>
                                <w:b/>
                                <w:bCs/>
                                <w:sz w:val="32"/>
                                <w:szCs w:val="20"/>
                              </w:rPr>
                            </w:pPr>
                          </w:p>
                          <w:p w14:paraId="7509CE18">
                            <w:pPr>
                              <w:spacing w:before="120" w:after="50"/>
                              <w:ind w:left="-850" w:leftChars="-405"/>
                              <w:rPr>
                                <w:rFonts w:ascii="宋体" w:hAnsi="宋体"/>
                                <w:sz w:val="24"/>
                                <w:szCs w:val="20"/>
                              </w:rPr>
                            </w:pPr>
                          </w:p>
                          <w:p w14:paraId="176ED764">
                            <w:pPr>
                              <w:spacing w:before="120" w:after="50"/>
                              <w:jc w:val="center"/>
                              <w:rPr>
                                <w:rFonts w:ascii="宋体" w:hAnsi="宋体"/>
                                <w:bCs/>
                                <w:sz w:val="24"/>
                                <w:szCs w:val="20"/>
                              </w:rPr>
                            </w:pPr>
                            <w:r>
                              <w:rPr>
                                <w:rFonts w:hint="eastAsia" w:ascii="宋体" w:hAnsi="宋体"/>
                                <w:bCs/>
                                <w:sz w:val="24"/>
                                <w:szCs w:val="20"/>
                              </w:rPr>
                              <w:t>商务和技术文件</w:t>
                            </w:r>
                          </w:p>
                          <w:p w14:paraId="6121B57C">
                            <w:pPr>
                              <w:spacing w:before="120" w:after="50"/>
                              <w:rPr>
                                <w:rFonts w:ascii="宋体" w:hAnsi="宋体"/>
                                <w:bCs/>
                                <w:sz w:val="24"/>
                                <w:szCs w:val="20"/>
                              </w:rPr>
                            </w:pPr>
                          </w:p>
                          <w:p w14:paraId="0687D538">
                            <w:pPr>
                              <w:spacing w:before="120" w:after="50"/>
                              <w:ind w:firstLine="1068" w:firstLineChars="445"/>
                              <w:rPr>
                                <w:rFonts w:ascii="宋体" w:hAnsi="宋体"/>
                                <w:bCs/>
                                <w:sz w:val="24"/>
                              </w:rPr>
                            </w:pPr>
                            <w:r>
                              <w:rPr>
                                <w:rFonts w:hint="eastAsia" w:ascii="宋体" w:hAnsi="宋体"/>
                                <w:bCs/>
                                <w:sz w:val="24"/>
                              </w:rPr>
                              <w:t>项目名称：</w:t>
                            </w:r>
                          </w:p>
                          <w:p w14:paraId="39C39399">
                            <w:pPr>
                              <w:spacing w:before="120" w:after="50"/>
                              <w:ind w:firstLine="1068" w:firstLineChars="445"/>
                              <w:rPr>
                                <w:rFonts w:ascii="宋体" w:hAnsi="宋体"/>
                                <w:bCs/>
                                <w:sz w:val="24"/>
                              </w:rPr>
                            </w:pPr>
                            <w:r>
                              <w:rPr>
                                <w:rFonts w:hint="eastAsia" w:ascii="宋体" w:hAnsi="宋体"/>
                                <w:bCs/>
                                <w:sz w:val="24"/>
                              </w:rPr>
                              <w:t>项目编号：</w:t>
                            </w:r>
                          </w:p>
                          <w:p w14:paraId="28726432">
                            <w:pPr>
                              <w:spacing w:before="12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64EB6D3">
                            <w:pPr>
                              <w:spacing w:before="120" w:after="50"/>
                              <w:ind w:firstLine="1068" w:firstLineChars="445"/>
                              <w:rPr>
                                <w:rFonts w:ascii="宋体" w:hAnsi="宋体"/>
                                <w:bCs/>
                                <w:sz w:val="24"/>
                              </w:rPr>
                            </w:pPr>
                            <w:r>
                              <w:rPr>
                                <w:rFonts w:hint="eastAsia" w:ascii="宋体" w:hAnsi="宋体"/>
                                <w:bCs/>
                                <w:sz w:val="24"/>
                              </w:rPr>
                              <w:t>投标人地址：</w:t>
                            </w:r>
                          </w:p>
                          <w:p w14:paraId="40198C74">
                            <w:pPr>
                              <w:spacing w:before="120" w:after="50"/>
                              <w:ind w:firstLine="1068" w:firstLineChars="445"/>
                              <w:rPr>
                                <w:rFonts w:ascii="宋体" w:hAnsi="宋体"/>
                                <w:bCs/>
                                <w:sz w:val="24"/>
                              </w:rPr>
                            </w:pPr>
                          </w:p>
                          <w:p w14:paraId="5E917381">
                            <w:pPr>
                              <w:spacing w:before="120" w:after="50"/>
                              <w:ind w:firstLine="4080" w:firstLineChars="1700"/>
                              <w:rPr>
                                <w:rFonts w:ascii="宋体" w:hAnsi="宋体"/>
                                <w:sz w:val="24"/>
                                <w:szCs w:val="20"/>
                              </w:rPr>
                            </w:pPr>
                          </w:p>
                          <w:p w14:paraId="2B00E255">
                            <w:r>
                              <w:rPr>
                                <w:rFonts w:hint="eastAsia"/>
                                <w:sz w:val="24"/>
                              </w:rPr>
                              <w:t>年月日</w:t>
                            </w:r>
                          </w:p>
                          <w:p w14:paraId="79348B4D"/>
                        </w:txbxContent>
                      </wps:txbx>
                      <wps:bodyPr upright="1"/>
                    </wps:wsp>
                  </a:graphicData>
                </a:graphic>
              </wp:anchor>
            </w:drawing>
          </mc:Choice>
          <mc:Fallback>
            <w:pict>
              <v:shape id="00006c" o:spid="_x0000_s1026" o:spt="202" type="#_x0000_t202" style="position:absolute;left:0pt;margin-left:30.7pt;margin-top:16pt;height:285.2pt;width:399.75pt;mso-wrap-distance-bottom:0pt;mso-wrap-distance-top:0pt;z-index:251661312;mso-width-relative:page;mso-height-relative:page;" fillcolor="#FFFFFF" filled="t" stroked="t" coordsize="21600,21600" o:gfxdata="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rtx32AAAAAkBAAAPAAAAAAAAAAEAIAAAACIAAABkcnMvZG93bnJl&#10;di54bWxQSwECFAAUAAAACACHTuJAo6kVDv0BAAAyBAAADgAAAAAAAAABACAAAAAnAQAAZHJzL2Uy&#10;b0RvYy54bWxQSwUGAAAAAAYABgBZAQAAlgUAAAAA&#10;">
                <v:fill on="t" focussize="0,0"/>
                <v:stroke color="#000000" joinstyle="miter"/>
                <v:imagedata o:title=""/>
                <o:lock v:ext="edit" aspectratio="f"/>
                <v:textbox>
                  <w:txbxContent>
                    <w:p w14:paraId="6AAAFDFB">
                      <w:pPr>
                        <w:spacing w:before="120" w:after="50"/>
                        <w:jc w:val="right"/>
                        <w:rPr>
                          <w:rFonts w:ascii="宋体" w:hAnsi="宋体"/>
                          <w:b/>
                          <w:bCs/>
                          <w:sz w:val="32"/>
                          <w:szCs w:val="20"/>
                        </w:rPr>
                      </w:pPr>
                    </w:p>
                    <w:p w14:paraId="7509CE18">
                      <w:pPr>
                        <w:spacing w:before="120" w:after="50"/>
                        <w:ind w:left="-850" w:leftChars="-405"/>
                        <w:rPr>
                          <w:rFonts w:ascii="宋体" w:hAnsi="宋体"/>
                          <w:sz w:val="24"/>
                          <w:szCs w:val="20"/>
                        </w:rPr>
                      </w:pPr>
                    </w:p>
                    <w:p w14:paraId="176ED764">
                      <w:pPr>
                        <w:spacing w:before="120" w:after="50"/>
                        <w:jc w:val="center"/>
                        <w:rPr>
                          <w:rFonts w:ascii="宋体" w:hAnsi="宋体"/>
                          <w:bCs/>
                          <w:sz w:val="24"/>
                          <w:szCs w:val="20"/>
                        </w:rPr>
                      </w:pPr>
                      <w:r>
                        <w:rPr>
                          <w:rFonts w:hint="eastAsia" w:ascii="宋体" w:hAnsi="宋体"/>
                          <w:bCs/>
                          <w:sz w:val="24"/>
                          <w:szCs w:val="20"/>
                        </w:rPr>
                        <w:t>商务和技术文件</w:t>
                      </w:r>
                    </w:p>
                    <w:p w14:paraId="6121B57C">
                      <w:pPr>
                        <w:spacing w:before="120" w:after="50"/>
                        <w:rPr>
                          <w:rFonts w:ascii="宋体" w:hAnsi="宋体"/>
                          <w:bCs/>
                          <w:sz w:val="24"/>
                          <w:szCs w:val="20"/>
                        </w:rPr>
                      </w:pPr>
                    </w:p>
                    <w:p w14:paraId="0687D538">
                      <w:pPr>
                        <w:spacing w:before="120" w:after="50"/>
                        <w:ind w:firstLine="1068" w:firstLineChars="445"/>
                        <w:rPr>
                          <w:rFonts w:ascii="宋体" w:hAnsi="宋体"/>
                          <w:bCs/>
                          <w:sz w:val="24"/>
                        </w:rPr>
                      </w:pPr>
                      <w:r>
                        <w:rPr>
                          <w:rFonts w:hint="eastAsia" w:ascii="宋体" w:hAnsi="宋体"/>
                          <w:bCs/>
                          <w:sz w:val="24"/>
                        </w:rPr>
                        <w:t>项目名称：</w:t>
                      </w:r>
                    </w:p>
                    <w:p w14:paraId="39C39399">
                      <w:pPr>
                        <w:spacing w:before="120" w:after="50"/>
                        <w:ind w:firstLine="1068" w:firstLineChars="445"/>
                        <w:rPr>
                          <w:rFonts w:ascii="宋体" w:hAnsi="宋体"/>
                          <w:bCs/>
                          <w:sz w:val="24"/>
                        </w:rPr>
                      </w:pPr>
                      <w:r>
                        <w:rPr>
                          <w:rFonts w:hint="eastAsia" w:ascii="宋体" w:hAnsi="宋体"/>
                          <w:bCs/>
                          <w:sz w:val="24"/>
                        </w:rPr>
                        <w:t>项目编号：</w:t>
                      </w:r>
                    </w:p>
                    <w:p w14:paraId="28726432">
                      <w:pPr>
                        <w:spacing w:before="12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264EB6D3">
                      <w:pPr>
                        <w:spacing w:before="120" w:after="50"/>
                        <w:ind w:firstLine="1068" w:firstLineChars="445"/>
                        <w:rPr>
                          <w:rFonts w:ascii="宋体" w:hAnsi="宋体"/>
                          <w:bCs/>
                          <w:sz w:val="24"/>
                        </w:rPr>
                      </w:pPr>
                      <w:r>
                        <w:rPr>
                          <w:rFonts w:hint="eastAsia" w:ascii="宋体" w:hAnsi="宋体"/>
                          <w:bCs/>
                          <w:sz w:val="24"/>
                        </w:rPr>
                        <w:t>投标人地址：</w:t>
                      </w:r>
                    </w:p>
                    <w:p w14:paraId="40198C74">
                      <w:pPr>
                        <w:spacing w:before="120" w:after="50"/>
                        <w:ind w:firstLine="1068" w:firstLineChars="445"/>
                        <w:rPr>
                          <w:rFonts w:ascii="宋体" w:hAnsi="宋体"/>
                          <w:bCs/>
                          <w:sz w:val="24"/>
                        </w:rPr>
                      </w:pPr>
                    </w:p>
                    <w:p w14:paraId="5E917381">
                      <w:pPr>
                        <w:spacing w:before="120" w:after="50"/>
                        <w:ind w:firstLine="4080" w:firstLineChars="1700"/>
                        <w:rPr>
                          <w:rFonts w:ascii="宋体" w:hAnsi="宋体"/>
                          <w:sz w:val="24"/>
                          <w:szCs w:val="20"/>
                        </w:rPr>
                      </w:pPr>
                    </w:p>
                    <w:p w14:paraId="2B00E255">
                      <w:r>
                        <w:rPr>
                          <w:rFonts w:hint="eastAsia"/>
                          <w:sz w:val="24"/>
                        </w:rPr>
                        <w:t>年月日</w:t>
                      </w:r>
                    </w:p>
                    <w:p w14:paraId="79348B4D"/>
                  </w:txbxContent>
                </v:textbox>
                <w10:wrap type="topAndBottom"/>
              </v:shape>
            </w:pict>
          </mc:Fallback>
        </mc:AlternateContent>
      </w:r>
    </w:p>
    <w:p w14:paraId="5E3C4A46">
      <w:pPr>
        <w:spacing w:before="120" w:after="50"/>
        <w:jc w:val="center"/>
        <w:rPr>
          <w:rFonts w:ascii="宋体" w:hAnsi="宋体" w:cs="宋体"/>
          <w:b/>
          <w:bCs/>
          <w:color w:val="auto"/>
          <w:sz w:val="24"/>
          <w:highlight w:val="none"/>
        </w:rPr>
      </w:pPr>
    </w:p>
    <w:p w14:paraId="58986C19">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br w:type="page"/>
      </w:r>
      <w:r>
        <w:rPr>
          <w:rFonts w:hint="eastAsia" w:ascii="宋体" w:hAnsi="宋体" w:cs="宋体"/>
          <w:b/>
          <w:color w:val="auto"/>
          <w:sz w:val="28"/>
          <w:highlight w:val="none"/>
        </w:rPr>
        <w:t>商务和技术文件</w:t>
      </w:r>
    </w:p>
    <w:p w14:paraId="217BAAF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14:paraId="76BE2AD1">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14:paraId="738CE5A4">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为了方便专家评审投标文件，针对招标文件评分细则要求，投标人应制作投标文件索引，置于投标文件首页，格式如下：</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6956"/>
        <w:gridCol w:w="1313"/>
      </w:tblGrid>
      <w:tr w14:paraId="42EC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5BCB04A2">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19612AB2">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249EFE42">
            <w:pPr>
              <w:pStyle w:val="68"/>
              <w:tabs>
                <w:tab w:val="clear" w:pos="1418"/>
              </w:tabs>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5A47C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764ABC68">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75832BD5">
            <w:pPr>
              <w:spacing w:line="400" w:lineRule="exact"/>
              <w:jc w:val="left"/>
              <w:rPr>
                <w:rFonts w:ascii="宋体" w:hAnsi="宋体" w:cs="宋体"/>
                <w:color w:val="auto"/>
                <w:kern w:val="0"/>
                <w:sz w:val="24"/>
                <w:szCs w:val="24"/>
                <w:highlight w:val="none"/>
              </w:rPr>
            </w:pPr>
          </w:p>
          <w:p w14:paraId="3761D371">
            <w:pPr>
              <w:spacing w:line="400" w:lineRule="exact"/>
              <w:jc w:val="left"/>
              <w:rPr>
                <w:rFonts w:ascii="宋体" w:hAnsi="宋体" w:cs="宋体"/>
                <w:color w:val="auto"/>
                <w:kern w:val="0"/>
                <w:sz w:val="24"/>
                <w:szCs w:val="24"/>
                <w:highlight w:val="none"/>
              </w:rPr>
            </w:pPr>
          </w:p>
        </w:tc>
        <w:tc>
          <w:tcPr>
            <w:tcW w:w="1313" w:type="dxa"/>
            <w:vAlign w:val="center"/>
          </w:tcPr>
          <w:p w14:paraId="6C633D95">
            <w:pPr>
              <w:pStyle w:val="11"/>
              <w:spacing w:line="400" w:lineRule="exact"/>
              <w:ind w:left="456" w:hanging="456"/>
              <w:rPr>
                <w:rFonts w:ascii="宋体" w:hAnsi="宋体" w:cs="宋体"/>
                <w:color w:val="auto"/>
                <w:spacing w:val="-6"/>
                <w:szCs w:val="24"/>
                <w:highlight w:val="none"/>
              </w:rPr>
            </w:pPr>
          </w:p>
        </w:tc>
      </w:tr>
      <w:tr w14:paraId="1AAAE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41D3E679">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1FEE774B">
            <w:pPr>
              <w:spacing w:line="400" w:lineRule="exact"/>
              <w:jc w:val="left"/>
              <w:rPr>
                <w:rFonts w:ascii="宋体" w:hAnsi="宋体" w:cs="宋体"/>
                <w:color w:val="auto"/>
                <w:kern w:val="0"/>
                <w:sz w:val="24"/>
                <w:szCs w:val="24"/>
                <w:highlight w:val="none"/>
              </w:rPr>
            </w:pPr>
          </w:p>
        </w:tc>
        <w:tc>
          <w:tcPr>
            <w:tcW w:w="1313" w:type="dxa"/>
            <w:vAlign w:val="center"/>
          </w:tcPr>
          <w:p w14:paraId="6BDDA2ED">
            <w:pPr>
              <w:pStyle w:val="11"/>
              <w:spacing w:line="400" w:lineRule="exact"/>
              <w:rPr>
                <w:rFonts w:ascii="宋体" w:hAnsi="宋体" w:cs="宋体"/>
                <w:color w:val="auto"/>
                <w:szCs w:val="24"/>
                <w:highlight w:val="none"/>
              </w:rPr>
            </w:pPr>
          </w:p>
        </w:tc>
      </w:tr>
      <w:tr w14:paraId="1F9F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61A29779">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456C1667">
            <w:pPr>
              <w:spacing w:line="400" w:lineRule="exact"/>
              <w:rPr>
                <w:rFonts w:ascii="宋体" w:hAnsi="宋体" w:cs="宋体"/>
                <w:color w:val="auto"/>
                <w:sz w:val="24"/>
                <w:szCs w:val="24"/>
                <w:highlight w:val="none"/>
              </w:rPr>
            </w:pPr>
          </w:p>
        </w:tc>
        <w:tc>
          <w:tcPr>
            <w:tcW w:w="1313" w:type="dxa"/>
          </w:tcPr>
          <w:p w14:paraId="2BE7B273">
            <w:pPr>
              <w:spacing w:line="400" w:lineRule="exact"/>
              <w:rPr>
                <w:rFonts w:ascii="宋体" w:hAnsi="宋体" w:cs="宋体"/>
                <w:bCs/>
                <w:color w:val="auto"/>
                <w:sz w:val="24"/>
                <w:szCs w:val="24"/>
                <w:highlight w:val="none"/>
              </w:rPr>
            </w:pPr>
          </w:p>
        </w:tc>
      </w:tr>
      <w:tr w14:paraId="65B9D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34EF6DD1">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6703B2C1">
            <w:pPr>
              <w:spacing w:line="400" w:lineRule="exact"/>
              <w:rPr>
                <w:rFonts w:ascii="宋体" w:hAnsi="宋体" w:cs="宋体"/>
                <w:color w:val="auto"/>
                <w:sz w:val="24"/>
                <w:szCs w:val="24"/>
                <w:highlight w:val="none"/>
              </w:rPr>
            </w:pPr>
          </w:p>
        </w:tc>
        <w:tc>
          <w:tcPr>
            <w:tcW w:w="1313" w:type="dxa"/>
          </w:tcPr>
          <w:p w14:paraId="570EE5F6">
            <w:pPr>
              <w:spacing w:line="400" w:lineRule="exact"/>
              <w:rPr>
                <w:rFonts w:ascii="宋体" w:hAnsi="宋体" w:cs="宋体"/>
                <w:bCs/>
                <w:color w:val="auto"/>
                <w:sz w:val="24"/>
                <w:szCs w:val="24"/>
                <w:highlight w:val="none"/>
              </w:rPr>
            </w:pPr>
          </w:p>
        </w:tc>
      </w:tr>
      <w:tr w14:paraId="4922A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1798F260">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43F4EA1E">
            <w:pPr>
              <w:spacing w:line="400" w:lineRule="exact"/>
              <w:jc w:val="left"/>
              <w:rPr>
                <w:rFonts w:ascii="宋体" w:hAnsi="宋体" w:cs="宋体"/>
                <w:color w:val="auto"/>
                <w:sz w:val="24"/>
                <w:szCs w:val="24"/>
                <w:highlight w:val="none"/>
              </w:rPr>
            </w:pPr>
          </w:p>
        </w:tc>
        <w:tc>
          <w:tcPr>
            <w:tcW w:w="1313" w:type="dxa"/>
          </w:tcPr>
          <w:p w14:paraId="5DD09D6A">
            <w:pPr>
              <w:spacing w:line="400" w:lineRule="exact"/>
              <w:rPr>
                <w:rFonts w:ascii="宋体" w:hAnsi="宋体" w:cs="宋体"/>
                <w:bCs/>
                <w:color w:val="auto"/>
                <w:sz w:val="24"/>
                <w:szCs w:val="24"/>
                <w:highlight w:val="none"/>
              </w:rPr>
            </w:pPr>
          </w:p>
        </w:tc>
      </w:tr>
      <w:tr w14:paraId="1D143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27BA04B0">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530FFAC1">
            <w:pPr>
              <w:spacing w:line="400" w:lineRule="exact"/>
              <w:jc w:val="left"/>
              <w:rPr>
                <w:rFonts w:ascii="宋体" w:hAnsi="宋体" w:cs="宋体"/>
                <w:color w:val="auto"/>
                <w:sz w:val="24"/>
                <w:szCs w:val="24"/>
                <w:highlight w:val="none"/>
              </w:rPr>
            </w:pPr>
          </w:p>
        </w:tc>
        <w:tc>
          <w:tcPr>
            <w:tcW w:w="1313" w:type="dxa"/>
          </w:tcPr>
          <w:p w14:paraId="715985AD">
            <w:pPr>
              <w:spacing w:line="400" w:lineRule="exact"/>
              <w:rPr>
                <w:rFonts w:ascii="宋体" w:hAnsi="宋体" w:cs="宋体"/>
                <w:bCs/>
                <w:color w:val="auto"/>
                <w:sz w:val="24"/>
                <w:szCs w:val="24"/>
                <w:highlight w:val="none"/>
              </w:rPr>
            </w:pPr>
          </w:p>
        </w:tc>
      </w:tr>
      <w:tr w14:paraId="2630F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0665E67F">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4217AED5">
            <w:pPr>
              <w:spacing w:line="400" w:lineRule="exact"/>
              <w:jc w:val="left"/>
              <w:rPr>
                <w:rFonts w:ascii="宋体" w:hAnsi="宋体" w:cs="宋体"/>
                <w:color w:val="auto"/>
                <w:sz w:val="24"/>
                <w:szCs w:val="24"/>
                <w:highlight w:val="none"/>
              </w:rPr>
            </w:pPr>
          </w:p>
        </w:tc>
        <w:tc>
          <w:tcPr>
            <w:tcW w:w="1313" w:type="dxa"/>
          </w:tcPr>
          <w:p w14:paraId="3A5F61F7">
            <w:pPr>
              <w:spacing w:line="400" w:lineRule="exact"/>
              <w:rPr>
                <w:rFonts w:ascii="宋体" w:hAnsi="宋体" w:cs="宋体"/>
                <w:bCs/>
                <w:color w:val="auto"/>
                <w:sz w:val="24"/>
                <w:szCs w:val="24"/>
                <w:highlight w:val="none"/>
              </w:rPr>
            </w:pPr>
          </w:p>
        </w:tc>
      </w:tr>
      <w:tr w14:paraId="701E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38BD4592">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00450FB1">
            <w:pPr>
              <w:spacing w:line="400" w:lineRule="exact"/>
              <w:rPr>
                <w:rFonts w:ascii="宋体" w:hAnsi="宋体" w:cs="宋体"/>
                <w:color w:val="auto"/>
                <w:sz w:val="24"/>
                <w:szCs w:val="24"/>
                <w:highlight w:val="none"/>
              </w:rPr>
            </w:pPr>
          </w:p>
        </w:tc>
        <w:tc>
          <w:tcPr>
            <w:tcW w:w="1313" w:type="dxa"/>
          </w:tcPr>
          <w:p w14:paraId="0C2E219F">
            <w:pPr>
              <w:spacing w:line="400" w:lineRule="exact"/>
              <w:rPr>
                <w:rFonts w:ascii="宋体" w:hAnsi="宋体" w:cs="宋体"/>
                <w:bCs/>
                <w:color w:val="auto"/>
                <w:sz w:val="24"/>
                <w:szCs w:val="24"/>
                <w:highlight w:val="none"/>
              </w:rPr>
            </w:pPr>
          </w:p>
        </w:tc>
      </w:tr>
      <w:tr w14:paraId="41F5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44621C12">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9</w:t>
            </w:r>
          </w:p>
        </w:tc>
        <w:tc>
          <w:tcPr>
            <w:tcW w:w="6956" w:type="dxa"/>
            <w:vAlign w:val="center"/>
          </w:tcPr>
          <w:p w14:paraId="0A6642C3">
            <w:pPr>
              <w:spacing w:line="400" w:lineRule="exact"/>
              <w:jc w:val="left"/>
              <w:rPr>
                <w:rFonts w:ascii="宋体" w:hAnsi="宋体" w:cs="宋体"/>
                <w:color w:val="auto"/>
                <w:sz w:val="24"/>
                <w:szCs w:val="24"/>
                <w:highlight w:val="none"/>
              </w:rPr>
            </w:pPr>
          </w:p>
        </w:tc>
        <w:tc>
          <w:tcPr>
            <w:tcW w:w="1313" w:type="dxa"/>
          </w:tcPr>
          <w:p w14:paraId="7CB0DECB">
            <w:pPr>
              <w:spacing w:line="400" w:lineRule="exact"/>
              <w:rPr>
                <w:rFonts w:ascii="宋体" w:hAnsi="宋体" w:cs="宋体"/>
                <w:bCs/>
                <w:color w:val="auto"/>
                <w:sz w:val="24"/>
                <w:szCs w:val="24"/>
                <w:highlight w:val="none"/>
              </w:rPr>
            </w:pPr>
          </w:p>
        </w:tc>
      </w:tr>
      <w:tr w14:paraId="128C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02" w:type="dxa"/>
            <w:vAlign w:val="center"/>
          </w:tcPr>
          <w:p w14:paraId="099ABD89">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6B3A711C">
            <w:pPr>
              <w:spacing w:line="400" w:lineRule="exact"/>
              <w:jc w:val="left"/>
              <w:rPr>
                <w:rFonts w:ascii="宋体" w:hAnsi="宋体" w:cs="宋体"/>
                <w:color w:val="auto"/>
                <w:sz w:val="24"/>
                <w:szCs w:val="24"/>
                <w:highlight w:val="none"/>
              </w:rPr>
            </w:pPr>
          </w:p>
        </w:tc>
        <w:tc>
          <w:tcPr>
            <w:tcW w:w="1313" w:type="dxa"/>
          </w:tcPr>
          <w:p w14:paraId="28ABBE71">
            <w:pPr>
              <w:spacing w:line="400" w:lineRule="exact"/>
              <w:rPr>
                <w:rFonts w:ascii="宋体" w:hAnsi="宋体" w:cs="宋体"/>
                <w:bCs/>
                <w:color w:val="auto"/>
                <w:sz w:val="24"/>
                <w:szCs w:val="24"/>
                <w:highlight w:val="none"/>
              </w:rPr>
            </w:pPr>
          </w:p>
        </w:tc>
      </w:tr>
    </w:tbl>
    <w:p w14:paraId="69012996">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2B5A470F">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784F1849">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046C13A9">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附件6</w:t>
      </w:r>
    </w:p>
    <w:p w14:paraId="2A3F06F2">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法定代表人资格证明书</w:t>
      </w:r>
    </w:p>
    <w:p w14:paraId="6633C189">
      <w:pPr>
        <w:spacing w:line="360" w:lineRule="auto"/>
        <w:ind w:right="-11"/>
        <w:jc w:val="center"/>
        <w:rPr>
          <w:rFonts w:ascii="宋体" w:hAnsi="宋体" w:cs="宋体"/>
          <w:b/>
          <w:bCs/>
          <w:color w:val="auto"/>
          <w:sz w:val="28"/>
          <w:szCs w:val="28"/>
          <w:highlight w:val="none"/>
        </w:rPr>
      </w:pPr>
      <w:r>
        <w:rPr>
          <w:rFonts w:hint="eastAsia" w:ascii="宋体" w:hAnsi="宋体" w:cs="宋体"/>
          <w:b/>
          <w:bCs/>
          <w:color w:val="auto"/>
          <w:sz w:val="24"/>
          <w:szCs w:val="24"/>
          <w:highlight w:val="none"/>
        </w:rPr>
        <w:t>（适用于法定代表人、单位负责人或者自然人本人代表投标人参加投标）</w:t>
      </w:r>
    </w:p>
    <w:p w14:paraId="5DAA3510">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r>
        <w:rPr>
          <w:rFonts w:hint="eastAsia" w:ascii="宋体" w:hAnsi="宋体" w:cs="宋体"/>
          <w:color w:val="auto"/>
          <w:sz w:val="24"/>
          <w:szCs w:val="24"/>
          <w:highlight w:val="none"/>
        </w:rPr>
        <w:t>：</w:t>
      </w:r>
    </w:p>
    <w:p w14:paraId="774292CA">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（职务名称）</w:t>
      </w:r>
      <w:r>
        <w:rPr>
          <w:rFonts w:hint="eastAsia" w:ascii="宋体" w:hAnsi="宋体" w:cs="宋体"/>
          <w:color w:val="auto"/>
          <w:sz w:val="24"/>
          <w:szCs w:val="24"/>
          <w:highlight w:val="none"/>
        </w:rPr>
        <w:t>职务，是我单位的法定代表人。</w:t>
      </w:r>
    </w:p>
    <w:p w14:paraId="6BE5A047">
      <w:pPr>
        <w:spacing w:line="400" w:lineRule="exa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4342929F">
      <w:pPr>
        <w:spacing w:line="400" w:lineRule="exact"/>
        <w:jc w:val="left"/>
        <w:rPr>
          <w:rFonts w:ascii="宋体" w:hAnsi="宋体" w:cs="宋体"/>
          <w:b/>
          <w:bCs/>
          <w:color w:val="auto"/>
          <w:sz w:val="24"/>
          <w:szCs w:val="24"/>
          <w:highlight w:val="none"/>
        </w:rPr>
      </w:pPr>
    </w:p>
    <w:p w14:paraId="355B3A13">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14:paraId="742A7B91">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3D9FAF39">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投标人全称（电子签章或公章）</w:t>
      </w:r>
    </w:p>
    <w:p w14:paraId="1D7B5F0B">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6799AA49">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4" name="00006d"/>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154598">
                            <w:pPr>
                              <w:rPr>
                                <w:rFonts w:ascii="宋体" w:hAnsi="宋体" w:cs="宋体"/>
                                <w:sz w:val="24"/>
                                <w:szCs w:val="24"/>
                              </w:rPr>
                            </w:pPr>
                            <w:r>
                              <w:rPr>
                                <w:rFonts w:hint="eastAsia" w:ascii="宋体" w:hAnsi="宋体" w:cs="宋体"/>
                                <w:sz w:val="24"/>
                                <w:szCs w:val="24"/>
                              </w:rPr>
                              <w:t>法人代表身份证复印件粘贴：</w:t>
                            </w:r>
                          </w:p>
                          <w:p w14:paraId="2E3ABA7E"/>
                        </w:txbxContent>
                      </wps:txbx>
                      <wps:bodyPr upright="1"/>
                    </wps:wsp>
                  </a:graphicData>
                </a:graphic>
              </wp:anchor>
            </w:drawing>
          </mc:Choice>
          <mc:Fallback>
            <w:pict>
              <v:shape id="00006d"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l8mDtgAAAAJAQAADwAAAAAAAAABACAAAAAiAAAAZHJzL2Rvd25y&#10;ZXYueG1sUEsBAhQAFAAAAAgAh07iQIBxgRv+AQAAMgQAAA4AAAAAAAAAAQAgAAAAJwEAAGRycy9l&#10;Mm9Eb2MueG1sUEsFBgAAAAAGAAYAWQEAAJcFAAAAAA==&#10;">
                <v:fill on="t" focussize="0,0"/>
                <v:stroke color="#000000" joinstyle="miter"/>
                <v:imagedata o:title=""/>
                <o:lock v:ext="edit" aspectratio="f"/>
                <v:textbox>
                  <w:txbxContent>
                    <w:p w14:paraId="54154598">
                      <w:pPr>
                        <w:rPr>
                          <w:rFonts w:ascii="宋体" w:hAnsi="宋体" w:cs="宋体"/>
                          <w:sz w:val="24"/>
                          <w:szCs w:val="24"/>
                        </w:rPr>
                      </w:pPr>
                      <w:r>
                        <w:rPr>
                          <w:rFonts w:hint="eastAsia" w:ascii="宋体" w:hAnsi="宋体" w:cs="宋体"/>
                          <w:sz w:val="24"/>
                          <w:szCs w:val="24"/>
                        </w:rPr>
                        <w:t>法人代表身份证复印件粘贴：</w:t>
                      </w:r>
                    </w:p>
                    <w:p w14:paraId="2E3ABA7E"/>
                  </w:txbxContent>
                </v:textbox>
              </v:shape>
            </w:pict>
          </mc:Fallback>
        </mc:AlternateContent>
      </w:r>
    </w:p>
    <w:p w14:paraId="5C0DB1E2">
      <w:pPr>
        <w:spacing w:line="400" w:lineRule="exact"/>
        <w:rPr>
          <w:rFonts w:ascii="宋体" w:hAnsi="宋体" w:cs="宋体"/>
          <w:b/>
          <w:bCs/>
          <w:color w:val="auto"/>
          <w:sz w:val="24"/>
          <w:szCs w:val="24"/>
          <w:highlight w:val="none"/>
        </w:rPr>
      </w:pPr>
    </w:p>
    <w:p w14:paraId="73FAFF2E">
      <w:pPr>
        <w:spacing w:line="400" w:lineRule="exact"/>
        <w:rPr>
          <w:rFonts w:ascii="宋体" w:hAnsi="宋体" w:cs="宋体"/>
          <w:b/>
          <w:bCs/>
          <w:color w:val="auto"/>
          <w:sz w:val="24"/>
          <w:szCs w:val="24"/>
          <w:highlight w:val="none"/>
        </w:rPr>
      </w:pPr>
    </w:p>
    <w:p w14:paraId="6C7708CB">
      <w:pPr>
        <w:spacing w:line="400" w:lineRule="exact"/>
        <w:rPr>
          <w:rFonts w:ascii="宋体" w:hAnsi="宋体" w:cs="宋体"/>
          <w:b/>
          <w:bCs/>
          <w:color w:val="auto"/>
          <w:sz w:val="24"/>
          <w:szCs w:val="24"/>
          <w:highlight w:val="none"/>
        </w:rPr>
      </w:pPr>
    </w:p>
    <w:p w14:paraId="0C6DE9A0">
      <w:pPr>
        <w:spacing w:line="400" w:lineRule="exact"/>
        <w:rPr>
          <w:rFonts w:ascii="宋体" w:hAnsi="宋体" w:cs="宋体"/>
          <w:b/>
          <w:bCs/>
          <w:color w:val="auto"/>
          <w:sz w:val="24"/>
          <w:szCs w:val="24"/>
          <w:highlight w:val="none"/>
        </w:rPr>
      </w:pPr>
    </w:p>
    <w:p w14:paraId="7B410CF8">
      <w:pPr>
        <w:spacing w:line="400" w:lineRule="exact"/>
        <w:rPr>
          <w:rFonts w:ascii="宋体" w:hAnsi="宋体" w:cs="宋体"/>
          <w:b/>
          <w:bCs/>
          <w:color w:val="auto"/>
          <w:sz w:val="24"/>
          <w:szCs w:val="24"/>
          <w:highlight w:val="none"/>
        </w:rPr>
      </w:pPr>
    </w:p>
    <w:p w14:paraId="365A7FCF">
      <w:pPr>
        <w:spacing w:line="400" w:lineRule="exact"/>
        <w:rPr>
          <w:rFonts w:ascii="宋体" w:hAnsi="宋体" w:cs="宋体"/>
          <w:b/>
          <w:bCs/>
          <w:color w:val="auto"/>
          <w:sz w:val="24"/>
          <w:szCs w:val="24"/>
          <w:highlight w:val="none"/>
        </w:rPr>
      </w:pPr>
    </w:p>
    <w:p w14:paraId="4D72F87A">
      <w:pPr>
        <w:spacing w:line="400" w:lineRule="exact"/>
        <w:rPr>
          <w:rFonts w:ascii="宋体" w:hAnsi="宋体" w:cs="宋体"/>
          <w:b/>
          <w:bCs/>
          <w:color w:val="auto"/>
          <w:sz w:val="24"/>
          <w:szCs w:val="24"/>
          <w:highlight w:val="none"/>
        </w:rPr>
      </w:pPr>
    </w:p>
    <w:p w14:paraId="72E4FA20">
      <w:pPr>
        <w:spacing w:line="400" w:lineRule="exact"/>
        <w:rPr>
          <w:rFonts w:ascii="宋体" w:hAnsi="宋体" w:cs="宋体"/>
          <w:b/>
          <w:bCs/>
          <w:color w:val="auto"/>
          <w:sz w:val="24"/>
          <w:szCs w:val="24"/>
          <w:highlight w:val="none"/>
        </w:rPr>
      </w:pPr>
    </w:p>
    <w:p w14:paraId="687A9984">
      <w:pPr>
        <w:spacing w:line="400" w:lineRule="exact"/>
        <w:rPr>
          <w:rFonts w:ascii="宋体" w:hAnsi="宋体" w:cs="宋体"/>
          <w:b/>
          <w:bCs/>
          <w:color w:val="auto"/>
          <w:sz w:val="24"/>
          <w:szCs w:val="24"/>
          <w:highlight w:val="none"/>
        </w:rPr>
      </w:pPr>
    </w:p>
    <w:p w14:paraId="2B072299">
      <w:pPr>
        <w:spacing w:line="400" w:lineRule="exact"/>
        <w:rPr>
          <w:rFonts w:ascii="宋体" w:hAnsi="宋体" w:cs="宋体"/>
          <w:b/>
          <w:bCs/>
          <w:color w:val="auto"/>
          <w:sz w:val="24"/>
          <w:szCs w:val="24"/>
          <w:highlight w:val="none"/>
        </w:rPr>
      </w:pPr>
    </w:p>
    <w:p w14:paraId="038E67C8">
      <w:pPr>
        <w:pStyle w:val="13"/>
        <w:ind w:left="1470" w:right="1470"/>
        <w:rPr>
          <w:rFonts w:ascii="宋体" w:hAnsi="宋体" w:cs="宋体"/>
          <w:color w:val="auto"/>
          <w:highlight w:val="none"/>
        </w:rPr>
      </w:pPr>
    </w:p>
    <w:p w14:paraId="44AFC78C">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br w:type="page"/>
      </w:r>
      <w:r>
        <w:rPr>
          <w:rFonts w:hint="eastAsia" w:ascii="宋体" w:hAnsi="宋体" w:cs="宋体"/>
          <w:b/>
          <w:color w:val="auto"/>
          <w:spacing w:val="-6"/>
          <w:sz w:val="24"/>
          <w:szCs w:val="24"/>
          <w:highlight w:val="none"/>
        </w:rPr>
        <w:t>授权委托书</w:t>
      </w:r>
    </w:p>
    <w:p w14:paraId="38A89902">
      <w:pPr>
        <w:jc w:val="center"/>
        <w:rPr>
          <w:rFonts w:ascii="宋体" w:hAnsi="宋体" w:cs="宋体"/>
          <w:b/>
          <w:color w:val="auto"/>
          <w:spacing w:val="-6"/>
          <w:sz w:val="22"/>
          <w:highlight w:val="none"/>
        </w:rPr>
      </w:pPr>
      <w:r>
        <w:rPr>
          <w:rFonts w:hint="eastAsia" w:ascii="宋体" w:hAnsi="宋体" w:cs="宋体"/>
          <w:b/>
          <w:color w:val="auto"/>
          <w:spacing w:val="-6"/>
          <w:sz w:val="22"/>
          <w:highlight w:val="none"/>
          <w:lang w:val="zh-CN"/>
        </w:rPr>
        <w:t>（适用于非联合体投标）</w:t>
      </w:r>
    </w:p>
    <w:p w14:paraId="548C14F2">
      <w:pPr>
        <w:spacing w:line="400" w:lineRule="exact"/>
        <w:rPr>
          <w:rFonts w:ascii="宋体" w:hAnsi="宋体" w:cs="宋体"/>
          <w:b/>
          <w:bCs/>
          <w:color w:val="auto"/>
          <w:spacing w:val="-6"/>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r>
        <w:rPr>
          <w:rFonts w:hint="eastAsia" w:ascii="宋体" w:hAnsi="宋体" w:cs="宋体"/>
          <w:color w:val="auto"/>
          <w:spacing w:val="-6"/>
          <w:sz w:val="24"/>
          <w:szCs w:val="24"/>
          <w:highlight w:val="none"/>
        </w:rPr>
        <w:t>：</w:t>
      </w:r>
    </w:p>
    <w:p w14:paraId="67688AE3">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（投标人名称）的法定代表人，现授权委托本单位在职职工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（姓名）（身份证号：</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）以我方的名义参加温州肯恩大学</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 xml:space="preserve">项目（项目编号： </w:t>
      </w:r>
      <w:r>
        <w:rPr>
          <w:rFonts w:hint="eastAsia" w:ascii="宋体" w:hAnsi="宋体" w:cs="宋体"/>
          <w:color w:val="auto"/>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52C45EF5">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612E27B6">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zh-CN"/>
        </w:rPr>
        <w:t>委托期限</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zh-CN"/>
        </w:rPr>
        <w:t>自</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日起至</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日止。</w:t>
      </w:r>
    </w:p>
    <w:p w14:paraId="0E1DCDD7">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6790BBD2">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34084908">
      <w:pPr>
        <w:spacing w:line="400" w:lineRule="exact"/>
        <w:rPr>
          <w:rFonts w:ascii="宋体" w:hAnsi="宋体" w:cs="宋体"/>
          <w:color w:val="auto"/>
          <w:spacing w:val="-6"/>
          <w:sz w:val="24"/>
          <w:szCs w:val="24"/>
          <w:highlight w:val="none"/>
        </w:rPr>
      </w:pPr>
    </w:p>
    <w:p w14:paraId="2161573F">
      <w:pPr>
        <w:spacing w:line="400" w:lineRule="exact"/>
        <w:rPr>
          <w:rFonts w:ascii="宋体" w:hAnsi="宋体" w:cs="宋体"/>
          <w:color w:val="auto"/>
          <w:spacing w:val="-6"/>
          <w:sz w:val="24"/>
          <w:szCs w:val="24"/>
          <w:highlight w:val="none"/>
        </w:rPr>
      </w:pPr>
    </w:p>
    <w:p w14:paraId="2CC5A80E">
      <w:pPr>
        <w:spacing w:line="40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法定代表人签字或盖章：</w:t>
      </w:r>
    </w:p>
    <w:p w14:paraId="2E527263">
      <w:pPr>
        <w:spacing w:line="400" w:lineRule="exact"/>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56A0353F">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53C2A9EC">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被授权人手机号码：</w:t>
      </w:r>
    </w:p>
    <w:p w14:paraId="21A3F9C8">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投标人全称(电子签章或公章)：</w:t>
      </w:r>
    </w:p>
    <w:p w14:paraId="6ED8FA02">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38D441C6">
      <w:pPr>
        <w:spacing w:line="400" w:lineRule="exac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5" name="00006e"/>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CE5DCC">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14:paraId="4AC7E6E7">
                            <w:pPr>
                              <w:rPr>
                                <w:rFonts w:ascii="宋体" w:hAnsi="宋体"/>
                                <w:sz w:val="24"/>
                              </w:rPr>
                            </w:pPr>
                          </w:p>
                          <w:p w14:paraId="4A6743C8">
                            <w:pPr>
                              <w:rPr>
                                <w:rFonts w:ascii="宋体" w:hAnsi="宋体"/>
                                <w:sz w:val="24"/>
                              </w:rPr>
                            </w:pPr>
                          </w:p>
                          <w:p w14:paraId="5DEC20A0">
                            <w:pPr>
                              <w:rPr>
                                <w:rFonts w:ascii="宋体" w:hAnsi="宋体"/>
                                <w:sz w:val="24"/>
                              </w:rPr>
                            </w:pPr>
                          </w:p>
                          <w:p w14:paraId="55A660FC">
                            <w:pPr>
                              <w:rPr>
                                <w:rFonts w:ascii="宋体" w:hAnsi="宋体"/>
                                <w:sz w:val="24"/>
                              </w:rPr>
                            </w:pPr>
                            <w:r>
                              <w:rPr>
                                <w:rFonts w:hint="eastAsia" w:ascii="宋体" w:hAnsi="宋体"/>
                                <w:sz w:val="24"/>
                              </w:rPr>
                              <w:t xml:space="preserve">       复印件粘贴处</w:t>
                            </w:r>
                          </w:p>
                          <w:p w14:paraId="09127757"/>
                        </w:txbxContent>
                      </wps:txbx>
                      <wps:bodyPr upright="1"/>
                    </wps:wsp>
                  </a:graphicData>
                </a:graphic>
              </wp:anchor>
            </w:drawing>
          </mc:Choice>
          <mc:Fallback>
            <w:pict>
              <v:shape id="00006e" o:spid="_x0000_s1026" o:spt="202" type="#_x0000_t202" style="position:absolute;left:0pt;margin-left:0pt;margin-top:11.7pt;height:185.85pt;width:408.75pt;z-index:251662336;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vKv+TYAAAABwEAAA8AAAAAAAAAAQAgAAAAIgAAAGRycy9kb3ducmV2&#10;LnhtbFBLAQIUABQAAAAIAIdO4kDqbGaE/AEAADIEAAAOAAAAAAAAAAEAIAAAACcBAABkcnMvZTJv&#10;RG9jLnhtbFBLBQYAAAAABgAGAFkBAACVBQAAAAA=&#10;">
                <v:fill on="t" focussize="0,0"/>
                <v:stroke color="#000000" joinstyle="miter"/>
                <v:imagedata o:title=""/>
                <o:lock v:ext="edit" aspectratio="f"/>
                <v:textbox>
                  <w:txbxContent>
                    <w:p w14:paraId="5BCE5DCC">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14:paraId="4AC7E6E7">
                      <w:pPr>
                        <w:rPr>
                          <w:rFonts w:ascii="宋体" w:hAnsi="宋体"/>
                          <w:sz w:val="24"/>
                        </w:rPr>
                      </w:pPr>
                    </w:p>
                    <w:p w14:paraId="4A6743C8">
                      <w:pPr>
                        <w:rPr>
                          <w:rFonts w:ascii="宋体" w:hAnsi="宋体"/>
                          <w:sz w:val="24"/>
                        </w:rPr>
                      </w:pPr>
                    </w:p>
                    <w:p w14:paraId="5DEC20A0">
                      <w:pPr>
                        <w:rPr>
                          <w:rFonts w:ascii="宋体" w:hAnsi="宋体"/>
                          <w:sz w:val="24"/>
                        </w:rPr>
                      </w:pPr>
                    </w:p>
                    <w:p w14:paraId="55A660FC">
                      <w:pPr>
                        <w:rPr>
                          <w:rFonts w:ascii="宋体" w:hAnsi="宋体"/>
                          <w:sz w:val="24"/>
                        </w:rPr>
                      </w:pPr>
                      <w:r>
                        <w:rPr>
                          <w:rFonts w:hint="eastAsia" w:ascii="宋体" w:hAnsi="宋体"/>
                          <w:sz w:val="24"/>
                        </w:rPr>
                        <w:t xml:space="preserve">       复印件粘贴处</w:t>
                      </w:r>
                    </w:p>
                    <w:p w14:paraId="09127757"/>
                  </w:txbxContent>
                </v:textbox>
              </v:shape>
            </w:pict>
          </mc:Fallback>
        </mc:AlternateContent>
      </w:r>
    </w:p>
    <w:p w14:paraId="634CEBE4">
      <w:pPr>
        <w:spacing w:line="400" w:lineRule="exact"/>
        <w:rPr>
          <w:rFonts w:ascii="宋体" w:hAnsi="宋体" w:cs="宋体"/>
          <w:color w:val="auto"/>
          <w:spacing w:val="-6"/>
          <w:sz w:val="24"/>
          <w:szCs w:val="24"/>
          <w:highlight w:val="none"/>
        </w:rPr>
      </w:pPr>
    </w:p>
    <w:p w14:paraId="75B2A104">
      <w:pPr>
        <w:spacing w:line="400" w:lineRule="exact"/>
        <w:rPr>
          <w:rFonts w:ascii="宋体" w:hAnsi="宋体" w:cs="宋体"/>
          <w:color w:val="auto"/>
          <w:spacing w:val="-6"/>
          <w:sz w:val="24"/>
          <w:szCs w:val="24"/>
          <w:highlight w:val="none"/>
        </w:rPr>
      </w:pPr>
    </w:p>
    <w:p w14:paraId="0793E0E0">
      <w:pPr>
        <w:spacing w:line="400" w:lineRule="exact"/>
        <w:rPr>
          <w:rFonts w:ascii="宋体" w:hAnsi="宋体" w:cs="宋体"/>
          <w:color w:val="auto"/>
          <w:spacing w:val="-6"/>
          <w:sz w:val="24"/>
          <w:szCs w:val="24"/>
          <w:highlight w:val="none"/>
        </w:rPr>
      </w:pPr>
    </w:p>
    <w:p w14:paraId="7B1F4460">
      <w:pPr>
        <w:spacing w:line="400" w:lineRule="exact"/>
        <w:rPr>
          <w:rFonts w:ascii="宋体" w:hAnsi="宋体" w:cs="宋体"/>
          <w:color w:val="auto"/>
          <w:spacing w:val="-6"/>
          <w:sz w:val="24"/>
          <w:szCs w:val="24"/>
          <w:highlight w:val="none"/>
        </w:rPr>
      </w:pPr>
    </w:p>
    <w:p w14:paraId="2FBC8391">
      <w:pPr>
        <w:spacing w:line="400" w:lineRule="exact"/>
        <w:rPr>
          <w:rFonts w:ascii="宋体" w:hAnsi="宋体" w:cs="宋体"/>
          <w:color w:val="auto"/>
          <w:spacing w:val="-6"/>
          <w:sz w:val="24"/>
          <w:szCs w:val="24"/>
          <w:highlight w:val="none"/>
        </w:rPr>
      </w:pPr>
    </w:p>
    <w:p w14:paraId="635D117F">
      <w:pPr>
        <w:spacing w:line="400" w:lineRule="exact"/>
        <w:rPr>
          <w:rFonts w:ascii="宋体" w:hAnsi="宋体" w:cs="宋体"/>
          <w:color w:val="auto"/>
          <w:spacing w:val="-6"/>
          <w:sz w:val="24"/>
          <w:szCs w:val="24"/>
          <w:highlight w:val="none"/>
        </w:rPr>
      </w:pPr>
    </w:p>
    <w:p w14:paraId="5E74EBB0">
      <w:pPr>
        <w:spacing w:line="400" w:lineRule="exact"/>
        <w:rPr>
          <w:rFonts w:ascii="宋体" w:hAnsi="宋体" w:cs="宋体"/>
          <w:color w:val="auto"/>
          <w:spacing w:val="-6"/>
          <w:sz w:val="24"/>
          <w:szCs w:val="24"/>
          <w:highlight w:val="none"/>
        </w:rPr>
      </w:pPr>
    </w:p>
    <w:p w14:paraId="5321FA14">
      <w:pPr>
        <w:spacing w:line="400" w:lineRule="exact"/>
        <w:rPr>
          <w:rFonts w:ascii="宋体" w:hAnsi="宋体" w:cs="宋体"/>
          <w:color w:val="auto"/>
          <w:spacing w:val="-6"/>
          <w:sz w:val="24"/>
          <w:szCs w:val="24"/>
          <w:highlight w:val="none"/>
        </w:rPr>
      </w:pPr>
    </w:p>
    <w:p w14:paraId="4AFD0CDD">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25835697">
      <w:pPr>
        <w:spacing w:line="400" w:lineRule="exact"/>
        <w:rPr>
          <w:rFonts w:ascii="宋体" w:hAnsi="宋体" w:cs="宋体"/>
          <w:color w:val="auto"/>
          <w:spacing w:val="-6"/>
          <w:sz w:val="24"/>
          <w:szCs w:val="24"/>
          <w:highlight w:val="none"/>
        </w:rPr>
      </w:pPr>
      <w:r>
        <w:rPr>
          <w:rFonts w:hint="eastAsia" w:ascii="宋体" w:hAnsi="宋体" w:cs="宋体"/>
          <w:b/>
          <w:bCs/>
          <w:color w:val="auto"/>
          <w:sz w:val="22"/>
          <w:highlight w:val="none"/>
          <w:u w:val="single"/>
        </w:rPr>
        <w:t>▲投标人代表不是法定代表人（单位负责人、自然人本人）的，</w:t>
      </w:r>
      <w:r>
        <w:rPr>
          <w:rFonts w:hint="eastAsia" w:ascii="宋体" w:hAnsi="宋体" w:cs="宋体"/>
          <w:b/>
          <w:bCs/>
          <w:color w:val="auto"/>
          <w:kern w:val="0"/>
          <w:sz w:val="22"/>
          <w:highlight w:val="none"/>
          <w:u w:val="single"/>
        </w:rPr>
        <w:t>投标人授权代表必须为投标人本单位在职职工，</w:t>
      </w:r>
      <w:r>
        <w:rPr>
          <w:rFonts w:hint="eastAsia" w:ascii="宋体" w:hAnsi="宋体" w:cs="宋体"/>
          <w:b/>
          <w:bCs/>
          <w:color w:val="auto"/>
          <w:sz w:val="22"/>
          <w:highlight w:val="none"/>
          <w:u w:val="single"/>
        </w:rPr>
        <w:t>提供本授权委托书和授权代表社保缴纳证明（2025年01月01日（含）至本项目投标文件提交截止时间止任意一月）</w:t>
      </w:r>
      <w:r>
        <w:rPr>
          <w:rFonts w:hint="eastAsia" w:ascii="宋体" w:hAnsi="宋体" w:cs="宋体"/>
          <w:b/>
          <w:bCs/>
          <w:color w:val="auto"/>
          <w:kern w:val="0"/>
          <w:sz w:val="22"/>
          <w:highlight w:val="none"/>
          <w:u w:val="single"/>
        </w:rPr>
        <w:t>或有效的劳务合同复印件。</w:t>
      </w:r>
    </w:p>
    <w:p w14:paraId="7FF39433">
      <w:pPr>
        <w:pStyle w:val="13"/>
        <w:spacing w:after="0"/>
        <w:ind w:left="0" w:leftChars="0" w:right="0" w:rightChars="0"/>
        <w:jc w:val="center"/>
        <w:rPr>
          <w:rFonts w:ascii="宋体" w:hAnsi="宋体" w:cs="宋体"/>
          <w:b/>
          <w:color w:val="auto"/>
          <w:spacing w:val="-6"/>
          <w:sz w:val="28"/>
          <w:szCs w:val="28"/>
          <w:highlight w:val="none"/>
        </w:rPr>
      </w:pPr>
      <w:r>
        <w:rPr>
          <w:rFonts w:hint="eastAsia" w:ascii="宋体" w:hAnsi="宋体" w:cs="宋体"/>
          <w:color w:val="auto"/>
          <w:highlight w:val="none"/>
        </w:rPr>
        <w:br w:type="page"/>
      </w:r>
      <w:r>
        <w:rPr>
          <w:rFonts w:hint="eastAsia" w:ascii="宋体" w:hAnsi="宋体" w:cs="宋体"/>
          <w:b/>
          <w:color w:val="auto"/>
          <w:spacing w:val="-6"/>
          <w:sz w:val="28"/>
          <w:szCs w:val="28"/>
          <w:highlight w:val="none"/>
        </w:rPr>
        <w:t>联合投标授权委托书</w:t>
      </w:r>
    </w:p>
    <w:p w14:paraId="407FE9A3">
      <w:pPr>
        <w:spacing w:line="288" w:lineRule="auto"/>
        <w:jc w:val="center"/>
        <w:rPr>
          <w:rFonts w:ascii="宋体" w:hAnsi="宋体" w:cs="宋体"/>
          <w:b/>
          <w:color w:val="auto"/>
          <w:spacing w:val="-6"/>
          <w:sz w:val="22"/>
          <w:highlight w:val="none"/>
        </w:rPr>
      </w:pPr>
      <w:r>
        <w:rPr>
          <w:rFonts w:hint="eastAsia" w:ascii="宋体" w:hAnsi="宋体" w:cs="宋体"/>
          <w:b/>
          <w:color w:val="auto"/>
          <w:spacing w:val="-6"/>
          <w:sz w:val="22"/>
          <w:highlight w:val="none"/>
        </w:rPr>
        <w:t>（联合体投标须提供）</w:t>
      </w:r>
    </w:p>
    <w:p w14:paraId="6D35025C">
      <w:pPr>
        <w:pStyle w:val="9"/>
        <w:overflowPunct w:val="0"/>
        <w:spacing w:line="360" w:lineRule="auto"/>
        <w:ind w:firstLine="0"/>
        <w:rPr>
          <w:rFonts w:hAnsi="宋体" w:cs="宋体"/>
          <w:color w:val="auto"/>
          <w:sz w:val="24"/>
          <w:szCs w:val="24"/>
          <w:highlight w:val="none"/>
        </w:rPr>
      </w:pPr>
    </w:p>
    <w:p w14:paraId="6AF1AEB3">
      <w:pPr>
        <w:spacing w:line="360" w:lineRule="auto"/>
        <w:ind w:firstLine="456" w:firstLineChars="200"/>
        <w:rPr>
          <w:rFonts w:ascii="宋体" w:hAnsi="宋体" w:cs="宋体"/>
          <w:color w:val="auto"/>
          <w:spacing w:val="-6"/>
          <w:sz w:val="24"/>
          <w:szCs w:val="24"/>
          <w:highlight w:val="none"/>
        </w:rPr>
      </w:pPr>
      <w:bookmarkStart w:id="14" w:name="_Hlk112340065"/>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温州肯恩大学、浙江乐诚工程咨询有限公司</w:t>
      </w:r>
      <w:r>
        <w:rPr>
          <w:rFonts w:hint="eastAsia" w:ascii="宋体" w:hAnsi="宋体" w:cs="宋体"/>
          <w:color w:val="auto"/>
          <w:spacing w:val="-6"/>
          <w:sz w:val="24"/>
          <w:szCs w:val="24"/>
          <w:highlight w:val="none"/>
        </w:rPr>
        <w:t>：</w:t>
      </w:r>
    </w:p>
    <w:bookmarkEnd w:id="14"/>
    <w:p w14:paraId="0A5CA055">
      <w:pPr>
        <w:spacing w:line="360" w:lineRule="auto"/>
        <w:ind w:firstLine="480" w:firstLineChars="200"/>
        <w:rPr>
          <w:rFonts w:ascii="宋体" w:hAnsi="宋体" w:cs="宋体"/>
          <w:color w:val="auto"/>
          <w:spacing w:val="-6"/>
          <w:sz w:val="24"/>
          <w:szCs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，手机：</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zh-CN"/>
        </w:rPr>
        <w:t>）</w:t>
      </w:r>
      <w:r>
        <w:rPr>
          <w:rFonts w:hint="eastAsia" w:ascii="宋体" w:hAnsi="宋体" w:cs="宋体"/>
          <w:color w:val="auto"/>
          <w:sz w:val="24"/>
          <w:highlight w:val="none"/>
        </w:rPr>
        <w:t>【项目编号：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01F1E171">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3DBD74D2">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zh-CN"/>
        </w:rPr>
        <w:t>委托期限</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zh-CN"/>
        </w:rPr>
        <w:t>自</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日起至</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年</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月</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lang w:val="zh-CN"/>
        </w:rPr>
        <w:t>日止。</w:t>
      </w:r>
    </w:p>
    <w:p w14:paraId="5B95A60E">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0BC670BE">
      <w:pP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35C6B5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0DB169CC">
      <w:pPr>
        <w:spacing w:line="360" w:lineRule="auto"/>
        <w:ind w:firstLine="5016" w:firstLineChars="2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被授权人签字：</w:t>
      </w:r>
    </w:p>
    <w:p w14:paraId="79DF6CA7">
      <w:pPr>
        <w:spacing w:line="360" w:lineRule="auto"/>
        <w:ind w:firstLine="5040" w:firstLineChars="21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联合体成员名称(电子签章或公章）：</w:t>
      </w:r>
    </w:p>
    <w:p w14:paraId="782B9262">
      <w:pPr>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联合体成员名称(电子签章或公章）：</w:t>
      </w:r>
    </w:p>
    <w:p w14:paraId="771A6243">
      <w:pPr>
        <w:spacing w:line="288" w:lineRule="auto"/>
        <w:jc w:val="righ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年  月  日</w:t>
      </w:r>
    </w:p>
    <w:p w14:paraId="4B5C378A">
      <w:pPr>
        <w:pStyle w:val="65"/>
        <w:spacing w:line="360" w:lineRule="auto"/>
        <w:rPr>
          <w:rFonts w:hAnsi="宋体" w:cs="宋体"/>
          <w:bCs/>
          <w:color w:val="auto"/>
          <w:sz w:val="24"/>
          <w:highlight w:val="none"/>
        </w:rPr>
      </w:pPr>
      <w:r>
        <w:rPr>
          <w:rFonts w:hint="eastAsia" w:hAnsi="宋体" w:cs="宋体"/>
          <w:bCs/>
          <w:color w:val="auto"/>
          <w:sz w:val="24"/>
          <w:highlight w:val="none"/>
        </w:rPr>
        <w:t>授权代表身份证件扫描件：</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0"/>
      </w:tblGrid>
      <w:tr w14:paraId="3F0F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2" w:hRule="atLeast"/>
          <w:jc w:val="center"/>
        </w:trPr>
        <w:tc>
          <w:tcPr>
            <w:tcW w:w="8740" w:type="dxa"/>
          </w:tcPr>
          <w:p w14:paraId="68902DA2">
            <w:pPr>
              <w:pStyle w:val="65"/>
              <w:spacing w:line="360" w:lineRule="auto"/>
              <w:rPr>
                <w:rFonts w:hAnsi="宋体" w:cs="宋体"/>
                <w:bCs/>
                <w:color w:val="auto"/>
                <w:sz w:val="24"/>
                <w:highlight w:val="none"/>
              </w:rPr>
            </w:pPr>
            <w:r>
              <w:rPr>
                <w:rFonts w:hint="eastAsia" w:hAnsi="宋体" w:cs="宋体"/>
                <w:bCs/>
                <w:color w:val="auto"/>
                <w:sz w:val="24"/>
                <w:highlight w:val="none"/>
              </w:rPr>
              <w:t>正面：                                 反面：</w:t>
            </w:r>
          </w:p>
          <w:p w14:paraId="3B9CCA6D">
            <w:pPr>
              <w:pStyle w:val="65"/>
              <w:spacing w:line="360" w:lineRule="auto"/>
              <w:rPr>
                <w:rFonts w:hAnsi="宋体" w:cs="宋体"/>
                <w:bCs/>
                <w:color w:val="auto"/>
                <w:sz w:val="24"/>
                <w:highlight w:val="none"/>
              </w:rPr>
            </w:pPr>
          </w:p>
        </w:tc>
      </w:tr>
    </w:tbl>
    <w:p w14:paraId="5A3992A4">
      <w:pPr>
        <w:spacing w:line="360" w:lineRule="exact"/>
        <w:ind w:firstLine="442" w:firstLineChars="200"/>
        <w:jc w:val="left"/>
        <w:rPr>
          <w:rFonts w:ascii="宋体" w:hAnsi="宋体" w:cs="宋体"/>
          <w:b/>
          <w:bCs/>
          <w:color w:val="auto"/>
          <w:sz w:val="22"/>
          <w:highlight w:val="none"/>
          <w:u w:val="single"/>
        </w:rPr>
      </w:pPr>
    </w:p>
    <w:p w14:paraId="0C72645E">
      <w:pPr>
        <w:spacing w:line="360" w:lineRule="exact"/>
        <w:ind w:firstLine="442" w:firstLineChars="200"/>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投标人代表是联合体牵头人法定代表人（单位负责人、自然人本人）的，提供本授权委托书。</w:t>
      </w:r>
    </w:p>
    <w:p w14:paraId="017542C5">
      <w:pPr>
        <w:spacing w:line="360" w:lineRule="exact"/>
        <w:ind w:firstLine="442" w:firstLineChars="200"/>
        <w:jc w:val="left"/>
        <w:rPr>
          <w:rFonts w:ascii="宋体" w:hAnsi="宋体" w:cs="宋体"/>
          <w:color w:val="auto"/>
          <w:spacing w:val="-6"/>
          <w:sz w:val="24"/>
          <w:szCs w:val="24"/>
          <w:highlight w:val="none"/>
        </w:rPr>
      </w:pPr>
      <w:r>
        <w:rPr>
          <w:rFonts w:hint="eastAsia" w:ascii="宋体" w:hAnsi="宋体" w:cs="宋体"/>
          <w:b/>
          <w:bCs/>
          <w:color w:val="auto"/>
          <w:sz w:val="22"/>
          <w:highlight w:val="none"/>
          <w:u w:val="single"/>
        </w:rPr>
        <w:t>▲投标人代表不是联合体牵头人法定代表人（单位负责人、自然人本人）的，投标人授权代表必须为联合体牵头人本单位在职职工，提供本授权委托书和授权代表社保缴纳证明（2025年01月01日（含）至本项目投标文件提交截止时间止任意一月）或有效的劳务合同复印件。</w:t>
      </w:r>
    </w:p>
    <w:p w14:paraId="3AD2CD64">
      <w:pPr>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b/>
          <w:color w:val="auto"/>
          <w:sz w:val="24"/>
          <w:szCs w:val="24"/>
          <w:highlight w:val="none"/>
        </w:rPr>
        <w:t>附件7</w:t>
      </w:r>
    </w:p>
    <w:p w14:paraId="05A08FF0">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投 标 函</w:t>
      </w:r>
    </w:p>
    <w:p w14:paraId="52D9DF62">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p>
    <w:p w14:paraId="1455105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根据贵方为温州肯恩大学</w:t>
      </w:r>
      <w:r>
        <w:rPr>
          <w:rFonts w:hint="eastAsia" w:ascii="宋体" w:hAnsi="宋体" w:cs="宋体"/>
          <w:color w:val="auto"/>
          <w:sz w:val="22"/>
          <w:highlight w:val="none"/>
        </w:rPr>
        <w:t>_____________</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005CC4B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13C0672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5537753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0E7F09E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5B2B9BD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720DD23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524E58F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（六）如中标，我方承诺按照招标文件规定向你方递交履约保证金，本投标文件至本项目合同履行完毕止均保持有效，本投标人将按“招标文件”及政府采购法律、法规的规定履行合同责任和义务；</w:t>
      </w:r>
    </w:p>
    <w:p w14:paraId="570C0F6F">
      <w:pPr>
        <w:spacing w:line="400" w:lineRule="exact"/>
        <w:ind w:firstLine="480" w:firstLineChars="200"/>
        <w:rPr>
          <w:rFonts w:ascii="宋体" w:hAnsi="宋体" w:cs="宋体"/>
          <w:color w:val="auto"/>
          <w:spacing w:val="-6"/>
          <w:sz w:val="24"/>
          <w:highlight w:val="none"/>
        </w:rPr>
      </w:pPr>
      <w:r>
        <w:rPr>
          <w:rFonts w:hint="eastAsia" w:ascii="宋体" w:hAnsi="宋体" w:cs="宋体"/>
          <w:color w:val="auto"/>
          <w:sz w:val="24"/>
          <w:szCs w:val="24"/>
          <w:highlight w:val="none"/>
        </w:rPr>
        <w:t>（七）</w:t>
      </w:r>
      <w:r>
        <w:rPr>
          <w:rFonts w:hint="eastAsia" w:ascii="宋体" w:hAnsi="宋体" w:cs="宋体"/>
          <w:color w:val="auto"/>
          <w:spacing w:val="-6"/>
          <w:sz w:val="24"/>
          <w:highlight w:val="none"/>
        </w:rPr>
        <w:t>我方向贵方提交的所有投标文件、资料都是准确的和真实的，</w:t>
      </w:r>
      <w:r>
        <w:rPr>
          <w:rFonts w:hint="eastAsia" w:ascii="宋体" w:hAnsi="宋体" w:cs="宋体"/>
          <w:color w:val="auto"/>
          <w:spacing w:val="-6"/>
          <w:sz w:val="24"/>
          <w:szCs w:val="24"/>
          <w:highlight w:val="none"/>
        </w:rPr>
        <w:t>如有虚假或隐瞒，我方愿意承担一切后果和责任</w:t>
      </w:r>
      <w:r>
        <w:rPr>
          <w:rFonts w:hint="eastAsia" w:ascii="宋体" w:hAnsi="宋体" w:cs="宋体"/>
          <w:color w:val="auto"/>
          <w:spacing w:val="-6"/>
          <w:sz w:val="24"/>
          <w:highlight w:val="none"/>
        </w:rPr>
        <w:t>；</w:t>
      </w:r>
    </w:p>
    <w:p w14:paraId="5054B39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（八）所有与本投标有关的函件请发往下列地址：</w:t>
      </w:r>
    </w:p>
    <w:p w14:paraId="476F8028">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564C6058">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056E94F8">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2C848306">
      <w:pPr>
        <w:spacing w:line="400" w:lineRule="exact"/>
        <w:ind w:firstLine="840" w:firstLineChars="35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4D3C8144">
      <w:pPr>
        <w:spacing w:line="400" w:lineRule="exact"/>
        <w:rPr>
          <w:rFonts w:ascii="宋体" w:hAnsi="宋体" w:cs="宋体"/>
          <w:color w:val="auto"/>
          <w:sz w:val="24"/>
          <w:szCs w:val="24"/>
          <w:highlight w:val="none"/>
        </w:rPr>
      </w:pPr>
    </w:p>
    <w:p w14:paraId="5E8F678F">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8B9D88E">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6EB56646">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607D6330">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附件8</w:t>
      </w:r>
    </w:p>
    <w:p w14:paraId="0A6DC8C1">
      <w:pPr>
        <w:spacing w:line="400" w:lineRule="exact"/>
        <w:ind w:firstLine="435"/>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投标人基本情况表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520"/>
        <w:gridCol w:w="1785"/>
        <w:gridCol w:w="4185"/>
      </w:tblGrid>
      <w:tr w14:paraId="02E1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4072BA1D">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0E9C23D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6AD7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4E532866">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77904A5D">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24241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7E799779">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28626D1C">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3BD5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22CC1F47">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0120F32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2E5857B4">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5ACA1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3EEF992B">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18D254B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7E71E87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0882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5E37E333">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54CDEE2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73EFA6A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79CB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791BF255">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40A4B698">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14:paraId="682A3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32D79303">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3307AC63">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14:paraId="09D4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0253302E">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2451C3CE">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14:paraId="2BFB8002">
            <w:pPr>
              <w:spacing w:line="400" w:lineRule="exact"/>
              <w:rPr>
                <w:rFonts w:ascii="宋体" w:hAnsi="宋体" w:cs="宋体"/>
                <w:color w:val="auto"/>
                <w:spacing w:val="-6"/>
                <w:sz w:val="24"/>
                <w:highlight w:val="none"/>
              </w:rPr>
            </w:pPr>
          </w:p>
        </w:tc>
      </w:tr>
      <w:tr w14:paraId="57A8D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5" w:type="dxa"/>
            <w:vAlign w:val="center"/>
          </w:tcPr>
          <w:p w14:paraId="654109F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14:paraId="441E1F04">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0FD79114">
            <w:pPr>
              <w:spacing w:line="400" w:lineRule="exact"/>
              <w:rPr>
                <w:rFonts w:ascii="宋体" w:hAnsi="宋体" w:cs="宋体"/>
                <w:color w:val="auto"/>
                <w:spacing w:val="-6"/>
                <w:sz w:val="24"/>
                <w:highlight w:val="none"/>
              </w:rPr>
            </w:pPr>
          </w:p>
        </w:tc>
      </w:tr>
    </w:tbl>
    <w:p w14:paraId="14FB33B3">
      <w:pPr>
        <w:spacing w:line="400" w:lineRule="exact"/>
        <w:rPr>
          <w:rFonts w:ascii="宋体" w:hAnsi="宋体" w:cs="宋体"/>
          <w:color w:val="auto"/>
          <w:spacing w:val="-6"/>
          <w:sz w:val="24"/>
          <w:highlight w:val="none"/>
        </w:rPr>
      </w:pPr>
    </w:p>
    <w:p w14:paraId="1F21CFD9">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015C6195">
      <w:pPr>
        <w:spacing w:line="400" w:lineRule="exact"/>
        <w:rPr>
          <w:rFonts w:ascii="宋体" w:hAnsi="宋体" w:cs="宋体"/>
          <w:color w:val="auto"/>
          <w:spacing w:val="-6"/>
          <w:sz w:val="24"/>
          <w:highlight w:val="none"/>
        </w:rPr>
      </w:pPr>
    </w:p>
    <w:p w14:paraId="6D347404">
      <w:pPr>
        <w:spacing w:line="400" w:lineRule="exact"/>
        <w:rPr>
          <w:rFonts w:ascii="宋体" w:hAnsi="宋体" w:cs="宋体"/>
          <w:color w:val="auto"/>
          <w:spacing w:val="-6"/>
          <w:sz w:val="24"/>
          <w:highlight w:val="none"/>
        </w:rPr>
      </w:pPr>
    </w:p>
    <w:p w14:paraId="3F577953">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227F8BD0">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2B03B280">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4B033C85">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附件9</w:t>
      </w:r>
    </w:p>
    <w:p w14:paraId="7051E471">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同类项目经验（如有）</w:t>
      </w:r>
    </w:p>
    <w:p w14:paraId="65400862">
      <w:pPr>
        <w:spacing w:line="400" w:lineRule="exact"/>
        <w:rPr>
          <w:rFonts w:ascii="宋体" w:hAnsi="宋体" w:cs="宋体"/>
          <w:b/>
          <w:bCs/>
          <w:color w:val="auto"/>
          <w:sz w:val="24"/>
          <w:szCs w:val="24"/>
          <w:highlight w:val="none"/>
        </w:rPr>
      </w:pPr>
    </w:p>
    <w:p w14:paraId="3CA6B554">
      <w:pPr>
        <w:pStyle w:val="13"/>
        <w:spacing w:after="0" w:line="400" w:lineRule="exact"/>
        <w:ind w:left="0" w:leftChars="0" w:right="0" w:rightChars="0"/>
        <w:rPr>
          <w:rFonts w:ascii="宋体" w:hAnsi="宋体" w:cs="宋体"/>
          <w:bCs/>
          <w:color w:val="auto"/>
          <w:sz w:val="24"/>
          <w:szCs w:val="24"/>
          <w:highlight w:val="none"/>
        </w:rPr>
      </w:pPr>
      <w:r>
        <w:rPr>
          <w:rFonts w:hint="eastAsia" w:ascii="宋体" w:hAnsi="宋体" w:cs="宋体"/>
          <w:b/>
          <w:color w:val="auto"/>
          <w:sz w:val="24"/>
          <w:szCs w:val="24"/>
          <w:highlight w:val="none"/>
        </w:rPr>
        <w:t xml:space="preserve">项目名称：                         项目编号：                  </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097"/>
        <w:gridCol w:w="3798"/>
        <w:gridCol w:w="2000"/>
      </w:tblGrid>
      <w:tr w14:paraId="0096C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257B704D">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097" w:type="dxa"/>
            <w:vAlign w:val="center"/>
          </w:tcPr>
          <w:p w14:paraId="529A4B6F">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3798" w:type="dxa"/>
            <w:vAlign w:val="center"/>
          </w:tcPr>
          <w:p w14:paraId="1C1B2E2A">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主要内容</w:t>
            </w:r>
          </w:p>
        </w:tc>
        <w:tc>
          <w:tcPr>
            <w:tcW w:w="2000" w:type="dxa"/>
            <w:vAlign w:val="center"/>
          </w:tcPr>
          <w:p w14:paraId="1E8CFF9D">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证明材料页码</w:t>
            </w:r>
          </w:p>
        </w:tc>
      </w:tr>
      <w:tr w14:paraId="34DDF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679DE045">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097" w:type="dxa"/>
            <w:vAlign w:val="center"/>
          </w:tcPr>
          <w:p w14:paraId="27F4DBF8">
            <w:pPr>
              <w:spacing w:line="420" w:lineRule="exact"/>
              <w:jc w:val="center"/>
              <w:rPr>
                <w:rFonts w:ascii="宋体" w:hAnsi="宋体" w:cs="宋体"/>
                <w:color w:val="auto"/>
                <w:sz w:val="22"/>
                <w:highlight w:val="none"/>
              </w:rPr>
            </w:pPr>
          </w:p>
        </w:tc>
        <w:tc>
          <w:tcPr>
            <w:tcW w:w="3798" w:type="dxa"/>
            <w:vAlign w:val="center"/>
          </w:tcPr>
          <w:p w14:paraId="3431D36C">
            <w:pPr>
              <w:spacing w:line="420" w:lineRule="exact"/>
              <w:jc w:val="center"/>
              <w:rPr>
                <w:rFonts w:ascii="宋体" w:hAnsi="宋体" w:cs="宋体"/>
                <w:color w:val="auto"/>
                <w:sz w:val="22"/>
                <w:highlight w:val="none"/>
              </w:rPr>
            </w:pPr>
          </w:p>
        </w:tc>
        <w:tc>
          <w:tcPr>
            <w:tcW w:w="2000" w:type="dxa"/>
            <w:vAlign w:val="center"/>
          </w:tcPr>
          <w:p w14:paraId="3D0EA748">
            <w:pPr>
              <w:spacing w:line="420" w:lineRule="exact"/>
              <w:jc w:val="center"/>
              <w:rPr>
                <w:rFonts w:ascii="宋体" w:hAnsi="宋体" w:cs="宋体"/>
                <w:color w:val="auto"/>
                <w:sz w:val="22"/>
                <w:highlight w:val="none"/>
              </w:rPr>
            </w:pPr>
          </w:p>
        </w:tc>
      </w:tr>
      <w:tr w14:paraId="4EB5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4CBB33D2">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097" w:type="dxa"/>
            <w:vAlign w:val="center"/>
          </w:tcPr>
          <w:p w14:paraId="27B6033A">
            <w:pPr>
              <w:spacing w:line="420" w:lineRule="exact"/>
              <w:jc w:val="center"/>
              <w:rPr>
                <w:rFonts w:ascii="宋体" w:hAnsi="宋体" w:cs="宋体"/>
                <w:color w:val="auto"/>
                <w:sz w:val="22"/>
                <w:highlight w:val="none"/>
              </w:rPr>
            </w:pPr>
          </w:p>
        </w:tc>
        <w:tc>
          <w:tcPr>
            <w:tcW w:w="3798" w:type="dxa"/>
            <w:vAlign w:val="center"/>
          </w:tcPr>
          <w:p w14:paraId="6CF6D182">
            <w:pPr>
              <w:spacing w:line="420" w:lineRule="exact"/>
              <w:jc w:val="center"/>
              <w:rPr>
                <w:rFonts w:ascii="宋体" w:hAnsi="宋体" w:cs="宋体"/>
                <w:color w:val="auto"/>
                <w:sz w:val="22"/>
                <w:highlight w:val="none"/>
              </w:rPr>
            </w:pPr>
          </w:p>
        </w:tc>
        <w:tc>
          <w:tcPr>
            <w:tcW w:w="2000" w:type="dxa"/>
            <w:vAlign w:val="center"/>
          </w:tcPr>
          <w:p w14:paraId="284C8931">
            <w:pPr>
              <w:spacing w:line="420" w:lineRule="exact"/>
              <w:jc w:val="center"/>
              <w:rPr>
                <w:rFonts w:ascii="宋体" w:hAnsi="宋体" w:cs="宋体"/>
                <w:color w:val="auto"/>
                <w:sz w:val="22"/>
                <w:highlight w:val="none"/>
              </w:rPr>
            </w:pPr>
          </w:p>
        </w:tc>
      </w:tr>
      <w:tr w14:paraId="1D792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67CC67E0">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097" w:type="dxa"/>
            <w:vAlign w:val="center"/>
          </w:tcPr>
          <w:p w14:paraId="72E5CF1B">
            <w:pPr>
              <w:spacing w:line="420" w:lineRule="exact"/>
              <w:jc w:val="center"/>
              <w:rPr>
                <w:rFonts w:ascii="宋体" w:hAnsi="宋体" w:cs="宋体"/>
                <w:color w:val="auto"/>
                <w:sz w:val="22"/>
                <w:highlight w:val="none"/>
              </w:rPr>
            </w:pPr>
          </w:p>
        </w:tc>
        <w:tc>
          <w:tcPr>
            <w:tcW w:w="3798" w:type="dxa"/>
            <w:vAlign w:val="center"/>
          </w:tcPr>
          <w:p w14:paraId="606B89A9">
            <w:pPr>
              <w:spacing w:line="420" w:lineRule="exact"/>
              <w:jc w:val="center"/>
              <w:rPr>
                <w:rFonts w:ascii="宋体" w:hAnsi="宋体" w:cs="宋体"/>
                <w:color w:val="auto"/>
                <w:sz w:val="22"/>
                <w:highlight w:val="none"/>
              </w:rPr>
            </w:pPr>
          </w:p>
        </w:tc>
        <w:tc>
          <w:tcPr>
            <w:tcW w:w="2000" w:type="dxa"/>
            <w:vAlign w:val="center"/>
          </w:tcPr>
          <w:p w14:paraId="0A7FA487">
            <w:pPr>
              <w:spacing w:line="420" w:lineRule="exact"/>
              <w:jc w:val="center"/>
              <w:rPr>
                <w:rFonts w:ascii="宋体" w:hAnsi="宋体" w:cs="宋体"/>
                <w:color w:val="auto"/>
                <w:sz w:val="22"/>
                <w:highlight w:val="none"/>
              </w:rPr>
            </w:pPr>
          </w:p>
        </w:tc>
      </w:tr>
      <w:tr w14:paraId="7E128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264933C4">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w:t>
            </w:r>
          </w:p>
        </w:tc>
        <w:tc>
          <w:tcPr>
            <w:tcW w:w="2097" w:type="dxa"/>
            <w:vAlign w:val="center"/>
          </w:tcPr>
          <w:p w14:paraId="1472BCB0">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w:t>
            </w:r>
          </w:p>
        </w:tc>
        <w:tc>
          <w:tcPr>
            <w:tcW w:w="3798" w:type="dxa"/>
            <w:vAlign w:val="center"/>
          </w:tcPr>
          <w:p w14:paraId="03AA20F8">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w:t>
            </w:r>
          </w:p>
        </w:tc>
        <w:tc>
          <w:tcPr>
            <w:tcW w:w="2000" w:type="dxa"/>
            <w:vAlign w:val="center"/>
          </w:tcPr>
          <w:p w14:paraId="46D11BCA">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w:t>
            </w:r>
          </w:p>
        </w:tc>
      </w:tr>
      <w:tr w14:paraId="50D1E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4C2EFF75">
            <w:pPr>
              <w:spacing w:line="420" w:lineRule="exact"/>
              <w:jc w:val="center"/>
              <w:rPr>
                <w:rFonts w:ascii="宋体" w:hAnsi="宋体" w:cs="宋体"/>
                <w:color w:val="auto"/>
                <w:sz w:val="22"/>
                <w:highlight w:val="none"/>
              </w:rPr>
            </w:pPr>
          </w:p>
        </w:tc>
        <w:tc>
          <w:tcPr>
            <w:tcW w:w="2097" w:type="dxa"/>
            <w:vAlign w:val="center"/>
          </w:tcPr>
          <w:p w14:paraId="27D2E2D4">
            <w:pPr>
              <w:spacing w:line="420" w:lineRule="exact"/>
              <w:jc w:val="center"/>
              <w:rPr>
                <w:rFonts w:ascii="宋体" w:hAnsi="宋体" w:cs="宋体"/>
                <w:color w:val="auto"/>
                <w:sz w:val="22"/>
                <w:highlight w:val="none"/>
              </w:rPr>
            </w:pPr>
          </w:p>
        </w:tc>
        <w:tc>
          <w:tcPr>
            <w:tcW w:w="3798" w:type="dxa"/>
            <w:vAlign w:val="center"/>
          </w:tcPr>
          <w:p w14:paraId="55486A9E">
            <w:pPr>
              <w:spacing w:line="420" w:lineRule="exact"/>
              <w:jc w:val="center"/>
              <w:rPr>
                <w:rFonts w:ascii="宋体" w:hAnsi="宋体" w:cs="宋体"/>
                <w:color w:val="auto"/>
                <w:sz w:val="22"/>
                <w:highlight w:val="none"/>
              </w:rPr>
            </w:pPr>
          </w:p>
        </w:tc>
        <w:tc>
          <w:tcPr>
            <w:tcW w:w="2000" w:type="dxa"/>
            <w:vAlign w:val="center"/>
          </w:tcPr>
          <w:p w14:paraId="73751C4A">
            <w:pPr>
              <w:spacing w:line="420" w:lineRule="exact"/>
              <w:jc w:val="center"/>
              <w:rPr>
                <w:rFonts w:ascii="宋体" w:hAnsi="宋体" w:cs="宋体"/>
                <w:color w:val="auto"/>
                <w:sz w:val="22"/>
                <w:highlight w:val="none"/>
              </w:rPr>
            </w:pPr>
          </w:p>
        </w:tc>
      </w:tr>
      <w:tr w14:paraId="189E0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0D57B4E3">
            <w:pPr>
              <w:spacing w:line="420" w:lineRule="exact"/>
              <w:jc w:val="center"/>
              <w:rPr>
                <w:rFonts w:ascii="宋体" w:hAnsi="宋体" w:cs="宋体"/>
                <w:color w:val="auto"/>
                <w:sz w:val="22"/>
                <w:highlight w:val="none"/>
              </w:rPr>
            </w:pPr>
          </w:p>
        </w:tc>
        <w:tc>
          <w:tcPr>
            <w:tcW w:w="2097" w:type="dxa"/>
            <w:vAlign w:val="center"/>
          </w:tcPr>
          <w:p w14:paraId="61B3FE5A">
            <w:pPr>
              <w:spacing w:line="420" w:lineRule="exact"/>
              <w:jc w:val="center"/>
              <w:rPr>
                <w:rFonts w:ascii="宋体" w:hAnsi="宋体" w:cs="宋体"/>
                <w:color w:val="auto"/>
                <w:sz w:val="22"/>
                <w:highlight w:val="none"/>
              </w:rPr>
            </w:pPr>
          </w:p>
        </w:tc>
        <w:tc>
          <w:tcPr>
            <w:tcW w:w="3798" w:type="dxa"/>
            <w:vAlign w:val="center"/>
          </w:tcPr>
          <w:p w14:paraId="02152DC4">
            <w:pPr>
              <w:spacing w:line="420" w:lineRule="exact"/>
              <w:jc w:val="center"/>
              <w:rPr>
                <w:rFonts w:ascii="宋体" w:hAnsi="宋体" w:cs="宋体"/>
                <w:color w:val="auto"/>
                <w:sz w:val="22"/>
                <w:highlight w:val="none"/>
              </w:rPr>
            </w:pPr>
          </w:p>
        </w:tc>
        <w:tc>
          <w:tcPr>
            <w:tcW w:w="2000" w:type="dxa"/>
            <w:vAlign w:val="center"/>
          </w:tcPr>
          <w:p w14:paraId="1875596E">
            <w:pPr>
              <w:spacing w:line="420" w:lineRule="exact"/>
              <w:jc w:val="center"/>
              <w:rPr>
                <w:rFonts w:ascii="宋体" w:hAnsi="宋体" w:cs="宋体"/>
                <w:color w:val="auto"/>
                <w:sz w:val="22"/>
                <w:highlight w:val="none"/>
              </w:rPr>
            </w:pPr>
          </w:p>
        </w:tc>
      </w:tr>
      <w:tr w14:paraId="62387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393FA959">
            <w:pPr>
              <w:spacing w:line="420" w:lineRule="exact"/>
              <w:jc w:val="center"/>
              <w:rPr>
                <w:rFonts w:ascii="宋体" w:hAnsi="宋体" w:cs="宋体"/>
                <w:color w:val="auto"/>
                <w:sz w:val="22"/>
                <w:highlight w:val="none"/>
              </w:rPr>
            </w:pPr>
          </w:p>
        </w:tc>
        <w:tc>
          <w:tcPr>
            <w:tcW w:w="2097" w:type="dxa"/>
            <w:vAlign w:val="center"/>
          </w:tcPr>
          <w:p w14:paraId="6C30F483">
            <w:pPr>
              <w:spacing w:line="420" w:lineRule="exact"/>
              <w:jc w:val="center"/>
              <w:rPr>
                <w:rFonts w:ascii="宋体" w:hAnsi="宋体" w:cs="宋体"/>
                <w:color w:val="auto"/>
                <w:sz w:val="22"/>
                <w:highlight w:val="none"/>
              </w:rPr>
            </w:pPr>
          </w:p>
        </w:tc>
        <w:tc>
          <w:tcPr>
            <w:tcW w:w="3798" w:type="dxa"/>
            <w:vAlign w:val="center"/>
          </w:tcPr>
          <w:p w14:paraId="18D600A6">
            <w:pPr>
              <w:spacing w:line="420" w:lineRule="exact"/>
              <w:jc w:val="center"/>
              <w:rPr>
                <w:rFonts w:ascii="宋体" w:hAnsi="宋体" w:cs="宋体"/>
                <w:color w:val="auto"/>
                <w:sz w:val="22"/>
                <w:highlight w:val="none"/>
              </w:rPr>
            </w:pPr>
          </w:p>
        </w:tc>
        <w:tc>
          <w:tcPr>
            <w:tcW w:w="2000" w:type="dxa"/>
            <w:vAlign w:val="center"/>
          </w:tcPr>
          <w:p w14:paraId="2CEB479D">
            <w:pPr>
              <w:spacing w:line="420" w:lineRule="exact"/>
              <w:jc w:val="center"/>
              <w:rPr>
                <w:rFonts w:ascii="宋体" w:hAnsi="宋体" w:cs="宋体"/>
                <w:color w:val="auto"/>
                <w:sz w:val="22"/>
                <w:highlight w:val="none"/>
              </w:rPr>
            </w:pPr>
          </w:p>
        </w:tc>
      </w:tr>
      <w:tr w14:paraId="5813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68BB0FDE">
            <w:pPr>
              <w:spacing w:line="420" w:lineRule="exact"/>
              <w:jc w:val="center"/>
              <w:rPr>
                <w:rFonts w:ascii="宋体" w:hAnsi="宋体" w:cs="宋体"/>
                <w:color w:val="auto"/>
                <w:sz w:val="22"/>
                <w:highlight w:val="none"/>
              </w:rPr>
            </w:pPr>
          </w:p>
        </w:tc>
        <w:tc>
          <w:tcPr>
            <w:tcW w:w="2097" w:type="dxa"/>
            <w:vAlign w:val="center"/>
          </w:tcPr>
          <w:p w14:paraId="2E18BF97">
            <w:pPr>
              <w:spacing w:line="420" w:lineRule="exact"/>
              <w:jc w:val="center"/>
              <w:rPr>
                <w:rFonts w:ascii="宋体" w:hAnsi="宋体" w:cs="宋体"/>
                <w:color w:val="auto"/>
                <w:sz w:val="22"/>
                <w:highlight w:val="none"/>
              </w:rPr>
            </w:pPr>
          </w:p>
        </w:tc>
        <w:tc>
          <w:tcPr>
            <w:tcW w:w="3798" w:type="dxa"/>
            <w:vAlign w:val="center"/>
          </w:tcPr>
          <w:p w14:paraId="5695F62E">
            <w:pPr>
              <w:spacing w:line="420" w:lineRule="exact"/>
              <w:jc w:val="center"/>
              <w:rPr>
                <w:rFonts w:ascii="宋体" w:hAnsi="宋体" w:cs="宋体"/>
                <w:color w:val="auto"/>
                <w:sz w:val="22"/>
                <w:highlight w:val="none"/>
              </w:rPr>
            </w:pPr>
          </w:p>
        </w:tc>
        <w:tc>
          <w:tcPr>
            <w:tcW w:w="2000" w:type="dxa"/>
            <w:vAlign w:val="center"/>
          </w:tcPr>
          <w:p w14:paraId="712AC2B7">
            <w:pPr>
              <w:spacing w:line="420" w:lineRule="exact"/>
              <w:jc w:val="center"/>
              <w:rPr>
                <w:rFonts w:ascii="宋体" w:hAnsi="宋体" w:cs="宋体"/>
                <w:color w:val="auto"/>
                <w:sz w:val="22"/>
                <w:highlight w:val="none"/>
              </w:rPr>
            </w:pPr>
          </w:p>
        </w:tc>
      </w:tr>
      <w:tr w14:paraId="7A600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0F71694C">
            <w:pPr>
              <w:spacing w:line="420" w:lineRule="exact"/>
              <w:jc w:val="center"/>
              <w:rPr>
                <w:rFonts w:ascii="宋体" w:hAnsi="宋体" w:cs="宋体"/>
                <w:color w:val="auto"/>
                <w:sz w:val="22"/>
                <w:highlight w:val="none"/>
              </w:rPr>
            </w:pPr>
          </w:p>
        </w:tc>
        <w:tc>
          <w:tcPr>
            <w:tcW w:w="2097" w:type="dxa"/>
            <w:vAlign w:val="center"/>
          </w:tcPr>
          <w:p w14:paraId="6BB47AAA">
            <w:pPr>
              <w:spacing w:line="420" w:lineRule="exact"/>
              <w:jc w:val="center"/>
              <w:rPr>
                <w:rFonts w:ascii="宋体" w:hAnsi="宋体" w:cs="宋体"/>
                <w:color w:val="auto"/>
                <w:sz w:val="22"/>
                <w:highlight w:val="none"/>
              </w:rPr>
            </w:pPr>
          </w:p>
        </w:tc>
        <w:tc>
          <w:tcPr>
            <w:tcW w:w="3798" w:type="dxa"/>
            <w:vAlign w:val="center"/>
          </w:tcPr>
          <w:p w14:paraId="22277533">
            <w:pPr>
              <w:spacing w:line="420" w:lineRule="exact"/>
              <w:jc w:val="center"/>
              <w:rPr>
                <w:rFonts w:ascii="宋体" w:hAnsi="宋体" w:cs="宋体"/>
                <w:color w:val="auto"/>
                <w:sz w:val="22"/>
                <w:highlight w:val="none"/>
              </w:rPr>
            </w:pPr>
          </w:p>
        </w:tc>
        <w:tc>
          <w:tcPr>
            <w:tcW w:w="2000" w:type="dxa"/>
            <w:vAlign w:val="center"/>
          </w:tcPr>
          <w:p w14:paraId="0797464C">
            <w:pPr>
              <w:spacing w:line="420" w:lineRule="exact"/>
              <w:jc w:val="center"/>
              <w:rPr>
                <w:rFonts w:ascii="宋体" w:hAnsi="宋体" w:cs="宋体"/>
                <w:color w:val="auto"/>
                <w:sz w:val="22"/>
                <w:highlight w:val="none"/>
              </w:rPr>
            </w:pPr>
          </w:p>
        </w:tc>
      </w:tr>
      <w:tr w14:paraId="1785F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3" w:type="dxa"/>
            <w:vAlign w:val="center"/>
          </w:tcPr>
          <w:p w14:paraId="763286F0">
            <w:pPr>
              <w:spacing w:line="420" w:lineRule="exact"/>
              <w:jc w:val="center"/>
              <w:rPr>
                <w:rFonts w:ascii="宋体" w:hAnsi="宋体" w:cs="宋体"/>
                <w:color w:val="auto"/>
                <w:sz w:val="22"/>
                <w:highlight w:val="none"/>
              </w:rPr>
            </w:pPr>
          </w:p>
        </w:tc>
        <w:tc>
          <w:tcPr>
            <w:tcW w:w="2097" w:type="dxa"/>
            <w:vAlign w:val="center"/>
          </w:tcPr>
          <w:p w14:paraId="40A226B3">
            <w:pPr>
              <w:spacing w:line="420" w:lineRule="exact"/>
              <w:jc w:val="center"/>
              <w:rPr>
                <w:rFonts w:ascii="宋体" w:hAnsi="宋体" w:cs="宋体"/>
                <w:color w:val="auto"/>
                <w:sz w:val="22"/>
                <w:highlight w:val="none"/>
              </w:rPr>
            </w:pPr>
          </w:p>
        </w:tc>
        <w:tc>
          <w:tcPr>
            <w:tcW w:w="3798" w:type="dxa"/>
            <w:vAlign w:val="center"/>
          </w:tcPr>
          <w:p w14:paraId="2A5C1BD0">
            <w:pPr>
              <w:spacing w:line="420" w:lineRule="exact"/>
              <w:jc w:val="center"/>
              <w:rPr>
                <w:rFonts w:ascii="宋体" w:hAnsi="宋体" w:cs="宋体"/>
                <w:color w:val="auto"/>
                <w:sz w:val="22"/>
                <w:highlight w:val="none"/>
              </w:rPr>
            </w:pPr>
          </w:p>
        </w:tc>
        <w:tc>
          <w:tcPr>
            <w:tcW w:w="2000" w:type="dxa"/>
            <w:vAlign w:val="center"/>
          </w:tcPr>
          <w:p w14:paraId="59D253C4">
            <w:pPr>
              <w:spacing w:line="420" w:lineRule="exact"/>
              <w:jc w:val="center"/>
              <w:rPr>
                <w:rFonts w:ascii="宋体" w:hAnsi="宋体" w:cs="宋体"/>
                <w:color w:val="auto"/>
                <w:sz w:val="22"/>
                <w:highlight w:val="none"/>
              </w:rPr>
            </w:pPr>
          </w:p>
        </w:tc>
      </w:tr>
    </w:tbl>
    <w:p w14:paraId="63914A08">
      <w:pPr>
        <w:spacing w:line="400" w:lineRule="exact"/>
        <w:rPr>
          <w:rFonts w:ascii="宋体" w:hAnsi="宋体" w:cs="宋体"/>
          <w:b/>
          <w:color w:val="auto"/>
          <w:sz w:val="22"/>
          <w:highlight w:val="none"/>
        </w:rPr>
      </w:pPr>
      <w:r>
        <w:rPr>
          <w:rFonts w:hint="eastAsia" w:ascii="宋体" w:hAnsi="宋体" w:cs="宋体"/>
          <w:b/>
          <w:color w:val="auto"/>
          <w:sz w:val="22"/>
          <w:highlight w:val="none"/>
        </w:rPr>
        <w:t>备注：证明材料附后。</w:t>
      </w:r>
    </w:p>
    <w:p w14:paraId="0B00E2D4">
      <w:pPr>
        <w:widowControl/>
        <w:spacing w:line="400" w:lineRule="exact"/>
        <w:rPr>
          <w:rFonts w:ascii="宋体" w:hAnsi="宋体" w:cs="宋体"/>
          <w:color w:val="auto"/>
          <w:kern w:val="0"/>
          <w:sz w:val="24"/>
          <w:szCs w:val="24"/>
          <w:highlight w:val="none"/>
        </w:rPr>
      </w:pPr>
    </w:p>
    <w:p w14:paraId="5DEAC0A4">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4EA3741B">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2560794E">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26D2B2C5">
      <w:pPr>
        <w:spacing w:line="400" w:lineRule="exact"/>
        <w:rPr>
          <w:rFonts w:ascii="宋体" w:hAnsi="宋体" w:cs="宋体"/>
          <w:color w:val="auto"/>
          <w:sz w:val="24"/>
          <w:szCs w:val="24"/>
          <w:highlight w:val="none"/>
        </w:rPr>
      </w:pPr>
    </w:p>
    <w:p w14:paraId="4FDBAEEE">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附件10</w:t>
      </w:r>
    </w:p>
    <w:p w14:paraId="20EE6D1F">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采购需求偏离表</w:t>
      </w:r>
    </w:p>
    <w:p w14:paraId="72B528E3">
      <w:pPr>
        <w:pStyle w:val="13"/>
        <w:spacing w:after="0" w:line="400" w:lineRule="exact"/>
        <w:ind w:left="0" w:leftChars="0" w:right="0" w:rightChars="0"/>
        <w:rPr>
          <w:rFonts w:ascii="宋体" w:hAnsi="宋体" w:cs="宋体"/>
          <w:color w:val="auto"/>
          <w:highlight w:val="none"/>
        </w:rPr>
      </w:pPr>
      <w:r>
        <w:rPr>
          <w:rFonts w:hint="eastAsia" w:ascii="宋体" w:hAnsi="宋体" w:cs="宋体"/>
          <w:b/>
          <w:color w:val="auto"/>
          <w:sz w:val="24"/>
          <w:szCs w:val="24"/>
          <w:highlight w:val="none"/>
        </w:rPr>
        <w:t xml:space="preserve">项目名称：                       项目编号：                  </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656"/>
        <w:gridCol w:w="3219"/>
        <w:gridCol w:w="1822"/>
        <w:gridCol w:w="1735"/>
      </w:tblGrid>
      <w:tr w14:paraId="52E8C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2092B09B">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序号</w:t>
            </w:r>
          </w:p>
        </w:tc>
        <w:tc>
          <w:tcPr>
            <w:tcW w:w="1656" w:type="dxa"/>
            <w:vAlign w:val="center"/>
          </w:tcPr>
          <w:p w14:paraId="7A80A3E1">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招标文件要求</w:t>
            </w:r>
          </w:p>
        </w:tc>
        <w:tc>
          <w:tcPr>
            <w:tcW w:w="3219" w:type="dxa"/>
            <w:vAlign w:val="center"/>
          </w:tcPr>
          <w:p w14:paraId="21DBFF47">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投标文件对应规范</w:t>
            </w:r>
          </w:p>
        </w:tc>
        <w:tc>
          <w:tcPr>
            <w:tcW w:w="1822" w:type="dxa"/>
            <w:vAlign w:val="center"/>
          </w:tcPr>
          <w:p w14:paraId="0F2D4ED9">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是否偏离</w:t>
            </w:r>
          </w:p>
          <w:p w14:paraId="5B044737">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（提供说明）</w:t>
            </w:r>
          </w:p>
        </w:tc>
        <w:tc>
          <w:tcPr>
            <w:tcW w:w="1735" w:type="dxa"/>
            <w:vAlign w:val="center"/>
          </w:tcPr>
          <w:p w14:paraId="3AC80EB9">
            <w:pPr>
              <w:spacing w:line="400" w:lineRule="exact"/>
              <w:jc w:val="center"/>
              <w:rPr>
                <w:rFonts w:ascii="宋体" w:hAnsi="宋体" w:cs="宋体"/>
                <w:b/>
                <w:color w:val="auto"/>
                <w:spacing w:val="-6"/>
                <w:sz w:val="24"/>
                <w:highlight w:val="none"/>
              </w:rPr>
            </w:pPr>
            <w:r>
              <w:rPr>
                <w:rFonts w:hint="eastAsia" w:ascii="宋体" w:hAnsi="宋体" w:cs="宋体"/>
                <w:b/>
                <w:color w:val="auto"/>
                <w:spacing w:val="-6"/>
                <w:sz w:val="24"/>
                <w:highlight w:val="none"/>
              </w:rPr>
              <w:t>要求提供的证明材料页码</w:t>
            </w:r>
          </w:p>
        </w:tc>
      </w:tr>
      <w:tr w14:paraId="40FC9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3" w:type="dxa"/>
            <w:gridSpan w:val="5"/>
            <w:vAlign w:val="center"/>
          </w:tcPr>
          <w:p w14:paraId="6B60BDDD">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商务部分</w:t>
            </w:r>
          </w:p>
        </w:tc>
      </w:tr>
      <w:tr w14:paraId="42914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429F88B9">
            <w:pPr>
              <w:spacing w:line="400" w:lineRule="exact"/>
              <w:jc w:val="center"/>
              <w:rPr>
                <w:rFonts w:ascii="宋体" w:hAnsi="宋体" w:cs="宋体"/>
                <w:color w:val="auto"/>
                <w:spacing w:val="-6"/>
                <w:sz w:val="24"/>
                <w:highlight w:val="none"/>
              </w:rPr>
            </w:pPr>
          </w:p>
        </w:tc>
        <w:tc>
          <w:tcPr>
            <w:tcW w:w="1656" w:type="dxa"/>
            <w:vAlign w:val="center"/>
          </w:tcPr>
          <w:p w14:paraId="1FE64EAC">
            <w:pPr>
              <w:spacing w:line="400" w:lineRule="exact"/>
              <w:jc w:val="center"/>
              <w:rPr>
                <w:rFonts w:ascii="宋体" w:hAnsi="宋体" w:cs="宋体"/>
                <w:color w:val="auto"/>
                <w:spacing w:val="-6"/>
                <w:sz w:val="24"/>
                <w:highlight w:val="none"/>
              </w:rPr>
            </w:pPr>
          </w:p>
        </w:tc>
        <w:tc>
          <w:tcPr>
            <w:tcW w:w="3219" w:type="dxa"/>
            <w:vAlign w:val="center"/>
          </w:tcPr>
          <w:p w14:paraId="3BA4C5FC">
            <w:pPr>
              <w:spacing w:line="400" w:lineRule="exact"/>
              <w:jc w:val="center"/>
              <w:rPr>
                <w:rFonts w:ascii="宋体" w:hAnsi="宋体" w:cs="宋体"/>
                <w:color w:val="auto"/>
                <w:spacing w:val="-6"/>
                <w:sz w:val="24"/>
                <w:highlight w:val="none"/>
              </w:rPr>
            </w:pPr>
          </w:p>
        </w:tc>
        <w:tc>
          <w:tcPr>
            <w:tcW w:w="1822" w:type="dxa"/>
            <w:vAlign w:val="center"/>
          </w:tcPr>
          <w:p w14:paraId="3054E3C5">
            <w:pPr>
              <w:spacing w:line="400" w:lineRule="exact"/>
              <w:jc w:val="center"/>
              <w:rPr>
                <w:rFonts w:ascii="宋体" w:hAnsi="宋体" w:cs="宋体"/>
                <w:color w:val="auto"/>
                <w:spacing w:val="-6"/>
                <w:sz w:val="24"/>
                <w:highlight w:val="none"/>
              </w:rPr>
            </w:pPr>
          </w:p>
        </w:tc>
        <w:tc>
          <w:tcPr>
            <w:tcW w:w="1735" w:type="dxa"/>
            <w:vAlign w:val="center"/>
          </w:tcPr>
          <w:p w14:paraId="41D881BA">
            <w:pPr>
              <w:spacing w:line="400" w:lineRule="exact"/>
              <w:jc w:val="center"/>
              <w:rPr>
                <w:rFonts w:ascii="宋体" w:hAnsi="宋体" w:cs="宋体"/>
                <w:color w:val="auto"/>
                <w:spacing w:val="-6"/>
                <w:sz w:val="24"/>
                <w:highlight w:val="none"/>
              </w:rPr>
            </w:pPr>
          </w:p>
        </w:tc>
      </w:tr>
      <w:tr w14:paraId="6DD71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0FA78346">
            <w:pPr>
              <w:spacing w:line="400" w:lineRule="exact"/>
              <w:jc w:val="center"/>
              <w:rPr>
                <w:rFonts w:ascii="宋体" w:hAnsi="宋体" w:cs="宋体"/>
                <w:color w:val="auto"/>
                <w:spacing w:val="-6"/>
                <w:sz w:val="24"/>
                <w:highlight w:val="none"/>
              </w:rPr>
            </w:pPr>
          </w:p>
        </w:tc>
        <w:tc>
          <w:tcPr>
            <w:tcW w:w="1656" w:type="dxa"/>
            <w:vAlign w:val="center"/>
          </w:tcPr>
          <w:p w14:paraId="4C0DDDB7">
            <w:pPr>
              <w:spacing w:line="400" w:lineRule="exact"/>
              <w:jc w:val="center"/>
              <w:rPr>
                <w:rFonts w:ascii="宋体" w:hAnsi="宋体" w:cs="宋体"/>
                <w:color w:val="auto"/>
                <w:spacing w:val="-6"/>
                <w:sz w:val="24"/>
                <w:highlight w:val="none"/>
              </w:rPr>
            </w:pPr>
          </w:p>
        </w:tc>
        <w:tc>
          <w:tcPr>
            <w:tcW w:w="3219" w:type="dxa"/>
            <w:vAlign w:val="center"/>
          </w:tcPr>
          <w:p w14:paraId="594F03A4">
            <w:pPr>
              <w:spacing w:line="400" w:lineRule="exact"/>
              <w:jc w:val="center"/>
              <w:rPr>
                <w:rFonts w:ascii="宋体" w:hAnsi="宋体" w:cs="宋体"/>
                <w:color w:val="auto"/>
                <w:spacing w:val="-6"/>
                <w:sz w:val="24"/>
                <w:highlight w:val="none"/>
              </w:rPr>
            </w:pPr>
          </w:p>
        </w:tc>
        <w:tc>
          <w:tcPr>
            <w:tcW w:w="1822" w:type="dxa"/>
            <w:vAlign w:val="center"/>
          </w:tcPr>
          <w:p w14:paraId="2C66C761">
            <w:pPr>
              <w:spacing w:line="400" w:lineRule="exact"/>
              <w:jc w:val="center"/>
              <w:rPr>
                <w:rFonts w:ascii="宋体" w:hAnsi="宋体" w:cs="宋体"/>
                <w:color w:val="auto"/>
                <w:spacing w:val="-6"/>
                <w:sz w:val="24"/>
                <w:highlight w:val="none"/>
              </w:rPr>
            </w:pPr>
          </w:p>
        </w:tc>
        <w:tc>
          <w:tcPr>
            <w:tcW w:w="1735" w:type="dxa"/>
            <w:vAlign w:val="center"/>
          </w:tcPr>
          <w:p w14:paraId="11B54DE7">
            <w:pPr>
              <w:spacing w:line="400" w:lineRule="exact"/>
              <w:jc w:val="center"/>
              <w:rPr>
                <w:rFonts w:ascii="宋体" w:hAnsi="宋体" w:cs="宋体"/>
                <w:color w:val="auto"/>
                <w:spacing w:val="-6"/>
                <w:sz w:val="24"/>
                <w:highlight w:val="none"/>
              </w:rPr>
            </w:pPr>
          </w:p>
        </w:tc>
      </w:tr>
      <w:tr w14:paraId="27AEE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5B25845F">
            <w:pPr>
              <w:spacing w:line="400" w:lineRule="exact"/>
              <w:jc w:val="center"/>
              <w:rPr>
                <w:rFonts w:ascii="宋体" w:hAnsi="宋体" w:cs="宋体"/>
                <w:color w:val="auto"/>
                <w:spacing w:val="-6"/>
                <w:sz w:val="24"/>
                <w:highlight w:val="none"/>
              </w:rPr>
            </w:pPr>
          </w:p>
        </w:tc>
        <w:tc>
          <w:tcPr>
            <w:tcW w:w="1656" w:type="dxa"/>
            <w:vAlign w:val="center"/>
          </w:tcPr>
          <w:p w14:paraId="226BF894">
            <w:pPr>
              <w:spacing w:line="400" w:lineRule="exact"/>
              <w:jc w:val="center"/>
              <w:rPr>
                <w:rFonts w:ascii="宋体" w:hAnsi="宋体" w:cs="宋体"/>
                <w:color w:val="auto"/>
                <w:spacing w:val="-6"/>
                <w:sz w:val="24"/>
                <w:highlight w:val="none"/>
              </w:rPr>
            </w:pPr>
          </w:p>
        </w:tc>
        <w:tc>
          <w:tcPr>
            <w:tcW w:w="3219" w:type="dxa"/>
            <w:vAlign w:val="center"/>
          </w:tcPr>
          <w:p w14:paraId="33C7228D">
            <w:pPr>
              <w:spacing w:line="400" w:lineRule="exact"/>
              <w:jc w:val="center"/>
              <w:rPr>
                <w:rFonts w:ascii="宋体" w:hAnsi="宋体" w:cs="宋体"/>
                <w:color w:val="auto"/>
                <w:spacing w:val="-6"/>
                <w:sz w:val="24"/>
                <w:highlight w:val="none"/>
              </w:rPr>
            </w:pPr>
          </w:p>
        </w:tc>
        <w:tc>
          <w:tcPr>
            <w:tcW w:w="1822" w:type="dxa"/>
            <w:vAlign w:val="center"/>
          </w:tcPr>
          <w:p w14:paraId="454987F7">
            <w:pPr>
              <w:spacing w:line="400" w:lineRule="exact"/>
              <w:jc w:val="center"/>
              <w:rPr>
                <w:rFonts w:ascii="宋体" w:hAnsi="宋体" w:cs="宋体"/>
                <w:color w:val="auto"/>
                <w:spacing w:val="-6"/>
                <w:sz w:val="24"/>
                <w:highlight w:val="none"/>
              </w:rPr>
            </w:pPr>
          </w:p>
        </w:tc>
        <w:tc>
          <w:tcPr>
            <w:tcW w:w="1735" w:type="dxa"/>
            <w:vAlign w:val="center"/>
          </w:tcPr>
          <w:p w14:paraId="3606AD0C">
            <w:pPr>
              <w:spacing w:line="400" w:lineRule="exact"/>
              <w:jc w:val="center"/>
              <w:rPr>
                <w:rFonts w:ascii="宋体" w:hAnsi="宋体" w:cs="宋体"/>
                <w:color w:val="auto"/>
                <w:spacing w:val="-6"/>
                <w:sz w:val="24"/>
                <w:highlight w:val="none"/>
              </w:rPr>
            </w:pPr>
          </w:p>
        </w:tc>
      </w:tr>
      <w:tr w14:paraId="1907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7E261895">
            <w:pPr>
              <w:spacing w:line="400" w:lineRule="exact"/>
              <w:jc w:val="center"/>
              <w:rPr>
                <w:rFonts w:ascii="宋体" w:hAnsi="宋体" w:cs="宋体"/>
                <w:color w:val="auto"/>
                <w:spacing w:val="-6"/>
                <w:sz w:val="24"/>
                <w:highlight w:val="none"/>
              </w:rPr>
            </w:pPr>
          </w:p>
        </w:tc>
        <w:tc>
          <w:tcPr>
            <w:tcW w:w="1656" w:type="dxa"/>
            <w:vAlign w:val="center"/>
          </w:tcPr>
          <w:p w14:paraId="3E38C7FA">
            <w:pPr>
              <w:spacing w:line="400" w:lineRule="exact"/>
              <w:jc w:val="center"/>
              <w:rPr>
                <w:rFonts w:ascii="宋体" w:hAnsi="宋体" w:cs="宋体"/>
                <w:color w:val="auto"/>
                <w:spacing w:val="-6"/>
                <w:sz w:val="24"/>
                <w:highlight w:val="none"/>
              </w:rPr>
            </w:pPr>
          </w:p>
        </w:tc>
        <w:tc>
          <w:tcPr>
            <w:tcW w:w="3219" w:type="dxa"/>
            <w:vAlign w:val="center"/>
          </w:tcPr>
          <w:p w14:paraId="2F4BC102">
            <w:pPr>
              <w:spacing w:line="400" w:lineRule="exact"/>
              <w:jc w:val="center"/>
              <w:rPr>
                <w:rFonts w:ascii="宋体" w:hAnsi="宋体" w:cs="宋体"/>
                <w:color w:val="auto"/>
                <w:spacing w:val="-6"/>
                <w:sz w:val="24"/>
                <w:highlight w:val="none"/>
              </w:rPr>
            </w:pPr>
          </w:p>
        </w:tc>
        <w:tc>
          <w:tcPr>
            <w:tcW w:w="1822" w:type="dxa"/>
            <w:vAlign w:val="center"/>
          </w:tcPr>
          <w:p w14:paraId="73DC67DE">
            <w:pPr>
              <w:spacing w:line="400" w:lineRule="exact"/>
              <w:jc w:val="center"/>
              <w:rPr>
                <w:rFonts w:ascii="宋体" w:hAnsi="宋体" w:cs="宋体"/>
                <w:color w:val="auto"/>
                <w:spacing w:val="-6"/>
                <w:sz w:val="24"/>
                <w:highlight w:val="none"/>
              </w:rPr>
            </w:pPr>
          </w:p>
        </w:tc>
        <w:tc>
          <w:tcPr>
            <w:tcW w:w="1735" w:type="dxa"/>
            <w:vAlign w:val="center"/>
          </w:tcPr>
          <w:p w14:paraId="60FFD80B">
            <w:pPr>
              <w:spacing w:line="400" w:lineRule="exact"/>
              <w:jc w:val="center"/>
              <w:rPr>
                <w:rFonts w:ascii="宋体" w:hAnsi="宋体" w:cs="宋体"/>
                <w:color w:val="auto"/>
                <w:spacing w:val="-6"/>
                <w:sz w:val="24"/>
                <w:highlight w:val="none"/>
              </w:rPr>
            </w:pPr>
          </w:p>
        </w:tc>
      </w:tr>
      <w:tr w14:paraId="133B2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3" w:type="dxa"/>
            <w:gridSpan w:val="5"/>
            <w:vAlign w:val="center"/>
          </w:tcPr>
          <w:p w14:paraId="6DF674D5">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技术部分</w:t>
            </w:r>
          </w:p>
        </w:tc>
      </w:tr>
      <w:tr w14:paraId="44941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512D259D">
            <w:pPr>
              <w:spacing w:line="400" w:lineRule="exact"/>
              <w:rPr>
                <w:rFonts w:ascii="宋体" w:hAnsi="宋体" w:cs="宋体"/>
                <w:color w:val="auto"/>
                <w:spacing w:val="-6"/>
                <w:sz w:val="24"/>
                <w:highlight w:val="none"/>
              </w:rPr>
            </w:pPr>
          </w:p>
        </w:tc>
        <w:tc>
          <w:tcPr>
            <w:tcW w:w="1656" w:type="dxa"/>
            <w:vAlign w:val="center"/>
          </w:tcPr>
          <w:p w14:paraId="43F76550">
            <w:pPr>
              <w:spacing w:line="400" w:lineRule="exact"/>
              <w:rPr>
                <w:rFonts w:ascii="宋体" w:hAnsi="宋体" w:cs="宋体"/>
                <w:color w:val="auto"/>
                <w:spacing w:val="-6"/>
                <w:sz w:val="24"/>
                <w:highlight w:val="none"/>
              </w:rPr>
            </w:pPr>
          </w:p>
        </w:tc>
        <w:tc>
          <w:tcPr>
            <w:tcW w:w="3219" w:type="dxa"/>
            <w:vAlign w:val="center"/>
          </w:tcPr>
          <w:p w14:paraId="3C2DA01C">
            <w:pPr>
              <w:spacing w:line="400" w:lineRule="exact"/>
              <w:jc w:val="center"/>
              <w:rPr>
                <w:rFonts w:ascii="宋体" w:hAnsi="宋体" w:cs="宋体"/>
                <w:color w:val="auto"/>
                <w:spacing w:val="-6"/>
                <w:sz w:val="24"/>
                <w:highlight w:val="none"/>
              </w:rPr>
            </w:pPr>
          </w:p>
        </w:tc>
        <w:tc>
          <w:tcPr>
            <w:tcW w:w="1822" w:type="dxa"/>
            <w:vAlign w:val="center"/>
          </w:tcPr>
          <w:p w14:paraId="4317DDFD">
            <w:pPr>
              <w:spacing w:line="400" w:lineRule="exact"/>
              <w:jc w:val="center"/>
              <w:rPr>
                <w:rFonts w:ascii="宋体" w:hAnsi="宋体" w:cs="宋体"/>
                <w:color w:val="auto"/>
                <w:spacing w:val="-6"/>
                <w:sz w:val="24"/>
                <w:highlight w:val="none"/>
              </w:rPr>
            </w:pPr>
          </w:p>
        </w:tc>
        <w:tc>
          <w:tcPr>
            <w:tcW w:w="1735" w:type="dxa"/>
            <w:vAlign w:val="center"/>
          </w:tcPr>
          <w:p w14:paraId="4C398F86">
            <w:pPr>
              <w:spacing w:line="400" w:lineRule="exact"/>
              <w:jc w:val="center"/>
              <w:rPr>
                <w:rFonts w:ascii="宋体" w:hAnsi="宋体" w:cs="宋体"/>
                <w:color w:val="auto"/>
                <w:spacing w:val="-6"/>
                <w:sz w:val="24"/>
                <w:highlight w:val="none"/>
              </w:rPr>
            </w:pPr>
          </w:p>
        </w:tc>
      </w:tr>
      <w:tr w14:paraId="614E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596EF76F">
            <w:pPr>
              <w:spacing w:line="400" w:lineRule="exact"/>
              <w:jc w:val="center"/>
              <w:rPr>
                <w:rFonts w:ascii="宋体" w:hAnsi="宋体" w:cs="宋体"/>
                <w:color w:val="auto"/>
                <w:spacing w:val="-6"/>
                <w:sz w:val="24"/>
                <w:highlight w:val="none"/>
              </w:rPr>
            </w:pPr>
          </w:p>
        </w:tc>
        <w:tc>
          <w:tcPr>
            <w:tcW w:w="1656" w:type="dxa"/>
            <w:vAlign w:val="center"/>
          </w:tcPr>
          <w:p w14:paraId="170AD25D">
            <w:pPr>
              <w:spacing w:line="400" w:lineRule="exact"/>
              <w:jc w:val="center"/>
              <w:rPr>
                <w:rFonts w:ascii="宋体" w:hAnsi="宋体" w:cs="宋体"/>
                <w:color w:val="auto"/>
                <w:spacing w:val="-6"/>
                <w:sz w:val="24"/>
                <w:highlight w:val="none"/>
              </w:rPr>
            </w:pPr>
          </w:p>
        </w:tc>
        <w:tc>
          <w:tcPr>
            <w:tcW w:w="3219" w:type="dxa"/>
            <w:vAlign w:val="center"/>
          </w:tcPr>
          <w:p w14:paraId="31C129CC">
            <w:pPr>
              <w:spacing w:line="400" w:lineRule="exact"/>
              <w:jc w:val="center"/>
              <w:rPr>
                <w:rFonts w:ascii="宋体" w:hAnsi="宋体" w:cs="宋体"/>
                <w:color w:val="auto"/>
                <w:spacing w:val="-6"/>
                <w:sz w:val="24"/>
                <w:highlight w:val="none"/>
              </w:rPr>
            </w:pPr>
          </w:p>
        </w:tc>
        <w:tc>
          <w:tcPr>
            <w:tcW w:w="1822" w:type="dxa"/>
            <w:vAlign w:val="center"/>
          </w:tcPr>
          <w:p w14:paraId="2EEF9EF3">
            <w:pPr>
              <w:spacing w:line="400" w:lineRule="exact"/>
              <w:jc w:val="center"/>
              <w:rPr>
                <w:rFonts w:ascii="宋体" w:hAnsi="宋体" w:cs="宋体"/>
                <w:color w:val="auto"/>
                <w:spacing w:val="-6"/>
                <w:sz w:val="24"/>
                <w:highlight w:val="none"/>
              </w:rPr>
            </w:pPr>
          </w:p>
        </w:tc>
        <w:tc>
          <w:tcPr>
            <w:tcW w:w="1735" w:type="dxa"/>
            <w:vAlign w:val="center"/>
          </w:tcPr>
          <w:p w14:paraId="37D45D6D">
            <w:pPr>
              <w:spacing w:line="400" w:lineRule="exact"/>
              <w:jc w:val="center"/>
              <w:rPr>
                <w:rFonts w:ascii="宋体" w:hAnsi="宋体" w:cs="宋体"/>
                <w:color w:val="auto"/>
                <w:spacing w:val="-6"/>
                <w:sz w:val="24"/>
                <w:highlight w:val="none"/>
              </w:rPr>
            </w:pPr>
          </w:p>
        </w:tc>
      </w:tr>
      <w:tr w14:paraId="0AD9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7899D797">
            <w:pPr>
              <w:spacing w:line="400" w:lineRule="exact"/>
              <w:jc w:val="center"/>
              <w:rPr>
                <w:rFonts w:ascii="宋体" w:hAnsi="宋体" w:cs="宋体"/>
                <w:color w:val="auto"/>
                <w:spacing w:val="-6"/>
                <w:sz w:val="24"/>
                <w:highlight w:val="none"/>
              </w:rPr>
            </w:pPr>
          </w:p>
        </w:tc>
        <w:tc>
          <w:tcPr>
            <w:tcW w:w="1656" w:type="dxa"/>
            <w:vAlign w:val="center"/>
          </w:tcPr>
          <w:p w14:paraId="737CD7E3">
            <w:pPr>
              <w:spacing w:line="400" w:lineRule="exact"/>
              <w:jc w:val="center"/>
              <w:rPr>
                <w:rFonts w:ascii="宋体" w:hAnsi="宋体" w:cs="宋体"/>
                <w:color w:val="auto"/>
                <w:spacing w:val="-6"/>
                <w:sz w:val="24"/>
                <w:highlight w:val="none"/>
              </w:rPr>
            </w:pPr>
          </w:p>
        </w:tc>
        <w:tc>
          <w:tcPr>
            <w:tcW w:w="3219" w:type="dxa"/>
            <w:vAlign w:val="center"/>
          </w:tcPr>
          <w:p w14:paraId="69797D1B">
            <w:pPr>
              <w:spacing w:line="400" w:lineRule="exact"/>
              <w:jc w:val="center"/>
              <w:rPr>
                <w:rFonts w:ascii="宋体" w:hAnsi="宋体" w:cs="宋体"/>
                <w:color w:val="auto"/>
                <w:spacing w:val="-6"/>
                <w:sz w:val="24"/>
                <w:highlight w:val="none"/>
              </w:rPr>
            </w:pPr>
          </w:p>
        </w:tc>
        <w:tc>
          <w:tcPr>
            <w:tcW w:w="1822" w:type="dxa"/>
            <w:vAlign w:val="center"/>
          </w:tcPr>
          <w:p w14:paraId="74AD4208">
            <w:pPr>
              <w:spacing w:line="400" w:lineRule="exact"/>
              <w:jc w:val="center"/>
              <w:rPr>
                <w:rFonts w:ascii="宋体" w:hAnsi="宋体" w:cs="宋体"/>
                <w:color w:val="auto"/>
                <w:spacing w:val="-6"/>
                <w:sz w:val="24"/>
                <w:highlight w:val="none"/>
              </w:rPr>
            </w:pPr>
          </w:p>
        </w:tc>
        <w:tc>
          <w:tcPr>
            <w:tcW w:w="1735" w:type="dxa"/>
            <w:vAlign w:val="center"/>
          </w:tcPr>
          <w:p w14:paraId="4A756191">
            <w:pPr>
              <w:spacing w:line="400" w:lineRule="exact"/>
              <w:jc w:val="center"/>
              <w:rPr>
                <w:rFonts w:ascii="宋体" w:hAnsi="宋体" w:cs="宋体"/>
                <w:color w:val="auto"/>
                <w:spacing w:val="-6"/>
                <w:sz w:val="24"/>
                <w:highlight w:val="none"/>
              </w:rPr>
            </w:pPr>
          </w:p>
        </w:tc>
      </w:tr>
      <w:tr w14:paraId="764E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1" w:type="dxa"/>
            <w:vAlign w:val="center"/>
          </w:tcPr>
          <w:p w14:paraId="3E870980">
            <w:pPr>
              <w:spacing w:line="400" w:lineRule="exact"/>
              <w:jc w:val="center"/>
              <w:rPr>
                <w:rFonts w:ascii="宋体" w:hAnsi="宋体" w:cs="宋体"/>
                <w:color w:val="auto"/>
                <w:spacing w:val="-6"/>
                <w:sz w:val="24"/>
                <w:highlight w:val="none"/>
              </w:rPr>
            </w:pPr>
          </w:p>
        </w:tc>
        <w:tc>
          <w:tcPr>
            <w:tcW w:w="1656" w:type="dxa"/>
            <w:vAlign w:val="center"/>
          </w:tcPr>
          <w:p w14:paraId="74D43E35">
            <w:pPr>
              <w:spacing w:line="400" w:lineRule="exact"/>
              <w:jc w:val="center"/>
              <w:rPr>
                <w:rFonts w:ascii="宋体" w:hAnsi="宋体" w:cs="宋体"/>
                <w:color w:val="auto"/>
                <w:spacing w:val="-6"/>
                <w:sz w:val="24"/>
                <w:highlight w:val="none"/>
              </w:rPr>
            </w:pPr>
          </w:p>
        </w:tc>
        <w:tc>
          <w:tcPr>
            <w:tcW w:w="3219" w:type="dxa"/>
            <w:vAlign w:val="center"/>
          </w:tcPr>
          <w:p w14:paraId="6BB7CD31">
            <w:pPr>
              <w:spacing w:line="400" w:lineRule="exact"/>
              <w:jc w:val="center"/>
              <w:rPr>
                <w:rFonts w:ascii="宋体" w:hAnsi="宋体" w:cs="宋体"/>
                <w:color w:val="auto"/>
                <w:spacing w:val="-6"/>
                <w:sz w:val="24"/>
                <w:highlight w:val="none"/>
              </w:rPr>
            </w:pPr>
          </w:p>
        </w:tc>
        <w:tc>
          <w:tcPr>
            <w:tcW w:w="1822" w:type="dxa"/>
            <w:vAlign w:val="center"/>
          </w:tcPr>
          <w:p w14:paraId="34A04E09">
            <w:pPr>
              <w:spacing w:line="400" w:lineRule="exact"/>
              <w:jc w:val="center"/>
              <w:rPr>
                <w:rFonts w:ascii="宋体" w:hAnsi="宋体" w:cs="宋体"/>
                <w:color w:val="auto"/>
                <w:spacing w:val="-6"/>
                <w:sz w:val="24"/>
                <w:highlight w:val="none"/>
              </w:rPr>
            </w:pPr>
          </w:p>
        </w:tc>
        <w:tc>
          <w:tcPr>
            <w:tcW w:w="1735" w:type="dxa"/>
            <w:vAlign w:val="center"/>
          </w:tcPr>
          <w:p w14:paraId="6E99CDAA">
            <w:pPr>
              <w:spacing w:line="400" w:lineRule="exact"/>
              <w:jc w:val="center"/>
              <w:rPr>
                <w:rFonts w:ascii="宋体" w:hAnsi="宋体" w:cs="宋体"/>
                <w:color w:val="auto"/>
                <w:spacing w:val="-6"/>
                <w:sz w:val="24"/>
                <w:highlight w:val="none"/>
              </w:rPr>
            </w:pPr>
          </w:p>
        </w:tc>
      </w:tr>
    </w:tbl>
    <w:p w14:paraId="327DF5EB">
      <w:pPr>
        <w:pStyle w:val="13"/>
        <w:spacing w:after="0" w:line="400" w:lineRule="exact"/>
        <w:ind w:left="0" w:leftChars="0" w:right="0" w:rightChars="0"/>
        <w:rPr>
          <w:rFonts w:ascii="宋体" w:hAnsi="宋体" w:cs="宋体"/>
          <w:b/>
          <w:bCs/>
          <w:color w:val="auto"/>
          <w:spacing w:val="-6"/>
          <w:sz w:val="24"/>
          <w:highlight w:val="none"/>
        </w:rPr>
      </w:pPr>
    </w:p>
    <w:p w14:paraId="52B55D68">
      <w:pPr>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注意：1.逐项按照招标文件要求填写响应规格；如不填写或留空，则视为完全响应</w:t>
      </w:r>
      <w:r>
        <w:rPr>
          <w:rFonts w:hint="eastAsia" w:ascii="宋体" w:hAnsi="宋体" w:cs="宋体"/>
          <w:b/>
          <w:bCs/>
          <w:color w:val="auto"/>
          <w:spacing w:val="-6"/>
          <w:sz w:val="24"/>
          <w:highlight w:val="none"/>
          <w:lang w:eastAsia="zh-CN"/>
        </w:rPr>
        <w:t>招标文件</w:t>
      </w:r>
      <w:r>
        <w:rPr>
          <w:rFonts w:hint="eastAsia" w:ascii="宋体" w:hAnsi="宋体" w:cs="宋体"/>
          <w:b/>
          <w:bCs/>
          <w:color w:val="auto"/>
          <w:spacing w:val="-6"/>
          <w:sz w:val="24"/>
          <w:highlight w:val="none"/>
        </w:rPr>
        <w:t>的要求，自行承担投标响应风险。</w:t>
      </w:r>
    </w:p>
    <w:p w14:paraId="20AA72BB">
      <w:pPr>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2.偏离说明是指对招标文件要求存在不同之处的解释说明。偏离系指：正偏离（高于采购需求）、负偏离（低于采购需求或未按采购需求提供相应证明材料的）、无偏离（满足采购需求）；</w:t>
      </w:r>
    </w:p>
    <w:p w14:paraId="4AC2EE5C">
      <w:pPr>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3.建议投标人准备采购需求中要求的证明材料（如证书、检测报告等）条目索引，要求清晰提供的证明材料（如证书、检测报告等），由不清晰或者模糊造成无法判断证明材料是否符合要求的风险由投标人自行承担。</w:t>
      </w:r>
    </w:p>
    <w:p w14:paraId="2BE887A3">
      <w:pPr>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4.投标人保证：除采购需求偏离表列出的偏离外，投标人响应</w:t>
      </w:r>
      <w:r>
        <w:rPr>
          <w:rFonts w:hint="eastAsia" w:ascii="宋体" w:hAnsi="宋体" w:cs="宋体"/>
          <w:b/>
          <w:bCs/>
          <w:color w:val="auto"/>
          <w:spacing w:val="-6"/>
          <w:sz w:val="24"/>
          <w:highlight w:val="none"/>
          <w:lang w:eastAsia="zh-CN"/>
        </w:rPr>
        <w:t>招标文件</w:t>
      </w:r>
      <w:r>
        <w:rPr>
          <w:rFonts w:hint="eastAsia" w:ascii="宋体" w:hAnsi="宋体" w:cs="宋体"/>
          <w:b/>
          <w:bCs/>
          <w:color w:val="auto"/>
          <w:spacing w:val="-6"/>
          <w:sz w:val="24"/>
          <w:highlight w:val="none"/>
        </w:rPr>
        <w:t>的全部要求。</w:t>
      </w:r>
    </w:p>
    <w:p w14:paraId="0DA154C7">
      <w:pPr>
        <w:widowControl/>
        <w:spacing w:line="400" w:lineRule="exact"/>
        <w:rPr>
          <w:rFonts w:ascii="宋体" w:hAnsi="宋体" w:cs="宋体"/>
          <w:color w:val="auto"/>
          <w:kern w:val="0"/>
          <w:sz w:val="24"/>
          <w:szCs w:val="24"/>
          <w:highlight w:val="none"/>
        </w:rPr>
      </w:pPr>
    </w:p>
    <w:p w14:paraId="23502300">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3A54F2B">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38A87EEC">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7587D1C8">
      <w:pPr>
        <w:spacing w:line="400" w:lineRule="exact"/>
        <w:rPr>
          <w:rFonts w:ascii="宋体" w:hAnsi="宋体" w:cs="宋体"/>
          <w:b/>
          <w:bCs/>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附件11</w:t>
      </w:r>
    </w:p>
    <w:p w14:paraId="7279FD1F">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项目组成员一览表</w:t>
      </w:r>
    </w:p>
    <w:p w14:paraId="4CF08732">
      <w:pPr>
        <w:pStyle w:val="14"/>
        <w:spacing w:line="400" w:lineRule="atLeast"/>
        <w:jc w:val="center"/>
        <w:rPr>
          <w:rFonts w:hAnsi="宋体" w:cs="宋体"/>
          <w:b/>
          <w:bCs/>
          <w:color w:val="auto"/>
          <w:sz w:val="22"/>
          <w:highlight w:val="none"/>
        </w:rPr>
      </w:pPr>
      <w:r>
        <w:rPr>
          <w:rFonts w:hint="eastAsia" w:hAnsi="宋体" w:cs="宋体"/>
          <w:b/>
          <w:bCs/>
          <w:color w:val="auto"/>
          <w:sz w:val="22"/>
          <w:highlight w:val="none"/>
        </w:rPr>
        <w:t>（1）项目经理（总负责人）简历表</w:t>
      </w:r>
    </w:p>
    <w:p w14:paraId="427F6999">
      <w:pPr>
        <w:pStyle w:val="14"/>
        <w:spacing w:line="400" w:lineRule="atLeast"/>
        <w:ind w:left="660" w:hanging="660" w:hangingChars="300"/>
        <w:rPr>
          <w:rFonts w:hAnsi="宋体" w:cs="宋体"/>
          <w:bCs/>
          <w:color w:val="auto"/>
          <w:sz w:val="22"/>
          <w:highlight w:val="none"/>
        </w:rPr>
      </w:pPr>
      <w:r>
        <w:rPr>
          <w:rFonts w:hint="eastAsia" w:hAnsi="宋体" w:cs="宋体"/>
          <w:bCs/>
          <w:color w:val="auto"/>
          <w:sz w:val="22"/>
          <w:highlight w:val="none"/>
        </w:rPr>
        <w:t>标项名称：                                            项目编号：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43"/>
        <w:gridCol w:w="961"/>
        <w:gridCol w:w="1782"/>
        <w:gridCol w:w="1096"/>
        <w:gridCol w:w="1646"/>
      </w:tblGrid>
      <w:tr w14:paraId="031D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1552" w:type="dxa"/>
            <w:tcBorders>
              <w:top w:val="single" w:color="auto" w:sz="12" w:space="0"/>
              <w:left w:val="single" w:color="auto" w:sz="12" w:space="0"/>
              <w:bottom w:val="single" w:color="auto" w:sz="6" w:space="0"/>
              <w:right w:val="single" w:color="auto" w:sz="6" w:space="0"/>
            </w:tcBorders>
            <w:noWrap/>
            <w:vAlign w:val="center"/>
          </w:tcPr>
          <w:p w14:paraId="2D02E3A8">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姓 名</w:t>
            </w:r>
          </w:p>
        </w:tc>
        <w:tc>
          <w:tcPr>
            <w:tcW w:w="1843" w:type="dxa"/>
            <w:tcBorders>
              <w:top w:val="single" w:color="auto" w:sz="12" w:space="0"/>
              <w:left w:val="single" w:color="auto" w:sz="6" w:space="0"/>
              <w:bottom w:val="single" w:color="auto" w:sz="6" w:space="0"/>
              <w:right w:val="single" w:color="auto" w:sz="6" w:space="0"/>
            </w:tcBorders>
            <w:noWrap/>
            <w:vAlign w:val="center"/>
          </w:tcPr>
          <w:p w14:paraId="62E46C09">
            <w:pPr>
              <w:pStyle w:val="14"/>
              <w:spacing w:line="400" w:lineRule="atLeast"/>
              <w:ind w:left="660" w:hanging="660" w:hangingChars="300"/>
              <w:jc w:val="center"/>
              <w:rPr>
                <w:rFonts w:hAnsi="宋体" w:cs="宋体"/>
                <w:bCs/>
                <w:color w:val="auto"/>
                <w:kern w:val="0"/>
                <w:sz w:val="22"/>
                <w:highlight w:val="none"/>
              </w:rPr>
            </w:pPr>
          </w:p>
        </w:tc>
        <w:tc>
          <w:tcPr>
            <w:tcW w:w="961" w:type="dxa"/>
            <w:tcBorders>
              <w:top w:val="single" w:color="auto" w:sz="12" w:space="0"/>
              <w:left w:val="single" w:color="auto" w:sz="6" w:space="0"/>
              <w:bottom w:val="single" w:color="auto" w:sz="6" w:space="0"/>
              <w:right w:val="single" w:color="auto" w:sz="6" w:space="0"/>
            </w:tcBorders>
            <w:noWrap/>
            <w:vAlign w:val="center"/>
          </w:tcPr>
          <w:p w14:paraId="70118476">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性 别</w:t>
            </w:r>
          </w:p>
        </w:tc>
        <w:tc>
          <w:tcPr>
            <w:tcW w:w="1782" w:type="dxa"/>
            <w:tcBorders>
              <w:top w:val="single" w:color="auto" w:sz="12" w:space="0"/>
              <w:left w:val="single" w:color="auto" w:sz="6" w:space="0"/>
              <w:bottom w:val="single" w:color="auto" w:sz="6" w:space="0"/>
              <w:right w:val="single" w:color="auto" w:sz="6" w:space="0"/>
            </w:tcBorders>
            <w:noWrap/>
            <w:vAlign w:val="center"/>
          </w:tcPr>
          <w:p w14:paraId="6B1391FC">
            <w:pPr>
              <w:pStyle w:val="14"/>
              <w:spacing w:line="400" w:lineRule="atLeast"/>
              <w:ind w:left="660" w:hanging="660" w:hangingChars="300"/>
              <w:jc w:val="center"/>
              <w:rPr>
                <w:rFonts w:hAnsi="宋体" w:cs="宋体"/>
                <w:bCs/>
                <w:color w:val="auto"/>
                <w:kern w:val="0"/>
                <w:sz w:val="22"/>
                <w:highlight w:val="none"/>
              </w:rPr>
            </w:pPr>
          </w:p>
        </w:tc>
        <w:tc>
          <w:tcPr>
            <w:tcW w:w="1096" w:type="dxa"/>
            <w:tcBorders>
              <w:top w:val="single" w:color="auto" w:sz="12" w:space="0"/>
              <w:left w:val="single" w:color="auto" w:sz="6" w:space="0"/>
              <w:bottom w:val="single" w:color="auto" w:sz="6" w:space="0"/>
              <w:right w:val="single" w:color="auto" w:sz="6" w:space="0"/>
            </w:tcBorders>
            <w:noWrap/>
            <w:vAlign w:val="center"/>
          </w:tcPr>
          <w:p w14:paraId="68D458C5">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年 龄</w:t>
            </w:r>
          </w:p>
        </w:tc>
        <w:tc>
          <w:tcPr>
            <w:tcW w:w="1646" w:type="dxa"/>
            <w:tcBorders>
              <w:top w:val="single" w:color="auto" w:sz="12" w:space="0"/>
              <w:left w:val="single" w:color="auto" w:sz="6" w:space="0"/>
              <w:bottom w:val="single" w:color="auto" w:sz="6" w:space="0"/>
              <w:right w:val="single" w:color="auto" w:sz="12" w:space="0"/>
            </w:tcBorders>
            <w:noWrap/>
            <w:vAlign w:val="center"/>
          </w:tcPr>
          <w:p w14:paraId="355E70E2">
            <w:pPr>
              <w:pStyle w:val="14"/>
              <w:spacing w:line="400" w:lineRule="atLeast"/>
              <w:ind w:left="660" w:hanging="660" w:hangingChars="300"/>
              <w:jc w:val="center"/>
              <w:rPr>
                <w:rFonts w:hAnsi="宋体" w:cs="宋体"/>
                <w:bCs/>
                <w:color w:val="auto"/>
                <w:kern w:val="0"/>
                <w:sz w:val="22"/>
                <w:highlight w:val="none"/>
              </w:rPr>
            </w:pPr>
          </w:p>
        </w:tc>
      </w:tr>
      <w:tr w14:paraId="618A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1552" w:type="dxa"/>
            <w:tcBorders>
              <w:top w:val="single" w:color="auto" w:sz="6" w:space="0"/>
              <w:left w:val="single" w:color="auto" w:sz="12" w:space="0"/>
              <w:bottom w:val="single" w:color="auto" w:sz="6" w:space="0"/>
              <w:right w:val="single" w:color="auto" w:sz="6" w:space="0"/>
            </w:tcBorders>
            <w:noWrap/>
            <w:vAlign w:val="center"/>
          </w:tcPr>
          <w:p w14:paraId="178B985C">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学 历</w:t>
            </w:r>
          </w:p>
        </w:tc>
        <w:tc>
          <w:tcPr>
            <w:tcW w:w="1843" w:type="dxa"/>
            <w:tcBorders>
              <w:top w:val="single" w:color="auto" w:sz="6" w:space="0"/>
              <w:left w:val="single" w:color="auto" w:sz="6" w:space="0"/>
              <w:bottom w:val="single" w:color="auto" w:sz="6" w:space="0"/>
              <w:right w:val="single" w:color="auto" w:sz="6" w:space="0"/>
            </w:tcBorders>
            <w:noWrap/>
            <w:vAlign w:val="center"/>
          </w:tcPr>
          <w:p w14:paraId="6160B593">
            <w:pPr>
              <w:pStyle w:val="14"/>
              <w:spacing w:line="400" w:lineRule="atLeast"/>
              <w:ind w:left="660" w:hanging="660" w:hangingChars="300"/>
              <w:jc w:val="center"/>
              <w:rPr>
                <w:rFonts w:hAnsi="宋体" w:cs="宋体"/>
                <w:bCs/>
                <w:color w:val="auto"/>
                <w:kern w:val="0"/>
                <w:sz w:val="22"/>
                <w:highlight w:val="none"/>
              </w:rPr>
            </w:pPr>
          </w:p>
        </w:tc>
        <w:tc>
          <w:tcPr>
            <w:tcW w:w="961" w:type="dxa"/>
            <w:tcBorders>
              <w:top w:val="single" w:color="auto" w:sz="6" w:space="0"/>
              <w:left w:val="single" w:color="auto" w:sz="6" w:space="0"/>
              <w:bottom w:val="single" w:color="auto" w:sz="6" w:space="0"/>
              <w:right w:val="single" w:color="auto" w:sz="6" w:space="0"/>
            </w:tcBorders>
            <w:noWrap/>
            <w:vAlign w:val="center"/>
          </w:tcPr>
          <w:p w14:paraId="5622A311">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职 称</w:t>
            </w:r>
          </w:p>
        </w:tc>
        <w:tc>
          <w:tcPr>
            <w:tcW w:w="1782" w:type="dxa"/>
            <w:tcBorders>
              <w:top w:val="single" w:color="auto" w:sz="6" w:space="0"/>
              <w:left w:val="single" w:color="auto" w:sz="6" w:space="0"/>
              <w:bottom w:val="single" w:color="auto" w:sz="6" w:space="0"/>
              <w:right w:val="single" w:color="auto" w:sz="6" w:space="0"/>
            </w:tcBorders>
            <w:noWrap/>
            <w:vAlign w:val="center"/>
          </w:tcPr>
          <w:p w14:paraId="09D694C7">
            <w:pPr>
              <w:pStyle w:val="14"/>
              <w:spacing w:line="400" w:lineRule="atLeast"/>
              <w:ind w:left="660" w:hanging="660" w:hangingChars="300"/>
              <w:jc w:val="center"/>
              <w:rPr>
                <w:rFonts w:hAnsi="宋体" w:cs="宋体"/>
                <w:bCs/>
                <w:color w:val="auto"/>
                <w:kern w:val="0"/>
                <w:sz w:val="22"/>
                <w:highlight w:val="none"/>
              </w:rPr>
            </w:pPr>
          </w:p>
        </w:tc>
        <w:tc>
          <w:tcPr>
            <w:tcW w:w="1096" w:type="dxa"/>
            <w:tcBorders>
              <w:top w:val="single" w:color="auto" w:sz="6" w:space="0"/>
              <w:left w:val="single" w:color="auto" w:sz="6" w:space="0"/>
              <w:bottom w:val="single" w:color="auto" w:sz="6" w:space="0"/>
              <w:right w:val="single" w:color="auto" w:sz="6" w:space="0"/>
            </w:tcBorders>
            <w:noWrap/>
            <w:vAlign w:val="center"/>
          </w:tcPr>
          <w:p w14:paraId="0816425B">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职 务</w:t>
            </w:r>
          </w:p>
        </w:tc>
        <w:tc>
          <w:tcPr>
            <w:tcW w:w="1646" w:type="dxa"/>
            <w:tcBorders>
              <w:top w:val="single" w:color="auto" w:sz="6" w:space="0"/>
              <w:left w:val="single" w:color="auto" w:sz="6" w:space="0"/>
              <w:bottom w:val="single" w:color="auto" w:sz="6" w:space="0"/>
              <w:right w:val="single" w:color="auto" w:sz="12" w:space="0"/>
            </w:tcBorders>
            <w:noWrap/>
            <w:vAlign w:val="center"/>
          </w:tcPr>
          <w:p w14:paraId="58FC490A">
            <w:pPr>
              <w:pStyle w:val="14"/>
              <w:spacing w:line="400" w:lineRule="atLeast"/>
              <w:ind w:left="660" w:hanging="660" w:hangingChars="300"/>
              <w:jc w:val="center"/>
              <w:rPr>
                <w:rFonts w:hAnsi="宋体" w:cs="宋体"/>
                <w:bCs/>
                <w:color w:val="auto"/>
                <w:kern w:val="0"/>
                <w:sz w:val="22"/>
                <w:highlight w:val="none"/>
              </w:rPr>
            </w:pPr>
          </w:p>
        </w:tc>
      </w:tr>
      <w:tr w14:paraId="4CF8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552" w:type="dxa"/>
            <w:tcBorders>
              <w:top w:val="single" w:color="auto" w:sz="6" w:space="0"/>
              <w:left w:val="single" w:color="auto" w:sz="12" w:space="0"/>
              <w:bottom w:val="single" w:color="auto" w:sz="6" w:space="0"/>
              <w:right w:val="single" w:color="auto" w:sz="6" w:space="0"/>
            </w:tcBorders>
            <w:noWrap/>
            <w:vAlign w:val="center"/>
          </w:tcPr>
          <w:p w14:paraId="2B1A9060">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联系电话</w:t>
            </w:r>
          </w:p>
        </w:tc>
        <w:tc>
          <w:tcPr>
            <w:tcW w:w="2804" w:type="dxa"/>
            <w:gridSpan w:val="2"/>
            <w:tcBorders>
              <w:top w:val="single" w:color="auto" w:sz="6" w:space="0"/>
              <w:left w:val="single" w:color="auto" w:sz="6" w:space="0"/>
              <w:bottom w:val="single" w:color="auto" w:sz="6" w:space="0"/>
              <w:right w:val="single" w:color="auto" w:sz="6" w:space="0"/>
            </w:tcBorders>
            <w:noWrap/>
            <w:vAlign w:val="center"/>
          </w:tcPr>
          <w:p w14:paraId="35218200">
            <w:pPr>
              <w:pStyle w:val="14"/>
              <w:spacing w:line="400" w:lineRule="atLeast"/>
              <w:ind w:left="660" w:hanging="660" w:hangingChars="300"/>
              <w:jc w:val="center"/>
              <w:rPr>
                <w:rFonts w:hAnsi="宋体" w:cs="宋体"/>
                <w:bCs/>
                <w:color w:val="auto"/>
                <w:kern w:val="0"/>
                <w:sz w:val="22"/>
                <w:highlight w:val="none"/>
              </w:rPr>
            </w:pPr>
          </w:p>
        </w:tc>
        <w:tc>
          <w:tcPr>
            <w:tcW w:w="1782" w:type="dxa"/>
            <w:tcBorders>
              <w:top w:val="single" w:color="auto" w:sz="6" w:space="0"/>
              <w:left w:val="single" w:color="auto" w:sz="6" w:space="0"/>
              <w:bottom w:val="single" w:color="auto" w:sz="6" w:space="0"/>
              <w:right w:val="single" w:color="auto" w:sz="6" w:space="0"/>
            </w:tcBorders>
            <w:noWrap/>
            <w:vAlign w:val="center"/>
          </w:tcPr>
          <w:p w14:paraId="61850CA5">
            <w:pPr>
              <w:pStyle w:val="14"/>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手 机</w:t>
            </w:r>
          </w:p>
        </w:tc>
        <w:tc>
          <w:tcPr>
            <w:tcW w:w="2742" w:type="dxa"/>
            <w:gridSpan w:val="2"/>
            <w:tcBorders>
              <w:top w:val="single" w:color="auto" w:sz="6" w:space="0"/>
              <w:left w:val="single" w:color="auto" w:sz="6" w:space="0"/>
              <w:bottom w:val="single" w:color="auto" w:sz="6" w:space="0"/>
              <w:right w:val="single" w:color="auto" w:sz="12" w:space="0"/>
            </w:tcBorders>
            <w:noWrap/>
            <w:vAlign w:val="center"/>
          </w:tcPr>
          <w:p w14:paraId="4842FD31">
            <w:pPr>
              <w:pStyle w:val="14"/>
              <w:spacing w:line="400" w:lineRule="atLeast"/>
              <w:ind w:left="660" w:hanging="660" w:hangingChars="300"/>
              <w:jc w:val="center"/>
              <w:rPr>
                <w:rFonts w:hAnsi="宋体" w:cs="宋体"/>
                <w:bCs/>
                <w:color w:val="auto"/>
                <w:kern w:val="0"/>
                <w:sz w:val="22"/>
                <w:highlight w:val="none"/>
              </w:rPr>
            </w:pPr>
          </w:p>
        </w:tc>
      </w:tr>
      <w:tr w14:paraId="5B04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trPr>
        <w:tc>
          <w:tcPr>
            <w:tcW w:w="8880" w:type="dxa"/>
            <w:gridSpan w:val="6"/>
            <w:tcBorders>
              <w:top w:val="single" w:color="auto" w:sz="6" w:space="0"/>
              <w:left w:val="single" w:color="auto" w:sz="12" w:space="0"/>
              <w:bottom w:val="single" w:color="auto" w:sz="12" w:space="0"/>
              <w:right w:val="single" w:color="auto" w:sz="12" w:space="0"/>
            </w:tcBorders>
            <w:noWrap/>
          </w:tcPr>
          <w:p w14:paraId="66DD8355">
            <w:pPr>
              <w:pStyle w:val="14"/>
              <w:spacing w:line="400" w:lineRule="atLeast"/>
              <w:ind w:left="660" w:hanging="660" w:hangingChars="300"/>
              <w:rPr>
                <w:rFonts w:hAnsi="宋体" w:cs="宋体"/>
                <w:bCs/>
                <w:color w:val="auto"/>
                <w:kern w:val="0"/>
                <w:sz w:val="22"/>
                <w:highlight w:val="none"/>
              </w:rPr>
            </w:pPr>
            <w:r>
              <w:rPr>
                <w:rFonts w:hint="eastAsia" w:hAnsi="宋体" w:cs="宋体"/>
                <w:bCs/>
                <w:color w:val="auto"/>
                <w:kern w:val="0"/>
                <w:sz w:val="22"/>
                <w:highlight w:val="none"/>
              </w:rPr>
              <w:t>近五年从事相关工作经历及业绩：</w:t>
            </w:r>
          </w:p>
        </w:tc>
      </w:tr>
    </w:tbl>
    <w:p w14:paraId="4CEA2007">
      <w:pPr>
        <w:spacing w:line="360" w:lineRule="exact"/>
        <w:rPr>
          <w:rFonts w:ascii="宋体" w:hAnsi="宋体" w:cs="宋体"/>
          <w:color w:val="auto"/>
          <w:sz w:val="22"/>
          <w:highlight w:val="none"/>
        </w:rPr>
      </w:pPr>
      <w:bookmarkStart w:id="15" w:name="_Toc384303168"/>
      <w:bookmarkStart w:id="16" w:name="_Toc505324108"/>
      <w:bookmarkStart w:id="17" w:name="_Toc433019962"/>
      <w:bookmarkStart w:id="18" w:name="_Toc402258846"/>
      <w:r>
        <w:rPr>
          <w:rFonts w:hint="eastAsia" w:ascii="宋体" w:hAnsi="宋体" w:cs="宋体"/>
          <w:color w:val="auto"/>
          <w:sz w:val="22"/>
          <w:highlight w:val="none"/>
        </w:rPr>
        <w:t>注：1、本表应附项目经理（总负责人）相关证明材料。</w:t>
      </w:r>
    </w:p>
    <w:p w14:paraId="4CDB996A">
      <w:pPr>
        <w:spacing w:line="360" w:lineRule="exact"/>
        <w:rPr>
          <w:rFonts w:ascii="宋体" w:hAnsi="宋体" w:cs="宋体"/>
          <w:b/>
          <w:color w:val="auto"/>
          <w:sz w:val="22"/>
          <w:highlight w:val="none"/>
        </w:rPr>
      </w:pPr>
      <w:r>
        <w:rPr>
          <w:rFonts w:hint="eastAsia" w:ascii="宋体" w:hAnsi="宋体" w:cs="宋体"/>
          <w:color w:val="auto"/>
          <w:sz w:val="22"/>
          <w:highlight w:val="none"/>
        </w:rPr>
        <w:t>2、项目经理（总负责人）在服务期内不得更换，因特殊情况更换项目经理（总负责人）的需经采购人同意。</w:t>
      </w:r>
    </w:p>
    <w:p w14:paraId="1F994E6D">
      <w:pPr>
        <w:widowControl/>
        <w:spacing w:line="400" w:lineRule="exact"/>
        <w:rPr>
          <w:rFonts w:ascii="宋体" w:hAnsi="宋体" w:cs="宋体"/>
          <w:color w:val="auto"/>
          <w:kern w:val="0"/>
          <w:sz w:val="22"/>
          <w:highlight w:val="none"/>
        </w:rPr>
      </w:pPr>
    </w:p>
    <w:p w14:paraId="57627A0C">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7F0FF04">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7374226D">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959B80B">
      <w:pPr>
        <w:rPr>
          <w:rFonts w:ascii="宋体" w:hAnsi="宋体" w:cs="宋体"/>
          <w:b/>
          <w:bCs/>
          <w:color w:val="auto"/>
          <w:sz w:val="22"/>
          <w:highlight w:val="none"/>
        </w:rPr>
      </w:pPr>
      <w:r>
        <w:rPr>
          <w:rFonts w:hint="eastAsia" w:ascii="宋体" w:hAnsi="宋体" w:cs="宋体"/>
          <w:b/>
          <w:bCs/>
          <w:color w:val="auto"/>
          <w:sz w:val="22"/>
          <w:highlight w:val="none"/>
        </w:rPr>
        <w:br w:type="page"/>
      </w:r>
    </w:p>
    <w:p w14:paraId="11F64EFF">
      <w:pPr>
        <w:jc w:val="center"/>
        <w:rPr>
          <w:rFonts w:ascii="宋体" w:hAnsi="宋体" w:cs="宋体"/>
          <w:b/>
          <w:bCs/>
          <w:color w:val="auto"/>
          <w:sz w:val="22"/>
          <w:highlight w:val="none"/>
        </w:rPr>
      </w:pPr>
      <w:r>
        <w:rPr>
          <w:rFonts w:hint="eastAsia" w:ascii="宋体" w:hAnsi="宋体" w:cs="宋体"/>
          <w:b/>
          <w:bCs/>
          <w:color w:val="auto"/>
          <w:sz w:val="22"/>
          <w:highlight w:val="none"/>
        </w:rPr>
        <w:t>（2）</w:t>
      </w:r>
      <w:bookmarkEnd w:id="15"/>
      <w:bookmarkEnd w:id="16"/>
      <w:bookmarkEnd w:id="17"/>
      <w:bookmarkEnd w:id="18"/>
      <w:r>
        <w:rPr>
          <w:rFonts w:hint="eastAsia" w:ascii="宋体" w:hAnsi="宋体" w:cs="宋体"/>
          <w:b/>
          <w:bCs/>
          <w:color w:val="auto"/>
          <w:sz w:val="22"/>
          <w:highlight w:val="none"/>
        </w:rPr>
        <w:t>拟投入的项目实施人员名单</w:t>
      </w:r>
    </w:p>
    <w:p w14:paraId="31414DAD">
      <w:pPr>
        <w:spacing w:line="400" w:lineRule="atLeast"/>
        <w:rPr>
          <w:rFonts w:ascii="宋体" w:hAnsi="宋体" w:cs="宋体"/>
          <w:color w:val="auto"/>
          <w:sz w:val="22"/>
          <w:highlight w:val="none"/>
        </w:rPr>
      </w:pPr>
      <w:r>
        <w:rPr>
          <w:rFonts w:hint="eastAsia" w:ascii="宋体" w:hAnsi="宋体" w:cs="宋体"/>
          <w:b/>
          <w:color w:val="auto"/>
          <w:sz w:val="22"/>
          <w:highlight w:val="none"/>
        </w:rPr>
        <w:t>标项名称：                                     项目编号：</w:t>
      </w:r>
    </w:p>
    <w:tbl>
      <w:tblPr>
        <w:tblStyle w:val="30"/>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899"/>
      </w:tblGrid>
      <w:tr w14:paraId="4239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19" w:hRule="atLeast"/>
          <w:jc w:val="center"/>
        </w:trPr>
        <w:tc>
          <w:tcPr>
            <w:tcW w:w="766" w:type="dxa"/>
            <w:noWrap/>
            <w:vAlign w:val="center"/>
          </w:tcPr>
          <w:p w14:paraId="314DB2CD">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noWrap/>
            <w:vAlign w:val="center"/>
          </w:tcPr>
          <w:p w14:paraId="0CD12ADB">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noWrap/>
            <w:vAlign w:val="center"/>
          </w:tcPr>
          <w:p w14:paraId="4F65D8DE">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noWrap/>
            <w:vAlign w:val="center"/>
          </w:tcPr>
          <w:p w14:paraId="113D972A">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noWrap/>
            <w:vAlign w:val="center"/>
          </w:tcPr>
          <w:p w14:paraId="02DCE9EC">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noWrap/>
            <w:vAlign w:val="center"/>
          </w:tcPr>
          <w:p w14:paraId="7006B70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326" w:type="dxa"/>
            <w:noWrap/>
            <w:vAlign w:val="center"/>
          </w:tcPr>
          <w:p w14:paraId="4CA8A5DE">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本工程中的岗位</w:t>
            </w:r>
          </w:p>
        </w:tc>
        <w:tc>
          <w:tcPr>
            <w:tcW w:w="1825" w:type="dxa"/>
            <w:noWrap/>
            <w:vAlign w:val="center"/>
          </w:tcPr>
          <w:p w14:paraId="7CF01F12">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899" w:type="dxa"/>
            <w:noWrap/>
            <w:vAlign w:val="center"/>
          </w:tcPr>
          <w:p w14:paraId="22E4E52F">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备注</w:t>
            </w:r>
          </w:p>
        </w:tc>
      </w:tr>
      <w:tr w14:paraId="3DB47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21051AF6">
            <w:pPr>
              <w:spacing w:line="360" w:lineRule="auto"/>
              <w:jc w:val="center"/>
              <w:rPr>
                <w:rFonts w:ascii="宋体" w:hAnsi="宋体" w:cs="宋体"/>
                <w:color w:val="auto"/>
                <w:sz w:val="22"/>
                <w:highlight w:val="none"/>
              </w:rPr>
            </w:pPr>
          </w:p>
        </w:tc>
        <w:tc>
          <w:tcPr>
            <w:tcW w:w="958" w:type="dxa"/>
            <w:noWrap/>
            <w:vAlign w:val="center"/>
          </w:tcPr>
          <w:p w14:paraId="5BE80F48">
            <w:pPr>
              <w:spacing w:line="360" w:lineRule="auto"/>
              <w:jc w:val="center"/>
              <w:rPr>
                <w:rFonts w:ascii="宋体" w:hAnsi="宋体" w:cs="宋体"/>
                <w:color w:val="auto"/>
                <w:sz w:val="22"/>
                <w:highlight w:val="none"/>
              </w:rPr>
            </w:pPr>
          </w:p>
        </w:tc>
        <w:tc>
          <w:tcPr>
            <w:tcW w:w="958" w:type="dxa"/>
            <w:noWrap/>
            <w:vAlign w:val="center"/>
          </w:tcPr>
          <w:p w14:paraId="709F14AB">
            <w:pPr>
              <w:spacing w:line="360" w:lineRule="auto"/>
              <w:jc w:val="center"/>
              <w:rPr>
                <w:rFonts w:ascii="宋体" w:hAnsi="宋体" w:cs="宋体"/>
                <w:color w:val="auto"/>
                <w:sz w:val="22"/>
                <w:highlight w:val="none"/>
              </w:rPr>
            </w:pPr>
          </w:p>
        </w:tc>
        <w:tc>
          <w:tcPr>
            <w:tcW w:w="767" w:type="dxa"/>
            <w:noWrap/>
            <w:vAlign w:val="center"/>
          </w:tcPr>
          <w:p w14:paraId="21E8EA52">
            <w:pPr>
              <w:spacing w:line="360" w:lineRule="auto"/>
              <w:jc w:val="center"/>
              <w:rPr>
                <w:rFonts w:ascii="宋体" w:hAnsi="宋体" w:cs="宋体"/>
                <w:color w:val="auto"/>
                <w:sz w:val="22"/>
                <w:highlight w:val="none"/>
              </w:rPr>
            </w:pPr>
          </w:p>
        </w:tc>
        <w:tc>
          <w:tcPr>
            <w:tcW w:w="767" w:type="dxa"/>
            <w:noWrap/>
            <w:vAlign w:val="center"/>
          </w:tcPr>
          <w:p w14:paraId="7F720B8D">
            <w:pPr>
              <w:spacing w:line="360" w:lineRule="auto"/>
              <w:jc w:val="center"/>
              <w:rPr>
                <w:rFonts w:ascii="宋体" w:hAnsi="宋体" w:cs="宋体"/>
                <w:color w:val="auto"/>
                <w:sz w:val="22"/>
                <w:highlight w:val="none"/>
              </w:rPr>
            </w:pPr>
          </w:p>
        </w:tc>
        <w:tc>
          <w:tcPr>
            <w:tcW w:w="1340" w:type="dxa"/>
            <w:noWrap/>
            <w:vAlign w:val="center"/>
          </w:tcPr>
          <w:p w14:paraId="5532102A">
            <w:pPr>
              <w:spacing w:line="360" w:lineRule="auto"/>
              <w:jc w:val="center"/>
              <w:rPr>
                <w:rFonts w:ascii="宋体" w:hAnsi="宋体" w:cs="宋体"/>
                <w:color w:val="auto"/>
                <w:sz w:val="22"/>
                <w:highlight w:val="none"/>
              </w:rPr>
            </w:pPr>
          </w:p>
        </w:tc>
        <w:tc>
          <w:tcPr>
            <w:tcW w:w="1326" w:type="dxa"/>
            <w:noWrap/>
            <w:vAlign w:val="center"/>
          </w:tcPr>
          <w:p w14:paraId="7CA3037B">
            <w:pPr>
              <w:spacing w:line="360" w:lineRule="auto"/>
              <w:jc w:val="center"/>
              <w:rPr>
                <w:rFonts w:ascii="宋体" w:hAnsi="宋体" w:cs="宋体"/>
                <w:color w:val="auto"/>
                <w:sz w:val="22"/>
                <w:highlight w:val="none"/>
              </w:rPr>
            </w:pPr>
          </w:p>
        </w:tc>
        <w:tc>
          <w:tcPr>
            <w:tcW w:w="1825" w:type="dxa"/>
            <w:noWrap/>
          </w:tcPr>
          <w:p w14:paraId="14C978ED">
            <w:pPr>
              <w:spacing w:line="360" w:lineRule="auto"/>
              <w:jc w:val="center"/>
              <w:rPr>
                <w:rFonts w:ascii="宋体" w:hAnsi="宋体" w:cs="宋体"/>
                <w:color w:val="auto"/>
                <w:sz w:val="22"/>
                <w:highlight w:val="none"/>
              </w:rPr>
            </w:pPr>
          </w:p>
        </w:tc>
        <w:tc>
          <w:tcPr>
            <w:tcW w:w="899" w:type="dxa"/>
            <w:noWrap/>
            <w:vAlign w:val="center"/>
          </w:tcPr>
          <w:p w14:paraId="1030DDAA">
            <w:pPr>
              <w:spacing w:line="360" w:lineRule="auto"/>
              <w:jc w:val="center"/>
              <w:rPr>
                <w:rFonts w:ascii="宋体" w:hAnsi="宋体" w:cs="宋体"/>
                <w:color w:val="auto"/>
                <w:sz w:val="22"/>
                <w:highlight w:val="none"/>
              </w:rPr>
            </w:pPr>
          </w:p>
        </w:tc>
      </w:tr>
      <w:tr w14:paraId="01E44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4EC9D1BC">
            <w:pPr>
              <w:spacing w:line="360" w:lineRule="auto"/>
              <w:jc w:val="center"/>
              <w:rPr>
                <w:rFonts w:ascii="宋体" w:hAnsi="宋体" w:cs="宋体"/>
                <w:color w:val="auto"/>
                <w:sz w:val="22"/>
                <w:highlight w:val="none"/>
              </w:rPr>
            </w:pPr>
          </w:p>
        </w:tc>
        <w:tc>
          <w:tcPr>
            <w:tcW w:w="958" w:type="dxa"/>
            <w:noWrap/>
            <w:vAlign w:val="center"/>
          </w:tcPr>
          <w:p w14:paraId="2F800798">
            <w:pPr>
              <w:spacing w:line="360" w:lineRule="auto"/>
              <w:jc w:val="center"/>
              <w:rPr>
                <w:rFonts w:ascii="宋体" w:hAnsi="宋体" w:cs="宋体"/>
                <w:color w:val="auto"/>
                <w:sz w:val="22"/>
                <w:highlight w:val="none"/>
              </w:rPr>
            </w:pPr>
          </w:p>
        </w:tc>
        <w:tc>
          <w:tcPr>
            <w:tcW w:w="958" w:type="dxa"/>
            <w:noWrap/>
            <w:vAlign w:val="center"/>
          </w:tcPr>
          <w:p w14:paraId="5DB01414">
            <w:pPr>
              <w:spacing w:line="360" w:lineRule="auto"/>
              <w:jc w:val="center"/>
              <w:rPr>
                <w:rFonts w:ascii="宋体" w:hAnsi="宋体" w:cs="宋体"/>
                <w:color w:val="auto"/>
                <w:sz w:val="22"/>
                <w:highlight w:val="none"/>
              </w:rPr>
            </w:pPr>
          </w:p>
        </w:tc>
        <w:tc>
          <w:tcPr>
            <w:tcW w:w="767" w:type="dxa"/>
            <w:noWrap/>
            <w:vAlign w:val="center"/>
          </w:tcPr>
          <w:p w14:paraId="46FF3681">
            <w:pPr>
              <w:spacing w:line="360" w:lineRule="auto"/>
              <w:jc w:val="center"/>
              <w:rPr>
                <w:rFonts w:ascii="宋体" w:hAnsi="宋体" w:cs="宋体"/>
                <w:color w:val="auto"/>
                <w:sz w:val="22"/>
                <w:highlight w:val="none"/>
              </w:rPr>
            </w:pPr>
          </w:p>
        </w:tc>
        <w:tc>
          <w:tcPr>
            <w:tcW w:w="767" w:type="dxa"/>
            <w:noWrap/>
            <w:vAlign w:val="center"/>
          </w:tcPr>
          <w:p w14:paraId="47DADAA4">
            <w:pPr>
              <w:spacing w:line="360" w:lineRule="auto"/>
              <w:jc w:val="center"/>
              <w:rPr>
                <w:rFonts w:ascii="宋体" w:hAnsi="宋体" w:cs="宋体"/>
                <w:color w:val="auto"/>
                <w:sz w:val="22"/>
                <w:highlight w:val="none"/>
              </w:rPr>
            </w:pPr>
          </w:p>
        </w:tc>
        <w:tc>
          <w:tcPr>
            <w:tcW w:w="1340" w:type="dxa"/>
            <w:noWrap/>
            <w:vAlign w:val="center"/>
          </w:tcPr>
          <w:p w14:paraId="32028F02">
            <w:pPr>
              <w:spacing w:line="360" w:lineRule="auto"/>
              <w:jc w:val="center"/>
              <w:rPr>
                <w:rFonts w:ascii="宋体" w:hAnsi="宋体" w:cs="宋体"/>
                <w:color w:val="auto"/>
                <w:sz w:val="22"/>
                <w:highlight w:val="none"/>
              </w:rPr>
            </w:pPr>
          </w:p>
        </w:tc>
        <w:tc>
          <w:tcPr>
            <w:tcW w:w="1326" w:type="dxa"/>
            <w:noWrap/>
            <w:vAlign w:val="center"/>
          </w:tcPr>
          <w:p w14:paraId="273519DE">
            <w:pPr>
              <w:spacing w:line="360" w:lineRule="auto"/>
              <w:jc w:val="center"/>
              <w:rPr>
                <w:rFonts w:ascii="宋体" w:hAnsi="宋体" w:cs="宋体"/>
                <w:color w:val="auto"/>
                <w:sz w:val="22"/>
                <w:highlight w:val="none"/>
              </w:rPr>
            </w:pPr>
          </w:p>
        </w:tc>
        <w:tc>
          <w:tcPr>
            <w:tcW w:w="1825" w:type="dxa"/>
            <w:noWrap/>
          </w:tcPr>
          <w:p w14:paraId="3B2E20D5">
            <w:pPr>
              <w:spacing w:line="360" w:lineRule="auto"/>
              <w:jc w:val="center"/>
              <w:rPr>
                <w:rFonts w:ascii="宋体" w:hAnsi="宋体" w:cs="宋体"/>
                <w:color w:val="auto"/>
                <w:sz w:val="22"/>
                <w:highlight w:val="none"/>
              </w:rPr>
            </w:pPr>
          </w:p>
        </w:tc>
        <w:tc>
          <w:tcPr>
            <w:tcW w:w="899" w:type="dxa"/>
            <w:noWrap/>
            <w:vAlign w:val="center"/>
          </w:tcPr>
          <w:p w14:paraId="73AE5448">
            <w:pPr>
              <w:spacing w:line="360" w:lineRule="auto"/>
              <w:jc w:val="center"/>
              <w:rPr>
                <w:rFonts w:ascii="宋体" w:hAnsi="宋体" w:cs="宋体"/>
                <w:color w:val="auto"/>
                <w:sz w:val="22"/>
                <w:highlight w:val="none"/>
              </w:rPr>
            </w:pPr>
          </w:p>
        </w:tc>
      </w:tr>
      <w:tr w14:paraId="6D93E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2D1AE28E">
            <w:pPr>
              <w:spacing w:line="360" w:lineRule="auto"/>
              <w:jc w:val="center"/>
              <w:rPr>
                <w:rFonts w:ascii="宋体" w:hAnsi="宋体" w:cs="宋体"/>
                <w:color w:val="auto"/>
                <w:sz w:val="22"/>
                <w:highlight w:val="none"/>
              </w:rPr>
            </w:pPr>
          </w:p>
        </w:tc>
        <w:tc>
          <w:tcPr>
            <w:tcW w:w="958" w:type="dxa"/>
            <w:noWrap/>
            <w:vAlign w:val="center"/>
          </w:tcPr>
          <w:p w14:paraId="7B7227DE">
            <w:pPr>
              <w:spacing w:line="360" w:lineRule="auto"/>
              <w:jc w:val="center"/>
              <w:rPr>
                <w:rFonts w:ascii="宋体" w:hAnsi="宋体" w:cs="宋体"/>
                <w:color w:val="auto"/>
                <w:sz w:val="22"/>
                <w:highlight w:val="none"/>
              </w:rPr>
            </w:pPr>
          </w:p>
        </w:tc>
        <w:tc>
          <w:tcPr>
            <w:tcW w:w="958" w:type="dxa"/>
            <w:noWrap/>
            <w:vAlign w:val="center"/>
          </w:tcPr>
          <w:p w14:paraId="65706F06">
            <w:pPr>
              <w:spacing w:line="360" w:lineRule="auto"/>
              <w:jc w:val="center"/>
              <w:rPr>
                <w:rFonts w:ascii="宋体" w:hAnsi="宋体" w:cs="宋体"/>
                <w:color w:val="auto"/>
                <w:sz w:val="22"/>
                <w:highlight w:val="none"/>
              </w:rPr>
            </w:pPr>
          </w:p>
        </w:tc>
        <w:tc>
          <w:tcPr>
            <w:tcW w:w="767" w:type="dxa"/>
            <w:noWrap/>
            <w:vAlign w:val="center"/>
          </w:tcPr>
          <w:p w14:paraId="2560314B">
            <w:pPr>
              <w:spacing w:line="360" w:lineRule="auto"/>
              <w:jc w:val="center"/>
              <w:rPr>
                <w:rFonts w:ascii="宋体" w:hAnsi="宋体" w:cs="宋体"/>
                <w:color w:val="auto"/>
                <w:sz w:val="22"/>
                <w:highlight w:val="none"/>
              </w:rPr>
            </w:pPr>
          </w:p>
        </w:tc>
        <w:tc>
          <w:tcPr>
            <w:tcW w:w="767" w:type="dxa"/>
            <w:noWrap/>
            <w:vAlign w:val="center"/>
          </w:tcPr>
          <w:p w14:paraId="764FC43D">
            <w:pPr>
              <w:spacing w:line="360" w:lineRule="auto"/>
              <w:jc w:val="center"/>
              <w:rPr>
                <w:rFonts w:ascii="宋体" w:hAnsi="宋体" w:cs="宋体"/>
                <w:color w:val="auto"/>
                <w:sz w:val="22"/>
                <w:highlight w:val="none"/>
              </w:rPr>
            </w:pPr>
          </w:p>
        </w:tc>
        <w:tc>
          <w:tcPr>
            <w:tcW w:w="1340" w:type="dxa"/>
            <w:noWrap/>
            <w:vAlign w:val="center"/>
          </w:tcPr>
          <w:p w14:paraId="6D2848A0">
            <w:pPr>
              <w:spacing w:line="360" w:lineRule="auto"/>
              <w:jc w:val="center"/>
              <w:rPr>
                <w:rFonts w:ascii="宋体" w:hAnsi="宋体" w:cs="宋体"/>
                <w:color w:val="auto"/>
                <w:sz w:val="22"/>
                <w:highlight w:val="none"/>
              </w:rPr>
            </w:pPr>
          </w:p>
        </w:tc>
        <w:tc>
          <w:tcPr>
            <w:tcW w:w="1326" w:type="dxa"/>
            <w:noWrap/>
            <w:vAlign w:val="center"/>
          </w:tcPr>
          <w:p w14:paraId="3D7714B1">
            <w:pPr>
              <w:spacing w:line="360" w:lineRule="auto"/>
              <w:jc w:val="center"/>
              <w:rPr>
                <w:rFonts w:ascii="宋体" w:hAnsi="宋体" w:cs="宋体"/>
                <w:color w:val="auto"/>
                <w:sz w:val="22"/>
                <w:highlight w:val="none"/>
              </w:rPr>
            </w:pPr>
          </w:p>
        </w:tc>
        <w:tc>
          <w:tcPr>
            <w:tcW w:w="1825" w:type="dxa"/>
            <w:noWrap/>
          </w:tcPr>
          <w:p w14:paraId="1C6199CD">
            <w:pPr>
              <w:spacing w:line="360" w:lineRule="auto"/>
              <w:jc w:val="center"/>
              <w:rPr>
                <w:rFonts w:ascii="宋体" w:hAnsi="宋体" w:cs="宋体"/>
                <w:color w:val="auto"/>
                <w:sz w:val="22"/>
                <w:highlight w:val="none"/>
              </w:rPr>
            </w:pPr>
          </w:p>
        </w:tc>
        <w:tc>
          <w:tcPr>
            <w:tcW w:w="899" w:type="dxa"/>
            <w:noWrap/>
            <w:vAlign w:val="center"/>
          </w:tcPr>
          <w:p w14:paraId="67561C98">
            <w:pPr>
              <w:spacing w:line="360" w:lineRule="auto"/>
              <w:jc w:val="center"/>
              <w:rPr>
                <w:rFonts w:ascii="宋体" w:hAnsi="宋体" w:cs="宋体"/>
                <w:color w:val="auto"/>
                <w:sz w:val="22"/>
                <w:highlight w:val="none"/>
              </w:rPr>
            </w:pPr>
          </w:p>
        </w:tc>
      </w:tr>
      <w:tr w14:paraId="6E267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EDA5452">
            <w:pPr>
              <w:spacing w:line="360" w:lineRule="auto"/>
              <w:jc w:val="center"/>
              <w:rPr>
                <w:rFonts w:ascii="宋体" w:hAnsi="宋体" w:cs="宋体"/>
                <w:color w:val="auto"/>
                <w:sz w:val="22"/>
                <w:highlight w:val="none"/>
              </w:rPr>
            </w:pPr>
          </w:p>
        </w:tc>
        <w:tc>
          <w:tcPr>
            <w:tcW w:w="958" w:type="dxa"/>
            <w:noWrap/>
            <w:vAlign w:val="center"/>
          </w:tcPr>
          <w:p w14:paraId="78E1B350">
            <w:pPr>
              <w:spacing w:line="360" w:lineRule="auto"/>
              <w:jc w:val="center"/>
              <w:rPr>
                <w:rFonts w:ascii="宋体" w:hAnsi="宋体" w:cs="宋体"/>
                <w:color w:val="auto"/>
                <w:sz w:val="22"/>
                <w:highlight w:val="none"/>
              </w:rPr>
            </w:pPr>
          </w:p>
        </w:tc>
        <w:tc>
          <w:tcPr>
            <w:tcW w:w="958" w:type="dxa"/>
            <w:noWrap/>
            <w:vAlign w:val="center"/>
          </w:tcPr>
          <w:p w14:paraId="05A908FD">
            <w:pPr>
              <w:spacing w:line="360" w:lineRule="auto"/>
              <w:jc w:val="center"/>
              <w:rPr>
                <w:rFonts w:ascii="宋体" w:hAnsi="宋体" w:cs="宋体"/>
                <w:color w:val="auto"/>
                <w:sz w:val="22"/>
                <w:highlight w:val="none"/>
              </w:rPr>
            </w:pPr>
          </w:p>
        </w:tc>
        <w:tc>
          <w:tcPr>
            <w:tcW w:w="767" w:type="dxa"/>
            <w:noWrap/>
            <w:vAlign w:val="center"/>
          </w:tcPr>
          <w:p w14:paraId="40CA8E61">
            <w:pPr>
              <w:spacing w:line="360" w:lineRule="auto"/>
              <w:jc w:val="center"/>
              <w:rPr>
                <w:rFonts w:ascii="宋体" w:hAnsi="宋体" w:cs="宋体"/>
                <w:color w:val="auto"/>
                <w:sz w:val="22"/>
                <w:highlight w:val="none"/>
              </w:rPr>
            </w:pPr>
          </w:p>
        </w:tc>
        <w:tc>
          <w:tcPr>
            <w:tcW w:w="767" w:type="dxa"/>
            <w:noWrap/>
            <w:vAlign w:val="center"/>
          </w:tcPr>
          <w:p w14:paraId="35C4E91E">
            <w:pPr>
              <w:spacing w:line="360" w:lineRule="auto"/>
              <w:jc w:val="center"/>
              <w:rPr>
                <w:rFonts w:ascii="宋体" w:hAnsi="宋体" w:cs="宋体"/>
                <w:color w:val="auto"/>
                <w:sz w:val="22"/>
                <w:highlight w:val="none"/>
              </w:rPr>
            </w:pPr>
          </w:p>
        </w:tc>
        <w:tc>
          <w:tcPr>
            <w:tcW w:w="1340" w:type="dxa"/>
            <w:noWrap/>
            <w:vAlign w:val="center"/>
          </w:tcPr>
          <w:p w14:paraId="5E30017B">
            <w:pPr>
              <w:spacing w:line="360" w:lineRule="auto"/>
              <w:jc w:val="center"/>
              <w:rPr>
                <w:rFonts w:ascii="宋体" w:hAnsi="宋体" w:cs="宋体"/>
                <w:color w:val="auto"/>
                <w:sz w:val="22"/>
                <w:highlight w:val="none"/>
              </w:rPr>
            </w:pPr>
          </w:p>
        </w:tc>
        <w:tc>
          <w:tcPr>
            <w:tcW w:w="1326" w:type="dxa"/>
            <w:noWrap/>
            <w:vAlign w:val="center"/>
          </w:tcPr>
          <w:p w14:paraId="72B5C6DD">
            <w:pPr>
              <w:spacing w:line="360" w:lineRule="auto"/>
              <w:jc w:val="center"/>
              <w:rPr>
                <w:rFonts w:ascii="宋体" w:hAnsi="宋体" w:cs="宋体"/>
                <w:color w:val="auto"/>
                <w:sz w:val="22"/>
                <w:highlight w:val="none"/>
              </w:rPr>
            </w:pPr>
          </w:p>
        </w:tc>
        <w:tc>
          <w:tcPr>
            <w:tcW w:w="1825" w:type="dxa"/>
            <w:noWrap/>
          </w:tcPr>
          <w:p w14:paraId="429AFDCD">
            <w:pPr>
              <w:spacing w:line="360" w:lineRule="auto"/>
              <w:jc w:val="center"/>
              <w:rPr>
                <w:rFonts w:ascii="宋体" w:hAnsi="宋体" w:cs="宋体"/>
                <w:color w:val="auto"/>
                <w:sz w:val="22"/>
                <w:highlight w:val="none"/>
              </w:rPr>
            </w:pPr>
          </w:p>
        </w:tc>
        <w:tc>
          <w:tcPr>
            <w:tcW w:w="899" w:type="dxa"/>
            <w:noWrap/>
            <w:vAlign w:val="center"/>
          </w:tcPr>
          <w:p w14:paraId="4F078281">
            <w:pPr>
              <w:spacing w:line="360" w:lineRule="auto"/>
              <w:jc w:val="center"/>
              <w:rPr>
                <w:rFonts w:ascii="宋体" w:hAnsi="宋体" w:cs="宋体"/>
                <w:color w:val="auto"/>
                <w:sz w:val="22"/>
                <w:highlight w:val="none"/>
              </w:rPr>
            </w:pPr>
          </w:p>
        </w:tc>
      </w:tr>
      <w:tr w14:paraId="0E614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3D62430">
            <w:pPr>
              <w:spacing w:line="360" w:lineRule="auto"/>
              <w:jc w:val="center"/>
              <w:rPr>
                <w:rFonts w:ascii="宋体" w:hAnsi="宋体" w:cs="宋体"/>
                <w:color w:val="auto"/>
                <w:sz w:val="22"/>
                <w:highlight w:val="none"/>
              </w:rPr>
            </w:pPr>
          </w:p>
        </w:tc>
        <w:tc>
          <w:tcPr>
            <w:tcW w:w="958" w:type="dxa"/>
            <w:noWrap/>
            <w:vAlign w:val="center"/>
          </w:tcPr>
          <w:p w14:paraId="593737B4">
            <w:pPr>
              <w:spacing w:line="360" w:lineRule="auto"/>
              <w:jc w:val="center"/>
              <w:rPr>
                <w:rFonts w:ascii="宋体" w:hAnsi="宋体" w:cs="宋体"/>
                <w:color w:val="auto"/>
                <w:sz w:val="22"/>
                <w:highlight w:val="none"/>
              </w:rPr>
            </w:pPr>
          </w:p>
        </w:tc>
        <w:tc>
          <w:tcPr>
            <w:tcW w:w="958" w:type="dxa"/>
            <w:noWrap/>
            <w:vAlign w:val="center"/>
          </w:tcPr>
          <w:p w14:paraId="3660CE4E">
            <w:pPr>
              <w:spacing w:line="360" w:lineRule="auto"/>
              <w:jc w:val="center"/>
              <w:rPr>
                <w:rFonts w:ascii="宋体" w:hAnsi="宋体" w:cs="宋体"/>
                <w:color w:val="auto"/>
                <w:sz w:val="22"/>
                <w:highlight w:val="none"/>
              </w:rPr>
            </w:pPr>
          </w:p>
        </w:tc>
        <w:tc>
          <w:tcPr>
            <w:tcW w:w="767" w:type="dxa"/>
            <w:noWrap/>
            <w:vAlign w:val="center"/>
          </w:tcPr>
          <w:p w14:paraId="3AD75EFA">
            <w:pPr>
              <w:spacing w:line="360" w:lineRule="auto"/>
              <w:jc w:val="center"/>
              <w:rPr>
                <w:rFonts w:ascii="宋体" w:hAnsi="宋体" w:cs="宋体"/>
                <w:color w:val="auto"/>
                <w:sz w:val="22"/>
                <w:highlight w:val="none"/>
              </w:rPr>
            </w:pPr>
          </w:p>
        </w:tc>
        <w:tc>
          <w:tcPr>
            <w:tcW w:w="767" w:type="dxa"/>
            <w:noWrap/>
            <w:vAlign w:val="center"/>
          </w:tcPr>
          <w:p w14:paraId="73637216">
            <w:pPr>
              <w:spacing w:line="360" w:lineRule="auto"/>
              <w:jc w:val="center"/>
              <w:rPr>
                <w:rFonts w:ascii="宋体" w:hAnsi="宋体" w:cs="宋体"/>
                <w:color w:val="auto"/>
                <w:sz w:val="22"/>
                <w:highlight w:val="none"/>
              </w:rPr>
            </w:pPr>
          </w:p>
        </w:tc>
        <w:tc>
          <w:tcPr>
            <w:tcW w:w="1340" w:type="dxa"/>
            <w:noWrap/>
            <w:vAlign w:val="center"/>
          </w:tcPr>
          <w:p w14:paraId="491CAAF4">
            <w:pPr>
              <w:spacing w:line="360" w:lineRule="auto"/>
              <w:jc w:val="center"/>
              <w:rPr>
                <w:rFonts w:ascii="宋体" w:hAnsi="宋体" w:cs="宋体"/>
                <w:color w:val="auto"/>
                <w:sz w:val="22"/>
                <w:highlight w:val="none"/>
              </w:rPr>
            </w:pPr>
          </w:p>
        </w:tc>
        <w:tc>
          <w:tcPr>
            <w:tcW w:w="1326" w:type="dxa"/>
            <w:noWrap/>
            <w:vAlign w:val="center"/>
          </w:tcPr>
          <w:p w14:paraId="6BD7414F">
            <w:pPr>
              <w:spacing w:line="360" w:lineRule="auto"/>
              <w:jc w:val="center"/>
              <w:rPr>
                <w:rFonts w:ascii="宋体" w:hAnsi="宋体" w:cs="宋体"/>
                <w:color w:val="auto"/>
                <w:sz w:val="22"/>
                <w:highlight w:val="none"/>
              </w:rPr>
            </w:pPr>
          </w:p>
        </w:tc>
        <w:tc>
          <w:tcPr>
            <w:tcW w:w="1825" w:type="dxa"/>
            <w:noWrap/>
          </w:tcPr>
          <w:p w14:paraId="3BF15867">
            <w:pPr>
              <w:spacing w:line="360" w:lineRule="auto"/>
              <w:jc w:val="center"/>
              <w:rPr>
                <w:rFonts w:ascii="宋体" w:hAnsi="宋体" w:cs="宋体"/>
                <w:color w:val="auto"/>
                <w:sz w:val="22"/>
                <w:highlight w:val="none"/>
              </w:rPr>
            </w:pPr>
          </w:p>
        </w:tc>
        <w:tc>
          <w:tcPr>
            <w:tcW w:w="899" w:type="dxa"/>
            <w:noWrap/>
            <w:vAlign w:val="center"/>
          </w:tcPr>
          <w:p w14:paraId="34D9460E">
            <w:pPr>
              <w:spacing w:line="360" w:lineRule="auto"/>
              <w:jc w:val="center"/>
              <w:rPr>
                <w:rFonts w:ascii="宋体" w:hAnsi="宋体" w:cs="宋体"/>
                <w:color w:val="auto"/>
                <w:sz w:val="22"/>
                <w:highlight w:val="none"/>
              </w:rPr>
            </w:pPr>
          </w:p>
        </w:tc>
      </w:tr>
      <w:tr w14:paraId="11ED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456EFCB2">
            <w:pPr>
              <w:spacing w:line="360" w:lineRule="auto"/>
              <w:jc w:val="center"/>
              <w:rPr>
                <w:rFonts w:ascii="宋体" w:hAnsi="宋体" w:cs="宋体"/>
                <w:color w:val="auto"/>
                <w:sz w:val="22"/>
                <w:highlight w:val="none"/>
              </w:rPr>
            </w:pPr>
          </w:p>
        </w:tc>
        <w:tc>
          <w:tcPr>
            <w:tcW w:w="958" w:type="dxa"/>
            <w:noWrap/>
            <w:vAlign w:val="center"/>
          </w:tcPr>
          <w:p w14:paraId="4DE11EDE">
            <w:pPr>
              <w:spacing w:line="360" w:lineRule="auto"/>
              <w:jc w:val="center"/>
              <w:rPr>
                <w:rFonts w:ascii="宋体" w:hAnsi="宋体" w:cs="宋体"/>
                <w:color w:val="auto"/>
                <w:sz w:val="22"/>
                <w:highlight w:val="none"/>
              </w:rPr>
            </w:pPr>
          </w:p>
        </w:tc>
        <w:tc>
          <w:tcPr>
            <w:tcW w:w="958" w:type="dxa"/>
            <w:noWrap/>
            <w:vAlign w:val="center"/>
          </w:tcPr>
          <w:p w14:paraId="5069FB32">
            <w:pPr>
              <w:spacing w:line="360" w:lineRule="auto"/>
              <w:jc w:val="center"/>
              <w:rPr>
                <w:rFonts w:ascii="宋体" w:hAnsi="宋体" w:cs="宋体"/>
                <w:color w:val="auto"/>
                <w:sz w:val="22"/>
                <w:highlight w:val="none"/>
              </w:rPr>
            </w:pPr>
          </w:p>
        </w:tc>
        <w:tc>
          <w:tcPr>
            <w:tcW w:w="767" w:type="dxa"/>
            <w:noWrap/>
            <w:vAlign w:val="center"/>
          </w:tcPr>
          <w:p w14:paraId="0CD6911F">
            <w:pPr>
              <w:spacing w:line="360" w:lineRule="auto"/>
              <w:jc w:val="center"/>
              <w:rPr>
                <w:rFonts w:ascii="宋体" w:hAnsi="宋体" w:cs="宋体"/>
                <w:color w:val="auto"/>
                <w:sz w:val="22"/>
                <w:highlight w:val="none"/>
              </w:rPr>
            </w:pPr>
          </w:p>
        </w:tc>
        <w:tc>
          <w:tcPr>
            <w:tcW w:w="767" w:type="dxa"/>
            <w:noWrap/>
            <w:vAlign w:val="center"/>
          </w:tcPr>
          <w:p w14:paraId="1E8A1194">
            <w:pPr>
              <w:spacing w:line="360" w:lineRule="auto"/>
              <w:jc w:val="center"/>
              <w:rPr>
                <w:rFonts w:ascii="宋体" w:hAnsi="宋体" w:cs="宋体"/>
                <w:color w:val="auto"/>
                <w:sz w:val="22"/>
                <w:highlight w:val="none"/>
              </w:rPr>
            </w:pPr>
          </w:p>
        </w:tc>
        <w:tc>
          <w:tcPr>
            <w:tcW w:w="1340" w:type="dxa"/>
            <w:noWrap/>
            <w:vAlign w:val="center"/>
          </w:tcPr>
          <w:p w14:paraId="31D120E6">
            <w:pPr>
              <w:spacing w:line="360" w:lineRule="auto"/>
              <w:jc w:val="center"/>
              <w:rPr>
                <w:rFonts w:ascii="宋体" w:hAnsi="宋体" w:cs="宋体"/>
                <w:color w:val="auto"/>
                <w:sz w:val="22"/>
                <w:highlight w:val="none"/>
              </w:rPr>
            </w:pPr>
          </w:p>
        </w:tc>
        <w:tc>
          <w:tcPr>
            <w:tcW w:w="1326" w:type="dxa"/>
            <w:noWrap/>
            <w:vAlign w:val="center"/>
          </w:tcPr>
          <w:p w14:paraId="3EE7F1FE">
            <w:pPr>
              <w:spacing w:line="360" w:lineRule="auto"/>
              <w:jc w:val="center"/>
              <w:rPr>
                <w:rFonts w:ascii="宋体" w:hAnsi="宋体" w:cs="宋体"/>
                <w:color w:val="auto"/>
                <w:sz w:val="22"/>
                <w:highlight w:val="none"/>
              </w:rPr>
            </w:pPr>
          </w:p>
        </w:tc>
        <w:tc>
          <w:tcPr>
            <w:tcW w:w="1825" w:type="dxa"/>
            <w:noWrap/>
          </w:tcPr>
          <w:p w14:paraId="633B8054">
            <w:pPr>
              <w:spacing w:line="360" w:lineRule="auto"/>
              <w:jc w:val="center"/>
              <w:rPr>
                <w:rFonts w:ascii="宋体" w:hAnsi="宋体" w:cs="宋体"/>
                <w:color w:val="auto"/>
                <w:sz w:val="22"/>
                <w:highlight w:val="none"/>
              </w:rPr>
            </w:pPr>
          </w:p>
        </w:tc>
        <w:tc>
          <w:tcPr>
            <w:tcW w:w="899" w:type="dxa"/>
            <w:noWrap/>
            <w:vAlign w:val="center"/>
          </w:tcPr>
          <w:p w14:paraId="7CB6F54C">
            <w:pPr>
              <w:spacing w:line="360" w:lineRule="auto"/>
              <w:jc w:val="center"/>
              <w:rPr>
                <w:rFonts w:ascii="宋体" w:hAnsi="宋体" w:cs="宋体"/>
                <w:color w:val="auto"/>
                <w:sz w:val="22"/>
                <w:highlight w:val="none"/>
              </w:rPr>
            </w:pPr>
          </w:p>
        </w:tc>
      </w:tr>
      <w:tr w14:paraId="70045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9F6C01B">
            <w:pPr>
              <w:spacing w:line="360" w:lineRule="auto"/>
              <w:jc w:val="center"/>
              <w:rPr>
                <w:rFonts w:ascii="宋体" w:hAnsi="宋体" w:cs="宋体"/>
                <w:color w:val="auto"/>
                <w:sz w:val="22"/>
                <w:highlight w:val="none"/>
              </w:rPr>
            </w:pPr>
          </w:p>
        </w:tc>
        <w:tc>
          <w:tcPr>
            <w:tcW w:w="958" w:type="dxa"/>
            <w:noWrap/>
            <w:vAlign w:val="center"/>
          </w:tcPr>
          <w:p w14:paraId="6A34B2C2">
            <w:pPr>
              <w:spacing w:line="360" w:lineRule="auto"/>
              <w:jc w:val="center"/>
              <w:rPr>
                <w:rFonts w:ascii="宋体" w:hAnsi="宋体" w:cs="宋体"/>
                <w:color w:val="auto"/>
                <w:sz w:val="22"/>
                <w:highlight w:val="none"/>
              </w:rPr>
            </w:pPr>
          </w:p>
        </w:tc>
        <w:tc>
          <w:tcPr>
            <w:tcW w:w="958" w:type="dxa"/>
            <w:noWrap/>
            <w:vAlign w:val="center"/>
          </w:tcPr>
          <w:p w14:paraId="02BAAC59">
            <w:pPr>
              <w:spacing w:line="360" w:lineRule="auto"/>
              <w:jc w:val="center"/>
              <w:rPr>
                <w:rFonts w:ascii="宋体" w:hAnsi="宋体" w:cs="宋体"/>
                <w:color w:val="auto"/>
                <w:sz w:val="22"/>
                <w:highlight w:val="none"/>
              </w:rPr>
            </w:pPr>
          </w:p>
        </w:tc>
        <w:tc>
          <w:tcPr>
            <w:tcW w:w="767" w:type="dxa"/>
            <w:noWrap/>
            <w:vAlign w:val="center"/>
          </w:tcPr>
          <w:p w14:paraId="4E728D13">
            <w:pPr>
              <w:spacing w:line="360" w:lineRule="auto"/>
              <w:jc w:val="center"/>
              <w:rPr>
                <w:rFonts w:ascii="宋体" w:hAnsi="宋体" w:cs="宋体"/>
                <w:color w:val="auto"/>
                <w:sz w:val="22"/>
                <w:highlight w:val="none"/>
              </w:rPr>
            </w:pPr>
          </w:p>
        </w:tc>
        <w:tc>
          <w:tcPr>
            <w:tcW w:w="767" w:type="dxa"/>
            <w:noWrap/>
            <w:vAlign w:val="center"/>
          </w:tcPr>
          <w:p w14:paraId="1B9AFB55">
            <w:pPr>
              <w:spacing w:line="360" w:lineRule="auto"/>
              <w:jc w:val="center"/>
              <w:rPr>
                <w:rFonts w:ascii="宋体" w:hAnsi="宋体" w:cs="宋体"/>
                <w:color w:val="auto"/>
                <w:sz w:val="22"/>
                <w:highlight w:val="none"/>
              </w:rPr>
            </w:pPr>
          </w:p>
        </w:tc>
        <w:tc>
          <w:tcPr>
            <w:tcW w:w="1340" w:type="dxa"/>
            <w:noWrap/>
            <w:vAlign w:val="center"/>
          </w:tcPr>
          <w:p w14:paraId="23A8A5CD">
            <w:pPr>
              <w:spacing w:line="360" w:lineRule="auto"/>
              <w:jc w:val="center"/>
              <w:rPr>
                <w:rFonts w:ascii="宋体" w:hAnsi="宋体" w:cs="宋体"/>
                <w:color w:val="auto"/>
                <w:sz w:val="22"/>
                <w:highlight w:val="none"/>
              </w:rPr>
            </w:pPr>
          </w:p>
        </w:tc>
        <w:tc>
          <w:tcPr>
            <w:tcW w:w="1326" w:type="dxa"/>
            <w:noWrap/>
            <w:vAlign w:val="center"/>
          </w:tcPr>
          <w:p w14:paraId="17ED6C9C">
            <w:pPr>
              <w:spacing w:line="360" w:lineRule="auto"/>
              <w:jc w:val="center"/>
              <w:rPr>
                <w:rFonts w:ascii="宋体" w:hAnsi="宋体" w:cs="宋体"/>
                <w:color w:val="auto"/>
                <w:sz w:val="22"/>
                <w:highlight w:val="none"/>
              </w:rPr>
            </w:pPr>
          </w:p>
        </w:tc>
        <w:tc>
          <w:tcPr>
            <w:tcW w:w="1825" w:type="dxa"/>
            <w:noWrap/>
          </w:tcPr>
          <w:p w14:paraId="0A6C6CEC">
            <w:pPr>
              <w:spacing w:line="360" w:lineRule="auto"/>
              <w:jc w:val="center"/>
              <w:rPr>
                <w:rFonts w:ascii="宋体" w:hAnsi="宋体" w:cs="宋体"/>
                <w:color w:val="auto"/>
                <w:sz w:val="22"/>
                <w:highlight w:val="none"/>
              </w:rPr>
            </w:pPr>
          </w:p>
        </w:tc>
        <w:tc>
          <w:tcPr>
            <w:tcW w:w="899" w:type="dxa"/>
            <w:noWrap/>
            <w:vAlign w:val="center"/>
          </w:tcPr>
          <w:p w14:paraId="7C9B61D0">
            <w:pPr>
              <w:spacing w:line="360" w:lineRule="auto"/>
              <w:jc w:val="center"/>
              <w:rPr>
                <w:rFonts w:ascii="宋体" w:hAnsi="宋体" w:cs="宋体"/>
                <w:color w:val="auto"/>
                <w:sz w:val="22"/>
                <w:highlight w:val="none"/>
              </w:rPr>
            </w:pPr>
          </w:p>
        </w:tc>
      </w:tr>
      <w:tr w14:paraId="50AC1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72B2CA47">
            <w:pPr>
              <w:spacing w:line="360" w:lineRule="auto"/>
              <w:jc w:val="center"/>
              <w:rPr>
                <w:rFonts w:ascii="宋体" w:hAnsi="宋体" w:cs="宋体"/>
                <w:color w:val="auto"/>
                <w:sz w:val="22"/>
                <w:highlight w:val="none"/>
              </w:rPr>
            </w:pPr>
          </w:p>
        </w:tc>
        <w:tc>
          <w:tcPr>
            <w:tcW w:w="958" w:type="dxa"/>
            <w:noWrap/>
            <w:vAlign w:val="center"/>
          </w:tcPr>
          <w:p w14:paraId="5006F55C">
            <w:pPr>
              <w:spacing w:line="360" w:lineRule="auto"/>
              <w:jc w:val="center"/>
              <w:rPr>
                <w:rFonts w:ascii="宋体" w:hAnsi="宋体" w:cs="宋体"/>
                <w:color w:val="auto"/>
                <w:sz w:val="22"/>
                <w:highlight w:val="none"/>
              </w:rPr>
            </w:pPr>
          </w:p>
        </w:tc>
        <w:tc>
          <w:tcPr>
            <w:tcW w:w="958" w:type="dxa"/>
            <w:noWrap/>
            <w:vAlign w:val="center"/>
          </w:tcPr>
          <w:p w14:paraId="35FFB618">
            <w:pPr>
              <w:spacing w:line="360" w:lineRule="auto"/>
              <w:jc w:val="center"/>
              <w:rPr>
                <w:rFonts w:ascii="宋体" w:hAnsi="宋体" w:cs="宋体"/>
                <w:color w:val="auto"/>
                <w:sz w:val="22"/>
                <w:highlight w:val="none"/>
              </w:rPr>
            </w:pPr>
          </w:p>
        </w:tc>
        <w:tc>
          <w:tcPr>
            <w:tcW w:w="767" w:type="dxa"/>
            <w:noWrap/>
            <w:vAlign w:val="center"/>
          </w:tcPr>
          <w:p w14:paraId="2DF9913C">
            <w:pPr>
              <w:spacing w:line="360" w:lineRule="auto"/>
              <w:jc w:val="center"/>
              <w:rPr>
                <w:rFonts w:ascii="宋体" w:hAnsi="宋体" w:cs="宋体"/>
                <w:color w:val="auto"/>
                <w:sz w:val="22"/>
                <w:highlight w:val="none"/>
              </w:rPr>
            </w:pPr>
          </w:p>
        </w:tc>
        <w:tc>
          <w:tcPr>
            <w:tcW w:w="767" w:type="dxa"/>
            <w:noWrap/>
            <w:vAlign w:val="center"/>
          </w:tcPr>
          <w:p w14:paraId="5A456E75">
            <w:pPr>
              <w:spacing w:line="360" w:lineRule="auto"/>
              <w:jc w:val="center"/>
              <w:rPr>
                <w:rFonts w:ascii="宋体" w:hAnsi="宋体" w:cs="宋体"/>
                <w:color w:val="auto"/>
                <w:sz w:val="22"/>
                <w:highlight w:val="none"/>
              </w:rPr>
            </w:pPr>
          </w:p>
        </w:tc>
        <w:tc>
          <w:tcPr>
            <w:tcW w:w="1340" w:type="dxa"/>
            <w:noWrap/>
            <w:vAlign w:val="center"/>
          </w:tcPr>
          <w:p w14:paraId="34AB592B">
            <w:pPr>
              <w:spacing w:line="360" w:lineRule="auto"/>
              <w:jc w:val="center"/>
              <w:rPr>
                <w:rFonts w:ascii="宋体" w:hAnsi="宋体" w:cs="宋体"/>
                <w:color w:val="auto"/>
                <w:sz w:val="22"/>
                <w:highlight w:val="none"/>
              </w:rPr>
            </w:pPr>
          </w:p>
        </w:tc>
        <w:tc>
          <w:tcPr>
            <w:tcW w:w="1326" w:type="dxa"/>
            <w:noWrap/>
            <w:vAlign w:val="center"/>
          </w:tcPr>
          <w:p w14:paraId="2C889838">
            <w:pPr>
              <w:spacing w:line="360" w:lineRule="auto"/>
              <w:jc w:val="center"/>
              <w:rPr>
                <w:rFonts w:ascii="宋体" w:hAnsi="宋体" w:cs="宋体"/>
                <w:color w:val="auto"/>
                <w:sz w:val="22"/>
                <w:highlight w:val="none"/>
              </w:rPr>
            </w:pPr>
          </w:p>
        </w:tc>
        <w:tc>
          <w:tcPr>
            <w:tcW w:w="1825" w:type="dxa"/>
            <w:noWrap/>
          </w:tcPr>
          <w:p w14:paraId="0F446EC5">
            <w:pPr>
              <w:spacing w:line="360" w:lineRule="auto"/>
              <w:jc w:val="center"/>
              <w:rPr>
                <w:rFonts w:ascii="宋体" w:hAnsi="宋体" w:cs="宋体"/>
                <w:color w:val="auto"/>
                <w:sz w:val="22"/>
                <w:highlight w:val="none"/>
              </w:rPr>
            </w:pPr>
          </w:p>
        </w:tc>
        <w:tc>
          <w:tcPr>
            <w:tcW w:w="899" w:type="dxa"/>
            <w:noWrap/>
            <w:vAlign w:val="center"/>
          </w:tcPr>
          <w:p w14:paraId="4F5A278C">
            <w:pPr>
              <w:spacing w:line="360" w:lineRule="auto"/>
              <w:jc w:val="center"/>
              <w:rPr>
                <w:rFonts w:ascii="宋体" w:hAnsi="宋体" w:cs="宋体"/>
                <w:color w:val="auto"/>
                <w:sz w:val="22"/>
                <w:highlight w:val="none"/>
              </w:rPr>
            </w:pPr>
          </w:p>
        </w:tc>
      </w:tr>
      <w:tr w14:paraId="5729F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75123E71">
            <w:pPr>
              <w:spacing w:line="360" w:lineRule="auto"/>
              <w:jc w:val="center"/>
              <w:rPr>
                <w:rFonts w:ascii="宋体" w:hAnsi="宋体" w:cs="宋体"/>
                <w:color w:val="auto"/>
                <w:sz w:val="22"/>
                <w:highlight w:val="none"/>
              </w:rPr>
            </w:pPr>
          </w:p>
        </w:tc>
        <w:tc>
          <w:tcPr>
            <w:tcW w:w="958" w:type="dxa"/>
            <w:noWrap/>
            <w:vAlign w:val="center"/>
          </w:tcPr>
          <w:p w14:paraId="57F26A8A">
            <w:pPr>
              <w:spacing w:line="360" w:lineRule="auto"/>
              <w:jc w:val="center"/>
              <w:rPr>
                <w:rFonts w:ascii="宋体" w:hAnsi="宋体" w:cs="宋体"/>
                <w:color w:val="auto"/>
                <w:sz w:val="22"/>
                <w:highlight w:val="none"/>
              </w:rPr>
            </w:pPr>
          </w:p>
        </w:tc>
        <w:tc>
          <w:tcPr>
            <w:tcW w:w="958" w:type="dxa"/>
            <w:noWrap/>
            <w:vAlign w:val="center"/>
          </w:tcPr>
          <w:p w14:paraId="09EE02C8">
            <w:pPr>
              <w:spacing w:line="360" w:lineRule="auto"/>
              <w:jc w:val="center"/>
              <w:rPr>
                <w:rFonts w:ascii="宋体" w:hAnsi="宋体" w:cs="宋体"/>
                <w:color w:val="auto"/>
                <w:sz w:val="22"/>
                <w:highlight w:val="none"/>
              </w:rPr>
            </w:pPr>
          </w:p>
        </w:tc>
        <w:tc>
          <w:tcPr>
            <w:tcW w:w="767" w:type="dxa"/>
            <w:noWrap/>
            <w:vAlign w:val="center"/>
          </w:tcPr>
          <w:p w14:paraId="0AED738C">
            <w:pPr>
              <w:spacing w:line="360" w:lineRule="auto"/>
              <w:jc w:val="center"/>
              <w:rPr>
                <w:rFonts w:ascii="宋体" w:hAnsi="宋体" w:cs="宋体"/>
                <w:color w:val="auto"/>
                <w:sz w:val="22"/>
                <w:highlight w:val="none"/>
              </w:rPr>
            </w:pPr>
          </w:p>
        </w:tc>
        <w:tc>
          <w:tcPr>
            <w:tcW w:w="767" w:type="dxa"/>
            <w:noWrap/>
            <w:vAlign w:val="center"/>
          </w:tcPr>
          <w:p w14:paraId="527680E0">
            <w:pPr>
              <w:spacing w:line="360" w:lineRule="auto"/>
              <w:jc w:val="center"/>
              <w:rPr>
                <w:rFonts w:ascii="宋体" w:hAnsi="宋体" w:cs="宋体"/>
                <w:color w:val="auto"/>
                <w:sz w:val="22"/>
                <w:highlight w:val="none"/>
              </w:rPr>
            </w:pPr>
          </w:p>
        </w:tc>
        <w:tc>
          <w:tcPr>
            <w:tcW w:w="1340" w:type="dxa"/>
            <w:noWrap/>
            <w:vAlign w:val="center"/>
          </w:tcPr>
          <w:p w14:paraId="273AE200">
            <w:pPr>
              <w:spacing w:line="360" w:lineRule="auto"/>
              <w:jc w:val="center"/>
              <w:rPr>
                <w:rFonts w:ascii="宋体" w:hAnsi="宋体" w:cs="宋体"/>
                <w:color w:val="auto"/>
                <w:sz w:val="22"/>
                <w:highlight w:val="none"/>
              </w:rPr>
            </w:pPr>
          </w:p>
        </w:tc>
        <w:tc>
          <w:tcPr>
            <w:tcW w:w="1326" w:type="dxa"/>
            <w:noWrap/>
            <w:vAlign w:val="center"/>
          </w:tcPr>
          <w:p w14:paraId="18FCDE90">
            <w:pPr>
              <w:spacing w:line="360" w:lineRule="auto"/>
              <w:jc w:val="center"/>
              <w:rPr>
                <w:rFonts w:ascii="宋体" w:hAnsi="宋体" w:cs="宋体"/>
                <w:color w:val="auto"/>
                <w:sz w:val="22"/>
                <w:highlight w:val="none"/>
              </w:rPr>
            </w:pPr>
          </w:p>
        </w:tc>
        <w:tc>
          <w:tcPr>
            <w:tcW w:w="1825" w:type="dxa"/>
            <w:noWrap/>
          </w:tcPr>
          <w:p w14:paraId="37F2F582">
            <w:pPr>
              <w:spacing w:line="360" w:lineRule="auto"/>
              <w:jc w:val="center"/>
              <w:rPr>
                <w:rFonts w:ascii="宋体" w:hAnsi="宋体" w:cs="宋体"/>
                <w:color w:val="auto"/>
                <w:sz w:val="22"/>
                <w:highlight w:val="none"/>
              </w:rPr>
            </w:pPr>
          </w:p>
        </w:tc>
        <w:tc>
          <w:tcPr>
            <w:tcW w:w="899" w:type="dxa"/>
            <w:noWrap/>
            <w:vAlign w:val="center"/>
          </w:tcPr>
          <w:p w14:paraId="7EC142BB">
            <w:pPr>
              <w:spacing w:line="360" w:lineRule="auto"/>
              <w:jc w:val="center"/>
              <w:rPr>
                <w:rFonts w:ascii="宋体" w:hAnsi="宋体" w:cs="宋体"/>
                <w:color w:val="auto"/>
                <w:sz w:val="22"/>
                <w:highlight w:val="none"/>
              </w:rPr>
            </w:pPr>
          </w:p>
        </w:tc>
      </w:tr>
      <w:tr w14:paraId="07E7A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00E3F56F">
            <w:pPr>
              <w:spacing w:line="360" w:lineRule="auto"/>
              <w:jc w:val="center"/>
              <w:rPr>
                <w:rFonts w:ascii="宋体" w:hAnsi="宋体" w:cs="宋体"/>
                <w:color w:val="auto"/>
                <w:sz w:val="22"/>
                <w:highlight w:val="none"/>
              </w:rPr>
            </w:pPr>
          </w:p>
        </w:tc>
        <w:tc>
          <w:tcPr>
            <w:tcW w:w="958" w:type="dxa"/>
            <w:noWrap/>
            <w:vAlign w:val="center"/>
          </w:tcPr>
          <w:p w14:paraId="444B5D9E">
            <w:pPr>
              <w:spacing w:line="360" w:lineRule="auto"/>
              <w:jc w:val="center"/>
              <w:rPr>
                <w:rFonts w:ascii="宋体" w:hAnsi="宋体" w:cs="宋体"/>
                <w:color w:val="auto"/>
                <w:sz w:val="22"/>
                <w:highlight w:val="none"/>
              </w:rPr>
            </w:pPr>
          </w:p>
        </w:tc>
        <w:tc>
          <w:tcPr>
            <w:tcW w:w="958" w:type="dxa"/>
            <w:noWrap/>
            <w:vAlign w:val="center"/>
          </w:tcPr>
          <w:p w14:paraId="1A535C61">
            <w:pPr>
              <w:spacing w:line="360" w:lineRule="auto"/>
              <w:jc w:val="center"/>
              <w:rPr>
                <w:rFonts w:ascii="宋体" w:hAnsi="宋体" w:cs="宋体"/>
                <w:color w:val="auto"/>
                <w:sz w:val="22"/>
                <w:highlight w:val="none"/>
              </w:rPr>
            </w:pPr>
          </w:p>
        </w:tc>
        <w:tc>
          <w:tcPr>
            <w:tcW w:w="767" w:type="dxa"/>
            <w:noWrap/>
            <w:vAlign w:val="center"/>
          </w:tcPr>
          <w:p w14:paraId="0B0BBC59">
            <w:pPr>
              <w:spacing w:line="360" w:lineRule="auto"/>
              <w:jc w:val="center"/>
              <w:rPr>
                <w:rFonts w:ascii="宋体" w:hAnsi="宋体" w:cs="宋体"/>
                <w:color w:val="auto"/>
                <w:sz w:val="22"/>
                <w:highlight w:val="none"/>
              </w:rPr>
            </w:pPr>
          </w:p>
        </w:tc>
        <w:tc>
          <w:tcPr>
            <w:tcW w:w="767" w:type="dxa"/>
            <w:noWrap/>
            <w:vAlign w:val="center"/>
          </w:tcPr>
          <w:p w14:paraId="5C456444">
            <w:pPr>
              <w:spacing w:line="360" w:lineRule="auto"/>
              <w:jc w:val="center"/>
              <w:rPr>
                <w:rFonts w:ascii="宋体" w:hAnsi="宋体" w:cs="宋体"/>
                <w:color w:val="auto"/>
                <w:sz w:val="22"/>
                <w:highlight w:val="none"/>
              </w:rPr>
            </w:pPr>
          </w:p>
        </w:tc>
        <w:tc>
          <w:tcPr>
            <w:tcW w:w="1340" w:type="dxa"/>
            <w:noWrap/>
            <w:vAlign w:val="center"/>
          </w:tcPr>
          <w:p w14:paraId="6D247EE9">
            <w:pPr>
              <w:spacing w:line="360" w:lineRule="auto"/>
              <w:jc w:val="center"/>
              <w:rPr>
                <w:rFonts w:ascii="宋体" w:hAnsi="宋体" w:cs="宋体"/>
                <w:color w:val="auto"/>
                <w:sz w:val="22"/>
                <w:highlight w:val="none"/>
              </w:rPr>
            </w:pPr>
          </w:p>
        </w:tc>
        <w:tc>
          <w:tcPr>
            <w:tcW w:w="1326" w:type="dxa"/>
            <w:noWrap/>
            <w:vAlign w:val="center"/>
          </w:tcPr>
          <w:p w14:paraId="2C25944D">
            <w:pPr>
              <w:spacing w:line="360" w:lineRule="auto"/>
              <w:jc w:val="center"/>
              <w:rPr>
                <w:rFonts w:ascii="宋体" w:hAnsi="宋体" w:cs="宋体"/>
                <w:color w:val="auto"/>
                <w:sz w:val="22"/>
                <w:highlight w:val="none"/>
              </w:rPr>
            </w:pPr>
          </w:p>
        </w:tc>
        <w:tc>
          <w:tcPr>
            <w:tcW w:w="1825" w:type="dxa"/>
            <w:noWrap/>
          </w:tcPr>
          <w:p w14:paraId="38B717ED">
            <w:pPr>
              <w:spacing w:line="360" w:lineRule="auto"/>
              <w:jc w:val="center"/>
              <w:rPr>
                <w:rFonts w:ascii="宋体" w:hAnsi="宋体" w:cs="宋体"/>
                <w:color w:val="auto"/>
                <w:sz w:val="22"/>
                <w:highlight w:val="none"/>
              </w:rPr>
            </w:pPr>
          </w:p>
        </w:tc>
        <w:tc>
          <w:tcPr>
            <w:tcW w:w="899" w:type="dxa"/>
            <w:noWrap/>
            <w:vAlign w:val="center"/>
          </w:tcPr>
          <w:p w14:paraId="631DC3A6">
            <w:pPr>
              <w:spacing w:line="360" w:lineRule="auto"/>
              <w:jc w:val="center"/>
              <w:rPr>
                <w:rFonts w:ascii="宋体" w:hAnsi="宋体" w:cs="宋体"/>
                <w:color w:val="auto"/>
                <w:sz w:val="22"/>
                <w:highlight w:val="none"/>
              </w:rPr>
            </w:pPr>
          </w:p>
        </w:tc>
      </w:tr>
    </w:tbl>
    <w:p w14:paraId="5E1917AD">
      <w:pPr>
        <w:spacing w:line="360" w:lineRule="exact"/>
        <w:rPr>
          <w:rFonts w:ascii="宋体" w:hAnsi="宋体" w:cs="宋体"/>
          <w:color w:val="auto"/>
          <w:sz w:val="22"/>
          <w:highlight w:val="none"/>
        </w:rPr>
      </w:pPr>
      <w:r>
        <w:rPr>
          <w:rFonts w:hint="eastAsia" w:ascii="宋体" w:hAnsi="宋体" w:cs="宋体"/>
          <w:color w:val="auto"/>
          <w:sz w:val="22"/>
          <w:highlight w:val="none"/>
        </w:rPr>
        <w:t>注：</w:t>
      </w:r>
    </w:p>
    <w:p w14:paraId="03AE254A">
      <w:pPr>
        <w:spacing w:line="360" w:lineRule="exact"/>
        <w:rPr>
          <w:rFonts w:ascii="宋体" w:hAnsi="宋体" w:cs="宋体"/>
          <w:color w:val="auto"/>
          <w:sz w:val="22"/>
          <w:highlight w:val="none"/>
        </w:rPr>
      </w:pPr>
      <w:r>
        <w:rPr>
          <w:rFonts w:hint="eastAsia" w:ascii="宋体" w:hAnsi="宋体" w:cs="宋体"/>
          <w:color w:val="auto"/>
          <w:sz w:val="22"/>
          <w:highlight w:val="none"/>
        </w:rPr>
        <w:t>1、本表应附项目人员相关证明材料。</w:t>
      </w:r>
    </w:p>
    <w:p w14:paraId="4AD92867">
      <w:pPr>
        <w:spacing w:line="400" w:lineRule="exact"/>
        <w:rPr>
          <w:rFonts w:ascii="宋体" w:hAnsi="宋体" w:cs="宋体"/>
          <w:b/>
          <w:color w:val="auto"/>
          <w:sz w:val="22"/>
          <w:highlight w:val="none"/>
        </w:rPr>
      </w:pPr>
      <w:r>
        <w:rPr>
          <w:rFonts w:hint="eastAsia" w:ascii="宋体" w:hAnsi="宋体" w:cs="宋体"/>
          <w:color w:val="auto"/>
          <w:sz w:val="22"/>
          <w:highlight w:val="none"/>
        </w:rPr>
        <w:t>2、项目人员在服务期内不得更换，因特殊情况更换项目实施人员的需经采购人同意。</w:t>
      </w:r>
    </w:p>
    <w:p w14:paraId="07EFCAD1">
      <w:pPr>
        <w:spacing w:after="120" w:afterLines="50" w:line="400" w:lineRule="atLeast"/>
        <w:rPr>
          <w:rFonts w:ascii="宋体" w:hAnsi="宋体" w:cs="宋体"/>
          <w:color w:val="auto"/>
          <w:sz w:val="22"/>
          <w:highlight w:val="none"/>
        </w:rPr>
      </w:pPr>
      <w:r>
        <w:rPr>
          <w:rFonts w:hint="eastAsia" w:ascii="宋体" w:hAnsi="宋体" w:cs="宋体"/>
          <w:color w:val="auto"/>
          <w:sz w:val="22"/>
          <w:highlight w:val="none"/>
        </w:rPr>
        <w:t>3、此表仅提供了表格形式，投标人可按此表格复制。</w:t>
      </w:r>
    </w:p>
    <w:p w14:paraId="15446DC6">
      <w:pPr>
        <w:widowControl/>
        <w:spacing w:line="400" w:lineRule="exact"/>
        <w:rPr>
          <w:rFonts w:ascii="宋体" w:hAnsi="宋体" w:cs="宋体"/>
          <w:color w:val="auto"/>
          <w:kern w:val="0"/>
          <w:sz w:val="22"/>
          <w:highlight w:val="none"/>
        </w:rPr>
      </w:pPr>
    </w:p>
    <w:p w14:paraId="7D340118">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4F1AF073">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578759FF">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7E946CE4">
      <w:pPr>
        <w:rPr>
          <w:rFonts w:ascii="宋体" w:hAnsi="宋体" w:cs="宋体"/>
          <w:b/>
          <w:color w:val="auto"/>
          <w:sz w:val="22"/>
          <w:highlight w:val="none"/>
        </w:rPr>
      </w:pPr>
      <w:r>
        <w:rPr>
          <w:rFonts w:hint="eastAsia" w:ascii="宋体" w:hAnsi="宋体" w:cs="宋体"/>
          <w:b/>
          <w:color w:val="auto"/>
          <w:sz w:val="22"/>
          <w:highlight w:val="none"/>
        </w:rPr>
        <w:br w:type="page"/>
      </w:r>
    </w:p>
    <w:p w14:paraId="37691C09">
      <w:pPr>
        <w:pStyle w:val="77"/>
        <w:spacing w:line="600" w:lineRule="exact"/>
        <w:rPr>
          <w:rFonts w:hint="default" w:hAnsi="宋体" w:eastAsia="宋体" w:cs="宋体"/>
          <w:b/>
          <w:bCs/>
          <w:color w:val="auto"/>
          <w:sz w:val="32"/>
          <w:szCs w:val="32"/>
          <w:highlight w:val="none"/>
        </w:rPr>
      </w:pPr>
      <w:r>
        <w:rPr>
          <w:rFonts w:hAnsi="宋体" w:cs="宋体"/>
          <w:b/>
          <w:color w:val="auto"/>
          <w:sz w:val="24"/>
          <w:szCs w:val="24"/>
          <w:highlight w:val="none"/>
        </w:rPr>
        <w:t>附件12</w:t>
      </w:r>
    </w:p>
    <w:p w14:paraId="40DB18B5">
      <w:pPr>
        <w:pStyle w:val="77"/>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政府采购活动现场确认声明书</w:t>
      </w:r>
    </w:p>
    <w:p w14:paraId="1DF16534">
      <w:pPr>
        <w:pStyle w:val="77"/>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0CA19840">
      <w:pPr>
        <w:pStyle w:val="77"/>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单位）</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）政府采购活动，经与本单位法人代表（负责人）联系确认，现就有关公平竞争事项郑重声明如下： </w:t>
      </w:r>
    </w:p>
    <w:p w14:paraId="0DE31A8A">
      <w:pPr>
        <w:pStyle w:val="77"/>
        <w:numPr>
          <w:ilvl w:val="0"/>
          <w:numId w:val="7"/>
        </w:numPr>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kern w:val="0"/>
          <w:sz w:val="24"/>
          <w:szCs w:val="24"/>
          <w:highlight w:val="none"/>
          <w:u w:val="single"/>
        </w:rPr>
        <w:t xml:space="preserve">           </w:t>
      </w:r>
      <w:r>
        <w:rPr>
          <w:rFonts w:hAnsi="宋体" w:eastAsia="宋体" w:cs="宋体"/>
          <w:color w:val="auto"/>
          <w:kern w:val="0"/>
          <w:sz w:val="24"/>
          <w:szCs w:val="24"/>
          <w:highlight w:val="none"/>
        </w:rPr>
        <w:t>：</w:t>
      </w:r>
    </w:p>
    <w:p w14:paraId="796E7487">
      <w:pPr>
        <w:pStyle w:val="77"/>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2C97C643">
      <w:pPr>
        <w:pStyle w:val="77"/>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7D258AE8">
      <w:pPr>
        <w:pStyle w:val="51"/>
        <w:widowControl/>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105086B">
      <w:pPr>
        <w:pStyle w:val="77"/>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4691BE0B">
      <w:pPr>
        <w:pStyle w:val="77"/>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2E816A7F">
      <w:pPr>
        <w:pStyle w:val="77"/>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6B713E3A">
      <w:pPr>
        <w:pStyle w:val="77"/>
        <w:spacing w:line="400" w:lineRule="exact"/>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3E995B42">
      <w:pPr>
        <w:pStyle w:val="77"/>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5AD1D4B2">
      <w:pPr>
        <w:pStyle w:val="77"/>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0E7EA714">
      <w:pPr>
        <w:pStyle w:val="77"/>
        <w:spacing w:line="400" w:lineRule="exact"/>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14:paraId="584B0A0D">
      <w:pPr>
        <w:pStyle w:val="77"/>
        <w:spacing w:line="400" w:lineRule="exact"/>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186E8D3A">
      <w:pPr>
        <w:pStyle w:val="77"/>
        <w:spacing w:line="400" w:lineRule="exact"/>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z w:val="24"/>
          <w:szCs w:val="24"/>
          <w:highlight w:val="none"/>
          <w:u w:val="single"/>
        </w:rPr>
        <w:t xml:space="preserve">                              </w:t>
      </w:r>
      <w:r>
        <w:rPr>
          <w:rFonts w:hAnsi="宋体" w:eastAsia="宋体" w:cs="宋体"/>
          <w:color w:val="auto"/>
          <w:kern w:val="0"/>
          <w:sz w:val="24"/>
          <w:szCs w:val="24"/>
          <w:highlight w:val="none"/>
        </w:rPr>
        <w:t>。</w:t>
      </w:r>
    </w:p>
    <w:p w14:paraId="29450A6A">
      <w:pPr>
        <w:pStyle w:val="51"/>
        <w:widowControl/>
        <w:numPr>
          <w:ilvl w:val="0"/>
          <w:numId w:val="8"/>
        </w:numPr>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4C846B04">
      <w:pPr>
        <w:pStyle w:val="51"/>
        <w:widowControl/>
        <w:numPr>
          <w:ilvl w:val="0"/>
          <w:numId w:val="8"/>
        </w:numPr>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14:paraId="69CFDAD0">
      <w:pPr>
        <w:pStyle w:val="77"/>
        <w:spacing w:line="400" w:lineRule="exact"/>
        <w:ind w:firstLine="480" w:firstLineChars="200"/>
        <w:rPr>
          <w:rFonts w:hint="default" w:hAnsi="宋体" w:eastAsia="宋体" w:cs="宋体"/>
          <w:color w:val="auto"/>
          <w:sz w:val="24"/>
          <w:szCs w:val="24"/>
          <w:highlight w:val="none"/>
        </w:rPr>
      </w:pPr>
    </w:p>
    <w:p w14:paraId="143F3B21">
      <w:pPr>
        <w:pStyle w:val="77"/>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2806CC72">
      <w:pPr>
        <w:spacing w:line="400" w:lineRule="exact"/>
        <w:jc w:val="right"/>
        <w:rPr>
          <w:rFonts w:ascii="宋体" w:hAnsi="宋体" w:cs="宋体"/>
          <w:b/>
          <w:color w:val="auto"/>
          <w:sz w:val="32"/>
          <w:highlight w:val="none"/>
        </w:rPr>
      </w:pPr>
      <w:r>
        <w:rPr>
          <w:rFonts w:hint="eastAsia" w:ascii="宋体" w:hAnsi="宋体" w:cs="宋体"/>
          <w:color w:val="auto"/>
          <w:sz w:val="22"/>
          <w:highlight w:val="none"/>
        </w:rPr>
        <w:t>202X年X月X日</w:t>
      </w:r>
    </w:p>
    <w:p w14:paraId="7F97A444">
      <w:pPr>
        <w:spacing w:line="400" w:lineRule="exact"/>
        <w:jc w:val="center"/>
        <w:rPr>
          <w:rFonts w:ascii="宋体" w:hAnsi="宋体" w:cs="宋体"/>
          <w:b/>
          <w:color w:val="auto"/>
          <w:sz w:val="32"/>
          <w:highlight w:val="none"/>
        </w:rPr>
      </w:pPr>
    </w:p>
    <w:p w14:paraId="15514666">
      <w:pPr>
        <w:pStyle w:val="13"/>
        <w:wordWrap w:val="0"/>
        <w:spacing w:after="0"/>
        <w:ind w:left="0" w:leftChars="0" w:right="0" w:rightChars="0"/>
        <w:rPr>
          <w:rFonts w:ascii="宋体" w:hAnsi="宋体" w:cs="宋体"/>
          <w:b/>
          <w:bCs/>
          <w:color w:val="auto"/>
          <w:sz w:val="24"/>
          <w:szCs w:val="24"/>
          <w:highlight w:val="none"/>
        </w:rPr>
      </w:pPr>
      <w:r>
        <w:rPr>
          <w:rFonts w:hint="eastAsia" w:ascii="宋体" w:hAnsi="宋体" w:cs="宋体"/>
          <w:b/>
          <w:bCs/>
          <w:color w:val="auto"/>
          <w:sz w:val="24"/>
          <w:highlight w:val="none"/>
        </w:rPr>
        <w:t>备注：</w:t>
      </w:r>
      <w:r>
        <w:rPr>
          <w:color w:val="auto"/>
          <w:highlight w:val="none"/>
        </w:rPr>
        <w:fldChar w:fldCharType="begin"/>
      </w:r>
      <w:r>
        <w:rPr>
          <w:color w:val="auto"/>
          <w:highlight w:val="none"/>
        </w:rPr>
        <w:instrText xml:space="preserve"> HYPERLINK "mailto:投标人在投标文件解密后，通过电子邮件形式，向邮箱地址（1783329431@qq.com）发送《政府采购活动现场确认声明书》（上表）。" </w:instrText>
      </w:r>
      <w:r>
        <w:rPr>
          <w:color w:val="auto"/>
          <w:highlight w:val="none"/>
        </w:rPr>
        <w:fldChar w:fldCharType="separate"/>
      </w:r>
      <w:r>
        <w:rPr>
          <w:rFonts w:hint="eastAsia" w:ascii="新宋体" w:hAnsi="新宋体" w:eastAsia="新宋体" w:cs="新宋体"/>
          <w:w w:val="125"/>
          <w:sz w:val="22"/>
          <w:szCs w:val="22"/>
          <w:highlight w:val="none"/>
        </w:rPr>
        <w:t>投标文件解密结束后，各投标人签署《政府采购活动现场确认声明书》（如为联合体投标，联合体各方均须提供）</w:t>
      </w:r>
      <w:r>
        <w:rPr>
          <w:highlight w:val="none"/>
        </w:rPr>
        <w:fldChar w:fldCharType="begin"/>
      </w:r>
      <w:r>
        <w:rPr>
          <w:highlight w:val="none"/>
        </w:rPr>
        <w:instrText xml:space="preserve"> HYPERLINK "mailto:后将扫描件发送至采购代理机构邮箱2812799762@qq.com" </w:instrText>
      </w:r>
      <w:r>
        <w:rPr>
          <w:highlight w:val="none"/>
        </w:rPr>
        <w:fldChar w:fldCharType="separate"/>
      </w:r>
      <w:r>
        <w:rPr>
          <w:rStyle w:val="35"/>
          <w:rFonts w:hint="eastAsia" w:ascii="新宋体" w:hAnsi="新宋体" w:eastAsia="新宋体" w:cs="新宋体"/>
          <w:w w:val="125"/>
          <w:sz w:val="22"/>
          <w:szCs w:val="22"/>
          <w:highlight w:val="none"/>
        </w:rPr>
        <w:t>后将扫描件发送至采购代理机构邮箱2812799762@qq.com</w:t>
      </w:r>
      <w:r>
        <w:rPr>
          <w:rStyle w:val="35"/>
          <w:rFonts w:hint="eastAsia" w:ascii="新宋体" w:hAnsi="新宋体" w:eastAsia="新宋体" w:cs="新宋体"/>
          <w:w w:val="125"/>
          <w:sz w:val="22"/>
          <w:szCs w:val="22"/>
          <w:highlight w:val="none"/>
        </w:rPr>
        <w:fldChar w:fldCharType="end"/>
      </w:r>
      <w:r>
        <w:rPr>
          <w:rFonts w:hint="eastAsia" w:ascii="新宋体" w:hAnsi="新宋体" w:eastAsia="新宋体" w:cs="新宋体"/>
          <w:w w:val="125"/>
          <w:sz w:val="22"/>
          <w:szCs w:val="22"/>
          <w:highlight w:val="none"/>
        </w:rPr>
        <w:t>。</w:t>
      </w:r>
      <w:r>
        <w:rPr>
          <w:rStyle w:val="35"/>
          <w:rFonts w:hint="eastAsia" w:ascii="宋体" w:hAnsi="宋体" w:cs="宋体"/>
          <w:b/>
          <w:bCs/>
          <w:color w:val="auto"/>
          <w:sz w:val="24"/>
          <w:highlight w:val="none"/>
        </w:rPr>
        <w:br w:type="page"/>
      </w:r>
      <w:r>
        <w:rPr>
          <w:rStyle w:val="35"/>
          <w:rFonts w:hint="eastAsia" w:ascii="宋体" w:hAnsi="宋体" w:cs="宋体"/>
          <w:b/>
          <w:bCs/>
          <w:color w:val="auto"/>
          <w:sz w:val="24"/>
          <w:highlight w:val="none"/>
        </w:rPr>
        <w:fldChar w:fldCharType="end"/>
      </w:r>
      <w:r>
        <w:rPr>
          <w:rFonts w:hint="eastAsia" w:ascii="宋体" w:hAnsi="宋体" w:cs="宋体"/>
          <w:b/>
          <w:color w:val="auto"/>
          <w:sz w:val="24"/>
          <w:szCs w:val="24"/>
          <w:highlight w:val="none"/>
        </w:rPr>
        <w:t>附件13</w:t>
      </w:r>
    </w:p>
    <w:p w14:paraId="7673D003">
      <w:pPr>
        <w:pStyle w:val="14"/>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承诺函</w:t>
      </w:r>
    </w:p>
    <w:p w14:paraId="26A39E3D">
      <w:pPr>
        <w:pStyle w:val="14"/>
        <w:spacing w:line="400" w:lineRule="exact"/>
        <w:jc w:val="center"/>
        <w:rPr>
          <w:rFonts w:hAnsi="宋体" w:cs="宋体"/>
          <w:b/>
          <w:color w:val="auto"/>
          <w:szCs w:val="24"/>
          <w:highlight w:val="none"/>
        </w:rPr>
      </w:pPr>
    </w:p>
    <w:p w14:paraId="3EAA4CD2">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温州肯恩大学：</w:t>
      </w:r>
    </w:p>
    <w:p w14:paraId="2CEA9CF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我单位就</w:t>
      </w:r>
      <w:r>
        <w:rPr>
          <w:rFonts w:hint="eastAsia" w:ascii="宋体" w:hAnsi="宋体" w:cs="宋体"/>
          <w:color w:val="auto"/>
          <w:sz w:val="24"/>
          <w:szCs w:val="24"/>
          <w:highlight w:val="none"/>
          <w:lang w:eastAsia="zh-CN"/>
        </w:rPr>
        <w:t>温州肯恩大学2025年到2028年校园物业服务采购</w:t>
      </w:r>
      <w:r>
        <w:rPr>
          <w:rFonts w:hint="eastAsia" w:ascii="宋体" w:hAnsi="宋体" w:cs="宋体"/>
          <w:color w:val="auto"/>
          <w:sz w:val="24"/>
          <w:szCs w:val="24"/>
          <w:highlight w:val="none"/>
        </w:rPr>
        <w:t xml:space="preserve"> （项目编号：ZJYC2025020（GK)）项目承诺如下：</w:t>
      </w:r>
    </w:p>
    <w:p w14:paraId="79EED119">
      <w:pPr>
        <w:pStyle w:val="26"/>
        <w:spacing w:before="0" w:beforeAutospacing="0" w:after="0" w:afterAutospacing="0" w:line="360" w:lineRule="auto"/>
        <w:ind w:firstLine="480" w:firstLineChars="200"/>
        <w:rPr>
          <w:color w:val="auto"/>
          <w:szCs w:val="24"/>
          <w:highlight w:val="none"/>
          <w:u w:val="single"/>
        </w:rPr>
      </w:pPr>
      <w:r>
        <w:rPr>
          <w:rFonts w:hint="eastAsia"/>
          <w:color w:val="auto"/>
          <w:kern w:val="2"/>
          <w:szCs w:val="24"/>
          <w:highlight w:val="none"/>
        </w:rPr>
        <w:t>1.</w:t>
      </w:r>
      <w:r>
        <w:rPr>
          <w:rFonts w:hint="eastAsia"/>
          <w:color w:val="auto"/>
          <w:szCs w:val="24"/>
          <w:highlight w:val="none"/>
          <w:u w:val="single"/>
        </w:rPr>
        <w:t xml:space="preserve">                 </w:t>
      </w:r>
    </w:p>
    <w:p w14:paraId="3153FB05">
      <w:pPr>
        <w:pStyle w:val="26"/>
        <w:spacing w:before="0" w:beforeAutospacing="0" w:after="0" w:afterAutospacing="0" w:line="360" w:lineRule="auto"/>
        <w:ind w:firstLine="480" w:firstLineChars="200"/>
        <w:rPr>
          <w:color w:val="auto"/>
          <w:szCs w:val="24"/>
          <w:highlight w:val="none"/>
        </w:rPr>
      </w:pPr>
      <w:r>
        <w:rPr>
          <w:rFonts w:hint="eastAsia"/>
          <w:color w:val="auto"/>
          <w:szCs w:val="24"/>
          <w:highlight w:val="none"/>
        </w:rPr>
        <w:t>2.</w:t>
      </w:r>
      <w:r>
        <w:rPr>
          <w:rFonts w:hint="eastAsia"/>
          <w:color w:val="auto"/>
          <w:szCs w:val="24"/>
          <w:highlight w:val="none"/>
          <w:u w:val="single"/>
        </w:rPr>
        <w:t xml:space="preserve">                 </w:t>
      </w:r>
    </w:p>
    <w:p w14:paraId="25AAB623">
      <w:pPr>
        <w:pStyle w:val="26"/>
        <w:spacing w:before="0" w:beforeAutospacing="0" w:after="0" w:afterAutospacing="0" w:line="360" w:lineRule="auto"/>
        <w:ind w:firstLine="480" w:firstLineChars="200"/>
        <w:rPr>
          <w:color w:val="auto"/>
          <w:szCs w:val="24"/>
          <w:highlight w:val="none"/>
          <w:u w:val="single"/>
        </w:rPr>
      </w:pPr>
      <w:r>
        <w:rPr>
          <w:rFonts w:hint="eastAsia"/>
          <w:color w:val="auto"/>
          <w:szCs w:val="24"/>
          <w:highlight w:val="none"/>
          <w:u w:val="single"/>
        </w:rPr>
        <w:t xml:space="preserve">3.                 </w:t>
      </w:r>
    </w:p>
    <w:p w14:paraId="4DB19581">
      <w:pPr>
        <w:pStyle w:val="26"/>
        <w:spacing w:before="0" w:beforeAutospacing="0" w:after="0" w:afterAutospacing="0" w:line="360" w:lineRule="auto"/>
        <w:ind w:firstLine="480" w:firstLineChars="200"/>
        <w:rPr>
          <w:color w:val="auto"/>
          <w:szCs w:val="24"/>
          <w:highlight w:val="none"/>
          <w:u w:val="single"/>
        </w:rPr>
      </w:pPr>
      <w:r>
        <w:rPr>
          <w:rFonts w:hint="eastAsia"/>
          <w:color w:val="auto"/>
          <w:szCs w:val="24"/>
          <w:highlight w:val="none"/>
          <w:u w:val="single"/>
        </w:rPr>
        <w:t xml:space="preserve">4.                 </w:t>
      </w:r>
    </w:p>
    <w:p w14:paraId="74CA2A51">
      <w:pPr>
        <w:pStyle w:val="26"/>
        <w:spacing w:before="0" w:beforeAutospacing="0" w:after="0" w:afterAutospacing="0" w:line="360" w:lineRule="auto"/>
        <w:ind w:firstLine="480" w:firstLineChars="200"/>
        <w:rPr>
          <w:color w:val="auto"/>
          <w:szCs w:val="24"/>
          <w:highlight w:val="none"/>
          <w:u w:val="single"/>
        </w:rPr>
      </w:pPr>
      <w:r>
        <w:rPr>
          <w:rFonts w:hint="eastAsia"/>
          <w:color w:val="auto"/>
          <w:szCs w:val="24"/>
          <w:highlight w:val="none"/>
          <w:u w:val="single"/>
        </w:rPr>
        <w:t xml:space="preserve">5.                 </w:t>
      </w:r>
    </w:p>
    <w:p w14:paraId="1F386674">
      <w:pPr>
        <w:pStyle w:val="26"/>
        <w:spacing w:before="0" w:beforeAutospacing="0" w:after="0" w:afterAutospacing="0" w:line="360" w:lineRule="auto"/>
        <w:ind w:firstLine="480" w:firstLineChars="200"/>
        <w:rPr>
          <w:color w:val="auto"/>
          <w:szCs w:val="24"/>
          <w:highlight w:val="none"/>
          <w:u w:val="single"/>
        </w:rPr>
      </w:pPr>
      <w:r>
        <w:rPr>
          <w:rFonts w:hint="eastAsia"/>
          <w:color w:val="auto"/>
          <w:szCs w:val="24"/>
          <w:highlight w:val="none"/>
          <w:u w:val="single"/>
        </w:rPr>
        <w:t xml:space="preserve">6.                 </w:t>
      </w:r>
    </w:p>
    <w:p w14:paraId="07551D47">
      <w:pPr>
        <w:pStyle w:val="26"/>
        <w:spacing w:before="0" w:beforeAutospacing="0" w:after="0" w:afterAutospacing="0" w:line="360" w:lineRule="auto"/>
        <w:ind w:firstLine="480" w:firstLineChars="200"/>
        <w:rPr>
          <w:color w:val="auto"/>
          <w:szCs w:val="24"/>
          <w:highlight w:val="none"/>
          <w:u w:val="single"/>
        </w:rPr>
      </w:pPr>
      <w:r>
        <w:rPr>
          <w:rFonts w:hint="eastAsia"/>
          <w:color w:val="auto"/>
          <w:szCs w:val="24"/>
          <w:highlight w:val="none"/>
          <w:u w:val="single"/>
        </w:rPr>
        <w:t xml:space="preserve">7.                 </w:t>
      </w:r>
    </w:p>
    <w:p w14:paraId="6AB994A5">
      <w:pPr>
        <w:pStyle w:val="26"/>
        <w:spacing w:before="0" w:beforeAutospacing="0" w:after="0" w:afterAutospacing="0" w:line="360" w:lineRule="auto"/>
        <w:ind w:firstLine="480" w:firstLineChars="200"/>
        <w:rPr>
          <w:color w:val="auto"/>
          <w:szCs w:val="24"/>
          <w:highlight w:val="none"/>
        </w:rPr>
      </w:pPr>
      <w:r>
        <w:rPr>
          <w:rFonts w:hint="eastAsia"/>
          <w:color w:val="auto"/>
          <w:szCs w:val="24"/>
          <w:highlight w:val="none"/>
        </w:rPr>
        <w:t>......</w:t>
      </w:r>
    </w:p>
    <w:p w14:paraId="2373E9E9">
      <w:pPr>
        <w:pStyle w:val="26"/>
        <w:spacing w:before="0" w:beforeAutospacing="0" w:after="0" w:afterAutospacing="0" w:line="360" w:lineRule="auto"/>
        <w:ind w:firstLine="480" w:firstLineChars="200"/>
        <w:rPr>
          <w:color w:val="auto"/>
          <w:szCs w:val="24"/>
          <w:highlight w:val="none"/>
        </w:rPr>
      </w:pPr>
      <w:r>
        <w:rPr>
          <w:rFonts w:hint="eastAsia"/>
          <w:color w:val="auto"/>
          <w:szCs w:val="24"/>
          <w:highlight w:val="none"/>
        </w:rPr>
        <w:t>若中标，以上承诺在合同中体现并实施。</w:t>
      </w:r>
    </w:p>
    <w:p w14:paraId="01FC02DA">
      <w:pPr>
        <w:pStyle w:val="26"/>
        <w:spacing w:before="0" w:beforeAutospacing="0" w:after="0" w:afterAutospacing="0" w:line="360" w:lineRule="auto"/>
        <w:ind w:firstLine="482" w:firstLineChars="200"/>
        <w:rPr>
          <w:b/>
          <w:color w:val="auto"/>
          <w:szCs w:val="24"/>
          <w:highlight w:val="none"/>
        </w:rPr>
      </w:pPr>
      <w:r>
        <w:rPr>
          <w:rFonts w:hint="eastAsia"/>
          <w:b/>
          <w:color w:val="auto"/>
          <w:kern w:val="2"/>
          <w:szCs w:val="24"/>
          <w:highlight w:val="none"/>
        </w:rPr>
        <w:t>如有虚假，采购人可取消我单位任何资格（投标/中标（成交）/签订合同</w:t>
      </w:r>
      <w:r>
        <w:rPr>
          <w:rFonts w:hint="eastAsia"/>
          <w:b/>
          <w:color w:val="auto"/>
          <w:szCs w:val="24"/>
          <w:highlight w:val="none"/>
        </w:rPr>
        <w:t>），我单位对此无任何异议。</w:t>
      </w:r>
    </w:p>
    <w:p w14:paraId="7118E806">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特此承诺！</w:t>
      </w:r>
    </w:p>
    <w:p w14:paraId="1D63B536">
      <w:pPr>
        <w:widowControl/>
        <w:spacing w:line="400" w:lineRule="exact"/>
        <w:rPr>
          <w:rFonts w:ascii="宋体" w:hAnsi="宋体" w:cs="宋体"/>
          <w:color w:val="auto"/>
          <w:kern w:val="0"/>
          <w:sz w:val="24"/>
          <w:szCs w:val="24"/>
          <w:highlight w:val="none"/>
        </w:rPr>
      </w:pPr>
    </w:p>
    <w:p w14:paraId="5C4316D8">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0DDBBAA">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法定代表人或授权代表(签字或盖章)：</w:t>
      </w:r>
    </w:p>
    <w:p w14:paraId="545814B5">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FAF0E7F">
      <w:pPr>
        <w:pStyle w:val="14"/>
        <w:spacing w:line="400" w:lineRule="exact"/>
        <w:jc w:val="center"/>
        <w:rPr>
          <w:rFonts w:hAnsi="宋体" w:cs="宋体"/>
          <w:b/>
          <w:color w:val="auto"/>
          <w:szCs w:val="24"/>
          <w:highlight w:val="none"/>
        </w:rPr>
      </w:pPr>
    </w:p>
    <w:p w14:paraId="4B4020DD">
      <w:pPr>
        <w:pStyle w:val="14"/>
        <w:spacing w:line="400" w:lineRule="exact"/>
        <w:jc w:val="center"/>
        <w:rPr>
          <w:rFonts w:hAnsi="宋体" w:cs="宋体"/>
          <w:b/>
          <w:color w:val="auto"/>
          <w:szCs w:val="24"/>
          <w:highlight w:val="none"/>
        </w:rPr>
      </w:pPr>
    </w:p>
    <w:p w14:paraId="707F5910">
      <w:pPr>
        <w:pStyle w:val="14"/>
        <w:spacing w:line="400" w:lineRule="exact"/>
        <w:rPr>
          <w:rFonts w:hAnsi="宋体" w:cs="宋体"/>
          <w:b/>
          <w:color w:val="auto"/>
          <w:szCs w:val="24"/>
          <w:highlight w:val="none"/>
        </w:rPr>
      </w:pPr>
      <w:r>
        <w:rPr>
          <w:rFonts w:hint="eastAsia" w:hAnsi="宋体" w:cs="宋体"/>
          <w:b/>
          <w:color w:val="auto"/>
          <w:szCs w:val="24"/>
          <w:highlight w:val="none"/>
        </w:rPr>
        <w:t>注：以上承诺函投标人可根据承诺事项自行调整。</w:t>
      </w:r>
    </w:p>
    <w:p w14:paraId="36D7697E">
      <w:pPr>
        <w:pStyle w:val="14"/>
        <w:spacing w:line="400" w:lineRule="exact"/>
        <w:jc w:val="center"/>
        <w:rPr>
          <w:rFonts w:hAnsi="宋体" w:cs="宋体"/>
          <w:b/>
          <w:color w:val="auto"/>
          <w:szCs w:val="24"/>
          <w:highlight w:val="none"/>
        </w:rPr>
      </w:pPr>
    </w:p>
    <w:p w14:paraId="50A26B55">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br w:type="page"/>
      </w:r>
      <w:bookmarkStart w:id="19" w:name="_Toc18628"/>
      <w:r>
        <w:rPr>
          <w:rFonts w:hint="eastAsia" w:ascii="宋体" w:hAnsi="宋体" w:cs="宋体"/>
          <w:b/>
          <w:color w:val="auto"/>
          <w:sz w:val="32"/>
          <w:highlight w:val="none"/>
        </w:rPr>
        <w:t>第五部分 采购需求</w:t>
      </w:r>
      <w:bookmarkEnd w:id="19"/>
    </w:p>
    <w:p w14:paraId="1C559296">
      <w:pPr>
        <w:pStyle w:val="14"/>
        <w:spacing w:line="360" w:lineRule="exact"/>
        <w:rPr>
          <w:rFonts w:hAnsi="宋体" w:cs="宋体"/>
          <w:b/>
          <w:bCs/>
          <w:color w:val="auto"/>
          <w:sz w:val="22"/>
          <w:highlight w:val="none"/>
        </w:rPr>
      </w:pPr>
      <w:r>
        <w:rPr>
          <w:rFonts w:hint="eastAsia" w:hAnsi="宋体" w:cs="宋体"/>
          <w:b/>
          <w:bCs/>
          <w:color w:val="auto"/>
          <w:sz w:val="22"/>
          <w:highlight w:val="none"/>
        </w:rPr>
        <w:t>一.采购内容及数量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3198"/>
        <w:gridCol w:w="690"/>
        <w:gridCol w:w="1961"/>
        <w:gridCol w:w="1512"/>
        <w:gridCol w:w="884"/>
      </w:tblGrid>
      <w:tr w14:paraId="4249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Align w:val="center"/>
          </w:tcPr>
          <w:p w14:paraId="035D0D44">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3198" w:type="dxa"/>
            <w:vAlign w:val="center"/>
          </w:tcPr>
          <w:p w14:paraId="613A323F">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项目名称</w:t>
            </w:r>
          </w:p>
        </w:tc>
        <w:tc>
          <w:tcPr>
            <w:tcW w:w="690" w:type="dxa"/>
            <w:vAlign w:val="center"/>
          </w:tcPr>
          <w:p w14:paraId="4C7B874C">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数量</w:t>
            </w:r>
          </w:p>
        </w:tc>
        <w:tc>
          <w:tcPr>
            <w:tcW w:w="1961" w:type="dxa"/>
            <w:vAlign w:val="center"/>
          </w:tcPr>
          <w:p w14:paraId="6E5B31F2">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预算金额(元）</w:t>
            </w:r>
          </w:p>
        </w:tc>
        <w:tc>
          <w:tcPr>
            <w:tcW w:w="1512" w:type="dxa"/>
            <w:vAlign w:val="center"/>
          </w:tcPr>
          <w:p w14:paraId="76DDF8D5">
            <w:pPr>
              <w:spacing w:line="34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是否允许进口</w:t>
            </w:r>
          </w:p>
        </w:tc>
        <w:tc>
          <w:tcPr>
            <w:tcW w:w="884" w:type="dxa"/>
            <w:vAlign w:val="center"/>
          </w:tcPr>
          <w:p w14:paraId="70796F48">
            <w:pPr>
              <w:spacing w:line="34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备注</w:t>
            </w:r>
          </w:p>
        </w:tc>
      </w:tr>
      <w:tr w14:paraId="4A47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5" w:type="dxa"/>
            <w:vAlign w:val="center"/>
          </w:tcPr>
          <w:p w14:paraId="29594883">
            <w:pPr>
              <w:spacing w:line="340" w:lineRule="exact"/>
              <w:jc w:val="center"/>
              <w:rPr>
                <w:rFonts w:ascii="宋体" w:hAnsi="宋体" w:cs="宋体"/>
                <w:b/>
                <w:color w:val="auto"/>
                <w:spacing w:val="-6"/>
                <w:sz w:val="22"/>
                <w:highlight w:val="none"/>
              </w:rPr>
            </w:pPr>
            <w:r>
              <w:rPr>
                <w:rFonts w:hint="eastAsia" w:ascii="宋体" w:hAnsi="宋体" w:cs="宋体"/>
                <w:bCs/>
                <w:color w:val="auto"/>
                <w:spacing w:val="-6"/>
                <w:sz w:val="22"/>
                <w:highlight w:val="none"/>
              </w:rPr>
              <w:t>1</w:t>
            </w:r>
          </w:p>
        </w:tc>
        <w:tc>
          <w:tcPr>
            <w:tcW w:w="3198" w:type="dxa"/>
            <w:vAlign w:val="center"/>
          </w:tcPr>
          <w:p w14:paraId="531A345E">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lang w:eastAsia="zh-CN"/>
              </w:rPr>
              <w:t>温州肯恩大学2025年到2028年校园物业服务采购</w:t>
            </w:r>
            <w:r>
              <w:rPr>
                <w:rFonts w:hint="eastAsia" w:ascii="宋体" w:hAnsi="宋体" w:cs="宋体"/>
                <w:bCs/>
                <w:color w:val="auto"/>
                <w:spacing w:val="-6"/>
                <w:sz w:val="22"/>
                <w:highlight w:val="none"/>
              </w:rPr>
              <w:t xml:space="preserve"> </w:t>
            </w:r>
          </w:p>
        </w:tc>
        <w:tc>
          <w:tcPr>
            <w:tcW w:w="690" w:type="dxa"/>
            <w:vAlign w:val="center"/>
          </w:tcPr>
          <w:p w14:paraId="0FACD433">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3年</w:t>
            </w:r>
          </w:p>
        </w:tc>
        <w:tc>
          <w:tcPr>
            <w:tcW w:w="1961" w:type="dxa"/>
            <w:vAlign w:val="center"/>
          </w:tcPr>
          <w:p w14:paraId="77A1FA58">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38000000.00</w:t>
            </w:r>
          </w:p>
        </w:tc>
        <w:tc>
          <w:tcPr>
            <w:tcW w:w="1512" w:type="dxa"/>
            <w:vAlign w:val="center"/>
          </w:tcPr>
          <w:p w14:paraId="16E763D8">
            <w:pPr>
              <w:spacing w:line="34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否</w:t>
            </w:r>
          </w:p>
        </w:tc>
        <w:tc>
          <w:tcPr>
            <w:tcW w:w="884" w:type="dxa"/>
            <w:vAlign w:val="center"/>
          </w:tcPr>
          <w:p w14:paraId="4928B829">
            <w:pPr>
              <w:spacing w:line="340" w:lineRule="exact"/>
              <w:jc w:val="center"/>
              <w:rPr>
                <w:rFonts w:ascii="宋体" w:hAnsi="宋体" w:cs="宋体"/>
                <w:bCs/>
                <w:color w:val="auto"/>
                <w:spacing w:val="-6"/>
                <w:sz w:val="22"/>
                <w:highlight w:val="none"/>
              </w:rPr>
            </w:pPr>
          </w:p>
        </w:tc>
      </w:tr>
    </w:tbl>
    <w:p w14:paraId="66AD797D">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二.为落实政府采购政策需满足的要求：</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2988"/>
        <w:gridCol w:w="5232"/>
      </w:tblGrid>
      <w:tr w14:paraId="6F83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7" w:type="dxa"/>
            <w:vAlign w:val="center"/>
          </w:tcPr>
          <w:p w14:paraId="645547AE">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2988" w:type="dxa"/>
            <w:vAlign w:val="center"/>
          </w:tcPr>
          <w:p w14:paraId="5A36BE53">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政策名称</w:t>
            </w:r>
          </w:p>
        </w:tc>
        <w:tc>
          <w:tcPr>
            <w:tcW w:w="5232" w:type="dxa"/>
            <w:vAlign w:val="center"/>
          </w:tcPr>
          <w:p w14:paraId="37E47CF4">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内容</w:t>
            </w:r>
          </w:p>
        </w:tc>
      </w:tr>
      <w:tr w14:paraId="1F51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7" w:type="dxa"/>
            <w:vAlign w:val="center"/>
          </w:tcPr>
          <w:p w14:paraId="645C4A9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988" w:type="dxa"/>
            <w:vAlign w:val="center"/>
          </w:tcPr>
          <w:p w14:paraId="7AFA811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政府采购促进中小企业发展</w:t>
            </w:r>
          </w:p>
        </w:tc>
        <w:tc>
          <w:tcPr>
            <w:tcW w:w="5232" w:type="dxa"/>
            <w:vAlign w:val="center"/>
          </w:tcPr>
          <w:p w14:paraId="0CF5B04D">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提供材料详见招标文件第四部分附件 </w:t>
            </w:r>
          </w:p>
        </w:tc>
      </w:tr>
      <w:tr w14:paraId="57B2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7" w:type="dxa"/>
            <w:vAlign w:val="center"/>
          </w:tcPr>
          <w:p w14:paraId="3FB02450">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2</w:t>
            </w:r>
          </w:p>
        </w:tc>
        <w:tc>
          <w:tcPr>
            <w:tcW w:w="2988" w:type="dxa"/>
            <w:vAlign w:val="center"/>
          </w:tcPr>
          <w:p w14:paraId="50B29E8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政府采购支持监狱企业发展</w:t>
            </w:r>
          </w:p>
        </w:tc>
        <w:tc>
          <w:tcPr>
            <w:tcW w:w="5232" w:type="dxa"/>
            <w:vAlign w:val="center"/>
          </w:tcPr>
          <w:p w14:paraId="504735A8">
            <w:pPr>
              <w:spacing w:line="360" w:lineRule="exact"/>
              <w:jc w:val="lef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14:paraId="3907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7" w:type="dxa"/>
            <w:vAlign w:val="center"/>
          </w:tcPr>
          <w:p w14:paraId="382BBBBF">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3</w:t>
            </w:r>
          </w:p>
        </w:tc>
        <w:tc>
          <w:tcPr>
            <w:tcW w:w="2988" w:type="dxa"/>
            <w:vAlign w:val="center"/>
          </w:tcPr>
          <w:p w14:paraId="2B265A54">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政府采购促进残疾人就业</w:t>
            </w:r>
          </w:p>
        </w:tc>
        <w:tc>
          <w:tcPr>
            <w:tcW w:w="5232" w:type="dxa"/>
            <w:vAlign w:val="center"/>
          </w:tcPr>
          <w:p w14:paraId="51E3157A">
            <w:pPr>
              <w:spacing w:line="360" w:lineRule="exact"/>
              <w:rPr>
                <w:rFonts w:ascii="宋体" w:hAnsi="宋体" w:cs="宋体"/>
                <w:color w:val="auto"/>
                <w:sz w:val="22"/>
                <w:highlight w:val="none"/>
              </w:rPr>
            </w:pPr>
            <w:r>
              <w:rPr>
                <w:rFonts w:hint="eastAsia" w:ascii="宋体" w:hAnsi="宋体" w:cs="宋体"/>
                <w:color w:val="auto"/>
                <w:sz w:val="22"/>
                <w:highlight w:val="none"/>
              </w:rPr>
              <w:t>提供材料详见招标文件第四部分附件</w:t>
            </w:r>
          </w:p>
        </w:tc>
      </w:tr>
      <w:tr w14:paraId="69E59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7" w:type="dxa"/>
            <w:vAlign w:val="center"/>
          </w:tcPr>
          <w:p w14:paraId="49B26C9E">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4</w:t>
            </w:r>
          </w:p>
        </w:tc>
        <w:tc>
          <w:tcPr>
            <w:tcW w:w="2988" w:type="dxa"/>
            <w:vAlign w:val="center"/>
          </w:tcPr>
          <w:p w14:paraId="583D050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政府采购节能环保产品</w:t>
            </w:r>
          </w:p>
        </w:tc>
        <w:tc>
          <w:tcPr>
            <w:tcW w:w="5232" w:type="dxa"/>
            <w:vAlign w:val="center"/>
          </w:tcPr>
          <w:p w14:paraId="69090E44">
            <w:pPr>
              <w:spacing w:line="400" w:lineRule="exact"/>
              <w:rPr>
                <w:rFonts w:ascii="宋体" w:hAnsi="宋体" w:cs="宋体"/>
                <w:color w:val="auto"/>
                <w:sz w:val="22"/>
                <w:highlight w:val="none"/>
              </w:rPr>
            </w:pPr>
            <w:r>
              <w:rPr>
                <w:rFonts w:hint="eastAsia" w:ascii="宋体" w:hAnsi="宋体" w:cs="宋体"/>
                <w:color w:val="auto"/>
                <w:sz w:val="22"/>
                <w:highlight w:val="none"/>
              </w:rPr>
              <w:t>不适用</w:t>
            </w:r>
          </w:p>
        </w:tc>
      </w:tr>
      <w:tr w14:paraId="3F64A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7" w:type="dxa"/>
            <w:vAlign w:val="center"/>
          </w:tcPr>
          <w:p w14:paraId="52CD6D7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5</w:t>
            </w:r>
          </w:p>
        </w:tc>
        <w:tc>
          <w:tcPr>
            <w:tcW w:w="2988" w:type="dxa"/>
            <w:vAlign w:val="center"/>
          </w:tcPr>
          <w:p w14:paraId="657F5792">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政府采购进口产品</w:t>
            </w:r>
          </w:p>
        </w:tc>
        <w:tc>
          <w:tcPr>
            <w:tcW w:w="5232" w:type="dxa"/>
            <w:vAlign w:val="center"/>
          </w:tcPr>
          <w:p w14:paraId="08F12F57">
            <w:pPr>
              <w:spacing w:line="360" w:lineRule="exact"/>
              <w:jc w:val="left"/>
              <w:rPr>
                <w:rFonts w:ascii="宋体" w:hAnsi="宋体" w:cs="宋体"/>
                <w:color w:val="auto"/>
                <w:sz w:val="22"/>
                <w:highlight w:val="none"/>
              </w:rPr>
            </w:pPr>
            <w:r>
              <w:rPr>
                <w:rFonts w:hint="eastAsia" w:ascii="宋体" w:hAnsi="宋体" w:cs="宋体"/>
                <w:color w:val="auto"/>
                <w:sz w:val="22"/>
                <w:highlight w:val="none"/>
              </w:rPr>
              <w:t>不允许</w:t>
            </w:r>
          </w:p>
        </w:tc>
      </w:tr>
    </w:tbl>
    <w:p w14:paraId="5A6CF399">
      <w:pPr>
        <w:spacing w:line="360" w:lineRule="exact"/>
        <w:rPr>
          <w:rFonts w:ascii="宋体" w:hAnsi="宋体" w:cs="宋体"/>
          <w:b/>
          <w:bCs/>
          <w:color w:val="auto"/>
          <w:spacing w:val="-6"/>
          <w:sz w:val="22"/>
          <w:highlight w:val="none"/>
        </w:rPr>
      </w:pPr>
      <w:r>
        <w:rPr>
          <w:rFonts w:hint="eastAsia" w:ascii="宋体" w:hAnsi="宋体" w:cs="宋体"/>
          <w:b/>
          <w:bCs/>
          <w:color w:val="auto"/>
          <w:kern w:val="0"/>
          <w:sz w:val="22"/>
          <w:highlight w:val="none"/>
        </w:rPr>
        <w:t>三.</w:t>
      </w:r>
      <w:r>
        <w:rPr>
          <w:rFonts w:hint="eastAsia" w:ascii="宋体" w:hAnsi="宋体" w:cs="宋体"/>
          <w:b/>
          <w:bCs/>
          <w:color w:val="auto"/>
          <w:spacing w:val="-6"/>
          <w:sz w:val="22"/>
          <w:highlight w:val="none"/>
        </w:rPr>
        <w:t>商务部分（技术部分里另有注明的以技术部分为准）</w:t>
      </w:r>
    </w:p>
    <w:tbl>
      <w:tblPr>
        <w:tblStyle w:val="30"/>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455"/>
      </w:tblGrid>
      <w:tr w14:paraId="0DD9F1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vMerge w:val="restart"/>
            <w:tcBorders>
              <w:top w:val="single" w:color="auto" w:sz="4" w:space="0"/>
              <w:left w:val="single" w:color="auto" w:sz="4" w:space="0"/>
              <w:right w:val="single" w:color="auto" w:sz="4" w:space="0"/>
            </w:tcBorders>
            <w:vAlign w:val="center"/>
          </w:tcPr>
          <w:p w14:paraId="13CDA21A">
            <w:pPr>
              <w:spacing w:line="360" w:lineRule="exact"/>
              <w:jc w:val="center"/>
              <w:rPr>
                <w:rFonts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支付方式</w:t>
            </w:r>
          </w:p>
        </w:tc>
        <w:tc>
          <w:tcPr>
            <w:tcW w:w="7455" w:type="dxa"/>
            <w:tcBorders>
              <w:top w:val="single" w:color="auto" w:sz="4" w:space="0"/>
              <w:left w:val="single" w:color="auto" w:sz="4" w:space="0"/>
              <w:bottom w:val="single" w:color="auto" w:sz="4" w:space="0"/>
              <w:right w:val="single" w:color="auto" w:sz="4" w:space="0"/>
            </w:tcBorders>
            <w:vAlign w:val="center"/>
          </w:tcPr>
          <w:p w14:paraId="48B996DB">
            <w:pPr>
              <w:spacing w:line="400" w:lineRule="exact"/>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一：</w:t>
            </w:r>
            <w:r>
              <w:rPr>
                <w:rFonts w:hint="eastAsia" w:ascii="宋体" w:hAnsi="宋体" w:cs="宋体"/>
                <w:b/>
                <w:bCs/>
                <w:color w:val="auto"/>
                <w:sz w:val="22"/>
                <w:highlight w:val="none"/>
                <w:u w:val="single"/>
                <w:lang w:val="en-US" w:eastAsia="zh-CN"/>
              </w:rPr>
              <w:t>服务价款内除去其他专项服务费外的费用</w:t>
            </w:r>
            <w:r>
              <w:rPr>
                <w:rFonts w:hint="eastAsia" w:ascii="宋体" w:hAnsi="宋体" w:cs="宋体"/>
                <w:b/>
                <w:bCs/>
                <w:color w:val="auto"/>
                <w:sz w:val="22"/>
                <w:highlight w:val="none"/>
                <w:u w:val="single"/>
              </w:rPr>
              <w:t>支付方式（本项目以人工投入为主且费用按月支付，因此不进行预付）：</w:t>
            </w:r>
          </w:p>
          <w:p w14:paraId="01A1AC36">
            <w:pPr>
              <w:numPr>
                <w:ilvl w:val="0"/>
                <w:numId w:val="9"/>
              </w:numPr>
              <w:spacing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学校按月度进行支付，先服务后支付，月度</w:t>
            </w:r>
            <w:r>
              <w:rPr>
                <w:color w:val="auto"/>
                <w:sz w:val="22"/>
                <w:highlight w:val="none"/>
                <w:u w:val="single"/>
              </w:rPr>
              <w:t>服务费</w:t>
            </w:r>
            <w:r>
              <w:rPr>
                <w:rFonts w:hint="eastAsia"/>
                <w:color w:val="auto"/>
                <w:sz w:val="22"/>
                <w:highlight w:val="none"/>
                <w:u w:val="single"/>
              </w:rPr>
              <w:t>=（单年度中标金额减去其他专项服务中标金额）/12再减去</w:t>
            </w:r>
            <w:r>
              <w:rPr>
                <w:rFonts w:hint="eastAsia" w:ascii="宋体" w:hAnsi="宋体" w:cs="宋体"/>
                <w:color w:val="auto"/>
                <w:sz w:val="22"/>
                <w:highlight w:val="none"/>
                <w:u w:val="single"/>
              </w:rPr>
              <w:t>月度考核扣款；</w:t>
            </w:r>
          </w:p>
          <w:p w14:paraId="3E22689E">
            <w:pPr>
              <w:numPr>
                <w:ilvl w:val="0"/>
                <w:numId w:val="9"/>
              </w:numPr>
              <w:spacing w:line="400" w:lineRule="exact"/>
              <w:ind w:firstLine="422" w:firstLineChars="200"/>
              <w:jc w:val="left"/>
              <w:rPr>
                <w:rFonts w:ascii="宋体" w:hAnsi="宋体" w:cs="宋体"/>
                <w:color w:val="auto"/>
                <w:sz w:val="22"/>
                <w:highlight w:val="none"/>
                <w:u w:val="single"/>
              </w:rPr>
            </w:pPr>
            <w:r>
              <w:rPr>
                <w:rFonts w:hint="eastAsia" w:ascii="宋体" w:hAnsi="宋体"/>
                <w:b/>
                <w:color w:val="auto"/>
                <w:szCs w:val="21"/>
                <w:highlight w:val="none"/>
                <w:u w:val="single"/>
              </w:rPr>
              <w:t>因学校需求变更导致中标人服务人员数量与投标文件有变化的，按下列方式调整合同价格：根据每月变动的人数乘以对应人员中标单价（根据投标报价明细表内当年的人</w:t>
            </w:r>
            <w:r>
              <w:rPr>
                <w:rFonts w:hint="eastAsia" w:ascii="宋体" w:hAnsi="宋体"/>
                <w:b/>
                <w:color w:val="auto"/>
                <w:szCs w:val="21"/>
                <w:highlight w:val="none"/>
                <w:u w:val="single"/>
                <w:lang w:val="en-US" w:eastAsia="zh-CN"/>
              </w:rPr>
              <w:t>工费用</w:t>
            </w:r>
            <w:r>
              <w:rPr>
                <w:rFonts w:hint="eastAsia" w:ascii="宋体" w:hAnsi="宋体"/>
                <w:b/>
                <w:color w:val="auto"/>
                <w:szCs w:val="21"/>
                <w:highlight w:val="none"/>
                <w:u w:val="single"/>
              </w:rPr>
              <w:t>进行计算）按月据实结算。（经招标人同意的人员排班表。采用新技术和新设备人员减少的除外）</w:t>
            </w:r>
          </w:p>
          <w:p w14:paraId="2CBBA1D2">
            <w:pPr>
              <w:numPr>
                <w:ilvl w:val="0"/>
                <w:numId w:val="9"/>
              </w:numPr>
              <w:spacing w:line="40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 xml:space="preserve"> 学校对于满足合同约定支付条件的，自收到相应金额的正式发票后7个工作日内将资金支付到合同约定的中标人账户。</w:t>
            </w:r>
          </w:p>
          <w:p w14:paraId="54978181">
            <w:pPr>
              <w:numPr>
                <w:ilvl w:val="0"/>
                <w:numId w:val="9"/>
              </w:numPr>
              <w:spacing w:line="400" w:lineRule="exact"/>
              <w:ind w:firstLine="440" w:firstLineChars="200"/>
              <w:jc w:val="left"/>
              <w:rPr>
                <w:color w:val="auto"/>
                <w:highlight w:val="none"/>
                <w:u w:val="single"/>
              </w:rPr>
            </w:pPr>
            <w:r>
              <w:rPr>
                <w:rFonts w:hint="eastAsia" w:ascii="宋体" w:hAnsi="宋体" w:cs="宋体"/>
                <w:color w:val="auto"/>
                <w:sz w:val="22"/>
                <w:highlight w:val="none"/>
                <w:u w:val="single"/>
              </w:rPr>
              <w:t xml:space="preserve"> 学校根据中标人考核得分情况付款，考核评分表见合同附件。</w:t>
            </w:r>
          </w:p>
        </w:tc>
      </w:tr>
      <w:tr w14:paraId="68E23C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vMerge w:val="continue"/>
            <w:tcBorders>
              <w:left w:val="single" w:color="auto" w:sz="4" w:space="0"/>
              <w:bottom w:val="single" w:color="auto" w:sz="4" w:space="0"/>
              <w:right w:val="single" w:color="auto" w:sz="4" w:space="0"/>
            </w:tcBorders>
            <w:vAlign w:val="center"/>
          </w:tcPr>
          <w:p w14:paraId="1D535102">
            <w:pPr>
              <w:spacing w:line="360" w:lineRule="exact"/>
              <w:jc w:val="center"/>
              <w:rPr>
                <w:rFonts w:ascii="宋体" w:hAnsi="宋体" w:cs="宋体"/>
                <w:color w:val="auto"/>
                <w:sz w:val="22"/>
                <w:highlight w:val="none"/>
                <w:u w:val="single"/>
              </w:rPr>
            </w:pPr>
          </w:p>
        </w:tc>
        <w:tc>
          <w:tcPr>
            <w:tcW w:w="7455" w:type="dxa"/>
            <w:tcBorders>
              <w:top w:val="single" w:color="auto" w:sz="4" w:space="0"/>
              <w:left w:val="single" w:color="auto" w:sz="4" w:space="0"/>
              <w:bottom w:val="single" w:color="auto" w:sz="4" w:space="0"/>
              <w:right w:val="single" w:color="auto" w:sz="4" w:space="0"/>
            </w:tcBorders>
            <w:vAlign w:val="center"/>
          </w:tcPr>
          <w:p w14:paraId="022F87CC">
            <w:pPr>
              <w:spacing w:line="400" w:lineRule="exact"/>
              <w:jc w:val="left"/>
              <w:rPr>
                <w:color w:val="auto"/>
                <w:highlight w:val="none"/>
              </w:rPr>
            </w:pPr>
            <w:r>
              <w:rPr>
                <w:rFonts w:hint="eastAsia" w:ascii="宋体" w:hAnsi="宋体" w:cs="宋体"/>
                <w:b/>
                <w:bCs/>
                <w:color w:val="auto"/>
                <w:sz w:val="22"/>
                <w:highlight w:val="none"/>
                <w:u w:val="single"/>
              </w:rPr>
              <w:t>二：其他专项服务</w:t>
            </w:r>
            <w:r>
              <w:rPr>
                <w:rFonts w:hint="eastAsia" w:ascii="宋体" w:hAnsi="宋体" w:cs="宋体"/>
                <w:b/>
                <w:bCs/>
                <w:color w:val="auto"/>
                <w:sz w:val="22"/>
                <w:highlight w:val="none"/>
                <w:u w:val="single"/>
                <w:lang w:eastAsia="zh-CN"/>
              </w:rPr>
              <w:t>费</w:t>
            </w:r>
            <w:r>
              <w:rPr>
                <w:rFonts w:hint="eastAsia" w:ascii="宋体" w:hAnsi="宋体" w:cs="宋体"/>
                <w:b/>
                <w:bCs/>
                <w:color w:val="auto"/>
                <w:sz w:val="22"/>
                <w:highlight w:val="none"/>
                <w:u w:val="single"/>
              </w:rPr>
              <w:t>支付方式：</w:t>
            </w:r>
            <w:r>
              <w:rPr>
                <w:rFonts w:hint="eastAsia" w:ascii="宋体" w:hAnsi="宋体" w:cs="宋体"/>
                <w:color w:val="auto"/>
                <w:sz w:val="22"/>
                <w:highlight w:val="none"/>
                <w:u w:val="single"/>
              </w:rPr>
              <w:t>学校按半年支付一次，先服务后支付，学校对于满足支付条件的，自收到相应金额的正式发票后7个工作日内将资金支付到合同约定的中标人账户。</w:t>
            </w:r>
          </w:p>
        </w:tc>
      </w:tr>
      <w:tr w14:paraId="1220E5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14:paraId="62978D60">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455" w:type="dxa"/>
            <w:tcBorders>
              <w:top w:val="single" w:color="auto" w:sz="4" w:space="0"/>
              <w:left w:val="single" w:color="auto" w:sz="4" w:space="0"/>
              <w:bottom w:val="single" w:color="auto" w:sz="4" w:space="0"/>
              <w:right w:val="single" w:color="auto" w:sz="4" w:space="0"/>
            </w:tcBorders>
            <w:vAlign w:val="center"/>
          </w:tcPr>
          <w:p w14:paraId="1E16E6B3">
            <w:p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合同生效以及具备实施条件后7个工作日内，中标人以银行转账/转帐支票/银行汇票/银行、保险公司出具的保函形式向采购人提供单年合同金额（按第一年合同金额）1%的履约保证金。履约保证金用于中标人在履行本合同过程中发生违约行为应支付采购人的违约金、赔偿金等费用。如无任何问题，采购人将在中标人履行完毕本合同项下全部义务（项目验收合格）之日起5个工作日内无息退还给中标人。（保函应满足以下几个条件：①为无条件保函：即在中标人没有实施合同或者未履行合同义务时，采购人不需要出具任何证明和理由，若中标人违约，采购人无需通知中标人，即可单方对保函进行收兑；②保函期限：自本合同生效之日起至合同履约完毕之日止；③如果由于合同执行延误或银行、保险公司要求分期出具保函的，则在前一份保函有效期届满之日起2个月前必须重新出具相同内容的保函。）</w:t>
            </w:r>
          </w:p>
        </w:tc>
      </w:tr>
      <w:tr w14:paraId="2EACFA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14:paraId="4768656F">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服务期</w:t>
            </w:r>
          </w:p>
        </w:tc>
        <w:tc>
          <w:tcPr>
            <w:tcW w:w="7455" w:type="dxa"/>
            <w:tcBorders>
              <w:top w:val="single" w:color="auto" w:sz="4" w:space="0"/>
              <w:left w:val="single" w:color="auto" w:sz="4" w:space="0"/>
              <w:bottom w:val="single" w:color="auto" w:sz="4" w:space="0"/>
              <w:right w:val="single" w:color="auto" w:sz="4" w:space="0"/>
            </w:tcBorders>
            <w:vAlign w:val="center"/>
          </w:tcPr>
          <w:p w14:paraId="66F14695">
            <w:pPr>
              <w:spacing w:line="360" w:lineRule="exact"/>
              <w:jc w:val="left"/>
              <w:rPr>
                <w:rFonts w:ascii="宋体" w:hAnsi="宋体" w:cs="宋体"/>
                <w:color w:val="auto"/>
                <w:sz w:val="22"/>
                <w:highlight w:val="none"/>
              </w:rPr>
            </w:pPr>
            <w:r>
              <w:rPr>
                <w:rFonts w:hint="eastAsia" w:ascii="宋体" w:hAnsi="宋体" w:cs="宋体"/>
                <w:color w:val="auto"/>
                <w:spacing w:val="-6"/>
                <w:kern w:val="0"/>
                <w:sz w:val="22"/>
                <w:highlight w:val="none"/>
              </w:rPr>
              <w:t>三年（具体日期以合同约定为准）</w:t>
            </w:r>
          </w:p>
        </w:tc>
      </w:tr>
      <w:tr w14:paraId="12E555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14:paraId="373443C5">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服务地点</w:t>
            </w:r>
          </w:p>
        </w:tc>
        <w:tc>
          <w:tcPr>
            <w:tcW w:w="7455" w:type="dxa"/>
            <w:tcBorders>
              <w:top w:val="single" w:color="auto" w:sz="4" w:space="0"/>
              <w:left w:val="single" w:color="auto" w:sz="4" w:space="0"/>
              <w:bottom w:val="single" w:color="auto" w:sz="4" w:space="0"/>
              <w:right w:val="single" w:color="auto" w:sz="4" w:space="0"/>
            </w:tcBorders>
            <w:vAlign w:val="center"/>
          </w:tcPr>
          <w:p w14:paraId="2910C6CA">
            <w:pPr>
              <w:pStyle w:val="10"/>
              <w:spacing w:line="360" w:lineRule="exact"/>
              <w:rPr>
                <w:rFonts w:ascii="宋体" w:hAnsi="宋体" w:cs="宋体"/>
                <w:color w:val="auto"/>
                <w:sz w:val="22"/>
                <w:highlight w:val="none"/>
              </w:rPr>
            </w:pPr>
            <w:r>
              <w:rPr>
                <w:rFonts w:hint="eastAsia" w:ascii="宋体" w:hAnsi="宋体" w:cs="宋体"/>
                <w:color w:val="auto"/>
                <w:sz w:val="22"/>
                <w:highlight w:val="none"/>
              </w:rPr>
              <w:t>采购人指定地点</w:t>
            </w:r>
          </w:p>
        </w:tc>
      </w:tr>
      <w:tr w14:paraId="4847BA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14:paraId="1260A849">
            <w:pPr>
              <w:spacing w:line="360" w:lineRule="exact"/>
              <w:jc w:val="center"/>
              <w:rPr>
                <w:rFonts w:ascii="宋体" w:hAnsi="宋体" w:cs="宋体"/>
                <w:b/>
                <w:bCs/>
                <w:color w:val="auto"/>
                <w:sz w:val="22"/>
                <w:highlight w:val="none"/>
              </w:rPr>
            </w:pPr>
            <w:r>
              <w:rPr>
                <w:rFonts w:hint="eastAsia" w:ascii="宋体" w:hAnsi="宋体" w:cs="宋体"/>
                <w:b/>
                <w:bCs/>
                <w:color w:val="auto"/>
                <w:spacing w:val="-6"/>
                <w:sz w:val="22"/>
                <w:highlight w:val="none"/>
              </w:rPr>
              <w:t>验收标准</w:t>
            </w:r>
          </w:p>
        </w:tc>
        <w:tc>
          <w:tcPr>
            <w:tcW w:w="7455" w:type="dxa"/>
            <w:tcBorders>
              <w:top w:val="single" w:color="auto" w:sz="4" w:space="0"/>
              <w:left w:val="single" w:color="auto" w:sz="4" w:space="0"/>
              <w:bottom w:val="single" w:color="auto" w:sz="4" w:space="0"/>
              <w:right w:val="single" w:color="auto" w:sz="4" w:space="0"/>
            </w:tcBorders>
            <w:vAlign w:val="center"/>
          </w:tcPr>
          <w:p w14:paraId="4B17990C">
            <w:pPr>
              <w:spacing w:line="360" w:lineRule="exact"/>
              <w:jc w:val="left"/>
              <w:rPr>
                <w:rFonts w:ascii="宋体" w:hAnsi="宋体" w:cs="宋体"/>
                <w:bCs/>
                <w:color w:val="auto"/>
                <w:sz w:val="22"/>
                <w:highlight w:val="none"/>
              </w:rPr>
            </w:pPr>
            <w:r>
              <w:rPr>
                <w:rFonts w:hint="eastAsia" w:ascii="宋体" w:hAnsi="宋体" w:cs="宋体"/>
                <w:bCs/>
                <w:color w:val="auto"/>
                <w:sz w:val="22"/>
                <w:highlight w:val="none"/>
              </w:rPr>
              <w:t>1.本项目履约验收参照《温州市政府采购履约验收办法》(温财采[2020]6号)相关规定。合同履约达到验收条件时，中标人向采购人书面发起验收申请，采购人或者其委托的采购代理机构(以下简称验收组织机构)在收到中标人验收申请五个工作日内启动项目验收。</w:t>
            </w:r>
          </w:p>
          <w:p w14:paraId="7873B3DD">
            <w:pPr>
              <w:pStyle w:val="43"/>
              <w:tabs>
                <w:tab w:val="left" w:pos="680"/>
              </w:tabs>
              <w:spacing w:line="400" w:lineRule="exact"/>
              <w:ind w:firstLine="0" w:firstLineChars="0"/>
              <w:rPr>
                <w:bCs/>
                <w:color w:val="auto"/>
                <w:sz w:val="22"/>
                <w:szCs w:val="22"/>
                <w:highlight w:val="none"/>
              </w:rPr>
            </w:pPr>
            <w:r>
              <w:rPr>
                <w:rFonts w:hint="eastAsia"/>
                <w:bCs/>
                <w:color w:val="auto"/>
                <w:sz w:val="22"/>
                <w:szCs w:val="22"/>
                <w:highlight w:val="none"/>
              </w:rPr>
              <w:t>2.本项目金额在采购限额标准以上，原则上应采用一般程序验收。验收小组应当由五人以上(含本数)单数、熟悉项目需求和标的人员组成，其中相关专业技术人员人数不得少于验收小组人员总数的三分之二。验收组织机构应当按照</w:t>
            </w:r>
            <w:r>
              <w:rPr>
                <w:rFonts w:hint="eastAsia"/>
                <w:bCs/>
                <w:color w:val="auto"/>
                <w:sz w:val="22"/>
                <w:szCs w:val="22"/>
                <w:highlight w:val="none"/>
                <w:lang w:eastAsia="zh-CN"/>
              </w:rPr>
              <w:t>招标文件</w:t>
            </w:r>
            <w:r>
              <w:rPr>
                <w:rFonts w:hint="eastAsia"/>
                <w:bCs/>
                <w:color w:val="auto"/>
                <w:sz w:val="22"/>
                <w:szCs w:val="22"/>
                <w:highlight w:val="none"/>
              </w:rPr>
              <w:t>、投标文件、采购合同等约定的服务实施情况，结合考核情况和服务效果进行验收。未约定的，应当符合国家强制性规定、政策要求、安全标准、行业或企业有关标准等。</w:t>
            </w:r>
          </w:p>
          <w:p w14:paraId="458006AF">
            <w:pPr>
              <w:pStyle w:val="43"/>
              <w:tabs>
                <w:tab w:val="left" w:pos="680"/>
              </w:tabs>
              <w:spacing w:line="400" w:lineRule="exact"/>
              <w:ind w:firstLine="0" w:firstLineChars="0"/>
              <w:rPr>
                <w:rFonts w:hint="eastAsia"/>
                <w:bCs/>
                <w:color w:val="auto"/>
                <w:sz w:val="22"/>
                <w:szCs w:val="22"/>
                <w:highlight w:val="none"/>
              </w:rPr>
            </w:pPr>
            <w:r>
              <w:rPr>
                <w:rFonts w:hint="eastAsia"/>
                <w:bCs/>
                <w:color w:val="auto"/>
                <w:sz w:val="22"/>
                <w:szCs w:val="22"/>
                <w:highlight w:val="none"/>
              </w:rPr>
              <w:t>3.采购人依据验收书和中标人其他履约情况，对验收项目作出整体评价和分类评价，形成验收结果，除涉密情形外，采购人应在评价后2个工作日内在浙江政府采购网发布验收结果。</w:t>
            </w:r>
          </w:p>
          <w:p w14:paraId="3572F799">
            <w:pPr>
              <w:pStyle w:val="43"/>
              <w:tabs>
                <w:tab w:val="left" w:pos="680"/>
              </w:tabs>
              <w:spacing w:line="400" w:lineRule="exact"/>
              <w:ind w:firstLine="0" w:firstLineChars="0"/>
              <w:rPr>
                <w:rFonts w:hint="eastAsia"/>
                <w:bCs/>
                <w:color w:val="auto"/>
                <w:sz w:val="22"/>
                <w:szCs w:val="22"/>
                <w:highlight w:val="none"/>
              </w:rPr>
            </w:pPr>
            <w:r>
              <w:rPr>
                <w:rFonts w:hint="eastAsia" w:ascii="宋体" w:hAnsi="宋体" w:eastAsia="宋体" w:cs="宋体"/>
                <w:bCs/>
                <w:color w:val="auto"/>
                <w:w w:val="100"/>
                <w:sz w:val="22"/>
                <w:szCs w:val="22"/>
                <w:highlight w:val="none"/>
                <w:lang w:val="en-US" w:eastAsia="zh-CN"/>
              </w:rPr>
              <w:t>4.</w:t>
            </w:r>
            <w:r>
              <w:rPr>
                <w:rFonts w:hint="eastAsia" w:ascii="宋体" w:hAnsi="宋体" w:eastAsia="宋体" w:cs="宋体"/>
                <w:bCs/>
                <w:color w:val="auto"/>
                <w:w w:val="100"/>
                <w:sz w:val="22"/>
                <w:szCs w:val="22"/>
                <w:highlight w:val="none"/>
              </w:rPr>
              <w:t>根据《温州市政府采购履约验收办法（温财采〔2020〕6号）》的规定，本项目验收费用包含在投标报价内，由中标人支付，如因中标人原因造成验收不通过的，所产生的验收费用重新计算。</w:t>
            </w:r>
          </w:p>
        </w:tc>
      </w:tr>
      <w:tr w14:paraId="54F05B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92" w:type="dxa"/>
            <w:tcBorders>
              <w:top w:val="single" w:color="auto" w:sz="4" w:space="0"/>
              <w:left w:val="single" w:color="auto" w:sz="4" w:space="0"/>
              <w:bottom w:val="single" w:color="auto" w:sz="4" w:space="0"/>
              <w:right w:val="single" w:color="auto" w:sz="4" w:space="0"/>
            </w:tcBorders>
            <w:vAlign w:val="center"/>
          </w:tcPr>
          <w:p w14:paraId="12E70F82">
            <w:pPr>
              <w:spacing w:line="360" w:lineRule="exact"/>
              <w:jc w:val="center"/>
              <w:rPr>
                <w:rFonts w:ascii="宋体" w:hAnsi="宋体" w:cs="宋体"/>
                <w:b/>
                <w:bCs/>
                <w:color w:val="auto"/>
                <w:spacing w:val="-6"/>
                <w:sz w:val="22"/>
                <w:highlight w:val="none"/>
              </w:rPr>
            </w:pPr>
            <w:r>
              <w:rPr>
                <w:rFonts w:hint="eastAsia" w:ascii="宋体" w:hAnsi="宋体" w:cs="宋体"/>
                <w:b/>
                <w:bCs/>
                <w:color w:val="auto"/>
                <w:spacing w:val="-6"/>
                <w:sz w:val="22"/>
                <w:highlight w:val="none"/>
              </w:rPr>
              <w:t>其他注意事项</w:t>
            </w:r>
          </w:p>
        </w:tc>
        <w:tc>
          <w:tcPr>
            <w:tcW w:w="7455" w:type="dxa"/>
            <w:tcBorders>
              <w:top w:val="single" w:color="auto" w:sz="4" w:space="0"/>
              <w:left w:val="single" w:color="auto" w:sz="4" w:space="0"/>
              <w:bottom w:val="single" w:color="auto" w:sz="4" w:space="0"/>
              <w:right w:val="single" w:color="auto" w:sz="4" w:space="0"/>
            </w:tcBorders>
            <w:vAlign w:val="center"/>
          </w:tcPr>
          <w:p w14:paraId="6152D80D">
            <w:pPr>
              <w:spacing w:before="120" w:beforeLines="50" w:after="50" w:line="360" w:lineRule="auto"/>
              <w:jc w:val="left"/>
              <w:rPr>
                <w:bCs/>
                <w:color w:val="auto"/>
                <w:sz w:val="22"/>
                <w:highlight w:val="none"/>
              </w:rPr>
            </w:pPr>
            <w:r>
              <w:rPr>
                <w:rFonts w:hint="eastAsia" w:ascii="宋体" w:hAnsi="宋体" w:cs="宋体"/>
                <w:bCs/>
                <w:color w:val="auto"/>
                <w:kern w:val="0"/>
                <w:sz w:val="22"/>
                <w:highlight w:val="none"/>
                <w:u w:val="single"/>
              </w:rPr>
              <w:t>▲1、投标人应与前物业服务公司做好工作交接。包括但不限于设施设备管理交接，人员变动交接等，期间产生的任何纠纷与采购人无关。</w:t>
            </w:r>
          </w:p>
        </w:tc>
      </w:tr>
    </w:tbl>
    <w:p w14:paraId="2324AC55">
      <w:pPr>
        <w:numPr>
          <w:ilvl w:val="0"/>
          <w:numId w:val="10"/>
        </w:numPr>
        <w:tabs>
          <w:tab w:val="clear" w:pos="312"/>
        </w:tabs>
        <w:spacing w:line="360" w:lineRule="exact"/>
        <w:rPr>
          <w:rFonts w:ascii="宋体" w:hAnsi="宋体" w:cs="宋体"/>
          <w:color w:val="auto"/>
          <w:sz w:val="22"/>
          <w:highlight w:val="none"/>
        </w:rPr>
      </w:pPr>
      <w:r>
        <w:rPr>
          <w:rFonts w:hint="eastAsia" w:ascii="宋体" w:hAnsi="宋体" w:cs="宋体"/>
          <w:b/>
          <w:bCs/>
          <w:color w:val="auto"/>
          <w:spacing w:val="-6"/>
          <w:sz w:val="22"/>
          <w:highlight w:val="none"/>
        </w:rPr>
        <w:t>技术部分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8E9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4" w:hRule="atLeast"/>
        </w:trPr>
        <w:tc>
          <w:tcPr>
            <w:tcW w:w="5000" w:type="pct"/>
          </w:tcPr>
          <w:p w14:paraId="393642B2">
            <w:pPr>
              <w:spacing w:before="120" w:beforeLines="50" w:after="50" w:line="360" w:lineRule="auto"/>
              <w:jc w:val="left"/>
              <w:rPr>
                <w:rFonts w:ascii="宋体" w:hAnsi="宋体" w:cs="宋体"/>
                <w:b/>
                <w:bCs/>
                <w:color w:val="auto"/>
                <w:kern w:val="0"/>
                <w:sz w:val="22"/>
                <w:highlight w:val="none"/>
              </w:rPr>
            </w:pPr>
            <w:r>
              <w:rPr>
                <w:rFonts w:hint="eastAsia" w:ascii="宋体" w:hAnsi="宋体" w:cs="宋体"/>
                <w:b/>
                <w:bCs/>
                <w:color w:val="auto"/>
                <w:kern w:val="0"/>
                <w:sz w:val="22"/>
                <w:highlight w:val="none"/>
              </w:rPr>
              <w:t>项目概述</w:t>
            </w:r>
          </w:p>
          <w:p w14:paraId="4C8C891A">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1、采购的服务所涉及的产品标准、规范，验收标准、规范，应符合国家有关条例及规范，如有新的标准应采纳新标准，如是国外相应标准应征得采购人认可。</w:t>
            </w:r>
          </w:p>
          <w:p w14:paraId="632ABB26">
            <w:pPr>
              <w:tabs>
                <w:tab w:val="left" w:pos="6090"/>
              </w:tabs>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本采购项目为</w:t>
            </w:r>
            <w:r>
              <w:rPr>
                <w:rFonts w:hint="eastAsia" w:ascii="宋体" w:hAnsi="宋体" w:cs="宋体"/>
                <w:color w:val="auto"/>
                <w:sz w:val="22"/>
                <w:highlight w:val="none"/>
                <w:u w:val="single"/>
                <w:lang w:eastAsia="zh-CN"/>
              </w:rPr>
              <w:t>温州肯恩大学2025年到2028年校园物业服务采购</w:t>
            </w:r>
            <w:r>
              <w:rPr>
                <w:rFonts w:hint="eastAsia" w:ascii="宋体" w:hAnsi="宋体" w:cs="宋体"/>
                <w:color w:val="auto"/>
                <w:sz w:val="22"/>
                <w:highlight w:val="none"/>
                <w:u w:val="single"/>
              </w:rPr>
              <w:t>项目，投标人必须根据自己的技术及商务和报价优势对全部内容进行投标，不得只投部分内容。</w:t>
            </w:r>
          </w:p>
          <w:p w14:paraId="4424F60D">
            <w:pPr>
              <w:spacing w:before="120" w:beforeLines="50" w:after="50" w:line="360" w:lineRule="auto"/>
              <w:jc w:val="center"/>
              <w:rPr>
                <w:rFonts w:ascii="宋体" w:hAnsi="宋体" w:cs="宋体"/>
                <w:b/>
                <w:color w:val="auto"/>
                <w:sz w:val="22"/>
                <w:highlight w:val="none"/>
              </w:rPr>
            </w:pPr>
            <w:r>
              <w:rPr>
                <w:rFonts w:hint="eastAsia" w:ascii="宋体" w:hAnsi="宋体" w:cs="宋体"/>
                <w:b/>
                <w:bCs/>
                <w:color w:val="auto"/>
                <w:kern w:val="0"/>
                <w:sz w:val="22"/>
                <w:highlight w:val="none"/>
              </w:rPr>
              <w:t xml:space="preserve">第一章 </w:t>
            </w:r>
            <w:r>
              <w:rPr>
                <w:rFonts w:hint="eastAsia" w:ascii="宋体" w:hAnsi="宋体" w:cs="宋体"/>
                <w:b/>
                <w:color w:val="auto"/>
                <w:sz w:val="22"/>
                <w:highlight w:val="none"/>
              </w:rPr>
              <w:t>采购需求</w:t>
            </w:r>
          </w:p>
          <w:p w14:paraId="25027029">
            <w:pPr>
              <w:spacing w:line="5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1、学校概况：</w:t>
            </w:r>
          </w:p>
          <w:p w14:paraId="65254107">
            <w:pPr>
              <w:spacing w:line="5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校园面积：</w:t>
            </w:r>
            <w:r>
              <w:rPr>
                <w:rFonts w:hint="eastAsia" w:ascii="宋体" w:hAnsi="宋体" w:cs="宋体"/>
                <w:color w:val="auto"/>
                <w:sz w:val="22"/>
                <w:highlight w:val="none"/>
                <w:shd w:val="clear" w:color="auto" w:fill="FFFFFF"/>
              </w:rPr>
              <w:t>一期占地为713333 平方米；</w:t>
            </w:r>
            <w:bookmarkStart w:id="20" w:name="OLE_LINK2"/>
            <w:r>
              <w:rPr>
                <w:rFonts w:hint="eastAsia" w:ascii="宋体" w:hAnsi="宋体" w:cs="宋体"/>
                <w:color w:val="auto"/>
                <w:sz w:val="22"/>
                <w:highlight w:val="none"/>
                <w:shd w:val="clear" w:color="auto" w:fill="FFFFFF"/>
              </w:rPr>
              <w:t>二期占地为135188平方米</w:t>
            </w:r>
            <w:bookmarkEnd w:id="20"/>
            <w:r>
              <w:rPr>
                <w:rFonts w:hint="eastAsia" w:ascii="宋体" w:hAnsi="宋体" w:cs="宋体"/>
                <w:color w:val="auto"/>
                <w:sz w:val="22"/>
                <w:highlight w:val="none"/>
                <w:shd w:val="clear" w:color="auto" w:fill="FFFFFF"/>
              </w:rPr>
              <w:t>。合计为848521平方米</w:t>
            </w:r>
            <w:r>
              <w:rPr>
                <w:rFonts w:hint="eastAsia" w:ascii="宋体" w:hAnsi="宋体" w:cs="宋体"/>
                <w:color w:val="auto"/>
                <w:sz w:val="22"/>
                <w:highlight w:val="none"/>
              </w:rPr>
              <w:t>；建筑面积：</w:t>
            </w:r>
            <w:r>
              <w:rPr>
                <w:rFonts w:hint="eastAsia" w:ascii="宋体" w:hAnsi="宋体" w:cs="宋体"/>
                <w:color w:val="auto"/>
                <w:sz w:val="22"/>
                <w:highlight w:val="none"/>
                <w:shd w:val="clear" w:color="auto" w:fill="FFFFFF"/>
              </w:rPr>
              <w:t>一期建筑面积</w:t>
            </w:r>
            <w:r>
              <w:rPr>
                <w:rFonts w:hint="eastAsia" w:ascii="宋体" w:hAnsi="宋体" w:cs="宋体"/>
                <w:color w:val="auto"/>
                <w:sz w:val="22"/>
                <w:highlight w:val="none"/>
              </w:rPr>
              <w:t>293136平方米（其中地下面积为40976平方米）；二期建筑面积为115418平方米（其中地下面积为10650平方米）；学校合计建筑面积为408554平方米（其中地下面积为51626平方米）（详见附表一）；师生人数：2025年9月全校师生人数约为6000人，</w:t>
            </w:r>
            <w:r>
              <w:rPr>
                <w:rFonts w:hint="eastAsia" w:ascii="宋体" w:hAnsi="宋体" w:cs="宋体"/>
                <w:color w:val="auto"/>
                <w:sz w:val="22"/>
                <w:highlight w:val="none"/>
                <w:lang w:eastAsia="zh-CN"/>
              </w:rPr>
              <w:t>到</w:t>
            </w:r>
            <w:r>
              <w:rPr>
                <w:rFonts w:hint="eastAsia" w:ascii="宋体" w:hAnsi="宋体" w:cs="宋体"/>
                <w:color w:val="auto"/>
                <w:sz w:val="22"/>
                <w:highlight w:val="none"/>
              </w:rPr>
              <w:t>2028年全校师生人数</w:t>
            </w:r>
            <w:r>
              <w:rPr>
                <w:rFonts w:hint="eastAsia" w:ascii="宋体" w:hAnsi="宋体" w:cs="宋体"/>
                <w:color w:val="auto"/>
                <w:sz w:val="22"/>
                <w:highlight w:val="none"/>
                <w:lang w:eastAsia="zh-CN"/>
              </w:rPr>
              <w:t>约</w:t>
            </w:r>
            <w:r>
              <w:rPr>
                <w:rFonts w:hint="eastAsia" w:ascii="宋体" w:hAnsi="宋体" w:cs="宋体"/>
                <w:color w:val="auto"/>
                <w:sz w:val="22"/>
                <w:highlight w:val="none"/>
              </w:rPr>
              <w:t>8000人。</w:t>
            </w:r>
          </w:p>
          <w:p w14:paraId="6B2145E8">
            <w:pPr>
              <w:spacing w:before="240" w:beforeLines="100" w:after="240" w:afterLines="100" w:line="460" w:lineRule="exact"/>
              <w:ind w:firstLine="482"/>
              <w:jc w:val="center"/>
              <w:rPr>
                <w:rFonts w:ascii="宋体" w:hAnsi="宋体" w:cs="宋体"/>
                <w:b/>
                <w:color w:val="auto"/>
                <w:sz w:val="22"/>
                <w:highlight w:val="none"/>
              </w:rPr>
            </w:pPr>
            <w:r>
              <w:rPr>
                <w:rFonts w:hint="eastAsia" w:ascii="宋体" w:hAnsi="宋体" w:cs="宋体"/>
                <w:b/>
                <w:color w:val="auto"/>
                <w:sz w:val="22"/>
                <w:highlight w:val="none"/>
              </w:rPr>
              <w:t>校园面积和建筑面积一览表</w:t>
            </w:r>
            <w:r>
              <w:rPr>
                <w:rFonts w:hint="eastAsia" w:ascii="宋体" w:hAnsi="宋体" w:cs="宋体"/>
                <w:color w:val="auto"/>
                <w:sz w:val="22"/>
                <w:highlight w:val="none"/>
              </w:rPr>
              <w:t>（附表一）</w:t>
            </w:r>
          </w:p>
          <w:tbl>
            <w:tblPr>
              <w:tblStyle w:val="30"/>
              <w:tblW w:w="761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50"/>
              <w:gridCol w:w="1783"/>
              <w:gridCol w:w="2879"/>
            </w:tblGrid>
            <w:tr w14:paraId="667AC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2950" w:type="dxa"/>
                  <w:vAlign w:val="center"/>
                </w:tcPr>
                <w:p w14:paraId="7683CB4A">
                  <w:pPr>
                    <w:widowControl/>
                    <w:spacing w:line="400" w:lineRule="exact"/>
                    <w:jc w:val="center"/>
                    <w:rPr>
                      <w:rFonts w:ascii="宋体" w:hAnsi="宋体" w:cs="宋体"/>
                      <w:b/>
                      <w:color w:val="auto"/>
                      <w:kern w:val="0"/>
                      <w:sz w:val="22"/>
                      <w:highlight w:val="none"/>
                    </w:rPr>
                  </w:pPr>
                  <w:r>
                    <w:rPr>
                      <w:rFonts w:hint="eastAsia" w:ascii="宋体" w:hAnsi="宋体" w:cs="宋体"/>
                      <w:b/>
                      <w:color w:val="auto"/>
                      <w:kern w:val="0"/>
                      <w:sz w:val="22"/>
                      <w:highlight w:val="none"/>
                    </w:rPr>
                    <w:t>校区</w:t>
                  </w:r>
                </w:p>
              </w:tc>
              <w:tc>
                <w:tcPr>
                  <w:tcW w:w="1783" w:type="dxa"/>
                  <w:vAlign w:val="center"/>
                </w:tcPr>
                <w:p w14:paraId="391AD962">
                  <w:pPr>
                    <w:widowControl/>
                    <w:spacing w:line="400" w:lineRule="exact"/>
                    <w:jc w:val="center"/>
                    <w:rPr>
                      <w:rFonts w:ascii="宋体" w:hAnsi="宋体" w:cs="宋体"/>
                      <w:b/>
                      <w:color w:val="auto"/>
                      <w:kern w:val="0"/>
                      <w:sz w:val="22"/>
                      <w:highlight w:val="none"/>
                    </w:rPr>
                  </w:pPr>
                  <w:r>
                    <w:rPr>
                      <w:rFonts w:hint="eastAsia" w:ascii="宋体" w:hAnsi="宋体" w:cs="宋体"/>
                      <w:b/>
                      <w:color w:val="auto"/>
                      <w:kern w:val="0"/>
                      <w:sz w:val="22"/>
                      <w:highlight w:val="none"/>
                    </w:rPr>
                    <w:t>占地面积（亩）</w:t>
                  </w:r>
                </w:p>
              </w:tc>
              <w:tc>
                <w:tcPr>
                  <w:tcW w:w="2879" w:type="dxa"/>
                </w:tcPr>
                <w:p w14:paraId="187BF536">
                  <w:pPr>
                    <w:widowControl/>
                    <w:spacing w:line="400" w:lineRule="exact"/>
                    <w:jc w:val="center"/>
                    <w:rPr>
                      <w:rFonts w:ascii="宋体" w:hAnsi="宋体" w:cs="宋体"/>
                      <w:b/>
                      <w:color w:val="auto"/>
                      <w:kern w:val="0"/>
                      <w:sz w:val="22"/>
                      <w:highlight w:val="none"/>
                    </w:rPr>
                  </w:pPr>
                  <w:r>
                    <w:rPr>
                      <w:rFonts w:hint="eastAsia" w:ascii="宋体" w:hAnsi="宋体" w:cs="宋体"/>
                      <w:b/>
                      <w:color w:val="auto"/>
                      <w:kern w:val="0"/>
                      <w:sz w:val="22"/>
                      <w:highlight w:val="none"/>
                    </w:rPr>
                    <w:t>建筑面积</w:t>
                  </w:r>
                </w:p>
              </w:tc>
            </w:tr>
            <w:tr w14:paraId="0F3B2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2950" w:type="dxa"/>
                  <w:vAlign w:val="center"/>
                </w:tcPr>
                <w:p w14:paraId="1011451A">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温州肯恩大学一期</w:t>
                  </w:r>
                </w:p>
              </w:tc>
              <w:tc>
                <w:tcPr>
                  <w:tcW w:w="1783" w:type="dxa"/>
                  <w:vAlign w:val="center"/>
                </w:tcPr>
                <w:p w14:paraId="0194A6A1">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1070</w:t>
                  </w:r>
                </w:p>
              </w:tc>
              <w:tc>
                <w:tcPr>
                  <w:tcW w:w="2879" w:type="dxa"/>
                </w:tcPr>
                <w:p w14:paraId="43FAFFFC">
                  <w:pPr>
                    <w:jc w:val="left"/>
                    <w:rPr>
                      <w:rFonts w:ascii="宋体" w:hAnsi="宋体" w:cs="宋体"/>
                      <w:color w:val="auto"/>
                      <w:sz w:val="22"/>
                      <w:highlight w:val="none"/>
                    </w:rPr>
                  </w:pPr>
                  <w:r>
                    <w:rPr>
                      <w:rFonts w:hint="eastAsia" w:ascii="宋体" w:hAnsi="宋体" w:cs="宋体"/>
                      <w:color w:val="auto"/>
                      <w:sz w:val="22"/>
                      <w:highlight w:val="none"/>
                    </w:rPr>
                    <w:t>293136平方米（其中地下面积为40976平方米）；</w:t>
                  </w:r>
                </w:p>
              </w:tc>
            </w:tr>
            <w:tr w14:paraId="0661A9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2950" w:type="dxa"/>
                  <w:vAlign w:val="center"/>
                </w:tcPr>
                <w:p w14:paraId="6CA3C458">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二期学生宿舍</w:t>
                  </w:r>
                </w:p>
              </w:tc>
              <w:tc>
                <w:tcPr>
                  <w:tcW w:w="1783" w:type="dxa"/>
                  <w:vAlign w:val="center"/>
                </w:tcPr>
                <w:p w14:paraId="61B05DE0">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158</w:t>
                  </w:r>
                </w:p>
              </w:tc>
              <w:tc>
                <w:tcPr>
                  <w:tcW w:w="2879" w:type="dxa"/>
                </w:tcPr>
                <w:p w14:paraId="2D03D07A">
                  <w:pPr>
                    <w:widowControl/>
                    <w:spacing w:line="400" w:lineRule="exact"/>
                    <w:jc w:val="center"/>
                    <w:rPr>
                      <w:rFonts w:ascii="宋体" w:hAnsi="宋体" w:cs="宋体"/>
                      <w:color w:val="auto"/>
                      <w:kern w:val="0"/>
                      <w:sz w:val="22"/>
                      <w:highlight w:val="none"/>
                    </w:rPr>
                  </w:pPr>
                  <w:r>
                    <w:rPr>
                      <w:rFonts w:hint="eastAsia" w:ascii="宋体" w:hAnsi="宋体" w:cs="宋体"/>
                      <w:color w:val="auto"/>
                      <w:sz w:val="22"/>
                      <w:highlight w:val="none"/>
                    </w:rPr>
                    <w:t>二期学生宿舍建筑面积为：72688平方米（另外架空层3597平方米）</w:t>
                  </w:r>
                </w:p>
              </w:tc>
            </w:tr>
            <w:tr w14:paraId="14A59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2950" w:type="dxa"/>
                  <w:vAlign w:val="center"/>
                </w:tcPr>
                <w:p w14:paraId="6BA96FD3">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二期教师公寓</w:t>
                  </w:r>
                </w:p>
              </w:tc>
              <w:tc>
                <w:tcPr>
                  <w:tcW w:w="1783" w:type="dxa"/>
                  <w:vAlign w:val="center"/>
                </w:tcPr>
                <w:p w14:paraId="5E33E4F7">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45</w:t>
                  </w:r>
                </w:p>
              </w:tc>
              <w:tc>
                <w:tcPr>
                  <w:tcW w:w="2879" w:type="dxa"/>
                </w:tcPr>
                <w:p w14:paraId="4844DB80">
                  <w:pPr>
                    <w:jc w:val="left"/>
                    <w:rPr>
                      <w:rFonts w:ascii="宋体" w:hAnsi="宋体" w:cs="宋体"/>
                      <w:color w:val="auto"/>
                      <w:sz w:val="22"/>
                      <w:highlight w:val="none"/>
                    </w:rPr>
                  </w:pPr>
                  <w:r>
                    <w:rPr>
                      <w:rFonts w:hint="eastAsia" w:ascii="宋体" w:hAnsi="宋体" w:cs="宋体"/>
                      <w:color w:val="auto"/>
                      <w:sz w:val="22"/>
                      <w:highlight w:val="none"/>
                    </w:rPr>
                    <w:t>二期教师公寓建筑面积为：42730平方米，（其中地下室面积10650）</w:t>
                  </w:r>
                </w:p>
              </w:tc>
            </w:tr>
            <w:tr w14:paraId="078EE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2950" w:type="dxa"/>
                  <w:vAlign w:val="center"/>
                </w:tcPr>
                <w:p w14:paraId="2F277C3A">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合计</w:t>
                  </w:r>
                </w:p>
              </w:tc>
              <w:tc>
                <w:tcPr>
                  <w:tcW w:w="1783" w:type="dxa"/>
                  <w:vAlign w:val="center"/>
                </w:tcPr>
                <w:p w14:paraId="18D59437">
                  <w:pPr>
                    <w:widowControl/>
                    <w:spacing w:line="40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1273</w:t>
                  </w:r>
                </w:p>
              </w:tc>
              <w:tc>
                <w:tcPr>
                  <w:tcW w:w="2879" w:type="dxa"/>
                </w:tcPr>
                <w:p w14:paraId="28E22AC1">
                  <w:pPr>
                    <w:widowControl/>
                    <w:spacing w:line="400" w:lineRule="exact"/>
                    <w:jc w:val="center"/>
                    <w:rPr>
                      <w:rFonts w:ascii="宋体" w:hAnsi="宋体" w:cs="宋体"/>
                      <w:color w:val="auto"/>
                      <w:kern w:val="0"/>
                      <w:sz w:val="22"/>
                      <w:highlight w:val="none"/>
                    </w:rPr>
                  </w:pPr>
                  <w:r>
                    <w:rPr>
                      <w:rFonts w:hint="eastAsia" w:ascii="宋体" w:hAnsi="宋体" w:cs="宋体"/>
                      <w:color w:val="auto"/>
                      <w:sz w:val="22"/>
                      <w:highlight w:val="none"/>
                    </w:rPr>
                    <w:t>建筑面积为：</w:t>
                  </w:r>
                  <w:bookmarkStart w:id="21" w:name="OLE_LINK3"/>
                  <w:r>
                    <w:rPr>
                      <w:rFonts w:hint="eastAsia" w:ascii="宋体" w:hAnsi="宋体" w:cs="宋体"/>
                      <w:color w:val="auto"/>
                      <w:sz w:val="22"/>
                      <w:highlight w:val="none"/>
                    </w:rPr>
                    <w:t>408554</w:t>
                  </w:r>
                  <w:bookmarkEnd w:id="21"/>
                  <w:r>
                    <w:rPr>
                      <w:rFonts w:hint="eastAsia" w:ascii="宋体" w:hAnsi="宋体" w:cs="宋体"/>
                      <w:color w:val="auto"/>
                      <w:sz w:val="22"/>
                      <w:highlight w:val="none"/>
                    </w:rPr>
                    <w:t>平方米（其中地下面积为51626平方米）</w:t>
                  </w:r>
                </w:p>
              </w:tc>
            </w:tr>
          </w:tbl>
          <w:p w14:paraId="116DF8A4">
            <w:pPr>
              <w:rPr>
                <w:rFonts w:ascii="宋体" w:hAnsi="宋体" w:cs="宋体"/>
                <w:b/>
                <w:bCs/>
                <w:color w:val="auto"/>
                <w:sz w:val="22"/>
                <w:highlight w:val="none"/>
              </w:rPr>
            </w:pPr>
            <w:r>
              <w:rPr>
                <w:rFonts w:hint="eastAsia" w:ascii="宋体" w:hAnsi="宋体" w:cs="宋体"/>
                <w:b/>
                <w:bCs/>
                <w:color w:val="auto"/>
                <w:sz w:val="22"/>
                <w:highlight w:val="none"/>
              </w:rPr>
              <w:t>目前服务一期范围：</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4"/>
              <w:gridCol w:w="1577"/>
              <w:gridCol w:w="796"/>
              <w:gridCol w:w="167"/>
              <w:gridCol w:w="1015"/>
              <w:gridCol w:w="209"/>
              <w:gridCol w:w="1524"/>
              <w:gridCol w:w="91"/>
              <w:gridCol w:w="1859"/>
            </w:tblGrid>
            <w:tr w14:paraId="709C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42E85E14">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2387" w:type="dxa"/>
                  <w:gridSpan w:val="3"/>
                </w:tcPr>
                <w:p w14:paraId="676E0F70">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楼宇名称</w:t>
                  </w:r>
                </w:p>
              </w:tc>
              <w:tc>
                <w:tcPr>
                  <w:tcW w:w="1391" w:type="dxa"/>
                  <w:gridSpan w:val="3"/>
                </w:tcPr>
                <w:p w14:paraId="0453244B">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楼栋数</w:t>
                  </w:r>
                </w:p>
              </w:tc>
              <w:tc>
                <w:tcPr>
                  <w:tcW w:w="1615" w:type="dxa"/>
                  <w:gridSpan w:val="2"/>
                </w:tcPr>
                <w:p w14:paraId="04A3F43E">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建筑面积</w:t>
                  </w:r>
                </w:p>
              </w:tc>
              <w:tc>
                <w:tcPr>
                  <w:tcW w:w="1859" w:type="dxa"/>
                </w:tcPr>
                <w:p w14:paraId="20DD9B55">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备注</w:t>
                  </w:r>
                </w:p>
              </w:tc>
            </w:tr>
            <w:tr w14:paraId="54E1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537" w:type="dxa"/>
                  <w:gridSpan w:val="4"/>
                </w:tcPr>
                <w:p w14:paraId="4BF7EE9B">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一期建筑物总数</w:t>
                  </w:r>
                </w:p>
              </w:tc>
              <w:tc>
                <w:tcPr>
                  <w:tcW w:w="1391" w:type="dxa"/>
                  <w:gridSpan w:val="3"/>
                </w:tcPr>
                <w:p w14:paraId="0189838F">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22幢</w:t>
                  </w:r>
                </w:p>
              </w:tc>
              <w:tc>
                <w:tcPr>
                  <w:tcW w:w="1615" w:type="dxa"/>
                  <w:gridSpan w:val="2"/>
                </w:tcPr>
                <w:p w14:paraId="1388B0DC">
                  <w:pPr>
                    <w:jc w:val="center"/>
                    <w:rPr>
                      <w:rFonts w:ascii="宋体" w:hAnsi="宋体" w:cs="宋体"/>
                      <w:color w:val="auto"/>
                      <w:sz w:val="22"/>
                      <w:highlight w:val="none"/>
                    </w:rPr>
                  </w:pPr>
                </w:p>
              </w:tc>
              <w:tc>
                <w:tcPr>
                  <w:tcW w:w="1859" w:type="dxa"/>
                </w:tcPr>
                <w:p w14:paraId="7DF5AC54">
                  <w:pPr>
                    <w:jc w:val="center"/>
                    <w:rPr>
                      <w:rFonts w:ascii="宋体" w:hAnsi="宋体" w:cs="宋体"/>
                      <w:color w:val="auto"/>
                      <w:sz w:val="22"/>
                      <w:highlight w:val="none"/>
                    </w:rPr>
                  </w:pPr>
                </w:p>
              </w:tc>
            </w:tr>
            <w:tr w14:paraId="3805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5A62956F">
                  <w:pPr>
                    <w:jc w:val="center"/>
                    <w:rPr>
                      <w:rFonts w:ascii="宋体" w:hAnsi="宋体" w:cs="宋体"/>
                      <w:color w:val="auto"/>
                      <w:sz w:val="22"/>
                      <w:highlight w:val="none"/>
                    </w:rPr>
                  </w:pPr>
                  <w:r>
                    <w:rPr>
                      <w:rFonts w:hint="eastAsia" w:ascii="宋体" w:hAnsi="宋体" w:cs="宋体"/>
                      <w:color w:val="auto"/>
                      <w:sz w:val="22"/>
                      <w:highlight w:val="none"/>
                    </w:rPr>
                    <w:t>1</w:t>
                  </w:r>
                </w:p>
              </w:tc>
              <w:tc>
                <w:tcPr>
                  <w:tcW w:w="2387" w:type="dxa"/>
                  <w:gridSpan w:val="3"/>
                </w:tcPr>
                <w:p w14:paraId="130BB093">
                  <w:pPr>
                    <w:jc w:val="center"/>
                    <w:rPr>
                      <w:rFonts w:ascii="宋体" w:hAnsi="宋体" w:cs="宋体"/>
                      <w:color w:val="auto"/>
                      <w:sz w:val="22"/>
                      <w:highlight w:val="none"/>
                    </w:rPr>
                  </w:pPr>
                  <w:r>
                    <w:rPr>
                      <w:rFonts w:hint="eastAsia" w:ascii="宋体" w:hAnsi="宋体" w:cs="宋体"/>
                      <w:color w:val="auto"/>
                      <w:sz w:val="22"/>
                      <w:highlight w:val="none"/>
                    </w:rPr>
                    <w:t>公共教学楼</w:t>
                  </w:r>
                </w:p>
              </w:tc>
              <w:tc>
                <w:tcPr>
                  <w:tcW w:w="1391" w:type="dxa"/>
                  <w:gridSpan w:val="3"/>
                </w:tcPr>
                <w:p w14:paraId="4281A46F">
                  <w:pPr>
                    <w:jc w:val="center"/>
                    <w:rPr>
                      <w:rFonts w:ascii="宋体" w:hAnsi="宋体" w:cs="宋体"/>
                      <w:color w:val="auto"/>
                      <w:sz w:val="22"/>
                      <w:highlight w:val="none"/>
                    </w:rPr>
                  </w:pPr>
                  <w:r>
                    <w:rPr>
                      <w:rFonts w:hint="eastAsia" w:ascii="宋体" w:hAnsi="宋体" w:cs="宋体"/>
                      <w:color w:val="auto"/>
                      <w:sz w:val="22"/>
                      <w:highlight w:val="none"/>
                    </w:rPr>
                    <w:t>4</w:t>
                  </w:r>
                </w:p>
              </w:tc>
              <w:tc>
                <w:tcPr>
                  <w:tcW w:w="1615" w:type="dxa"/>
                  <w:gridSpan w:val="2"/>
                </w:tcPr>
                <w:p w14:paraId="028E1689">
                  <w:pPr>
                    <w:jc w:val="center"/>
                    <w:rPr>
                      <w:rFonts w:ascii="宋体" w:hAnsi="宋体" w:cs="宋体"/>
                      <w:color w:val="auto"/>
                      <w:sz w:val="22"/>
                      <w:highlight w:val="none"/>
                    </w:rPr>
                  </w:pPr>
                  <w:r>
                    <w:rPr>
                      <w:rFonts w:hint="eastAsia" w:ascii="宋体" w:hAnsi="宋体" w:cs="宋体"/>
                      <w:color w:val="auto"/>
                      <w:sz w:val="22"/>
                      <w:highlight w:val="none"/>
                    </w:rPr>
                    <w:t>26627</w:t>
                  </w:r>
                </w:p>
              </w:tc>
              <w:tc>
                <w:tcPr>
                  <w:tcW w:w="1859" w:type="dxa"/>
                </w:tcPr>
                <w:p w14:paraId="200341F0">
                  <w:pPr>
                    <w:jc w:val="center"/>
                    <w:rPr>
                      <w:rFonts w:ascii="宋体" w:hAnsi="宋体" w:cs="宋体"/>
                      <w:color w:val="auto"/>
                      <w:sz w:val="22"/>
                      <w:highlight w:val="none"/>
                    </w:rPr>
                  </w:pPr>
                </w:p>
              </w:tc>
            </w:tr>
            <w:tr w14:paraId="051D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428914A9">
                  <w:pPr>
                    <w:jc w:val="center"/>
                    <w:rPr>
                      <w:rFonts w:ascii="宋体" w:hAnsi="宋体" w:cs="宋体"/>
                      <w:color w:val="auto"/>
                      <w:sz w:val="22"/>
                      <w:highlight w:val="none"/>
                    </w:rPr>
                  </w:pPr>
                  <w:r>
                    <w:rPr>
                      <w:rFonts w:hint="eastAsia" w:ascii="宋体" w:hAnsi="宋体" w:cs="宋体"/>
                      <w:color w:val="auto"/>
                      <w:sz w:val="22"/>
                      <w:highlight w:val="none"/>
                    </w:rPr>
                    <w:t>2</w:t>
                  </w:r>
                </w:p>
              </w:tc>
              <w:tc>
                <w:tcPr>
                  <w:tcW w:w="2387" w:type="dxa"/>
                  <w:gridSpan w:val="3"/>
                </w:tcPr>
                <w:p w14:paraId="1FEA61A7">
                  <w:pPr>
                    <w:jc w:val="center"/>
                    <w:rPr>
                      <w:rFonts w:ascii="宋体" w:hAnsi="宋体" w:cs="宋体"/>
                      <w:color w:val="auto"/>
                      <w:sz w:val="22"/>
                      <w:highlight w:val="none"/>
                    </w:rPr>
                  </w:pPr>
                  <w:r>
                    <w:rPr>
                      <w:rFonts w:hint="eastAsia" w:ascii="宋体" w:hAnsi="宋体" w:cs="宋体"/>
                      <w:color w:val="auto"/>
                      <w:sz w:val="22"/>
                      <w:highlight w:val="none"/>
                    </w:rPr>
                    <w:t>实验楼</w:t>
                  </w:r>
                </w:p>
              </w:tc>
              <w:tc>
                <w:tcPr>
                  <w:tcW w:w="1391" w:type="dxa"/>
                  <w:gridSpan w:val="3"/>
                </w:tcPr>
                <w:p w14:paraId="7DB0F75D">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090EB7BB">
                  <w:pPr>
                    <w:jc w:val="center"/>
                    <w:rPr>
                      <w:rFonts w:ascii="宋体" w:hAnsi="宋体" w:cs="宋体"/>
                      <w:color w:val="auto"/>
                      <w:sz w:val="22"/>
                      <w:highlight w:val="none"/>
                    </w:rPr>
                  </w:pPr>
                  <w:r>
                    <w:rPr>
                      <w:rFonts w:hint="eastAsia" w:ascii="宋体" w:hAnsi="宋体" w:cs="宋体"/>
                      <w:color w:val="auto"/>
                      <w:sz w:val="22"/>
                      <w:highlight w:val="none"/>
                    </w:rPr>
                    <w:t>1861</w:t>
                  </w:r>
                </w:p>
              </w:tc>
              <w:tc>
                <w:tcPr>
                  <w:tcW w:w="1859" w:type="dxa"/>
                </w:tcPr>
                <w:p w14:paraId="14AB27AD">
                  <w:pPr>
                    <w:jc w:val="center"/>
                    <w:rPr>
                      <w:rFonts w:ascii="宋体" w:hAnsi="宋体" w:cs="宋体"/>
                      <w:color w:val="auto"/>
                      <w:sz w:val="22"/>
                      <w:highlight w:val="none"/>
                    </w:rPr>
                  </w:pPr>
                </w:p>
              </w:tc>
            </w:tr>
            <w:tr w14:paraId="7C85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6286E6E7">
                  <w:pPr>
                    <w:jc w:val="center"/>
                    <w:rPr>
                      <w:rFonts w:ascii="宋体" w:hAnsi="宋体" w:cs="宋体"/>
                      <w:color w:val="auto"/>
                      <w:sz w:val="22"/>
                      <w:highlight w:val="none"/>
                    </w:rPr>
                  </w:pPr>
                  <w:r>
                    <w:rPr>
                      <w:rFonts w:hint="eastAsia" w:ascii="宋体" w:hAnsi="宋体" w:cs="宋体"/>
                      <w:color w:val="auto"/>
                      <w:sz w:val="22"/>
                      <w:highlight w:val="none"/>
                    </w:rPr>
                    <w:t>3</w:t>
                  </w:r>
                </w:p>
              </w:tc>
              <w:tc>
                <w:tcPr>
                  <w:tcW w:w="2387" w:type="dxa"/>
                  <w:gridSpan w:val="3"/>
                </w:tcPr>
                <w:p w14:paraId="6C55072E">
                  <w:pPr>
                    <w:jc w:val="center"/>
                    <w:rPr>
                      <w:rFonts w:ascii="宋体" w:hAnsi="宋体" w:cs="宋体"/>
                      <w:color w:val="auto"/>
                      <w:sz w:val="22"/>
                      <w:highlight w:val="none"/>
                    </w:rPr>
                  </w:pPr>
                  <w:r>
                    <w:rPr>
                      <w:rFonts w:hint="eastAsia" w:ascii="宋体" w:hAnsi="宋体" w:cs="宋体"/>
                      <w:color w:val="auto"/>
                      <w:sz w:val="22"/>
                      <w:highlight w:val="none"/>
                    </w:rPr>
                    <w:t>培训楼</w:t>
                  </w:r>
                </w:p>
              </w:tc>
              <w:tc>
                <w:tcPr>
                  <w:tcW w:w="1391" w:type="dxa"/>
                  <w:gridSpan w:val="3"/>
                </w:tcPr>
                <w:p w14:paraId="150152B2">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6ECE2830">
                  <w:pPr>
                    <w:jc w:val="center"/>
                    <w:rPr>
                      <w:rFonts w:ascii="宋体" w:hAnsi="宋体" w:cs="宋体"/>
                      <w:color w:val="auto"/>
                      <w:sz w:val="22"/>
                      <w:highlight w:val="none"/>
                    </w:rPr>
                  </w:pPr>
                  <w:r>
                    <w:rPr>
                      <w:rFonts w:hint="eastAsia" w:ascii="宋体" w:hAnsi="宋体" w:cs="宋体"/>
                      <w:color w:val="auto"/>
                      <w:sz w:val="22"/>
                      <w:highlight w:val="none"/>
                    </w:rPr>
                    <w:t>11135</w:t>
                  </w:r>
                </w:p>
              </w:tc>
              <w:tc>
                <w:tcPr>
                  <w:tcW w:w="1859" w:type="dxa"/>
                </w:tcPr>
                <w:p w14:paraId="75E8BC1C">
                  <w:pPr>
                    <w:jc w:val="center"/>
                    <w:rPr>
                      <w:rFonts w:ascii="宋体" w:hAnsi="宋体" w:cs="宋体"/>
                      <w:color w:val="auto"/>
                      <w:sz w:val="22"/>
                      <w:highlight w:val="none"/>
                    </w:rPr>
                  </w:pPr>
                </w:p>
              </w:tc>
            </w:tr>
            <w:tr w14:paraId="695D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270C091C">
                  <w:pPr>
                    <w:jc w:val="center"/>
                    <w:rPr>
                      <w:rFonts w:ascii="宋体" w:hAnsi="宋体" w:cs="宋体"/>
                      <w:color w:val="auto"/>
                      <w:sz w:val="22"/>
                      <w:highlight w:val="none"/>
                    </w:rPr>
                  </w:pPr>
                  <w:r>
                    <w:rPr>
                      <w:rFonts w:hint="eastAsia" w:ascii="宋体" w:hAnsi="宋体" w:cs="宋体"/>
                      <w:color w:val="auto"/>
                      <w:sz w:val="22"/>
                      <w:highlight w:val="none"/>
                    </w:rPr>
                    <w:t>4</w:t>
                  </w:r>
                </w:p>
              </w:tc>
              <w:tc>
                <w:tcPr>
                  <w:tcW w:w="2387" w:type="dxa"/>
                  <w:gridSpan w:val="3"/>
                </w:tcPr>
                <w:p w14:paraId="13C63271">
                  <w:pPr>
                    <w:jc w:val="center"/>
                    <w:rPr>
                      <w:rFonts w:ascii="宋体" w:hAnsi="宋体" w:cs="宋体"/>
                      <w:color w:val="auto"/>
                      <w:sz w:val="22"/>
                      <w:highlight w:val="none"/>
                    </w:rPr>
                  </w:pPr>
                  <w:r>
                    <w:rPr>
                      <w:rFonts w:hint="eastAsia" w:ascii="宋体" w:hAnsi="宋体" w:cs="宋体"/>
                      <w:color w:val="auto"/>
                      <w:sz w:val="22"/>
                      <w:highlight w:val="none"/>
                    </w:rPr>
                    <w:t>葛和凯楼（建筑学院）</w:t>
                  </w:r>
                </w:p>
              </w:tc>
              <w:tc>
                <w:tcPr>
                  <w:tcW w:w="1391" w:type="dxa"/>
                  <w:gridSpan w:val="3"/>
                </w:tcPr>
                <w:p w14:paraId="3589E687">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065D9BD8">
                  <w:pPr>
                    <w:jc w:val="center"/>
                    <w:rPr>
                      <w:rFonts w:ascii="宋体" w:hAnsi="宋体" w:cs="宋体"/>
                      <w:color w:val="auto"/>
                      <w:sz w:val="22"/>
                      <w:highlight w:val="none"/>
                    </w:rPr>
                  </w:pPr>
                  <w:r>
                    <w:rPr>
                      <w:rFonts w:hint="eastAsia" w:ascii="宋体" w:hAnsi="宋体" w:cs="宋体"/>
                      <w:color w:val="auto"/>
                      <w:sz w:val="22"/>
                      <w:highlight w:val="none"/>
                    </w:rPr>
                    <w:t>16188</w:t>
                  </w:r>
                </w:p>
              </w:tc>
              <w:tc>
                <w:tcPr>
                  <w:tcW w:w="1859" w:type="dxa"/>
                </w:tcPr>
                <w:p w14:paraId="503055EE">
                  <w:pPr>
                    <w:jc w:val="center"/>
                    <w:rPr>
                      <w:rFonts w:ascii="宋体" w:hAnsi="宋体" w:cs="宋体"/>
                      <w:color w:val="auto"/>
                      <w:sz w:val="22"/>
                      <w:highlight w:val="none"/>
                    </w:rPr>
                  </w:pPr>
                </w:p>
              </w:tc>
            </w:tr>
            <w:tr w14:paraId="7CD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3F8286F4">
                  <w:pPr>
                    <w:jc w:val="center"/>
                    <w:rPr>
                      <w:rFonts w:ascii="宋体" w:hAnsi="宋体" w:cs="宋体"/>
                      <w:color w:val="auto"/>
                      <w:sz w:val="22"/>
                      <w:highlight w:val="none"/>
                    </w:rPr>
                  </w:pPr>
                  <w:r>
                    <w:rPr>
                      <w:rFonts w:hint="eastAsia" w:ascii="宋体" w:hAnsi="宋体" w:cs="宋体"/>
                      <w:color w:val="auto"/>
                      <w:sz w:val="22"/>
                      <w:highlight w:val="none"/>
                    </w:rPr>
                    <w:t>5</w:t>
                  </w:r>
                </w:p>
              </w:tc>
              <w:tc>
                <w:tcPr>
                  <w:tcW w:w="2387" w:type="dxa"/>
                  <w:gridSpan w:val="3"/>
                </w:tcPr>
                <w:p w14:paraId="0D802286">
                  <w:pPr>
                    <w:jc w:val="center"/>
                    <w:rPr>
                      <w:rFonts w:ascii="宋体" w:hAnsi="宋体" w:cs="宋体"/>
                      <w:color w:val="auto"/>
                      <w:sz w:val="22"/>
                      <w:highlight w:val="none"/>
                    </w:rPr>
                  </w:pPr>
                  <w:r>
                    <w:rPr>
                      <w:rFonts w:hint="eastAsia" w:ascii="宋体" w:hAnsi="宋体" w:cs="宋体"/>
                      <w:color w:val="auto"/>
                      <w:sz w:val="22"/>
                      <w:highlight w:val="none"/>
                    </w:rPr>
                    <w:t>商学院</w:t>
                  </w:r>
                </w:p>
              </w:tc>
              <w:tc>
                <w:tcPr>
                  <w:tcW w:w="1391" w:type="dxa"/>
                  <w:gridSpan w:val="3"/>
                </w:tcPr>
                <w:p w14:paraId="07B92708">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651B01CC">
                  <w:pPr>
                    <w:jc w:val="center"/>
                    <w:rPr>
                      <w:rFonts w:ascii="宋体" w:hAnsi="宋体" w:cs="宋体"/>
                      <w:color w:val="auto"/>
                      <w:sz w:val="22"/>
                      <w:highlight w:val="none"/>
                    </w:rPr>
                  </w:pPr>
                  <w:r>
                    <w:rPr>
                      <w:rFonts w:hint="eastAsia" w:ascii="宋体" w:hAnsi="宋体" w:cs="宋体"/>
                      <w:color w:val="auto"/>
                      <w:sz w:val="22"/>
                      <w:highlight w:val="none"/>
                    </w:rPr>
                    <w:t>13290</w:t>
                  </w:r>
                </w:p>
              </w:tc>
              <w:tc>
                <w:tcPr>
                  <w:tcW w:w="1859" w:type="dxa"/>
                </w:tcPr>
                <w:p w14:paraId="5820C92C">
                  <w:pPr>
                    <w:jc w:val="center"/>
                    <w:rPr>
                      <w:rFonts w:ascii="宋体" w:hAnsi="宋体" w:cs="宋体"/>
                      <w:color w:val="auto"/>
                      <w:sz w:val="22"/>
                      <w:highlight w:val="none"/>
                    </w:rPr>
                  </w:pPr>
                </w:p>
              </w:tc>
            </w:tr>
            <w:tr w14:paraId="7852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shd w:val="clear" w:color="auto" w:fill="auto"/>
                </w:tcPr>
                <w:p w14:paraId="330DF857">
                  <w:pPr>
                    <w:jc w:val="center"/>
                    <w:rPr>
                      <w:rFonts w:ascii="宋体" w:hAnsi="宋体" w:cs="宋体"/>
                      <w:color w:val="auto"/>
                      <w:sz w:val="22"/>
                      <w:highlight w:val="none"/>
                    </w:rPr>
                  </w:pPr>
                  <w:r>
                    <w:rPr>
                      <w:rFonts w:hint="eastAsia" w:ascii="宋体" w:hAnsi="宋体" w:cs="宋体"/>
                      <w:color w:val="auto"/>
                      <w:sz w:val="22"/>
                      <w:highlight w:val="none"/>
                    </w:rPr>
                    <w:t>6</w:t>
                  </w:r>
                </w:p>
              </w:tc>
              <w:tc>
                <w:tcPr>
                  <w:tcW w:w="2387" w:type="dxa"/>
                  <w:gridSpan w:val="3"/>
                  <w:shd w:val="clear" w:color="auto" w:fill="auto"/>
                </w:tcPr>
                <w:p w14:paraId="39FCF0F5">
                  <w:pPr>
                    <w:jc w:val="center"/>
                    <w:rPr>
                      <w:rFonts w:ascii="宋体" w:hAnsi="宋体" w:cs="宋体"/>
                      <w:color w:val="auto"/>
                      <w:sz w:val="22"/>
                      <w:highlight w:val="none"/>
                    </w:rPr>
                  </w:pPr>
                  <w:r>
                    <w:rPr>
                      <w:rFonts w:hint="eastAsia" w:ascii="宋体" w:hAnsi="宋体" w:cs="宋体"/>
                      <w:color w:val="auto"/>
                      <w:sz w:val="22"/>
                      <w:highlight w:val="none"/>
                    </w:rPr>
                    <w:t>理工楼</w:t>
                  </w:r>
                </w:p>
              </w:tc>
              <w:tc>
                <w:tcPr>
                  <w:tcW w:w="1391" w:type="dxa"/>
                  <w:gridSpan w:val="3"/>
                  <w:shd w:val="clear" w:color="auto" w:fill="auto"/>
                </w:tcPr>
                <w:p w14:paraId="37B4A831">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shd w:val="clear" w:color="auto" w:fill="auto"/>
                </w:tcPr>
                <w:p w14:paraId="28A53AB1">
                  <w:pPr>
                    <w:jc w:val="center"/>
                    <w:rPr>
                      <w:rFonts w:ascii="宋体" w:hAnsi="宋体" w:cs="宋体"/>
                      <w:color w:val="auto"/>
                      <w:sz w:val="22"/>
                      <w:highlight w:val="none"/>
                    </w:rPr>
                  </w:pPr>
                  <w:r>
                    <w:rPr>
                      <w:rFonts w:hint="eastAsia" w:ascii="宋体" w:hAnsi="宋体" w:cs="宋体"/>
                      <w:color w:val="auto"/>
                      <w:sz w:val="22"/>
                      <w:highlight w:val="none"/>
                    </w:rPr>
                    <w:t>19402</w:t>
                  </w:r>
                </w:p>
              </w:tc>
              <w:tc>
                <w:tcPr>
                  <w:tcW w:w="1859" w:type="dxa"/>
                  <w:shd w:val="clear" w:color="auto" w:fill="auto"/>
                </w:tcPr>
                <w:p w14:paraId="65C95870">
                  <w:pPr>
                    <w:jc w:val="center"/>
                    <w:rPr>
                      <w:rFonts w:ascii="宋体" w:hAnsi="宋体" w:cs="宋体"/>
                      <w:color w:val="auto"/>
                      <w:sz w:val="22"/>
                      <w:highlight w:val="none"/>
                    </w:rPr>
                  </w:pPr>
                </w:p>
              </w:tc>
            </w:tr>
            <w:tr w14:paraId="2EF0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shd w:val="clear" w:color="auto" w:fill="auto"/>
                </w:tcPr>
                <w:p w14:paraId="16C7DEA5">
                  <w:pPr>
                    <w:jc w:val="center"/>
                    <w:rPr>
                      <w:rFonts w:ascii="宋体" w:hAnsi="宋体" w:cs="宋体"/>
                      <w:color w:val="auto"/>
                      <w:sz w:val="22"/>
                      <w:highlight w:val="none"/>
                    </w:rPr>
                  </w:pPr>
                  <w:r>
                    <w:rPr>
                      <w:rFonts w:hint="eastAsia" w:ascii="宋体" w:hAnsi="宋体" w:cs="宋体"/>
                      <w:color w:val="auto"/>
                      <w:sz w:val="22"/>
                      <w:highlight w:val="none"/>
                    </w:rPr>
                    <w:t>7</w:t>
                  </w:r>
                </w:p>
              </w:tc>
              <w:tc>
                <w:tcPr>
                  <w:tcW w:w="2387" w:type="dxa"/>
                  <w:gridSpan w:val="3"/>
                  <w:shd w:val="clear" w:color="auto" w:fill="auto"/>
                </w:tcPr>
                <w:p w14:paraId="0CB520E8">
                  <w:pPr>
                    <w:jc w:val="center"/>
                    <w:rPr>
                      <w:rFonts w:ascii="宋体" w:hAnsi="宋体" w:cs="宋体"/>
                      <w:color w:val="auto"/>
                      <w:sz w:val="22"/>
                      <w:highlight w:val="none"/>
                    </w:rPr>
                  </w:pPr>
                  <w:r>
                    <w:rPr>
                      <w:rFonts w:hint="eastAsia" w:ascii="宋体" w:hAnsi="宋体" w:cs="宋体"/>
                      <w:color w:val="auto"/>
                      <w:sz w:val="22"/>
                      <w:highlight w:val="none"/>
                    </w:rPr>
                    <w:t>学生学习与活动中心（含图书馆）</w:t>
                  </w:r>
                </w:p>
              </w:tc>
              <w:tc>
                <w:tcPr>
                  <w:tcW w:w="1391" w:type="dxa"/>
                  <w:gridSpan w:val="3"/>
                  <w:shd w:val="clear" w:color="auto" w:fill="auto"/>
                </w:tcPr>
                <w:p w14:paraId="1BBC2A44">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shd w:val="clear" w:color="auto" w:fill="auto"/>
                </w:tcPr>
                <w:p w14:paraId="1CAE3F35">
                  <w:pPr>
                    <w:jc w:val="center"/>
                    <w:rPr>
                      <w:rFonts w:ascii="宋体" w:hAnsi="宋体" w:cs="宋体"/>
                      <w:color w:val="auto"/>
                      <w:sz w:val="22"/>
                      <w:highlight w:val="none"/>
                    </w:rPr>
                  </w:pPr>
                  <w:r>
                    <w:rPr>
                      <w:rFonts w:hint="eastAsia" w:ascii="宋体" w:hAnsi="宋体" w:cs="宋体"/>
                      <w:color w:val="auto"/>
                      <w:sz w:val="22"/>
                      <w:highlight w:val="none"/>
                    </w:rPr>
                    <w:t>24648</w:t>
                  </w:r>
                </w:p>
              </w:tc>
              <w:tc>
                <w:tcPr>
                  <w:tcW w:w="1859" w:type="dxa"/>
                  <w:shd w:val="clear" w:color="auto" w:fill="auto"/>
                </w:tcPr>
                <w:p w14:paraId="63BB9930">
                  <w:pPr>
                    <w:jc w:val="center"/>
                    <w:rPr>
                      <w:rFonts w:ascii="宋体" w:hAnsi="宋体" w:cs="宋体"/>
                      <w:color w:val="auto"/>
                      <w:sz w:val="22"/>
                      <w:highlight w:val="none"/>
                    </w:rPr>
                  </w:pPr>
                </w:p>
              </w:tc>
            </w:tr>
            <w:tr w14:paraId="08F9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shd w:val="clear" w:color="auto" w:fill="auto"/>
                </w:tcPr>
                <w:p w14:paraId="60E28E39">
                  <w:pPr>
                    <w:jc w:val="center"/>
                    <w:rPr>
                      <w:rFonts w:ascii="宋体" w:hAnsi="宋体" w:cs="宋体"/>
                      <w:color w:val="auto"/>
                      <w:sz w:val="22"/>
                      <w:highlight w:val="none"/>
                    </w:rPr>
                  </w:pPr>
                  <w:r>
                    <w:rPr>
                      <w:rFonts w:hint="eastAsia" w:ascii="宋体" w:hAnsi="宋体" w:cs="宋体"/>
                      <w:color w:val="auto"/>
                      <w:sz w:val="22"/>
                      <w:highlight w:val="none"/>
                    </w:rPr>
                    <w:t>8</w:t>
                  </w:r>
                </w:p>
              </w:tc>
              <w:tc>
                <w:tcPr>
                  <w:tcW w:w="2387" w:type="dxa"/>
                  <w:gridSpan w:val="3"/>
                  <w:shd w:val="clear" w:color="auto" w:fill="auto"/>
                </w:tcPr>
                <w:p w14:paraId="6E76F97F">
                  <w:pPr>
                    <w:rPr>
                      <w:rFonts w:ascii="宋体" w:hAnsi="宋体" w:cs="宋体"/>
                      <w:color w:val="auto"/>
                      <w:sz w:val="22"/>
                      <w:highlight w:val="none"/>
                    </w:rPr>
                  </w:pPr>
                  <w:r>
                    <w:rPr>
                      <w:rFonts w:hint="eastAsia" w:ascii="宋体" w:hAnsi="宋体" w:cs="宋体"/>
                      <w:color w:val="auto"/>
                      <w:sz w:val="22"/>
                      <w:highlight w:val="none"/>
                    </w:rPr>
                    <w:t>行政楼及后勤综合楼主</w:t>
                  </w:r>
                </w:p>
              </w:tc>
              <w:tc>
                <w:tcPr>
                  <w:tcW w:w="1391" w:type="dxa"/>
                  <w:gridSpan w:val="3"/>
                  <w:shd w:val="clear" w:color="auto" w:fill="auto"/>
                </w:tcPr>
                <w:p w14:paraId="654E6057">
                  <w:pPr>
                    <w:jc w:val="center"/>
                    <w:rPr>
                      <w:rFonts w:ascii="宋体" w:hAnsi="宋体" w:cs="宋体"/>
                      <w:color w:val="auto"/>
                      <w:sz w:val="22"/>
                      <w:highlight w:val="none"/>
                    </w:rPr>
                  </w:pPr>
                  <w:r>
                    <w:rPr>
                      <w:rFonts w:hint="eastAsia" w:ascii="宋体" w:hAnsi="宋体" w:cs="宋体"/>
                      <w:color w:val="auto"/>
                      <w:sz w:val="22"/>
                      <w:highlight w:val="none"/>
                    </w:rPr>
                    <w:t>2</w:t>
                  </w:r>
                </w:p>
              </w:tc>
              <w:tc>
                <w:tcPr>
                  <w:tcW w:w="1615" w:type="dxa"/>
                  <w:gridSpan w:val="2"/>
                  <w:shd w:val="clear" w:color="auto" w:fill="auto"/>
                </w:tcPr>
                <w:p w14:paraId="0AD2D654">
                  <w:pPr>
                    <w:jc w:val="center"/>
                    <w:rPr>
                      <w:rFonts w:ascii="宋体" w:hAnsi="宋体" w:cs="宋体"/>
                      <w:color w:val="auto"/>
                      <w:sz w:val="22"/>
                      <w:highlight w:val="none"/>
                    </w:rPr>
                  </w:pPr>
                  <w:r>
                    <w:rPr>
                      <w:rFonts w:hint="eastAsia" w:ascii="宋体" w:hAnsi="宋体" w:cs="宋体"/>
                      <w:color w:val="auto"/>
                      <w:sz w:val="22"/>
                      <w:highlight w:val="none"/>
                    </w:rPr>
                    <w:t>15441</w:t>
                  </w:r>
                </w:p>
              </w:tc>
              <w:tc>
                <w:tcPr>
                  <w:tcW w:w="1859" w:type="dxa"/>
                  <w:shd w:val="clear" w:color="auto" w:fill="auto"/>
                </w:tcPr>
                <w:p w14:paraId="55751D7F">
                  <w:pPr>
                    <w:jc w:val="center"/>
                    <w:rPr>
                      <w:rFonts w:ascii="宋体" w:hAnsi="宋体" w:cs="宋体"/>
                      <w:color w:val="auto"/>
                      <w:sz w:val="22"/>
                      <w:highlight w:val="none"/>
                    </w:rPr>
                  </w:pPr>
                </w:p>
              </w:tc>
            </w:tr>
            <w:tr w14:paraId="4D94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shd w:val="clear" w:color="auto" w:fill="auto"/>
                </w:tcPr>
                <w:p w14:paraId="63110FEC">
                  <w:pPr>
                    <w:jc w:val="center"/>
                    <w:rPr>
                      <w:rFonts w:ascii="宋体" w:hAnsi="宋体" w:cs="宋体"/>
                      <w:color w:val="auto"/>
                      <w:sz w:val="22"/>
                      <w:highlight w:val="none"/>
                    </w:rPr>
                  </w:pPr>
                  <w:r>
                    <w:rPr>
                      <w:rFonts w:hint="eastAsia" w:ascii="宋体" w:hAnsi="宋体" w:cs="宋体"/>
                      <w:color w:val="auto"/>
                      <w:sz w:val="22"/>
                      <w:highlight w:val="none"/>
                    </w:rPr>
                    <w:t>9</w:t>
                  </w:r>
                </w:p>
              </w:tc>
              <w:tc>
                <w:tcPr>
                  <w:tcW w:w="2387" w:type="dxa"/>
                  <w:gridSpan w:val="3"/>
                  <w:shd w:val="clear" w:color="auto" w:fill="auto"/>
                </w:tcPr>
                <w:p w14:paraId="209CBDC2">
                  <w:pPr>
                    <w:jc w:val="center"/>
                    <w:rPr>
                      <w:rFonts w:ascii="宋体" w:hAnsi="宋体" w:cs="宋体"/>
                      <w:color w:val="auto"/>
                      <w:sz w:val="22"/>
                      <w:highlight w:val="none"/>
                    </w:rPr>
                  </w:pPr>
                  <w:r>
                    <w:rPr>
                      <w:rFonts w:hint="eastAsia" w:ascii="宋体" w:hAnsi="宋体" w:cs="宋体"/>
                      <w:color w:val="auto"/>
                      <w:sz w:val="22"/>
                      <w:highlight w:val="none"/>
                    </w:rPr>
                    <w:t>综合球馆</w:t>
                  </w:r>
                </w:p>
              </w:tc>
              <w:tc>
                <w:tcPr>
                  <w:tcW w:w="1391" w:type="dxa"/>
                  <w:gridSpan w:val="3"/>
                  <w:shd w:val="clear" w:color="auto" w:fill="auto"/>
                </w:tcPr>
                <w:p w14:paraId="382879F8">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shd w:val="clear" w:color="auto" w:fill="auto"/>
                </w:tcPr>
                <w:p w14:paraId="03DBE54E">
                  <w:pPr>
                    <w:jc w:val="center"/>
                    <w:rPr>
                      <w:rFonts w:ascii="宋体" w:hAnsi="宋体" w:cs="宋体"/>
                      <w:color w:val="auto"/>
                      <w:sz w:val="22"/>
                      <w:highlight w:val="none"/>
                    </w:rPr>
                  </w:pPr>
                  <w:r>
                    <w:rPr>
                      <w:rFonts w:hint="eastAsia" w:ascii="宋体" w:hAnsi="宋体" w:cs="宋体"/>
                      <w:color w:val="auto"/>
                      <w:sz w:val="22"/>
                      <w:highlight w:val="none"/>
                    </w:rPr>
                    <w:t>4114</w:t>
                  </w:r>
                </w:p>
              </w:tc>
              <w:tc>
                <w:tcPr>
                  <w:tcW w:w="1859" w:type="dxa"/>
                  <w:shd w:val="clear" w:color="auto" w:fill="auto"/>
                </w:tcPr>
                <w:p w14:paraId="25F89C62">
                  <w:pPr>
                    <w:jc w:val="center"/>
                    <w:rPr>
                      <w:rFonts w:ascii="宋体" w:hAnsi="宋体" w:cs="宋体"/>
                      <w:color w:val="auto"/>
                      <w:sz w:val="22"/>
                      <w:highlight w:val="none"/>
                    </w:rPr>
                  </w:pPr>
                </w:p>
              </w:tc>
            </w:tr>
            <w:tr w14:paraId="026F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shd w:val="clear" w:color="auto" w:fill="auto"/>
                </w:tcPr>
                <w:p w14:paraId="44D6BB25">
                  <w:pPr>
                    <w:jc w:val="center"/>
                    <w:rPr>
                      <w:rFonts w:ascii="宋体" w:hAnsi="宋体" w:cs="宋体"/>
                      <w:color w:val="auto"/>
                      <w:sz w:val="22"/>
                      <w:highlight w:val="none"/>
                    </w:rPr>
                  </w:pPr>
                  <w:r>
                    <w:rPr>
                      <w:rFonts w:hint="eastAsia" w:ascii="宋体" w:hAnsi="宋体" w:cs="宋体"/>
                      <w:color w:val="auto"/>
                      <w:sz w:val="22"/>
                      <w:highlight w:val="none"/>
                    </w:rPr>
                    <w:t>10</w:t>
                  </w:r>
                </w:p>
              </w:tc>
              <w:tc>
                <w:tcPr>
                  <w:tcW w:w="2387" w:type="dxa"/>
                  <w:gridSpan w:val="3"/>
                  <w:shd w:val="clear" w:color="auto" w:fill="auto"/>
                </w:tcPr>
                <w:p w14:paraId="7CD64823">
                  <w:pPr>
                    <w:jc w:val="center"/>
                    <w:rPr>
                      <w:rFonts w:ascii="宋体" w:hAnsi="宋体" w:cs="宋体"/>
                      <w:color w:val="auto"/>
                      <w:sz w:val="22"/>
                      <w:highlight w:val="none"/>
                    </w:rPr>
                  </w:pPr>
                  <w:r>
                    <w:rPr>
                      <w:rFonts w:hint="eastAsia" w:ascii="宋体" w:hAnsi="宋体" w:cs="宋体"/>
                      <w:color w:val="auto"/>
                      <w:sz w:val="22"/>
                      <w:highlight w:val="none"/>
                    </w:rPr>
                    <w:t>田径场</w:t>
                  </w:r>
                </w:p>
              </w:tc>
              <w:tc>
                <w:tcPr>
                  <w:tcW w:w="1391" w:type="dxa"/>
                  <w:gridSpan w:val="3"/>
                  <w:shd w:val="clear" w:color="auto" w:fill="auto"/>
                </w:tcPr>
                <w:p w14:paraId="439A74C7">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shd w:val="clear" w:color="auto" w:fill="auto"/>
                </w:tcPr>
                <w:p w14:paraId="177EDF1F">
                  <w:pPr>
                    <w:jc w:val="center"/>
                    <w:rPr>
                      <w:rFonts w:ascii="宋体" w:hAnsi="宋体" w:cs="宋体"/>
                      <w:color w:val="auto"/>
                      <w:sz w:val="22"/>
                      <w:highlight w:val="none"/>
                    </w:rPr>
                  </w:pPr>
                  <w:r>
                    <w:rPr>
                      <w:rFonts w:hint="eastAsia" w:ascii="宋体" w:hAnsi="宋体" w:cs="宋体"/>
                      <w:color w:val="auto"/>
                      <w:sz w:val="22"/>
                      <w:highlight w:val="none"/>
                    </w:rPr>
                    <w:t>23944</w:t>
                  </w:r>
                </w:p>
              </w:tc>
              <w:tc>
                <w:tcPr>
                  <w:tcW w:w="1859" w:type="dxa"/>
                  <w:shd w:val="clear" w:color="auto" w:fill="auto"/>
                </w:tcPr>
                <w:p w14:paraId="79426028">
                  <w:pPr>
                    <w:jc w:val="center"/>
                    <w:rPr>
                      <w:rFonts w:ascii="宋体" w:hAnsi="宋体" w:cs="宋体"/>
                      <w:color w:val="auto"/>
                      <w:sz w:val="22"/>
                      <w:highlight w:val="none"/>
                    </w:rPr>
                  </w:pPr>
                </w:p>
              </w:tc>
            </w:tr>
            <w:tr w14:paraId="73B8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shd w:val="clear" w:color="auto" w:fill="auto"/>
                </w:tcPr>
                <w:p w14:paraId="15E684E5">
                  <w:pPr>
                    <w:jc w:val="center"/>
                    <w:rPr>
                      <w:rFonts w:ascii="宋体" w:hAnsi="宋体" w:cs="宋体"/>
                      <w:color w:val="auto"/>
                      <w:sz w:val="22"/>
                      <w:highlight w:val="none"/>
                    </w:rPr>
                  </w:pPr>
                  <w:r>
                    <w:rPr>
                      <w:rFonts w:hint="eastAsia" w:ascii="宋体" w:hAnsi="宋体" w:cs="宋体"/>
                      <w:color w:val="auto"/>
                      <w:sz w:val="22"/>
                      <w:highlight w:val="none"/>
                    </w:rPr>
                    <w:t>11</w:t>
                  </w:r>
                </w:p>
              </w:tc>
              <w:tc>
                <w:tcPr>
                  <w:tcW w:w="2387" w:type="dxa"/>
                  <w:gridSpan w:val="3"/>
                  <w:shd w:val="clear" w:color="auto" w:fill="auto"/>
                </w:tcPr>
                <w:p w14:paraId="47850A21">
                  <w:pPr>
                    <w:jc w:val="center"/>
                    <w:rPr>
                      <w:rFonts w:ascii="宋体" w:hAnsi="宋体" w:cs="宋体"/>
                      <w:color w:val="auto"/>
                      <w:sz w:val="22"/>
                      <w:highlight w:val="none"/>
                    </w:rPr>
                  </w:pPr>
                  <w:r>
                    <w:rPr>
                      <w:rFonts w:hint="eastAsia" w:ascii="宋体" w:hAnsi="宋体" w:cs="宋体"/>
                      <w:color w:val="auto"/>
                      <w:sz w:val="22"/>
                      <w:highlight w:val="none"/>
                    </w:rPr>
                    <w:t>中餐厅 1食堂</w:t>
                  </w:r>
                </w:p>
              </w:tc>
              <w:tc>
                <w:tcPr>
                  <w:tcW w:w="1391" w:type="dxa"/>
                  <w:gridSpan w:val="3"/>
                  <w:shd w:val="clear" w:color="auto" w:fill="auto"/>
                </w:tcPr>
                <w:p w14:paraId="55E262A9">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shd w:val="clear" w:color="auto" w:fill="auto"/>
                </w:tcPr>
                <w:p w14:paraId="68EFE2F4">
                  <w:pPr>
                    <w:jc w:val="center"/>
                    <w:rPr>
                      <w:rFonts w:ascii="宋体" w:hAnsi="宋体" w:cs="宋体"/>
                      <w:color w:val="auto"/>
                      <w:sz w:val="22"/>
                      <w:highlight w:val="none"/>
                    </w:rPr>
                  </w:pPr>
                  <w:r>
                    <w:rPr>
                      <w:rFonts w:hint="eastAsia" w:ascii="宋体" w:hAnsi="宋体" w:cs="宋体"/>
                      <w:color w:val="auto"/>
                      <w:sz w:val="22"/>
                      <w:highlight w:val="none"/>
                    </w:rPr>
                    <w:t>4238</w:t>
                  </w:r>
                </w:p>
              </w:tc>
              <w:tc>
                <w:tcPr>
                  <w:tcW w:w="1859" w:type="dxa"/>
                  <w:shd w:val="clear" w:color="auto" w:fill="auto"/>
                </w:tcPr>
                <w:p w14:paraId="55E2AA9E">
                  <w:pPr>
                    <w:jc w:val="center"/>
                    <w:rPr>
                      <w:rFonts w:ascii="宋体" w:hAnsi="宋体" w:cs="宋体"/>
                      <w:color w:val="auto"/>
                      <w:sz w:val="22"/>
                      <w:highlight w:val="none"/>
                    </w:rPr>
                  </w:pPr>
                </w:p>
              </w:tc>
            </w:tr>
            <w:tr w14:paraId="5EAF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50" w:type="dxa"/>
                  <w:shd w:val="clear" w:color="auto" w:fill="auto"/>
                </w:tcPr>
                <w:p w14:paraId="0142EACD">
                  <w:pPr>
                    <w:jc w:val="center"/>
                    <w:rPr>
                      <w:rFonts w:ascii="宋体" w:hAnsi="宋体" w:cs="宋体"/>
                      <w:color w:val="auto"/>
                      <w:sz w:val="22"/>
                      <w:highlight w:val="none"/>
                    </w:rPr>
                  </w:pPr>
                  <w:r>
                    <w:rPr>
                      <w:rFonts w:hint="eastAsia" w:ascii="宋体" w:hAnsi="宋体" w:cs="宋体"/>
                      <w:color w:val="auto"/>
                      <w:sz w:val="22"/>
                      <w:highlight w:val="none"/>
                    </w:rPr>
                    <w:t>12</w:t>
                  </w:r>
                </w:p>
              </w:tc>
              <w:tc>
                <w:tcPr>
                  <w:tcW w:w="2387" w:type="dxa"/>
                  <w:gridSpan w:val="3"/>
                  <w:shd w:val="clear" w:color="auto" w:fill="auto"/>
                </w:tcPr>
                <w:p w14:paraId="7F36615B">
                  <w:pPr>
                    <w:jc w:val="center"/>
                    <w:rPr>
                      <w:rFonts w:ascii="宋体" w:hAnsi="宋体" w:cs="宋体"/>
                      <w:color w:val="auto"/>
                      <w:sz w:val="22"/>
                      <w:highlight w:val="none"/>
                    </w:rPr>
                  </w:pPr>
                  <w:r>
                    <w:rPr>
                      <w:rFonts w:hint="eastAsia" w:ascii="宋体" w:hAnsi="宋体" w:cs="宋体"/>
                      <w:color w:val="auto"/>
                      <w:sz w:val="22"/>
                      <w:highlight w:val="none"/>
                    </w:rPr>
                    <w:t>学生餐厅 2食堂</w:t>
                  </w:r>
                </w:p>
              </w:tc>
              <w:tc>
                <w:tcPr>
                  <w:tcW w:w="1391" w:type="dxa"/>
                  <w:gridSpan w:val="3"/>
                  <w:shd w:val="clear" w:color="auto" w:fill="auto"/>
                </w:tcPr>
                <w:p w14:paraId="6441EAAD">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shd w:val="clear" w:color="auto" w:fill="auto"/>
                </w:tcPr>
                <w:p w14:paraId="4FD4D593">
                  <w:pPr>
                    <w:jc w:val="center"/>
                    <w:rPr>
                      <w:rFonts w:ascii="宋体" w:hAnsi="宋体" w:cs="宋体"/>
                      <w:color w:val="auto"/>
                      <w:sz w:val="22"/>
                      <w:highlight w:val="none"/>
                    </w:rPr>
                  </w:pPr>
                  <w:r>
                    <w:rPr>
                      <w:rFonts w:hint="eastAsia" w:ascii="宋体" w:hAnsi="宋体" w:cs="宋体"/>
                      <w:color w:val="auto"/>
                      <w:sz w:val="22"/>
                      <w:highlight w:val="none"/>
                    </w:rPr>
                    <w:t>8652</w:t>
                  </w:r>
                </w:p>
              </w:tc>
              <w:tc>
                <w:tcPr>
                  <w:tcW w:w="1859" w:type="dxa"/>
                  <w:shd w:val="clear" w:color="auto" w:fill="auto"/>
                </w:tcPr>
                <w:p w14:paraId="3312435E">
                  <w:pPr>
                    <w:jc w:val="center"/>
                    <w:rPr>
                      <w:rFonts w:ascii="宋体" w:hAnsi="宋体" w:cs="宋体"/>
                      <w:color w:val="auto"/>
                      <w:sz w:val="22"/>
                      <w:highlight w:val="none"/>
                    </w:rPr>
                  </w:pPr>
                </w:p>
              </w:tc>
            </w:tr>
            <w:tr w14:paraId="5E3C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tcPr>
                <w:p w14:paraId="027489EB">
                  <w:pPr>
                    <w:jc w:val="center"/>
                    <w:rPr>
                      <w:rFonts w:ascii="宋体" w:hAnsi="宋体" w:cs="宋体"/>
                      <w:color w:val="auto"/>
                      <w:sz w:val="22"/>
                      <w:highlight w:val="none"/>
                    </w:rPr>
                  </w:pPr>
                  <w:r>
                    <w:rPr>
                      <w:rFonts w:hint="eastAsia" w:ascii="宋体" w:hAnsi="宋体" w:cs="宋体"/>
                      <w:color w:val="auto"/>
                      <w:sz w:val="22"/>
                      <w:highlight w:val="none"/>
                    </w:rPr>
                    <w:t>13</w:t>
                  </w:r>
                </w:p>
              </w:tc>
              <w:tc>
                <w:tcPr>
                  <w:tcW w:w="2387" w:type="dxa"/>
                  <w:gridSpan w:val="3"/>
                </w:tcPr>
                <w:p w14:paraId="4BDBA9DA">
                  <w:pPr>
                    <w:jc w:val="center"/>
                    <w:rPr>
                      <w:rFonts w:ascii="宋体" w:hAnsi="宋体" w:cs="宋体"/>
                      <w:color w:val="auto"/>
                      <w:sz w:val="22"/>
                      <w:highlight w:val="none"/>
                    </w:rPr>
                  </w:pPr>
                  <w:r>
                    <w:rPr>
                      <w:rFonts w:hint="eastAsia" w:ascii="宋体" w:hAnsi="宋体" w:cs="宋体"/>
                      <w:color w:val="auto"/>
                      <w:sz w:val="22"/>
                      <w:highlight w:val="none"/>
                    </w:rPr>
                    <w:t>一期外教公寓</w:t>
                  </w:r>
                </w:p>
              </w:tc>
              <w:tc>
                <w:tcPr>
                  <w:tcW w:w="1391" w:type="dxa"/>
                  <w:gridSpan w:val="3"/>
                </w:tcPr>
                <w:p w14:paraId="450FF3DA">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100AD302">
                  <w:pPr>
                    <w:jc w:val="center"/>
                    <w:rPr>
                      <w:rFonts w:ascii="宋体" w:hAnsi="宋体" w:cs="宋体"/>
                      <w:color w:val="auto"/>
                      <w:sz w:val="22"/>
                      <w:highlight w:val="none"/>
                    </w:rPr>
                  </w:pPr>
                  <w:r>
                    <w:rPr>
                      <w:rFonts w:hint="eastAsia" w:ascii="宋体" w:hAnsi="宋体" w:cs="宋体"/>
                      <w:color w:val="auto"/>
                      <w:sz w:val="22"/>
                      <w:highlight w:val="none"/>
                    </w:rPr>
                    <w:t>6696</w:t>
                  </w:r>
                </w:p>
              </w:tc>
              <w:tc>
                <w:tcPr>
                  <w:tcW w:w="1859" w:type="dxa"/>
                </w:tcPr>
                <w:p w14:paraId="0A4D9AEB">
                  <w:pPr>
                    <w:jc w:val="center"/>
                    <w:rPr>
                      <w:rFonts w:ascii="宋体" w:hAnsi="宋体" w:cs="宋体"/>
                      <w:color w:val="auto"/>
                      <w:sz w:val="22"/>
                      <w:highlight w:val="none"/>
                    </w:rPr>
                  </w:pPr>
                  <w:r>
                    <w:rPr>
                      <w:rFonts w:hint="eastAsia" w:ascii="宋体" w:hAnsi="宋体" w:cs="宋体"/>
                      <w:color w:val="auto"/>
                      <w:sz w:val="22"/>
                      <w:highlight w:val="none"/>
                    </w:rPr>
                    <w:t>9栋一组团</w:t>
                  </w:r>
                </w:p>
              </w:tc>
            </w:tr>
            <w:tr w14:paraId="00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vMerge w:val="restart"/>
                </w:tcPr>
                <w:p w14:paraId="5FEE62A2">
                  <w:pPr>
                    <w:jc w:val="center"/>
                    <w:rPr>
                      <w:rFonts w:ascii="宋体" w:hAnsi="宋体" w:cs="宋体"/>
                      <w:color w:val="auto"/>
                      <w:sz w:val="22"/>
                      <w:highlight w:val="none"/>
                    </w:rPr>
                  </w:pPr>
                  <w:r>
                    <w:rPr>
                      <w:rFonts w:hint="eastAsia" w:ascii="宋体" w:hAnsi="宋体" w:cs="宋体"/>
                      <w:color w:val="auto"/>
                      <w:sz w:val="22"/>
                      <w:highlight w:val="none"/>
                    </w:rPr>
                    <w:t>14</w:t>
                  </w:r>
                </w:p>
              </w:tc>
              <w:tc>
                <w:tcPr>
                  <w:tcW w:w="2387" w:type="dxa"/>
                  <w:gridSpan w:val="3"/>
                  <w:vMerge w:val="restart"/>
                </w:tcPr>
                <w:p w14:paraId="574ABE5C">
                  <w:pPr>
                    <w:jc w:val="center"/>
                    <w:rPr>
                      <w:rFonts w:ascii="宋体" w:hAnsi="宋体" w:cs="宋体"/>
                      <w:color w:val="auto"/>
                      <w:sz w:val="22"/>
                      <w:highlight w:val="none"/>
                    </w:rPr>
                  </w:pPr>
                  <w:r>
                    <w:rPr>
                      <w:rFonts w:hint="eastAsia" w:ascii="宋体" w:hAnsi="宋体" w:cs="宋体"/>
                      <w:color w:val="auto"/>
                      <w:sz w:val="22"/>
                      <w:highlight w:val="none"/>
                    </w:rPr>
                    <w:t>学生公寓</w:t>
                  </w:r>
                </w:p>
              </w:tc>
              <w:tc>
                <w:tcPr>
                  <w:tcW w:w="1391" w:type="dxa"/>
                  <w:gridSpan w:val="3"/>
                </w:tcPr>
                <w:p w14:paraId="6975C3A2">
                  <w:pPr>
                    <w:jc w:val="center"/>
                    <w:rPr>
                      <w:rFonts w:ascii="宋体" w:hAnsi="宋体" w:cs="宋体"/>
                      <w:color w:val="auto"/>
                      <w:sz w:val="22"/>
                      <w:highlight w:val="none"/>
                    </w:rPr>
                  </w:pPr>
                  <w:r>
                    <w:rPr>
                      <w:rFonts w:hint="eastAsia" w:ascii="宋体" w:hAnsi="宋体" w:cs="宋体"/>
                      <w:color w:val="auto"/>
                      <w:sz w:val="22"/>
                      <w:highlight w:val="none"/>
                    </w:rPr>
                    <w:t>4</w:t>
                  </w:r>
                </w:p>
              </w:tc>
              <w:tc>
                <w:tcPr>
                  <w:tcW w:w="1615" w:type="dxa"/>
                  <w:gridSpan w:val="2"/>
                </w:tcPr>
                <w:p w14:paraId="65DF137D">
                  <w:pPr>
                    <w:jc w:val="center"/>
                    <w:rPr>
                      <w:rFonts w:ascii="宋体" w:hAnsi="宋体" w:cs="宋体"/>
                      <w:color w:val="auto"/>
                      <w:sz w:val="22"/>
                      <w:highlight w:val="none"/>
                    </w:rPr>
                  </w:pPr>
                  <w:r>
                    <w:rPr>
                      <w:rFonts w:hint="eastAsia" w:ascii="宋体" w:hAnsi="宋体" w:cs="宋体"/>
                      <w:color w:val="auto"/>
                      <w:sz w:val="22"/>
                      <w:highlight w:val="none"/>
                    </w:rPr>
                    <w:t>45820</w:t>
                  </w:r>
                </w:p>
              </w:tc>
              <w:tc>
                <w:tcPr>
                  <w:tcW w:w="1859" w:type="dxa"/>
                </w:tcPr>
                <w:p w14:paraId="39FB82FE">
                  <w:pPr>
                    <w:jc w:val="center"/>
                    <w:rPr>
                      <w:rFonts w:ascii="宋体" w:hAnsi="宋体" w:cs="宋体"/>
                      <w:color w:val="auto"/>
                      <w:sz w:val="22"/>
                      <w:highlight w:val="none"/>
                    </w:rPr>
                  </w:pPr>
                  <w:r>
                    <w:rPr>
                      <w:rFonts w:hint="eastAsia" w:ascii="宋体" w:hAnsi="宋体" w:cs="宋体"/>
                      <w:color w:val="auto"/>
                      <w:sz w:val="22"/>
                      <w:highlight w:val="none"/>
                    </w:rPr>
                    <w:t>梅兰竹菊4个门厅</w:t>
                  </w:r>
                </w:p>
              </w:tc>
            </w:tr>
            <w:tr w14:paraId="4D84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vMerge w:val="continue"/>
                </w:tcPr>
                <w:p w14:paraId="3F859549">
                  <w:pPr>
                    <w:jc w:val="center"/>
                    <w:rPr>
                      <w:rFonts w:ascii="宋体" w:hAnsi="宋体" w:cs="宋体"/>
                      <w:color w:val="auto"/>
                      <w:sz w:val="22"/>
                      <w:highlight w:val="none"/>
                    </w:rPr>
                  </w:pPr>
                </w:p>
              </w:tc>
              <w:tc>
                <w:tcPr>
                  <w:tcW w:w="2387" w:type="dxa"/>
                  <w:gridSpan w:val="3"/>
                  <w:vMerge w:val="continue"/>
                </w:tcPr>
                <w:p w14:paraId="02BCDB1B">
                  <w:pPr>
                    <w:jc w:val="center"/>
                    <w:rPr>
                      <w:rFonts w:ascii="宋体" w:hAnsi="宋体" w:cs="宋体"/>
                      <w:color w:val="auto"/>
                      <w:sz w:val="22"/>
                      <w:highlight w:val="none"/>
                    </w:rPr>
                  </w:pPr>
                </w:p>
              </w:tc>
              <w:tc>
                <w:tcPr>
                  <w:tcW w:w="1391" w:type="dxa"/>
                  <w:gridSpan w:val="3"/>
                </w:tcPr>
                <w:p w14:paraId="222E41A0">
                  <w:pPr>
                    <w:jc w:val="center"/>
                    <w:rPr>
                      <w:rFonts w:ascii="宋体" w:hAnsi="宋体" w:cs="宋体"/>
                      <w:color w:val="auto"/>
                      <w:sz w:val="22"/>
                      <w:highlight w:val="none"/>
                    </w:rPr>
                  </w:pPr>
                  <w:r>
                    <w:rPr>
                      <w:rFonts w:hint="eastAsia" w:ascii="宋体" w:hAnsi="宋体" w:cs="宋体"/>
                      <w:color w:val="auto"/>
                      <w:sz w:val="22"/>
                      <w:highlight w:val="none"/>
                    </w:rPr>
                    <w:t>2</w:t>
                  </w:r>
                </w:p>
              </w:tc>
              <w:tc>
                <w:tcPr>
                  <w:tcW w:w="1615" w:type="dxa"/>
                  <w:gridSpan w:val="2"/>
                </w:tcPr>
                <w:p w14:paraId="63984E0C">
                  <w:pPr>
                    <w:jc w:val="center"/>
                    <w:rPr>
                      <w:rFonts w:ascii="宋体" w:hAnsi="宋体" w:cs="宋体"/>
                      <w:color w:val="auto"/>
                      <w:sz w:val="22"/>
                      <w:highlight w:val="none"/>
                    </w:rPr>
                  </w:pPr>
                  <w:r>
                    <w:rPr>
                      <w:rFonts w:hint="eastAsia" w:ascii="宋体" w:hAnsi="宋体" w:cs="宋体"/>
                      <w:color w:val="auto"/>
                      <w:sz w:val="22"/>
                      <w:highlight w:val="none"/>
                    </w:rPr>
                    <w:t>14047</w:t>
                  </w:r>
                </w:p>
              </w:tc>
              <w:tc>
                <w:tcPr>
                  <w:tcW w:w="1859" w:type="dxa"/>
                </w:tcPr>
                <w:p w14:paraId="64F718AB">
                  <w:pPr>
                    <w:jc w:val="center"/>
                    <w:rPr>
                      <w:rFonts w:ascii="宋体" w:hAnsi="宋体" w:cs="宋体"/>
                      <w:color w:val="auto"/>
                      <w:sz w:val="22"/>
                      <w:highlight w:val="none"/>
                    </w:rPr>
                  </w:pPr>
                  <w:r>
                    <w:rPr>
                      <w:rFonts w:hint="eastAsia" w:ascii="宋体" w:hAnsi="宋体" w:cs="宋体"/>
                      <w:color w:val="auto"/>
                      <w:sz w:val="22"/>
                      <w:highlight w:val="none"/>
                    </w:rPr>
                    <w:t>榕AB、CD</w:t>
                  </w:r>
                </w:p>
                <w:p w14:paraId="767A510D">
                  <w:pPr>
                    <w:jc w:val="center"/>
                    <w:rPr>
                      <w:rFonts w:ascii="宋体" w:hAnsi="宋体" w:cs="宋体"/>
                      <w:color w:val="auto"/>
                      <w:sz w:val="22"/>
                      <w:highlight w:val="none"/>
                    </w:rPr>
                  </w:pPr>
                  <w:r>
                    <w:rPr>
                      <w:rFonts w:hint="eastAsia" w:ascii="宋体" w:hAnsi="宋体" w:cs="宋体"/>
                      <w:color w:val="auto"/>
                      <w:sz w:val="22"/>
                      <w:highlight w:val="none"/>
                    </w:rPr>
                    <w:t>2门厅</w:t>
                  </w:r>
                </w:p>
              </w:tc>
            </w:tr>
            <w:tr w14:paraId="1F36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vMerge w:val="continue"/>
                </w:tcPr>
                <w:p w14:paraId="6B580DB8">
                  <w:pPr>
                    <w:jc w:val="center"/>
                    <w:rPr>
                      <w:rFonts w:ascii="宋体" w:hAnsi="宋体" w:cs="宋体"/>
                      <w:color w:val="auto"/>
                      <w:sz w:val="22"/>
                      <w:highlight w:val="none"/>
                    </w:rPr>
                  </w:pPr>
                </w:p>
              </w:tc>
              <w:tc>
                <w:tcPr>
                  <w:tcW w:w="2387" w:type="dxa"/>
                  <w:gridSpan w:val="3"/>
                  <w:vMerge w:val="continue"/>
                </w:tcPr>
                <w:p w14:paraId="2C13496D">
                  <w:pPr>
                    <w:jc w:val="center"/>
                    <w:rPr>
                      <w:rFonts w:ascii="宋体" w:hAnsi="宋体" w:cs="宋体"/>
                      <w:color w:val="auto"/>
                      <w:sz w:val="22"/>
                      <w:highlight w:val="none"/>
                    </w:rPr>
                  </w:pPr>
                </w:p>
              </w:tc>
              <w:tc>
                <w:tcPr>
                  <w:tcW w:w="1391" w:type="dxa"/>
                  <w:gridSpan w:val="3"/>
                </w:tcPr>
                <w:p w14:paraId="7AF49E8E">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1573A420">
                  <w:pPr>
                    <w:jc w:val="center"/>
                    <w:rPr>
                      <w:rFonts w:ascii="宋体" w:hAnsi="宋体" w:cs="宋体"/>
                      <w:color w:val="auto"/>
                      <w:sz w:val="22"/>
                      <w:highlight w:val="none"/>
                    </w:rPr>
                  </w:pPr>
                  <w:r>
                    <w:rPr>
                      <w:rFonts w:hint="eastAsia" w:ascii="宋体" w:hAnsi="宋体" w:cs="宋体"/>
                      <w:color w:val="auto"/>
                      <w:sz w:val="22"/>
                      <w:highlight w:val="none"/>
                    </w:rPr>
                    <w:t>9916</w:t>
                  </w:r>
                </w:p>
              </w:tc>
              <w:tc>
                <w:tcPr>
                  <w:tcW w:w="1859" w:type="dxa"/>
                </w:tcPr>
                <w:p w14:paraId="106C20E4">
                  <w:pPr>
                    <w:jc w:val="center"/>
                    <w:rPr>
                      <w:rFonts w:ascii="宋体" w:hAnsi="宋体" w:cs="宋体"/>
                      <w:color w:val="auto"/>
                      <w:sz w:val="22"/>
                      <w:highlight w:val="none"/>
                    </w:rPr>
                  </w:pPr>
                  <w:r>
                    <w:rPr>
                      <w:rFonts w:hint="eastAsia" w:ascii="宋体" w:hAnsi="宋体" w:cs="宋体"/>
                      <w:color w:val="auto"/>
                      <w:sz w:val="22"/>
                      <w:highlight w:val="none"/>
                    </w:rPr>
                    <w:t>枫 A、B,1门厅</w:t>
                  </w:r>
                </w:p>
              </w:tc>
            </w:tr>
            <w:tr w14:paraId="423C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vMerge w:val="continue"/>
                </w:tcPr>
                <w:p w14:paraId="09CBDA2C">
                  <w:pPr>
                    <w:jc w:val="center"/>
                    <w:rPr>
                      <w:rFonts w:ascii="宋体" w:hAnsi="宋体" w:cs="宋体"/>
                      <w:color w:val="auto"/>
                      <w:sz w:val="22"/>
                      <w:highlight w:val="none"/>
                    </w:rPr>
                  </w:pPr>
                </w:p>
              </w:tc>
              <w:tc>
                <w:tcPr>
                  <w:tcW w:w="2387" w:type="dxa"/>
                  <w:gridSpan w:val="3"/>
                  <w:vMerge w:val="continue"/>
                </w:tcPr>
                <w:p w14:paraId="6C7D906A">
                  <w:pPr>
                    <w:jc w:val="center"/>
                    <w:rPr>
                      <w:rFonts w:ascii="宋体" w:hAnsi="宋体" w:cs="宋体"/>
                      <w:color w:val="auto"/>
                      <w:sz w:val="22"/>
                      <w:highlight w:val="none"/>
                    </w:rPr>
                  </w:pPr>
                </w:p>
              </w:tc>
              <w:tc>
                <w:tcPr>
                  <w:tcW w:w="1391" w:type="dxa"/>
                  <w:gridSpan w:val="3"/>
                </w:tcPr>
                <w:p w14:paraId="281A28D2">
                  <w:pPr>
                    <w:jc w:val="center"/>
                    <w:rPr>
                      <w:rFonts w:ascii="宋体" w:hAnsi="宋体" w:cs="宋体"/>
                      <w:color w:val="auto"/>
                      <w:sz w:val="22"/>
                      <w:highlight w:val="none"/>
                    </w:rPr>
                  </w:pPr>
                  <w:r>
                    <w:rPr>
                      <w:rFonts w:hint="eastAsia" w:ascii="宋体" w:hAnsi="宋体" w:cs="宋体"/>
                      <w:color w:val="auto"/>
                      <w:sz w:val="22"/>
                      <w:highlight w:val="none"/>
                    </w:rPr>
                    <w:t>2</w:t>
                  </w:r>
                </w:p>
              </w:tc>
              <w:tc>
                <w:tcPr>
                  <w:tcW w:w="1615" w:type="dxa"/>
                  <w:gridSpan w:val="2"/>
                </w:tcPr>
                <w:p w14:paraId="0E9CD2F0">
                  <w:pPr>
                    <w:jc w:val="center"/>
                    <w:rPr>
                      <w:rFonts w:ascii="宋体" w:hAnsi="宋体" w:cs="宋体"/>
                      <w:color w:val="auto"/>
                      <w:sz w:val="22"/>
                      <w:highlight w:val="none"/>
                    </w:rPr>
                  </w:pPr>
                  <w:r>
                    <w:rPr>
                      <w:rFonts w:hint="eastAsia" w:ascii="宋体" w:hAnsi="宋体" w:cs="宋体"/>
                      <w:color w:val="auto"/>
                      <w:sz w:val="22"/>
                      <w:highlight w:val="none"/>
                    </w:rPr>
                    <w:t>21733</w:t>
                  </w:r>
                </w:p>
              </w:tc>
              <w:tc>
                <w:tcPr>
                  <w:tcW w:w="1859" w:type="dxa"/>
                </w:tcPr>
                <w:p w14:paraId="31550214">
                  <w:pPr>
                    <w:jc w:val="center"/>
                    <w:rPr>
                      <w:rFonts w:ascii="宋体" w:hAnsi="宋体" w:cs="宋体"/>
                      <w:color w:val="auto"/>
                      <w:sz w:val="22"/>
                      <w:highlight w:val="none"/>
                    </w:rPr>
                  </w:pPr>
                  <w:r>
                    <w:rPr>
                      <w:rFonts w:hint="eastAsia" w:ascii="宋体" w:hAnsi="宋体" w:cs="宋体"/>
                      <w:color w:val="auto"/>
                      <w:sz w:val="22"/>
                      <w:highlight w:val="none"/>
                    </w:rPr>
                    <w:t>杏AB、CD</w:t>
                  </w:r>
                </w:p>
                <w:p w14:paraId="253D7848">
                  <w:pPr>
                    <w:jc w:val="center"/>
                    <w:rPr>
                      <w:rFonts w:ascii="宋体" w:hAnsi="宋体" w:cs="宋体"/>
                      <w:color w:val="auto"/>
                      <w:sz w:val="22"/>
                      <w:highlight w:val="none"/>
                    </w:rPr>
                  </w:pPr>
                  <w:r>
                    <w:rPr>
                      <w:rFonts w:hint="eastAsia" w:ascii="宋体" w:hAnsi="宋体" w:cs="宋体"/>
                      <w:color w:val="auto"/>
                      <w:sz w:val="22"/>
                      <w:highlight w:val="none"/>
                    </w:rPr>
                    <w:t>2门厅</w:t>
                  </w:r>
                </w:p>
              </w:tc>
            </w:tr>
            <w:tr w14:paraId="50F6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0" w:type="dxa"/>
                  <w:vMerge w:val="continue"/>
                </w:tcPr>
                <w:p w14:paraId="1A74E738">
                  <w:pPr>
                    <w:jc w:val="center"/>
                    <w:rPr>
                      <w:rFonts w:ascii="宋体" w:hAnsi="宋体" w:cs="宋体"/>
                      <w:color w:val="auto"/>
                      <w:sz w:val="22"/>
                      <w:highlight w:val="none"/>
                    </w:rPr>
                  </w:pPr>
                </w:p>
              </w:tc>
              <w:tc>
                <w:tcPr>
                  <w:tcW w:w="2387" w:type="dxa"/>
                  <w:gridSpan w:val="3"/>
                  <w:vMerge w:val="continue"/>
                </w:tcPr>
                <w:p w14:paraId="11D70A8A">
                  <w:pPr>
                    <w:jc w:val="center"/>
                    <w:rPr>
                      <w:rFonts w:ascii="宋体" w:hAnsi="宋体" w:cs="宋体"/>
                      <w:color w:val="auto"/>
                      <w:sz w:val="22"/>
                      <w:highlight w:val="none"/>
                    </w:rPr>
                  </w:pPr>
                </w:p>
              </w:tc>
              <w:tc>
                <w:tcPr>
                  <w:tcW w:w="1391" w:type="dxa"/>
                  <w:gridSpan w:val="3"/>
                </w:tcPr>
                <w:p w14:paraId="01BC16A5">
                  <w:pPr>
                    <w:jc w:val="center"/>
                    <w:rPr>
                      <w:rFonts w:ascii="宋体" w:hAnsi="宋体" w:cs="宋体"/>
                      <w:color w:val="auto"/>
                      <w:sz w:val="22"/>
                      <w:highlight w:val="none"/>
                    </w:rPr>
                  </w:pPr>
                  <w:r>
                    <w:rPr>
                      <w:rFonts w:hint="eastAsia" w:ascii="宋体" w:hAnsi="宋体" w:cs="宋体"/>
                      <w:color w:val="auto"/>
                      <w:sz w:val="22"/>
                      <w:highlight w:val="none"/>
                    </w:rPr>
                    <w:t>1</w:t>
                  </w:r>
                </w:p>
              </w:tc>
              <w:tc>
                <w:tcPr>
                  <w:tcW w:w="1615" w:type="dxa"/>
                  <w:gridSpan w:val="2"/>
                </w:tcPr>
                <w:p w14:paraId="27BD687F">
                  <w:pPr>
                    <w:jc w:val="center"/>
                    <w:rPr>
                      <w:rFonts w:ascii="宋体" w:hAnsi="宋体" w:cs="宋体"/>
                      <w:color w:val="auto"/>
                      <w:sz w:val="22"/>
                      <w:highlight w:val="none"/>
                    </w:rPr>
                  </w:pPr>
                  <w:r>
                    <w:rPr>
                      <w:rFonts w:hint="eastAsia" w:ascii="宋体" w:hAnsi="宋体" w:cs="宋体"/>
                      <w:color w:val="auto"/>
                      <w:sz w:val="22"/>
                      <w:highlight w:val="none"/>
                    </w:rPr>
                    <w:t>8809</w:t>
                  </w:r>
                </w:p>
              </w:tc>
              <w:tc>
                <w:tcPr>
                  <w:tcW w:w="1859" w:type="dxa"/>
                </w:tcPr>
                <w:p w14:paraId="285E9E97">
                  <w:pPr>
                    <w:jc w:val="center"/>
                    <w:rPr>
                      <w:rFonts w:ascii="宋体" w:hAnsi="宋体" w:cs="宋体"/>
                      <w:color w:val="auto"/>
                      <w:sz w:val="22"/>
                      <w:highlight w:val="none"/>
                    </w:rPr>
                  </w:pPr>
                  <w:r>
                    <w:rPr>
                      <w:rFonts w:hint="eastAsia" w:ascii="宋体" w:hAnsi="宋体" w:cs="宋体"/>
                      <w:color w:val="auto"/>
                      <w:sz w:val="22"/>
                      <w:highlight w:val="none"/>
                    </w:rPr>
                    <w:t>柑4个门厅，值班1个门厅</w:t>
                  </w:r>
                </w:p>
              </w:tc>
            </w:tr>
            <w:tr w14:paraId="6FBC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50" w:type="dxa"/>
                  <w:vMerge w:val="continue"/>
                </w:tcPr>
                <w:p w14:paraId="28CF2D15">
                  <w:pPr>
                    <w:jc w:val="center"/>
                    <w:rPr>
                      <w:rFonts w:ascii="宋体" w:hAnsi="宋体" w:cs="宋体"/>
                      <w:color w:val="auto"/>
                      <w:sz w:val="22"/>
                      <w:highlight w:val="none"/>
                    </w:rPr>
                  </w:pPr>
                </w:p>
              </w:tc>
              <w:tc>
                <w:tcPr>
                  <w:tcW w:w="2387" w:type="dxa"/>
                  <w:gridSpan w:val="3"/>
                  <w:vMerge w:val="continue"/>
                  <w:shd w:val="clear" w:color="auto" w:fill="auto"/>
                </w:tcPr>
                <w:p w14:paraId="2F013B19">
                  <w:pPr>
                    <w:jc w:val="center"/>
                    <w:rPr>
                      <w:rFonts w:ascii="宋体" w:hAnsi="宋体" w:cs="宋体"/>
                      <w:color w:val="auto"/>
                      <w:sz w:val="22"/>
                      <w:highlight w:val="none"/>
                    </w:rPr>
                  </w:pPr>
                </w:p>
              </w:tc>
              <w:tc>
                <w:tcPr>
                  <w:tcW w:w="1391" w:type="dxa"/>
                  <w:gridSpan w:val="3"/>
                  <w:shd w:val="clear" w:color="auto" w:fill="auto"/>
                </w:tcPr>
                <w:p w14:paraId="5D44F7F6">
                  <w:pPr>
                    <w:jc w:val="center"/>
                    <w:rPr>
                      <w:rFonts w:ascii="宋体" w:hAnsi="宋体" w:cs="宋体"/>
                      <w:color w:val="auto"/>
                      <w:sz w:val="22"/>
                      <w:highlight w:val="none"/>
                    </w:rPr>
                  </w:pPr>
                  <w:r>
                    <w:rPr>
                      <w:rFonts w:hint="eastAsia" w:ascii="宋体" w:hAnsi="宋体" w:cs="宋体"/>
                      <w:color w:val="auto"/>
                      <w:sz w:val="22"/>
                      <w:highlight w:val="none"/>
                    </w:rPr>
                    <w:t>2</w:t>
                  </w:r>
                </w:p>
              </w:tc>
              <w:tc>
                <w:tcPr>
                  <w:tcW w:w="1615" w:type="dxa"/>
                  <w:gridSpan w:val="2"/>
                  <w:shd w:val="clear" w:color="auto" w:fill="auto"/>
                </w:tcPr>
                <w:p w14:paraId="39E975F4">
                  <w:pPr>
                    <w:jc w:val="center"/>
                    <w:rPr>
                      <w:rFonts w:ascii="宋体" w:hAnsi="宋体" w:cs="宋体"/>
                      <w:color w:val="auto"/>
                      <w:sz w:val="22"/>
                      <w:highlight w:val="none"/>
                    </w:rPr>
                  </w:pPr>
                  <w:r>
                    <w:rPr>
                      <w:rFonts w:hint="eastAsia" w:ascii="宋体" w:hAnsi="宋体" w:cs="宋体"/>
                      <w:color w:val="auto"/>
                      <w:sz w:val="22"/>
                      <w:highlight w:val="none"/>
                    </w:rPr>
                    <w:t>13814</w:t>
                  </w:r>
                </w:p>
              </w:tc>
              <w:tc>
                <w:tcPr>
                  <w:tcW w:w="1859" w:type="dxa"/>
                </w:tcPr>
                <w:p w14:paraId="4C5EE676">
                  <w:pPr>
                    <w:jc w:val="center"/>
                    <w:rPr>
                      <w:rFonts w:ascii="宋体" w:hAnsi="宋体" w:cs="宋体"/>
                      <w:color w:val="auto"/>
                      <w:sz w:val="22"/>
                      <w:highlight w:val="none"/>
                    </w:rPr>
                  </w:pPr>
                  <w:r>
                    <w:rPr>
                      <w:rFonts w:hint="eastAsia" w:ascii="宋体" w:hAnsi="宋体" w:cs="宋体"/>
                      <w:color w:val="auto"/>
                      <w:sz w:val="22"/>
                      <w:highlight w:val="none"/>
                    </w:rPr>
                    <w:t>桂 A、B 2门厅</w:t>
                  </w:r>
                </w:p>
              </w:tc>
            </w:tr>
            <w:tr w14:paraId="7E4C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64" w:type="dxa"/>
                  <w:gridSpan w:val="2"/>
                </w:tcPr>
                <w:p w14:paraId="3546B04A">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投入年限</w:t>
                  </w:r>
                </w:p>
              </w:tc>
              <w:tc>
                <w:tcPr>
                  <w:tcW w:w="1577" w:type="dxa"/>
                </w:tcPr>
                <w:p w14:paraId="0E0BE6BC">
                  <w:pPr>
                    <w:ind w:firstLine="422"/>
                    <w:jc w:val="center"/>
                    <w:rPr>
                      <w:rFonts w:ascii="宋体" w:hAnsi="宋体" w:cs="宋体"/>
                      <w:b/>
                      <w:bCs/>
                      <w:color w:val="auto"/>
                      <w:sz w:val="22"/>
                      <w:highlight w:val="none"/>
                    </w:rPr>
                  </w:pPr>
                </w:p>
              </w:tc>
              <w:tc>
                <w:tcPr>
                  <w:tcW w:w="963" w:type="dxa"/>
                  <w:gridSpan w:val="2"/>
                </w:tcPr>
                <w:p w14:paraId="781D9AE7">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楼栋数量</w:t>
                  </w:r>
                </w:p>
              </w:tc>
              <w:tc>
                <w:tcPr>
                  <w:tcW w:w="1015" w:type="dxa"/>
                </w:tcPr>
                <w:p w14:paraId="5EF5C98F">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建筑面积</w:t>
                  </w:r>
                </w:p>
              </w:tc>
              <w:tc>
                <w:tcPr>
                  <w:tcW w:w="1733" w:type="dxa"/>
                  <w:gridSpan w:val="2"/>
                </w:tcPr>
                <w:p w14:paraId="2D7400FA">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投用时间</w:t>
                  </w:r>
                </w:p>
              </w:tc>
              <w:tc>
                <w:tcPr>
                  <w:tcW w:w="1950" w:type="dxa"/>
                  <w:gridSpan w:val="2"/>
                </w:tcPr>
                <w:p w14:paraId="205635D4">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备注</w:t>
                  </w:r>
                </w:p>
              </w:tc>
            </w:tr>
            <w:tr w14:paraId="680B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vMerge w:val="restart"/>
                </w:tcPr>
                <w:p w14:paraId="3F94B97D">
                  <w:pPr>
                    <w:jc w:val="center"/>
                    <w:rPr>
                      <w:rFonts w:ascii="宋体" w:hAnsi="宋体" w:cs="宋体"/>
                      <w:color w:val="auto"/>
                      <w:sz w:val="22"/>
                      <w:highlight w:val="none"/>
                    </w:rPr>
                  </w:pPr>
                  <w:r>
                    <w:rPr>
                      <w:rFonts w:hint="eastAsia" w:ascii="宋体" w:hAnsi="宋体" w:cs="宋体"/>
                      <w:color w:val="auto"/>
                      <w:sz w:val="22"/>
                      <w:highlight w:val="none"/>
                    </w:rPr>
                    <w:t>2025.8</w:t>
                  </w:r>
                </w:p>
                <w:p w14:paraId="280FDCA7">
                  <w:pPr>
                    <w:jc w:val="center"/>
                    <w:rPr>
                      <w:rFonts w:ascii="宋体" w:hAnsi="宋体" w:cs="宋体"/>
                      <w:color w:val="auto"/>
                      <w:sz w:val="22"/>
                      <w:highlight w:val="none"/>
                    </w:rPr>
                  </w:pPr>
                  <w:r>
                    <w:rPr>
                      <w:rFonts w:hint="eastAsia" w:ascii="宋体" w:hAnsi="宋体" w:cs="宋体"/>
                      <w:color w:val="auto"/>
                      <w:sz w:val="22"/>
                      <w:highlight w:val="none"/>
                    </w:rPr>
                    <w:t>二期学生宿舍</w:t>
                  </w:r>
                </w:p>
              </w:tc>
              <w:tc>
                <w:tcPr>
                  <w:tcW w:w="1577" w:type="dxa"/>
                  <w:vAlign w:val="center"/>
                </w:tcPr>
                <w:p w14:paraId="6B27D288">
                  <w:pPr>
                    <w:jc w:val="center"/>
                    <w:rPr>
                      <w:rFonts w:ascii="宋体" w:hAnsi="宋体" w:cs="宋体"/>
                      <w:color w:val="auto"/>
                      <w:sz w:val="22"/>
                      <w:highlight w:val="none"/>
                    </w:rPr>
                  </w:pPr>
                  <w:r>
                    <w:rPr>
                      <w:rFonts w:hint="eastAsia" w:ascii="宋体" w:hAnsi="宋体" w:cs="宋体"/>
                      <w:color w:val="auto"/>
                      <w:sz w:val="22"/>
                      <w:highlight w:val="none"/>
                    </w:rPr>
                    <w:t>杨</w:t>
                  </w:r>
                </w:p>
              </w:tc>
              <w:tc>
                <w:tcPr>
                  <w:tcW w:w="963" w:type="dxa"/>
                  <w:gridSpan w:val="2"/>
                  <w:vMerge w:val="restart"/>
                </w:tcPr>
                <w:p w14:paraId="6519C98F">
                  <w:pPr>
                    <w:jc w:val="center"/>
                    <w:rPr>
                      <w:rFonts w:ascii="宋体" w:hAnsi="宋体" w:cs="宋体"/>
                      <w:color w:val="auto"/>
                      <w:sz w:val="22"/>
                      <w:highlight w:val="none"/>
                    </w:rPr>
                  </w:pPr>
                  <w:r>
                    <w:rPr>
                      <w:rFonts w:hint="eastAsia" w:ascii="宋体" w:hAnsi="宋体" w:cs="宋体"/>
                      <w:color w:val="auto"/>
                      <w:sz w:val="22"/>
                      <w:highlight w:val="none"/>
                    </w:rPr>
                    <w:t>3</w:t>
                  </w:r>
                </w:p>
              </w:tc>
              <w:tc>
                <w:tcPr>
                  <w:tcW w:w="1015" w:type="dxa"/>
                </w:tcPr>
                <w:p w14:paraId="186BCDBF">
                  <w:pPr>
                    <w:jc w:val="center"/>
                    <w:rPr>
                      <w:rFonts w:ascii="宋体" w:hAnsi="宋体" w:cs="宋体"/>
                      <w:color w:val="auto"/>
                      <w:sz w:val="22"/>
                      <w:highlight w:val="none"/>
                    </w:rPr>
                  </w:pPr>
                  <w:r>
                    <w:rPr>
                      <w:rFonts w:hint="eastAsia" w:ascii="宋体" w:hAnsi="宋体" w:cs="宋体"/>
                      <w:color w:val="auto"/>
                      <w:sz w:val="22"/>
                      <w:highlight w:val="none"/>
                    </w:rPr>
                    <w:t>13867</w:t>
                  </w:r>
                </w:p>
              </w:tc>
              <w:tc>
                <w:tcPr>
                  <w:tcW w:w="1733" w:type="dxa"/>
                  <w:gridSpan w:val="2"/>
                </w:tcPr>
                <w:p w14:paraId="56E4DC9A">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vMerge w:val="restart"/>
                </w:tcPr>
                <w:p w14:paraId="69862D2B">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72688平方米（另外架空层3597平方米），占地104978平方米，9个学生组团，1417个房间，3103个床位.其中杨，桐，樟2025年8月投用3栋。其他6栋2026年8月投用。</w:t>
                  </w:r>
                </w:p>
              </w:tc>
            </w:tr>
            <w:tr w14:paraId="7564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vMerge w:val="continue"/>
                </w:tcPr>
                <w:p w14:paraId="2BF0819D">
                  <w:pPr>
                    <w:jc w:val="center"/>
                    <w:rPr>
                      <w:rFonts w:ascii="宋体" w:hAnsi="宋体" w:cs="宋体"/>
                      <w:color w:val="auto"/>
                      <w:sz w:val="22"/>
                      <w:highlight w:val="none"/>
                    </w:rPr>
                  </w:pPr>
                </w:p>
              </w:tc>
              <w:tc>
                <w:tcPr>
                  <w:tcW w:w="1577" w:type="dxa"/>
                  <w:vAlign w:val="center"/>
                </w:tcPr>
                <w:p w14:paraId="1267CA21">
                  <w:pPr>
                    <w:jc w:val="center"/>
                    <w:rPr>
                      <w:rFonts w:ascii="宋体" w:hAnsi="宋体" w:cs="宋体"/>
                      <w:color w:val="auto"/>
                      <w:sz w:val="22"/>
                      <w:highlight w:val="none"/>
                    </w:rPr>
                  </w:pPr>
                  <w:r>
                    <w:rPr>
                      <w:rFonts w:hint="eastAsia" w:ascii="宋体" w:hAnsi="宋体" w:cs="宋体"/>
                      <w:color w:val="auto"/>
                      <w:sz w:val="22"/>
                      <w:highlight w:val="none"/>
                    </w:rPr>
                    <w:t>桐</w:t>
                  </w:r>
                </w:p>
              </w:tc>
              <w:tc>
                <w:tcPr>
                  <w:tcW w:w="963" w:type="dxa"/>
                  <w:gridSpan w:val="2"/>
                  <w:vMerge w:val="continue"/>
                </w:tcPr>
                <w:p w14:paraId="5261DC0F">
                  <w:pPr>
                    <w:jc w:val="center"/>
                    <w:rPr>
                      <w:rFonts w:ascii="宋体" w:hAnsi="宋体" w:cs="宋体"/>
                      <w:color w:val="auto"/>
                      <w:sz w:val="22"/>
                      <w:highlight w:val="none"/>
                    </w:rPr>
                  </w:pPr>
                </w:p>
              </w:tc>
              <w:tc>
                <w:tcPr>
                  <w:tcW w:w="1015" w:type="dxa"/>
                </w:tcPr>
                <w:p w14:paraId="3F9EC977">
                  <w:pPr>
                    <w:jc w:val="center"/>
                    <w:rPr>
                      <w:rFonts w:ascii="宋体" w:hAnsi="宋体" w:cs="宋体"/>
                      <w:color w:val="auto"/>
                      <w:sz w:val="22"/>
                      <w:highlight w:val="none"/>
                    </w:rPr>
                  </w:pPr>
                  <w:r>
                    <w:rPr>
                      <w:rFonts w:hint="eastAsia" w:ascii="宋体" w:hAnsi="宋体" w:cs="宋体"/>
                      <w:color w:val="auto"/>
                      <w:sz w:val="22"/>
                      <w:highlight w:val="none"/>
                    </w:rPr>
                    <w:t>6048</w:t>
                  </w:r>
                </w:p>
              </w:tc>
              <w:tc>
                <w:tcPr>
                  <w:tcW w:w="1733" w:type="dxa"/>
                  <w:gridSpan w:val="2"/>
                </w:tcPr>
                <w:p w14:paraId="73E081BD">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vMerge w:val="continue"/>
                </w:tcPr>
                <w:p w14:paraId="75D32286">
                  <w:pPr>
                    <w:spacing w:line="280" w:lineRule="exact"/>
                    <w:jc w:val="center"/>
                    <w:rPr>
                      <w:rFonts w:ascii="宋体" w:hAnsi="宋体" w:cs="宋体"/>
                      <w:color w:val="auto"/>
                      <w:sz w:val="22"/>
                      <w:highlight w:val="none"/>
                    </w:rPr>
                  </w:pPr>
                </w:p>
              </w:tc>
            </w:tr>
            <w:tr w14:paraId="480F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vMerge w:val="continue"/>
                </w:tcPr>
                <w:p w14:paraId="17A7F81C">
                  <w:pPr>
                    <w:jc w:val="center"/>
                    <w:rPr>
                      <w:rFonts w:ascii="宋体" w:hAnsi="宋体" w:cs="宋体"/>
                      <w:color w:val="auto"/>
                      <w:sz w:val="22"/>
                      <w:highlight w:val="none"/>
                    </w:rPr>
                  </w:pPr>
                </w:p>
              </w:tc>
              <w:tc>
                <w:tcPr>
                  <w:tcW w:w="1577" w:type="dxa"/>
                  <w:vAlign w:val="center"/>
                </w:tcPr>
                <w:p w14:paraId="08AE3C66">
                  <w:pPr>
                    <w:jc w:val="center"/>
                    <w:rPr>
                      <w:rFonts w:ascii="宋体" w:hAnsi="宋体" w:cs="宋体"/>
                      <w:color w:val="auto"/>
                      <w:sz w:val="22"/>
                      <w:highlight w:val="none"/>
                    </w:rPr>
                  </w:pPr>
                  <w:r>
                    <w:rPr>
                      <w:rFonts w:hint="eastAsia" w:ascii="宋体" w:hAnsi="宋体" w:cs="宋体"/>
                      <w:color w:val="auto"/>
                      <w:sz w:val="22"/>
                      <w:highlight w:val="none"/>
                    </w:rPr>
                    <w:t>樟</w:t>
                  </w:r>
                </w:p>
              </w:tc>
              <w:tc>
                <w:tcPr>
                  <w:tcW w:w="963" w:type="dxa"/>
                  <w:gridSpan w:val="2"/>
                  <w:vMerge w:val="continue"/>
                </w:tcPr>
                <w:p w14:paraId="68AD1768">
                  <w:pPr>
                    <w:jc w:val="center"/>
                    <w:rPr>
                      <w:rFonts w:ascii="宋体" w:hAnsi="宋体" w:cs="宋体"/>
                      <w:color w:val="auto"/>
                      <w:sz w:val="22"/>
                      <w:highlight w:val="none"/>
                    </w:rPr>
                  </w:pPr>
                </w:p>
              </w:tc>
              <w:tc>
                <w:tcPr>
                  <w:tcW w:w="1015" w:type="dxa"/>
                </w:tcPr>
                <w:p w14:paraId="266E8256">
                  <w:pPr>
                    <w:jc w:val="center"/>
                    <w:rPr>
                      <w:rFonts w:ascii="宋体" w:hAnsi="宋体" w:cs="宋体"/>
                      <w:color w:val="auto"/>
                      <w:sz w:val="22"/>
                      <w:highlight w:val="none"/>
                    </w:rPr>
                  </w:pPr>
                  <w:r>
                    <w:rPr>
                      <w:rFonts w:hint="eastAsia" w:ascii="宋体" w:hAnsi="宋体" w:cs="宋体"/>
                      <w:color w:val="auto"/>
                      <w:sz w:val="22"/>
                      <w:highlight w:val="none"/>
                    </w:rPr>
                    <w:t>5551</w:t>
                  </w:r>
                </w:p>
              </w:tc>
              <w:tc>
                <w:tcPr>
                  <w:tcW w:w="1733" w:type="dxa"/>
                  <w:gridSpan w:val="2"/>
                </w:tcPr>
                <w:p w14:paraId="7E25970C">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vMerge w:val="continue"/>
                </w:tcPr>
                <w:p w14:paraId="085479B7">
                  <w:pPr>
                    <w:spacing w:line="280" w:lineRule="exact"/>
                    <w:jc w:val="center"/>
                    <w:rPr>
                      <w:rFonts w:ascii="宋体" w:hAnsi="宋体" w:cs="宋体"/>
                      <w:color w:val="auto"/>
                      <w:sz w:val="22"/>
                      <w:highlight w:val="none"/>
                    </w:rPr>
                  </w:pPr>
                </w:p>
              </w:tc>
            </w:tr>
            <w:tr w14:paraId="217E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vMerge w:val="continue"/>
                </w:tcPr>
                <w:p w14:paraId="7603350E">
                  <w:pPr>
                    <w:jc w:val="center"/>
                    <w:rPr>
                      <w:rFonts w:ascii="宋体" w:hAnsi="宋体" w:cs="宋体"/>
                      <w:color w:val="auto"/>
                      <w:sz w:val="22"/>
                      <w:highlight w:val="none"/>
                    </w:rPr>
                  </w:pPr>
                </w:p>
              </w:tc>
              <w:tc>
                <w:tcPr>
                  <w:tcW w:w="1577" w:type="dxa"/>
                </w:tcPr>
                <w:p w14:paraId="542CA2DC">
                  <w:pPr>
                    <w:jc w:val="center"/>
                    <w:rPr>
                      <w:rFonts w:ascii="宋体" w:hAnsi="宋体" w:cs="宋体"/>
                      <w:color w:val="auto"/>
                      <w:sz w:val="22"/>
                      <w:highlight w:val="none"/>
                    </w:rPr>
                  </w:pPr>
                  <w:r>
                    <w:rPr>
                      <w:rFonts w:hint="eastAsia" w:ascii="宋体" w:hAnsi="宋体" w:cs="宋体"/>
                      <w:color w:val="auto"/>
                      <w:sz w:val="22"/>
                      <w:highlight w:val="none"/>
                    </w:rPr>
                    <w:t>后勤宿舍</w:t>
                  </w:r>
                </w:p>
              </w:tc>
              <w:tc>
                <w:tcPr>
                  <w:tcW w:w="963" w:type="dxa"/>
                  <w:gridSpan w:val="2"/>
                </w:tcPr>
                <w:p w14:paraId="2BE65560">
                  <w:pPr>
                    <w:jc w:val="center"/>
                    <w:rPr>
                      <w:rFonts w:ascii="宋体" w:hAnsi="宋体" w:cs="宋体"/>
                      <w:color w:val="auto"/>
                      <w:sz w:val="22"/>
                      <w:highlight w:val="none"/>
                    </w:rPr>
                  </w:pPr>
                  <w:r>
                    <w:rPr>
                      <w:rFonts w:hint="eastAsia" w:ascii="宋体" w:hAnsi="宋体" w:cs="宋体"/>
                      <w:color w:val="auto"/>
                      <w:sz w:val="22"/>
                      <w:highlight w:val="none"/>
                    </w:rPr>
                    <w:t>1</w:t>
                  </w:r>
                </w:p>
              </w:tc>
              <w:tc>
                <w:tcPr>
                  <w:tcW w:w="1015" w:type="dxa"/>
                </w:tcPr>
                <w:p w14:paraId="1FE994E0">
                  <w:pPr>
                    <w:jc w:val="center"/>
                    <w:rPr>
                      <w:rFonts w:ascii="宋体" w:hAnsi="宋体" w:cs="宋体"/>
                      <w:color w:val="auto"/>
                      <w:sz w:val="22"/>
                      <w:highlight w:val="none"/>
                    </w:rPr>
                  </w:pPr>
                  <w:r>
                    <w:rPr>
                      <w:rFonts w:hint="eastAsia" w:ascii="宋体" w:hAnsi="宋体" w:cs="宋体"/>
                      <w:color w:val="auto"/>
                      <w:sz w:val="22"/>
                      <w:highlight w:val="none"/>
                    </w:rPr>
                    <w:t>1840</w:t>
                  </w:r>
                </w:p>
              </w:tc>
              <w:tc>
                <w:tcPr>
                  <w:tcW w:w="1733" w:type="dxa"/>
                  <w:gridSpan w:val="2"/>
                </w:tcPr>
                <w:p w14:paraId="454553D6">
                  <w:pPr>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vMerge w:val="continue"/>
                </w:tcPr>
                <w:p w14:paraId="34B7AC3A">
                  <w:pPr>
                    <w:jc w:val="center"/>
                    <w:rPr>
                      <w:rFonts w:ascii="宋体" w:hAnsi="宋体" w:cs="宋体"/>
                      <w:color w:val="auto"/>
                      <w:sz w:val="22"/>
                      <w:highlight w:val="none"/>
                    </w:rPr>
                  </w:pPr>
                </w:p>
              </w:tc>
            </w:tr>
            <w:tr w14:paraId="3998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vMerge w:val="continue"/>
                </w:tcPr>
                <w:p w14:paraId="3A4512C7">
                  <w:pPr>
                    <w:jc w:val="center"/>
                    <w:rPr>
                      <w:rFonts w:ascii="宋体" w:hAnsi="宋体" w:cs="宋体"/>
                      <w:color w:val="auto"/>
                      <w:sz w:val="22"/>
                      <w:highlight w:val="none"/>
                    </w:rPr>
                  </w:pPr>
                </w:p>
              </w:tc>
              <w:tc>
                <w:tcPr>
                  <w:tcW w:w="1577" w:type="dxa"/>
                </w:tcPr>
                <w:p w14:paraId="3D4D8988">
                  <w:pPr>
                    <w:jc w:val="center"/>
                    <w:rPr>
                      <w:rFonts w:ascii="宋体" w:hAnsi="宋体" w:cs="宋体"/>
                      <w:color w:val="auto"/>
                      <w:sz w:val="22"/>
                      <w:highlight w:val="none"/>
                    </w:rPr>
                  </w:pPr>
                  <w:r>
                    <w:rPr>
                      <w:rFonts w:hint="eastAsia" w:ascii="宋体" w:hAnsi="宋体" w:cs="宋体"/>
                      <w:color w:val="auto"/>
                      <w:sz w:val="22"/>
                      <w:highlight w:val="none"/>
                    </w:rPr>
                    <w:t>三号食堂</w:t>
                  </w:r>
                </w:p>
              </w:tc>
              <w:tc>
                <w:tcPr>
                  <w:tcW w:w="963" w:type="dxa"/>
                  <w:gridSpan w:val="2"/>
                </w:tcPr>
                <w:p w14:paraId="6252791A">
                  <w:pPr>
                    <w:jc w:val="center"/>
                    <w:rPr>
                      <w:rFonts w:ascii="宋体" w:hAnsi="宋体" w:cs="宋体"/>
                      <w:color w:val="auto"/>
                      <w:sz w:val="22"/>
                      <w:highlight w:val="none"/>
                    </w:rPr>
                  </w:pPr>
                  <w:r>
                    <w:rPr>
                      <w:rFonts w:hint="eastAsia" w:ascii="宋体" w:hAnsi="宋体" w:cs="宋体"/>
                      <w:color w:val="auto"/>
                      <w:sz w:val="22"/>
                      <w:highlight w:val="none"/>
                    </w:rPr>
                    <w:t>1</w:t>
                  </w:r>
                </w:p>
              </w:tc>
              <w:tc>
                <w:tcPr>
                  <w:tcW w:w="1015" w:type="dxa"/>
                </w:tcPr>
                <w:p w14:paraId="65860774">
                  <w:pPr>
                    <w:jc w:val="center"/>
                    <w:rPr>
                      <w:rFonts w:ascii="宋体" w:hAnsi="宋体" w:cs="宋体"/>
                      <w:color w:val="auto"/>
                      <w:sz w:val="22"/>
                      <w:highlight w:val="none"/>
                    </w:rPr>
                  </w:pPr>
                  <w:r>
                    <w:rPr>
                      <w:rFonts w:hint="eastAsia" w:ascii="宋体" w:hAnsi="宋体" w:cs="宋体"/>
                      <w:color w:val="auto"/>
                      <w:sz w:val="22"/>
                      <w:highlight w:val="none"/>
                    </w:rPr>
                    <w:t>3735</w:t>
                  </w:r>
                </w:p>
              </w:tc>
              <w:tc>
                <w:tcPr>
                  <w:tcW w:w="1733" w:type="dxa"/>
                  <w:gridSpan w:val="2"/>
                </w:tcPr>
                <w:p w14:paraId="04F5EE53">
                  <w:pPr>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vMerge w:val="continue"/>
                </w:tcPr>
                <w:p w14:paraId="007200C9">
                  <w:pPr>
                    <w:jc w:val="center"/>
                    <w:rPr>
                      <w:rFonts w:ascii="宋体" w:hAnsi="宋体" w:cs="宋体"/>
                      <w:color w:val="auto"/>
                      <w:sz w:val="22"/>
                      <w:highlight w:val="none"/>
                    </w:rPr>
                  </w:pPr>
                </w:p>
              </w:tc>
            </w:tr>
            <w:tr w14:paraId="2689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vMerge w:val="continue"/>
                </w:tcPr>
                <w:p w14:paraId="09642D04">
                  <w:pPr>
                    <w:jc w:val="center"/>
                    <w:rPr>
                      <w:rFonts w:ascii="宋体" w:hAnsi="宋体" w:cs="宋体"/>
                      <w:color w:val="auto"/>
                      <w:sz w:val="22"/>
                      <w:highlight w:val="none"/>
                    </w:rPr>
                  </w:pPr>
                </w:p>
              </w:tc>
              <w:tc>
                <w:tcPr>
                  <w:tcW w:w="1577" w:type="dxa"/>
                </w:tcPr>
                <w:p w14:paraId="6DFA839C">
                  <w:pPr>
                    <w:jc w:val="center"/>
                    <w:rPr>
                      <w:rFonts w:ascii="宋体" w:hAnsi="宋体" w:cs="宋体"/>
                      <w:color w:val="auto"/>
                      <w:sz w:val="22"/>
                      <w:highlight w:val="none"/>
                    </w:rPr>
                  </w:pPr>
                  <w:r>
                    <w:rPr>
                      <w:rFonts w:hint="eastAsia" w:ascii="宋体" w:hAnsi="宋体" w:cs="宋体"/>
                      <w:color w:val="auto"/>
                      <w:sz w:val="22"/>
                      <w:highlight w:val="none"/>
                    </w:rPr>
                    <w:t>开闭所及水泵</w:t>
                  </w:r>
                </w:p>
              </w:tc>
              <w:tc>
                <w:tcPr>
                  <w:tcW w:w="963" w:type="dxa"/>
                  <w:gridSpan w:val="2"/>
                </w:tcPr>
                <w:p w14:paraId="0C562A42">
                  <w:pPr>
                    <w:jc w:val="center"/>
                    <w:rPr>
                      <w:rFonts w:ascii="宋体" w:hAnsi="宋体" w:cs="宋体"/>
                      <w:color w:val="auto"/>
                      <w:sz w:val="22"/>
                      <w:highlight w:val="none"/>
                    </w:rPr>
                  </w:pPr>
                  <w:r>
                    <w:rPr>
                      <w:rFonts w:hint="eastAsia" w:ascii="宋体" w:hAnsi="宋体" w:cs="宋体"/>
                      <w:color w:val="auto"/>
                      <w:sz w:val="22"/>
                      <w:highlight w:val="none"/>
                    </w:rPr>
                    <w:t>1</w:t>
                  </w:r>
                </w:p>
              </w:tc>
              <w:tc>
                <w:tcPr>
                  <w:tcW w:w="1015" w:type="dxa"/>
                </w:tcPr>
                <w:p w14:paraId="4E910DC4">
                  <w:pPr>
                    <w:jc w:val="center"/>
                    <w:rPr>
                      <w:rFonts w:ascii="宋体" w:hAnsi="宋体" w:cs="宋体"/>
                      <w:color w:val="auto"/>
                      <w:sz w:val="22"/>
                      <w:highlight w:val="none"/>
                    </w:rPr>
                  </w:pPr>
                  <w:r>
                    <w:rPr>
                      <w:rFonts w:hint="eastAsia" w:ascii="宋体" w:hAnsi="宋体" w:cs="宋体"/>
                      <w:color w:val="auto"/>
                      <w:sz w:val="22"/>
                      <w:highlight w:val="none"/>
                    </w:rPr>
                    <w:t>800</w:t>
                  </w:r>
                </w:p>
              </w:tc>
              <w:tc>
                <w:tcPr>
                  <w:tcW w:w="1733" w:type="dxa"/>
                  <w:gridSpan w:val="2"/>
                </w:tcPr>
                <w:p w14:paraId="4D5502D2">
                  <w:pPr>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vMerge w:val="continue"/>
                </w:tcPr>
                <w:p w14:paraId="5BA59932">
                  <w:pPr>
                    <w:jc w:val="center"/>
                    <w:rPr>
                      <w:rFonts w:ascii="宋体" w:hAnsi="宋体" w:cs="宋体"/>
                      <w:color w:val="auto"/>
                      <w:sz w:val="22"/>
                      <w:highlight w:val="none"/>
                    </w:rPr>
                  </w:pPr>
                </w:p>
              </w:tc>
            </w:tr>
            <w:tr w14:paraId="4ECB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4" w:type="dxa"/>
                  <w:gridSpan w:val="2"/>
                </w:tcPr>
                <w:p w14:paraId="277610C8">
                  <w:pPr>
                    <w:jc w:val="center"/>
                    <w:rPr>
                      <w:rFonts w:ascii="宋体" w:hAnsi="宋体" w:cs="宋体"/>
                      <w:color w:val="auto"/>
                      <w:sz w:val="22"/>
                      <w:highlight w:val="none"/>
                    </w:rPr>
                  </w:pPr>
                </w:p>
              </w:tc>
              <w:tc>
                <w:tcPr>
                  <w:tcW w:w="1577" w:type="dxa"/>
                </w:tcPr>
                <w:p w14:paraId="3E779462">
                  <w:pPr>
                    <w:jc w:val="center"/>
                    <w:rPr>
                      <w:rFonts w:ascii="宋体" w:hAnsi="宋体" w:cs="宋体"/>
                      <w:color w:val="auto"/>
                      <w:sz w:val="22"/>
                      <w:highlight w:val="none"/>
                    </w:rPr>
                  </w:pPr>
                  <w:r>
                    <w:rPr>
                      <w:rFonts w:hint="eastAsia" w:ascii="宋体" w:hAnsi="宋体" w:cs="宋体"/>
                      <w:color w:val="auto"/>
                      <w:sz w:val="22"/>
                      <w:highlight w:val="none"/>
                    </w:rPr>
                    <w:t>合计</w:t>
                  </w:r>
                </w:p>
              </w:tc>
              <w:tc>
                <w:tcPr>
                  <w:tcW w:w="963" w:type="dxa"/>
                  <w:gridSpan w:val="2"/>
                </w:tcPr>
                <w:p w14:paraId="7E48BBAC">
                  <w:pPr>
                    <w:jc w:val="center"/>
                    <w:rPr>
                      <w:rFonts w:ascii="宋体" w:hAnsi="宋体" w:cs="宋体"/>
                      <w:color w:val="auto"/>
                      <w:sz w:val="22"/>
                      <w:highlight w:val="none"/>
                    </w:rPr>
                  </w:pPr>
                  <w:r>
                    <w:rPr>
                      <w:rFonts w:hint="eastAsia" w:ascii="宋体" w:hAnsi="宋体" w:cs="宋体"/>
                      <w:color w:val="auto"/>
                      <w:sz w:val="22"/>
                      <w:highlight w:val="none"/>
                    </w:rPr>
                    <w:t>6</w:t>
                  </w:r>
                </w:p>
              </w:tc>
              <w:tc>
                <w:tcPr>
                  <w:tcW w:w="1015" w:type="dxa"/>
                </w:tcPr>
                <w:p w14:paraId="22BEC608">
                  <w:pPr>
                    <w:jc w:val="center"/>
                    <w:rPr>
                      <w:rFonts w:ascii="宋体" w:hAnsi="宋体" w:cs="宋体"/>
                      <w:color w:val="auto"/>
                      <w:sz w:val="22"/>
                      <w:highlight w:val="none"/>
                    </w:rPr>
                  </w:pPr>
                  <w:r>
                    <w:rPr>
                      <w:rFonts w:hint="eastAsia" w:ascii="宋体" w:hAnsi="宋体" w:cs="宋体"/>
                      <w:color w:val="auto"/>
                      <w:sz w:val="22"/>
                      <w:highlight w:val="none"/>
                    </w:rPr>
                    <w:t>31841</w:t>
                  </w:r>
                </w:p>
              </w:tc>
              <w:tc>
                <w:tcPr>
                  <w:tcW w:w="1733" w:type="dxa"/>
                  <w:gridSpan w:val="2"/>
                </w:tcPr>
                <w:p w14:paraId="2439ECB6">
                  <w:pPr>
                    <w:jc w:val="center"/>
                    <w:rPr>
                      <w:rFonts w:ascii="宋体" w:hAnsi="宋体" w:cs="宋体"/>
                      <w:color w:val="auto"/>
                      <w:sz w:val="22"/>
                      <w:highlight w:val="none"/>
                    </w:rPr>
                  </w:pPr>
                  <w:r>
                    <w:rPr>
                      <w:rFonts w:hint="eastAsia" w:ascii="宋体" w:hAnsi="宋体" w:cs="宋体"/>
                      <w:color w:val="auto"/>
                      <w:sz w:val="22"/>
                      <w:highlight w:val="none"/>
                    </w:rPr>
                    <w:t>2025年8月</w:t>
                  </w:r>
                </w:p>
              </w:tc>
              <w:tc>
                <w:tcPr>
                  <w:tcW w:w="1950" w:type="dxa"/>
                  <w:gridSpan w:val="2"/>
                </w:tcPr>
                <w:p w14:paraId="056B7D0E">
                  <w:pPr>
                    <w:jc w:val="center"/>
                    <w:rPr>
                      <w:rFonts w:ascii="宋体" w:hAnsi="宋体" w:cs="宋体"/>
                      <w:color w:val="auto"/>
                      <w:sz w:val="22"/>
                      <w:highlight w:val="none"/>
                    </w:rPr>
                  </w:pPr>
                </w:p>
              </w:tc>
            </w:tr>
          </w:tbl>
          <w:p w14:paraId="2F754353">
            <w:pPr>
              <w:rPr>
                <w:rFonts w:ascii="宋体" w:hAnsi="宋体" w:cs="宋体"/>
                <w:color w:val="auto"/>
                <w:sz w:val="22"/>
                <w:highlight w:val="none"/>
              </w:rPr>
            </w:pPr>
          </w:p>
          <w:p w14:paraId="7967EF90">
            <w:pPr>
              <w:rPr>
                <w:rFonts w:ascii="宋体" w:hAnsi="宋体" w:cs="宋体"/>
                <w:b/>
                <w:bCs/>
                <w:color w:val="auto"/>
                <w:sz w:val="22"/>
                <w:highlight w:val="none"/>
              </w:rPr>
            </w:pPr>
            <w:r>
              <w:rPr>
                <w:rFonts w:hint="eastAsia" w:ascii="宋体" w:hAnsi="宋体" w:cs="宋体"/>
                <w:b/>
                <w:bCs/>
                <w:color w:val="auto"/>
                <w:sz w:val="22"/>
                <w:highlight w:val="none"/>
              </w:rPr>
              <w:t>新增服务范围：</w:t>
            </w:r>
          </w:p>
          <w:tbl>
            <w:tblPr>
              <w:tblStyle w:val="31"/>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577"/>
              <w:gridCol w:w="963"/>
              <w:gridCol w:w="1015"/>
              <w:gridCol w:w="1733"/>
              <w:gridCol w:w="1837"/>
            </w:tblGrid>
            <w:tr w14:paraId="607A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52" w:type="dxa"/>
                </w:tcPr>
                <w:p w14:paraId="235E6D23">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投入年限</w:t>
                  </w:r>
                </w:p>
              </w:tc>
              <w:tc>
                <w:tcPr>
                  <w:tcW w:w="1577" w:type="dxa"/>
                </w:tcPr>
                <w:p w14:paraId="788D9B12">
                  <w:pPr>
                    <w:ind w:firstLine="422"/>
                    <w:jc w:val="center"/>
                    <w:rPr>
                      <w:rFonts w:ascii="宋体" w:hAnsi="宋体" w:cs="宋体"/>
                      <w:b/>
                      <w:bCs/>
                      <w:color w:val="auto"/>
                      <w:sz w:val="22"/>
                      <w:highlight w:val="none"/>
                    </w:rPr>
                  </w:pPr>
                </w:p>
              </w:tc>
              <w:tc>
                <w:tcPr>
                  <w:tcW w:w="963" w:type="dxa"/>
                </w:tcPr>
                <w:p w14:paraId="6B830D0E">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楼栋数量</w:t>
                  </w:r>
                </w:p>
              </w:tc>
              <w:tc>
                <w:tcPr>
                  <w:tcW w:w="1015" w:type="dxa"/>
                </w:tcPr>
                <w:p w14:paraId="1D98B452">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建筑面积</w:t>
                  </w:r>
                </w:p>
              </w:tc>
              <w:tc>
                <w:tcPr>
                  <w:tcW w:w="1733" w:type="dxa"/>
                </w:tcPr>
                <w:p w14:paraId="064A665D">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投用时间</w:t>
                  </w:r>
                </w:p>
              </w:tc>
              <w:tc>
                <w:tcPr>
                  <w:tcW w:w="1837" w:type="dxa"/>
                </w:tcPr>
                <w:p w14:paraId="6F45B694">
                  <w:pPr>
                    <w:ind w:firstLine="422"/>
                    <w:jc w:val="center"/>
                    <w:rPr>
                      <w:rFonts w:ascii="宋体" w:hAnsi="宋体" w:cs="宋体"/>
                      <w:b/>
                      <w:bCs/>
                      <w:color w:val="auto"/>
                      <w:sz w:val="22"/>
                      <w:highlight w:val="none"/>
                    </w:rPr>
                  </w:pPr>
                  <w:r>
                    <w:rPr>
                      <w:rFonts w:hint="eastAsia" w:ascii="宋体" w:hAnsi="宋体" w:cs="宋体"/>
                      <w:b/>
                      <w:bCs/>
                      <w:color w:val="auto"/>
                      <w:sz w:val="22"/>
                      <w:highlight w:val="none"/>
                    </w:rPr>
                    <w:t>备注</w:t>
                  </w:r>
                </w:p>
              </w:tc>
            </w:tr>
            <w:tr w14:paraId="1C8C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restart"/>
                </w:tcPr>
                <w:p w14:paraId="70D8F831">
                  <w:pPr>
                    <w:jc w:val="center"/>
                    <w:rPr>
                      <w:rFonts w:ascii="宋体" w:hAnsi="宋体" w:cs="宋体"/>
                      <w:color w:val="auto"/>
                      <w:sz w:val="22"/>
                      <w:highlight w:val="none"/>
                    </w:rPr>
                  </w:pPr>
                </w:p>
                <w:p w14:paraId="726AB1C6">
                  <w:pPr>
                    <w:jc w:val="center"/>
                    <w:rPr>
                      <w:rFonts w:ascii="宋体" w:hAnsi="宋体" w:cs="宋体"/>
                      <w:color w:val="auto"/>
                      <w:sz w:val="22"/>
                      <w:highlight w:val="none"/>
                    </w:rPr>
                  </w:pPr>
                </w:p>
                <w:p w14:paraId="4CEF8FCA">
                  <w:pPr>
                    <w:jc w:val="center"/>
                    <w:rPr>
                      <w:rFonts w:ascii="宋体" w:hAnsi="宋体" w:cs="宋体"/>
                      <w:color w:val="auto"/>
                      <w:sz w:val="22"/>
                      <w:highlight w:val="none"/>
                    </w:rPr>
                  </w:pPr>
                  <w:r>
                    <w:rPr>
                      <w:rFonts w:hint="eastAsia" w:ascii="宋体" w:hAnsi="宋体" w:cs="宋体"/>
                      <w:color w:val="auto"/>
                      <w:sz w:val="22"/>
                      <w:highlight w:val="none"/>
                    </w:rPr>
                    <w:t>2026.8</w:t>
                  </w:r>
                </w:p>
                <w:p w14:paraId="1D6C282E">
                  <w:pPr>
                    <w:jc w:val="center"/>
                    <w:rPr>
                      <w:rFonts w:ascii="宋体" w:hAnsi="宋体" w:cs="宋体"/>
                      <w:color w:val="auto"/>
                      <w:sz w:val="22"/>
                      <w:highlight w:val="none"/>
                    </w:rPr>
                  </w:pPr>
                  <w:r>
                    <w:rPr>
                      <w:rFonts w:hint="eastAsia" w:ascii="宋体" w:hAnsi="宋体" w:cs="宋体"/>
                      <w:color w:val="auto"/>
                      <w:sz w:val="22"/>
                      <w:highlight w:val="none"/>
                    </w:rPr>
                    <w:t>二期学生宿舍</w:t>
                  </w:r>
                </w:p>
              </w:tc>
              <w:tc>
                <w:tcPr>
                  <w:tcW w:w="1577" w:type="dxa"/>
                  <w:vAlign w:val="center"/>
                </w:tcPr>
                <w:p w14:paraId="594E207C">
                  <w:pPr>
                    <w:jc w:val="center"/>
                    <w:rPr>
                      <w:rFonts w:ascii="宋体" w:hAnsi="宋体" w:cs="宋体"/>
                      <w:color w:val="auto"/>
                      <w:sz w:val="22"/>
                      <w:highlight w:val="none"/>
                    </w:rPr>
                  </w:pPr>
                </w:p>
              </w:tc>
              <w:tc>
                <w:tcPr>
                  <w:tcW w:w="963" w:type="dxa"/>
                  <w:vMerge w:val="restart"/>
                </w:tcPr>
                <w:p w14:paraId="1CF4A52E">
                  <w:pPr>
                    <w:jc w:val="center"/>
                    <w:rPr>
                      <w:rFonts w:ascii="宋体" w:hAnsi="宋体" w:cs="宋体"/>
                      <w:color w:val="auto"/>
                      <w:sz w:val="22"/>
                      <w:highlight w:val="none"/>
                    </w:rPr>
                  </w:pPr>
                </w:p>
                <w:p w14:paraId="3E9B3416">
                  <w:pPr>
                    <w:jc w:val="center"/>
                    <w:rPr>
                      <w:rFonts w:ascii="宋体" w:hAnsi="宋体" w:cs="宋体"/>
                      <w:color w:val="auto"/>
                      <w:sz w:val="22"/>
                      <w:highlight w:val="none"/>
                    </w:rPr>
                  </w:pPr>
                </w:p>
                <w:p w14:paraId="25412298">
                  <w:pPr>
                    <w:jc w:val="center"/>
                    <w:rPr>
                      <w:rFonts w:ascii="宋体" w:hAnsi="宋体" w:cs="宋体"/>
                      <w:color w:val="auto"/>
                      <w:sz w:val="22"/>
                      <w:highlight w:val="none"/>
                    </w:rPr>
                  </w:pPr>
                  <w:r>
                    <w:rPr>
                      <w:rFonts w:hint="eastAsia" w:ascii="宋体" w:hAnsi="宋体" w:cs="宋体"/>
                      <w:color w:val="auto"/>
                      <w:sz w:val="22"/>
                      <w:highlight w:val="none"/>
                    </w:rPr>
                    <w:t>6</w:t>
                  </w:r>
                </w:p>
              </w:tc>
              <w:tc>
                <w:tcPr>
                  <w:tcW w:w="1015" w:type="dxa"/>
                </w:tcPr>
                <w:p w14:paraId="4ED8EA20">
                  <w:pPr>
                    <w:jc w:val="center"/>
                    <w:rPr>
                      <w:rFonts w:ascii="宋体" w:hAnsi="宋体" w:cs="宋体"/>
                      <w:color w:val="auto"/>
                      <w:sz w:val="22"/>
                      <w:highlight w:val="none"/>
                    </w:rPr>
                  </w:pPr>
                </w:p>
              </w:tc>
              <w:tc>
                <w:tcPr>
                  <w:tcW w:w="1733" w:type="dxa"/>
                </w:tcPr>
                <w:p w14:paraId="729A9D59">
                  <w:pPr>
                    <w:spacing w:line="280" w:lineRule="exact"/>
                    <w:jc w:val="center"/>
                    <w:rPr>
                      <w:rFonts w:ascii="宋体" w:hAnsi="宋体" w:cs="宋体"/>
                      <w:color w:val="auto"/>
                      <w:sz w:val="22"/>
                      <w:highlight w:val="none"/>
                    </w:rPr>
                  </w:pPr>
                </w:p>
              </w:tc>
              <w:tc>
                <w:tcPr>
                  <w:tcW w:w="1837" w:type="dxa"/>
                  <w:vMerge w:val="restart"/>
                </w:tcPr>
                <w:p w14:paraId="3093435D">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72688平方米（另外架空层3597平方米），占地104978平方米，9个学生组团，1417个房间，3103个床位.其中杨，桐，樟2025年8月投用3栋。其他6栋2026年8月投用。</w:t>
                  </w:r>
                </w:p>
              </w:tc>
            </w:tr>
            <w:tr w14:paraId="239A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continue"/>
                </w:tcPr>
                <w:p w14:paraId="43E10D6C">
                  <w:pPr>
                    <w:jc w:val="center"/>
                    <w:rPr>
                      <w:rFonts w:ascii="宋体" w:hAnsi="宋体" w:cs="宋体"/>
                      <w:color w:val="auto"/>
                      <w:sz w:val="22"/>
                      <w:highlight w:val="none"/>
                    </w:rPr>
                  </w:pPr>
                </w:p>
              </w:tc>
              <w:tc>
                <w:tcPr>
                  <w:tcW w:w="1577" w:type="dxa"/>
                  <w:vAlign w:val="center"/>
                </w:tcPr>
                <w:p w14:paraId="2BCCBEEE">
                  <w:pPr>
                    <w:jc w:val="center"/>
                    <w:rPr>
                      <w:rFonts w:ascii="宋体" w:hAnsi="宋体" w:cs="宋体"/>
                      <w:color w:val="auto"/>
                      <w:sz w:val="22"/>
                      <w:highlight w:val="none"/>
                    </w:rPr>
                  </w:pPr>
                  <w:r>
                    <w:rPr>
                      <w:rFonts w:hint="eastAsia" w:ascii="宋体" w:hAnsi="宋体" w:cs="宋体"/>
                      <w:color w:val="auto"/>
                      <w:sz w:val="22"/>
                      <w:highlight w:val="none"/>
                    </w:rPr>
                    <w:t>桉</w:t>
                  </w:r>
                </w:p>
              </w:tc>
              <w:tc>
                <w:tcPr>
                  <w:tcW w:w="963" w:type="dxa"/>
                  <w:vMerge w:val="continue"/>
                </w:tcPr>
                <w:p w14:paraId="68C56A01">
                  <w:pPr>
                    <w:jc w:val="center"/>
                    <w:rPr>
                      <w:rFonts w:ascii="宋体" w:hAnsi="宋体" w:cs="宋体"/>
                      <w:color w:val="auto"/>
                      <w:sz w:val="22"/>
                      <w:highlight w:val="none"/>
                    </w:rPr>
                  </w:pPr>
                </w:p>
              </w:tc>
              <w:tc>
                <w:tcPr>
                  <w:tcW w:w="1015" w:type="dxa"/>
                </w:tcPr>
                <w:p w14:paraId="78809561">
                  <w:pPr>
                    <w:jc w:val="center"/>
                    <w:rPr>
                      <w:rFonts w:ascii="宋体" w:hAnsi="宋体" w:cs="宋体"/>
                      <w:color w:val="auto"/>
                      <w:sz w:val="22"/>
                      <w:highlight w:val="none"/>
                    </w:rPr>
                  </w:pPr>
                  <w:r>
                    <w:rPr>
                      <w:rFonts w:hint="eastAsia" w:ascii="宋体" w:hAnsi="宋体" w:cs="宋体"/>
                      <w:color w:val="auto"/>
                      <w:sz w:val="22"/>
                      <w:highlight w:val="none"/>
                    </w:rPr>
                    <w:t>6460</w:t>
                  </w:r>
                </w:p>
              </w:tc>
              <w:tc>
                <w:tcPr>
                  <w:tcW w:w="1733" w:type="dxa"/>
                </w:tcPr>
                <w:p w14:paraId="77EFB574">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vMerge w:val="continue"/>
                </w:tcPr>
                <w:p w14:paraId="42110FDD">
                  <w:pPr>
                    <w:spacing w:line="280" w:lineRule="exact"/>
                    <w:jc w:val="center"/>
                    <w:rPr>
                      <w:rFonts w:ascii="宋体" w:hAnsi="宋体" w:cs="宋体"/>
                      <w:color w:val="auto"/>
                      <w:sz w:val="22"/>
                      <w:highlight w:val="none"/>
                    </w:rPr>
                  </w:pPr>
                </w:p>
              </w:tc>
            </w:tr>
            <w:tr w14:paraId="05A6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continue"/>
                </w:tcPr>
                <w:p w14:paraId="200EBDA3">
                  <w:pPr>
                    <w:jc w:val="center"/>
                    <w:rPr>
                      <w:rFonts w:ascii="宋体" w:hAnsi="宋体" w:cs="宋体"/>
                      <w:color w:val="auto"/>
                      <w:sz w:val="22"/>
                      <w:highlight w:val="none"/>
                    </w:rPr>
                  </w:pPr>
                </w:p>
              </w:tc>
              <w:tc>
                <w:tcPr>
                  <w:tcW w:w="1577" w:type="dxa"/>
                  <w:vAlign w:val="center"/>
                </w:tcPr>
                <w:p w14:paraId="708DC93D">
                  <w:pPr>
                    <w:jc w:val="center"/>
                    <w:rPr>
                      <w:rFonts w:ascii="宋体" w:hAnsi="宋体" w:cs="宋体"/>
                      <w:color w:val="auto"/>
                      <w:sz w:val="22"/>
                      <w:highlight w:val="none"/>
                    </w:rPr>
                  </w:pPr>
                  <w:r>
                    <w:rPr>
                      <w:rFonts w:hint="eastAsia" w:ascii="宋体" w:hAnsi="宋体" w:cs="宋体"/>
                      <w:color w:val="auto"/>
                      <w:sz w:val="22"/>
                      <w:highlight w:val="none"/>
                    </w:rPr>
                    <w:t>棕</w:t>
                  </w:r>
                </w:p>
              </w:tc>
              <w:tc>
                <w:tcPr>
                  <w:tcW w:w="963" w:type="dxa"/>
                  <w:vMerge w:val="continue"/>
                </w:tcPr>
                <w:p w14:paraId="0A6E1DC1">
                  <w:pPr>
                    <w:jc w:val="center"/>
                    <w:rPr>
                      <w:rFonts w:ascii="宋体" w:hAnsi="宋体" w:cs="宋体"/>
                      <w:color w:val="auto"/>
                      <w:sz w:val="22"/>
                      <w:highlight w:val="none"/>
                    </w:rPr>
                  </w:pPr>
                </w:p>
              </w:tc>
              <w:tc>
                <w:tcPr>
                  <w:tcW w:w="1015" w:type="dxa"/>
                </w:tcPr>
                <w:p w14:paraId="3D781A81">
                  <w:pPr>
                    <w:jc w:val="center"/>
                    <w:rPr>
                      <w:rFonts w:ascii="宋体" w:hAnsi="宋体" w:cs="宋体"/>
                      <w:color w:val="auto"/>
                      <w:sz w:val="22"/>
                      <w:highlight w:val="none"/>
                    </w:rPr>
                  </w:pPr>
                  <w:r>
                    <w:rPr>
                      <w:rFonts w:hint="eastAsia" w:ascii="宋体" w:hAnsi="宋体" w:cs="宋体"/>
                      <w:color w:val="auto"/>
                      <w:sz w:val="22"/>
                      <w:highlight w:val="none"/>
                    </w:rPr>
                    <w:t>6218</w:t>
                  </w:r>
                </w:p>
              </w:tc>
              <w:tc>
                <w:tcPr>
                  <w:tcW w:w="1733" w:type="dxa"/>
                </w:tcPr>
                <w:p w14:paraId="439D92D7">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vMerge w:val="continue"/>
                </w:tcPr>
                <w:p w14:paraId="0F1722FE">
                  <w:pPr>
                    <w:spacing w:line="280" w:lineRule="exact"/>
                    <w:jc w:val="center"/>
                    <w:rPr>
                      <w:rFonts w:ascii="宋体" w:hAnsi="宋体" w:cs="宋体"/>
                      <w:color w:val="auto"/>
                      <w:sz w:val="22"/>
                      <w:highlight w:val="none"/>
                    </w:rPr>
                  </w:pPr>
                </w:p>
              </w:tc>
            </w:tr>
            <w:tr w14:paraId="7228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continue"/>
                </w:tcPr>
                <w:p w14:paraId="7A9F7E45">
                  <w:pPr>
                    <w:jc w:val="center"/>
                    <w:rPr>
                      <w:rFonts w:ascii="宋体" w:hAnsi="宋体" w:cs="宋体"/>
                      <w:color w:val="auto"/>
                      <w:sz w:val="22"/>
                      <w:highlight w:val="none"/>
                    </w:rPr>
                  </w:pPr>
                </w:p>
              </w:tc>
              <w:tc>
                <w:tcPr>
                  <w:tcW w:w="1577" w:type="dxa"/>
                  <w:vAlign w:val="center"/>
                </w:tcPr>
                <w:p w14:paraId="53BC1075">
                  <w:pPr>
                    <w:jc w:val="center"/>
                    <w:rPr>
                      <w:rFonts w:ascii="宋体" w:hAnsi="宋体" w:cs="宋体"/>
                      <w:color w:val="auto"/>
                      <w:sz w:val="22"/>
                      <w:highlight w:val="none"/>
                    </w:rPr>
                  </w:pPr>
                  <w:r>
                    <w:rPr>
                      <w:rFonts w:hint="eastAsia" w:ascii="宋体" w:hAnsi="宋体" w:cs="宋体"/>
                      <w:color w:val="auto"/>
                      <w:sz w:val="22"/>
                      <w:highlight w:val="none"/>
                    </w:rPr>
                    <w:t>桦</w:t>
                  </w:r>
                </w:p>
              </w:tc>
              <w:tc>
                <w:tcPr>
                  <w:tcW w:w="963" w:type="dxa"/>
                  <w:vMerge w:val="continue"/>
                </w:tcPr>
                <w:p w14:paraId="70D027DA">
                  <w:pPr>
                    <w:jc w:val="center"/>
                    <w:rPr>
                      <w:rFonts w:ascii="宋体" w:hAnsi="宋体" w:cs="宋体"/>
                      <w:color w:val="auto"/>
                      <w:sz w:val="22"/>
                      <w:highlight w:val="none"/>
                    </w:rPr>
                  </w:pPr>
                </w:p>
              </w:tc>
              <w:tc>
                <w:tcPr>
                  <w:tcW w:w="1015" w:type="dxa"/>
                </w:tcPr>
                <w:p w14:paraId="7C95BDBE">
                  <w:pPr>
                    <w:jc w:val="center"/>
                    <w:rPr>
                      <w:rFonts w:ascii="宋体" w:hAnsi="宋体" w:cs="宋体"/>
                      <w:color w:val="auto"/>
                      <w:sz w:val="22"/>
                      <w:highlight w:val="none"/>
                    </w:rPr>
                  </w:pPr>
                  <w:r>
                    <w:rPr>
                      <w:rFonts w:hint="eastAsia" w:ascii="宋体" w:hAnsi="宋体" w:cs="宋体"/>
                      <w:color w:val="auto"/>
                      <w:sz w:val="22"/>
                      <w:highlight w:val="none"/>
                    </w:rPr>
                    <w:t>5619</w:t>
                  </w:r>
                </w:p>
              </w:tc>
              <w:tc>
                <w:tcPr>
                  <w:tcW w:w="1733" w:type="dxa"/>
                </w:tcPr>
                <w:p w14:paraId="179D236D">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vMerge w:val="continue"/>
                </w:tcPr>
                <w:p w14:paraId="0264DAC0">
                  <w:pPr>
                    <w:spacing w:line="280" w:lineRule="exact"/>
                    <w:jc w:val="center"/>
                    <w:rPr>
                      <w:rFonts w:ascii="宋体" w:hAnsi="宋体" w:cs="宋体"/>
                      <w:color w:val="auto"/>
                      <w:sz w:val="22"/>
                      <w:highlight w:val="none"/>
                    </w:rPr>
                  </w:pPr>
                </w:p>
              </w:tc>
            </w:tr>
            <w:tr w14:paraId="38E4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continue"/>
                </w:tcPr>
                <w:p w14:paraId="1FD5A3DF">
                  <w:pPr>
                    <w:jc w:val="center"/>
                    <w:rPr>
                      <w:rFonts w:ascii="宋体" w:hAnsi="宋体" w:cs="宋体"/>
                      <w:color w:val="auto"/>
                      <w:sz w:val="22"/>
                      <w:highlight w:val="none"/>
                    </w:rPr>
                  </w:pPr>
                </w:p>
              </w:tc>
              <w:tc>
                <w:tcPr>
                  <w:tcW w:w="1577" w:type="dxa"/>
                  <w:vAlign w:val="center"/>
                </w:tcPr>
                <w:p w14:paraId="61FC7328">
                  <w:pPr>
                    <w:jc w:val="center"/>
                    <w:rPr>
                      <w:rFonts w:ascii="宋体" w:hAnsi="宋体" w:cs="宋体"/>
                      <w:color w:val="auto"/>
                      <w:sz w:val="22"/>
                      <w:highlight w:val="none"/>
                    </w:rPr>
                  </w:pPr>
                  <w:r>
                    <w:rPr>
                      <w:rFonts w:hint="eastAsia" w:ascii="宋体" w:hAnsi="宋体" w:cs="宋体"/>
                      <w:color w:val="auto"/>
                      <w:sz w:val="22"/>
                      <w:highlight w:val="none"/>
                    </w:rPr>
                    <w:t>橡</w:t>
                  </w:r>
                </w:p>
              </w:tc>
              <w:tc>
                <w:tcPr>
                  <w:tcW w:w="963" w:type="dxa"/>
                  <w:vMerge w:val="continue"/>
                </w:tcPr>
                <w:p w14:paraId="2CDABADF">
                  <w:pPr>
                    <w:jc w:val="center"/>
                    <w:rPr>
                      <w:rFonts w:ascii="宋体" w:hAnsi="宋体" w:cs="宋体"/>
                      <w:color w:val="auto"/>
                      <w:sz w:val="22"/>
                      <w:highlight w:val="none"/>
                    </w:rPr>
                  </w:pPr>
                </w:p>
              </w:tc>
              <w:tc>
                <w:tcPr>
                  <w:tcW w:w="1015" w:type="dxa"/>
                </w:tcPr>
                <w:p w14:paraId="5E3FC1B8">
                  <w:pPr>
                    <w:jc w:val="center"/>
                    <w:rPr>
                      <w:rFonts w:ascii="宋体" w:hAnsi="宋体" w:cs="宋体"/>
                      <w:color w:val="auto"/>
                      <w:sz w:val="22"/>
                      <w:highlight w:val="none"/>
                    </w:rPr>
                  </w:pPr>
                  <w:r>
                    <w:rPr>
                      <w:rFonts w:hint="eastAsia" w:ascii="宋体" w:hAnsi="宋体" w:cs="宋体"/>
                      <w:color w:val="auto"/>
                      <w:sz w:val="22"/>
                      <w:highlight w:val="none"/>
                    </w:rPr>
                    <w:t>6827</w:t>
                  </w:r>
                </w:p>
              </w:tc>
              <w:tc>
                <w:tcPr>
                  <w:tcW w:w="1733" w:type="dxa"/>
                </w:tcPr>
                <w:p w14:paraId="4EF79F56">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vMerge w:val="continue"/>
                </w:tcPr>
                <w:p w14:paraId="0CA88AE0">
                  <w:pPr>
                    <w:spacing w:line="280" w:lineRule="exact"/>
                    <w:jc w:val="center"/>
                    <w:rPr>
                      <w:rFonts w:ascii="宋体" w:hAnsi="宋体" w:cs="宋体"/>
                      <w:color w:val="auto"/>
                      <w:sz w:val="22"/>
                      <w:highlight w:val="none"/>
                    </w:rPr>
                  </w:pPr>
                </w:p>
              </w:tc>
            </w:tr>
            <w:tr w14:paraId="5860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continue"/>
                </w:tcPr>
                <w:p w14:paraId="2CF72E9E">
                  <w:pPr>
                    <w:jc w:val="center"/>
                    <w:rPr>
                      <w:rFonts w:ascii="宋体" w:hAnsi="宋体" w:cs="宋体"/>
                      <w:color w:val="auto"/>
                      <w:sz w:val="22"/>
                      <w:highlight w:val="none"/>
                    </w:rPr>
                  </w:pPr>
                </w:p>
              </w:tc>
              <w:tc>
                <w:tcPr>
                  <w:tcW w:w="1577" w:type="dxa"/>
                  <w:vAlign w:val="center"/>
                </w:tcPr>
                <w:p w14:paraId="21C44136">
                  <w:pPr>
                    <w:jc w:val="center"/>
                    <w:rPr>
                      <w:rFonts w:ascii="宋体" w:hAnsi="宋体" w:cs="宋体"/>
                      <w:color w:val="auto"/>
                      <w:sz w:val="22"/>
                      <w:highlight w:val="none"/>
                    </w:rPr>
                  </w:pPr>
                  <w:r>
                    <w:rPr>
                      <w:rFonts w:hint="eastAsia" w:ascii="宋体" w:hAnsi="宋体" w:cs="宋体"/>
                      <w:color w:val="auto"/>
                      <w:sz w:val="22"/>
                      <w:highlight w:val="none"/>
                    </w:rPr>
                    <w:t>栗</w:t>
                  </w:r>
                </w:p>
              </w:tc>
              <w:tc>
                <w:tcPr>
                  <w:tcW w:w="963" w:type="dxa"/>
                  <w:vMerge w:val="continue"/>
                </w:tcPr>
                <w:p w14:paraId="010677FB">
                  <w:pPr>
                    <w:jc w:val="center"/>
                    <w:rPr>
                      <w:rFonts w:ascii="宋体" w:hAnsi="宋体" w:cs="宋体"/>
                      <w:color w:val="auto"/>
                      <w:sz w:val="22"/>
                      <w:highlight w:val="none"/>
                    </w:rPr>
                  </w:pPr>
                </w:p>
              </w:tc>
              <w:tc>
                <w:tcPr>
                  <w:tcW w:w="1015" w:type="dxa"/>
                </w:tcPr>
                <w:p w14:paraId="703596F9">
                  <w:pPr>
                    <w:jc w:val="center"/>
                    <w:rPr>
                      <w:rFonts w:ascii="宋体" w:hAnsi="宋体" w:cs="宋体"/>
                      <w:color w:val="auto"/>
                      <w:sz w:val="22"/>
                      <w:highlight w:val="none"/>
                    </w:rPr>
                  </w:pPr>
                  <w:r>
                    <w:rPr>
                      <w:rFonts w:hint="eastAsia" w:ascii="宋体" w:hAnsi="宋体" w:cs="宋体"/>
                      <w:color w:val="auto"/>
                      <w:sz w:val="22"/>
                      <w:highlight w:val="none"/>
                    </w:rPr>
                    <w:t>6442</w:t>
                  </w:r>
                </w:p>
              </w:tc>
              <w:tc>
                <w:tcPr>
                  <w:tcW w:w="1733" w:type="dxa"/>
                </w:tcPr>
                <w:p w14:paraId="52EDB08A">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vMerge w:val="continue"/>
                </w:tcPr>
                <w:p w14:paraId="039A7AAC">
                  <w:pPr>
                    <w:spacing w:line="280" w:lineRule="exact"/>
                    <w:jc w:val="center"/>
                    <w:rPr>
                      <w:rFonts w:ascii="宋体" w:hAnsi="宋体" w:cs="宋体"/>
                      <w:color w:val="auto"/>
                      <w:sz w:val="22"/>
                      <w:highlight w:val="none"/>
                    </w:rPr>
                  </w:pPr>
                </w:p>
              </w:tc>
            </w:tr>
            <w:tr w14:paraId="2D98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vMerge w:val="continue"/>
                </w:tcPr>
                <w:p w14:paraId="165D7872">
                  <w:pPr>
                    <w:jc w:val="center"/>
                    <w:rPr>
                      <w:rFonts w:ascii="宋体" w:hAnsi="宋体" w:cs="宋体"/>
                      <w:color w:val="auto"/>
                      <w:sz w:val="22"/>
                      <w:highlight w:val="none"/>
                    </w:rPr>
                  </w:pPr>
                </w:p>
              </w:tc>
              <w:tc>
                <w:tcPr>
                  <w:tcW w:w="1577" w:type="dxa"/>
                  <w:vAlign w:val="center"/>
                </w:tcPr>
                <w:p w14:paraId="1AE262C4">
                  <w:pPr>
                    <w:jc w:val="center"/>
                    <w:rPr>
                      <w:rFonts w:ascii="宋体" w:hAnsi="宋体" w:cs="宋体"/>
                      <w:color w:val="auto"/>
                      <w:sz w:val="22"/>
                      <w:highlight w:val="none"/>
                    </w:rPr>
                  </w:pPr>
                  <w:r>
                    <w:rPr>
                      <w:rFonts w:hint="eastAsia" w:ascii="宋体" w:hAnsi="宋体" w:cs="宋体"/>
                      <w:color w:val="auto"/>
                      <w:sz w:val="22"/>
                      <w:highlight w:val="none"/>
                    </w:rPr>
                    <w:t>榛</w:t>
                  </w:r>
                </w:p>
              </w:tc>
              <w:tc>
                <w:tcPr>
                  <w:tcW w:w="963" w:type="dxa"/>
                  <w:vMerge w:val="continue"/>
                </w:tcPr>
                <w:p w14:paraId="79F3B943">
                  <w:pPr>
                    <w:jc w:val="center"/>
                    <w:rPr>
                      <w:rFonts w:ascii="宋体" w:hAnsi="宋体" w:cs="宋体"/>
                      <w:color w:val="auto"/>
                      <w:sz w:val="22"/>
                      <w:highlight w:val="none"/>
                    </w:rPr>
                  </w:pPr>
                </w:p>
              </w:tc>
              <w:tc>
                <w:tcPr>
                  <w:tcW w:w="1015" w:type="dxa"/>
                </w:tcPr>
                <w:p w14:paraId="16174B29">
                  <w:pPr>
                    <w:jc w:val="center"/>
                    <w:rPr>
                      <w:rFonts w:ascii="宋体" w:hAnsi="宋体" w:cs="宋体"/>
                      <w:color w:val="auto"/>
                      <w:sz w:val="22"/>
                      <w:highlight w:val="none"/>
                    </w:rPr>
                  </w:pPr>
                  <w:r>
                    <w:rPr>
                      <w:rFonts w:hint="eastAsia" w:ascii="宋体" w:hAnsi="宋体" w:cs="宋体"/>
                      <w:color w:val="auto"/>
                      <w:sz w:val="22"/>
                      <w:highlight w:val="none"/>
                    </w:rPr>
                    <w:t>9881</w:t>
                  </w:r>
                </w:p>
              </w:tc>
              <w:tc>
                <w:tcPr>
                  <w:tcW w:w="1733" w:type="dxa"/>
                </w:tcPr>
                <w:p w14:paraId="16AB1546">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vMerge w:val="continue"/>
                </w:tcPr>
                <w:p w14:paraId="3C5BECCE">
                  <w:pPr>
                    <w:spacing w:line="280" w:lineRule="exact"/>
                    <w:jc w:val="center"/>
                    <w:rPr>
                      <w:rFonts w:ascii="宋体" w:hAnsi="宋体" w:cs="宋体"/>
                      <w:color w:val="auto"/>
                      <w:sz w:val="22"/>
                      <w:highlight w:val="none"/>
                    </w:rPr>
                  </w:pPr>
                </w:p>
              </w:tc>
            </w:tr>
            <w:tr w14:paraId="2DBC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2" w:type="dxa"/>
                </w:tcPr>
                <w:p w14:paraId="2C1121D4">
                  <w:pPr>
                    <w:jc w:val="center"/>
                    <w:rPr>
                      <w:rFonts w:ascii="宋体" w:hAnsi="宋体" w:cs="宋体"/>
                      <w:color w:val="auto"/>
                      <w:sz w:val="22"/>
                      <w:highlight w:val="none"/>
                    </w:rPr>
                  </w:pPr>
                </w:p>
              </w:tc>
              <w:tc>
                <w:tcPr>
                  <w:tcW w:w="1577" w:type="dxa"/>
                  <w:vAlign w:val="center"/>
                </w:tcPr>
                <w:p w14:paraId="517BDC26">
                  <w:pPr>
                    <w:jc w:val="center"/>
                    <w:rPr>
                      <w:rFonts w:ascii="宋体" w:hAnsi="宋体" w:cs="宋体"/>
                      <w:color w:val="auto"/>
                      <w:sz w:val="22"/>
                      <w:highlight w:val="none"/>
                    </w:rPr>
                  </w:pPr>
                  <w:r>
                    <w:rPr>
                      <w:rFonts w:hint="eastAsia" w:ascii="宋体" w:hAnsi="宋体" w:cs="宋体"/>
                      <w:color w:val="auto"/>
                      <w:sz w:val="22"/>
                      <w:highlight w:val="none"/>
                    </w:rPr>
                    <w:t>合计</w:t>
                  </w:r>
                </w:p>
              </w:tc>
              <w:tc>
                <w:tcPr>
                  <w:tcW w:w="963" w:type="dxa"/>
                </w:tcPr>
                <w:p w14:paraId="3B005E53">
                  <w:pPr>
                    <w:jc w:val="center"/>
                    <w:rPr>
                      <w:rFonts w:ascii="宋体" w:hAnsi="宋体" w:cs="宋体"/>
                      <w:color w:val="auto"/>
                      <w:sz w:val="22"/>
                      <w:highlight w:val="none"/>
                    </w:rPr>
                  </w:pPr>
                  <w:r>
                    <w:rPr>
                      <w:rFonts w:hint="eastAsia" w:ascii="宋体" w:hAnsi="宋体" w:cs="宋体"/>
                      <w:color w:val="auto"/>
                      <w:sz w:val="22"/>
                      <w:highlight w:val="none"/>
                    </w:rPr>
                    <w:t>6</w:t>
                  </w:r>
                </w:p>
              </w:tc>
              <w:tc>
                <w:tcPr>
                  <w:tcW w:w="1015" w:type="dxa"/>
                </w:tcPr>
                <w:p w14:paraId="73C97EEC">
                  <w:pPr>
                    <w:jc w:val="center"/>
                    <w:rPr>
                      <w:rFonts w:ascii="宋体" w:hAnsi="宋体" w:cs="宋体"/>
                      <w:color w:val="auto"/>
                      <w:sz w:val="22"/>
                      <w:highlight w:val="none"/>
                    </w:rPr>
                  </w:pPr>
                  <w:r>
                    <w:rPr>
                      <w:rFonts w:hint="eastAsia" w:ascii="宋体" w:hAnsi="宋体" w:cs="宋体"/>
                      <w:color w:val="auto"/>
                      <w:sz w:val="22"/>
                      <w:highlight w:val="none"/>
                    </w:rPr>
                    <w:t>41447</w:t>
                  </w:r>
                </w:p>
              </w:tc>
              <w:tc>
                <w:tcPr>
                  <w:tcW w:w="1733" w:type="dxa"/>
                </w:tcPr>
                <w:p w14:paraId="56FBCE67">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2026年8月</w:t>
                  </w:r>
                </w:p>
              </w:tc>
              <w:tc>
                <w:tcPr>
                  <w:tcW w:w="1837" w:type="dxa"/>
                </w:tcPr>
                <w:p w14:paraId="72801F37">
                  <w:pPr>
                    <w:spacing w:line="280" w:lineRule="exact"/>
                    <w:jc w:val="center"/>
                    <w:rPr>
                      <w:rFonts w:ascii="宋体" w:hAnsi="宋体" w:cs="宋体"/>
                      <w:color w:val="auto"/>
                      <w:sz w:val="22"/>
                      <w:highlight w:val="none"/>
                    </w:rPr>
                  </w:pPr>
                </w:p>
              </w:tc>
            </w:tr>
            <w:tr w14:paraId="5A05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052" w:type="dxa"/>
                </w:tcPr>
                <w:p w14:paraId="0DCFB034">
                  <w:pPr>
                    <w:jc w:val="center"/>
                    <w:rPr>
                      <w:rFonts w:ascii="宋体" w:hAnsi="宋体" w:cs="宋体"/>
                      <w:color w:val="auto"/>
                      <w:sz w:val="22"/>
                      <w:highlight w:val="none"/>
                    </w:rPr>
                  </w:pPr>
                  <w:r>
                    <w:rPr>
                      <w:rFonts w:hint="eastAsia" w:ascii="宋体" w:hAnsi="宋体" w:cs="宋体"/>
                      <w:color w:val="auto"/>
                      <w:sz w:val="22"/>
                      <w:highlight w:val="none"/>
                    </w:rPr>
                    <w:t>2027.3</w:t>
                  </w:r>
                </w:p>
              </w:tc>
              <w:tc>
                <w:tcPr>
                  <w:tcW w:w="1577" w:type="dxa"/>
                </w:tcPr>
                <w:p w14:paraId="73A78464">
                  <w:pPr>
                    <w:jc w:val="center"/>
                    <w:rPr>
                      <w:rFonts w:ascii="宋体" w:hAnsi="宋体" w:cs="宋体"/>
                      <w:color w:val="auto"/>
                      <w:sz w:val="22"/>
                      <w:highlight w:val="none"/>
                    </w:rPr>
                  </w:pPr>
                  <w:r>
                    <w:rPr>
                      <w:rFonts w:hint="eastAsia" w:ascii="宋体" w:hAnsi="宋体" w:cs="宋体"/>
                      <w:color w:val="auto"/>
                      <w:sz w:val="22"/>
                      <w:highlight w:val="none"/>
                    </w:rPr>
                    <w:t>二期教师公寓</w:t>
                  </w:r>
                </w:p>
              </w:tc>
              <w:tc>
                <w:tcPr>
                  <w:tcW w:w="963" w:type="dxa"/>
                </w:tcPr>
                <w:p w14:paraId="7C8EF7CC">
                  <w:pPr>
                    <w:jc w:val="center"/>
                    <w:rPr>
                      <w:rFonts w:ascii="宋体" w:hAnsi="宋体" w:cs="宋体"/>
                      <w:color w:val="auto"/>
                      <w:sz w:val="22"/>
                      <w:highlight w:val="none"/>
                    </w:rPr>
                  </w:pPr>
                  <w:r>
                    <w:rPr>
                      <w:rFonts w:hint="eastAsia" w:ascii="宋体" w:hAnsi="宋体" w:cs="宋体"/>
                      <w:color w:val="auto"/>
                      <w:sz w:val="22"/>
                      <w:highlight w:val="none"/>
                    </w:rPr>
                    <w:t>8</w:t>
                  </w:r>
                </w:p>
              </w:tc>
              <w:tc>
                <w:tcPr>
                  <w:tcW w:w="1015" w:type="dxa"/>
                </w:tcPr>
                <w:p w14:paraId="13C53689">
                  <w:pPr>
                    <w:jc w:val="center"/>
                    <w:rPr>
                      <w:rFonts w:ascii="宋体" w:hAnsi="宋体" w:cs="宋体"/>
                      <w:color w:val="auto"/>
                      <w:sz w:val="22"/>
                      <w:highlight w:val="none"/>
                    </w:rPr>
                  </w:pPr>
                  <w:r>
                    <w:rPr>
                      <w:rFonts w:hint="eastAsia" w:ascii="宋体" w:hAnsi="宋体" w:cs="宋体"/>
                      <w:color w:val="auto"/>
                      <w:sz w:val="22"/>
                      <w:highlight w:val="none"/>
                    </w:rPr>
                    <w:t>42730</w:t>
                  </w:r>
                </w:p>
              </w:tc>
              <w:tc>
                <w:tcPr>
                  <w:tcW w:w="1733" w:type="dxa"/>
                </w:tcPr>
                <w:p w14:paraId="0FC9EF21">
                  <w:pPr>
                    <w:jc w:val="center"/>
                    <w:rPr>
                      <w:rFonts w:ascii="宋体" w:hAnsi="宋体" w:cs="宋体"/>
                      <w:color w:val="auto"/>
                      <w:sz w:val="22"/>
                      <w:highlight w:val="none"/>
                    </w:rPr>
                  </w:pPr>
                  <w:r>
                    <w:rPr>
                      <w:rFonts w:hint="eastAsia" w:ascii="宋体" w:hAnsi="宋体" w:cs="宋体"/>
                      <w:color w:val="auto"/>
                      <w:sz w:val="22"/>
                      <w:highlight w:val="none"/>
                    </w:rPr>
                    <w:t>2027年3月</w:t>
                  </w:r>
                </w:p>
              </w:tc>
              <w:tc>
                <w:tcPr>
                  <w:tcW w:w="1837" w:type="dxa"/>
                </w:tcPr>
                <w:p w14:paraId="50E771CB">
                  <w:pPr>
                    <w:jc w:val="center"/>
                    <w:rPr>
                      <w:rFonts w:ascii="宋体" w:hAnsi="宋体" w:cs="宋体"/>
                      <w:color w:val="auto"/>
                      <w:sz w:val="22"/>
                      <w:highlight w:val="none"/>
                    </w:rPr>
                  </w:pPr>
                  <w:r>
                    <w:rPr>
                      <w:rFonts w:hint="eastAsia" w:ascii="宋体" w:hAnsi="宋体" w:cs="宋体"/>
                      <w:color w:val="auto"/>
                      <w:sz w:val="22"/>
                      <w:highlight w:val="none"/>
                    </w:rPr>
                    <w:t>总建筑面积为：42730平方米，（地上面积为32080平方米，地下室面积10650）。计划2027年3月投用。</w:t>
                  </w:r>
                </w:p>
              </w:tc>
            </w:tr>
            <w:tr w14:paraId="5653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52" w:type="dxa"/>
                </w:tcPr>
                <w:p w14:paraId="6B929498">
                  <w:pPr>
                    <w:jc w:val="center"/>
                    <w:rPr>
                      <w:rFonts w:ascii="宋体" w:hAnsi="宋体" w:cs="宋体"/>
                      <w:color w:val="auto"/>
                      <w:sz w:val="22"/>
                      <w:highlight w:val="none"/>
                    </w:rPr>
                  </w:pPr>
                </w:p>
              </w:tc>
              <w:tc>
                <w:tcPr>
                  <w:tcW w:w="1577" w:type="dxa"/>
                </w:tcPr>
                <w:p w14:paraId="45558B6D">
                  <w:pPr>
                    <w:jc w:val="center"/>
                    <w:rPr>
                      <w:rFonts w:ascii="宋体" w:hAnsi="宋体" w:cs="宋体"/>
                      <w:color w:val="auto"/>
                      <w:sz w:val="22"/>
                      <w:highlight w:val="none"/>
                    </w:rPr>
                  </w:pPr>
                  <w:r>
                    <w:rPr>
                      <w:rFonts w:hint="eastAsia" w:ascii="宋体" w:hAnsi="宋体" w:cs="宋体"/>
                      <w:color w:val="auto"/>
                      <w:sz w:val="22"/>
                      <w:highlight w:val="none"/>
                    </w:rPr>
                    <w:t>合计</w:t>
                  </w:r>
                </w:p>
              </w:tc>
              <w:tc>
                <w:tcPr>
                  <w:tcW w:w="963" w:type="dxa"/>
                </w:tcPr>
                <w:p w14:paraId="455EAA12">
                  <w:pPr>
                    <w:jc w:val="center"/>
                    <w:rPr>
                      <w:rFonts w:ascii="宋体" w:hAnsi="宋体" w:cs="宋体"/>
                      <w:color w:val="auto"/>
                      <w:sz w:val="22"/>
                      <w:highlight w:val="none"/>
                    </w:rPr>
                  </w:pPr>
                  <w:r>
                    <w:rPr>
                      <w:rFonts w:hint="eastAsia" w:ascii="宋体" w:hAnsi="宋体" w:cs="宋体"/>
                      <w:color w:val="auto"/>
                      <w:sz w:val="22"/>
                      <w:highlight w:val="none"/>
                    </w:rPr>
                    <w:t>8</w:t>
                  </w:r>
                </w:p>
              </w:tc>
              <w:tc>
                <w:tcPr>
                  <w:tcW w:w="1015" w:type="dxa"/>
                </w:tcPr>
                <w:p w14:paraId="0B7D30AA">
                  <w:pPr>
                    <w:jc w:val="center"/>
                    <w:rPr>
                      <w:rFonts w:ascii="宋体" w:hAnsi="宋体" w:cs="宋体"/>
                      <w:color w:val="auto"/>
                      <w:sz w:val="22"/>
                      <w:highlight w:val="none"/>
                    </w:rPr>
                  </w:pPr>
                  <w:r>
                    <w:rPr>
                      <w:rFonts w:hint="eastAsia" w:ascii="宋体" w:hAnsi="宋体" w:cs="宋体"/>
                      <w:color w:val="auto"/>
                      <w:sz w:val="22"/>
                      <w:highlight w:val="none"/>
                    </w:rPr>
                    <w:t>42730</w:t>
                  </w:r>
                </w:p>
              </w:tc>
              <w:tc>
                <w:tcPr>
                  <w:tcW w:w="1733" w:type="dxa"/>
                </w:tcPr>
                <w:p w14:paraId="0E107A87">
                  <w:pPr>
                    <w:jc w:val="center"/>
                    <w:rPr>
                      <w:rFonts w:ascii="宋体" w:hAnsi="宋体" w:cs="宋体"/>
                      <w:color w:val="auto"/>
                      <w:sz w:val="22"/>
                      <w:highlight w:val="none"/>
                    </w:rPr>
                  </w:pPr>
                  <w:r>
                    <w:rPr>
                      <w:rFonts w:hint="eastAsia" w:ascii="宋体" w:hAnsi="宋体" w:cs="宋体"/>
                      <w:color w:val="auto"/>
                      <w:sz w:val="22"/>
                      <w:highlight w:val="none"/>
                    </w:rPr>
                    <w:t>2027年3月</w:t>
                  </w:r>
                </w:p>
              </w:tc>
              <w:tc>
                <w:tcPr>
                  <w:tcW w:w="1837" w:type="dxa"/>
                </w:tcPr>
                <w:p w14:paraId="5E217884">
                  <w:pPr>
                    <w:jc w:val="center"/>
                    <w:rPr>
                      <w:rFonts w:ascii="宋体" w:hAnsi="宋体" w:cs="宋体"/>
                      <w:color w:val="auto"/>
                      <w:sz w:val="22"/>
                      <w:highlight w:val="none"/>
                    </w:rPr>
                  </w:pPr>
                </w:p>
              </w:tc>
            </w:tr>
          </w:tbl>
          <w:p w14:paraId="1821B4D6">
            <w:pPr>
              <w:spacing w:before="240" w:beforeLines="100" w:after="120" w:afterLines="50" w:line="360" w:lineRule="auto"/>
              <w:rPr>
                <w:rFonts w:ascii="宋体" w:hAnsi="宋体" w:cs="宋体"/>
                <w:b/>
                <w:color w:val="auto"/>
                <w:sz w:val="22"/>
                <w:highlight w:val="none"/>
              </w:rPr>
            </w:pPr>
          </w:p>
          <w:p w14:paraId="557F6AD9">
            <w:pPr>
              <w:spacing w:before="240" w:beforeLines="100" w:after="120" w:afterLines="50" w:line="360" w:lineRule="auto"/>
              <w:rPr>
                <w:rFonts w:ascii="宋体" w:hAnsi="宋体" w:cs="宋体"/>
                <w:b/>
                <w:color w:val="auto"/>
                <w:sz w:val="22"/>
                <w:highlight w:val="none"/>
              </w:rPr>
            </w:pPr>
          </w:p>
          <w:p w14:paraId="26503B9C">
            <w:pPr>
              <w:numPr>
                <w:ilvl w:val="0"/>
                <w:numId w:val="6"/>
              </w:numPr>
              <w:spacing w:line="520" w:lineRule="exact"/>
              <w:rPr>
                <w:rFonts w:ascii="宋体" w:hAnsi="宋体" w:cs="宋体"/>
                <w:color w:val="auto"/>
                <w:sz w:val="22"/>
                <w:highlight w:val="none"/>
              </w:rPr>
            </w:pPr>
            <w:r>
              <w:rPr>
                <w:rFonts w:hint="eastAsia" w:ascii="宋体" w:hAnsi="宋体" w:cs="宋体"/>
                <w:color w:val="auto"/>
                <w:sz w:val="22"/>
                <w:highlight w:val="none"/>
              </w:rPr>
              <w:t>物业服务主要内容：本项目物业管理服务内容主要包括：楼宇管理工作、学生公寓管理工作、卫生保洁、设施设备维修及维护、能源管理工作、会务及接待、搬运管理工作及其他专项服务等。</w:t>
            </w:r>
          </w:p>
          <w:p w14:paraId="1DE7DE61">
            <w:pPr>
              <w:spacing w:before="240" w:beforeLines="100" w:after="120" w:afterLines="50" w:line="360" w:lineRule="auto"/>
              <w:rPr>
                <w:rFonts w:ascii="宋体" w:hAnsi="宋体" w:cs="宋体"/>
                <w:b/>
                <w:color w:val="auto"/>
                <w:sz w:val="22"/>
                <w:highlight w:val="none"/>
              </w:rPr>
            </w:pPr>
            <w:r>
              <w:rPr>
                <w:rFonts w:hint="eastAsia" w:ascii="宋体" w:hAnsi="宋体" w:cs="宋体"/>
                <w:color w:val="auto"/>
                <w:sz w:val="22"/>
                <w:highlight w:val="none"/>
              </w:rPr>
              <w:t>3、本项目三年合计预算构成:详见下方表格：</w:t>
            </w:r>
          </w:p>
          <w:p w14:paraId="1BF88F43">
            <w:pPr>
              <w:spacing w:before="240" w:beforeLines="100" w:after="120" w:afterLines="50" w:line="360" w:lineRule="auto"/>
              <w:ind w:left="480" w:firstLine="4400" w:firstLineChars="2000"/>
              <w:rPr>
                <w:rFonts w:ascii="宋体" w:hAnsi="宋体" w:cs="宋体"/>
                <w:b/>
                <w:color w:val="auto"/>
                <w:sz w:val="22"/>
                <w:highlight w:val="none"/>
              </w:rPr>
            </w:pPr>
            <w:r>
              <w:rPr>
                <w:rFonts w:hint="eastAsia" w:ascii="宋体" w:hAnsi="宋体" w:cs="宋体"/>
                <w:color w:val="auto"/>
                <w:sz w:val="22"/>
                <w:highlight w:val="none"/>
              </w:rPr>
              <w:t>三年合计</w:t>
            </w:r>
            <w:r>
              <w:rPr>
                <w:rFonts w:hint="eastAsia" w:ascii="宋体" w:hAnsi="宋体" w:cs="宋体"/>
                <w:b/>
                <w:color w:val="auto"/>
                <w:sz w:val="22"/>
                <w:highlight w:val="none"/>
              </w:rPr>
              <w:t>预算金额</w:t>
            </w:r>
          </w:p>
          <w:tbl>
            <w:tblPr>
              <w:tblStyle w:val="30"/>
              <w:tblW w:w="7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1875"/>
              <w:gridCol w:w="1537"/>
              <w:gridCol w:w="1361"/>
            </w:tblGrid>
            <w:tr w14:paraId="1AC8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11" w:type="dxa"/>
                  <w:vAlign w:val="center"/>
                </w:tcPr>
                <w:p w14:paraId="32E244C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合同履行期限</w:t>
                  </w:r>
                </w:p>
              </w:tc>
              <w:tc>
                <w:tcPr>
                  <w:tcW w:w="1875" w:type="dxa"/>
                  <w:vAlign w:val="center"/>
                </w:tcPr>
                <w:p w14:paraId="4BFBA46B">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最高建筑面积</w:t>
                  </w:r>
                </w:p>
              </w:tc>
              <w:tc>
                <w:tcPr>
                  <w:tcW w:w="1537" w:type="dxa"/>
                  <w:vAlign w:val="center"/>
                </w:tcPr>
                <w:p w14:paraId="1937B60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预算金额</w:t>
                  </w:r>
                </w:p>
              </w:tc>
              <w:tc>
                <w:tcPr>
                  <w:tcW w:w="1361" w:type="dxa"/>
                  <w:vAlign w:val="center"/>
                </w:tcPr>
                <w:p w14:paraId="321A84C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备注</w:t>
                  </w:r>
                </w:p>
              </w:tc>
            </w:tr>
            <w:tr w14:paraId="5775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711" w:type="dxa"/>
                  <w:vAlign w:val="center"/>
                </w:tcPr>
                <w:p w14:paraId="1E6F9EBA">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2025.9.16-2026.9.15</w:t>
                  </w:r>
                </w:p>
              </w:tc>
              <w:tc>
                <w:tcPr>
                  <w:tcW w:w="1875" w:type="dxa"/>
                  <w:vAlign w:val="center"/>
                </w:tcPr>
                <w:p w14:paraId="730129E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365824㎡</w:t>
                  </w:r>
                </w:p>
              </w:tc>
              <w:tc>
                <w:tcPr>
                  <w:tcW w:w="1537" w:type="dxa"/>
                  <w:vAlign w:val="center"/>
                </w:tcPr>
                <w:p w14:paraId="14245A08">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1180万元</w:t>
                  </w:r>
                </w:p>
              </w:tc>
              <w:tc>
                <w:tcPr>
                  <w:tcW w:w="1361" w:type="dxa"/>
                  <w:vAlign w:val="center"/>
                </w:tcPr>
                <w:p w14:paraId="161C8E50">
                  <w:pPr>
                    <w:spacing w:line="400" w:lineRule="exact"/>
                    <w:jc w:val="center"/>
                    <w:rPr>
                      <w:rFonts w:ascii="宋体" w:hAnsi="宋体" w:cs="宋体"/>
                      <w:color w:val="auto"/>
                      <w:spacing w:val="-6"/>
                      <w:sz w:val="22"/>
                      <w:highlight w:val="none"/>
                    </w:rPr>
                  </w:pPr>
                </w:p>
              </w:tc>
            </w:tr>
            <w:tr w14:paraId="14CF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711" w:type="dxa"/>
                  <w:vAlign w:val="center"/>
                </w:tcPr>
                <w:p w14:paraId="31F891CA">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2026.9.16-2027.9.15</w:t>
                  </w:r>
                </w:p>
              </w:tc>
              <w:tc>
                <w:tcPr>
                  <w:tcW w:w="1875" w:type="dxa"/>
                  <w:vAlign w:val="center"/>
                </w:tcPr>
                <w:p w14:paraId="2365D73C">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365824㎡</w:t>
                  </w:r>
                </w:p>
              </w:tc>
              <w:tc>
                <w:tcPr>
                  <w:tcW w:w="1537" w:type="dxa"/>
                  <w:vAlign w:val="center"/>
                </w:tcPr>
                <w:p w14:paraId="2F19C1C1">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1280万元</w:t>
                  </w:r>
                </w:p>
              </w:tc>
              <w:tc>
                <w:tcPr>
                  <w:tcW w:w="1361" w:type="dxa"/>
                  <w:vAlign w:val="center"/>
                </w:tcPr>
                <w:p w14:paraId="4948C59F">
                  <w:pPr>
                    <w:spacing w:line="400" w:lineRule="exact"/>
                    <w:jc w:val="center"/>
                    <w:rPr>
                      <w:rFonts w:ascii="宋体" w:hAnsi="宋体" w:cs="宋体"/>
                      <w:color w:val="auto"/>
                      <w:spacing w:val="-6"/>
                      <w:sz w:val="22"/>
                      <w:highlight w:val="none"/>
                    </w:rPr>
                  </w:pPr>
                </w:p>
              </w:tc>
            </w:tr>
            <w:tr w14:paraId="6C54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11" w:type="dxa"/>
                  <w:vAlign w:val="center"/>
                </w:tcPr>
                <w:p w14:paraId="739BC4CA">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2027.9.16-2028.9.15</w:t>
                  </w:r>
                </w:p>
              </w:tc>
              <w:tc>
                <w:tcPr>
                  <w:tcW w:w="1875" w:type="dxa"/>
                  <w:vAlign w:val="center"/>
                </w:tcPr>
                <w:p w14:paraId="44910B6A">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408554㎡</w:t>
                  </w:r>
                </w:p>
              </w:tc>
              <w:tc>
                <w:tcPr>
                  <w:tcW w:w="1537" w:type="dxa"/>
                  <w:vAlign w:val="center"/>
                </w:tcPr>
                <w:p w14:paraId="6F6DA82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1340万元</w:t>
                  </w:r>
                </w:p>
              </w:tc>
              <w:tc>
                <w:tcPr>
                  <w:tcW w:w="1361" w:type="dxa"/>
                  <w:vAlign w:val="center"/>
                </w:tcPr>
                <w:p w14:paraId="72BC46D7">
                  <w:pPr>
                    <w:spacing w:line="400" w:lineRule="exact"/>
                    <w:jc w:val="center"/>
                    <w:rPr>
                      <w:rFonts w:ascii="宋体" w:hAnsi="宋体" w:cs="宋体"/>
                      <w:color w:val="auto"/>
                      <w:spacing w:val="-6"/>
                      <w:sz w:val="22"/>
                      <w:highlight w:val="none"/>
                    </w:rPr>
                  </w:pPr>
                </w:p>
              </w:tc>
            </w:tr>
            <w:tr w14:paraId="466F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586" w:type="dxa"/>
                  <w:gridSpan w:val="2"/>
                  <w:vAlign w:val="center"/>
                </w:tcPr>
                <w:p w14:paraId="7584B1D3">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合计</w:t>
                  </w:r>
                </w:p>
              </w:tc>
              <w:tc>
                <w:tcPr>
                  <w:tcW w:w="1537" w:type="dxa"/>
                  <w:vAlign w:val="center"/>
                </w:tcPr>
                <w:p w14:paraId="74C7A027">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3800万元</w:t>
                  </w:r>
                </w:p>
              </w:tc>
              <w:tc>
                <w:tcPr>
                  <w:tcW w:w="1361" w:type="dxa"/>
                  <w:vAlign w:val="center"/>
                </w:tcPr>
                <w:p w14:paraId="3AB442CC">
                  <w:pPr>
                    <w:spacing w:line="400" w:lineRule="exact"/>
                    <w:jc w:val="center"/>
                    <w:rPr>
                      <w:rFonts w:ascii="宋体" w:hAnsi="宋体" w:cs="宋体"/>
                      <w:color w:val="auto"/>
                      <w:spacing w:val="-6"/>
                      <w:sz w:val="22"/>
                      <w:highlight w:val="none"/>
                    </w:rPr>
                  </w:pPr>
                </w:p>
              </w:tc>
            </w:tr>
          </w:tbl>
          <w:p w14:paraId="77BE06EC">
            <w:pPr>
              <w:spacing w:line="520" w:lineRule="exact"/>
              <w:rPr>
                <w:rFonts w:ascii="宋体" w:hAnsi="宋体" w:cs="宋体"/>
                <w:color w:val="auto"/>
                <w:kern w:val="0"/>
                <w:sz w:val="22"/>
                <w:highlight w:val="none"/>
              </w:rPr>
            </w:pPr>
          </w:p>
          <w:p w14:paraId="1427FAE5">
            <w:pPr>
              <w:spacing w:before="240" w:beforeLines="100" w:after="120" w:afterLines="50" w:line="360" w:lineRule="auto"/>
              <w:jc w:val="center"/>
              <w:rPr>
                <w:rFonts w:ascii="宋体" w:hAnsi="宋体" w:cs="宋体"/>
                <w:b/>
                <w:color w:val="auto"/>
                <w:sz w:val="22"/>
                <w:highlight w:val="none"/>
              </w:rPr>
            </w:pPr>
            <w:r>
              <w:rPr>
                <w:rFonts w:hint="eastAsia" w:ascii="宋体" w:hAnsi="宋体" w:cs="宋体"/>
                <w:b/>
                <w:color w:val="auto"/>
                <w:sz w:val="22"/>
                <w:highlight w:val="none"/>
              </w:rPr>
              <w:t>单年预算金额需包含其他专项服务预算金额情况如下（附表二）</w:t>
            </w:r>
          </w:p>
          <w:tbl>
            <w:tblPr>
              <w:tblStyle w:val="30"/>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48"/>
              <w:gridCol w:w="1488"/>
              <w:gridCol w:w="1764"/>
              <w:gridCol w:w="1511"/>
              <w:gridCol w:w="1249"/>
              <w:gridCol w:w="817"/>
            </w:tblGrid>
            <w:tr w14:paraId="43BB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40" w:type="dxa"/>
                </w:tcPr>
                <w:p w14:paraId="5CD0DF22">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序号</w:t>
                  </w:r>
                </w:p>
              </w:tc>
              <w:tc>
                <w:tcPr>
                  <w:tcW w:w="1148" w:type="dxa"/>
                </w:tcPr>
                <w:p w14:paraId="540D012E">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服务事项</w:t>
                  </w:r>
                </w:p>
              </w:tc>
              <w:tc>
                <w:tcPr>
                  <w:tcW w:w="1488" w:type="dxa"/>
                  <w:vAlign w:val="center"/>
                </w:tcPr>
                <w:p w14:paraId="11F315C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服务内容</w:t>
                  </w:r>
                </w:p>
              </w:tc>
              <w:tc>
                <w:tcPr>
                  <w:tcW w:w="1764" w:type="dxa"/>
                  <w:vAlign w:val="center"/>
                </w:tcPr>
                <w:p w14:paraId="35976BDB">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2024年费用或合同金额（万）</w:t>
                  </w:r>
                </w:p>
              </w:tc>
              <w:tc>
                <w:tcPr>
                  <w:tcW w:w="1511" w:type="dxa"/>
                  <w:vAlign w:val="center"/>
                </w:tcPr>
                <w:p w14:paraId="0D116E01">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原合同履行期限</w:t>
                  </w:r>
                </w:p>
              </w:tc>
              <w:tc>
                <w:tcPr>
                  <w:tcW w:w="1249" w:type="dxa"/>
                  <w:vAlign w:val="center"/>
                </w:tcPr>
                <w:p w14:paraId="70B5CDBD">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每年单项预算金额（万元）</w:t>
                  </w:r>
                </w:p>
              </w:tc>
              <w:tc>
                <w:tcPr>
                  <w:tcW w:w="817" w:type="dxa"/>
                </w:tcPr>
                <w:p w14:paraId="09A2C067">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备注</w:t>
                  </w:r>
                </w:p>
              </w:tc>
            </w:tr>
            <w:tr w14:paraId="2B42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40" w:type="dxa"/>
                </w:tcPr>
                <w:p w14:paraId="19FC3CDE">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w:t>
                  </w:r>
                </w:p>
              </w:tc>
              <w:tc>
                <w:tcPr>
                  <w:tcW w:w="1148" w:type="dxa"/>
                </w:tcPr>
                <w:p w14:paraId="7CB7C3AC">
                  <w:pPr>
                    <w:spacing w:line="400" w:lineRule="exact"/>
                    <w:jc w:val="center"/>
                    <w:rPr>
                      <w:rFonts w:ascii="宋体" w:hAnsi="宋体" w:cs="宋体"/>
                      <w:color w:val="auto"/>
                      <w:spacing w:val="-6"/>
                      <w:sz w:val="22"/>
                      <w:highlight w:val="none"/>
                    </w:rPr>
                  </w:pPr>
                  <w:r>
                    <w:rPr>
                      <w:rFonts w:hint="eastAsia" w:ascii="宋体" w:hAnsi="宋体" w:cs="宋体"/>
                      <w:color w:val="auto"/>
                      <w:sz w:val="22"/>
                      <w:highlight w:val="none"/>
                    </w:rPr>
                    <w:t>垃圾清运</w:t>
                  </w:r>
                </w:p>
              </w:tc>
              <w:tc>
                <w:tcPr>
                  <w:tcW w:w="1488" w:type="dxa"/>
                  <w:vAlign w:val="center"/>
                </w:tcPr>
                <w:p w14:paraId="30DA9213">
                  <w:pPr>
                    <w:spacing w:line="400" w:lineRule="exact"/>
                    <w:jc w:val="center"/>
                    <w:rPr>
                      <w:rFonts w:ascii="宋体" w:hAnsi="宋体" w:cs="宋体"/>
                      <w:color w:val="auto"/>
                      <w:spacing w:val="-6"/>
                      <w:sz w:val="22"/>
                      <w:highlight w:val="none"/>
                    </w:rPr>
                  </w:pPr>
                  <w:bookmarkStart w:id="22" w:name="_Hlk199453784"/>
                  <w:r>
                    <w:rPr>
                      <w:rFonts w:hint="eastAsia" w:ascii="宋体" w:hAnsi="宋体" w:cs="宋体"/>
                      <w:color w:val="auto"/>
                      <w:sz w:val="22"/>
                      <w:highlight w:val="none"/>
                    </w:rPr>
                    <w:t>垃圾清运，垃圾处置，垃圾处置费</w:t>
                  </w:r>
                  <w:bookmarkEnd w:id="22"/>
                </w:p>
              </w:tc>
              <w:tc>
                <w:tcPr>
                  <w:tcW w:w="1764" w:type="dxa"/>
                  <w:vAlign w:val="center"/>
                </w:tcPr>
                <w:p w14:paraId="4C22AEA8">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18</w:t>
                  </w:r>
                </w:p>
              </w:tc>
              <w:tc>
                <w:tcPr>
                  <w:tcW w:w="1511" w:type="dxa"/>
                  <w:vAlign w:val="center"/>
                </w:tcPr>
                <w:p w14:paraId="69932F02">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2024.7.31-2025.8.1</w:t>
                  </w:r>
                </w:p>
              </w:tc>
              <w:tc>
                <w:tcPr>
                  <w:tcW w:w="1249" w:type="dxa"/>
                  <w:vAlign w:val="center"/>
                </w:tcPr>
                <w:p w14:paraId="4E7F409C">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 xml:space="preserve">20 </w:t>
                  </w:r>
                </w:p>
              </w:tc>
              <w:tc>
                <w:tcPr>
                  <w:tcW w:w="817" w:type="dxa"/>
                </w:tcPr>
                <w:p w14:paraId="02DE7532">
                  <w:pPr>
                    <w:spacing w:line="400" w:lineRule="exact"/>
                    <w:jc w:val="center"/>
                    <w:rPr>
                      <w:rFonts w:ascii="宋体" w:hAnsi="宋体" w:cs="宋体"/>
                      <w:color w:val="auto"/>
                      <w:spacing w:val="-6"/>
                      <w:sz w:val="22"/>
                      <w:highlight w:val="none"/>
                    </w:rPr>
                  </w:pPr>
                </w:p>
              </w:tc>
            </w:tr>
            <w:tr w14:paraId="64BC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382B167F">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w:t>
                  </w:r>
                </w:p>
              </w:tc>
              <w:tc>
                <w:tcPr>
                  <w:tcW w:w="1148" w:type="dxa"/>
                </w:tcPr>
                <w:p w14:paraId="680AD0C3">
                  <w:pPr>
                    <w:spacing w:line="400" w:lineRule="exact"/>
                    <w:jc w:val="center"/>
                    <w:rPr>
                      <w:rFonts w:ascii="宋体" w:hAnsi="宋体" w:cs="宋体"/>
                      <w:color w:val="auto"/>
                      <w:spacing w:val="-6"/>
                      <w:sz w:val="22"/>
                      <w:highlight w:val="none"/>
                    </w:rPr>
                  </w:pPr>
                  <w:r>
                    <w:rPr>
                      <w:rFonts w:hint="eastAsia" w:ascii="宋体" w:hAnsi="宋体" w:cs="宋体"/>
                      <w:color w:val="auto"/>
                      <w:sz w:val="22"/>
                      <w:highlight w:val="none"/>
                    </w:rPr>
                    <w:t>外墙清洗保洁</w:t>
                  </w:r>
                </w:p>
              </w:tc>
              <w:tc>
                <w:tcPr>
                  <w:tcW w:w="1488" w:type="dxa"/>
                  <w:vAlign w:val="center"/>
                </w:tcPr>
                <w:p w14:paraId="01F7C5C0">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每年一次外墙玻璃和铝板清洗</w:t>
                  </w:r>
                </w:p>
              </w:tc>
              <w:tc>
                <w:tcPr>
                  <w:tcW w:w="1764" w:type="dxa"/>
                  <w:vAlign w:val="center"/>
                </w:tcPr>
                <w:p w14:paraId="196A025C">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12E95254">
                  <w:pPr>
                    <w:spacing w:line="400" w:lineRule="exact"/>
                    <w:jc w:val="center"/>
                    <w:rPr>
                      <w:rFonts w:ascii="宋体" w:hAnsi="宋体" w:cs="宋体"/>
                      <w:color w:val="auto"/>
                      <w:spacing w:val="-6"/>
                      <w:sz w:val="22"/>
                      <w:highlight w:val="none"/>
                    </w:rPr>
                  </w:pPr>
                </w:p>
              </w:tc>
              <w:tc>
                <w:tcPr>
                  <w:tcW w:w="1249" w:type="dxa"/>
                  <w:vAlign w:val="center"/>
                </w:tcPr>
                <w:p w14:paraId="1C080EE6">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12</w:t>
                  </w:r>
                </w:p>
              </w:tc>
              <w:tc>
                <w:tcPr>
                  <w:tcW w:w="817" w:type="dxa"/>
                </w:tcPr>
                <w:p w14:paraId="7C3051BC">
                  <w:pPr>
                    <w:spacing w:line="400" w:lineRule="exact"/>
                    <w:jc w:val="center"/>
                    <w:rPr>
                      <w:rFonts w:ascii="宋体" w:hAnsi="宋体" w:cs="宋体"/>
                      <w:color w:val="auto"/>
                      <w:spacing w:val="-6"/>
                      <w:sz w:val="22"/>
                      <w:highlight w:val="none"/>
                    </w:rPr>
                  </w:pPr>
                </w:p>
              </w:tc>
            </w:tr>
            <w:tr w14:paraId="5929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3408C1D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3</w:t>
                  </w:r>
                </w:p>
              </w:tc>
              <w:tc>
                <w:tcPr>
                  <w:tcW w:w="1148" w:type="dxa"/>
                </w:tcPr>
                <w:p w14:paraId="4F017DD8">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化粪池清理和管道疏通</w:t>
                  </w:r>
                </w:p>
              </w:tc>
              <w:tc>
                <w:tcPr>
                  <w:tcW w:w="1488" w:type="dxa"/>
                  <w:vAlign w:val="center"/>
                </w:tcPr>
                <w:p w14:paraId="0745A36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室外</w:t>
                  </w:r>
                  <w:r>
                    <w:rPr>
                      <w:rFonts w:hint="eastAsia" w:ascii="宋体" w:hAnsi="宋体" w:cs="宋体"/>
                      <w:color w:val="auto"/>
                      <w:sz w:val="22"/>
                      <w:highlight w:val="none"/>
                    </w:rPr>
                    <w:t>化粪池清理和室内外管道疏通</w:t>
                  </w:r>
                </w:p>
              </w:tc>
              <w:tc>
                <w:tcPr>
                  <w:tcW w:w="1764" w:type="dxa"/>
                  <w:vAlign w:val="center"/>
                </w:tcPr>
                <w:p w14:paraId="159AA1C1">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8.2</w:t>
                  </w:r>
                </w:p>
              </w:tc>
              <w:tc>
                <w:tcPr>
                  <w:tcW w:w="1511" w:type="dxa"/>
                  <w:vAlign w:val="center"/>
                </w:tcPr>
                <w:p w14:paraId="683C1BD6">
                  <w:pPr>
                    <w:spacing w:line="400" w:lineRule="exact"/>
                    <w:jc w:val="center"/>
                    <w:rPr>
                      <w:rFonts w:ascii="宋体" w:hAnsi="宋体" w:cs="宋体"/>
                      <w:color w:val="auto"/>
                      <w:spacing w:val="-6"/>
                      <w:sz w:val="22"/>
                      <w:highlight w:val="none"/>
                    </w:rPr>
                  </w:pPr>
                  <w:r>
                    <w:rPr>
                      <w:rFonts w:hint="eastAsia" w:ascii="宋体" w:hAnsi="宋体" w:cs="宋体"/>
                      <w:b w:val="0"/>
                      <w:bCs w:val="0"/>
                      <w:color w:val="auto"/>
                      <w:sz w:val="22"/>
                      <w:highlight w:val="none"/>
                    </w:rPr>
                    <w:t>2025年3月10日-2026年3月11日</w:t>
                  </w:r>
                </w:p>
              </w:tc>
              <w:tc>
                <w:tcPr>
                  <w:tcW w:w="1249" w:type="dxa"/>
                  <w:vAlign w:val="center"/>
                </w:tcPr>
                <w:p w14:paraId="6504DFD2">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10</w:t>
                  </w:r>
                </w:p>
              </w:tc>
              <w:tc>
                <w:tcPr>
                  <w:tcW w:w="817" w:type="dxa"/>
                </w:tcPr>
                <w:p w14:paraId="070B5788">
                  <w:pPr>
                    <w:spacing w:line="400" w:lineRule="exact"/>
                    <w:jc w:val="center"/>
                    <w:rPr>
                      <w:rFonts w:ascii="宋体" w:hAnsi="宋体" w:cs="宋体"/>
                      <w:color w:val="auto"/>
                      <w:spacing w:val="-6"/>
                      <w:sz w:val="22"/>
                      <w:highlight w:val="none"/>
                    </w:rPr>
                  </w:pPr>
                  <w:r>
                    <w:rPr>
                      <w:rFonts w:hint="eastAsia" w:ascii="宋体" w:hAnsi="宋体" w:cs="宋体"/>
                      <w:b w:val="0"/>
                      <w:bCs w:val="0"/>
                      <w:color w:val="auto"/>
                      <w:sz w:val="22"/>
                      <w:highlight w:val="none"/>
                    </w:rPr>
                    <w:t>2026年3月11日开始计算</w:t>
                  </w:r>
                </w:p>
              </w:tc>
            </w:tr>
            <w:tr w14:paraId="1207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2CFFFD4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1148" w:type="dxa"/>
                </w:tcPr>
                <w:p w14:paraId="73A4B3BB">
                  <w:pPr>
                    <w:spacing w:line="400" w:lineRule="exact"/>
                    <w:jc w:val="center"/>
                    <w:rPr>
                      <w:rFonts w:ascii="宋体" w:hAnsi="宋体" w:cs="宋体"/>
                      <w:color w:val="auto"/>
                      <w:sz w:val="22"/>
                      <w:highlight w:val="none"/>
                    </w:rPr>
                  </w:pPr>
                  <w:bookmarkStart w:id="23" w:name="OLE_LINK15"/>
                  <w:r>
                    <w:rPr>
                      <w:rFonts w:hint="eastAsia" w:ascii="宋体" w:hAnsi="宋体" w:cs="宋体"/>
                      <w:color w:val="auto"/>
                      <w:sz w:val="22"/>
                      <w:highlight w:val="none"/>
                    </w:rPr>
                    <w:t>学校生活水箱和热水水箱清洗</w:t>
                  </w:r>
                  <w:bookmarkEnd w:id="23"/>
                </w:p>
              </w:tc>
              <w:tc>
                <w:tcPr>
                  <w:tcW w:w="1488" w:type="dxa"/>
                  <w:vAlign w:val="center"/>
                </w:tcPr>
                <w:p w14:paraId="10900173">
                  <w:pPr>
                    <w:spacing w:line="400" w:lineRule="exact"/>
                    <w:jc w:val="center"/>
                    <w:rPr>
                      <w:rFonts w:ascii="宋体" w:hAnsi="宋体" w:cs="宋体"/>
                      <w:color w:val="auto"/>
                      <w:spacing w:val="-6"/>
                      <w:sz w:val="22"/>
                      <w:highlight w:val="none"/>
                    </w:rPr>
                  </w:pPr>
                  <w:r>
                    <w:rPr>
                      <w:rFonts w:hint="eastAsia" w:ascii="宋体" w:hAnsi="宋体" w:cs="宋体"/>
                      <w:color w:val="auto"/>
                      <w:sz w:val="22"/>
                      <w:highlight w:val="none"/>
                    </w:rPr>
                    <w:t>每年二次学校生活水箱和热水水箱清洗</w:t>
                  </w:r>
                </w:p>
              </w:tc>
              <w:tc>
                <w:tcPr>
                  <w:tcW w:w="1764" w:type="dxa"/>
                  <w:vAlign w:val="center"/>
                </w:tcPr>
                <w:p w14:paraId="7F945DA2">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3.5</w:t>
                  </w:r>
                </w:p>
              </w:tc>
              <w:tc>
                <w:tcPr>
                  <w:tcW w:w="1511" w:type="dxa"/>
                  <w:vAlign w:val="center"/>
                </w:tcPr>
                <w:p w14:paraId="79D90D47">
                  <w:pPr>
                    <w:spacing w:line="400" w:lineRule="exact"/>
                    <w:jc w:val="center"/>
                    <w:rPr>
                      <w:rFonts w:ascii="宋体" w:hAnsi="宋体" w:cs="宋体"/>
                      <w:b/>
                      <w:bCs/>
                      <w:color w:val="auto"/>
                      <w:sz w:val="22"/>
                      <w:highlight w:val="none"/>
                    </w:rPr>
                  </w:pPr>
                </w:p>
              </w:tc>
              <w:tc>
                <w:tcPr>
                  <w:tcW w:w="1249" w:type="dxa"/>
                  <w:vAlign w:val="center"/>
                </w:tcPr>
                <w:p w14:paraId="16DF5FB2">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817" w:type="dxa"/>
                </w:tcPr>
                <w:p w14:paraId="1266EFBB">
                  <w:pPr>
                    <w:spacing w:line="400" w:lineRule="exact"/>
                    <w:jc w:val="center"/>
                    <w:rPr>
                      <w:rFonts w:ascii="宋体" w:hAnsi="宋体" w:cs="宋体"/>
                      <w:color w:val="auto"/>
                      <w:spacing w:val="-6"/>
                      <w:sz w:val="22"/>
                      <w:highlight w:val="none"/>
                    </w:rPr>
                  </w:pPr>
                </w:p>
              </w:tc>
            </w:tr>
            <w:tr w14:paraId="5949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485FF5C5">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5</w:t>
                  </w:r>
                </w:p>
              </w:tc>
              <w:tc>
                <w:tcPr>
                  <w:tcW w:w="1148" w:type="dxa"/>
                </w:tcPr>
                <w:p w14:paraId="24646D5F">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维修材料配件</w:t>
                  </w:r>
                </w:p>
              </w:tc>
              <w:tc>
                <w:tcPr>
                  <w:tcW w:w="1488" w:type="dxa"/>
                  <w:vAlign w:val="center"/>
                </w:tcPr>
                <w:p w14:paraId="3BC49115">
                  <w:pPr>
                    <w:spacing w:line="400" w:lineRule="exact"/>
                    <w:jc w:val="center"/>
                    <w:rPr>
                      <w:rFonts w:ascii="宋体" w:hAnsi="宋体" w:cs="宋体"/>
                      <w:color w:val="auto"/>
                      <w:sz w:val="22"/>
                      <w:highlight w:val="none"/>
                    </w:rPr>
                  </w:pPr>
                  <w:r>
                    <w:rPr>
                      <w:rFonts w:hint="eastAsia" w:ascii="宋体" w:hAnsi="宋体" w:cs="宋体"/>
                      <w:b w:val="0"/>
                      <w:bCs w:val="0"/>
                      <w:color w:val="auto"/>
                      <w:sz w:val="22"/>
                      <w:highlight w:val="none"/>
                    </w:rPr>
                    <w:t>电气、水暖、五金件、洁具、土建辅材、机电</w:t>
                  </w:r>
                </w:p>
              </w:tc>
              <w:tc>
                <w:tcPr>
                  <w:tcW w:w="1764" w:type="dxa"/>
                  <w:vAlign w:val="center"/>
                </w:tcPr>
                <w:p w14:paraId="7EFE959C">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约18</w:t>
                  </w:r>
                </w:p>
              </w:tc>
              <w:tc>
                <w:tcPr>
                  <w:tcW w:w="1511" w:type="dxa"/>
                  <w:vAlign w:val="center"/>
                </w:tcPr>
                <w:p w14:paraId="07BE90B7">
                  <w:pPr>
                    <w:spacing w:line="400" w:lineRule="exact"/>
                    <w:jc w:val="center"/>
                    <w:rPr>
                      <w:rFonts w:ascii="宋体" w:hAnsi="宋体" w:cs="宋体"/>
                      <w:b/>
                      <w:bCs/>
                      <w:color w:val="auto"/>
                      <w:sz w:val="22"/>
                      <w:highlight w:val="none"/>
                    </w:rPr>
                  </w:pPr>
                </w:p>
              </w:tc>
              <w:tc>
                <w:tcPr>
                  <w:tcW w:w="1249" w:type="dxa"/>
                  <w:vAlign w:val="center"/>
                </w:tcPr>
                <w:p w14:paraId="34C2668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20</w:t>
                  </w:r>
                </w:p>
              </w:tc>
              <w:tc>
                <w:tcPr>
                  <w:tcW w:w="817" w:type="dxa"/>
                </w:tcPr>
                <w:p w14:paraId="20E3ABF9">
                  <w:pPr>
                    <w:spacing w:line="400" w:lineRule="exact"/>
                    <w:jc w:val="center"/>
                    <w:rPr>
                      <w:rFonts w:ascii="宋体" w:hAnsi="宋体" w:cs="宋体"/>
                      <w:color w:val="auto"/>
                      <w:spacing w:val="-6"/>
                      <w:sz w:val="22"/>
                      <w:highlight w:val="none"/>
                    </w:rPr>
                  </w:pPr>
                  <w:r>
                    <w:rPr>
                      <w:rFonts w:hint="eastAsia" w:ascii="宋体" w:hAnsi="宋体" w:cs="宋体"/>
                      <w:color w:val="auto"/>
                      <w:sz w:val="22"/>
                      <w:highlight w:val="none"/>
                    </w:rPr>
                    <w:t xml:space="preserve"> </w:t>
                  </w:r>
                </w:p>
              </w:tc>
            </w:tr>
            <w:tr w14:paraId="61DD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68D059D6">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6</w:t>
                  </w:r>
                </w:p>
              </w:tc>
              <w:tc>
                <w:tcPr>
                  <w:tcW w:w="1148" w:type="dxa"/>
                </w:tcPr>
                <w:p w14:paraId="1C13483A">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新投用建筑保洁开荒</w:t>
                  </w:r>
                </w:p>
              </w:tc>
              <w:tc>
                <w:tcPr>
                  <w:tcW w:w="1488" w:type="dxa"/>
                  <w:vAlign w:val="center"/>
                </w:tcPr>
                <w:p w14:paraId="2AC6989C">
                  <w:pPr>
                    <w:spacing w:line="400" w:lineRule="exact"/>
                    <w:jc w:val="center"/>
                    <w:rPr>
                      <w:rFonts w:ascii="宋体" w:hAnsi="宋体" w:cs="宋体"/>
                      <w:b w:val="0"/>
                      <w:bCs w:val="0"/>
                      <w:color w:val="auto"/>
                      <w:sz w:val="22"/>
                      <w:highlight w:val="none"/>
                    </w:rPr>
                  </w:pPr>
                  <w:r>
                    <w:rPr>
                      <w:rFonts w:hint="eastAsia" w:ascii="宋体" w:hAnsi="宋体" w:cs="宋体"/>
                      <w:b w:val="0"/>
                      <w:bCs w:val="0"/>
                      <w:color w:val="auto"/>
                      <w:sz w:val="22"/>
                      <w:highlight w:val="none"/>
                    </w:rPr>
                    <w:t>具体面积详见</w:t>
                  </w:r>
                  <w:r>
                    <w:rPr>
                      <w:rFonts w:hint="eastAsia" w:ascii="宋体" w:hAnsi="宋体" w:cs="宋体"/>
                      <w:b w:val="0"/>
                      <w:color w:val="auto"/>
                      <w:sz w:val="22"/>
                      <w:highlight w:val="none"/>
                    </w:rPr>
                    <w:t>（附表一）</w:t>
                  </w:r>
                </w:p>
              </w:tc>
              <w:tc>
                <w:tcPr>
                  <w:tcW w:w="1764" w:type="dxa"/>
                  <w:vAlign w:val="center"/>
                </w:tcPr>
                <w:p w14:paraId="1FD973B6">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7438DB31">
                  <w:pPr>
                    <w:spacing w:line="400" w:lineRule="exact"/>
                    <w:jc w:val="center"/>
                    <w:rPr>
                      <w:rFonts w:ascii="宋体" w:hAnsi="宋体" w:cs="宋体"/>
                      <w:b/>
                      <w:bCs/>
                      <w:color w:val="auto"/>
                      <w:sz w:val="22"/>
                      <w:highlight w:val="none"/>
                    </w:rPr>
                  </w:pPr>
                </w:p>
              </w:tc>
              <w:tc>
                <w:tcPr>
                  <w:tcW w:w="1249" w:type="dxa"/>
                  <w:vMerge w:val="restart"/>
                  <w:vAlign w:val="center"/>
                </w:tcPr>
                <w:p w14:paraId="443DCAFB">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14</w:t>
                  </w:r>
                </w:p>
              </w:tc>
              <w:tc>
                <w:tcPr>
                  <w:tcW w:w="817" w:type="dxa"/>
                  <w:vMerge w:val="restart"/>
                </w:tcPr>
                <w:p w14:paraId="11A0D37B">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 xml:space="preserve"> </w:t>
                  </w:r>
                </w:p>
              </w:tc>
            </w:tr>
            <w:tr w14:paraId="5ABC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1677C4AE">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7</w:t>
                  </w:r>
                </w:p>
              </w:tc>
              <w:tc>
                <w:tcPr>
                  <w:tcW w:w="1148" w:type="dxa"/>
                </w:tcPr>
                <w:p w14:paraId="0BC0F9B7">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宿舍卫生间保洁</w:t>
                  </w:r>
                </w:p>
              </w:tc>
              <w:tc>
                <w:tcPr>
                  <w:tcW w:w="1488" w:type="dxa"/>
                </w:tcPr>
                <w:p w14:paraId="0538A54B">
                  <w:pPr>
                    <w:spacing w:line="400" w:lineRule="exact"/>
                    <w:jc w:val="center"/>
                    <w:rPr>
                      <w:rFonts w:ascii="宋体" w:hAnsi="宋体" w:cs="宋体"/>
                      <w:b w:val="0"/>
                      <w:bCs w:val="0"/>
                      <w:color w:val="auto"/>
                      <w:sz w:val="22"/>
                      <w:highlight w:val="none"/>
                    </w:rPr>
                  </w:pPr>
                  <w:r>
                    <w:rPr>
                      <w:rFonts w:hint="eastAsia" w:ascii="宋体" w:hAnsi="宋体" w:cs="宋体"/>
                      <w:color w:val="auto"/>
                      <w:sz w:val="22"/>
                      <w:highlight w:val="none"/>
                    </w:rPr>
                    <w:t>每年对宿舍卫生间预约一次打扫保洁</w:t>
                  </w:r>
                </w:p>
              </w:tc>
              <w:tc>
                <w:tcPr>
                  <w:tcW w:w="1764" w:type="dxa"/>
                  <w:vAlign w:val="center"/>
                </w:tcPr>
                <w:p w14:paraId="6929F07B">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08FB8E68">
                  <w:pPr>
                    <w:spacing w:line="400" w:lineRule="exact"/>
                    <w:rPr>
                      <w:rFonts w:ascii="宋体" w:hAnsi="宋体" w:cs="宋体"/>
                      <w:b/>
                      <w:bCs/>
                      <w:color w:val="auto"/>
                      <w:sz w:val="22"/>
                      <w:highlight w:val="none"/>
                    </w:rPr>
                  </w:pPr>
                </w:p>
              </w:tc>
              <w:tc>
                <w:tcPr>
                  <w:tcW w:w="1249" w:type="dxa"/>
                  <w:vMerge w:val="continue"/>
                  <w:vAlign w:val="center"/>
                </w:tcPr>
                <w:p w14:paraId="3592D897">
                  <w:pPr>
                    <w:spacing w:line="400" w:lineRule="exact"/>
                    <w:jc w:val="center"/>
                    <w:rPr>
                      <w:rFonts w:ascii="宋体" w:hAnsi="宋体" w:cs="宋体"/>
                      <w:color w:val="auto"/>
                      <w:spacing w:val="-6"/>
                      <w:sz w:val="22"/>
                      <w:highlight w:val="none"/>
                    </w:rPr>
                  </w:pPr>
                </w:p>
              </w:tc>
              <w:tc>
                <w:tcPr>
                  <w:tcW w:w="817" w:type="dxa"/>
                  <w:vMerge w:val="continue"/>
                </w:tcPr>
                <w:p w14:paraId="5D8BE428">
                  <w:pPr>
                    <w:spacing w:line="400" w:lineRule="exact"/>
                    <w:jc w:val="center"/>
                    <w:rPr>
                      <w:rFonts w:ascii="宋体" w:hAnsi="宋体" w:cs="宋体"/>
                      <w:color w:val="auto"/>
                      <w:spacing w:val="-6"/>
                      <w:sz w:val="22"/>
                      <w:highlight w:val="none"/>
                    </w:rPr>
                  </w:pPr>
                </w:p>
              </w:tc>
            </w:tr>
            <w:tr w14:paraId="5C22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165545D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8</w:t>
                  </w:r>
                </w:p>
              </w:tc>
              <w:tc>
                <w:tcPr>
                  <w:tcW w:w="1148" w:type="dxa"/>
                </w:tcPr>
                <w:p w14:paraId="606541BD">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校车清洗</w:t>
                  </w:r>
                </w:p>
              </w:tc>
              <w:tc>
                <w:tcPr>
                  <w:tcW w:w="1488" w:type="dxa"/>
                  <w:vAlign w:val="center"/>
                </w:tcPr>
                <w:p w14:paraId="2797DA6F">
                  <w:pPr>
                    <w:spacing w:line="400" w:lineRule="exact"/>
                    <w:jc w:val="center"/>
                    <w:rPr>
                      <w:rFonts w:ascii="宋体" w:hAnsi="宋体" w:cs="宋体"/>
                      <w:b w:val="0"/>
                      <w:bCs w:val="0"/>
                      <w:color w:val="auto"/>
                      <w:sz w:val="22"/>
                      <w:highlight w:val="none"/>
                    </w:rPr>
                  </w:pPr>
                  <w:r>
                    <w:rPr>
                      <w:rFonts w:hint="eastAsia" w:ascii="宋体" w:hAnsi="宋体" w:cs="宋体"/>
                      <w:b w:val="0"/>
                      <w:bCs w:val="0"/>
                      <w:color w:val="auto"/>
                      <w:sz w:val="22"/>
                      <w:highlight w:val="none"/>
                    </w:rPr>
                    <w:t>每周安排校车辆清洗一次</w:t>
                  </w:r>
                </w:p>
              </w:tc>
              <w:tc>
                <w:tcPr>
                  <w:tcW w:w="1764" w:type="dxa"/>
                  <w:vAlign w:val="center"/>
                </w:tcPr>
                <w:p w14:paraId="07A3A7F3">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2C6EBDAA">
                  <w:pPr>
                    <w:spacing w:line="400" w:lineRule="exact"/>
                    <w:jc w:val="center"/>
                    <w:rPr>
                      <w:rFonts w:ascii="宋体" w:hAnsi="宋体" w:cs="宋体"/>
                      <w:b/>
                      <w:bCs/>
                      <w:color w:val="auto"/>
                      <w:sz w:val="22"/>
                      <w:highlight w:val="none"/>
                    </w:rPr>
                  </w:pPr>
                </w:p>
              </w:tc>
              <w:tc>
                <w:tcPr>
                  <w:tcW w:w="1249" w:type="dxa"/>
                  <w:vMerge w:val="continue"/>
                  <w:vAlign w:val="center"/>
                </w:tcPr>
                <w:p w14:paraId="2F6EF8ED">
                  <w:pPr>
                    <w:spacing w:line="400" w:lineRule="exact"/>
                    <w:jc w:val="center"/>
                    <w:rPr>
                      <w:rFonts w:ascii="宋体" w:hAnsi="宋体" w:cs="宋体"/>
                      <w:color w:val="auto"/>
                      <w:spacing w:val="-6"/>
                      <w:sz w:val="22"/>
                      <w:highlight w:val="none"/>
                    </w:rPr>
                  </w:pPr>
                </w:p>
              </w:tc>
              <w:tc>
                <w:tcPr>
                  <w:tcW w:w="817" w:type="dxa"/>
                  <w:vMerge w:val="continue"/>
                </w:tcPr>
                <w:p w14:paraId="4F507197">
                  <w:pPr>
                    <w:spacing w:line="400" w:lineRule="exact"/>
                    <w:jc w:val="center"/>
                    <w:rPr>
                      <w:rFonts w:ascii="宋体" w:hAnsi="宋体" w:cs="宋体"/>
                      <w:color w:val="auto"/>
                      <w:spacing w:val="-6"/>
                      <w:sz w:val="22"/>
                      <w:highlight w:val="none"/>
                    </w:rPr>
                  </w:pPr>
                </w:p>
              </w:tc>
            </w:tr>
            <w:tr w14:paraId="1318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4D2736A9">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9</w:t>
                  </w:r>
                </w:p>
              </w:tc>
              <w:tc>
                <w:tcPr>
                  <w:tcW w:w="1148" w:type="dxa"/>
                </w:tcPr>
                <w:p w14:paraId="7468DB1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毕业生房间清理</w:t>
                  </w:r>
                </w:p>
              </w:tc>
              <w:tc>
                <w:tcPr>
                  <w:tcW w:w="1488" w:type="dxa"/>
                  <w:vAlign w:val="center"/>
                </w:tcPr>
                <w:p w14:paraId="75AAF30C">
                  <w:pPr>
                    <w:spacing w:line="400" w:lineRule="exact"/>
                    <w:jc w:val="center"/>
                    <w:rPr>
                      <w:rFonts w:ascii="宋体" w:hAnsi="宋体" w:cs="宋体"/>
                      <w:b/>
                      <w:bCs/>
                      <w:color w:val="auto"/>
                      <w:sz w:val="22"/>
                      <w:highlight w:val="none"/>
                    </w:rPr>
                  </w:pPr>
                  <w:r>
                    <w:rPr>
                      <w:rFonts w:hint="eastAsia" w:ascii="宋体" w:hAnsi="宋体" w:cs="宋体"/>
                      <w:color w:val="auto"/>
                      <w:sz w:val="22"/>
                      <w:highlight w:val="none"/>
                    </w:rPr>
                    <w:t>每年一次打扫保洁</w:t>
                  </w:r>
                </w:p>
              </w:tc>
              <w:tc>
                <w:tcPr>
                  <w:tcW w:w="1764" w:type="dxa"/>
                  <w:vAlign w:val="center"/>
                </w:tcPr>
                <w:p w14:paraId="3A3B1BF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08AC3E94">
                  <w:pPr>
                    <w:spacing w:line="400" w:lineRule="exact"/>
                    <w:jc w:val="center"/>
                    <w:rPr>
                      <w:rFonts w:ascii="宋体" w:hAnsi="宋体" w:cs="宋体"/>
                      <w:b/>
                      <w:bCs/>
                      <w:color w:val="auto"/>
                      <w:sz w:val="22"/>
                      <w:highlight w:val="none"/>
                    </w:rPr>
                  </w:pPr>
                </w:p>
              </w:tc>
              <w:tc>
                <w:tcPr>
                  <w:tcW w:w="1249" w:type="dxa"/>
                  <w:vMerge w:val="continue"/>
                  <w:vAlign w:val="center"/>
                </w:tcPr>
                <w:p w14:paraId="52E96C8F">
                  <w:pPr>
                    <w:spacing w:line="400" w:lineRule="exact"/>
                    <w:jc w:val="center"/>
                    <w:rPr>
                      <w:rFonts w:ascii="宋体" w:hAnsi="宋体" w:cs="宋体"/>
                      <w:color w:val="auto"/>
                      <w:spacing w:val="-6"/>
                      <w:sz w:val="22"/>
                      <w:highlight w:val="none"/>
                    </w:rPr>
                  </w:pPr>
                </w:p>
              </w:tc>
              <w:tc>
                <w:tcPr>
                  <w:tcW w:w="817" w:type="dxa"/>
                  <w:vMerge w:val="continue"/>
                </w:tcPr>
                <w:p w14:paraId="5FF69E03">
                  <w:pPr>
                    <w:spacing w:line="400" w:lineRule="exact"/>
                    <w:jc w:val="center"/>
                    <w:rPr>
                      <w:rFonts w:ascii="宋体" w:hAnsi="宋体" w:cs="宋体"/>
                      <w:color w:val="auto"/>
                      <w:spacing w:val="-6"/>
                      <w:sz w:val="22"/>
                      <w:highlight w:val="none"/>
                    </w:rPr>
                  </w:pPr>
                </w:p>
              </w:tc>
            </w:tr>
            <w:tr w14:paraId="1ACF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2B27C823">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10</w:t>
                  </w:r>
                </w:p>
              </w:tc>
              <w:tc>
                <w:tcPr>
                  <w:tcW w:w="1148" w:type="dxa"/>
                </w:tcPr>
                <w:p w14:paraId="2C6A1460">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室外防腐木、钢制栏杆及钢构件刷漆服务</w:t>
                  </w:r>
                </w:p>
              </w:tc>
              <w:tc>
                <w:tcPr>
                  <w:tcW w:w="1488" w:type="dxa"/>
                  <w:vAlign w:val="center"/>
                </w:tcPr>
                <w:p w14:paraId="5C958048">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详见下方需求</w:t>
                  </w:r>
                </w:p>
              </w:tc>
              <w:tc>
                <w:tcPr>
                  <w:tcW w:w="1764" w:type="dxa"/>
                  <w:vAlign w:val="center"/>
                </w:tcPr>
                <w:p w14:paraId="62A231AB">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5BC575EB">
                  <w:pPr>
                    <w:spacing w:line="400" w:lineRule="exact"/>
                    <w:jc w:val="center"/>
                    <w:rPr>
                      <w:rFonts w:ascii="宋体" w:hAnsi="宋体" w:cs="宋体"/>
                      <w:b/>
                      <w:bCs/>
                      <w:color w:val="auto"/>
                      <w:sz w:val="22"/>
                      <w:highlight w:val="none"/>
                    </w:rPr>
                  </w:pPr>
                </w:p>
              </w:tc>
              <w:tc>
                <w:tcPr>
                  <w:tcW w:w="1249" w:type="dxa"/>
                  <w:vMerge w:val="continue"/>
                  <w:vAlign w:val="center"/>
                </w:tcPr>
                <w:p w14:paraId="3A92DEE8">
                  <w:pPr>
                    <w:spacing w:line="400" w:lineRule="exact"/>
                    <w:jc w:val="center"/>
                    <w:rPr>
                      <w:rFonts w:ascii="宋体" w:hAnsi="宋体" w:cs="宋体"/>
                      <w:color w:val="auto"/>
                      <w:spacing w:val="-6"/>
                      <w:sz w:val="22"/>
                      <w:highlight w:val="none"/>
                    </w:rPr>
                  </w:pPr>
                </w:p>
              </w:tc>
              <w:tc>
                <w:tcPr>
                  <w:tcW w:w="817" w:type="dxa"/>
                  <w:vMerge w:val="continue"/>
                </w:tcPr>
                <w:p w14:paraId="41578653">
                  <w:pPr>
                    <w:spacing w:line="400" w:lineRule="exact"/>
                    <w:jc w:val="center"/>
                    <w:rPr>
                      <w:rFonts w:ascii="宋体" w:hAnsi="宋体" w:cs="宋体"/>
                      <w:color w:val="auto"/>
                      <w:spacing w:val="-6"/>
                      <w:sz w:val="22"/>
                      <w:highlight w:val="none"/>
                    </w:rPr>
                  </w:pPr>
                </w:p>
              </w:tc>
            </w:tr>
            <w:tr w14:paraId="6DEA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0" w:type="dxa"/>
                </w:tcPr>
                <w:p w14:paraId="0A1BBE5C">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11</w:t>
                  </w:r>
                </w:p>
              </w:tc>
              <w:tc>
                <w:tcPr>
                  <w:tcW w:w="1148" w:type="dxa"/>
                </w:tcPr>
                <w:p w14:paraId="112A0057">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考试会场及大型活动服务</w:t>
                  </w:r>
                </w:p>
              </w:tc>
              <w:tc>
                <w:tcPr>
                  <w:tcW w:w="1488" w:type="dxa"/>
                  <w:vAlign w:val="center"/>
                </w:tcPr>
                <w:p w14:paraId="43CB6F36">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详见下方需求</w:t>
                  </w:r>
                </w:p>
              </w:tc>
              <w:tc>
                <w:tcPr>
                  <w:tcW w:w="1764" w:type="dxa"/>
                  <w:vAlign w:val="center"/>
                </w:tcPr>
                <w:p w14:paraId="2EA787B0">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w:t>
                  </w:r>
                </w:p>
              </w:tc>
              <w:tc>
                <w:tcPr>
                  <w:tcW w:w="1511" w:type="dxa"/>
                  <w:vAlign w:val="center"/>
                </w:tcPr>
                <w:p w14:paraId="54F7E226">
                  <w:pPr>
                    <w:spacing w:line="400" w:lineRule="exact"/>
                    <w:jc w:val="center"/>
                    <w:rPr>
                      <w:rFonts w:ascii="宋体" w:hAnsi="宋体" w:cs="宋体"/>
                      <w:b/>
                      <w:bCs/>
                      <w:color w:val="auto"/>
                      <w:sz w:val="22"/>
                      <w:highlight w:val="none"/>
                    </w:rPr>
                  </w:pPr>
                </w:p>
              </w:tc>
              <w:tc>
                <w:tcPr>
                  <w:tcW w:w="1249" w:type="dxa"/>
                  <w:vAlign w:val="center"/>
                </w:tcPr>
                <w:p w14:paraId="42BA955A">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10</w:t>
                  </w:r>
                </w:p>
              </w:tc>
              <w:tc>
                <w:tcPr>
                  <w:tcW w:w="817" w:type="dxa"/>
                </w:tcPr>
                <w:p w14:paraId="64467E8D">
                  <w:pPr>
                    <w:spacing w:line="400" w:lineRule="exact"/>
                    <w:jc w:val="center"/>
                    <w:rPr>
                      <w:rFonts w:ascii="宋体" w:hAnsi="宋体" w:cs="宋体"/>
                      <w:color w:val="auto"/>
                      <w:spacing w:val="-6"/>
                      <w:sz w:val="22"/>
                      <w:highlight w:val="none"/>
                    </w:rPr>
                  </w:pPr>
                </w:p>
              </w:tc>
            </w:tr>
            <w:tr w14:paraId="19B3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351" w:type="dxa"/>
                  <w:gridSpan w:val="5"/>
                </w:tcPr>
                <w:p w14:paraId="6DC55EAB">
                  <w:pPr>
                    <w:spacing w:line="400" w:lineRule="exact"/>
                    <w:jc w:val="center"/>
                    <w:rPr>
                      <w:rFonts w:ascii="宋体" w:hAnsi="宋体" w:cs="宋体"/>
                      <w:strike/>
                      <w:color w:val="auto"/>
                      <w:spacing w:val="-6"/>
                      <w:sz w:val="22"/>
                      <w:highlight w:val="none"/>
                    </w:rPr>
                  </w:pPr>
                  <w:r>
                    <w:rPr>
                      <w:rFonts w:hint="eastAsia" w:ascii="宋体" w:hAnsi="宋体" w:cs="宋体"/>
                      <w:color w:val="auto"/>
                      <w:spacing w:val="-6"/>
                      <w:sz w:val="22"/>
                      <w:highlight w:val="none"/>
                    </w:rPr>
                    <w:t>合计</w:t>
                  </w:r>
                </w:p>
              </w:tc>
              <w:tc>
                <w:tcPr>
                  <w:tcW w:w="1249" w:type="dxa"/>
                  <w:vAlign w:val="center"/>
                </w:tcPr>
                <w:p w14:paraId="47CDB384">
                  <w:pPr>
                    <w:spacing w:line="400" w:lineRule="exact"/>
                    <w:jc w:val="center"/>
                    <w:rPr>
                      <w:rFonts w:ascii="宋体" w:hAnsi="宋体" w:cs="宋体"/>
                      <w:color w:val="auto"/>
                      <w:spacing w:val="-6"/>
                      <w:sz w:val="22"/>
                      <w:highlight w:val="none"/>
                    </w:rPr>
                  </w:pPr>
                  <w:r>
                    <w:rPr>
                      <w:rFonts w:hint="eastAsia" w:ascii="宋体" w:hAnsi="宋体" w:cs="宋体"/>
                      <w:color w:val="auto"/>
                      <w:spacing w:val="-6"/>
                      <w:sz w:val="22"/>
                      <w:highlight w:val="none"/>
                    </w:rPr>
                    <w:t>90</w:t>
                  </w:r>
                </w:p>
              </w:tc>
              <w:tc>
                <w:tcPr>
                  <w:tcW w:w="817" w:type="dxa"/>
                </w:tcPr>
                <w:p w14:paraId="396CB049">
                  <w:pPr>
                    <w:spacing w:line="400" w:lineRule="exact"/>
                    <w:jc w:val="center"/>
                    <w:rPr>
                      <w:rFonts w:ascii="宋体" w:hAnsi="宋体" w:cs="宋体"/>
                      <w:strike/>
                      <w:color w:val="auto"/>
                      <w:spacing w:val="-6"/>
                      <w:sz w:val="22"/>
                      <w:highlight w:val="none"/>
                    </w:rPr>
                  </w:pPr>
                </w:p>
              </w:tc>
            </w:tr>
          </w:tbl>
          <w:p w14:paraId="464B73D7">
            <w:pPr>
              <w:spacing w:before="120" w:beforeLines="50" w:after="120" w:afterLines="50" w:line="276" w:lineRule="auto"/>
              <w:ind w:right="-57"/>
              <w:jc w:val="left"/>
              <w:rPr>
                <w:rFonts w:ascii="宋体" w:hAnsi="宋体" w:cs="宋体"/>
                <w:b/>
                <w:color w:val="auto"/>
                <w:sz w:val="22"/>
                <w:highlight w:val="none"/>
              </w:rPr>
            </w:pPr>
            <w:r>
              <w:rPr>
                <w:rFonts w:hint="eastAsia" w:ascii="宋体" w:hAnsi="宋体" w:cs="宋体"/>
                <w:b/>
                <w:color w:val="auto"/>
                <w:sz w:val="22"/>
                <w:highlight w:val="none"/>
              </w:rPr>
              <w:t>三、  报价说明及原则</w:t>
            </w:r>
          </w:p>
          <w:p w14:paraId="0AB96380">
            <w:pPr>
              <w:spacing w:line="400" w:lineRule="exact"/>
              <w:ind w:firstLine="442" w:firstLineChars="200"/>
              <w:rPr>
                <w:rFonts w:ascii="宋体" w:hAnsi="宋体" w:cs="宋体"/>
                <w:color w:val="auto"/>
                <w:sz w:val="22"/>
                <w:highlight w:val="none"/>
              </w:rPr>
            </w:pPr>
            <w:r>
              <w:rPr>
                <w:rFonts w:hint="eastAsia" w:ascii="宋体" w:hAnsi="宋体" w:cs="宋体"/>
                <w:b/>
                <w:color w:val="auto"/>
                <w:sz w:val="22"/>
                <w:highlight w:val="none"/>
              </w:rPr>
              <w:t>1、物业服务费报价说明及报价原则</w:t>
            </w:r>
          </w:p>
          <w:p w14:paraId="1A268385">
            <w:pPr>
              <w:pStyle w:val="89"/>
              <w:widowControl w:val="0"/>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一）投保人报价应充分考虑合同期内包括的服务成本、法定税费和管理企业利润等。由各投标人根据招标文件所提供的资料自行测算决定报价，但不得以低于企业成本的报价投标，一经中标，中标范围内的投标报价作为中标人与招标人签订合同依据。</w:t>
            </w:r>
          </w:p>
          <w:p w14:paraId="5290375E">
            <w:pPr>
              <w:pStyle w:val="89"/>
              <w:widowControl w:val="0"/>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二）节假日、寒暑假物业管理服务均属于应提供正常服务的时间（员工双休日轮休一天，工作日必须确保全员上班，节假日（学校重大活动除外）等假期保证至少一半以上人员出勤，具体以经招标人确认的排班表为准）。 </w:t>
            </w:r>
          </w:p>
          <w:p w14:paraId="01A8F7E1">
            <w:pPr>
              <w:pStyle w:val="89"/>
              <w:widowControl w:val="0"/>
              <w:adjustRightInd w:val="0"/>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（三）本项目所有员工统一着工作服并佩戴工号牌，由中标人购置，费用包含在投标总价内。</w:t>
            </w:r>
          </w:p>
          <w:p w14:paraId="750F8A67">
            <w:pPr>
              <w:pStyle w:val="89"/>
              <w:widowControl w:val="0"/>
              <w:adjustRightInd w:val="0"/>
              <w:snapToGrid w:val="0"/>
              <w:spacing w:line="460" w:lineRule="exact"/>
              <w:ind w:firstLine="431" w:firstLineChars="196"/>
              <w:rPr>
                <w:rFonts w:ascii="宋体" w:hAnsi="宋体" w:cs="宋体"/>
                <w:b/>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color w:val="auto"/>
                <w:sz w:val="22"/>
                <w:szCs w:val="22"/>
                <w:highlight w:val="none"/>
              </w:rPr>
              <w:t>、专项物业费报价说明及报价原则</w:t>
            </w:r>
          </w:p>
          <w:p w14:paraId="79C9C57F">
            <w:pPr>
              <w:spacing w:before="240" w:beforeLines="100" w:after="120" w:afterLines="50" w:line="360" w:lineRule="auto"/>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一）垃圾清运:中标人需根据当地环卫部门、学校相关管理部门要求做好垃圾分类工作，配备符合要求的生活垃圾分类转运车辆，并做好垃圾清运，垃圾处置，垃圾处置费所产生的费用均包含在本次投标报价内。（原与街道环卫所的合同价为18万元，服务时间为2024年7月31日到2025年8月1日）。注：非居民生活垃圾处理收费标准按照《关于印发&lt;关于完善温州市区城镇非居民生活垃圾处理收费机制的实施意见&gt;的通知》(温发改价[2023]151号)执行。允许中标人委托具备相应资质的第三方单位进行服务。</w:t>
            </w:r>
          </w:p>
          <w:p w14:paraId="73FC1606">
            <w:pPr>
              <w:ind w:firstLine="220" w:firstLineChars="100"/>
              <w:rPr>
                <w:rFonts w:hint="eastAsia" w:ascii="宋体" w:hAnsi="宋体" w:eastAsia="宋体" w:cs="宋体"/>
                <w:color w:val="auto"/>
                <w:sz w:val="22"/>
                <w:highlight w:val="none"/>
                <w:lang w:eastAsia="zh-CN"/>
              </w:rPr>
            </w:pPr>
            <w:r>
              <w:rPr>
                <w:rFonts w:hint="eastAsia" w:ascii="宋体" w:hAnsi="宋体" w:cs="宋体"/>
                <w:color w:val="auto"/>
                <w:sz w:val="22"/>
                <w:highlight w:val="none"/>
              </w:rPr>
              <w:t>（二）外墙清洗</w:t>
            </w:r>
            <w:r>
              <w:rPr>
                <w:rFonts w:hint="eastAsia" w:ascii="宋体" w:hAnsi="宋体" w:cs="宋体"/>
                <w:color w:val="auto"/>
                <w:sz w:val="22"/>
                <w:highlight w:val="none"/>
                <w:lang w:val="en-US" w:eastAsia="zh-CN"/>
              </w:rPr>
              <w:t>保洁</w:t>
            </w:r>
          </w:p>
          <w:p w14:paraId="3FAEB064">
            <w:pPr>
              <w:spacing w:before="240" w:beforeLines="100" w:after="120" w:afterLines="50" w:line="360" w:lineRule="auto"/>
              <w:ind w:firstLine="440" w:firstLineChars="200"/>
              <w:jc w:val="left"/>
              <w:rPr>
                <w:rFonts w:ascii="宋体" w:hAnsi="宋体" w:cs="宋体"/>
                <w:color w:val="auto"/>
                <w:sz w:val="22"/>
                <w:highlight w:val="none"/>
              </w:rPr>
            </w:pPr>
            <w:r>
              <w:rPr>
                <w:rFonts w:hint="eastAsia" w:ascii="宋体" w:hAnsi="宋体" w:cs="宋体"/>
                <w:color w:val="auto"/>
                <w:sz w:val="22"/>
                <w:highlight w:val="none"/>
              </w:rPr>
              <w:t>外墙清洗要求：本次外墙清洗涵盖学校建筑一期地上建筑面积约 25 万平方米、二期宿舍区建筑约 7.2 万平方米，学校外立面总面积约 12 万平方米。清洗对象主要为玻璃、铝板、石材、陶板、金属张拉网、膜结构等易污染外立面，清洗周期为每年一次。清洁标准：外立面无可见污渍、灰尘、水痕、胶渍等残留；玻璃透光率≥95%，金属材质表面无划痕，石材无化学腐蚀；膜结构使用专用清洁剂进行清洗，避免出现褪色或老化现象。安全规范：1.高空作业人员必须符合《高处作业安全技术规范》（GB 30871）相关要求，做到持证上岗；施工过程中需设置安全警示区域，同时为高空作业人员投保高空作业意外险；施工队伍需具备高空作业资质，允许中标人委托具备相应资质的第三方单位进行服务。</w:t>
            </w:r>
          </w:p>
          <w:p w14:paraId="77518A14">
            <w:pPr>
              <w:numPr>
                <w:ilvl w:val="0"/>
                <w:numId w:val="11"/>
              </w:numPr>
              <w:spacing w:before="240" w:beforeLines="100" w:after="120" w:afterLines="50" w:line="360" w:lineRule="auto"/>
              <w:ind w:firstLine="440" w:firstLineChars="200"/>
              <w:jc w:val="left"/>
              <w:rPr>
                <w:rFonts w:ascii="宋体" w:hAnsi="宋体" w:cs="宋体"/>
                <w:color w:val="auto"/>
                <w:sz w:val="22"/>
                <w:highlight w:val="none"/>
              </w:rPr>
            </w:pPr>
            <w:r>
              <w:rPr>
                <w:rFonts w:hint="eastAsia" w:ascii="宋体" w:hAnsi="宋体" w:cs="宋体"/>
                <w:color w:val="auto"/>
                <w:sz w:val="22"/>
                <w:highlight w:val="none"/>
              </w:rPr>
              <w:t>化粪池清理和管道疏通</w:t>
            </w:r>
          </w:p>
          <w:p w14:paraId="0EB78705">
            <w:pPr>
              <w:numPr>
                <w:ilvl w:val="-1"/>
                <w:numId w:val="0"/>
              </w:numPr>
              <w:spacing w:before="240" w:beforeLines="100" w:after="120" w:afterLines="50" w:line="360" w:lineRule="auto"/>
              <w:ind w:firstLine="660" w:firstLineChars="300"/>
              <w:jc w:val="left"/>
              <w:rPr>
                <w:rFonts w:ascii="宋体" w:hAnsi="宋体" w:cs="宋体"/>
                <w:color w:val="auto"/>
                <w:sz w:val="22"/>
                <w:highlight w:val="none"/>
              </w:rPr>
            </w:pPr>
            <w:r>
              <w:rPr>
                <w:rFonts w:hint="eastAsia" w:ascii="宋体" w:hAnsi="宋体" w:cs="宋体"/>
                <w:color w:val="auto"/>
                <w:sz w:val="22"/>
                <w:highlight w:val="none"/>
                <w:lang w:val="en-US" w:eastAsia="zh-CN"/>
              </w:rPr>
              <w:t>服务内容：包含</w:t>
            </w:r>
            <w:r>
              <w:rPr>
                <w:rFonts w:hint="eastAsia" w:ascii="宋体" w:hAnsi="宋体" w:cs="宋体"/>
                <w:color w:val="auto"/>
                <w:sz w:val="22"/>
                <w:highlight w:val="none"/>
              </w:rPr>
              <w:t>化粪池、隔油池清疏及雨污水管道疏通（含</w:t>
            </w:r>
            <w:r>
              <w:rPr>
                <w:rFonts w:hint="eastAsia" w:ascii="宋体" w:hAnsi="宋体" w:cs="宋体"/>
                <w:color w:val="auto"/>
                <w:kern w:val="0"/>
                <w:sz w:val="22"/>
                <w:highlight w:val="none"/>
                <w:lang w:bidi="ar"/>
              </w:rPr>
              <w:t>中心湖至大学路污水主管道疏通</w:t>
            </w:r>
            <w:r>
              <w:rPr>
                <w:rFonts w:hint="eastAsia" w:ascii="宋体" w:hAnsi="宋体" w:cs="宋体"/>
                <w:color w:val="auto"/>
                <w:sz w:val="22"/>
                <w:highlight w:val="none"/>
              </w:rPr>
              <w:t>）1</w:t>
            </w:r>
            <w:r>
              <w:rPr>
                <w:rFonts w:hint="eastAsia" w:ascii="宋体" w:hAnsi="宋体" w:cs="宋体"/>
                <w:b w:val="0"/>
                <w:bCs w:val="0"/>
                <w:color w:val="auto"/>
                <w:sz w:val="22"/>
                <w:highlight w:val="none"/>
              </w:rPr>
              <w:t>.中标人负责一年二次各校区内的化粪池（48个以上）清疏，食堂隔油池的一年至少四次定期清理疏通，确保无堵塞、外溢等状况发生，费用包含在本次投标报价内。2.</w:t>
            </w:r>
            <w:r>
              <w:rPr>
                <w:rFonts w:hint="eastAsia" w:ascii="宋体" w:hAnsi="宋体" w:cs="宋体"/>
                <w:b w:val="0"/>
                <w:bCs w:val="0"/>
                <w:color w:val="auto"/>
                <w:kern w:val="0"/>
                <w:sz w:val="22"/>
                <w:highlight w:val="none"/>
                <w:lang w:bidi="ar"/>
              </w:rPr>
              <w:t xml:space="preserve"> 中心湖至大学路污水主管道疏通</w:t>
            </w:r>
            <w:r>
              <w:rPr>
                <w:rFonts w:hint="eastAsia" w:ascii="宋体" w:hAnsi="宋体" w:cs="宋体"/>
                <w:b w:val="0"/>
                <w:bCs w:val="0"/>
                <w:color w:val="auto"/>
                <w:sz w:val="22"/>
                <w:highlight w:val="none"/>
              </w:rPr>
              <w:t>：</w:t>
            </w:r>
            <w:r>
              <w:rPr>
                <w:rFonts w:hint="eastAsia" w:ascii="宋体" w:hAnsi="宋体" w:cs="宋体"/>
                <w:b w:val="0"/>
                <w:bCs w:val="0"/>
                <w:color w:val="auto"/>
                <w:kern w:val="0"/>
                <w:sz w:val="22"/>
                <w:highlight w:val="none"/>
                <w:lang w:bidi="ar"/>
              </w:rPr>
              <w:t>长度约为500米要求每年二次，分别5月份和10月份进行疏通。含管</w:t>
            </w:r>
            <w:r>
              <w:rPr>
                <w:rFonts w:hint="eastAsia" w:ascii="宋体" w:hAnsi="宋体" w:cs="宋体"/>
                <w:color w:val="auto"/>
                <w:kern w:val="0"/>
                <w:sz w:val="22"/>
                <w:highlight w:val="none"/>
                <w:lang w:bidi="ar"/>
              </w:rPr>
              <w:t>道疏通，清淤，气囊封堵，抽污水台班等。</w:t>
            </w:r>
            <w:r>
              <w:rPr>
                <w:rFonts w:hint="eastAsia" w:ascii="宋体" w:hAnsi="宋体" w:cs="宋体"/>
                <w:color w:val="auto"/>
                <w:sz w:val="22"/>
                <w:highlight w:val="none"/>
              </w:rPr>
              <w:t>3.全校雨污水管道堵塞疏通（需要机械开挖修护的除外）。允许中标人委托具备相应资质的第三方单位进行服务。</w:t>
            </w:r>
          </w:p>
          <w:p w14:paraId="3B8545E8">
            <w:pPr>
              <w:spacing w:line="460" w:lineRule="exact"/>
              <w:ind w:firstLine="440" w:firstLineChars="200"/>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（四）学校</w:t>
            </w:r>
            <w:r>
              <w:rPr>
                <w:rFonts w:hint="eastAsia" w:ascii="宋体" w:hAnsi="宋体" w:cs="宋体"/>
                <w:color w:val="auto"/>
                <w:sz w:val="22"/>
                <w:highlight w:val="none"/>
                <w:lang w:val="en-US" w:eastAsia="zh-CN"/>
              </w:rPr>
              <w:t>生活水箱和热水水箱清洗</w:t>
            </w:r>
          </w:p>
          <w:p w14:paraId="7B5D0D1A">
            <w:pPr>
              <w:spacing w:before="240" w:beforeLines="100" w:after="120" w:afterLines="50" w:line="360" w:lineRule="auto"/>
              <w:ind w:firstLine="440" w:firstLineChars="200"/>
              <w:jc w:val="left"/>
              <w:rPr>
                <w:rFonts w:ascii="宋体" w:hAnsi="宋体" w:cs="宋体"/>
                <w:color w:val="auto"/>
                <w:sz w:val="22"/>
                <w:highlight w:val="none"/>
              </w:rPr>
            </w:pPr>
            <w:r>
              <w:rPr>
                <w:rFonts w:hint="eastAsia" w:ascii="宋体" w:hAnsi="宋体" w:cs="宋体"/>
                <w:color w:val="auto"/>
                <w:sz w:val="22"/>
                <w:highlight w:val="none"/>
              </w:rPr>
              <w:t>服务内容：中标人负责每年寒暑假结束前学校各类生活水池、水箱、热水箱、消防水箱（共两次）进行一次清洗工作，</w:t>
            </w:r>
            <w:r>
              <w:rPr>
                <w:rFonts w:hint="eastAsia" w:ascii="宋体" w:hAnsi="宋体" w:cs="宋体"/>
                <w:bCs/>
                <w:color w:val="auto"/>
                <w:sz w:val="22"/>
                <w:highlight w:val="none"/>
              </w:rPr>
              <w:t>每学期第一次检测费用由学校委托第三方进行检测，费用由学校支付（如第一次不合格需第二次的检测，费用由中标单位支付）</w:t>
            </w:r>
            <w:r>
              <w:rPr>
                <w:rFonts w:hint="eastAsia" w:ascii="宋体" w:hAnsi="宋体" w:cs="宋体"/>
                <w:color w:val="auto"/>
                <w:sz w:val="22"/>
                <w:highlight w:val="none"/>
              </w:rPr>
              <w:t>；承担学校所有建筑公共开水机、直饮水机的维修维护和滤芯更换等相关工作，每年至少更换两次滤芯，并每月巡检挂表，相关费用包含在投标报价内。允许中标人委托具备相应资质的第三方单位进行服务。</w:t>
            </w:r>
          </w:p>
          <w:p w14:paraId="7B51BA7B">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具体要求：</w:t>
            </w:r>
          </w:p>
          <w:p w14:paraId="1827B530">
            <w:pPr>
              <w:widowControl/>
              <w:numPr>
                <w:ilvl w:val="0"/>
                <w:numId w:val="12"/>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1.开水机管理维护</w:t>
            </w:r>
          </w:p>
          <w:p w14:paraId="452A8666">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负责学校公共区域现有及未来安装的所有开水机的管理、维护维修和滤芯更换工作，并在机器旁张贴更换记录卡，确保开水供应安全；每季度对开水机进行内部清洁与消毒，包括拆卸水箱和管道，使用食品级清洗剂和软刷进行深度清洁，消毒后检查并更换损坏部件，测试热水器功能；根据实际使用情况和滤芯寿命，每 3 - 6 个月更换一次滤芯；每季度对开水机电路系统进行全面检查，确保电路连接牢固、电线无破损老化、电气元件正常工作；定期检查开水机各项安全装置，如漏电保护装置、过热保护装置等；详细记录检查维护情况，重大问题及时上报并提出解决方案；依据实际使用状况制定科学合理的维护时间表。</w:t>
            </w:r>
          </w:p>
          <w:p w14:paraId="1AD16D4C">
            <w:pPr>
              <w:widowControl/>
              <w:numPr>
                <w:ilvl w:val="0"/>
                <w:numId w:val="12"/>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2.水箱清洗</w:t>
            </w:r>
          </w:p>
          <w:p w14:paraId="4814F978">
            <w:pPr>
              <w:widowControl/>
              <w:numPr>
                <w:ilvl w:val="0"/>
                <w:numId w:val="12"/>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投标人负责水箱（水池）日常运行、巡查、清洁、维护、滤芯更换、</w:t>
            </w:r>
            <w:r>
              <w:rPr>
                <w:rFonts w:hint="eastAsia" w:ascii="宋体" w:hAnsi="宋体" w:cs="宋体"/>
                <w:color w:val="auto"/>
                <w:kern w:val="0"/>
                <w:sz w:val="22"/>
                <w:highlight w:val="none"/>
                <w:lang w:bidi="ar"/>
              </w:rPr>
              <w:t>消毒器维修</w:t>
            </w:r>
            <w:r>
              <w:rPr>
                <w:rFonts w:hint="eastAsia" w:ascii="宋体" w:hAnsi="宋体" w:cs="宋体"/>
                <w:color w:val="auto"/>
                <w:sz w:val="22"/>
                <w:highlight w:val="none"/>
              </w:rPr>
              <w:t>等工作，寒暑假各进行一次全面清洗，确保二次供水水质达标，同时关闭长期不使用电器电源并排空内胆贮水。</w:t>
            </w:r>
          </w:p>
          <w:p w14:paraId="2EEAD2A7">
            <w:pPr>
              <w:spacing w:line="460" w:lineRule="exact"/>
              <w:ind w:firstLine="440" w:firstLineChars="200"/>
              <w:rPr>
                <w:rFonts w:ascii="宋体" w:hAnsi="宋体" w:cs="宋体"/>
                <w:color w:val="auto"/>
                <w:sz w:val="22"/>
                <w:highlight w:val="none"/>
              </w:rPr>
            </w:pPr>
            <w:bookmarkStart w:id="24" w:name="OLE_LINK37"/>
            <w:r>
              <w:rPr>
                <w:rFonts w:hint="eastAsia" w:ascii="宋体" w:hAnsi="宋体" w:cs="宋体"/>
                <w:color w:val="auto"/>
                <w:sz w:val="22"/>
                <w:highlight w:val="none"/>
              </w:rPr>
              <w:t>（五）维修</w:t>
            </w:r>
            <w:r>
              <w:rPr>
                <w:rFonts w:hint="eastAsia" w:ascii="宋体" w:hAnsi="宋体" w:cs="宋体"/>
                <w:color w:val="auto"/>
                <w:sz w:val="22"/>
                <w:highlight w:val="none"/>
                <w:lang w:val="en-US" w:eastAsia="zh-CN"/>
              </w:rPr>
              <w:t>材料配件</w:t>
            </w:r>
            <w:r>
              <w:rPr>
                <w:rFonts w:hint="eastAsia" w:ascii="宋体" w:hAnsi="宋体" w:cs="宋体"/>
                <w:color w:val="auto"/>
                <w:sz w:val="22"/>
                <w:highlight w:val="none"/>
              </w:rPr>
              <w:t>：</w:t>
            </w:r>
          </w:p>
          <w:p w14:paraId="32FADA07">
            <w:pPr>
              <w:pStyle w:val="10"/>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单价费用在300元以上的维修配件及材料费用由采购人负责；单价费用在300元及以下的维修配件及材料费用由投标人负责。（预算金额为20万元，具体清单可以参考2024年学校采购清单）</w:t>
            </w:r>
          </w:p>
          <w:p w14:paraId="17F9AE0B">
            <w:pPr>
              <w:pStyle w:val="10"/>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维修事项包括下列主要内容：所有建筑房屋，室外配套设施维护，包括但不限于门窗、纱门纱窗、百叶卷帘、窗帘杆及滑道、给排水相关设施、卫生洁具设备、室内家具小型五金件更换和维修、照明灯具、楼内开关插座及楼内供配电线路等设施小型新增及维修更换;</w:t>
            </w:r>
            <w:r>
              <w:rPr>
                <w:rFonts w:hint="eastAsia" w:ascii="宋体" w:hAnsi="宋体" w:cs="宋体"/>
                <w:color w:val="auto"/>
                <w:sz w:val="22"/>
                <w:highlight w:val="none"/>
                <w:shd w:val="clear" w:color="auto" w:fill="FFFFFF"/>
              </w:rPr>
              <w:t xml:space="preserve"> </w:t>
            </w:r>
            <w:r>
              <w:rPr>
                <w:rFonts w:hint="eastAsia" w:ascii="宋体" w:hAnsi="宋体" w:cs="宋体"/>
                <w:color w:val="auto"/>
                <w:sz w:val="22"/>
                <w:highlight w:val="none"/>
              </w:rPr>
              <w:t>水电表、门禁、监控等弱电初步排除和维修；室内墙地面瓷砖局部维修（单处面积≤1㎡）;</w:t>
            </w:r>
            <w:r>
              <w:rPr>
                <w:rFonts w:hint="eastAsia" w:ascii="宋体" w:hAnsi="宋体" w:cs="宋体"/>
                <w:color w:val="auto"/>
                <w:sz w:val="22"/>
                <w:highlight w:val="none"/>
                <w:shd w:val="clear" w:color="auto" w:fill="FFFFFF"/>
              </w:rPr>
              <w:t xml:space="preserve"> </w:t>
            </w:r>
            <w:r>
              <w:rPr>
                <w:rFonts w:hint="eastAsia" w:ascii="宋体" w:hAnsi="宋体" w:cs="宋体"/>
                <w:color w:val="auto"/>
                <w:sz w:val="22"/>
                <w:highlight w:val="none"/>
              </w:rPr>
              <w:t>墙面涂料修补（单处面积≤2㎡）;石膏板吊顶局部修补（单处面积≤1㎡）等室内含材料维修；室外硬质铺装（地砖/花岗岩）局部维修（单处面积≤1㎡）；路缘石、台阶踏步局部修补等室外维修。维修材料单价费用300元以上的，由中标人根据相关程序向招标人申报同意后实施。维修服务中易损易耗的常见维修配件，中标人应库存备件，品质不低于原品质,不得累积维修项目以规避单次单项限价。</w:t>
            </w:r>
          </w:p>
          <w:p w14:paraId="587DB5A2">
            <w:pPr>
              <w:pStyle w:val="10"/>
              <w:spacing w:line="460" w:lineRule="exact"/>
              <w:ind w:firstLine="440" w:firstLineChars="200"/>
              <w:rPr>
                <w:rFonts w:hint="eastAsia" w:ascii="宋体" w:hAnsi="宋体" w:eastAsia="宋体" w:cs="宋体"/>
                <w:strike/>
                <w:color w:val="auto"/>
                <w:sz w:val="22"/>
                <w:highlight w:val="none"/>
                <w:lang w:eastAsia="zh-CN"/>
              </w:rPr>
            </w:pPr>
            <w:r>
              <w:rPr>
                <w:rFonts w:hint="eastAsia" w:ascii="宋体" w:hAnsi="宋体" w:cs="宋体"/>
                <w:color w:val="auto"/>
                <w:sz w:val="22"/>
                <w:highlight w:val="none"/>
              </w:rPr>
              <w:t>维修事项不包括内容：</w:t>
            </w:r>
            <w:r>
              <w:rPr>
                <w:rFonts w:hint="eastAsia" w:ascii="宋体" w:hAnsi="宋体" w:cs="宋体"/>
                <w:color w:val="auto"/>
                <w:sz w:val="22"/>
                <w:highlight w:val="none"/>
                <w:shd w:val="clear" w:color="auto" w:fill="FFFFFF"/>
              </w:rPr>
              <w:t>房屋结构、外墙、幕墙、智能化、高压配电房等专业性较强调试。具体为以下内容：（1）建筑结构性维修：屋面/外墙/卫生间渗漏等；（2）高空作业项目：幕墙（含石材、铝板、玻璃）维修更换；（3）整体性更换：玻璃自爆处理；（4）</w:t>
            </w:r>
            <w:r>
              <w:rPr>
                <w:rFonts w:hint="eastAsia" w:ascii="宋体" w:hAnsi="宋体" w:cs="宋体"/>
                <w:color w:val="auto"/>
                <w:sz w:val="22"/>
                <w:highlight w:val="none"/>
              </w:rPr>
              <w:t>智能水电表、门禁、监控设备更换；</w:t>
            </w:r>
            <w:bookmarkStart w:id="25" w:name="OLE_LINK38"/>
            <w:r>
              <w:rPr>
                <w:rFonts w:hint="eastAsia" w:ascii="宋体" w:hAnsi="宋体" w:cs="宋体"/>
                <w:color w:val="auto"/>
                <w:sz w:val="22"/>
                <w:highlight w:val="none"/>
                <w:shd w:val="clear" w:color="auto" w:fill="FFFFFF"/>
              </w:rPr>
              <w:t>（5）</w:t>
            </w:r>
            <w:bookmarkEnd w:id="25"/>
            <w:r>
              <w:rPr>
                <w:rFonts w:hint="eastAsia" w:ascii="宋体" w:hAnsi="宋体" w:cs="宋体"/>
                <w:color w:val="auto"/>
                <w:sz w:val="22"/>
                <w:highlight w:val="none"/>
              </w:rPr>
              <w:t>因地基沉降导致的瓷砖/石材大面积开裂；</w:t>
            </w:r>
            <w:r>
              <w:rPr>
                <w:rFonts w:hint="eastAsia" w:ascii="宋体" w:hAnsi="宋体" w:cs="宋体"/>
                <w:color w:val="auto"/>
                <w:sz w:val="22"/>
                <w:highlight w:val="none"/>
                <w:shd w:val="clear" w:color="auto" w:fill="FFFFFF"/>
              </w:rPr>
              <w:t>（6）</w:t>
            </w:r>
            <w:r>
              <w:rPr>
                <w:rFonts w:hint="eastAsia" w:ascii="宋体" w:hAnsi="宋体" w:cs="宋体"/>
                <w:color w:val="auto"/>
                <w:sz w:val="22"/>
                <w:highlight w:val="none"/>
              </w:rPr>
              <w:t>超过设计使用年限的整体饰面老化；</w:t>
            </w:r>
            <w:r>
              <w:rPr>
                <w:rFonts w:hint="eastAsia" w:ascii="宋体" w:hAnsi="宋体" w:cs="宋体"/>
                <w:color w:val="auto"/>
                <w:sz w:val="22"/>
                <w:highlight w:val="none"/>
                <w:shd w:val="clear" w:color="auto" w:fill="FFFFFF"/>
              </w:rPr>
              <w:t>（7）艺术装饰面、特殊工艺饰面、比较复杂面层的复原性维修；（8）钢结构的保养维护</w:t>
            </w:r>
            <w:r>
              <w:rPr>
                <w:rFonts w:hint="eastAsia" w:ascii="宋体" w:hAnsi="宋体" w:cs="宋体"/>
                <w:color w:val="auto"/>
                <w:sz w:val="22"/>
                <w:highlight w:val="none"/>
                <w:shd w:val="clear" w:color="auto" w:fill="FFFFFF"/>
                <w:lang w:eastAsia="zh-CN"/>
              </w:rPr>
              <w:t>；</w:t>
            </w:r>
            <w:r>
              <w:rPr>
                <w:rFonts w:hint="eastAsia" w:ascii="宋体" w:hAnsi="宋体" w:cs="宋体"/>
                <w:color w:val="auto"/>
                <w:sz w:val="22"/>
                <w:highlight w:val="none"/>
                <w:shd w:val="clear" w:color="auto" w:fill="FFFFFF"/>
              </w:rPr>
              <w:t>（</w:t>
            </w:r>
            <w:r>
              <w:rPr>
                <w:rFonts w:hint="eastAsia" w:ascii="宋体" w:hAnsi="宋体" w:cs="宋体"/>
                <w:color w:val="auto"/>
                <w:sz w:val="22"/>
                <w:highlight w:val="none"/>
                <w:shd w:val="clear" w:color="auto" w:fill="FFFFFF"/>
                <w:lang w:val="en-US" w:eastAsia="zh-CN"/>
              </w:rPr>
              <w:t>9</w:t>
            </w:r>
            <w:r>
              <w:rPr>
                <w:rFonts w:hint="eastAsia" w:ascii="宋体" w:hAnsi="宋体" w:cs="宋体"/>
                <w:color w:val="auto"/>
                <w:sz w:val="22"/>
                <w:highlight w:val="none"/>
                <w:shd w:val="clear" w:color="auto" w:fill="FFFFFF"/>
              </w:rPr>
              <w:t>）高压配电房</w:t>
            </w:r>
            <w:r>
              <w:rPr>
                <w:rFonts w:hint="eastAsia" w:ascii="宋体" w:hAnsi="宋体" w:cs="宋体"/>
                <w:color w:val="auto"/>
                <w:sz w:val="22"/>
                <w:highlight w:val="none"/>
                <w:shd w:val="clear" w:color="auto" w:fill="FFFFFF"/>
                <w:lang w:val="en-US" w:eastAsia="zh-CN"/>
              </w:rPr>
              <w:t>设备的维修保养。</w:t>
            </w:r>
          </w:p>
          <w:bookmarkEnd w:id="24"/>
          <w:p w14:paraId="787E664E">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（六）新投用建筑保洁开荒</w:t>
            </w:r>
          </w:p>
          <w:p w14:paraId="5170E17E">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 按照采购人要求，对新投入使用建筑（详见附表二）的室内建筑、场地、设施等进行卫生开荒保洁服务。</w:t>
            </w:r>
          </w:p>
          <w:p w14:paraId="4CCA6BC4">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具体包括：</w:t>
            </w:r>
          </w:p>
          <w:p w14:paraId="24B6D3F1">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1.校园内新投用楼宇内部环境清洁，室内家具、设施清洁及玻璃窗擦洗；</w:t>
            </w:r>
          </w:p>
          <w:p w14:paraId="682C0617">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2.公共区域（地下车库、地下室、接待室、会议室、电梯轿厢、楼梯、过道等）环境清洁，大理石等地面清洁；</w:t>
            </w:r>
          </w:p>
          <w:p w14:paraId="39EF2F7F">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3.校园广场、道路等室外环境清洁。</w:t>
            </w:r>
          </w:p>
          <w:p w14:paraId="01F5540A">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（七）宿舍卫生间保洁</w:t>
            </w:r>
          </w:p>
          <w:p w14:paraId="6A6FC734">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 xml:space="preserve">    每学期结束后，投标人需根据学校要求对宿舍卫生间提供一次全面保洁服务。目前学校学生人数约 5000 人，宿舍卫生间约 2200 个；预计到 2028 年学生人数达 7000 人，宿舍卫生间约 3500 个。</w:t>
            </w:r>
          </w:p>
          <w:p w14:paraId="62314694">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 xml:space="preserve"> （八）校车清洗</w:t>
            </w:r>
          </w:p>
          <w:p w14:paraId="05D7DC34">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1.清洗对象与周期：中标人需对学校现有的约6辆大巴，每周进行一次全面清洗，每月消毒一次。</w:t>
            </w:r>
          </w:p>
          <w:p w14:paraId="1457F69C">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2.清洗标准：外部清洗：车身无泥沙、污渍、水痕，玻璃无残留水印、油膜，轮毂无积灰、轮胎侧面无泥垢；内部清洁：地板无垃圾、灰尘、脚印，座椅无污渍、食物残渣；扶手、拉环、仪表台无灰尘、指纹，空调出风口无积灰；垃圾桶每日清空并消毒。</w:t>
            </w:r>
          </w:p>
          <w:p w14:paraId="430D63D4">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3.清洁设备与耗材要求：使用专业洗车机、高压水枪、吸尘器、软毛刷、中性清洁剂，禁止使用强酸、强碱或腐蚀性清洁剂，防止损伤车漆和内饰。</w:t>
            </w:r>
          </w:p>
          <w:p w14:paraId="23E905E4">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 xml:space="preserve"> （九）毕业生房间清理</w:t>
            </w:r>
          </w:p>
          <w:p w14:paraId="6F8966A3">
            <w:pPr>
              <w:pStyle w:val="26"/>
              <w:shd w:val="clear" w:color="auto" w:fill="FFFFFF"/>
              <w:spacing w:before="0" w:beforeAutospacing="0" w:after="0" w:afterAutospacing="0" w:line="450" w:lineRule="atLeast"/>
              <w:textAlignment w:val="baseline"/>
              <w:rPr>
                <w:color w:val="auto"/>
                <w:sz w:val="22"/>
                <w:highlight w:val="none"/>
              </w:rPr>
            </w:pPr>
            <w:r>
              <w:rPr>
                <w:rFonts w:hint="eastAsia"/>
                <w:color w:val="auto"/>
                <w:sz w:val="22"/>
                <w:highlight w:val="none"/>
              </w:rPr>
              <w:t>每年6- 7月毕业生陆续离校后，中标人需在5日内完成单间清理工作。清理区域包括房间地面、墙面、门窗、家具（床、桌椅、衣柜）、卫生间（如适用）、阳台、电器（空调、灯具）等，学生寝室清理后的物品需要校方确认后再进行处置。</w:t>
            </w:r>
          </w:p>
          <w:p w14:paraId="559D198E">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具体清理标准如下：</w:t>
            </w:r>
          </w:p>
          <w:p w14:paraId="3231679D">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1.垃圾清运：房间内无残留垃圾，地面、角落无积尘、碎屑；</w:t>
            </w:r>
          </w:p>
          <w:p w14:paraId="36F25DD3">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2.深度清洁：地板彻底清扫拖洗，无污渍、脚印、胶痕；门窗玻璃擦拭干净，轨道无积灰；家具表面无灰尘、污迹，抽屉、柜内无遗留物品；卫生间马桶、洗手台、淋浴间消毒去垢，地漏畅通；空调滤网拆卸清洗（在质保期内），灯具擦拭无蛛网；</w:t>
            </w:r>
          </w:p>
          <w:p w14:paraId="19EEEE09">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3.墙面处理：无涂鸦、胶带残留，钉子孔洞按要求修补（如该房间含在暑假房间翻新且包含墙面维修，油漆翻新由招标人负责）；</w:t>
            </w:r>
          </w:p>
          <w:p w14:paraId="2B1A1A26">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4.检查维修：及时上报需维修项目，如灯具损坏、水管漏水、家具破损等。</w:t>
            </w:r>
          </w:p>
          <w:p w14:paraId="51B72F4B">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（十）室外防腐木、钢制栏杆及钢构件刷漆服务</w:t>
            </w:r>
          </w:p>
          <w:p w14:paraId="791B07E3">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1.服务范围：1.防腐木构件：室外木栈道、平台、座椅等；2.钢制栏杆：校园内所有钢制护栏、围墙栏杆等；3.裸露钢结构：雨棚、钢楼梯、充电桩棚架、标识牌支架等。</w:t>
            </w:r>
          </w:p>
          <w:p w14:paraId="6C23B359">
            <w:pPr>
              <w:widowControl/>
              <w:numPr>
                <w:ilvl w:val="0"/>
                <w:numId w:val="13"/>
              </w:numPr>
              <w:spacing w:line="24" w:lineRule="atLeast"/>
              <w:ind w:left="0"/>
              <w:rPr>
                <w:rFonts w:ascii="宋体" w:hAnsi="宋体" w:cs="宋体"/>
                <w:color w:val="auto"/>
                <w:sz w:val="22"/>
                <w:highlight w:val="none"/>
              </w:rPr>
            </w:pPr>
            <w:r>
              <w:rPr>
                <w:rFonts w:hint="eastAsia" w:ascii="宋体" w:hAnsi="宋体" w:cs="宋体"/>
                <w:color w:val="auto"/>
                <w:sz w:val="22"/>
                <w:highlight w:val="none"/>
              </w:rPr>
              <w:t>2.服务时间与施工要求：1.每年实施 1 次防护漆涂刷作业；2.防腐木涂刷 1 遍渗透型木蜡油 / 户外防腐漆（颜色与原有保持一致）；3.金属构件先涂刷 1 遍防锈底漆，再涂刷 2 遍氟碳面漆。</w:t>
            </w:r>
          </w:p>
          <w:p w14:paraId="68B2BEA7">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 （十一）考试会场及大型活动服务:</w:t>
            </w:r>
          </w:p>
          <w:p w14:paraId="1E96ED1C">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1.考试会场服务：配合学校做好重要考试相关工作（如三位一体、全国大学英语四六级、托福等考试），协调保洁、维修等人员满足考试保障需求</w:t>
            </w:r>
          </w:p>
          <w:p w14:paraId="676CDB8D">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大型活动服务：配合学校做好重要会议、重要来宾接待、各类检查评比、迎新、毕业生离校等重大活动（包括开学典礼、毕业典礼、大型会议、青科会、草坪音乐节、校园开放日等）及学校临时性事件的保障工作，按要求提供保洁、会务、维修等服务支持。必要时增派人员，确保按采购人要求保质保量完成任务</w:t>
            </w:r>
          </w:p>
          <w:p w14:paraId="1FFE62F2">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3.每月或重要考试前检查电铃和钟表运行情况，发现问题及时校正。</w:t>
            </w:r>
          </w:p>
          <w:p w14:paraId="1D718B22">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重大考试及活动电力保障：对涉及考场及活动场地的供电线路、变电站进行全面检查和维护，排除安全隐患；加强备用电源检查，确保紧急情况下能迅速切换，保障供电连续性；每次重要活动须安排至少一名电工现场值守，配合活动保障工作。</w:t>
            </w:r>
          </w:p>
          <w:p w14:paraId="415A92FE">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5.投标人应综合考虑因考试及大型活动服务可能产生的加班费、临时增派人员等额外成本，并在专项报价中予以体现，后续不再单独调整。</w:t>
            </w:r>
          </w:p>
          <w:p w14:paraId="6044DE59">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以上费用自行报价，如有浮动，校方将不再额外支付相关费用。</w:t>
            </w:r>
          </w:p>
          <w:p w14:paraId="1E39C043">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其他要求：</w:t>
            </w:r>
          </w:p>
          <w:p w14:paraId="0AE2D2D9">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因实际服务工作需要，投标人需配备多功能清扫车（≥1辆）、高压清洗机（≥2台）、垃圾分类转运车辆（≥2辆）（允许外包或租赁）、驾驶式洗地机（≥1辆）、地毯抽洗机（≥1台）、超静音洗地机（≥1台）、吸扫机器人（≥1台）、4座或6座四轮巡逻车（≥1辆）、室内可移动十米电动升降梯（≥1台）等工具设备。</w:t>
            </w:r>
          </w:p>
          <w:p w14:paraId="52C48C92">
            <w:pPr>
              <w:spacing w:line="460" w:lineRule="exact"/>
              <w:ind w:firstLine="433" w:firstLineChars="196"/>
              <w:rPr>
                <w:rFonts w:ascii="宋体" w:hAnsi="宋体" w:cs="宋体"/>
                <w:b/>
                <w:color w:val="auto"/>
                <w:sz w:val="22"/>
                <w:highlight w:val="none"/>
              </w:rPr>
            </w:pPr>
            <w:r>
              <w:rPr>
                <w:rFonts w:hint="eastAsia" w:ascii="宋体" w:hAnsi="宋体" w:cs="宋体"/>
                <w:b/>
                <w:color w:val="auto"/>
                <w:sz w:val="22"/>
                <w:highlight w:val="none"/>
              </w:rPr>
              <w:t>3、本项目物业服务费应包括但不限于以下内容</w:t>
            </w:r>
          </w:p>
          <w:p w14:paraId="5951968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（一）人员费用:包括员工薪金、社会保险费和公积金、福利、员工制服、员工餐费、节日加班、体检、交通费、住宿费以及其他与人员用工有关的一切用工成本；</w:t>
            </w:r>
          </w:p>
          <w:p w14:paraId="2A07A80F">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（二）设备工具费用:包括保洁、会务、维修维护等的工具、巡检器材、办公、耗材、燃料等费用；</w:t>
            </w:r>
          </w:p>
          <w:p w14:paraId="02C70F16">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（三）设施设备维修维护费:包括设施设备维修维护以及日常零星维修的材料、工具等费用；</w:t>
            </w:r>
          </w:p>
          <w:p w14:paraId="299A64FC">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（四）校园文化建设费用:中标人需设计制作并张贴各类物业管理类提示性、节能减排标识、物业痕迹管理标识等；</w:t>
            </w:r>
          </w:p>
          <w:p w14:paraId="2320CE8C">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（五）投标人的行政办公费；</w:t>
            </w:r>
          </w:p>
          <w:p w14:paraId="3CA0A7C7">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（六）企业管理费及利润；</w:t>
            </w:r>
          </w:p>
          <w:p w14:paraId="1BD398AF">
            <w:pPr>
              <w:spacing w:line="4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（七）税费和其它投标人认为需要投入的费用。</w:t>
            </w:r>
          </w:p>
          <w:p w14:paraId="3F991C78">
            <w:pPr>
              <w:keepNext/>
              <w:spacing w:line="440" w:lineRule="exact"/>
              <w:jc w:val="center"/>
              <w:rPr>
                <w:rFonts w:ascii="宋体" w:hAnsi="宋体" w:cs="宋体"/>
                <w:b/>
                <w:color w:val="auto"/>
                <w:sz w:val="22"/>
                <w:highlight w:val="none"/>
              </w:rPr>
            </w:pPr>
          </w:p>
          <w:p w14:paraId="19FFA3C5">
            <w:pPr>
              <w:keepNext/>
              <w:spacing w:line="440" w:lineRule="exact"/>
              <w:jc w:val="center"/>
              <w:rPr>
                <w:rFonts w:ascii="宋体" w:hAnsi="宋体" w:cs="宋体"/>
                <w:b/>
                <w:color w:val="auto"/>
                <w:sz w:val="22"/>
                <w:highlight w:val="none"/>
              </w:rPr>
            </w:pPr>
            <w:r>
              <w:rPr>
                <w:rFonts w:hint="eastAsia" w:ascii="宋体" w:hAnsi="宋体" w:cs="宋体"/>
                <w:b/>
                <w:color w:val="auto"/>
                <w:sz w:val="22"/>
                <w:highlight w:val="none"/>
              </w:rPr>
              <w:t>第二章、服务期限：</w:t>
            </w:r>
          </w:p>
          <w:p w14:paraId="57B81617">
            <w:pPr>
              <w:keepNext/>
              <w:spacing w:line="440" w:lineRule="exact"/>
              <w:rPr>
                <w:rFonts w:ascii="宋体" w:hAnsi="宋体" w:cs="宋体"/>
                <w:color w:val="auto"/>
                <w:sz w:val="22"/>
                <w:highlight w:val="none"/>
              </w:rPr>
            </w:pPr>
            <w:r>
              <w:rPr>
                <w:rFonts w:hint="eastAsia" w:ascii="宋体" w:hAnsi="宋体" w:cs="宋体"/>
                <w:color w:val="auto"/>
                <w:sz w:val="22"/>
                <w:highlight w:val="none"/>
              </w:rPr>
              <w:t>本轮招标服务管理期限采用3年模式（2025年9月16日至2028年9月15日）。本次招标合同期为3年（化粪池、隔油池清疏及雨污水管</w:t>
            </w:r>
            <w:r>
              <w:rPr>
                <w:rFonts w:hint="eastAsia" w:ascii="宋体" w:hAnsi="宋体" w:cs="宋体"/>
                <w:b w:val="0"/>
                <w:bCs w:val="0"/>
                <w:color w:val="auto"/>
                <w:sz w:val="22"/>
                <w:highlight w:val="none"/>
              </w:rPr>
              <w:t>道疏通事项2026年3月10日前招标人</w:t>
            </w:r>
            <w:r>
              <w:rPr>
                <w:rFonts w:hint="eastAsia" w:ascii="宋体" w:hAnsi="宋体" w:cs="宋体"/>
                <w:color w:val="auto"/>
                <w:sz w:val="22"/>
                <w:highlight w:val="none"/>
              </w:rPr>
              <w:t>已委托）。</w:t>
            </w:r>
          </w:p>
          <w:p w14:paraId="35640F16">
            <w:pPr>
              <w:keepNext/>
              <w:spacing w:line="440" w:lineRule="exact"/>
              <w:jc w:val="center"/>
              <w:rPr>
                <w:rFonts w:ascii="宋体" w:hAnsi="宋体" w:cs="宋体"/>
                <w:b/>
                <w:color w:val="auto"/>
                <w:sz w:val="22"/>
                <w:highlight w:val="none"/>
              </w:rPr>
            </w:pPr>
            <w:r>
              <w:rPr>
                <w:rFonts w:hint="eastAsia" w:ascii="宋体" w:hAnsi="宋体" w:cs="宋体"/>
                <w:b/>
                <w:color w:val="auto"/>
                <w:sz w:val="22"/>
                <w:highlight w:val="none"/>
              </w:rPr>
              <w:t>第三章、服务内容及要求</w:t>
            </w:r>
          </w:p>
          <w:p w14:paraId="6576F266">
            <w:pPr>
              <w:keepNext/>
              <w:spacing w:line="440" w:lineRule="exact"/>
              <w:rPr>
                <w:rFonts w:ascii="宋体" w:hAnsi="宋体" w:cs="宋体"/>
                <w:b/>
                <w:color w:val="auto"/>
                <w:sz w:val="22"/>
                <w:highlight w:val="none"/>
              </w:rPr>
            </w:pPr>
            <w:r>
              <w:rPr>
                <w:rFonts w:hint="eastAsia" w:ascii="宋体" w:hAnsi="宋体" w:cs="宋体"/>
                <w:b/>
                <w:color w:val="auto"/>
                <w:sz w:val="22"/>
                <w:highlight w:val="none"/>
              </w:rPr>
              <w:t>1.   物业管理总体要求</w:t>
            </w:r>
          </w:p>
          <w:p w14:paraId="035D79A4">
            <w:pPr>
              <w:snapToGrid w:val="0"/>
              <w:spacing w:line="440" w:lineRule="exact"/>
              <w:ind w:left="539" w:hanging="539"/>
              <w:rPr>
                <w:rFonts w:ascii="宋体" w:hAnsi="宋体" w:cs="宋体"/>
                <w:color w:val="auto"/>
                <w:sz w:val="22"/>
                <w:highlight w:val="none"/>
              </w:rPr>
            </w:pPr>
            <w:r>
              <w:rPr>
                <w:rFonts w:hint="eastAsia" w:ascii="宋体" w:hAnsi="宋体" w:cs="宋体"/>
                <w:color w:val="auto"/>
                <w:sz w:val="22"/>
                <w:highlight w:val="none"/>
              </w:rPr>
              <w:t>1.1  以文明、高效、满意为主要服务目标，制定物业管理服务细则。卫生保洁、会议服务的服务标准质量要求按《高等学校物业服务规范》和现代化标准订立服务规程，在充分了解掌握环境的情况下编制科学合理、切实可行的组织实施计划以及具体的保障措施、工作程序。本着对企业品牌的延伸，以社会化效益为重的原则，按现代企业制度运行，以热心、爱心、专心、贴心的服务，为温州肯恩大学后勤社会化提供全方位、一体化的专业服务保障。确保各服务区域处于正常、有序、高效的状态，运转正常，各项活动顺利完成。</w:t>
            </w:r>
          </w:p>
          <w:p w14:paraId="6751F980">
            <w:pPr>
              <w:snapToGrid w:val="0"/>
              <w:spacing w:line="440" w:lineRule="exact"/>
              <w:ind w:left="539" w:hanging="539"/>
              <w:rPr>
                <w:rFonts w:ascii="宋体" w:hAnsi="宋体" w:cs="宋体"/>
                <w:color w:val="auto"/>
                <w:sz w:val="22"/>
                <w:highlight w:val="none"/>
              </w:rPr>
            </w:pPr>
            <w:r>
              <w:rPr>
                <w:rFonts w:hint="eastAsia" w:ascii="宋体" w:hAnsi="宋体" w:cs="宋体"/>
                <w:color w:val="auto"/>
                <w:sz w:val="22"/>
                <w:highlight w:val="none"/>
              </w:rPr>
              <w:t>1.2  建立并完善各种管理制度和工作流程，明确分工职责和工作质量标准，强化工作的计划性、可操作性和实效性，确保安全有序，确保设备维运的及时性和准确性，确保设备安全和维保质量，确保环境舒适、有序，确保会议正常、圆满，让服务对象舒心，为各服务区域提供优良的后勤保障。卫生保洁及生活服务的工作质量按国家卫生城市管理条例及温州市“六城联创”管理要求有关标准。</w:t>
            </w:r>
          </w:p>
          <w:p w14:paraId="198A896F">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1.3  建立各类应急预案（如大型活动、临时性紧急会议、上级重要领导来考察调研、抗台等），并培训相关人员达到相关要求。</w:t>
            </w:r>
          </w:p>
          <w:p w14:paraId="22ACF424">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1.4  加强节能管理，做好节能降耗工作，每月编制并上交书面能耗分析报告。</w:t>
            </w:r>
          </w:p>
          <w:p w14:paraId="40DED207">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1.5  人员结构合理，分工明确。一般员工有相关专业所需的上岗证。会议服务人员须满足礼仪标准，要求形象佳，通过培训后方可上岗。所有人员要求政治上可靠，身体素质好，懂礼貌，善服务，无不良行为记录，主管及以上重要岗位人员必须经学校确认通过方可变更。</w:t>
            </w:r>
          </w:p>
          <w:p w14:paraId="165B534A">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1.6  执行国家有关员工保障的其他规定，由相关部门查实的，根据查实情况处罚。</w:t>
            </w:r>
          </w:p>
          <w:p w14:paraId="697F0591">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1.7  根据不同的功能定位和需求，建立会议服务全程跟踪制度，规范会议室使用登记流程，细化会前、会中、会后服务的各个环节，大型会议会前制定详细周密的会议保障方案，会中提供优质服务，把握会议情况，会后做好跟踪了解记录工作。</w:t>
            </w:r>
          </w:p>
          <w:p w14:paraId="0B872644">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1.8  严格执行保密管理制度，特别是领导办公室、会议室等服务工作必须严格按照保密管理要求，严格把关人员素质，做到相关内容不外传、相关资料不外带。</w:t>
            </w:r>
          </w:p>
          <w:p w14:paraId="0CC028EC">
            <w:pPr>
              <w:keepNext/>
              <w:spacing w:line="440" w:lineRule="exact"/>
              <w:ind w:firstLine="420"/>
              <w:rPr>
                <w:rFonts w:ascii="宋体" w:hAnsi="宋体" w:cs="宋体"/>
                <w:b/>
                <w:color w:val="auto"/>
                <w:sz w:val="22"/>
                <w:highlight w:val="none"/>
              </w:rPr>
            </w:pPr>
            <w:r>
              <w:rPr>
                <w:rFonts w:hint="eastAsia" w:ascii="宋体" w:hAnsi="宋体" w:cs="宋体"/>
                <w:b/>
                <w:color w:val="auto"/>
                <w:sz w:val="22"/>
                <w:highlight w:val="none"/>
              </w:rPr>
              <w:t>2.   物业管理服务范围及要求</w:t>
            </w:r>
          </w:p>
          <w:p w14:paraId="1FFC0BB2">
            <w:pPr>
              <w:keepNext/>
              <w:spacing w:line="440" w:lineRule="exact"/>
              <w:ind w:firstLine="420"/>
              <w:rPr>
                <w:rFonts w:ascii="宋体" w:hAnsi="宋体" w:cs="宋体"/>
                <w:color w:val="auto"/>
                <w:sz w:val="22"/>
                <w:highlight w:val="none"/>
              </w:rPr>
            </w:pPr>
            <w:r>
              <w:rPr>
                <w:rFonts w:hint="eastAsia" w:ascii="宋体" w:hAnsi="宋体" w:cs="宋体"/>
                <w:b/>
                <w:color w:val="auto"/>
                <w:sz w:val="22"/>
                <w:highlight w:val="none"/>
              </w:rPr>
              <w:t xml:space="preserve">2.1  </w:t>
            </w:r>
            <w:r>
              <w:rPr>
                <w:rFonts w:hint="eastAsia" w:ascii="宋体" w:hAnsi="宋体" w:cs="宋体"/>
                <w:color w:val="auto"/>
                <w:sz w:val="22"/>
                <w:highlight w:val="none"/>
              </w:rPr>
              <w:t>客户服务</w:t>
            </w:r>
          </w:p>
          <w:p w14:paraId="62B78C5B">
            <w:pPr>
              <w:keepNext/>
              <w:spacing w:line="440" w:lineRule="exact"/>
              <w:ind w:firstLine="420"/>
              <w:rPr>
                <w:rFonts w:ascii="宋体" w:hAnsi="宋体" w:cs="宋体"/>
                <w:b/>
                <w:color w:val="auto"/>
                <w:sz w:val="22"/>
                <w:highlight w:val="none"/>
              </w:rPr>
            </w:pPr>
            <w:r>
              <w:rPr>
                <w:rFonts w:hint="eastAsia" w:ascii="宋体" w:hAnsi="宋体" w:cs="宋体"/>
                <w:bCs/>
                <w:color w:val="auto"/>
                <w:sz w:val="22"/>
                <w:highlight w:val="none"/>
              </w:rPr>
              <w:t>设立一站式物业服务中心‌，整合学校其他外包服务单位资源并配备专职调度人员，集中受理校内设施报修、等公共服务类业务‌。设立24小时报修服务专线‌，24小时维修值班处理人员，依托智能化工单系统实现任务分派、进度追踪及结果反馈全流程闭环管理，确保服务响应效率与质量。</w:t>
            </w:r>
          </w:p>
          <w:p w14:paraId="3EE6A6FC">
            <w:pPr>
              <w:tabs>
                <w:tab w:val="left" w:pos="9135"/>
              </w:tabs>
              <w:spacing w:line="440" w:lineRule="exact"/>
              <w:ind w:firstLine="420"/>
              <w:rPr>
                <w:rFonts w:ascii="宋体" w:hAnsi="宋体" w:cs="宋体"/>
                <w:b/>
                <w:color w:val="auto"/>
                <w:sz w:val="22"/>
                <w:highlight w:val="none"/>
              </w:rPr>
            </w:pPr>
            <w:r>
              <w:rPr>
                <w:rFonts w:hint="eastAsia" w:ascii="宋体" w:hAnsi="宋体" w:cs="宋体"/>
                <w:b/>
                <w:color w:val="auto"/>
                <w:sz w:val="22"/>
                <w:highlight w:val="none"/>
              </w:rPr>
              <w:t>2.1  卫生保洁管理方案</w:t>
            </w:r>
          </w:p>
          <w:p w14:paraId="010A937A">
            <w:pPr>
              <w:tabs>
                <w:tab w:val="left" w:pos="9135"/>
              </w:tabs>
              <w:spacing w:line="440" w:lineRule="exact"/>
              <w:ind w:firstLine="420"/>
              <w:rPr>
                <w:rFonts w:ascii="宋体" w:hAnsi="宋体" w:cs="宋体"/>
                <w:color w:val="auto"/>
                <w:sz w:val="22"/>
                <w:highlight w:val="none"/>
              </w:rPr>
            </w:pPr>
            <w:r>
              <w:rPr>
                <w:rFonts w:hint="eastAsia" w:ascii="宋体" w:hAnsi="宋体" w:cs="宋体"/>
                <w:color w:val="auto"/>
                <w:sz w:val="22"/>
                <w:highlight w:val="none"/>
              </w:rPr>
              <w:t>第一节 保洁管理目标</w:t>
            </w:r>
          </w:p>
          <w:p w14:paraId="0B21BABC">
            <w:pPr>
              <w:tabs>
                <w:tab w:val="left" w:pos="9135"/>
              </w:tabs>
              <w:spacing w:line="440" w:lineRule="exact"/>
              <w:ind w:firstLine="420"/>
              <w:rPr>
                <w:rFonts w:ascii="宋体" w:hAnsi="宋体" w:cs="宋体"/>
                <w:color w:val="auto"/>
                <w:sz w:val="22"/>
                <w:highlight w:val="none"/>
              </w:rPr>
            </w:pPr>
            <w:r>
              <w:rPr>
                <w:rFonts w:hint="eastAsia" w:ascii="宋体" w:hAnsi="宋体" w:cs="宋体"/>
                <w:color w:val="auto"/>
                <w:sz w:val="22"/>
                <w:highlight w:val="none"/>
              </w:rPr>
              <w:t>1、卫生保洁率 100%，达到《高等学校物业服务规范》和现代化标准；</w:t>
            </w:r>
          </w:p>
          <w:p w14:paraId="3D78E5C1">
            <w:pPr>
              <w:tabs>
                <w:tab w:val="left" w:pos="9135"/>
              </w:tabs>
              <w:spacing w:line="440" w:lineRule="exact"/>
              <w:ind w:firstLine="420"/>
              <w:rPr>
                <w:rFonts w:ascii="宋体" w:hAnsi="宋体" w:cs="宋体"/>
                <w:color w:val="auto"/>
                <w:sz w:val="22"/>
                <w:highlight w:val="none"/>
              </w:rPr>
            </w:pPr>
            <w:r>
              <w:rPr>
                <w:rFonts w:hint="eastAsia" w:ascii="宋体" w:hAnsi="宋体" w:cs="宋体"/>
                <w:color w:val="auto"/>
                <w:sz w:val="22"/>
                <w:highlight w:val="none"/>
              </w:rPr>
              <w:t>2、保洁耗材符合国家标准；</w:t>
            </w:r>
          </w:p>
          <w:p w14:paraId="2BA48630">
            <w:pPr>
              <w:tabs>
                <w:tab w:val="left" w:pos="9135"/>
              </w:tabs>
              <w:spacing w:line="440" w:lineRule="exact"/>
              <w:ind w:firstLine="420"/>
              <w:rPr>
                <w:rFonts w:ascii="宋体" w:hAnsi="宋体" w:cs="宋体"/>
                <w:color w:val="auto"/>
                <w:sz w:val="22"/>
                <w:highlight w:val="none"/>
              </w:rPr>
            </w:pPr>
            <w:r>
              <w:rPr>
                <w:rFonts w:hint="eastAsia" w:ascii="宋体" w:hAnsi="宋体" w:cs="宋体"/>
                <w:color w:val="auto"/>
                <w:sz w:val="22"/>
                <w:highlight w:val="none"/>
              </w:rPr>
              <w:t>3、实行定时保洁、保养+不定时循环保洁模式；</w:t>
            </w:r>
          </w:p>
          <w:p w14:paraId="3B0F555B">
            <w:pPr>
              <w:tabs>
                <w:tab w:val="left" w:pos="9135"/>
              </w:tabs>
              <w:spacing w:line="440" w:lineRule="exact"/>
              <w:ind w:firstLine="420"/>
              <w:rPr>
                <w:rFonts w:ascii="宋体" w:hAnsi="宋体" w:cs="宋体"/>
                <w:color w:val="auto"/>
                <w:sz w:val="22"/>
                <w:highlight w:val="none"/>
              </w:rPr>
            </w:pPr>
            <w:r>
              <w:rPr>
                <w:rFonts w:hint="eastAsia" w:ascii="宋体" w:hAnsi="宋体" w:cs="宋体"/>
                <w:color w:val="auto"/>
                <w:sz w:val="22"/>
                <w:highlight w:val="none"/>
              </w:rPr>
              <w:t>4、卫生保洁工作不影响教师、学生正常学习与工作。</w:t>
            </w:r>
          </w:p>
          <w:p w14:paraId="20869BC0">
            <w:pPr>
              <w:tabs>
                <w:tab w:val="left" w:pos="9135"/>
              </w:tabs>
              <w:spacing w:line="440" w:lineRule="exact"/>
              <w:ind w:firstLine="420"/>
              <w:rPr>
                <w:rFonts w:ascii="宋体" w:hAnsi="宋体" w:cs="宋体"/>
                <w:color w:val="auto"/>
                <w:sz w:val="22"/>
                <w:highlight w:val="none"/>
              </w:rPr>
            </w:pPr>
            <w:r>
              <w:rPr>
                <w:rFonts w:hint="eastAsia" w:ascii="宋体" w:hAnsi="宋体" w:cs="宋体"/>
                <w:color w:val="auto"/>
                <w:sz w:val="22"/>
                <w:highlight w:val="none"/>
              </w:rPr>
              <w:t>第二节 保洁服务标准</w:t>
            </w:r>
          </w:p>
          <w:p w14:paraId="0DF6C30F">
            <w:pPr>
              <w:snapToGrid w:val="0"/>
              <w:spacing w:line="440" w:lineRule="exact"/>
              <w:ind w:left="535" w:hanging="220"/>
              <w:rPr>
                <w:rFonts w:ascii="宋体" w:hAnsi="宋体" w:cs="宋体"/>
                <w:color w:val="auto"/>
                <w:sz w:val="22"/>
                <w:highlight w:val="none"/>
              </w:rPr>
            </w:pPr>
            <w:r>
              <w:rPr>
                <w:rFonts w:hint="eastAsia" w:ascii="宋体" w:hAnsi="宋体" w:cs="宋体"/>
                <w:color w:val="auto"/>
                <w:sz w:val="22"/>
                <w:highlight w:val="none"/>
              </w:rPr>
              <w:t xml:space="preserve"> 1、 室内保洁</w:t>
            </w:r>
          </w:p>
          <w:p w14:paraId="70924AB7">
            <w:pPr>
              <w:snapToGrid w:val="0"/>
              <w:spacing w:line="440" w:lineRule="exact"/>
              <w:ind w:left="548"/>
              <w:rPr>
                <w:rFonts w:ascii="宋体" w:hAnsi="宋体" w:cs="宋体"/>
                <w:color w:val="auto"/>
                <w:sz w:val="22"/>
                <w:highlight w:val="none"/>
              </w:rPr>
            </w:pPr>
            <w:r>
              <w:rPr>
                <w:rFonts w:hint="eastAsia" w:ascii="宋体" w:hAnsi="宋体" w:cs="宋体"/>
                <w:color w:val="auto"/>
                <w:sz w:val="22"/>
                <w:highlight w:val="none"/>
              </w:rPr>
              <w:t xml:space="preserve">会议室、教室、图书馆、培训公寓楼客房、报告厅、电梯、通道、楼梯、卫生间、办公室及其它用房地面、墙面、天花板，门窗玻璃、墙壁附体、普通机器（如空调表面及过滤网、电梯表面及沟槽等，下同）的保洁要做到无蜘蛛网、无灰尘。外围地面无堆积物或废弃物，100㎡内不超过5个烟头；绿化带内，10㎡内不超过1个烟头；室内保洁区域无果壳、纸屑等污物，无积水、砂石等堆积。各类垃圾运到规定的地方放置。 </w:t>
            </w:r>
          </w:p>
          <w:p w14:paraId="07ECE5F2">
            <w:pPr>
              <w:snapToGrid w:val="0"/>
              <w:spacing w:line="440" w:lineRule="exact"/>
              <w:ind w:left="535" w:hanging="220"/>
              <w:rPr>
                <w:rFonts w:ascii="宋体" w:hAnsi="宋体" w:cs="宋体"/>
                <w:color w:val="auto"/>
                <w:sz w:val="22"/>
                <w:highlight w:val="none"/>
              </w:rPr>
            </w:pPr>
            <w:r>
              <w:rPr>
                <w:rFonts w:hint="eastAsia" w:ascii="宋体" w:hAnsi="宋体" w:cs="宋体"/>
                <w:color w:val="auto"/>
                <w:sz w:val="22"/>
                <w:highlight w:val="none"/>
              </w:rPr>
              <w:t>2、 公共场所范围</w:t>
            </w:r>
          </w:p>
          <w:p w14:paraId="1A1B5F66">
            <w:pPr>
              <w:snapToGrid w:val="0"/>
              <w:spacing w:line="440" w:lineRule="exact"/>
              <w:ind w:left="548"/>
              <w:rPr>
                <w:rFonts w:ascii="宋体" w:hAnsi="宋体" w:cs="宋体"/>
                <w:color w:val="auto"/>
                <w:sz w:val="22"/>
                <w:highlight w:val="none"/>
              </w:rPr>
            </w:pPr>
            <w:r>
              <w:rPr>
                <w:rFonts w:hint="eastAsia" w:ascii="宋体" w:hAnsi="宋体" w:cs="宋体"/>
                <w:color w:val="auto"/>
                <w:sz w:val="22"/>
                <w:highlight w:val="none"/>
              </w:rPr>
              <w:t>地面、墙面（水泥、大理石、花岗岩）、地毯、扶手，门窗玻璃、幕玻璃，附体，健身房，各类宣传牌、橱窗及有关附体，天花板、栏杆、绿化区域等；2米以下的外墙下沿及5米以下的幕玻璃下沿等要做到无灰尘堆积、无明显垃圾；顶篷、露天阳台等区域，包括各幢楼的屋顶、露天阳台、沟槽、地面、雨篷、边角区域及各种附体的表面要定期清扫，防止下水道堵塞。</w:t>
            </w:r>
          </w:p>
          <w:p w14:paraId="269FF446">
            <w:pPr>
              <w:snapToGrid w:val="0"/>
              <w:spacing w:line="440" w:lineRule="exact"/>
              <w:ind w:left="535" w:hanging="220"/>
              <w:rPr>
                <w:rFonts w:ascii="宋体" w:hAnsi="宋体" w:cs="宋体"/>
                <w:color w:val="auto"/>
                <w:sz w:val="22"/>
                <w:highlight w:val="none"/>
              </w:rPr>
            </w:pPr>
            <w:r>
              <w:rPr>
                <w:rFonts w:hint="eastAsia" w:ascii="宋体" w:hAnsi="宋体" w:cs="宋体"/>
                <w:color w:val="auto"/>
                <w:sz w:val="22"/>
                <w:highlight w:val="none"/>
              </w:rPr>
              <w:t>3、  校园环境</w:t>
            </w:r>
          </w:p>
          <w:p w14:paraId="1D7D0F3D">
            <w:pPr>
              <w:snapToGrid w:val="0"/>
              <w:spacing w:line="440" w:lineRule="exact"/>
              <w:ind w:left="548"/>
              <w:rPr>
                <w:rFonts w:ascii="宋体" w:hAnsi="宋体" w:cs="宋体"/>
                <w:color w:val="auto"/>
                <w:sz w:val="22"/>
                <w:highlight w:val="none"/>
              </w:rPr>
            </w:pPr>
            <w:r>
              <w:rPr>
                <w:rFonts w:hint="eastAsia" w:ascii="宋体" w:hAnsi="宋体" w:cs="宋体"/>
                <w:color w:val="auto"/>
                <w:sz w:val="22"/>
                <w:highlight w:val="none"/>
              </w:rPr>
              <w:t xml:space="preserve">温肯校园环境保洁：篮球场、网球场、道路、广场、防护林、苗圃、景观绿地等。垃圾日产日清，定点倾倒、定时收集、定时清运，垃圾箱外观无污染，桶内垃圾不满溢；公共场地、路面无泥沙，无明显垃圾，无积水、污渍；绿地目视无纸屑，无果皮，无饮料罐、无白色垃圾物，无3cm以上石块等垃圾和杂物，烟头100㎡少于2个；宣传牌，标识牌、装饰物检查无污渍、积尘。 </w:t>
            </w:r>
          </w:p>
          <w:p w14:paraId="52609534">
            <w:pPr>
              <w:snapToGrid w:val="0"/>
              <w:spacing w:line="440" w:lineRule="exact"/>
              <w:ind w:left="540" w:hanging="330"/>
              <w:rPr>
                <w:rFonts w:ascii="宋体" w:hAnsi="宋体" w:cs="宋体"/>
                <w:color w:val="auto"/>
                <w:sz w:val="22"/>
                <w:highlight w:val="none"/>
              </w:rPr>
            </w:pPr>
            <w:r>
              <w:rPr>
                <w:rFonts w:hint="eastAsia" w:ascii="宋体" w:hAnsi="宋体" w:cs="宋体"/>
                <w:color w:val="auto"/>
                <w:sz w:val="22"/>
                <w:highlight w:val="none"/>
              </w:rPr>
              <w:t>4、 地面上蜡</w:t>
            </w:r>
          </w:p>
          <w:p w14:paraId="14B915B7">
            <w:pPr>
              <w:snapToGrid w:val="0"/>
              <w:spacing w:line="440" w:lineRule="exact"/>
              <w:ind w:left="548"/>
              <w:rPr>
                <w:rFonts w:ascii="宋体" w:hAnsi="宋体" w:cs="宋体"/>
                <w:color w:val="auto"/>
                <w:sz w:val="22"/>
                <w:highlight w:val="none"/>
              </w:rPr>
            </w:pPr>
            <w:r>
              <w:rPr>
                <w:rFonts w:hint="eastAsia" w:ascii="宋体" w:hAnsi="宋体" w:cs="宋体"/>
                <w:color w:val="auto"/>
                <w:sz w:val="22"/>
                <w:highlight w:val="none"/>
              </w:rPr>
              <w:t>各楼幢的大厅地面、通道、楼梯台阶每年至少上蜡一次,且投标人需说明上蜡种类。</w:t>
            </w:r>
          </w:p>
          <w:p w14:paraId="105C4107">
            <w:pPr>
              <w:snapToGrid w:val="0"/>
              <w:spacing w:line="440" w:lineRule="exact"/>
              <w:ind w:left="540" w:hanging="330"/>
              <w:rPr>
                <w:rFonts w:ascii="宋体" w:hAnsi="宋体" w:cs="宋体"/>
                <w:color w:val="auto"/>
                <w:sz w:val="22"/>
                <w:highlight w:val="none"/>
              </w:rPr>
            </w:pPr>
            <w:r>
              <w:rPr>
                <w:rFonts w:hint="eastAsia" w:ascii="宋体" w:hAnsi="宋体" w:cs="宋体"/>
                <w:color w:val="auto"/>
                <w:sz w:val="22"/>
                <w:highlight w:val="none"/>
              </w:rPr>
              <w:t>5、配合做好预防隐蔽性和活动性虫害，如白蚁、老鼠、蟑螂、蚊子、苍蝇等。</w:t>
            </w:r>
          </w:p>
          <w:p w14:paraId="563130E7">
            <w:pPr>
              <w:snapToGrid w:val="0"/>
              <w:spacing w:line="440" w:lineRule="exact"/>
              <w:ind w:left="540" w:hanging="330"/>
              <w:rPr>
                <w:rFonts w:ascii="宋体" w:hAnsi="宋体" w:cs="宋体"/>
                <w:color w:val="auto"/>
                <w:sz w:val="22"/>
                <w:highlight w:val="none"/>
              </w:rPr>
            </w:pPr>
            <w:r>
              <w:rPr>
                <w:rFonts w:hint="eastAsia" w:ascii="宋体" w:hAnsi="宋体" w:cs="宋体"/>
                <w:color w:val="auto"/>
                <w:sz w:val="22"/>
                <w:highlight w:val="none"/>
              </w:rPr>
              <w:t>6、楼层地面干净无尘，厕所无污垢异味并保持干爽。玻璃光亮透明无手印，墙面无浮尘，楼梯扶手光亮无污渍，天花板及灯饰干净明亮，废物箱表面干净无污渍。</w:t>
            </w:r>
          </w:p>
          <w:p w14:paraId="68ABFC28">
            <w:pPr>
              <w:snapToGrid w:val="0"/>
              <w:spacing w:line="440" w:lineRule="exact"/>
              <w:ind w:firstLine="220"/>
              <w:rPr>
                <w:rFonts w:ascii="宋体" w:hAnsi="宋体" w:cs="宋体"/>
                <w:color w:val="auto"/>
                <w:sz w:val="22"/>
                <w:highlight w:val="none"/>
              </w:rPr>
            </w:pPr>
            <w:r>
              <w:rPr>
                <w:rFonts w:hint="eastAsia" w:ascii="宋体" w:hAnsi="宋体" w:cs="宋体"/>
                <w:color w:val="auto"/>
                <w:sz w:val="22"/>
                <w:highlight w:val="none"/>
              </w:rPr>
              <w:t>7、 每年在五一、十一期间对各楼栋室内玻璃进行全面清洗。</w:t>
            </w:r>
          </w:p>
          <w:p w14:paraId="5480346B">
            <w:pPr>
              <w:snapToGrid w:val="0"/>
              <w:spacing w:line="440" w:lineRule="exact"/>
              <w:ind w:left="540" w:hanging="330"/>
              <w:rPr>
                <w:rFonts w:ascii="宋体" w:hAnsi="宋体" w:cs="宋体"/>
                <w:color w:val="auto"/>
                <w:sz w:val="22"/>
                <w:highlight w:val="none"/>
              </w:rPr>
            </w:pPr>
            <w:r>
              <w:rPr>
                <w:rFonts w:hint="eastAsia" w:ascii="宋体" w:hAnsi="宋体" w:cs="宋体"/>
                <w:color w:val="auto"/>
                <w:sz w:val="22"/>
                <w:highlight w:val="none"/>
              </w:rPr>
              <w:t>8、 统一着装，具有良好的职业道德和修养，节约用水，随手关灯。</w:t>
            </w:r>
          </w:p>
          <w:p w14:paraId="1FA1B185">
            <w:pPr>
              <w:snapToGrid w:val="0"/>
              <w:spacing w:line="440" w:lineRule="exact"/>
              <w:ind w:left="540" w:hanging="330"/>
              <w:rPr>
                <w:rFonts w:ascii="宋体" w:hAnsi="宋体" w:cs="宋体"/>
                <w:color w:val="auto"/>
                <w:sz w:val="22"/>
                <w:highlight w:val="none"/>
              </w:rPr>
            </w:pPr>
            <w:r>
              <w:rPr>
                <w:rFonts w:hint="eastAsia" w:ascii="宋体" w:hAnsi="宋体" w:cs="宋体"/>
                <w:color w:val="auto"/>
                <w:sz w:val="22"/>
                <w:highlight w:val="none"/>
              </w:rPr>
              <w:t>9、楼顶保洁每月不少于2次。</w:t>
            </w:r>
          </w:p>
          <w:p w14:paraId="189A5D8E">
            <w:pPr>
              <w:snapToGrid w:val="0"/>
              <w:spacing w:line="440" w:lineRule="exact"/>
              <w:ind w:left="540" w:hanging="330"/>
              <w:rPr>
                <w:rFonts w:ascii="宋体" w:hAnsi="宋体" w:cs="宋体"/>
                <w:color w:val="auto"/>
                <w:sz w:val="22"/>
                <w:highlight w:val="none"/>
              </w:rPr>
            </w:pPr>
            <w:r>
              <w:rPr>
                <w:rFonts w:hint="eastAsia" w:ascii="宋体" w:hAnsi="宋体" w:cs="宋体"/>
                <w:color w:val="auto"/>
                <w:sz w:val="22"/>
                <w:highlight w:val="none"/>
              </w:rPr>
              <w:t>10</w:t>
            </w:r>
            <w:bookmarkStart w:id="26" w:name="OLE_LINK21"/>
            <w:r>
              <w:rPr>
                <w:rFonts w:hint="eastAsia" w:ascii="宋体" w:hAnsi="宋体" w:cs="宋体"/>
                <w:color w:val="auto"/>
                <w:sz w:val="22"/>
                <w:highlight w:val="none"/>
              </w:rPr>
              <w:t>、</w:t>
            </w:r>
            <w:bookmarkEnd w:id="26"/>
            <w:r>
              <w:rPr>
                <w:rFonts w:hint="eastAsia" w:ascii="宋体" w:hAnsi="宋体" w:cs="宋体"/>
                <w:color w:val="auto"/>
                <w:sz w:val="22"/>
                <w:highlight w:val="none"/>
              </w:rPr>
              <w:t>保洁员巡查</w:t>
            </w:r>
          </w:p>
          <w:p w14:paraId="04AF94B4">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 xml:space="preserve">    保洁员不定期地巡查，及时归位教室与公共区域的家具。如发现各保洁区域设施设备损坏情况，及时进行上报维修。物业内部巡查员，每日巡查各栋建筑保洁卫生情况。</w:t>
            </w:r>
          </w:p>
          <w:p w14:paraId="30ABC116">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11、在遇到重要会议、重要来宾到访、重要考试、各类检查评比、迎新、毕业生离校等重大活动及学校临时性事件时，投标人应增派人员，按采购人要求保质保量完成工作；</w:t>
            </w:r>
          </w:p>
          <w:p w14:paraId="402DD8FF">
            <w:pPr>
              <w:spacing w:line="46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12</w:t>
            </w:r>
            <w:bookmarkStart w:id="27" w:name="OLE_LINK27"/>
            <w:r>
              <w:rPr>
                <w:rFonts w:hint="eastAsia" w:ascii="宋体" w:hAnsi="宋体" w:cs="宋体"/>
                <w:color w:val="auto"/>
                <w:sz w:val="22"/>
                <w:highlight w:val="none"/>
              </w:rPr>
              <w:t>、</w:t>
            </w:r>
            <w:bookmarkEnd w:id="27"/>
            <w:r>
              <w:rPr>
                <w:rFonts w:hint="eastAsia" w:ascii="宋体" w:hAnsi="宋体" w:cs="宋体"/>
                <w:color w:val="auto"/>
                <w:sz w:val="22"/>
                <w:highlight w:val="none"/>
              </w:rPr>
              <w:t>采购人如有上级领导和重要嘉宾参观、检查或教研活动，可根据需要提前通知投标人，投标人根据采购人要求进行突击性服务;如遇火警、水管爆裂、台风袭击、突发性、重要接待、节会活动等特殊情况，投标人要组织突击小组配合采购人搞好特殊保洁工作;维护承包范围内校容、校貌的整洁，协助采购人完成临时性的课桌椅的调配工作及其他保洁工作，因传染疾病突发的清洁消毒工作等服务。未经同意，服务人员不得在校内做兼职工作，不得私自买卖废旧物品等；</w:t>
            </w:r>
          </w:p>
          <w:p w14:paraId="7DBF8676">
            <w:pPr>
              <w:snapToGrid w:val="0"/>
              <w:spacing w:line="440" w:lineRule="exact"/>
              <w:ind w:left="210" w:leftChars="100" w:firstLine="220" w:firstLineChars="100"/>
              <w:rPr>
                <w:rFonts w:ascii="宋体" w:hAnsi="宋体" w:cs="宋体"/>
                <w:color w:val="auto"/>
                <w:sz w:val="22"/>
                <w:highlight w:val="none"/>
              </w:rPr>
            </w:pPr>
            <w:r>
              <w:rPr>
                <w:rFonts w:hint="eastAsia" w:ascii="宋体" w:hAnsi="宋体" w:cs="宋体"/>
                <w:color w:val="auto"/>
                <w:sz w:val="22"/>
                <w:highlight w:val="none"/>
              </w:rPr>
              <w:t>13、需配备防滑垫、工业盐、清雪工具及设备等防冻应急物资，所产生的费用由投标人负责；降雪时及时清扫，防止积雪上冻。同时在门厅增设“小心地滑”“注意安全”等安全警示标识。</w:t>
            </w:r>
          </w:p>
          <w:p w14:paraId="1A761F36">
            <w:pPr>
              <w:tabs>
                <w:tab w:val="left" w:pos="9135"/>
              </w:tabs>
              <w:spacing w:line="440" w:lineRule="exact"/>
              <w:ind w:firstLine="420"/>
              <w:rPr>
                <w:rFonts w:ascii="宋体" w:hAnsi="宋体" w:cs="宋体"/>
                <w:color w:val="auto"/>
                <w:sz w:val="22"/>
                <w:highlight w:val="none"/>
              </w:rPr>
            </w:pPr>
            <w:r>
              <w:rPr>
                <w:rFonts w:hint="eastAsia" w:ascii="宋体" w:hAnsi="宋体" w:cs="宋体"/>
                <w:b/>
                <w:color w:val="auto"/>
                <w:sz w:val="22"/>
                <w:highlight w:val="none"/>
              </w:rPr>
              <w:t>卫生保洁服务：卫生保洁是指为保证大楼内部及周边环境清洁而进行的日常管理工作，内容如下：</w:t>
            </w:r>
          </w:p>
          <w:tbl>
            <w:tblPr>
              <w:tblStyle w:val="30"/>
              <w:tblW w:w="9215" w:type="dxa"/>
              <w:jc w:val="center"/>
              <w:tblLayout w:type="fixed"/>
              <w:tblCellMar>
                <w:top w:w="0" w:type="dxa"/>
                <w:left w:w="0" w:type="dxa"/>
                <w:bottom w:w="0" w:type="dxa"/>
                <w:right w:w="0" w:type="dxa"/>
              </w:tblCellMar>
            </w:tblPr>
            <w:tblGrid>
              <w:gridCol w:w="806"/>
              <w:gridCol w:w="1459"/>
              <w:gridCol w:w="3991"/>
              <w:gridCol w:w="2959"/>
            </w:tblGrid>
            <w:tr w14:paraId="3E76106E">
              <w:tblPrEx>
                <w:tblCellMar>
                  <w:top w:w="0" w:type="dxa"/>
                  <w:left w:w="0" w:type="dxa"/>
                  <w:bottom w:w="0" w:type="dxa"/>
                  <w:right w:w="0" w:type="dxa"/>
                </w:tblCellMar>
              </w:tblPrEx>
              <w:trPr>
                <w:trHeight w:val="597"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B1EE413">
                  <w:pPr>
                    <w:spacing w:line="360" w:lineRule="auto"/>
                    <w:jc w:val="center"/>
                    <w:rPr>
                      <w:rFonts w:ascii="宋体" w:hAnsi="宋体" w:cs="宋体"/>
                      <w:color w:val="auto"/>
                      <w:sz w:val="22"/>
                      <w:highlight w:val="none"/>
                    </w:rPr>
                  </w:pPr>
                  <w:r>
                    <w:rPr>
                      <w:rFonts w:hint="eastAsia" w:ascii="宋体" w:hAnsi="宋体" w:cs="宋体"/>
                      <w:color w:val="auto"/>
                      <w:sz w:val="22"/>
                      <w:highlight w:val="none"/>
                    </w:rPr>
                    <w:t>项目</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46F9EAE0">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保 洁 范 围</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AE0B4B5">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作 业 频 率</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9581645">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服务质量标准</w:t>
                  </w:r>
                </w:p>
              </w:tc>
            </w:tr>
            <w:tr w14:paraId="283C3F10">
              <w:tblPrEx>
                <w:tblCellMar>
                  <w:top w:w="0" w:type="dxa"/>
                  <w:left w:w="0" w:type="dxa"/>
                  <w:bottom w:w="0" w:type="dxa"/>
                  <w:right w:w="0" w:type="dxa"/>
                </w:tblCellMar>
              </w:tblPrEx>
              <w:trPr>
                <w:jc w:val="center"/>
              </w:trPr>
              <w:tc>
                <w:tcPr>
                  <w:tcW w:w="806"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C49BFA1">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教</w:t>
                  </w:r>
                </w:p>
                <w:p w14:paraId="36D6A4E9">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w:t>
                  </w:r>
                </w:p>
                <w:p w14:paraId="4881C73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楼、</w:t>
                  </w:r>
                </w:p>
                <w:p w14:paraId="43148ED5">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行</w:t>
                  </w:r>
                </w:p>
                <w:p w14:paraId="4E9009FF">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政</w:t>
                  </w:r>
                </w:p>
                <w:p w14:paraId="6D6F0779">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办</w:t>
                  </w:r>
                </w:p>
                <w:p w14:paraId="5029EB62">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公</w:t>
                  </w:r>
                </w:p>
                <w:p w14:paraId="09DFF201">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楼</w:t>
                  </w:r>
                  <w:bookmarkStart w:id="28" w:name="OLE_LINK22"/>
                  <w:r>
                    <w:rPr>
                      <w:rFonts w:hint="eastAsia" w:ascii="宋体" w:hAnsi="宋体" w:cs="宋体"/>
                      <w:color w:val="auto"/>
                      <w:sz w:val="22"/>
                      <w:highlight w:val="none"/>
                    </w:rPr>
                    <w:t>、</w:t>
                  </w:r>
                  <w:bookmarkEnd w:id="28"/>
                </w:p>
                <w:p w14:paraId="0924DB8A">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培</w:t>
                  </w:r>
                </w:p>
                <w:p w14:paraId="45EBB725">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训</w:t>
                  </w:r>
                </w:p>
                <w:p w14:paraId="4C632166">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公</w:t>
                  </w:r>
                </w:p>
                <w:p w14:paraId="6402CB9D">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寓</w:t>
                  </w:r>
                </w:p>
                <w:p w14:paraId="67FA4307">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楼、</w:t>
                  </w:r>
                </w:p>
                <w:p w14:paraId="652D342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w:t>
                  </w:r>
                </w:p>
                <w:p w14:paraId="5CDBDE7D">
                  <w:pPr>
                    <w:spacing w:line="360" w:lineRule="auto"/>
                    <w:jc w:val="center"/>
                    <w:rPr>
                      <w:rFonts w:ascii="宋体" w:hAnsi="宋体" w:cs="宋体"/>
                      <w:color w:val="auto"/>
                      <w:sz w:val="22"/>
                      <w:highlight w:val="none"/>
                    </w:rPr>
                  </w:pPr>
                  <w:r>
                    <w:rPr>
                      <w:rFonts w:hint="eastAsia" w:ascii="宋体" w:hAnsi="宋体" w:cs="宋体"/>
                      <w:color w:val="auto"/>
                      <w:sz w:val="22"/>
                      <w:highlight w:val="none"/>
                    </w:rPr>
                    <w:t>生</w:t>
                  </w:r>
                </w:p>
                <w:p w14:paraId="07BE23AE">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宿</w:t>
                  </w:r>
                </w:p>
                <w:p w14:paraId="671F22CD">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舍</w:t>
                  </w:r>
                </w:p>
                <w:p w14:paraId="0AFE2201">
                  <w:pPr>
                    <w:spacing w:line="360" w:lineRule="auto"/>
                    <w:jc w:val="center"/>
                    <w:rPr>
                      <w:rFonts w:ascii="宋体" w:hAnsi="宋体" w:cs="宋体"/>
                      <w:color w:val="auto"/>
                      <w:sz w:val="22"/>
                      <w:highlight w:val="none"/>
                    </w:rPr>
                  </w:pPr>
                  <w:r>
                    <w:rPr>
                      <w:rFonts w:hint="eastAsia" w:ascii="宋体" w:hAnsi="宋体" w:cs="宋体"/>
                      <w:color w:val="auto"/>
                      <w:sz w:val="22"/>
                      <w:highlight w:val="none"/>
                    </w:rPr>
                    <w:t>等</w:t>
                  </w:r>
                </w:p>
                <w:p w14:paraId="38C5F7DA">
                  <w:pPr>
                    <w:spacing w:line="360" w:lineRule="auto"/>
                    <w:jc w:val="center"/>
                    <w:rPr>
                      <w:rFonts w:ascii="宋体" w:hAnsi="宋体" w:cs="宋体"/>
                      <w:color w:val="auto"/>
                      <w:sz w:val="22"/>
                      <w:highlight w:val="none"/>
                    </w:rPr>
                  </w:pPr>
                </w:p>
                <w:p w14:paraId="3B272EC1">
                  <w:pPr>
                    <w:spacing w:line="360" w:lineRule="auto"/>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1372E0A">
                  <w:pPr>
                    <w:pStyle w:val="87"/>
                    <w:numPr>
                      <w:ilvl w:val="0"/>
                      <w:numId w:val="14"/>
                    </w:numPr>
                    <w:spacing w:line="360" w:lineRule="auto"/>
                    <w:ind w:firstLineChars="0"/>
                    <w:rPr>
                      <w:rFonts w:ascii="宋体" w:hAnsi="宋体" w:cs="宋体"/>
                      <w:color w:val="auto"/>
                      <w:sz w:val="22"/>
                      <w:highlight w:val="none"/>
                    </w:rPr>
                  </w:pPr>
                  <w:r>
                    <w:rPr>
                      <w:rFonts w:hint="eastAsia" w:ascii="宋体" w:hAnsi="宋体" w:cs="宋体"/>
                      <w:color w:val="auto"/>
                      <w:sz w:val="22"/>
                      <w:highlight w:val="none"/>
                    </w:rPr>
                    <w:t>大厅：</w:t>
                  </w:r>
                </w:p>
                <w:p w14:paraId="207A60BD">
                  <w:pPr>
                    <w:spacing w:line="360" w:lineRule="auto"/>
                    <w:rPr>
                      <w:rFonts w:ascii="宋体" w:hAnsi="宋体" w:cs="宋体"/>
                      <w:color w:val="auto"/>
                      <w:sz w:val="22"/>
                      <w:highlight w:val="none"/>
                    </w:rPr>
                  </w:pPr>
                  <w:r>
                    <w:rPr>
                      <w:rFonts w:hint="eastAsia" w:ascii="宋体" w:hAnsi="宋体" w:cs="宋体"/>
                      <w:color w:val="auto"/>
                      <w:sz w:val="22"/>
                      <w:highlight w:val="none"/>
                    </w:rPr>
                    <w:t>地面、墙面、踢脚线、台阶、天棚、装饰门及门套、宣传窗、垃圾桶、消防设施灯具装饰柱、植物花盆</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B7DA1EC">
                  <w:pPr>
                    <w:spacing w:line="360" w:lineRule="auto"/>
                    <w:rPr>
                      <w:rFonts w:ascii="宋体" w:hAnsi="宋体" w:cs="宋体"/>
                      <w:color w:val="auto"/>
                      <w:sz w:val="22"/>
                      <w:highlight w:val="none"/>
                    </w:rPr>
                  </w:pPr>
                  <w:r>
                    <w:rPr>
                      <w:rFonts w:hint="eastAsia" w:ascii="宋体" w:hAnsi="宋体" w:cs="宋体"/>
                      <w:color w:val="auto"/>
                      <w:sz w:val="22"/>
                      <w:highlight w:val="none"/>
                    </w:rPr>
                    <w:t>地面、台阶、宣传窗、垃圾桶、装饰柱、植物花盆等每天保洁1次，且巡回保洁；</w:t>
                  </w:r>
                </w:p>
                <w:p w14:paraId="0E8340E1">
                  <w:pPr>
                    <w:spacing w:line="360" w:lineRule="auto"/>
                    <w:rPr>
                      <w:rFonts w:ascii="宋体" w:hAnsi="宋体" w:cs="宋体"/>
                      <w:color w:val="auto"/>
                      <w:sz w:val="22"/>
                      <w:highlight w:val="none"/>
                    </w:rPr>
                  </w:pPr>
                  <w:r>
                    <w:rPr>
                      <w:rFonts w:hint="eastAsia" w:ascii="宋体" w:hAnsi="宋体" w:cs="宋体"/>
                      <w:color w:val="auto"/>
                      <w:sz w:val="22"/>
                      <w:highlight w:val="none"/>
                    </w:rPr>
                    <w:t>装饰门及门套、踢脚线等3天保洁1次；</w:t>
                  </w:r>
                </w:p>
                <w:p w14:paraId="5C644572">
                  <w:pPr>
                    <w:spacing w:line="360" w:lineRule="auto"/>
                    <w:rPr>
                      <w:rFonts w:ascii="宋体" w:hAnsi="宋体" w:cs="宋体"/>
                      <w:color w:val="auto"/>
                      <w:sz w:val="22"/>
                      <w:highlight w:val="none"/>
                    </w:rPr>
                  </w:pPr>
                  <w:r>
                    <w:rPr>
                      <w:rFonts w:hint="eastAsia" w:ascii="宋体" w:hAnsi="宋体" w:cs="宋体"/>
                      <w:color w:val="auto"/>
                      <w:sz w:val="22"/>
                      <w:highlight w:val="none"/>
                    </w:rPr>
                    <w:t>墙面、天棚、消防设施、灯具每二周保洁1次；</w:t>
                  </w:r>
                </w:p>
                <w:p w14:paraId="1F0C2CA6">
                  <w:pPr>
                    <w:spacing w:line="360" w:lineRule="auto"/>
                    <w:rPr>
                      <w:rFonts w:ascii="宋体" w:hAnsi="宋体" w:cs="宋体"/>
                      <w:color w:val="auto"/>
                      <w:sz w:val="22"/>
                      <w:highlight w:val="none"/>
                    </w:rPr>
                  </w:pPr>
                  <w:r>
                    <w:rPr>
                      <w:rFonts w:hint="eastAsia" w:ascii="宋体" w:hAnsi="宋体" w:cs="宋体"/>
                      <w:color w:val="auto"/>
                      <w:sz w:val="22"/>
                      <w:highlight w:val="none"/>
                    </w:rPr>
                    <w:t>大理石（花岗岩）每两个月打蜡1次，每周抛光1次；</w:t>
                  </w:r>
                </w:p>
                <w:p w14:paraId="64C0963A">
                  <w:pPr>
                    <w:spacing w:line="360" w:lineRule="auto"/>
                    <w:rPr>
                      <w:rFonts w:ascii="宋体" w:hAnsi="宋体" w:cs="宋体"/>
                      <w:color w:val="auto"/>
                      <w:sz w:val="22"/>
                      <w:highlight w:val="none"/>
                    </w:rPr>
                  </w:pPr>
                  <w:r>
                    <w:rPr>
                      <w:rFonts w:hint="eastAsia" w:ascii="宋体" w:hAnsi="宋体" w:cs="宋体"/>
                      <w:color w:val="auto"/>
                      <w:sz w:val="22"/>
                      <w:highlight w:val="none"/>
                    </w:rPr>
                    <w:t>地砖或水磨石地面每月彻底刷洗1次。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79065FE7">
                  <w:pPr>
                    <w:spacing w:line="360" w:lineRule="auto"/>
                    <w:rPr>
                      <w:rFonts w:ascii="宋体" w:hAnsi="宋体" w:cs="宋体"/>
                      <w:color w:val="auto"/>
                      <w:sz w:val="22"/>
                      <w:highlight w:val="none"/>
                    </w:rPr>
                  </w:pPr>
                  <w:r>
                    <w:rPr>
                      <w:rFonts w:hint="eastAsia" w:ascii="宋体" w:hAnsi="宋体" w:cs="宋体"/>
                      <w:color w:val="auto"/>
                      <w:sz w:val="22"/>
                      <w:highlight w:val="none"/>
                    </w:rPr>
                    <w:t>地面无水渍、无污渍，无垃圾，无积尘，光亮；</w:t>
                  </w:r>
                </w:p>
                <w:p w14:paraId="57573D80">
                  <w:pPr>
                    <w:spacing w:line="360" w:lineRule="auto"/>
                    <w:rPr>
                      <w:rFonts w:ascii="宋体" w:hAnsi="宋体" w:cs="宋体"/>
                      <w:color w:val="auto"/>
                      <w:sz w:val="22"/>
                      <w:highlight w:val="none"/>
                    </w:rPr>
                  </w:pPr>
                  <w:r>
                    <w:rPr>
                      <w:rFonts w:hint="eastAsia" w:ascii="宋体" w:hAnsi="宋体" w:cs="宋体"/>
                      <w:color w:val="auto"/>
                      <w:sz w:val="22"/>
                      <w:highlight w:val="none"/>
                    </w:rPr>
                    <w:t>墙面灰尘、无污渍，光亮，墙角无蜘蛛网；</w:t>
                  </w:r>
                </w:p>
                <w:p w14:paraId="493859A4">
                  <w:pPr>
                    <w:spacing w:line="360" w:lineRule="auto"/>
                    <w:rPr>
                      <w:rFonts w:ascii="宋体" w:hAnsi="宋体" w:cs="宋体"/>
                      <w:color w:val="auto"/>
                      <w:sz w:val="22"/>
                      <w:highlight w:val="none"/>
                    </w:rPr>
                  </w:pPr>
                  <w:r>
                    <w:rPr>
                      <w:rFonts w:hint="eastAsia" w:ascii="宋体" w:hAnsi="宋体" w:cs="宋体"/>
                      <w:color w:val="auto"/>
                      <w:sz w:val="22"/>
                      <w:highlight w:val="none"/>
                    </w:rPr>
                    <w:t>公共设施表面无积尘、无污渍、光亮</w:t>
                  </w:r>
                </w:p>
                <w:p w14:paraId="1415F2A2">
                  <w:pPr>
                    <w:spacing w:line="360" w:lineRule="auto"/>
                    <w:rPr>
                      <w:rFonts w:ascii="宋体" w:hAnsi="宋体" w:cs="宋体"/>
                      <w:color w:val="auto"/>
                      <w:sz w:val="22"/>
                      <w:highlight w:val="none"/>
                    </w:rPr>
                  </w:pPr>
                  <w:r>
                    <w:rPr>
                      <w:rFonts w:hint="eastAsia" w:ascii="宋体" w:hAnsi="宋体" w:cs="宋体"/>
                      <w:color w:val="auto"/>
                      <w:sz w:val="22"/>
                      <w:highlight w:val="none"/>
                    </w:rPr>
                    <w:t>不锈钢表面无手印，无积尘，无污渍、光亮；玻璃上无手印，无积尘，无污渍、明亮；</w:t>
                  </w:r>
                </w:p>
                <w:p w14:paraId="5C542209">
                  <w:pPr>
                    <w:spacing w:line="360" w:lineRule="auto"/>
                    <w:rPr>
                      <w:rFonts w:ascii="宋体" w:hAnsi="宋体" w:cs="宋体"/>
                      <w:color w:val="auto"/>
                      <w:sz w:val="22"/>
                      <w:highlight w:val="none"/>
                    </w:rPr>
                  </w:pPr>
                  <w:r>
                    <w:rPr>
                      <w:rFonts w:hint="eastAsia" w:ascii="宋体" w:hAnsi="宋体" w:cs="宋体"/>
                      <w:color w:val="auto"/>
                      <w:sz w:val="22"/>
                      <w:highlight w:val="none"/>
                    </w:rPr>
                    <w:t>植物花盆无积尘，无污渍。</w:t>
                  </w:r>
                </w:p>
              </w:tc>
            </w:tr>
            <w:tr w14:paraId="116CEA8F">
              <w:tblPrEx>
                <w:tblCellMar>
                  <w:top w:w="0" w:type="dxa"/>
                  <w:left w:w="0" w:type="dxa"/>
                  <w:bottom w:w="0" w:type="dxa"/>
                  <w:right w:w="0" w:type="dxa"/>
                </w:tblCellMar>
              </w:tblPrEx>
              <w:trPr>
                <w:jc w:val="center"/>
              </w:trPr>
              <w:tc>
                <w:tcPr>
                  <w:tcW w:w="80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84F3A79">
                  <w:pPr>
                    <w:spacing w:line="360" w:lineRule="auto"/>
                    <w:ind w:firstLine="420"/>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6FC751A">
                  <w:pPr>
                    <w:spacing w:line="360" w:lineRule="auto"/>
                    <w:rPr>
                      <w:rFonts w:ascii="宋体" w:hAnsi="宋体" w:cs="宋体"/>
                      <w:color w:val="auto"/>
                      <w:sz w:val="22"/>
                      <w:highlight w:val="none"/>
                    </w:rPr>
                  </w:pPr>
                  <w:r>
                    <w:rPr>
                      <w:rFonts w:hint="eastAsia" w:ascii="宋体" w:hAnsi="宋体" w:cs="宋体"/>
                      <w:color w:val="auto"/>
                      <w:sz w:val="22"/>
                      <w:highlight w:val="none"/>
                    </w:rPr>
                    <w:t>2、楼道：</w:t>
                  </w:r>
                </w:p>
                <w:p w14:paraId="1A67CD5F">
                  <w:pPr>
                    <w:spacing w:line="360" w:lineRule="auto"/>
                    <w:rPr>
                      <w:rFonts w:ascii="宋体" w:hAnsi="宋体" w:cs="宋体"/>
                      <w:color w:val="auto"/>
                      <w:sz w:val="22"/>
                      <w:highlight w:val="none"/>
                    </w:rPr>
                  </w:pPr>
                  <w:r>
                    <w:rPr>
                      <w:rFonts w:hint="eastAsia" w:ascii="宋体" w:hAnsi="宋体" w:cs="宋体"/>
                      <w:color w:val="auto"/>
                      <w:sz w:val="22"/>
                      <w:highlight w:val="none"/>
                    </w:rPr>
                    <w:t>地面、楼道梯级、扶手、墙面、踢脚线、配电箱、消防设备、楼道门、窗、灯具及开关、垃圾桶</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61DFA3E">
                  <w:pPr>
                    <w:spacing w:line="360" w:lineRule="auto"/>
                    <w:rPr>
                      <w:rFonts w:ascii="宋体" w:hAnsi="宋体" w:cs="宋体"/>
                      <w:color w:val="auto"/>
                      <w:sz w:val="22"/>
                      <w:highlight w:val="none"/>
                    </w:rPr>
                  </w:pPr>
                  <w:r>
                    <w:rPr>
                      <w:rFonts w:hint="eastAsia" w:ascii="宋体" w:hAnsi="宋体" w:cs="宋体"/>
                      <w:color w:val="auto"/>
                      <w:sz w:val="22"/>
                      <w:highlight w:val="none"/>
                    </w:rPr>
                    <w:t>地面、楼梯、扶手、墙面、垃圾桶等每天保洁1次且巡回保洁；</w:t>
                  </w:r>
                </w:p>
                <w:p w14:paraId="0431A348">
                  <w:pPr>
                    <w:spacing w:line="360" w:lineRule="auto"/>
                    <w:rPr>
                      <w:rFonts w:ascii="宋体" w:hAnsi="宋体" w:cs="宋体"/>
                      <w:color w:val="auto"/>
                      <w:sz w:val="22"/>
                      <w:highlight w:val="none"/>
                    </w:rPr>
                  </w:pPr>
                  <w:r>
                    <w:rPr>
                      <w:rFonts w:hint="eastAsia" w:ascii="宋体" w:hAnsi="宋体" w:cs="宋体"/>
                      <w:color w:val="auto"/>
                      <w:sz w:val="22"/>
                      <w:highlight w:val="none"/>
                    </w:rPr>
                    <w:t>踢脚线、配电箱、消防设备、楼道门、窗、灯具及开关每两周保洁1次；</w:t>
                  </w:r>
                </w:p>
                <w:p w14:paraId="53D6A4CC">
                  <w:pPr>
                    <w:spacing w:line="360" w:lineRule="auto"/>
                    <w:rPr>
                      <w:rFonts w:ascii="宋体" w:hAnsi="宋体" w:cs="宋体"/>
                      <w:color w:val="auto"/>
                      <w:sz w:val="22"/>
                      <w:highlight w:val="none"/>
                    </w:rPr>
                  </w:pPr>
                  <w:r>
                    <w:rPr>
                      <w:rFonts w:hint="eastAsia" w:ascii="宋体" w:hAnsi="宋体" w:cs="宋体"/>
                      <w:color w:val="auto"/>
                      <w:sz w:val="22"/>
                      <w:highlight w:val="none"/>
                    </w:rPr>
                    <w:t>大理石（花岗岩）每两个月打蜡1次，每周抛光1次；</w:t>
                  </w:r>
                </w:p>
                <w:p w14:paraId="7355BD82">
                  <w:pPr>
                    <w:spacing w:line="360" w:lineRule="auto"/>
                    <w:rPr>
                      <w:rFonts w:ascii="宋体" w:hAnsi="宋体" w:cs="宋体"/>
                      <w:color w:val="auto"/>
                      <w:sz w:val="22"/>
                      <w:highlight w:val="none"/>
                    </w:rPr>
                  </w:pPr>
                  <w:r>
                    <w:rPr>
                      <w:rFonts w:hint="eastAsia" w:ascii="宋体" w:hAnsi="宋体" w:cs="宋体"/>
                      <w:color w:val="auto"/>
                      <w:sz w:val="22"/>
                      <w:highlight w:val="none"/>
                    </w:rPr>
                    <w:t>地砖或水磨石地面每月彻底刷洗1次。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461FDC7">
                  <w:pPr>
                    <w:spacing w:line="360" w:lineRule="auto"/>
                    <w:rPr>
                      <w:rFonts w:ascii="宋体" w:hAnsi="宋体" w:cs="宋体"/>
                      <w:color w:val="auto"/>
                      <w:sz w:val="22"/>
                      <w:highlight w:val="none"/>
                    </w:rPr>
                  </w:pPr>
                  <w:r>
                    <w:rPr>
                      <w:rFonts w:hint="eastAsia" w:ascii="宋体" w:hAnsi="宋体" w:cs="宋体"/>
                      <w:color w:val="auto"/>
                      <w:sz w:val="22"/>
                      <w:highlight w:val="none"/>
                    </w:rPr>
                    <w:t>地面无水渍、无污渍，无垃圾，无积尘，光亮；</w:t>
                  </w:r>
                </w:p>
                <w:p w14:paraId="10067E28">
                  <w:pPr>
                    <w:spacing w:line="360" w:lineRule="auto"/>
                    <w:rPr>
                      <w:rFonts w:ascii="宋体" w:hAnsi="宋体" w:cs="宋体"/>
                      <w:color w:val="auto"/>
                      <w:sz w:val="22"/>
                      <w:highlight w:val="none"/>
                    </w:rPr>
                  </w:pPr>
                  <w:r>
                    <w:rPr>
                      <w:rFonts w:hint="eastAsia" w:ascii="宋体" w:hAnsi="宋体" w:cs="宋体"/>
                      <w:color w:val="auto"/>
                      <w:sz w:val="22"/>
                      <w:highlight w:val="none"/>
                    </w:rPr>
                    <w:t>墙面灰尘、无污渍，光亮，墙角无蜘蛛网，公共设施表面无积尘、无污渍、光亮不锈钢表面无手印，无积尘，无污渍、光亮；玻璃上无手印，无积尘，无污渍、明亮窗台无积尘。</w:t>
                  </w:r>
                </w:p>
              </w:tc>
            </w:tr>
            <w:tr w14:paraId="5B7E0B5F">
              <w:tblPrEx>
                <w:tblCellMar>
                  <w:top w:w="0" w:type="dxa"/>
                  <w:left w:w="0" w:type="dxa"/>
                  <w:bottom w:w="0" w:type="dxa"/>
                  <w:right w:w="0" w:type="dxa"/>
                </w:tblCellMar>
              </w:tblPrEx>
              <w:trPr>
                <w:jc w:val="center"/>
              </w:trPr>
              <w:tc>
                <w:tcPr>
                  <w:tcW w:w="80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6A657D3">
                  <w:pPr>
                    <w:spacing w:line="360" w:lineRule="auto"/>
                    <w:ind w:firstLine="420"/>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F8EB3E2">
                  <w:pPr>
                    <w:spacing w:line="360" w:lineRule="auto"/>
                    <w:rPr>
                      <w:rFonts w:ascii="宋体" w:hAnsi="宋体" w:cs="宋体"/>
                      <w:color w:val="auto"/>
                      <w:sz w:val="22"/>
                      <w:highlight w:val="none"/>
                    </w:rPr>
                  </w:pPr>
                  <w:r>
                    <w:rPr>
                      <w:rFonts w:hint="eastAsia" w:ascii="宋体" w:hAnsi="宋体" w:cs="宋体"/>
                      <w:color w:val="auto"/>
                      <w:sz w:val="22"/>
                      <w:highlight w:val="none"/>
                    </w:rPr>
                    <w:t>3、公共卫生间、开水房：</w:t>
                  </w:r>
                </w:p>
                <w:p w14:paraId="26944519">
                  <w:pPr>
                    <w:spacing w:line="360" w:lineRule="auto"/>
                    <w:rPr>
                      <w:rFonts w:ascii="宋体" w:hAnsi="宋体" w:cs="宋体"/>
                      <w:color w:val="auto"/>
                      <w:sz w:val="22"/>
                      <w:highlight w:val="none"/>
                    </w:rPr>
                  </w:pPr>
                  <w:r>
                    <w:rPr>
                      <w:rFonts w:hint="eastAsia" w:ascii="宋体" w:hAnsi="宋体" w:cs="宋体"/>
                      <w:color w:val="auto"/>
                      <w:sz w:val="22"/>
                      <w:highlight w:val="none"/>
                    </w:rPr>
                    <w:t>地面、墙面、天棚、大小便器、垃圾篓、台面、镜子、门窗、灯具、排气扇、上下水管道、开水箱</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7E15818">
                  <w:pPr>
                    <w:spacing w:line="360" w:lineRule="auto"/>
                    <w:rPr>
                      <w:rFonts w:ascii="宋体" w:hAnsi="宋体" w:cs="宋体"/>
                      <w:color w:val="auto"/>
                      <w:sz w:val="22"/>
                      <w:highlight w:val="none"/>
                    </w:rPr>
                  </w:pPr>
                  <w:r>
                    <w:rPr>
                      <w:rFonts w:hint="eastAsia" w:ascii="宋体" w:hAnsi="宋体" w:cs="宋体"/>
                      <w:color w:val="auto"/>
                      <w:sz w:val="22"/>
                      <w:highlight w:val="none"/>
                    </w:rPr>
                    <w:t>每天两次对卫生间全面保洁，且巡回每两小时保洁</w:t>
                  </w:r>
                </w:p>
                <w:p w14:paraId="0D71BEF9">
                  <w:pPr>
                    <w:spacing w:line="360" w:lineRule="auto"/>
                    <w:rPr>
                      <w:rFonts w:ascii="宋体" w:hAnsi="宋体" w:cs="宋体"/>
                      <w:color w:val="auto"/>
                      <w:sz w:val="22"/>
                      <w:highlight w:val="none"/>
                    </w:rPr>
                  </w:pPr>
                  <w:r>
                    <w:rPr>
                      <w:rFonts w:hint="eastAsia" w:ascii="宋体" w:hAnsi="宋体" w:cs="宋体"/>
                      <w:color w:val="auto"/>
                      <w:sz w:val="22"/>
                      <w:highlight w:val="none"/>
                    </w:rPr>
                    <w:t>厕坑便具深度保洁每两周1次；</w:t>
                  </w:r>
                </w:p>
                <w:p w14:paraId="7C81E747">
                  <w:pPr>
                    <w:spacing w:line="360" w:lineRule="auto"/>
                    <w:rPr>
                      <w:rFonts w:ascii="宋体" w:hAnsi="宋体" w:cs="宋体"/>
                      <w:color w:val="auto"/>
                      <w:sz w:val="22"/>
                      <w:highlight w:val="none"/>
                    </w:rPr>
                  </w:pPr>
                  <w:r>
                    <w:rPr>
                      <w:rFonts w:hint="eastAsia" w:ascii="宋体" w:hAnsi="宋体" w:cs="宋体"/>
                      <w:color w:val="auto"/>
                      <w:sz w:val="22"/>
                      <w:highlight w:val="none"/>
                    </w:rPr>
                    <w:t>天棚、灯具、窗玻璃排气扇每两周保洁1次；</w:t>
                  </w:r>
                </w:p>
                <w:p w14:paraId="0D4A6C6E">
                  <w:pPr>
                    <w:spacing w:line="360" w:lineRule="auto"/>
                    <w:rPr>
                      <w:rFonts w:ascii="宋体" w:hAnsi="宋体" w:cs="宋体"/>
                      <w:color w:val="auto"/>
                      <w:sz w:val="22"/>
                      <w:highlight w:val="none"/>
                    </w:rPr>
                  </w:pPr>
                  <w:r>
                    <w:rPr>
                      <w:rFonts w:hint="eastAsia" w:ascii="宋体" w:hAnsi="宋体" w:cs="宋体"/>
                      <w:color w:val="auto"/>
                      <w:sz w:val="22"/>
                      <w:highlight w:val="none"/>
                    </w:rPr>
                    <w:t>开水房每天保洁1次。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5780FCE">
                  <w:pPr>
                    <w:spacing w:line="360" w:lineRule="auto"/>
                    <w:rPr>
                      <w:rFonts w:ascii="宋体" w:hAnsi="宋体" w:cs="宋体"/>
                      <w:color w:val="auto"/>
                      <w:sz w:val="22"/>
                      <w:highlight w:val="none"/>
                    </w:rPr>
                  </w:pPr>
                  <w:r>
                    <w:rPr>
                      <w:rFonts w:hint="eastAsia" w:ascii="宋体" w:hAnsi="宋体" w:cs="宋体"/>
                      <w:color w:val="auto"/>
                      <w:sz w:val="22"/>
                      <w:highlight w:val="none"/>
                    </w:rPr>
                    <w:t>卫生间无异味、厕坑便具洁净无黄渍、镜面、水盆、台面无污点，光亮；纸篓随时清理；</w:t>
                  </w:r>
                </w:p>
                <w:p w14:paraId="2623E6E1">
                  <w:pPr>
                    <w:spacing w:line="360" w:lineRule="auto"/>
                    <w:rPr>
                      <w:rFonts w:ascii="宋体" w:hAnsi="宋体" w:cs="宋体"/>
                      <w:color w:val="auto"/>
                      <w:sz w:val="22"/>
                      <w:highlight w:val="none"/>
                    </w:rPr>
                  </w:pPr>
                  <w:r>
                    <w:rPr>
                      <w:rFonts w:hint="eastAsia" w:ascii="宋体" w:hAnsi="宋体" w:cs="宋体"/>
                      <w:color w:val="auto"/>
                      <w:sz w:val="22"/>
                      <w:highlight w:val="none"/>
                    </w:rPr>
                    <w:t>墙面、天棚、墙角、灯具无积尘、无蜘蛛网；</w:t>
                  </w:r>
                </w:p>
                <w:p w14:paraId="52FB6147">
                  <w:pPr>
                    <w:spacing w:line="360" w:lineRule="auto"/>
                    <w:rPr>
                      <w:rFonts w:ascii="宋体" w:hAnsi="宋体" w:cs="宋体"/>
                      <w:color w:val="auto"/>
                      <w:sz w:val="22"/>
                      <w:highlight w:val="none"/>
                    </w:rPr>
                  </w:pPr>
                  <w:r>
                    <w:rPr>
                      <w:rFonts w:hint="eastAsia" w:ascii="宋体" w:hAnsi="宋体" w:cs="宋体"/>
                      <w:color w:val="auto"/>
                      <w:sz w:val="22"/>
                      <w:highlight w:val="none"/>
                    </w:rPr>
                    <w:t>地面无水渍、无污渍，无垃圾；</w:t>
                  </w:r>
                </w:p>
                <w:p w14:paraId="5CE00D06">
                  <w:pPr>
                    <w:spacing w:line="360" w:lineRule="auto"/>
                    <w:rPr>
                      <w:rFonts w:ascii="宋体" w:hAnsi="宋体" w:cs="宋体"/>
                      <w:color w:val="auto"/>
                      <w:sz w:val="22"/>
                      <w:highlight w:val="none"/>
                    </w:rPr>
                  </w:pPr>
                  <w:r>
                    <w:rPr>
                      <w:rFonts w:hint="eastAsia" w:ascii="宋体" w:hAnsi="宋体" w:cs="宋体"/>
                      <w:color w:val="auto"/>
                      <w:sz w:val="22"/>
                      <w:highlight w:val="none"/>
                    </w:rPr>
                    <w:t>开水房达到卫生标准、安全可靠；</w:t>
                  </w:r>
                </w:p>
                <w:p w14:paraId="503E403E">
                  <w:pPr>
                    <w:spacing w:line="360" w:lineRule="auto"/>
                    <w:rPr>
                      <w:rFonts w:ascii="宋体" w:hAnsi="宋体" w:cs="宋体"/>
                      <w:color w:val="auto"/>
                      <w:sz w:val="22"/>
                      <w:highlight w:val="none"/>
                    </w:rPr>
                  </w:pPr>
                  <w:r>
                    <w:rPr>
                      <w:rFonts w:hint="eastAsia" w:ascii="宋体" w:hAnsi="宋体" w:cs="宋体"/>
                      <w:color w:val="auto"/>
                      <w:sz w:val="22"/>
                      <w:highlight w:val="none"/>
                    </w:rPr>
                    <w:t>保洁工具与保洁用品要统一放在指定地点。</w:t>
                  </w:r>
                </w:p>
              </w:tc>
            </w:tr>
            <w:tr w14:paraId="5C0ADB18">
              <w:tblPrEx>
                <w:tblCellMar>
                  <w:top w:w="0" w:type="dxa"/>
                  <w:left w:w="0" w:type="dxa"/>
                  <w:bottom w:w="0" w:type="dxa"/>
                  <w:right w:w="0" w:type="dxa"/>
                </w:tblCellMar>
              </w:tblPrEx>
              <w:trPr>
                <w:jc w:val="center"/>
              </w:trPr>
              <w:tc>
                <w:tcPr>
                  <w:tcW w:w="80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3776F49">
                  <w:pPr>
                    <w:spacing w:line="360" w:lineRule="auto"/>
                    <w:ind w:firstLine="420"/>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0B1D3C7">
                  <w:pPr>
                    <w:spacing w:line="360" w:lineRule="auto"/>
                    <w:rPr>
                      <w:rFonts w:ascii="宋体" w:hAnsi="宋体" w:cs="宋体"/>
                      <w:color w:val="auto"/>
                      <w:sz w:val="22"/>
                      <w:highlight w:val="none"/>
                    </w:rPr>
                  </w:pPr>
                  <w:r>
                    <w:rPr>
                      <w:rFonts w:hint="eastAsia" w:ascii="宋体" w:hAnsi="宋体" w:cs="宋体"/>
                      <w:color w:val="auto"/>
                      <w:sz w:val="22"/>
                      <w:highlight w:val="none"/>
                    </w:rPr>
                    <w:t>4、教室：</w:t>
                  </w:r>
                </w:p>
                <w:p w14:paraId="1FA182E6">
                  <w:pPr>
                    <w:spacing w:line="360" w:lineRule="auto"/>
                    <w:rPr>
                      <w:rFonts w:ascii="宋体" w:hAnsi="宋体" w:cs="宋体"/>
                      <w:color w:val="auto"/>
                      <w:sz w:val="22"/>
                      <w:highlight w:val="none"/>
                    </w:rPr>
                  </w:pPr>
                  <w:r>
                    <w:rPr>
                      <w:rFonts w:hint="eastAsia" w:ascii="宋体" w:hAnsi="宋体" w:cs="宋体"/>
                      <w:color w:val="auto"/>
                      <w:sz w:val="22"/>
                      <w:highlight w:val="none"/>
                    </w:rPr>
                    <w:t>桌椅、讲台，黑板、地面、天棚、灯具、设备</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F2B1A45">
                  <w:pPr>
                    <w:spacing w:line="360" w:lineRule="auto"/>
                    <w:rPr>
                      <w:rFonts w:ascii="宋体" w:hAnsi="宋体" w:cs="宋体"/>
                      <w:color w:val="auto"/>
                      <w:sz w:val="22"/>
                      <w:highlight w:val="none"/>
                    </w:rPr>
                  </w:pPr>
                  <w:r>
                    <w:rPr>
                      <w:rFonts w:hint="eastAsia" w:ascii="宋体" w:hAnsi="宋体" w:cs="宋体"/>
                      <w:color w:val="auto"/>
                      <w:sz w:val="22"/>
                      <w:highlight w:val="none"/>
                    </w:rPr>
                    <w:t>桌椅、讲台，黑板、地面每日1次；</w:t>
                  </w:r>
                </w:p>
                <w:p w14:paraId="6DC2D38F">
                  <w:pPr>
                    <w:spacing w:line="360" w:lineRule="auto"/>
                    <w:rPr>
                      <w:rFonts w:ascii="宋体" w:hAnsi="宋体" w:cs="宋体"/>
                      <w:color w:val="auto"/>
                      <w:sz w:val="22"/>
                      <w:highlight w:val="none"/>
                    </w:rPr>
                  </w:pPr>
                  <w:r>
                    <w:rPr>
                      <w:rFonts w:hint="eastAsia" w:ascii="宋体" w:hAnsi="宋体" w:cs="宋体"/>
                      <w:color w:val="auto"/>
                      <w:sz w:val="22"/>
                      <w:highlight w:val="none"/>
                    </w:rPr>
                    <w:t>天棚、灯具、设备每周1次</w:t>
                  </w:r>
                </w:p>
                <w:p w14:paraId="4DB6F623">
                  <w:pPr>
                    <w:spacing w:line="360" w:lineRule="auto"/>
                    <w:rPr>
                      <w:rFonts w:ascii="宋体" w:hAnsi="宋体" w:cs="宋体"/>
                      <w:color w:val="auto"/>
                      <w:sz w:val="22"/>
                      <w:highlight w:val="none"/>
                    </w:rPr>
                  </w:pPr>
                  <w:r>
                    <w:rPr>
                      <w:rFonts w:hint="eastAsia" w:ascii="宋体" w:hAnsi="宋体" w:cs="宋体"/>
                      <w:color w:val="auto"/>
                      <w:sz w:val="22"/>
                      <w:highlight w:val="none"/>
                    </w:rPr>
                    <w:t>窗玻璃每两周1次。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BC75E81">
                  <w:pPr>
                    <w:spacing w:line="360" w:lineRule="auto"/>
                    <w:rPr>
                      <w:rFonts w:ascii="宋体" w:hAnsi="宋体" w:cs="宋体"/>
                      <w:color w:val="auto"/>
                      <w:sz w:val="22"/>
                      <w:highlight w:val="none"/>
                    </w:rPr>
                  </w:pPr>
                  <w:r>
                    <w:rPr>
                      <w:rFonts w:hint="eastAsia" w:ascii="宋体" w:hAnsi="宋体" w:cs="宋体"/>
                      <w:color w:val="auto"/>
                      <w:sz w:val="22"/>
                      <w:highlight w:val="none"/>
                    </w:rPr>
                    <w:t>桌椅、讲台，窗台、黑板、地面、踏步、门楣、门套、墙面、墙角无积尘，光亮；桌斗内无杂质；黑板板面擦净，板槽内无粉末，黑板周围整洁；窗台无积尘，窗帘挂放整齐；室内无异味；</w:t>
                  </w:r>
                </w:p>
                <w:p w14:paraId="121050EF">
                  <w:pPr>
                    <w:spacing w:line="360" w:lineRule="auto"/>
                    <w:rPr>
                      <w:rFonts w:ascii="宋体" w:hAnsi="宋体" w:cs="宋体"/>
                      <w:color w:val="auto"/>
                      <w:sz w:val="22"/>
                      <w:highlight w:val="none"/>
                    </w:rPr>
                  </w:pPr>
                  <w:r>
                    <w:rPr>
                      <w:rFonts w:hint="eastAsia" w:ascii="宋体" w:hAnsi="宋体" w:cs="宋体"/>
                      <w:color w:val="auto"/>
                      <w:sz w:val="22"/>
                      <w:highlight w:val="none"/>
                    </w:rPr>
                    <w:t>捡拾物品及时上交楼管员做失物招领，不私自处理。</w:t>
                  </w:r>
                </w:p>
              </w:tc>
            </w:tr>
            <w:tr w14:paraId="561A6A2E">
              <w:tblPrEx>
                <w:tblCellMar>
                  <w:top w:w="0" w:type="dxa"/>
                  <w:left w:w="0" w:type="dxa"/>
                  <w:bottom w:w="0" w:type="dxa"/>
                  <w:right w:w="0" w:type="dxa"/>
                </w:tblCellMar>
              </w:tblPrEx>
              <w:trPr>
                <w:jc w:val="center"/>
              </w:trPr>
              <w:tc>
                <w:tcPr>
                  <w:tcW w:w="80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57EB8E2">
                  <w:pPr>
                    <w:spacing w:line="360" w:lineRule="auto"/>
                    <w:ind w:firstLine="420"/>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4927BE07">
                  <w:pPr>
                    <w:spacing w:line="360" w:lineRule="auto"/>
                    <w:rPr>
                      <w:rFonts w:ascii="宋体" w:hAnsi="宋体" w:cs="宋体"/>
                      <w:color w:val="auto"/>
                      <w:sz w:val="22"/>
                      <w:highlight w:val="none"/>
                    </w:rPr>
                  </w:pPr>
                  <w:r>
                    <w:rPr>
                      <w:rFonts w:hint="eastAsia" w:ascii="宋体" w:hAnsi="宋体" w:cs="宋体"/>
                      <w:color w:val="auto"/>
                      <w:sz w:val="22"/>
                      <w:highlight w:val="none"/>
                    </w:rPr>
                    <w:t>5、电梯：</w:t>
                  </w:r>
                </w:p>
                <w:p w14:paraId="545FD772">
                  <w:pPr>
                    <w:spacing w:line="360" w:lineRule="auto"/>
                    <w:rPr>
                      <w:rFonts w:ascii="宋体" w:hAnsi="宋体" w:cs="宋体"/>
                      <w:color w:val="auto"/>
                      <w:sz w:val="22"/>
                      <w:highlight w:val="none"/>
                    </w:rPr>
                  </w:pPr>
                  <w:r>
                    <w:rPr>
                      <w:rFonts w:hint="eastAsia" w:ascii="宋体" w:hAnsi="宋体" w:cs="宋体"/>
                      <w:color w:val="auto"/>
                      <w:sz w:val="22"/>
                      <w:highlight w:val="none"/>
                    </w:rPr>
                    <w:t>电梯轿厢、电梯厅、电梯门及门套、指示板、厢壁、通风口、天花板、灯具、监控器探头</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9A2F671">
                  <w:pPr>
                    <w:spacing w:line="360" w:lineRule="auto"/>
                    <w:rPr>
                      <w:rFonts w:ascii="宋体" w:hAnsi="宋体" w:cs="宋体"/>
                      <w:color w:val="auto"/>
                      <w:sz w:val="22"/>
                      <w:highlight w:val="none"/>
                    </w:rPr>
                  </w:pPr>
                  <w:r>
                    <w:rPr>
                      <w:rFonts w:hint="eastAsia" w:ascii="宋体" w:hAnsi="宋体" w:cs="宋体"/>
                      <w:color w:val="auto"/>
                      <w:sz w:val="22"/>
                      <w:highlight w:val="none"/>
                    </w:rPr>
                    <w:t>电梯轿厢、电梯厅、电梯门及门套、指示板、厢壁、每天保洁1次，且每两小时巡回保洁；</w:t>
                  </w:r>
                </w:p>
                <w:p w14:paraId="58EDB10A">
                  <w:pPr>
                    <w:spacing w:line="360" w:lineRule="auto"/>
                    <w:rPr>
                      <w:rFonts w:ascii="宋体" w:hAnsi="宋体" w:cs="宋体"/>
                      <w:color w:val="auto"/>
                      <w:sz w:val="22"/>
                      <w:highlight w:val="none"/>
                    </w:rPr>
                  </w:pPr>
                  <w:r>
                    <w:rPr>
                      <w:rFonts w:hint="eastAsia" w:ascii="宋体" w:hAnsi="宋体" w:cs="宋体"/>
                      <w:color w:val="auto"/>
                      <w:sz w:val="22"/>
                      <w:highlight w:val="none"/>
                    </w:rPr>
                    <w:t>天花板、灯具、监控器探头每周1次。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4288B3DA">
                  <w:pPr>
                    <w:spacing w:line="360" w:lineRule="auto"/>
                    <w:rPr>
                      <w:rFonts w:ascii="宋体" w:hAnsi="宋体" w:cs="宋体"/>
                      <w:color w:val="auto"/>
                      <w:sz w:val="22"/>
                      <w:highlight w:val="none"/>
                    </w:rPr>
                  </w:pPr>
                  <w:r>
                    <w:rPr>
                      <w:rFonts w:hint="eastAsia" w:ascii="宋体" w:hAnsi="宋体" w:cs="宋体"/>
                      <w:color w:val="auto"/>
                      <w:sz w:val="22"/>
                      <w:highlight w:val="none"/>
                    </w:rPr>
                    <w:t>电梯轿厢内无积尘、无污渍、无粘贴物；灯具、指示板明亮；</w:t>
                  </w:r>
                </w:p>
                <w:p w14:paraId="5E94A296">
                  <w:pPr>
                    <w:spacing w:line="360" w:lineRule="auto"/>
                    <w:rPr>
                      <w:rFonts w:ascii="宋体" w:hAnsi="宋体" w:cs="宋体"/>
                      <w:color w:val="auto"/>
                      <w:sz w:val="22"/>
                      <w:highlight w:val="none"/>
                    </w:rPr>
                  </w:pPr>
                  <w:r>
                    <w:rPr>
                      <w:rFonts w:hint="eastAsia" w:ascii="宋体" w:hAnsi="宋体" w:cs="宋体"/>
                      <w:color w:val="auto"/>
                      <w:sz w:val="22"/>
                      <w:highlight w:val="none"/>
                    </w:rPr>
                    <w:t>厢内地面干净、无垃圾杂物；不锈钢表面无手印、无积尘，无污渍、光亮；</w:t>
                  </w:r>
                </w:p>
                <w:p w14:paraId="75A7E7A3">
                  <w:pPr>
                    <w:spacing w:line="360" w:lineRule="auto"/>
                    <w:rPr>
                      <w:rFonts w:ascii="宋体" w:hAnsi="宋体" w:cs="宋体"/>
                      <w:color w:val="auto"/>
                      <w:sz w:val="22"/>
                      <w:highlight w:val="none"/>
                    </w:rPr>
                  </w:pPr>
                  <w:r>
                    <w:rPr>
                      <w:rFonts w:hint="eastAsia" w:ascii="宋体" w:hAnsi="宋体" w:cs="宋体"/>
                      <w:color w:val="auto"/>
                      <w:sz w:val="22"/>
                      <w:highlight w:val="none"/>
                    </w:rPr>
                    <w:t>电梯门槽内无垃圾杂物。</w:t>
                  </w:r>
                </w:p>
              </w:tc>
            </w:tr>
            <w:tr w14:paraId="6B0AD929">
              <w:tblPrEx>
                <w:tblCellMar>
                  <w:top w:w="0" w:type="dxa"/>
                  <w:left w:w="0" w:type="dxa"/>
                  <w:bottom w:w="0" w:type="dxa"/>
                  <w:right w:w="0" w:type="dxa"/>
                </w:tblCellMar>
              </w:tblPrEx>
              <w:trPr>
                <w:jc w:val="center"/>
              </w:trPr>
              <w:tc>
                <w:tcPr>
                  <w:tcW w:w="80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1E54C911">
                  <w:pPr>
                    <w:spacing w:line="360" w:lineRule="auto"/>
                    <w:ind w:firstLine="420"/>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B27EB51">
                  <w:pPr>
                    <w:spacing w:line="360" w:lineRule="auto"/>
                    <w:rPr>
                      <w:rFonts w:ascii="宋体" w:hAnsi="宋体" w:cs="宋体"/>
                      <w:color w:val="auto"/>
                      <w:sz w:val="22"/>
                      <w:highlight w:val="none"/>
                    </w:rPr>
                  </w:pPr>
                  <w:r>
                    <w:rPr>
                      <w:rFonts w:hint="eastAsia" w:ascii="宋体" w:hAnsi="宋体" w:cs="宋体"/>
                      <w:color w:val="auto"/>
                      <w:sz w:val="22"/>
                      <w:highlight w:val="none"/>
                    </w:rPr>
                    <w:t>6、会议室、接待室：</w:t>
                  </w:r>
                </w:p>
                <w:p w14:paraId="4E9ABAE3">
                  <w:pPr>
                    <w:spacing w:line="360" w:lineRule="auto"/>
                    <w:rPr>
                      <w:rFonts w:ascii="宋体" w:hAnsi="宋体" w:cs="宋体"/>
                      <w:color w:val="auto"/>
                      <w:sz w:val="22"/>
                      <w:highlight w:val="none"/>
                    </w:rPr>
                  </w:pPr>
                  <w:r>
                    <w:rPr>
                      <w:rFonts w:hint="eastAsia" w:ascii="宋体" w:hAnsi="宋体" w:cs="宋体"/>
                      <w:color w:val="auto"/>
                      <w:sz w:val="22"/>
                      <w:highlight w:val="none"/>
                    </w:rPr>
                    <w:t>桌椅、地面、窗台、窗玻璃、门楣、门套、墙面、墙角、天棚、灯具、茶具设备</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B90E452">
                  <w:pPr>
                    <w:spacing w:line="360" w:lineRule="auto"/>
                    <w:rPr>
                      <w:rFonts w:ascii="宋体" w:hAnsi="宋体" w:cs="宋体"/>
                      <w:color w:val="auto"/>
                      <w:sz w:val="22"/>
                      <w:highlight w:val="none"/>
                    </w:rPr>
                  </w:pPr>
                  <w:r>
                    <w:rPr>
                      <w:rFonts w:hint="eastAsia" w:ascii="宋体" w:hAnsi="宋体" w:cs="宋体"/>
                      <w:color w:val="auto"/>
                      <w:sz w:val="22"/>
                      <w:highlight w:val="none"/>
                    </w:rPr>
                    <w:t>会议桌椅、地面、窗台、门楣、门套、墙面、墙角三日1次；但会议结束当日清理；</w:t>
                  </w:r>
                </w:p>
                <w:p w14:paraId="5853705A">
                  <w:pPr>
                    <w:spacing w:line="360" w:lineRule="auto"/>
                    <w:rPr>
                      <w:rFonts w:ascii="宋体" w:hAnsi="宋体" w:cs="宋体"/>
                      <w:color w:val="auto"/>
                      <w:sz w:val="22"/>
                      <w:highlight w:val="none"/>
                    </w:rPr>
                  </w:pPr>
                  <w:r>
                    <w:rPr>
                      <w:rFonts w:hint="eastAsia" w:ascii="宋体" w:hAnsi="宋体" w:cs="宋体"/>
                      <w:color w:val="auto"/>
                      <w:sz w:val="22"/>
                      <w:highlight w:val="none"/>
                    </w:rPr>
                    <w:t>天棚、灯具、设备每周1次；</w:t>
                  </w:r>
                </w:p>
                <w:p w14:paraId="28E83128">
                  <w:pPr>
                    <w:spacing w:line="360" w:lineRule="auto"/>
                    <w:rPr>
                      <w:rFonts w:ascii="宋体" w:hAnsi="宋体" w:cs="宋体"/>
                      <w:color w:val="auto"/>
                      <w:sz w:val="22"/>
                      <w:highlight w:val="none"/>
                    </w:rPr>
                  </w:pPr>
                  <w:r>
                    <w:rPr>
                      <w:rFonts w:hint="eastAsia" w:ascii="宋体" w:hAnsi="宋体" w:cs="宋体"/>
                      <w:color w:val="auto"/>
                      <w:sz w:val="22"/>
                      <w:highlight w:val="none"/>
                    </w:rPr>
                    <w:t>窗玻璃每两周1次；</w:t>
                  </w:r>
                </w:p>
                <w:p w14:paraId="4DBE9C19">
                  <w:pPr>
                    <w:spacing w:line="360" w:lineRule="auto"/>
                    <w:rPr>
                      <w:rFonts w:ascii="宋体" w:hAnsi="宋体" w:cs="宋体"/>
                      <w:color w:val="auto"/>
                      <w:sz w:val="22"/>
                      <w:highlight w:val="none"/>
                    </w:rPr>
                  </w:pPr>
                  <w:r>
                    <w:rPr>
                      <w:rFonts w:hint="eastAsia" w:ascii="宋体" w:hAnsi="宋体" w:cs="宋体"/>
                      <w:color w:val="auto"/>
                      <w:sz w:val="22"/>
                      <w:highlight w:val="none"/>
                    </w:rPr>
                    <w:t>茶具每次消毒；</w:t>
                  </w:r>
                </w:p>
                <w:p w14:paraId="63BCD354">
                  <w:pPr>
                    <w:spacing w:line="360" w:lineRule="auto"/>
                    <w:rPr>
                      <w:rFonts w:ascii="宋体" w:hAnsi="宋体" w:cs="宋体"/>
                      <w:color w:val="auto"/>
                      <w:sz w:val="22"/>
                      <w:highlight w:val="none"/>
                    </w:rPr>
                  </w:pPr>
                  <w:r>
                    <w:rPr>
                      <w:rFonts w:hint="eastAsia" w:ascii="宋体" w:hAnsi="宋体" w:cs="宋体"/>
                      <w:color w:val="auto"/>
                      <w:sz w:val="22"/>
                      <w:highlight w:val="none"/>
                    </w:rPr>
                    <w:t>地毯两月消毒1次。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E520188">
                  <w:pPr>
                    <w:spacing w:line="360" w:lineRule="auto"/>
                    <w:rPr>
                      <w:rFonts w:ascii="宋体" w:hAnsi="宋体" w:cs="宋体"/>
                      <w:color w:val="auto"/>
                      <w:sz w:val="22"/>
                      <w:highlight w:val="none"/>
                    </w:rPr>
                  </w:pPr>
                  <w:r>
                    <w:rPr>
                      <w:rFonts w:hint="eastAsia" w:ascii="宋体" w:hAnsi="宋体" w:cs="宋体"/>
                      <w:color w:val="auto"/>
                      <w:sz w:val="22"/>
                      <w:highlight w:val="none"/>
                    </w:rPr>
                    <w:t>会议桌椅、窗台、地面、门楣、门套、墙面、墙角无积尘，光亮；</w:t>
                  </w:r>
                </w:p>
                <w:p w14:paraId="2AD61D1F">
                  <w:pPr>
                    <w:spacing w:line="360" w:lineRule="auto"/>
                    <w:rPr>
                      <w:rFonts w:ascii="宋体" w:hAnsi="宋体" w:cs="宋体"/>
                      <w:color w:val="auto"/>
                      <w:sz w:val="22"/>
                      <w:highlight w:val="none"/>
                    </w:rPr>
                  </w:pPr>
                  <w:r>
                    <w:rPr>
                      <w:rFonts w:hint="eastAsia" w:ascii="宋体" w:hAnsi="宋体" w:cs="宋体"/>
                      <w:color w:val="auto"/>
                      <w:sz w:val="22"/>
                      <w:highlight w:val="none"/>
                    </w:rPr>
                    <w:t>窗帘挂放整齐；室内无异味；</w:t>
                  </w:r>
                </w:p>
                <w:p w14:paraId="6E393F16">
                  <w:pPr>
                    <w:spacing w:line="360" w:lineRule="auto"/>
                    <w:rPr>
                      <w:rFonts w:ascii="宋体" w:hAnsi="宋体" w:cs="宋体"/>
                      <w:color w:val="auto"/>
                      <w:sz w:val="22"/>
                      <w:highlight w:val="none"/>
                    </w:rPr>
                  </w:pPr>
                  <w:r>
                    <w:rPr>
                      <w:rFonts w:hint="eastAsia" w:ascii="宋体" w:hAnsi="宋体" w:cs="宋体"/>
                      <w:color w:val="auto"/>
                      <w:sz w:val="22"/>
                      <w:highlight w:val="none"/>
                    </w:rPr>
                    <w:t>茶具消毒达到卫生标准；</w:t>
                  </w:r>
                </w:p>
                <w:p w14:paraId="686A27ED">
                  <w:pPr>
                    <w:spacing w:line="360" w:lineRule="auto"/>
                    <w:rPr>
                      <w:rFonts w:ascii="宋体" w:hAnsi="宋体" w:cs="宋体"/>
                      <w:color w:val="auto"/>
                      <w:sz w:val="22"/>
                      <w:highlight w:val="none"/>
                    </w:rPr>
                  </w:pPr>
                  <w:r>
                    <w:rPr>
                      <w:rFonts w:hint="eastAsia" w:ascii="宋体" w:hAnsi="宋体" w:cs="宋体"/>
                      <w:color w:val="auto"/>
                      <w:sz w:val="22"/>
                      <w:highlight w:val="none"/>
                    </w:rPr>
                    <w:t>地毯清洁卫生。</w:t>
                  </w:r>
                </w:p>
              </w:tc>
            </w:tr>
            <w:tr w14:paraId="0387C41C">
              <w:tblPrEx>
                <w:tblCellMar>
                  <w:top w:w="0" w:type="dxa"/>
                  <w:left w:w="0" w:type="dxa"/>
                  <w:bottom w:w="0" w:type="dxa"/>
                  <w:right w:w="0" w:type="dxa"/>
                </w:tblCellMar>
              </w:tblPrEx>
              <w:trPr>
                <w:jc w:val="center"/>
              </w:trPr>
              <w:tc>
                <w:tcPr>
                  <w:tcW w:w="806"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12750227">
                  <w:pPr>
                    <w:spacing w:line="360" w:lineRule="auto"/>
                    <w:ind w:firstLine="420"/>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15CFF704">
                  <w:pPr>
                    <w:spacing w:line="360" w:lineRule="auto"/>
                    <w:rPr>
                      <w:rFonts w:ascii="宋体" w:hAnsi="宋体" w:cs="宋体"/>
                      <w:color w:val="auto"/>
                      <w:sz w:val="22"/>
                      <w:highlight w:val="none"/>
                    </w:rPr>
                  </w:pPr>
                  <w:r>
                    <w:rPr>
                      <w:rFonts w:hint="eastAsia" w:ascii="宋体" w:hAnsi="宋体" w:cs="宋体"/>
                      <w:color w:val="auto"/>
                      <w:sz w:val="22"/>
                      <w:highlight w:val="none"/>
                    </w:rPr>
                    <w:t>7、行政办公室</w:t>
                  </w: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73EF152">
                  <w:pPr>
                    <w:spacing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办公室的布置清扫：每天一次；</w:t>
                  </w:r>
                </w:p>
                <w:p w14:paraId="4710B481">
                  <w:pPr>
                    <w:spacing w:line="360" w:lineRule="auto"/>
                    <w:rPr>
                      <w:rFonts w:ascii="宋体" w:hAnsi="宋体" w:cs="宋体"/>
                      <w:color w:val="auto"/>
                      <w:spacing w:val="6"/>
                      <w:sz w:val="22"/>
                      <w:highlight w:val="none"/>
                    </w:rPr>
                  </w:pPr>
                  <w:r>
                    <w:rPr>
                      <w:rFonts w:hint="eastAsia" w:ascii="宋体" w:hAnsi="宋体" w:cs="宋体"/>
                      <w:color w:val="auto"/>
                      <w:spacing w:val="6"/>
                      <w:sz w:val="22"/>
                      <w:highlight w:val="none"/>
                    </w:rPr>
                    <w:t>外教办公室清扫每周两次；</w:t>
                  </w:r>
                </w:p>
                <w:p w14:paraId="0D56A1BA">
                  <w:pPr>
                    <w:spacing w:line="360" w:lineRule="auto"/>
                    <w:rPr>
                      <w:rFonts w:ascii="宋体" w:hAnsi="宋体" w:cs="宋体"/>
                      <w:color w:val="auto"/>
                      <w:sz w:val="22"/>
                      <w:highlight w:val="none"/>
                    </w:rPr>
                  </w:pPr>
                  <w:r>
                    <w:rPr>
                      <w:rFonts w:hint="eastAsia" w:ascii="宋体" w:hAnsi="宋体" w:cs="宋体"/>
                      <w:color w:val="auto"/>
                      <w:spacing w:val="6"/>
                      <w:sz w:val="22"/>
                      <w:highlight w:val="none"/>
                    </w:rPr>
                    <w:t>其他行政办公室：每周清扫一次。</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185A671">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保持地面清洁、办公桌整洁</w:t>
                  </w:r>
                </w:p>
              </w:tc>
            </w:tr>
            <w:tr w14:paraId="3633FEDE">
              <w:tblPrEx>
                <w:tblCellMar>
                  <w:top w:w="0" w:type="dxa"/>
                  <w:left w:w="0" w:type="dxa"/>
                  <w:bottom w:w="0" w:type="dxa"/>
                  <w:right w:w="0" w:type="dxa"/>
                </w:tblCellMar>
              </w:tblPrEx>
              <w:trPr>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1DACFC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道</w:t>
                  </w:r>
                </w:p>
                <w:p w14:paraId="22901440">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路</w:t>
                  </w:r>
                </w:p>
                <w:p w14:paraId="70AEB9EC">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保</w:t>
                  </w:r>
                </w:p>
                <w:p w14:paraId="5CEC0B02">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洁</w:t>
                  </w:r>
                </w:p>
                <w:p w14:paraId="5354BAC5">
                  <w:pPr>
                    <w:spacing w:line="360" w:lineRule="auto"/>
                    <w:jc w:val="center"/>
                    <w:rPr>
                      <w:rFonts w:ascii="宋体" w:hAnsi="宋体" w:cs="宋体"/>
                      <w:color w:val="auto"/>
                      <w:sz w:val="22"/>
                      <w:highlight w:val="none"/>
                    </w:rPr>
                  </w:pP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89FD93F">
                  <w:pPr>
                    <w:spacing w:line="360" w:lineRule="auto"/>
                    <w:ind w:firstLine="420"/>
                    <w:rPr>
                      <w:rFonts w:ascii="宋体" w:hAnsi="宋体" w:cs="宋体"/>
                      <w:color w:val="auto"/>
                      <w:sz w:val="22"/>
                      <w:highlight w:val="none"/>
                    </w:rPr>
                  </w:pPr>
                </w:p>
                <w:p w14:paraId="075A8DB4">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16516B1">
                  <w:pPr>
                    <w:spacing w:line="360" w:lineRule="auto"/>
                    <w:rPr>
                      <w:rFonts w:ascii="宋体" w:hAnsi="宋体" w:cs="宋体"/>
                      <w:color w:val="auto"/>
                      <w:sz w:val="22"/>
                      <w:highlight w:val="none"/>
                    </w:rPr>
                  </w:pPr>
                  <w:r>
                    <w:rPr>
                      <w:rFonts w:hint="eastAsia" w:ascii="宋体" w:hAnsi="宋体" w:cs="宋体"/>
                      <w:color w:val="auto"/>
                      <w:sz w:val="22"/>
                      <w:highlight w:val="none"/>
                    </w:rPr>
                    <w:t>每天学校作息时间上班前完成各大楼前及校园主要道路保洁工作，随后接着完成其他保洁，且巡回保洁；</w:t>
                  </w:r>
                </w:p>
                <w:p w14:paraId="2A647F17">
                  <w:pPr>
                    <w:spacing w:line="360" w:lineRule="auto"/>
                    <w:rPr>
                      <w:rFonts w:ascii="宋体" w:hAnsi="宋体" w:cs="宋体"/>
                      <w:color w:val="auto"/>
                      <w:sz w:val="22"/>
                      <w:highlight w:val="none"/>
                    </w:rPr>
                  </w:pPr>
                  <w:r>
                    <w:rPr>
                      <w:rFonts w:hint="eastAsia" w:ascii="宋体" w:hAnsi="宋体" w:cs="宋体"/>
                      <w:color w:val="auto"/>
                      <w:sz w:val="22"/>
                      <w:highlight w:val="none"/>
                    </w:rPr>
                    <w:t>每日早、中、晚三次将垃圾桶（箱）内垃圾集中清运至垃圾场（楼），做到日产日清；</w:t>
                  </w:r>
                </w:p>
                <w:p w14:paraId="2721EDF2">
                  <w:pPr>
                    <w:spacing w:line="360" w:lineRule="auto"/>
                    <w:rPr>
                      <w:rFonts w:ascii="宋体" w:hAnsi="宋体" w:cs="宋体"/>
                      <w:color w:val="auto"/>
                      <w:sz w:val="22"/>
                      <w:highlight w:val="none"/>
                    </w:rPr>
                  </w:pPr>
                  <w:r>
                    <w:rPr>
                      <w:rFonts w:hint="eastAsia" w:ascii="宋体" w:hAnsi="宋体" w:cs="宋体"/>
                      <w:color w:val="auto"/>
                      <w:sz w:val="22"/>
                      <w:highlight w:val="none"/>
                    </w:rPr>
                    <w:t>重大活动期间实施道路冲洗保湿；</w:t>
                  </w:r>
                </w:p>
                <w:p w14:paraId="4B51E118">
                  <w:pPr>
                    <w:spacing w:line="360" w:lineRule="auto"/>
                    <w:rPr>
                      <w:rFonts w:ascii="宋体" w:hAnsi="宋体" w:cs="宋体"/>
                      <w:color w:val="auto"/>
                      <w:sz w:val="22"/>
                      <w:highlight w:val="none"/>
                    </w:rPr>
                  </w:pPr>
                  <w:r>
                    <w:rPr>
                      <w:rFonts w:hint="eastAsia" w:ascii="宋体" w:hAnsi="宋体" w:cs="宋体"/>
                      <w:color w:val="auto"/>
                      <w:sz w:val="22"/>
                      <w:highlight w:val="none"/>
                    </w:rPr>
                    <w:t>遇大雪或暴雪时及时组织相关人员共同清扫。</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A07A4DE">
                  <w:pPr>
                    <w:spacing w:line="360" w:lineRule="auto"/>
                    <w:rPr>
                      <w:rFonts w:ascii="宋体" w:hAnsi="宋体" w:cs="宋体"/>
                      <w:color w:val="auto"/>
                      <w:sz w:val="22"/>
                      <w:highlight w:val="none"/>
                    </w:rPr>
                  </w:pPr>
                  <w:r>
                    <w:rPr>
                      <w:rFonts w:hint="eastAsia" w:ascii="宋体" w:hAnsi="宋体" w:cs="宋体"/>
                      <w:color w:val="auto"/>
                      <w:sz w:val="22"/>
                      <w:highlight w:val="none"/>
                    </w:rPr>
                    <w:t>保持道路全天整洁干净，达到“九无”(无果皮、无纸屑、无塑膜、无痰迹、无污水、无暴露垃圾、无烟头、无乱张贴、路牙无泥沙)；“四净”(路面净、果皮箱净、树穴绿化带净、地下通道净)“一通”(下水道口通)；</w:t>
                  </w:r>
                </w:p>
                <w:p w14:paraId="40C56B1F">
                  <w:pPr>
                    <w:spacing w:line="360" w:lineRule="auto"/>
                    <w:rPr>
                      <w:rFonts w:ascii="宋体" w:hAnsi="宋体" w:cs="宋体"/>
                      <w:color w:val="auto"/>
                      <w:sz w:val="22"/>
                      <w:highlight w:val="none"/>
                    </w:rPr>
                  </w:pPr>
                  <w:r>
                    <w:rPr>
                      <w:rFonts w:hint="eastAsia" w:ascii="宋体" w:hAnsi="宋体" w:cs="宋体"/>
                      <w:color w:val="auto"/>
                      <w:sz w:val="22"/>
                      <w:highlight w:val="none"/>
                    </w:rPr>
                    <w:t>雨雪天气时，保证路面不积水、少结冰（中、大雪以上保证道路畅通）。</w:t>
                  </w:r>
                </w:p>
              </w:tc>
            </w:tr>
            <w:tr w14:paraId="621017DB">
              <w:tblPrEx>
                <w:tblCellMar>
                  <w:top w:w="0" w:type="dxa"/>
                  <w:left w:w="0" w:type="dxa"/>
                  <w:bottom w:w="0" w:type="dxa"/>
                  <w:right w:w="0" w:type="dxa"/>
                </w:tblCellMar>
              </w:tblPrEx>
              <w:trPr>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5F32EDB">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广</w:t>
                  </w:r>
                </w:p>
                <w:p w14:paraId="5A36BD84">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场</w:t>
                  </w:r>
                </w:p>
                <w:p w14:paraId="01EE4711">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保</w:t>
                  </w:r>
                </w:p>
                <w:p w14:paraId="353C4ABC">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洁</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BB7C0D4">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3FB3567">
                  <w:pPr>
                    <w:spacing w:line="360" w:lineRule="auto"/>
                    <w:rPr>
                      <w:rFonts w:ascii="宋体" w:hAnsi="宋体" w:cs="宋体"/>
                      <w:color w:val="auto"/>
                      <w:sz w:val="22"/>
                      <w:highlight w:val="none"/>
                    </w:rPr>
                  </w:pPr>
                  <w:r>
                    <w:rPr>
                      <w:rFonts w:hint="eastAsia" w:ascii="宋体" w:hAnsi="宋体" w:cs="宋体"/>
                      <w:color w:val="auto"/>
                      <w:sz w:val="22"/>
                      <w:highlight w:val="none"/>
                    </w:rPr>
                    <w:t>每天上班前完成各大楼前及校园主要广场保洁工作，随后接着完成其他保洁，且巡回保洁；</w:t>
                  </w:r>
                </w:p>
                <w:p w14:paraId="44CD60A1">
                  <w:pPr>
                    <w:spacing w:line="360" w:lineRule="auto"/>
                    <w:rPr>
                      <w:rFonts w:ascii="宋体" w:hAnsi="宋体" w:cs="宋体"/>
                      <w:color w:val="auto"/>
                      <w:sz w:val="22"/>
                      <w:highlight w:val="none"/>
                    </w:rPr>
                  </w:pPr>
                  <w:r>
                    <w:rPr>
                      <w:rFonts w:hint="eastAsia" w:ascii="宋体" w:hAnsi="宋体" w:cs="宋体"/>
                      <w:color w:val="auto"/>
                      <w:sz w:val="22"/>
                      <w:highlight w:val="none"/>
                    </w:rPr>
                    <w:t>每日早、中、晚三次将桶、箱内垃圾集中清运至垃圾（房）楼，做到日产日清；</w:t>
                  </w:r>
                </w:p>
                <w:p w14:paraId="2C22EE95">
                  <w:pPr>
                    <w:spacing w:line="360" w:lineRule="auto"/>
                    <w:rPr>
                      <w:rFonts w:ascii="宋体" w:hAnsi="宋体" w:cs="宋体"/>
                      <w:color w:val="auto"/>
                      <w:sz w:val="22"/>
                      <w:highlight w:val="none"/>
                    </w:rPr>
                  </w:pPr>
                  <w:r>
                    <w:rPr>
                      <w:rFonts w:hint="eastAsia" w:ascii="宋体" w:hAnsi="宋体" w:cs="宋体"/>
                      <w:color w:val="auto"/>
                      <w:sz w:val="22"/>
                      <w:highlight w:val="none"/>
                    </w:rPr>
                    <w:t>重大活动期间实施广场冲洗保湿；</w:t>
                  </w:r>
                </w:p>
                <w:p w14:paraId="7C0B5292">
                  <w:pPr>
                    <w:spacing w:line="360" w:lineRule="auto"/>
                    <w:rPr>
                      <w:rFonts w:ascii="宋体" w:hAnsi="宋体" w:cs="宋体"/>
                      <w:color w:val="auto"/>
                      <w:sz w:val="22"/>
                      <w:highlight w:val="none"/>
                    </w:rPr>
                  </w:pPr>
                  <w:r>
                    <w:rPr>
                      <w:rFonts w:hint="eastAsia" w:ascii="宋体" w:hAnsi="宋体" w:cs="宋体"/>
                      <w:color w:val="auto"/>
                      <w:sz w:val="22"/>
                      <w:highlight w:val="none"/>
                    </w:rPr>
                    <w:t>遇大雪或暴雪时组织相关人员共同清扫。</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1BE8EBB">
                  <w:pPr>
                    <w:spacing w:line="360" w:lineRule="auto"/>
                    <w:rPr>
                      <w:rFonts w:ascii="宋体" w:hAnsi="宋体" w:cs="宋体"/>
                      <w:color w:val="auto"/>
                      <w:sz w:val="22"/>
                      <w:highlight w:val="none"/>
                    </w:rPr>
                  </w:pPr>
                  <w:r>
                    <w:rPr>
                      <w:rFonts w:hint="eastAsia" w:ascii="宋体" w:hAnsi="宋体" w:cs="宋体"/>
                      <w:color w:val="auto"/>
                      <w:sz w:val="22"/>
                      <w:highlight w:val="none"/>
                    </w:rPr>
                    <w:t>保持广场全天整洁干净，达到“九无”(无果皮、无纸屑、无塑膜、无痰迹、无污水、无暴露垃圾、无烟头、无乱张贴、无泥沙)；“四净”(广场面净、果皮箱净、树穴绿化带净、地下通道净)“一通”(下水道口通)；</w:t>
                  </w:r>
                </w:p>
                <w:p w14:paraId="7CF6B24C">
                  <w:pPr>
                    <w:spacing w:line="360" w:lineRule="auto"/>
                    <w:rPr>
                      <w:rFonts w:ascii="宋体" w:hAnsi="宋体" w:cs="宋体"/>
                      <w:color w:val="auto"/>
                      <w:sz w:val="22"/>
                      <w:highlight w:val="none"/>
                    </w:rPr>
                  </w:pPr>
                  <w:r>
                    <w:rPr>
                      <w:rFonts w:hint="eastAsia" w:ascii="宋体" w:hAnsi="宋体" w:cs="宋体"/>
                      <w:color w:val="auto"/>
                      <w:sz w:val="22"/>
                      <w:highlight w:val="none"/>
                    </w:rPr>
                    <w:t>雨雪天气时，保证广场面不积水、少结冰（中、大雪以上保证道路畅通）。</w:t>
                  </w:r>
                </w:p>
              </w:tc>
            </w:tr>
            <w:tr w14:paraId="696A87AB">
              <w:tblPrEx>
                <w:tblCellMar>
                  <w:top w:w="0" w:type="dxa"/>
                  <w:left w:w="0" w:type="dxa"/>
                  <w:bottom w:w="0" w:type="dxa"/>
                  <w:right w:w="0" w:type="dxa"/>
                </w:tblCellMar>
              </w:tblPrEx>
              <w:trPr>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E9757F9">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垃圾清运</w:t>
                  </w:r>
                </w:p>
                <w:p w14:paraId="6C7B50A2">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（人工操作）</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20436CA">
                  <w:pPr>
                    <w:spacing w:line="360" w:lineRule="auto"/>
                    <w:ind w:firstLine="420"/>
                    <w:rPr>
                      <w:rFonts w:ascii="宋体" w:hAnsi="宋体" w:cs="宋体"/>
                      <w:color w:val="auto"/>
                      <w:sz w:val="22"/>
                      <w:highlight w:val="none"/>
                    </w:rPr>
                  </w:pPr>
                </w:p>
                <w:p w14:paraId="29966D17">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49D3EA93">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生活垃圾日产日清</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AD544EE">
                  <w:pPr>
                    <w:spacing w:line="360" w:lineRule="auto"/>
                    <w:rPr>
                      <w:rFonts w:ascii="宋体" w:hAnsi="宋体" w:cs="宋体"/>
                      <w:color w:val="auto"/>
                      <w:sz w:val="22"/>
                      <w:highlight w:val="none"/>
                    </w:rPr>
                  </w:pPr>
                  <w:r>
                    <w:rPr>
                      <w:rFonts w:hint="eastAsia" w:ascii="宋体" w:hAnsi="宋体" w:cs="宋体"/>
                      <w:color w:val="auto"/>
                      <w:sz w:val="22"/>
                      <w:highlight w:val="none"/>
                    </w:rPr>
                    <w:t>清运率达到100%；覆盖蓬布，密闭化运输，减少道路污染；</w:t>
                  </w:r>
                </w:p>
                <w:p w14:paraId="5A41DA64">
                  <w:pPr>
                    <w:spacing w:line="360" w:lineRule="auto"/>
                    <w:rPr>
                      <w:rFonts w:ascii="宋体" w:hAnsi="宋体" w:cs="宋体"/>
                      <w:color w:val="auto"/>
                      <w:sz w:val="22"/>
                      <w:highlight w:val="none"/>
                    </w:rPr>
                  </w:pPr>
                  <w:r>
                    <w:rPr>
                      <w:rFonts w:hint="eastAsia" w:ascii="宋体" w:hAnsi="宋体" w:cs="宋体"/>
                      <w:color w:val="auto"/>
                      <w:sz w:val="22"/>
                      <w:highlight w:val="none"/>
                    </w:rPr>
                    <w:t>垃圾盘布清扫干净，做到车走地净；车容车貌保持整洁，设备完好无损；</w:t>
                  </w:r>
                </w:p>
                <w:p w14:paraId="735D50C4">
                  <w:pPr>
                    <w:spacing w:line="360" w:lineRule="auto"/>
                    <w:rPr>
                      <w:rFonts w:ascii="宋体" w:hAnsi="宋体" w:cs="宋体"/>
                      <w:color w:val="auto"/>
                      <w:sz w:val="22"/>
                      <w:highlight w:val="none"/>
                    </w:rPr>
                  </w:pPr>
                  <w:r>
                    <w:rPr>
                      <w:rFonts w:hint="eastAsia" w:ascii="宋体" w:hAnsi="宋体" w:cs="宋体"/>
                      <w:color w:val="auto"/>
                      <w:sz w:val="22"/>
                      <w:highlight w:val="none"/>
                    </w:rPr>
                    <w:t>清理完垃圾，及时关好垃圾箱（楼）门。</w:t>
                  </w:r>
                </w:p>
              </w:tc>
            </w:tr>
            <w:tr w14:paraId="5AD17E72">
              <w:tblPrEx>
                <w:tblCellMar>
                  <w:top w:w="0" w:type="dxa"/>
                  <w:left w:w="0" w:type="dxa"/>
                  <w:bottom w:w="0" w:type="dxa"/>
                  <w:right w:w="0" w:type="dxa"/>
                </w:tblCellMar>
              </w:tblPrEx>
              <w:trPr>
                <w:trHeight w:val="1382"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11D8E743">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排水、</w:t>
                  </w:r>
                </w:p>
                <w:p w14:paraId="2D16BA24">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排污</w:t>
                  </w:r>
                </w:p>
                <w:p w14:paraId="36876D5C">
                  <w:pPr>
                    <w:spacing w:line="360" w:lineRule="auto"/>
                    <w:jc w:val="center"/>
                    <w:rPr>
                      <w:rFonts w:ascii="宋体" w:hAnsi="宋体" w:cs="宋体"/>
                      <w:color w:val="auto"/>
                      <w:sz w:val="22"/>
                      <w:highlight w:val="none"/>
                    </w:rPr>
                  </w:pPr>
                  <w:r>
                    <w:rPr>
                      <w:rFonts w:hint="eastAsia" w:ascii="宋体" w:hAnsi="宋体" w:cs="宋体"/>
                      <w:color w:val="auto"/>
                      <w:sz w:val="22"/>
                      <w:highlight w:val="none"/>
                    </w:rPr>
                    <w:t>管道</w:t>
                  </w:r>
                </w:p>
                <w:p w14:paraId="5841B211">
                  <w:pPr>
                    <w:spacing w:line="360" w:lineRule="auto"/>
                    <w:jc w:val="center"/>
                    <w:rPr>
                      <w:rFonts w:ascii="宋体" w:hAnsi="宋体" w:cs="宋体"/>
                      <w:color w:val="auto"/>
                      <w:sz w:val="22"/>
                      <w:highlight w:val="none"/>
                    </w:rPr>
                  </w:pPr>
                  <w:r>
                    <w:rPr>
                      <w:rFonts w:hint="eastAsia" w:ascii="宋体" w:hAnsi="宋体" w:cs="宋体"/>
                      <w:color w:val="auto"/>
                      <w:sz w:val="22"/>
                      <w:highlight w:val="none"/>
                    </w:rPr>
                    <w:t>畅通</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4A22D6E2">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507BEC2">
                  <w:pPr>
                    <w:spacing w:line="360" w:lineRule="auto"/>
                    <w:rPr>
                      <w:rFonts w:ascii="宋体" w:hAnsi="宋体" w:cs="宋体"/>
                      <w:color w:val="auto"/>
                      <w:sz w:val="22"/>
                      <w:highlight w:val="none"/>
                    </w:rPr>
                  </w:pPr>
                  <w:r>
                    <w:rPr>
                      <w:rFonts w:hint="eastAsia" w:ascii="宋体" w:hAnsi="宋体" w:cs="宋体"/>
                      <w:color w:val="auto"/>
                      <w:sz w:val="22"/>
                      <w:highlight w:val="none"/>
                    </w:rPr>
                    <w:t>水池、沟道每月1次清理，底面及淤泥，雨、污水井通每月1次检查，并视检查情况随时进行清掏，公共雨、污水管道每年2次清理检查</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7F15C5C1">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 保持管道畅通</w:t>
                  </w:r>
                </w:p>
              </w:tc>
            </w:tr>
            <w:tr w14:paraId="008A951D">
              <w:tblPrEx>
                <w:tblCellMar>
                  <w:top w:w="0" w:type="dxa"/>
                  <w:left w:w="0" w:type="dxa"/>
                  <w:bottom w:w="0" w:type="dxa"/>
                  <w:right w:w="0" w:type="dxa"/>
                </w:tblCellMar>
              </w:tblPrEx>
              <w:trPr>
                <w:trHeight w:val="1382"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7025B276">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室内外运动场</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713C4E21">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18E2C2B">
                  <w:pPr>
                    <w:spacing w:line="360" w:lineRule="auto"/>
                    <w:rPr>
                      <w:rFonts w:ascii="宋体" w:hAnsi="宋体" w:cs="宋体"/>
                      <w:color w:val="auto"/>
                      <w:sz w:val="22"/>
                      <w:highlight w:val="none"/>
                    </w:rPr>
                  </w:pPr>
                  <w:r>
                    <w:rPr>
                      <w:rFonts w:hint="eastAsia" w:ascii="宋体" w:hAnsi="宋体" w:cs="宋体"/>
                      <w:color w:val="auto"/>
                      <w:sz w:val="22"/>
                      <w:highlight w:val="none"/>
                    </w:rPr>
                    <w:t>室内外运动场、球场：每日清扫﹙擦、拖﹚至少一次，并随时保洁。做到无泥沙、污垢、污迹、污水、树叶等，必要时进行清洗；每7天不少于1次深度清理，必要时进行专业清洗；</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64141EB">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保持清洁干净</w:t>
                  </w:r>
                </w:p>
              </w:tc>
            </w:tr>
            <w:tr w14:paraId="15AEA445">
              <w:tblPrEx>
                <w:tblCellMar>
                  <w:top w:w="0" w:type="dxa"/>
                  <w:left w:w="0" w:type="dxa"/>
                  <w:bottom w:w="0" w:type="dxa"/>
                  <w:right w:w="0" w:type="dxa"/>
                </w:tblCellMar>
              </w:tblPrEx>
              <w:trPr>
                <w:trHeight w:val="1382"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3B6A4F8F">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宿舍区</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787AFD1C">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14D1C0D">
                  <w:pPr>
                    <w:spacing w:line="360" w:lineRule="auto"/>
                    <w:rPr>
                      <w:rFonts w:ascii="宋体" w:hAnsi="宋体" w:cs="宋体"/>
                      <w:color w:val="auto"/>
                      <w:sz w:val="22"/>
                      <w:highlight w:val="none"/>
                    </w:rPr>
                  </w:pPr>
                  <w:r>
                    <w:rPr>
                      <w:rFonts w:hint="eastAsia" w:ascii="宋体" w:hAnsi="宋体" w:cs="宋体"/>
                      <w:color w:val="auto"/>
                      <w:kern w:val="0"/>
                      <w:sz w:val="22"/>
                      <w:highlight w:val="none"/>
                    </w:rPr>
                    <w:t>负责毕业生离校、新生报到、新装修公寓等期间寝室内的杂物清理及保洁，寒暑假对寝室内卫生间各进行1次深度保洁及清洁消毒。</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639E263">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保持清洁干净</w:t>
                  </w:r>
                </w:p>
              </w:tc>
            </w:tr>
            <w:tr w14:paraId="37213C59">
              <w:tblPrEx>
                <w:tblCellMar>
                  <w:top w:w="0" w:type="dxa"/>
                  <w:left w:w="0" w:type="dxa"/>
                  <w:bottom w:w="0" w:type="dxa"/>
                  <w:right w:w="0" w:type="dxa"/>
                </w:tblCellMar>
              </w:tblPrEx>
              <w:trPr>
                <w:trHeight w:val="1382"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C30A246">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地下车库及人防工程</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0CE3C96">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FBDEA20">
                  <w:pPr>
                    <w:pStyle w:val="92"/>
                    <w:spacing w:before="5" w:line="460" w:lineRule="exact"/>
                    <w:ind w:right="3" w:firstLine="440" w:firstLineChars="200"/>
                    <w:rPr>
                      <w:rFonts w:ascii="宋体" w:hAnsi="宋体" w:cs="宋体"/>
                      <w:color w:val="auto"/>
                      <w:highlight w:val="none"/>
                      <w:lang w:eastAsia="zh-CN"/>
                    </w:rPr>
                  </w:pPr>
                  <w:r>
                    <w:rPr>
                      <w:rFonts w:hint="eastAsia" w:ascii="宋体" w:hAnsi="宋体" w:cs="宋体"/>
                      <w:color w:val="auto"/>
                      <w:highlight w:val="none"/>
                      <w:lang w:eastAsia="zh-CN"/>
                    </w:rPr>
                    <w:t>1.每周对地下车库及人防设施不少于1次全面保洁；</w:t>
                  </w:r>
                </w:p>
                <w:p w14:paraId="22F7025D">
                  <w:pPr>
                    <w:pStyle w:val="92"/>
                    <w:spacing w:before="5" w:line="460" w:lineRule="exact"/>
                    <w:ind w:right="3" w:firstLine="440" w:firstLineChars="200"/>
                    <w:rPr>
                      <w:rFonts w:ascii="宋体" w:hAnsi="宋体" w:cs="宋体"/>
                      <w:color w:val="auto"/>
                      <w:highlight w:val="none"/>
                      <w:lang w:eastAsia="zh-CN"/>
                    </w:rPr>
                  </w:pP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79226247">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保持清洁干净和管道畅通</w:t>
                  </w:r>
                </w:p>
              </w:tc>
            </w:tr>
            <w:tr w14:paraId="579C76FB">
              <w:tblPrEx>
                <w:tblCellMar>
                  <w:top w:w="0" w:type="dxa"/>
                  <w:left w:w="0" w:type="dxa"/>
                  <w:bottom w:w="0" w:type="dxa"/>
                  <w:right w:w="0" w:type="dxa"/>
                </w:tblCellMar>
              </w:tblPrEx>
              <w:trPr>
                <w:trHeight w:val="1382"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C72903D">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垃圾分类</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2141AC0">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146AD95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1.垃圾处理采用垃圾分类投放，实施“三化”管理，即垃圾收集袋装化、垃圾回收资源化、垃圾处理无公害化，对垃圾的收集和处理实行全过程封闭式管理；</w:t>
                  </w:r>
                </w:p>
                <w:p w14:paraId="1DB0D1F4">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2.与地方垃圾分类相关管理或业务部门开展工作对接，协同采购人做好有关材料填报及组织开展日常检查督导工作，协助开展师生垃圾分类知识和技能培训等工作；</w:t>
                  </w:r>
                </w:p>
                <w:p w14:paraId="2A9B4CCC">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3.按照采购人《生活垃圾分类工作实施方案》标准及要求设置分类垃圾收集容器；</w:t>
                  </w:r>
                </w:p>
                <w:p w14:paraId="22DE0927">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4.根据《浙江省生活垃圾管理条例》规范，按照四分三化要求，规范生活垃圾分类投放，分类收集和分类运输，做好生活垃圾分类台账和其他采购人要求的工作；</w:t>
                  </w:r>
                </w:p>
                <w:p w14:paraId="621FAD53">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 配置至少4辆垃圾分类清运车（含1辆有害垃圾车、1辆易腐垃圾车、2辆其他垃圾车）；定期对车辆进行维护和检查，对驾驶员进行专业培训。凡在垃圾外运处理过程中发生的突发事故，均由投标人自行承担，与采购人无关。该项允许分包第三方实施。</w:t>
                  </w:r>
                </w:p>
                <w:p w14:paraId="78530021">
                  <w:pPr>
                    <w:pStyle w:val="92"/>
                    <w:spacing w:before="5" w:line="460" w:lineRule="exact"/>
                    <w:ind w:right="3" w:firstLine="440" w:firstLineChars="200"/>
                    <w:rPr>
                      <w:rFonts w:ascii="宋体" w:hAnsi="宋体" w:cs="宋体"/>
                      <w:color w:val="auto"/>
                      <w:highlight w:val="none"/>
                      <w:lang w:eastAsia="zh-CN"/>
                    </w:rPr>
                  </w:pP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338DDAA">
                  <w:pPr>
                    <w:spacing w:line="360" w:lineRule="auto"/>
                    <w:ind w:firstLine="420"/>
                    <w:rPr>
                      <w:rFonts w:ascii="宋体" w:hAnsi="宋体" w:cs="宋体"/>
                      <w:color w:val="auto"/>
                      <w:sz w:val="22"/>
                      <w:highlight w:val="none"/>
                    </w:rPr>
                  </w:pPr>
                </w:p>
              </w:tc>
            </w:tr>
            <w:tr w14:paraId="17C40C34">
              <w:tblPrEx>
                <w:tblCellMar>
                  <w:top w:w="0" w:type="dxa"/>
                  <w:left w:w="0" w:type="dxa"/>
                  <w:bottom w:w="0" w:type="dxa"/>
                  <w:right w:w="0" w:type="dxa"/>
                </w:tblCellMar>
              </w:tblPrEx>
              <w:trPr>
                <w:trHeight w:val="1382" w:hRule="atLeast"/>
                <w:jc w:val="center"/>
              </w:trPr>
              <w:tc>
                <w:tcPr>
                  <w:tcW w:w="80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5C25C19A">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其他</w:t>
                  </w:r>
                </w:p>
              </w:tc>
              <w:tc>
                <w:tcPr>
                  <w:tcW w:w="14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F811799">
                  <w:pPr>
                    <w:spacing w:line="360" w:lineRule="auto"/>
                    <w:ind w:firstLine="420"/>
                    <w:rPr>
                      <w:rFonts w:ascii="宋体" w:hAnsi="宋体" w:cs="宋体"/>
                      <w:color w:val="auto"/>
                      <w:sz w:val="22"/>
                      <w:highlight w:val="none"/>
                    </w:rPr>
                  </w:pPr>
                </w:p>
              </w:tc>
              <w:tc>
                <w:tcPr>
                  <w:tcW w:w="399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6731C95">
                  <w:pPr>
                    <w:spacing w:line="360" w:lineRule="auto"/>
                    <w:rPr>
                      <w:rFonts w:ascii="宋体" w:hAnsi="宋体" w:cs="宋体"/>
                      <w:color w:val="auto"/>
                      <w:sz w:val="22"/>
                      <w:highlight w:val="none"/>
                    </w:rPr>
                  </w:pPr>
                  <w:r>
                    <w:rPr>
                      <w:rFonts w:hint="eastAsia" w:ascii="宋体" w:hAnsi="宋体" w:cs="宋体"/>
                      <w:color w:val="auto"/>
                      <w:sz w:val="22"/>
                      <w:highlight w:val="none"/>
                    </w:rPr>
                    <w:t>车棚顶每月至少清理清扫1次保洁，垃圾分类点每天不少于2次垃圾清运；垃圾桶、垃圾中转房等表面干净无污渍，每日开展至少1次清洁作业</w:t>
                  </w:r>
                </w:p>
              </w:tc>
              <w:tc>
                <w:tcPr>
                  <w:tcW w:w="29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091C24FF">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保持清洁干净</w:t>
                  </w:r>
                </w:p>
              </w:tc>
            </w:tr>
          </w:tbl>
          <w:p w14:paraId="515E5BD3">
            <w:pPr>
              <w:tabs>
                <w:tab w:val="left" w:pos="9135"/>
              </w:tabs>
              <w:spacing w:line="360" w:lineRule="auto"/>
              <w:ind w:firstLine="420"/>
              <w:rPr>
                <w:rFonts w:ascii="宋体" w:hAnsi="宋体" w:cs="宋体"/>
                <w:b/>
                <w:color w:val="auto"/>
                <w:sz w:val="22"/>
                <w:highlight w:val="none"/>
              </w:rPr>
            </w:pPr>
            <w:r>
              <w:rPr>
                <w:rFonts w:hint="eastAsia" w:ascii="宋体" w:hAnsi="宋体" w:cs="宋体"/>
                <w:b/>
                <w:color w:val="auto"/>
                <w:sz w:val="22"/>
                <w:highlight w:val="none"/>
              </w:rPr>
              <w:t>2.2  日常维修及设备运行服务方案</w:t>
            </w:r>
          </w:p>
          <w:p w14:paraId="5BDEE10E">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第一节 管理目标</w:t>
            </w:r>
          </w:p>
          <w:p w14:paraId="14BD0EBE">
            <w:pPr>
              <w:numPr>
                <w:ilvl w:val="0"/>
                <w:numId w:val="15"/>
              </w:numPr>
              <w:tabs>
                <w:tab w:val="left" w:pos="9135"/>
              </w:tabs>
              <w:spacing w:line="360" w:lineRule="auto"/>
              <w:ind w:firstLine="420"/>
              <w:rPr>
                <w:rFonts w:hint="eastAsia" w:ascii="宋体" w:hAnsi="宋体" w:cs="宋体"/>
                <w:i w:val="0"/>
                <w:iCs w:val="0"/>
                <w:caps w:val="0"/>
                <w:color w:val="auto"/>
                <w:spacing w:val="0"/>
                <w:sz w:val="22"/>
                <w:szCs w:val="22"/>
                <w:highlight w:val="none"/>
                <w:shd w:val="clear" w:fill="FFFFFF"/>
                <w:lang w:eastAsia="zh-CN"/>
              </w:rPr>
            </w:pPr>
            <w:r>
              <w:rPr>
                <w:rFonts w:hint="eastAsia" w:ascii="宋体" w:hAnsi="宋体" w:cs="宋体"/>
                <w:color w:val="auto"/>
                <w:sz w:val="22"/>
                <w:highlight w:val="none"/>
              </w:rPr>
              <w:t>建筑内、外墙及屋内地面、楼梯</w:t>
            </w:r>
            <w:r>
              <w:rPr>
                <w:rFonts w:hint="eastAsia" w:ascii="宋体" w:hAnsi="宋体" w:eastAsia="宋体" w:cs="宋体"/>
                <w:i w:val="0"/>
                <w:iCs w:val="0"/>
                <w:caps w:val="0"/>
                <w:color w:val="auto"/>
                <w:spacing w:val="0"/>
                <w:sz w:val="22"/>
                <w:szCs w:val="22"/>
                <w:highlight w:val="none"/>
                <w:shd w:val="clear" w:fill="FFFFFF"/>
              </w:rPr>
              <w:t>保持完好的状态</w:t>
            </w:r>
            <w:r>
              <w:rPr>
                <w:rFonts w:hint="eastAsia" w:ascii="宋体" w:hAnsi="宋体" w:cs="宋体"/>
                <w:i w:val="0"/>
                <w:iCs w:val="0"/>
                <w:caps w:val="0"/>
                <w:color w:val="auto"/>
                <w:spacing w:val="0"/>
                <w:sz w:val="22"/>
                <w:szCs w:val="22"/>
                <w:highlight w:val="none"/>
                <w:shd w:val="clear" w:fill="FFFFFF"/>
                <w:lang w:eastAsia="zh-CN"/>
              </w:rPr>
              <w:t>；</w:t>
            </w:r>
          </w:p>
          <w:p w14:paraId="7A4BDF9A">
            <w:pPr>
              <w:numPr>
                <w:ilvl w:val="0"/>
                <w:numId w:val="15"/>
              </w:numPr>
              <w:tabs>
                <w:tab w:val="left" w:pos="9135"/>
              </w:tabs>
              <w:spacing w:line="360" w:lineRule="auto"/>
              <w:ind w:firstLine="420"/>
              <w:rPr>
                <w:rFonts w:hint="eastAsia" w:ascii="宋体" w:hAnsi="宋体" w:cs="宋体"/>
                <w:i w:val="0"/>
                <w:iCs w:val="0"/>
                <w:caps w:val="0"/>
                <w:color w:val="auto"/>
                <w:spacing w:val="0"/>
                <w:sz w:val="22"/>
                <w:szCs w:val="22"/>
                <w:highlight w:val="none"/>
                <w:shd w:val="clear" w:fill="FFFFFF"/>
                <w:lang w:eastAsia="zh-CN"/>
              </w:rPr>
            </w:pPr>
            <w:r>
              <w:rPr>
                <w:rFonts w:hint="eastAsia" w:ascii="宋体" w:hAnsi="宋体" w:eastAsia="宋体" w:cs="宋体"/>
                <w:i w:val="0"/>
                <w:iCs w:val="0"/>
                <w:caps w:val="0"/>
                <w:color w:val="auto"/>
                <w:spacing w:val="0"/>
                <w:sz w:val="22"/>
                <w:szCs w:val="22"/>
                <w:highlight w:val="none"/>
                <w:shd w:val="clear" w:fill="FFFFFF"/>
              </w:rPr>
              <w:t>维修工程</w:t>
            </w:r>
            <w:r>
              <w:rPr>
                <w:rFonts w:hint="eastAsia" w:ascii="宋体" w:hAnsi="宋体" w:cs="宋体"/>
                <w:i w:val="0"/>
                <w:iCs w:val="0"/>
                <w:caps w:val="0"/>
                <w:color w:val="auto"/>
                <w:spacing w:val="0"/>
                <w:sz w:val="22"/>
                <w:szCs w:val="22"/>
                <w:highlight w:val="none"/>
                <w:shd w:val="clear" w:fill="FFFFFF"/>
                <w:lang w:val="en-US" w:eastAsia="zh-CN"/>
              </w:rPr>
              <w:t>确保</w:t>
            </w:r>
            <w:r>
              <w:rPr>
                <w:rFonts w:hint="eastAsia" w:ascii="宋体" w:hAnsi="宋体" w:eastAsia="宋体" w:cs="宋体"/>
                <w:i w:val="0"/>
                <w:iCs w:val="0"/>
                <w:caps w:val="0"/>
                <w:color w:val="auto"/>
                <w:spacing w:val="0"/>
                <w:sz w:val="22"/>
                <w:szCs w:val="22"/>
                <w:highlight w:val="none"/>
                <w:shd w:val="clear" w:fill="FFFFFF"/>
              </w:rPr>
              <w:t>均达到验收合格标准</w:t>
            </w:r>
            <w:r>
              <w:rPr>
                <w:rFonts w:hint="eastAsia" w:ascii="宋体" w:hAnsi="宋体" w:cs="宋体"/>
                <w:i w:val="0"/>
                <w:iCs w:val="0"/>
                <w:caps w:val="0"/>
                <w:color w:val="auto"/>
                <w:spacing w:val="0"/>
                <w:sz w:val="22"/>
                <w:szCs w:val="22"/>
                <w:highlight w:val="none"/>
                <w:shd w:val="clear" w:fill="FFFFFF"/>
                <w:lang w:val="en-US" w:eastAsia="zh-CN"/>
              </w:rPr>
              <w:t xml:space="preserve">； </w:t>
            </w:r>
          </w:p>
          <w:p w14:paraId="12F8ACB7">
            <w:pPr>
              <w:numPr>
                <w:ilvl w:val="0"/>
                <w:numId w:val="15"/>
              </w:num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维修</w:t>
            </w:r>
            <w:r>
              <w:rPr>
                <w:rFonts w:hint="eastAsia" w:ascii="宋体" w:hAnsi="宋体" w:eastAsia="宋体" w:cs="宋体"/>
                <w:i w:val="0"/>
                <w:iCs w:val="0"/>
                <w:caps w:val="0"/>
                <w:color w:val="auto"/>
                <w:spacing w:val="0"/>
                <w:sz w:val="22"/>
                <w:szCs w:val="22"/>
                <w:highlight w:val="none"/>
                <w:shd w:val="clear" w:fill="FFFFFF"/>
              </w:rPr>
              <w:t>及时高效，确保绝大多数报修事项得到快速处理</w:t>
            </w:r>
            <w:r>
              <w:rPr>
                <w:rFonts w:hint="eastAsia" w:ascii="宋体" w:hAnsi="宋体" w:cs="宋体"/>
                <w:i w:val="0"/>
                <w:iCs w:val="0"/>
                <w:caps w:val="0"/>
                <w:color w:val="auto"/>
                <w:spacing w:val="0"/>
                <w:sz w:val="22"/>
                <w:szCs w:val="22"/>
                <w:highlight w:val="none"/>
                <w:shd w:val="clear" w:fill="FFFFFF"/>
                <w:lang w:eastAsia="zh-CN"/>
              </w:rPr>
              <w:t>；</w:t>
            </w:r>
          </w:p>
          <w:p w14:paraId="50C610D3">
            <w:pPr>
              <w:tabs>
                <w:tab w:val="left" w:pos="9135"/>
              </w:tabs>
              <w:spacing w:line="360" w:lineRule="auto"/>
              <w:ind w:firstLine="420"/>
              <w:rPr>
                <w:rFonts w:hint="eastAsia" w:ascii="宋体" w:hAnsi="宋体" w:eastAsia="宋体" w:cs="宋体"/>
                <w:color w:val="auto"/>
                <w:sz w:val="22"/>
                <w:highlight w:val="none"/>
                <w:lang w:eastAsia="zh-CN"/>
              </w:rPr>
            </w:pPr>
            <w:r>
              <w:rPr>
                <w:rFonts w:hint="eastAsia" w:ascii="宋体" w:hAnsi="宋体" w:cs="宋体"/>
                <w:color w:val="auto"/>
                <w:sz w:val="22"/>
                <w:highlight w:val="none"/>
              </w:rPr>
              <w:t>4、室内门、窗及天花吊顶</w:t>
            </w:r>
            <w:r>
              <w:rPr>
                <w:rFonts w:hint="eastAsia" w:ascii="宋体" w:hAnsi="宋体" w:eastAsia="宋体" w:cs="宋体"/>
                <w:i w:val="0"/>
                <w:iCs w:val="0"/>
                <w:caps w:val="0"/>
                <w:color w:val="auto"/>
                <w:spacing w:val="0"/>
                <w:sz w:val="22"/>
                <w:szCs w:val="22"/>
                <w:highlight w:val="none"/>
                <w:shd w:val="clear" w:fill="FFFFFF"/>
              </w:rPr>
              <w:t>维持接近完好的使用状态，基本无损坏现象</w:t>
            </w:r>
            <w:r>
              <w:rPr>
                <w:rFonts w:hint="eastAsia" w:ascii="宋体" w:hAnsi="宋体" w:cs="宋体"/>
                <w:i w:val="0"/>
                <w:iCs w:val="0"/>
                <w:caps w:val="0"/>
                <w:color w:val="auto"/>
                <w:spacing w:val="0"/>
                <w:sz w:val="22"/>
                <w:szCs w:val="22"/>
                <w:highlight w:val="none"/>
                <w:shd w:val="clear" w:fill="FFFFFF"/>
                <w:lang w:eastAsia="zh-CN"/>
              </w:rPr>
              <w:t>；</w:t>
            </w:r>
          </w:p>
          <w:p w14:paraId="22F7FD28">
            <w:pPr>
              <w:tabs>
                <w:tab w:val="left" w:pos="9135"/>
              </w:tabs>
              <w:spacing w:line="360" w:lineRule="auto"/>
              <w:ind w:firstLine="420"/>
              <w:rPr>
                <w:rFonts w:hint="eastAsia" w:ascii="宋体" w:hAnsi="宋体" w:eastAsia="宋体" w:cs="宋体"/>
                <w:color w:val="auto"/>
                <w:sz w:val="22"/>
                <w:highlight w:val="none"/>
                <w:lang w:eastAsia="zh-CN"/>
              </w:rPr>
            </w:pPr>
            <w:r>
              <w:rPr>
                <w:rFonts w:hint="eastAsia" w:ascii="宋体" w:hAnsi="宋体" w:cs="宋体"/>
                <w:color w:val="auto"/>
                <w:sz w:val="22"/>
                <w:highlight w:val="none"/>
              </w:rPr>
              <w:t>5、</w:t>
            </w:r>
            <w:r>
              <w:rPr>
                <w:rFonts w:hint="eastAsia" w:ascii="宋体" w:hAnsi="宋体" w:eastAsia="宋体" w:cs="宋体"/>
                <w:i w:val="0"/>
                <w:iCs w:val="0"/>
                <w:caps w:val="0"/>
                <w:color w:val="auto"/>
                <w:spacing w:val="0"/>
                <w:sz w:val="22"/>
                <w:szCs w:val="22"/>
                <w:highlight w:val="none"/>
                <w:shd w:val="clear" w:fill="FFFFFF"/>
              </w:rPr>
              <w:t>各类设施保持优良运行状态</w:t>
            </w:r>
            <w:r>
              <w:rPr>
                <w:rFonts w:hint="eastAsia" w:ascii="宋体" w:hAnsi="宋体" w:cs="宋体"/>
                <w:i w:val="0"/>
                <w:iCs w:val="0"/>
                <w:caps w:val="0"/>
                <w:color w:val="auto"/>
                <w:spacing w:val="0"/>
                <w:sz w:val="22"/>
                <w:szCs w:val="22"/>
                <w:highlight w:val="none"/>
                <w:shd w:val="clear" w:fill="FFFFFF"/>
                <w:lang w:eastAsia="zh-CN"/>
              </w:rPr>
              <w:t>；</w:t>
            </w:r>
          </w:p>
          <w:p w14:paraId="7A7CDE41">
            <w:pPr>
              <w:tabs>
                <w:tab w:val="left" w:pos="9135"/>
              </w:tabs>
              <w:spacing w:line="360" w:lineRule="auto"/>
              <w:ind w:firstLine="420"/>
              <w:rPr>
                <w:rFonts w:hint="eastAsia" w:ascii="宋体" w:hAnsi="宋体" w:eastAsia="宋体" w:cs="宋体"/>
                <w:color w:val="auto"/>
                <w:sz w:val="22"/>
                <w:highlight w:val="none"/>
                <w:lang w:eastAsia="zh-CN"/>
              </w:rPr>
            </w:pPr>
            <w:r>
              <w:rPr>
                <w:rFonts w:hint="eastAsia" w:ascii="宋体" w:hAnsi="宋体" w:cs="宋体"/>
                <w:color w:val="auto"/>
                <w:sz w:val="22"/>
                <w:highlight w:val="none"/>
              </w:rPr>
              <w:t>6、房屋本体</w:t>
            </w:r>
            <w:r>
              <w:rPr>
                <w:rFonts w:hint="eastAsia" w:ascii="宋体" w:hAnsi="宋体" w:eastAsia="宋体" w:cs="宋体"/>
                <w:i w:val="0"/>
                <w:iCs w:val="0"/>
                <w:caps w:val="0"/>
                <w:color w:val="auto"/>
                <w:spacing w:val="0"/>
                <w:sz w:val="22"/>
                <w:szCs w:val="22"/>
                <w:highlight w:val="none"/>
                <w:shd w:val="clear" w:fill="FFFFFF"/>
              </w:rPr>
              <w:t>结构保持高度完好状态</w:t>
            </w:r>
            <w:r>
              <w:rPr>
                <w:rFonts w:hint="eastAsia" w:ascii="宋体" w:hAnsi="宋体" w:cs="宋体"/>
                <w:i w:val="0"/>
                <w:iCs w:val="0"/>
                <w:caps w:val="0"/>
                <w:color w:val="auto"/>
                <w:spacing w:val="0"/>
                <w:sz w:val="22"/>
                <w:szCs w:val="22"/>
                <w:highlight w:val="none"/>
                <w:shd w:val="clear" w:fill="FFFFFF"/>
                <w:lang w:eastAsia="zh-CN"/>
              </w:rPr>
              <w:t>；</w:t>
            </w:r>
          </w:p>
          <w:p w14:paraId="0A49847A">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7、</w:t>
            </w:r>
            <w:r>
              <w:rPr>
                <w:rFonts w:hint="eastAsia" w:ascii="宋体" w:hAnsi="宋体" w:eastAsia="宋体" w:cs="宋体"/>
                <w:i w:val="0"/>
                <w:iCs w:val="0"/>
                <w:caps w:val="0"/>
                <w:color w:val="auto"/>
                <w:spacing w:val="0"/>
                <w:sz w:val="22"/>
                <w:szCs w:val="22"/>
                <w:highlight w:val="none"/>
                <w:shd w:val="clear" w:fill="FFFFFF"/>
              </w:rPr>
              <w:t>校园道路系统保持良好通行条件，主要道路无影响使用的破损情况</w:t>
            </w:r>
            <w:r>
              <w:rPr>
                <w:rFonts w:hint="eastAsia" w:ascii="宋体" w:hAnsi="宋体" w:cs="宋体"/>
                <w:color w:val="auto"/>
                <w:sz w:val="22"/>
                <w:highlight w:val="none"/>
              </w:rPr>
              <w:t>。</w:t>
            </w:r>
          </w:p>
          <w:p w14:paraId="60BECB00">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8、设施台帐记录齐全</w:t>
            </w:r>
          </w:p>
          <w:p w14:paraId="093D6AF3">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第二节：维修范围</w:t>
            </w:r>
          </w:p>
          <w:p w14:paraId="6E0D81A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1、设立24小时维修报修电话和投诉电话，配备熟练、专职、有上岗证及资格证的专业工程技术人员，严格执行操作规程；</w:t>
            </w:r>
          </w:p>
          <w:p w14:paraId="4B9E458E">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2、维修效率：紧急维修响应不超过10分钟，其余维修30分钟内到达现场；一般维修4小时内完成，大修24小时内完成；</w:t>
            </w:r>
          </w:p>
          <w:p w14:paraId="05A9C0C8">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3、制订设施设备的标准化管理程序，建立设备运行、维修、维护、保养记录，严格执行设备管理、操作制度，使各种设备设施的维修、保养和事故处理均处于标准化、规范化管理控制之中；</w:t>
            </w:r>
          </w:p>
          <w:p w14:paraId="3E6D08AE">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4、做好室内外公共区域各类设施设备及附属设备设施的日常排查、报修及维修工作；</w:t>
            </w:r>
          </w:p>
          <w:p w14:paraId="717D45D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5、定期检查水龙头、闸阀、路灯、水管件、喷泉、水泵等情况，每周检查配电房配电设施设备，灯线路等情况，发现问题及时修复；</w:t>
            </w:r>
          </w:p>
          <w:p w14:paraId="341D57D4">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6、管网：定期检查管线接头有无渗漏、支架有无松脱等现象，发现问题及时修复；</w:t>
            </w:r>
          </w:p>
          <w:p w14:paraId="751C6414">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7、沟渠池井：定期检查﹙雨季每日检查﹚沟、渠、井盖等有无堵塞和损坏，发现问题及时修复；屋顶及天沟每半月清洁1次；</w:t>
            </w:r>
          </w:p>
          <w:p w14:paraId="5241925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8、定期检查校园景观、公共标识标牌等设施有无破损、污迹、脱落、乱刻乱划等现象，发现问题及时修复或报告学校；</w:t>
            </w:r>
          </w:p>
          <w:p w14:paraId="5E33996E">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9、给排水系统：定期检修水电设施及管网，保证符合安全运行的技术性能指标，终端设备完好；</w:t>
            </w:r>
          </w:p>
          <w:p w14:paraId="2568C4B0">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10、对设备故障及重大事件有完善的应急方案和现场处理措施、处理记录；</w:t>
            </w:r>
          </w:p>
          <w:p w14:paraId="2D843181">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11、做好学校各楼宇、学生公寓及室外冬季供水管网、水表、消防管网、地上消防栓等设施设备的防冻保暖工作，寒冬季节加强室外巡查频次，保暖材料和人工费用由投标人承担；</w:t>
            </w:r>
          </w:p>
          <w:p w14:paraId="1D852378">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12、质保期内的设施设备配合采购人协调设备供应商进行维修维护；</w:t>
            </w:r>
          </w:p>
          <w:p w14:paraId="642195E6">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13、路灯、楼道灯等公共照明设备经常检查，保证完好，按规定时间定时开关；</w:t>
            </w:r>
          </w:p>
          <w:p w14:paraId="366A7B56">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14、监督管理维修单位或施工单位，对装修改造过程进行管理服务，并监督将其产生的建筑垃圾、生活垃圾或其他垃圾及时清运，若没监督管理到位，产生的垃圾有投标人负责清理干净；</w:t>
            </w:r>
          </w:p>
          <w:p w14:paraId="46B72B0F">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16、每季度对房屋本体及配套设施进行巡检维护，并建立巡检记录；</w:t>
            </w:r>
          </w:p>
          <w:p w14:paraId="617E1FED">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17、每季度对服务场所和设施设备相关安全标志进行检查和维护，覆盖率不低100%；</w:t>
            </w:r>
          </w:p>
          <w:p w14:paraId="633B95BB">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18、对于防腐木及栏杆裸漏的钢结构材料等户外设施，每年实施1次防护漆涂刷作业；</w:t>
            </w:r>
          </w:p>
          <w:p w14:paraId="62D6568A">
            <w:pPr>
              <w:pStyle w:val="10"/>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 19、投标人应库存备件，品质不低于原品质（维修服务中易损易耗的常见维修配件，中标人应库存备件，品质不低于原品质,不得累积维修项目以规避单次单项限价），维修工作包括但不限于：</w:t>
            </w:r>
          </w:p>
          <w:p w14:paraId="42138D2F">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（1）动力、配电设备、给排水设备与管道等设施小型维修，各类阀门更换（其中水电表等计量器具需实时采集数据，故需在接到报修后当天完成维修与更换）；</w:t>
            </w:r>
          </w:p>
          <w:p w14:paraId="42373862">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（2）建筑物室内外墙体、墙面、地面、天花板、矿棉板、楼梯间、洗手间、走廊通道、门厅、阳台、设备房等；</w:t>
            </w:r>
          </w:p>
          <w:p w14:paraId="5CE0FA7D">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（3）教室课桌椅、讲台、黑板、电铃等；</w:t>
            </w:r>
          </w:p>
          <w:p w14:paraId="4745CCC6">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（4）道路、室内外排污管道、化粪池、沟、渠、池、供电线路、停车场、宣传栏、公共标识、标志、栏杆、垃圾箱、垃圾房等公用设施；</w:t>
            </w:r>
          </w:p>
          <w:p w14:paraId="31E2C706">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（5）各楼栋内的水龙头、电扇、电视、开水器、开关、强弱电插座、配电箱、供电线路、水电、表门窗、玻璃（除幕墙外）、锁、晒衣架、家具、卫生洁具等；</w:t>
            </w:r>
          </w:p>
          <w:p w14:paraId="1887F929">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（6）路灯、消防应急照明灯、疏散指示标识、消防栓面板等。</w:t>
            </w:r>
          </w:p>
          <w:p w14:paraId="11B982D0">
            <w:pPr>
              <w:ind w:firstLine="440" w:firstLineChars="200"/>
              <w:rPr>
                <w:rFonts w:ascii="宋体" w:hAnsi="宋体" w:cs="宋体"/>
                <w:color w:val="auto"/>
                <w:sz w:val="22"/>
                <w:highlight w:val="none"/>
              </w:rPr>
            </w:pPr>
            <w:r>
              <w:rPr>
                <w:rFonts w:hint="eastAsia" w:ascii="宋体" w:hAnsi="宋体" w:cs="宋体"/>
                <w:color w:val="auto"/>
                <w:sz w:val="22"/>
                <w:highlight w:val="none"/>
              </w:rPr>
              <w:t>（7）配电房的防具、工具检测费用。</w:t>
            </w:r>
          </w:p>
          <w:p w14:paraId="3301CB8C">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第三节 建筑物及其配套设施的管理、维修、保养</w:t>
            </w:r>
          </w:p>
          <w:p w14:paraId="61F96EE8">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房屋建筑本体、楼内设施、红线内物业设施、周边报务用配套设施、其他 类小型设施定期维护、日常维修标准</w:t>
            </w:r>
          </w:p>
          <w:p w14:paraId="623920FF">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1、物业管理处经常对物业设施进行不定期检查，发现问题及时处理。一般性问题当天解决。</w:t>
            </w:r>
          </w:p>
          <w:p w14:paraId="55B950F9">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特殊问题：一般情况2 天内解决，特殊情况及时写出情况报告。建筑内、外墙及屋内地面、楼梯完好率达到99%以上。室内门、窗及天花吊顶完好率达到99%以上。</w:t>
            </w:r>
          </w:p>
          <w:p w14:paraId="3444C374">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2、接到使用人提出的维修申请，及时派出工作人员进行处理。</w:t>
            </w:r>
          </w:p>
          <w:p w14:paraId="17705CB4">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3、物业设施完好符合以下要求：房屋外墙面：无损坏、无污迹、无渗水，整洁统一。 房屋内墙面：平整裂缝，墙面无脱落，洁净无污迹。 房屋地面：无开裂、无空鼓、无凹陷。 吊顶、天花板：无残缺，平整稳固，无污迹。门窗：无损坏、无变形、开顺畅、关严紧，扣把齐全。 栏杆、围栏：完好牢固无损坏，油漆无脱落。 道路：路面平整，无空鼓、无凹陷，。热水器、排气扇等各种小型设备：正常运转，加热正常，无漏水。</w:t>
            </w:r>
          </w:p>
          <w:p w14:paraId="27BF0259">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4、房屋本体完好率：不小于 98%。</w:t>
            </w:r>
          </w:p>
          <w:p w14:paraId="5CC42098">
            <w:pPr>
              <w:tabs>
                <w:tab w:val="left" w:pos="9135"/>
              </w:tabs>
              <w:spacing w:line="360" w:lineRule="auto"/>
              <w:ind w:firstLine="420"/>
              <w:rPr>
                <w:rFonts w:ascii="宋体" w:hAnsi="宋体" w:cs="宋体"/>
                <w:color w:val="auto"/>
                <w:sz w:val="22"/>
                <w:highlight w:val="none"/>
              </w:rPr>
            </w:pPr>
            <w:r>
              <w:rPr>
                <w:rFonts w:hint="eastAsia" w:ascii="宋体" w:hAnsi="宋体" w:cs="宋体"/>
                <w:color w:val="auto"/>
                <w:sz w:val="22"/>
                <w:highlight w:val="none"/>
              </w:rPr>
              <w:t>5、完好道路覆盖率：不小于 95%。</w:t>
            </w:r>
          </w:p>
          <w:p w14:paraId="4499A11A">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第四节：管理要求</w:t>
            </w:r>
          </w:p>
          <w:p w14:paraId="0D16E1F2">
            <w:pPr>
              <w:snapToGrid w:val="0"/>
              <w:spacing w:line="360" w:lineRule="auto"/>
              <w:ind w:firstLine="330"/>
              <w:rPr>
                <w:rFonts w:ascii="宋体" w:hAnsi="宋体" w:cs="宋体"/>
                <w:color w:val="auto"/>
                <w:sz w:val="22"/>
                <w:highlight w:val="none"/>
              </w:rPr>
            </w:pPr>
            <w:r>
              <w:rPr>
                <w:rFonts w:hint="eastAsia" w:ascii="宋体" w:hAnsi="宋体" w:cs="宋体"/>
                <w:color w:val="auto"/>
                <w:sz w:val="22"/>
                <w:highlight w:val="none"/>
              </w:rPr>
              <w:t>（1）给排水设备运行维护</w:t>
            </w:r>
          </w:p>
          <w:p w14:paraId="3D7542F6">
            <w:pPr>
              <w:spacing w:line="360" w:lineRule="auto"/>
              <w:ind w:firstLine="440"/>
              <w:rPr>
                <w:rFonts w:ascii="宋体" w:hAnsi="宋体" w:cs="宋体"/>
                <w:color w:val="auto"/>
                <w:sz w:val="22"/>
                <w:highlight w:val="none"/>
              </w:rPr>
            </w:pPr>
            <w:r>
              <w:rPr>
                <w:rFonts w:hint="eastAsia" w:ascii="宋体" w:hAnsi="宋体" w:cs="宋体"/>
                <w:color w:val="auto"/>
                <w:sz w:val="22"/>
                <w:highlight w:val="none"/>
              </w:rPr>
              <w:t>服务标准：加强日常检查巡视，保证给排水系统正常运行使用。做好周抄表和月抄表及数据统计分析，及时发现供水异常情况。建立正常供水管理制度，防止跑、冒、滴、漏，对供水系统管路、水泵、水箱、阀门等进行日常维护和定期检修。</w:t>
            </w:r>
            <w:r>
              <w:rPr>
                <w:rFonts w:hint="eastAsia" w:ascii="宋体" w:hAnsi="宋体" w:cs="宋体"/>
                <w:color w:val="auto"/>
                <w:spacing w:val="6"/>
                <w:sz w:val="22"/>
                <w:highlight w:val="none"/>
              </w:rPr>
              <w:t>按时完成采购人要求的安装任务。</w:t>
            </w:r>
            <w:r>
              <w:rPr>
                <w:rFonts w:hint="eastAsia" w:ascii="宋体" w:hAnsi="宋体" w:cs="宋体"/>
                <w:color w:val="auto"/>
                <w:sz w:val="22"/>
                <w:highlight w:val="none"/>
              </w:rPr>
              <w:t>寒暑假要安排水箱清洗保持清洁卫生，对水泵及机电设备进行检查、保养、维护、清洁，对水管进行清通、养护及清除污垢。对室内外排水系统要求每月定期清理，保证通畅；及时发现并解决故障，零星维修合格率100%，故障排除不过夜。</w:t>
            </w:r>
          </w:p>
          <w:p w14:paraId="159AB964">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（2）供电设备管理维护</w:t>
            </w:r>
          </w:p>
          <w:p w14:paraId="6BBCFE27">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对供电范围内的供配电设备必须每天巡视做好运行记录，开闭所、配电房、强电间要每月定期打扫清洁，寒暑假对配电设备清洁打扫、紧固线路紧固件。建立各项设备档案，做到安全、合理、节约用电；建立严格的配送电运行制度、电气维修制度和配电房管理制度，供电运行和维修人员必须持证上岗；建立24小时运行维修值班制度。设备出现故障时，维修人员应在接到报修后10分钟内到达现场，及时排除故障。加强日常维护检修，照明、指示灯具、线路、开关要保证完好。每月按要求检测漏电保护断路器，发现损坏及时更换。</w:t>
            </w:r>
            <w:r>
              <w:rPr>
                <w:rFonts w:hint="eastAsia" w:ascii="宋体" w:hAnsi="宋体" w:cs="宋体"/>
                <w:color w:val="auto"/>
                <w:spacing w:val="6"/>
                <w:sz w:val="22"/>
                <w:highlight w:val="none"/>
              </w:rPr>
              <w:t>按时完成采购人要求的安装任务</w:t>
            </w:r>
            <w:r>
              <w:rPr>
                <w:rFonts w:hint="eastAsia" w:ascii="宋体" w:hAnsi="宋体" w:cs="宋体"/>
                <w:color w:val="auto"/>
                <w:sz w:val="22"/>
                <w:highlight w:val="none"/>
              </w:rPr>
              <w:t>；发电机组随时处于良好状态并做好运行记录，每月定期空载运行10分钟保证机件润滑。确保用电安全，在接到相关部门停电通知后，应马上通知业主，备用应急发电机应及时启用；管理和维护好避雷设施，保证避雷设备完好、有效、安全。</w:t>
            </w:r>
          </w:p>
          <w:p w14:paraId="4B4759AD">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（3）电梯运行维护</w:t>
            </w:r>
          </w:p>
          <w:p w14:paraId="0A3A8DB2">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建立电梯运行管理、设备管理、安全管理制度，确保电梯按规定时间运行，安全设施齐全有效，通风、照明及其它附属设施完好；严格执行国家有关电梯管理规定和安全规程，电梯准用证、年检合格证、维修保养合同完备。每天要巡检发现异常及时报修，轿厢保持清洁。按业主外包合同规定对中标方的维保工作进行严格监管，电梯故障要及时向维保单位报修并设置故障提示牌，跟踪维修进度直到排除故障。</w:t>
            </w:r>
          </w:p>
          <w:p w14:paraId="0F78C4E5">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（4）空调系统运行维护</w:t>
            </w:r>
          </w:p>
          <w:p w14:paraId="025E9E9D">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建立空调运行管理制度和安全操作规程，保证空调系统安全运行和正常使用，运行中无超标噪音和严重滴漏水现象；定期检查空调设备和管道，寒暑假要做好质保期内空调各进风口滤网的清洗工作，按业主外包合同规定对中标方的维保工作进行严格监管，保证空调设备、设施处于良好状态；空调系统出现运行故障后，对一般故障及时排除，较大故障及时通知空调外包维修人员进行维修，并做好记录。</w:t>
            </w:r>
          </w:p>
          <w:p w14:paraId="64393AC1">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（5）直饮水系统运行维护</w:t>
            </w:r>
          </w:p>
          <w:p w14:paraId="423D2DE4">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建立直饮水系统运行管理制度和操作规程，做到每天早晚检查各设备的正常运行，管路畅通，机器设备及时清洗，确保各楼层的饮用水正常供应。按使用周期更换直饮水及饮水机各级滤芯。一般故障及时排除，较大故障及时通知外包维修人员进行维修，并做好记录。</w:t>
            </w:r>
          </w:p>
          <w:p w14:paraId="7E579F3B">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（6）厨房用具厨具运行维护</w:t>
            </w:r>
          </w:p>
          <w:p w14:paraId="5BF74A9E">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建立厨房煤气运行管理制度和操作规程，做到早晚检查各设备的正常运行，管路畅通，机器设备及时清洗，确保厨房厨具正常使用，一般故障及时排除，较大故障及时通知外包维修人员进行维修，并做好记录。</w:t>
            </w:r>
          </w:p>
          <w:p w14:paraId="287E2F42">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（7）校园瓷砖墙体等外立面日常维护</w:t>
            </w:r>
          </w:p>
          <w:p w14:paraId="1E7A31AD">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建立校园外墙瓷砖、玻璃等巡查报修管理制度和操作规程，做到每月早晚检查各外墙立面实际情况，做好安全排查，发现起鼓脱落碎裂等现象及时采取措施，并且保证校园人员安全，做好防范措施，并做好记录。</w:t>
            </w:r>
          </w:p>
          <w:p w14:paraId="0F401665">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（8）人防工程管理</w:t>
            </w:r>
          </w:p>
          <w:p w14:paraId="2CAC3F83">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1.投标人负责设备设施的日常巡查、清洁、维护及管理工作，包括防护设备设施的维护保养、维修、空间管理等，并协助做好维保单位日常维护监督管理的相关工作，建立完善的维保记录；</w:t>
            </w:r>
          </w:p>
          <w:p w14:paraId="670D512A">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2.建立健全人防设备维护管理制度，妥善保管维护管理档案，加强日常巡视，一旦发现任何异常或问题，立即按照程序上报并协调专业维保单位进行及时处理；</w:t>
            </w:r>
          </w:p>
          <w:p w14:paraId="04EFAA87">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3.确保人防工程结构完好、防护设施性能优良，各系统（通风、给排水、供电、采暖、通信、消防等）运行正常，无渗漏且空间整洁，空气洁净且达标，同时构配件无锈蚀损坏；</w:t>
            </w:r>
          </w:p>
          <w:p w14:paraId="6067D914">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4.确保平战转换所需材料、设备及预制构件存储于指定地点且保持良好状态，保障进出道路通畅无阻，孔口伪装及所有地面附属设施完好无损，同时确保防汛设施坚实可靠。</w:t>
            </w:r>
          </w:p>
          <w:p w14:paraId="2D085114">
            <w:pPr>
              <w:snapToGrid w:val="0"/>
              <w:spacing w:line="360" w:lineRule="auto"/>
              <w:ind w:firstLine="220" w:firstLineChars="100"/>
              <w:rPr>
                <w:rFonts w:ascii="宋体" w:hAnsi="宋体" w:cs="宋体"/>
                <w:color w:val="auto"/>
                <w:sz w:val="22"/>
                <w:highlight w:val="none"/>
              </w:rPr>
            </w:pPr>
            <w:r>
              <w:rPr>
                <w:rFonts w:hint="eastAsia" w:ascii="宋体" w:hAnsi="宋体" w:cs="宋体"/>
                <w:color w:val="auto"/>
                <w:sz w:val="22"/>
                <w:highlight w:val="none"/>
              </w:rPr>
              <w:t>（9）中心湖及中水系统管理要求</w:t>
            </w:r>
          </w:p>
          <w:p w14:paraId="4EB55D7F">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1、管理范围：负责学校中心湖水体、配套橡胶坝、电动阀门、抽水设施及周边中水循环系统的日常运维管理，确保设施完好、运行安全，水质符合景观水体标准。</w:t>
            </w:r>
          </w:p>
          <w:p w14:paraId="534FDC53">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旱雨季专项管理：雨季管理要求加强水位监测，通过橡胶坝升降及电动阀门调控及时泄洪，防止湖水外溢；检查抽水设施排水能力，确保暴雨期间正常运行。旱季管理要求配合学校中水回用系统进行补水，合理调节橡胶坝高度保持水位；定期检查水体蒸发量，防止干涸；优化抽水设施运行模式，实现节水目标。</w:t>
            </w:r>
          </w:p>
          <w:p w14:paraId="111693E3">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设施运维要求：每日巡检橡胶坝、电动阀门及抽水设施，记录运行参数，发现故障2小时内响应处理。每月对机电设备进行保养，每年汛期前完成全面检修，及时更换、添加中水泵房所需的水质处理药品等。建立设施档案，包括操作手册、维修记录及配件清单。根据中水系统数据调整湖体水位；突发天气前须提前制定应急预案并报备。</w:t>
            </w:r>
          </w:p>
          <w:p w14:paraId="19A94959">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（10）中水喷灌和雾森系统的管理要求</w:t>
            </w:r>
          </w:p>
          <w:p w14:paraId="1D1F5735">
            <w:pPr>
              <w:spacing w:line="460" w:lineRule="exact"/>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rPr>
              <w:t>1.管理范围：</w:t>
            </w:r>
            <w:r>
              <w:rPr>
                <w:rFonts w:hint="eastAsia" w:ascii="宋体" w:hAnsi="宋体" w:cs="宋体"/>
                <w:color w:val="auto"/>
                <w:sz w:val="22"/>
                <w:highlight w:val="none"/>
                <w:shd w:val="clear" w:color="auto" w:fill="FFFFFF"/>
              </w:rPr>
              <w:t>负责校园内中水喷灌系统、雾森系统及其配套设备（包括水泵、管道、喷头、喷嘴、控制系统、水质过滤装置等）的日常运维，确保系统高效运行，实现节水环保目标。</w:t>
            </w:r>
          </w:p>
          <w:p w14:paraId="0A322B32">
            <w:pPr>
              <w:spacing w:line="460" w:lineRule="exact"/>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shd w:val="clear" w:color="auto" w:fill="FFFFFF"/>
              </w:rPr>
              <w:t>2.</w:t>
            </w:r>
            <w:r>
              <w:rPr>
                <w:rStyle w:val="33"/>
                <w:rFonts w:hint="eastAsia" w:ascii="宋体" w:hAnsi="宋体" w:cs="宋体"/>
                <w:b w:val="0"/>
                <w:color w:val="auto"/>
                <w:sz w:val="22"/>
                <w:highlight w:val="none"/>
                <w:shd w:val="clear" w:color="auto" w:fill="FFFFFF"/>
              </w:rPr>
              <w:t>运行管理要求：定时调控</w:t>
            </w:r>
            <w:r>
              <w:rPr>
                <w:rFonts w:hint="eastAsia" w:ascii="宋体" w:hAnsi="宋体" w:cs="宋体"/>
                <w:color w:val="auto"/>
                <w:sz w:val="22"/>
                <w:highlight w:val="none"/>
                <w:shd w:val="clear" w:color="auto" w:fill="FFFFFF"/>
              </w:rPr>
              <w:t>：根据季节、天气及植物需水量制定喷灌计划，夏季每日6:00-8:00或18:00-20:00运行，避免高温蒸发；雾森系统结合空气质量与温度调控，每日运行不超过6小时；</w:t>
            </w:r>
            <w:r>
              <w:rPr>
                <w:rStyle w:val="33"/>
                <w:rFonts w:hint="eastAsia" w:ascii="宋体" w:hAnsi="宋体" w:cs="宋体"/>
                <w:b w:val="0"/>
                <w:color w:val="auto"/>
                <w:sz w:val="22"/>
                <w:highlight w:val="none"/>
                <w:shd w:val="clear" w:color="auto" w:fill="FFFFFF"/>
              </w:rPr>
              <w:t>水质监控</w:t>
            </w:r>
            <w:r>
              <w:rPr>
                <w:rFonts w:hint="eastAsia" w:ascii="宋体" w:hAnsi="宋体" w:cs="宋体"/>
                <w:color w:val="auto"/>
                <w:sz w:val="22"/>
                <w:highlight w:val="none"/>
                <w:shd w:val="clear" w:color="auto" w:fill="FFFFFF"/>
              </w:rPr>
              <w:t>：每月检查中水pH值、浊度、余氯等指标，防止堵塞喷头或腐蚀设备；定期清理过滤网及蓄水池沉淀物；</w:t>
            </w:r>
          </w:p>
          <w:p w14:paraId="39E44A29">
            <w:pPr>
              <w:snapToGrid w:val="0"/>
              <w:spacing w:line="360" w:lineRule="auto"/>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rPr>
              <w:t>3、设施运维要求：</w:t>
            </w:r>
            <w:r>
              <w:rPr>
                <w:rStyle w:val="33"/>
                <w:rFonts w:hint="eastAsia" w:ascii="宋体" w:hAnsi="宋体" w:cs="宋体"/>
                <w:b w:val="0"/>
                <w:color w:val="auto"/>
                <w:sz w:val="22"/>
                <w:highlight w:val="none"/>
                <w:shd w:val="clear" w:color="auto" w:fill="FFFFFF"/>
              </w:rPr>
              <w:t>日常巡检</w:t>
            </w:r>
            <w:r>
              <w:rPr>
                <w:rFonts w:hint="eastAsia" w:ascii="宋体" w:hAnsi="宋体" w:cs="宋体"/>
                <w:color w:val="auto"/>
                <w:sz w:val="22"/>
                <w:highlight w:val="none"/>
                <w:shd w:val="clear" w:color="auto" w:fill="FFFFFF"/>
              </w:rPr>
              <w:t>：每日检查喷头/喷嘴是否堵塞、管道有无泄漏、控制系统是否正常，记录水压、流量等参数；定期</w:t>
            </w:r>
            <w:r>
              <w:rPr>
                <w:rStyle w:val="33"/>
                <w:rFonts w:hint="eastAsia" w:ascii="宋体" w:hAnsi="宋体" w:cs="宋体"/>
                <w:b w:val="0"/>
                <w:color w:val="auto"/>
                <w:sz w:val="22"/>
                <w:highlight w:val="none"/>
                <w:shd w:val="clear" w:color="auto" w:fill="FFFFFF"/>
              </w:rPr>
              <w:t>保养</w:t>
            </w:r>
            <w:r>
              <w:rPr>
                <w:rFonts w:hint="eastAsia" w:ascii="宋体" w:hAnsi="宋体" w:cs="宋体"/>
                <w:color w:val="auto"/>
                <w:sz w:val="22"/>
                <w:highlight w:val="none"/>
                <w:shd w:val="clear" w:color="auto" w:fill="FFFFFF"/>
              </w:rPr>
              <w:t>：每季度润滑水泵轴承，校准电磁阀；每年入冬前排空管道存水，防冻裂；</w:t>
            </w:r>
            <w:r>
              <w:rPr>
                <w:rStyle w:val="33"/>
                <w:rFonts w:hint="eastAsia" w:ascii="宋体" w:hAnsi="宋体" w:cs="宋体"/>
                <w:b w:val="0"/>
                <w:color w:val="auto"/>
                <w:sz w:val="22"/>
                <w:highlight w:val="none"/>
                <w:shd w:val="clear" w:color="auto" w:fill="FFFFFF"/>
              </w:rPr>
              <w:t>应急处理</w:t>
            </w:r>
            <w:r>
              <w:rPr>
                <w:rFonts w:hint="eastAsia" w:ascii="宋体" w:hAnsi="宋体" w:cs="宋体"/>
                <w:color w:val="auto"/>
                <w:sz w:val="22"/>
                <w:highlight w:val="none"/>
                <w:shd w:val="clear" w:color="auto" w:fill="FFFFFF"/>
              </w:rPr>
              <w:t>：发现爆管或设备故障须1小时内关闭水源并维修，48小时内恢复。</w:t>
            </w:r>
          </w:p>
          <w:p w14:paraId="235D0B10">
            <w:pPr>
              <w:snapToGrid w:val="0"/>
              <w:spacing w:line="360" w:lineRule="auto"/>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shd w:val="clear" w:color="auto" w:fill="FFFFFF"/>
              </w:rPr>
              <w:t>4、</w:t>
            </w:r>
            <w:r>
              <w:rPr>
                <w:rStyle w:val="33"/>
                <w:rFonts w:hint="eastAsia" w:ascii="宋体" w:hAnsi="宋体" w:cs="宋体"/>
                <w:b w:val="0"/>
                <w:color w:val="auto"/>
                <w:sz w:val="22"/>
                <w:highlight w:val="none"/>
                <w:shd w:val="clear" w:color="auto" w:fill="FFFFFF"/>
              </w:rPr>
              <w:t>安全管理：</w:t>
            </w:r>
            <w:r>
              <w:rPr>
                <w:rFonts w:hint="eastAsia" w:ascii="宋体" w:hAnsi="宋体" w:cs="宋体"/>
                <w:color w:val="auto"/>
                <w:sz w:val="22"/>
                <w:highlight w:val="none"/>
                <w:shd w:val="clear" w:color="auto" w:fill="FFFFFF"/>
              </w:rPr>
              <w:t>设置明显警示标识，防止师生误触带电部件；雾森系统周边需防滑处理。</w:t>
            </w:r>
          </w:p>
          <w:p w14:paraId="0BCFADF2">
            <w:pPr>
              <w:snapToGrid w:val="0"/>
              <w:spacing w:line="360" w:lineRule="auto"/>
              <w:ind w:firstLine="440" w:firstLineChars="200"/>
              <w:rPr>
                <w:rStyle w:val="33"/>
                <w:rFonts w:ascii="宋体" w:hAnsi="宋体" w:cs="宋体"/>
                <w:b w:val="0"/>
                <w:color w:val="auto"/>
                <w:sz w:val="22"/>
                <w:highlight w:val="none"/>
                <w:shd w:val="clear" w:color="auto" w:fill="FFFFFF"/>
              </w:rPr>
            </w:pPr>
            <w:r>
              <w:rPr>
                <w:rStyle w:val="33"/>
                <w:rFonts w:hint="eastAsia" w:ascii="宋体" w:hAnsi="宋体" w:cs="宋体"/>
                <w:b w:val="0"/>
                <w:color w:val="auto"/>
                <w:sz w:val="22"/>
                <w:highlight w:val="none"/>
                <w:shd w:val="clear" w:color="auto" w:fill="FFFFFF"/>
              </w:rPr>
              <w:t>（11）配电房运维工作配合监管要求</w:t>
            </w:r>
          </w:p>
          <w:p w14:paraId="7E08018D">
            <w:pPr>
              <w:snapToGrid w:val="0"/>
              <w:spacing w:line="360" w:lineRule="auto"/>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rPr>
              <w:t>1、管理范围：</w:t>
            </w:r>
            <w:r>
              <w:rPr>
                <w:rFonts w:hint="eastAsia" w:ascii="宋体" w:hAnsi="宋体" w:cs="宋体"/>
                <w:color w:val="auto"/>
                <w:sz w:val="22"/>
                <w:highlight w:val="none"/>
                <w:shd w:val="clear" w:color="auto" w:fill="FFFFFF"/>
              </w:rPr>
              <w:t>配合学校后勤及电力部门对物业管辖范围内的配电房（含高压配电室、低压配电室、箱式变电站等）进行日常监管，确保供电设施安全稳定运行。</w:t>
            </w:r>
          </w:p>
          <w:p w14:paraId="24D9DBEE">
            <w:pPr>
              <w:snapToGrid w:val="0"/>
              <w:spacing w:line="360" w:lineRule="auto"/>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shd w:val="clear" w:color="auto" w:fill="FFFFFF"/>
              </w:rPr>
              <w:t>2、</w:t>
            </w:r>
            <w:r>
              <w:rPr>
                <w:rStyle w:val="33"/>
                <w:rFonts w:hint="eastAsia" w:ascii="宋体" w:hAnsi="宋体" w:cs="宋体"/>
                <w:b w:val="0"/>
                <w:color w:val="auto"/>
                <w:sz w:val="22"/>
                <w:highlight w:val="none"/>
                <w:shd w:val="clear" w:color="auto" w:fill="FFFFFF"/>
              </w:rPr>
              <w:t>运行监管要求：参数监测</w:t>
            </w:r>
            <w:r>
              <w:rPr>
                <w:rFonts w:hint="eastAsia" w:ascii="宋体" w:hAnsi="宋体" w:cs="宋体"/>
                <w:color w:val="auto"/>
                <w:sz w:val="22"/>
                <w:highlight w:val="none"/>
                <w:shd w:val="clear" w:color="auto" w:fill="FFFFFF"/>
              </w:rPr>
              <w:t>：每日巡查配电房，记录电压、电流、功率因数、温湿度等关键数据，发现异常立即上报并配合处理。</w:t>
            </w:r>
            <w:r>
              <w:rPr>
                <w:rStyle w:val="33"/>
                <w:rFonts w:hint="eastAsia" w:ascii="宋体" w:hAnsi="宋体" w:cs="宋体"/>
                <w:b w:val="0"/>
                <w:color w:val="auto"/>
                <w:sz w:val="22"/>
                <w:highlight w:val="none"/>
                <w:shd w:val="clear" w:color="auto" w:fill="FFFFFF"/>
              </w:rPr>
              <w:t>负荷管理</w:t>
            </w:r>
            <w:r>
              <w:rPr>
                <w:rFonts w:hint="eastAsia" w:ascii="宋体" w:hAnsi="宋体" w:cs="宋体"/>
                <w:color w:val="auto"/>
                <w:sz w:val="22"/>
                <w:highlight w:val="none"/>
                <w:shd w:val="clear" w:color="auto" w:fill="FFFFFF"/>
              </w:rPr>
              <w:t>：高峰用电期配合学校调整负荷分配，避免超载运行；特殊活动（如考试、大型会议）前需提前检查备用电源（UPS、发电机）状态；</w:t>
            </w:r>
            <w:r>
              <w:rPr>
                <w:rStyle w:val="33"/>
                <w:rFonts w:hint="eastAsia" w:ascii="宋体" w:hAnsi="宋体" w:cs="宋体"/>
                <w:b w:val="0"/>
                <w:color w:val="auto"/>
                <w:sz w:val="22"/>
                <w:highlight w:val="none"/>
                <w:shd w:val="clear" w:color="auto" w:fill="FFFFFF"/>
              </w:rPr>
              <w:t>停电协调</w:t>
            </w:r>
            <w:r>
              <w:rPr>
                <w:rFonts w:hint="eastAsia" w:ascii="宋体" w:hAnsi="宋体" w:cs="宋体"/>
                <w:color w:val="auto"/>
                <w:sz w:val="22"/>
                <w:highlight w:val="none"/>
                <w:shd w:val="clear" w:color="auto" w:fill="FFFFFF"/>
              </w:rPr>
              <w:t>：计划性停电提前48小时发布通知，突发停电10分钟内响应并协助排查故障。</w:t>
            </w:r>
          </w:p>
          <w:p w14:paraId="47920704">
            <w:pPr>
              <w:snapToGrid w:val="0"/>
              <w:spacing w:line="360" w:lineRule="auto"/>
              <w:ind w:firstLine="440" w:firstLineChars="200"/>
              <w:rPr>
                <w:rFonts w:ascii="宋体" w:hAnsi="宋体" w:cs="宋体"/>
                <w:color w:val="auto"/>
                <w:sz w:val="22"/>
                <w:highlight w:val="none"/>
                <w:shd w:val="clear" w:color="auto" w:fill="FFFFFF"/>
              </w:rPr>
            </w:pPr>
            <w:r>
              <w:rPr>
                <w:rFonts w:hint="eastAsia" w:ascii="宋体" w:hAnsi="宋体" w:cs="宋体"/>
                <w:color w:val="auto"/>
                <w:sz w:val="22"/>
                <w:highlight w:val="none"/>
                <w:shd w:val="clear" w:color="auto" w:fill="FFFFFF"/>
              </w:rPr>
              <w:t>3、</w:t>
            </w:r>
            <w:r>
              <w:rPr>
                <w:rStyle w:val="33"/>
                <w:rFonts w:hint="eastAsia" w:ascii="宋体" w:hAnsi="宋体" w:cs="宋体"/>
                <w:b w:val="0"/>
                <w:color w:val="auto"/>
                <w:sz w:val="22"/>
                <w:highlight w:val="none"/>
                <w:shd w:val="clear" w:color="auto" w:fill="FFFFFF"/>
              </w:rPr>
              <w:t>安全与维护要求：设备养护</w:t>
            </w:r>
            <w:r>
              <w:rPr>
                <w:rFonts w:hint="eastAsia" w:ascii="宋体" w:hAnsi="宋体" w:cs="宋体"/>
                <w:color w:val="auto"/>
                <w:sz w:val="22"/>
                <w:highlight w:val="none"/>
                <w:shd w:val="clear" w:color="auto" w:fill="FFFFFF"/>
              </w:rPr>
              <w:t>：每年雨季前检测防雷接地装置；</w:t>
            </w:r>
            <w:r>
              <w:rPr>
                <w:rStyle w:val="33"/>
                <w:rFonts w:hint="eastAsia" w:ascii="宋体" w:hAnsi="宋体" w:cs="宋体"/>
                <w:b w:val="0"/>
                <w:color w:val="auto"/>
                <w:sz w:val="22"/>
                <w:highlight w:val="none"/>
                <w:shd w:val="clear" w:color="auto" w:fill="FFFFFF"/>
              </w:rPr>
              <w:t>准入管理</w:t>
            </w:r>
            <w:r>
              <w:rPr>
                <w:rFonts w:hint="eastAsia" w:ascii="宋体" w:hAnsi="宋体" w:cs="宋体"/>
                <w:color w:val="auto"/>
                <w:sz w:val="22"/>
                <w:highlight w:val="none"/>
                <w:shd w:val="clear" w:color="auto" w:fill="FFFFFF"/>
              </w:rPr>
              <w:t>：配电房实行“双人准入”制度，非持证电工禁止操作设备；外来人员进入需登记并陪同。</w:t>
            </w:r>
            <w:r>
              <w:rPr>
                <w:rStyle w:val="33"/>
                <w:rFonts w:hint="eastAsia" w:ascii="宋体" w:hAnsi="宋体" w:cs="宋体"/>
                <w:b w:val="0"/>
                <w:color w:val="auto"/>
                <w:sz w:val="22"/>
                <w:highlight w:val="none"/>
                <w:shd w:val="clear" w:color="auto" w:fill="FFFFFF"/>
              </w:rPr>
              <w:t>应急措施</w:t>
            </w:r>
            <w:r>
              <w:rPr>
                <w:rFonts w:hint="eastAsia" w:ascii="宋体" w:hAnsi="宋体" w:cs="宋体"/>
                <w:color w:val="auto"/>
                <w:sz w:val="22"/>
                <w:highlight w:val="none"/>
                <w:shd w:val="clear" w:color="auto" w:fill="FFFFFF"/>
              </w:rPr>
              <w:t>：配备绝缘手套、灭火器（CO₂或干粉型）、应急照明等物资，每半年开展1次消防与触电救援培训或演练。</w:t>
            </w:r>
          </w:p>
          <w:p w14:paraId="2BCF7C18">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shd w:val="clear" w:color="auto" w:fill="FFFFFF"/>
              </w:rPr>
              <w:t>4、</w:t>
            </w:r>
            <w:r>
              <w:rPr>
                <w:rStyle w:val="33"/>
                <w:rFonts w:hint="eastAsia" w:ascii="宋体" w:hAnsi="宋体" w:cs="宋体"/>
                <w:b w:val="0"/>
                <w:color w:val="auto"/>
                <w:sz w:val="22"/>
                <w:highlight w:val="none"/>
                <w:shd w:val="clear" w:color="auto" w:fill="FFFFFF"/>
              </w:rPr>
              <w:t>档案与协同管理：建立</w:t>
            </w:r>
            <w:r>
              <w:rPr>
                <w:rFonts w:hint="eastAsia" w:ascii="宋体" w:hAnsi="宋体" w:cs="宋体"/>
                <w:color w:val="auto"/>
                <w:sz w:val="22"/>
                <w:highlight w:val="none"/>
                <w:shd w:val="clear" w:color="auto" w:fill="FFFFFF"/>
              </w:rPr>
              <w:t>配电房运维档案，包括设备说明书、巡检记录、维修报告及年检合格证明；监管方可随机抽查运维记录情况。</w:t>
            </w:r>
          </w:p>
          <w:p w14:paraId="4FAAA066">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（12）其他内容</w:t>
            </w:r>
          </w:p>
          <w:p w14:paraId="3E3BD92A">
            <w:pPr>
              <w:numPr>
                <w:ilvl w:val="0"/>
                <w:numId w:val="16"/>
              </w:numPr>
              <w:tabs>
                <w:tab w:val="left" w:pos="420"/>
              </w:tabs>
              <w:spacing w:line="360" w:lineRule="auto"/>
              <w:ind w:firstLine="440" w:firstLineChars="200"/>
              <w:rPr>
                <w:rFonts w:ascii="宋体" w:hAnsi="宋体" w:cs="宋体"/>
                <w:color w:val="auto"/>
                <w:spacing w:val="6"/>
                <w:sz w:val="22"/>
                <w:highlight w:val="none"/>
              </w:rPr>
            </w:pPr>
            <w:r>
              <w:rPr>
                <w:rFonts w:hint="eastAsia" w:ascii="宋体" w:hAnsi="宋体" w:cs="宋体"/>
                <w:color w:val="auto"/>
                <w:sz w:val="22"/>
                <w:highlight w:val="none"/>
                <w:shd w:val="clear" w:color="000000" w:fill="FFFFFF"/>
              </w:rPr>
              <w:t>维修人员应按校方要求，对于中午、晚上课休时间定期巡检</w:t>
            </w:r>
            <w:r>
              <w:rPr>
                <w:rFonts w:hint="eastAsia" w:ascii="宋体" w:hAnsi="宋体" w:cs="宋体"/>
                <w:color w:val="auto"/>
                <w:sz w:val="22"/>
                <w:highlight w:val="none"/>
              </w:rPr>
              <w:t>教室的照明开关及空调开关，公共区域的空调开关，以确保做到人走灯关。</w:t>
            </w:r>
            <w:r>
              <w:rPr>
                <w:rFonts w:hint="eastAsia" w:ascii="宋体" w:hAnsi="宋体" w:cs="宋体"/>
                <w:color w:val="auto"/>
                <w:sz w:val="22"/>
                <w:highlight w:val="none"/>
                <w:shd w:val="clear" w:color="000000" w:fill="FFFFFF"/>
              </w:rPr>
              <w:t>巡检</w:t>
            </w:r>
            <w:r>
              <w:rPr>
                <w:rFonts w:hint="eastAsia" w:ascii="宋体" w:hAnsi="宋体" w:cs="宋体"/>
                <w:color w:val="auto"/>
                <w:sz w:val="22"/>
                <w:highlight w:val="none"/>
              </w:rPr>
              <w:t>教室内的课桌椅、窗帘、窗户、门、设备等是否有破损。</w:t>
            </w:r>
            <w:r>
              <w:rPr>
                <w:rFonts w:hint="eastAsia" w:ascii="宋体" w:hAnsi="宋体" w:cs="宋体"/>
                <w:color w:val="auto"/>
                <w:sz w:val="22"/>
                <w:highlight w:val="none"/>
                <w:shd w:val="clear" w:color="000000" w:fill="FFFFFF"/>
              </w:rPr>
              <w:t>巡检</w:t>
            </w:r>
            <w:r>
              <w:rPr>
                <w:rFonts w:hint="eastAsia" w:ascii="宋体" w:hAnsi="宋体" w:cs="宋体"/>
                <w:color w:val="auto"/>
                <w:sz w:val="22"/>
                <w:highlight w:val="none"/>
              </w:rPr>
              <w:t>照明设备指示灯具及线路、开关要保证完好。</w:t>
            </w:r>
          </w:p>
          <w:p w14:paraId="7D877354">
            <w:pPr>
              <w:numPr>
                <w:ilvl w:val="0"/>
                <w:numId w:val="16"/>
              </w:numPr>
              <w:tabs>
                <w:tab w:val="left" w:pos="420"/>
              </w:tabs>
              <w:spacing w:line="360" w:lineRule="auto"/>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对公共设施设备实施管理，建立设备设施台帐，设备检查、维修档案、设备运行记录、保养记录，制定设备设施运行管理制度等，确保设备设施的正常运行。</w:t>
            </w:r>
          </w:p>
          <w:p w14:paraId="353101DE">
            <w:pPr>
              <w:numPr>
                <w:ilvl w:val="0"/>
                <w:numId w:val="16"/>
              </w:numPr>
              <w:tabs>
                <w:tab w:val="left" w:pos="420"/>
              </w:tabs>
              <w:spacing w:line="360" w:lineRule="auto"/>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本招标文件中所有要求，投标人都应在投标书中列出定期（每年、每月、每日）检查内容具体计划安排和承诺。</w:t>
            </w:r>
          </w:p>
          <w:p w14:paraId="6E4EB21B">
            <w:pPr>
              <w:numPr>
                <w:ilvl w:val="0"/>
                <w:numId w:val="16"/>
              </w:numPr>
              <w:tabs>
                <w:tab w:val="left" w:pos="420"/>
              </w:tabs>
              <w:spacing w:line="360" w:lineRule="auto"/>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电梯日常运行管理：指保证大楼电梯设备正常使用而进行的日常管理养护（设备维保由专业公司承担）。</w:t>
            </w:r>
          </w:p>
          <w:p w14:paraId="313C8FBB">
            <w:pPr>
              <w:numPr>
                <w:ilvl w:val="0"/>
                <w:numId w:val="16"/>
              </w:numPr>
              <w:tabs>
                <w:tab w:val="left" w:pos="420"/>
              </w:tabs>
              <w:spacing w:line="360" w:lineRule="auto"/>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中央空调日常运行维护：是指为保证大楼中央空调设备正常使用而进行的日常管理养护（设备维保由专业公司承担，费用业主承担）。</w:t>
            </w:r>
          </w:p>
          <w:p w14:paraId="49E0638B">
            <w:pPr>
              <w:numPr>
                <w:ilvl w:val="0"/>
                <w:numId w:val="16"/>
              </w:numPr>
              <w:tabs>
                <w:tab w:val="left" w:pos="420"/>
              </w:tabs>
              <w:spacing w:line="360" w:lineRule="auto"/>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包括办公室调整等临时物品搬运拆装。</w:t>
            </w:r>
          </w:p>
          <w:p w14:paraId="6BCA5A85">
            <w:pPr>
              <w:tabs>
                <w:tab w:val="left" w:pos="420"/>
              </w:tabs>
              <w:spacing w:line="360" w:lineRule="auto"/>
              <w:ind w:left="400"/>
              <w:rPr>
                <w:rFonts w:ascii="宋体" w:hAnsi="宋体" w:cs="宋体"/>
                <w:color w:val="auto"/>
                <w:spacing w:val="6"/>
                <w:sz w:val="22"/>
                <w:highlight w:val="none"/>
              </w:rPr>
            </w:pPr>
          </w:p>
          <w:p w14:paraId="51DE41E7">
            <w:pPr>
              <w:tabs>
                <w:tab w:val="left" w:pos="9135"/>
              </w:tabs>
              <w:spacing w:line="360" w:lineRule="auto"/>
              <w:ind w:firstLine="420"/>
              <w:rPr>
                <w:rFonts w:ascii="宋体" w:hAnsi="宋体" w:cs="宋体"/>
                <w:b/>
                <w:color w:val="auto"/>
                <w:sz w:val="22"/>
                <w:highlight w:val="none"/>
              </w:rPr>
            </w:pPr>
            <w:r>
              <w:rPr>
                <w:rFonts w:hint="eastAsia" w:ascii="宋体" w:hAnsi="宋体" w:cs="宋体"/>
                <w:color w:val="auto"/>
                <w:sz w:val="22"/>
                <w:highlight w:val="none"/>
              </w:rPr>
              <w:t>2.</w:t>
            </w:r>
            <w:bookmarkStart w:id="29" w:name="第一节_服务标准_"/>
            <w:bookmarkEnd w:id="29"/>
            <w:r>
              <w:rPr>
                <w:rFonts w:hint="eastAsia" w:ascii="宋体" w:hAnsi="宋体" w:cs="宋体"/>
                <w:color w:val="auto"/>
                <w:sz w:val="22"/>
                <w:highlight w:val="none"/>
              </w:rPr>
              <w:t>3.</w:t>
            </w:r>
            <w:r>
              <w:rPr>
                <w:rFonts w:hint="eastAsia" w:ascii="宋体" w:hAnsi="宋体" w:cs="宋体"/>
                <w:b/>
                <w:color w:val="auto"/>
                <w:sz w:val="22"/>
                <w:highlight w:val="none"/>
              </w:rPr>
              <w:t>会议、接待服务管理</w:t>
            </w:r>
          </w:p>
          <w:p w14:paraId="10AF20BA">
            <w:pPr>
              <w:tabs>
                <w:tab w:val="left" w:pos="9135"/>
              </w:tabs>
              <w:spacing w:line="360" w:lineRule="auto"/>
              <w:ind w:firstLine="420"/>
              <w:rPr>
                <w:rFonts w:ascii="宋体" w:hAnsi="宋体" w:cs="宋体"/>
                <w:b/>
                <w:color w:val="auto"/>
                <w:sz w:val="22"/>
                <w:highlight w:val="none"/>
              </w:rPr>
            </w:pPr>
            <w:r>
              <w:rPr>
                <w:rFonts w:hint="eastAsia" w:ascii="宋体" w:hAnsi="宋体" w:cs="宋体"/>
                <w:b/>
                <w:color w:val="auto"/>
                <w:sz w:val="22"/>
                <w:highlight w:val="none"/>
              </w:rPr>
              <w:t>会议服务</w:t>
            </w:r>
          </w:p>
          <w:p w14:paraId="7E1622BE">
            <w:pPr>
              <w:snapToGrid w:val="0"/>
              <w:spacing w:line="360" w:lineRule="auto"/>
              <w:ind w:firstLine="420"/>
              <w:rPr>
                <w:rFonts w:ascii="宋体" w:hAnsi="宋体" w:cs="宋体"/>
                <w:color w:val="auto"/>
                <w:sz w:val="22"/>
                <w:highlight w:val="none"/>
              </w:rPr>
            </w:pPr>
            <w:r>
              <w:rPr>
                <w:rFonts w:hint="eastAsia" w:ascii="宋体" w:hAnsi="宋体" w:cs="宋体"/>
                <w:color w:val="auto"/>
                <w:sz w:val="22"/>
                <w:highlight w:val="none"/>
              </w:rPr>
              <w:t>服务标准：负责会议室、报告厅的布置工作，根据会议的人数多少和开会形式摆放桌椅,保证会议室、报告厅设备能正常使用、负责各会议室、接待室、报告厅等卫生保洁及会议优质服务。接到采购人会议服务通知必须随时做好会议服务准备工作，负责在开会期间，给开会人员倒茶服务，注意倒茶时礼仪。应对各楼的会议室根据不同的功能定位和需要,提供优质会议服务。会务服务人员在上班时间不得穿高跟或硬底鞋，会务服务期间手机调整成震动或关闭。负责学校大型室内活动场地的布置，做好会议摆台工作。及时整理、复原会议室、报告厅的座椅摆放及设施设备的保管。</w:t>
            </w:r>
          </w:p>
          <w:p w14:paraId="788F7D08">
            <w:pPr>
              <w:tabs>
                <w:tab w:val="left" w:pos="9135"/>
              </w:tabs>
              <w:spacing w:line="360" w:lineRule="auto"/>
              <w:ind w:firstLine="420"/>
              <w:rPr>
                <w:rFonts w:ascii="宋体" w:hAnsi="宋体" w:cs="宋体"/>
                <w:b/>
                <w:color w:val="auto"/>
                <w:sz w:val="22"/>
                <w:highlight w:val="none"/>
              </w:rPr>
            </w:pPr>
            <w:r>
              <w:rPr>
                <w:rFonts w:hint="eastAsia" w:ascii="宋体" w:hAnsi="宋体" w:cs="宋体"/>
                <w:b/>
                <w:color w:val="auto"/>
                <w:sz w:val="22"/>
                <w:highlight w:val="none"/>
              </w:rPr>
              <w:t>2.4．楼宇管理</w:t>
            </w:r>
          </w:p>
          <w:p w14:paraId="1B5A0507">
            <w:pPr>
              <w:tabs>
                <w:tab w:val="left" w:pos="9135"/>
              </w:tabs>
              <w:spacing w:line="360" w:lineRule="auto"/>
              <w:ind w:firstLine="420"/>
              <w:rPr>
                <w:rFonts w:ascii="宋体" w:hAnsi="宋体" w:cs="宋体"/>
                <w:b/>
                <w:color w:val="auto"/>
                <w:sz w:val="22"/>
                <w:highlight w:val="none"/>
              </w:rPr>
            </w:pPr>
            <w:r>
              <w:rPr>
                <w:rFonts w:hint="eastAsia" w:ascii="宋体" w:hAnsi="宋体" w:cs="宋体"/>
                <w:b/>
                <w:color w:val="auto"/>
                <w:sz w:val="22"/>
                <w:highlight w:val="none"/>
              </w:rPr>
              <w:t>2.4.1 公寓楼管理</w:t>
            </w:r>
          </w:p>
          <w:p w14:paraId="1ADB0C1D">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（一）公寓楼安全</w:t>
            </w:r>
          </w:p>
          <w:p w14:paraId="27BAE934">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按学校规定，做好公寓楼进出人员的身份确认和登记等，确保未经允许人员不能进入公寓。</w:t>
            </w:r>
          </w:p>
          <w:p w14:paraId="4FA69D17">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学生进出本栋楼必须刷卡，如果学生忘带卡要进入公寓楼，必须确认其身份后再准予进入。</w:t>
            </w:r>
          </w:p>
          <w:p w14:paraId="1C91E08A">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如发现学生不刷卡，企图跳过翼闸进出宿舍，或者替别人刷卡等违纪行为，应及时制止并登记姓名等信息，并及时将违纪行为报给相关学区专员。</w:t>
            </w:r>
          </w:p>
          <w:p w14:paraId="05A359DB">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非本栋楼的学生或者校外访客要进出，按规定做好登记。</w:t>
            </w:r>
          </w:p>
          <w:p w14:paraId="2D2FD8BA">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执行学生接待访客的时间规定，在非访客时间禁止访客进入公寓，做好违反访客登记时间相关人员的信息，并汇报给学区专员。</w:t>
            </w:r>
          </w:p>
          <w:p w14:paraId="34B0FF03">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负责定时开关公寓楼大门。</w:t>
            </w:r>
          </w:p>
          <w:p w14:paraId="0713FD0F">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制止商贩、外卖人员进入公寓楼，对楼内经商进行劝阻。</w:t>
            </w:r>
          </w:p>
          <w:p w14:paraId="2556B6E1">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按要求学习消防知识，在危机发生时，做好处置工作。</w:t>
            </w:r>
          </w:p>
          <w:p w14:paraId="424F925E">
            <w:pPr>
              <w:numPr>
                <w:ilvl w:val="0"/>
                <w:numId w:val="17"/>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熟悉学校的应急电话以及应急处理流程，做好公寓的巡逻，及时发现安全隐患并进行应急处置，并汇报给相关部门。</w:t>
            </w:r>
          </w:p>
          <w:p w14:paraId="1E7456C8">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（二）公寓楼运营</w:t>
            </w:r>
          </w:p>
          <w:p w14:paraId="36F50EF9">
            <w:pPr>
              <w:numPr>
                <w:ilvl w:val="0"/>
                <w:numId w:val="18"/>
              </w:numPr>
              <w:spacing w:line="360" w:lineRule="auto"/>
              <w:ind w:left="420" w:hanging="420"/>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每栋公寓楼由三人轮班，24小时值班管理，全面掌握所负责公寓楼的基本情况。</w:t>
            </w:r>
          </w:p>
          <w:p w14:paraId="6D82ECC5">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做好新生入宿、退宿和学生调宿等前后的公寓设备设施检查，财产清点等工作。</w:t>
            </w:r>
          </w:p>
          <w:p w14:paraId="18ABF39F">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做好公寓楼床位情况的统计工作。</w:t>
            </w:r>
          </w:p>
          <w:p w14:paraId="38AD8F86">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掌握学生入住、退宿和换寝情况，及时向学区专员报告。</w:t>
            </w:r>
          </w:p>
          <w:p w14:paraId="17A78282">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做好公寓楼的水电日常管理工作，催收住宿生拖欠的住宿费和水电费等。</w:t>
            </w:r>
          </w:p>
          <w:p w14:paraId="0D6263FB">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做好值班记录、信件收发、失物登记、管理及招领工作，督促保洁人员做好公共区域的卫生。</w:t>
            </w:r>
          </w:p>
          <w:p w14:paraId="4DE33AEC">
            <w:pPr>
              <w:numPr>
                <w:ilvl w:val="0"/>
                <w:numId w:val="18"/>
              </w:numPr>
              <w:spacing w:line="360" w:lineRule="auto"/>
              <w:ind w:left="420" w:hanging="420"/>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配合学区专员，做好公寓楼内学生行为规范的实施。</w:t>
            </w:r>
            <w:r>
              <w:rPr>
                <w:rFonts w:hint="eastAsia" w:ascii="宋体" w:hAnsi="宋体" w:cs="宋体"/>
                <w:color w:val="auto"/>
                <w:sz w:val="22"/>
                <w:highlight w:val="none"/>
              </w:rPr>
              <w:t>熟悉《温州肯恩大学学生公寓行为规范》，做好公寓楼内学生行为规范的检查监督工作；及时向学区专员汇报日常巡查工作中发现的违规行为。</w:t>
            </w:r>
          </w:p>
          <w:p w14:paraId="574B9D2C">
            <w:pPr>
              <w:numPr>
                <w:ilvl w:val="0"/>
                <w:numId w:val="18"/>
              </w:numPr>
              <w:spacing w:line="360" w:lineRule="auto"/>
              <w:ind w:left="420" w:hanging="420"/>
              <w:rPr>
                <w:rFonts w:ascii="宋体" w:hAnsi="宋体" w:cs="宋体"/>
                <w:color w:val="auto"/>
                <w:sz w:val="22"/>
                <w:highlight w:val="none"/>
                <w:shd w:val="clear" w:color="000000" w:fill="FFFFFF"/>
              </w:rPr>
            </w:pPr>
            <w:r>
              <w:rPr>
                <w:rFonts w:hint="eastAsia" w:ascii="宋体" w:hAnsi="宋体" w:cs="宋体"/>
                <w:color w:val="auto"/>
                <w:sz w:val="22"/>
                <w:highlight w:val="none"/>
              </w:rPr>
              <w:t>做好公寓楼维修登记、报修和修后回访工作，定期将维修回访状况汇报给学区专员。</w:t>
            </w:r>
            <w:r>
              <w:rPr>
                <w:rFonts w:hint="eastAsia" w:ascii="宋体" w:hAnsi="宋体" w:cs="宋体"/>
                <w:color w:val="auto"/>
                <w:sz w:val="22"/>
                <w:highlight w:val="none"/>
                <w:shd w:val="clear" w:color="000000" w:fill="FFFFFF"/>
              </w:rPr>
              <w:t>注意维修人员管理，有维修人员需进学生房间维修必须有一人跟随，非学校官方邮件通知的维修活动或者非学生本人报修，报学区专员决定是否允许进入学生宿舍。</w:t>
            </w:r>
          </w:p>
          <w:p w14:paraId="1EEBE434">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管理公寓楼内公共区域、活动室和厨房等。提醒学生按规定使用活动室、厨房等。</w:t>
            </w:r>
          </w:p>
          <w:p w14:paraId="294D3643">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shd w:val="clear" w:color="000000" w:fill="FFFFFF"/>
              </w:rPr>
              <w:t>公寓楼每天上午和下午都必须巡查一次，并做好记录。</w:t>
            </w:r>
          </w:p>
          <w:p w14:paraId="6C8F2820">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适时开展各类小型主题教育活动；</w:t>
            </w:r>
          </w:p>
          <w:p w14:paraId="4DFEC1DD">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协助书院做好引导牌、提示牌、警示牌、宣传板等，并定期更换。</w:t>
            </w:r>
          </w:p>
          <w:p w14:paraId="0EBBF9D1">
            <w:pPr>
              <w:numPr>
                <w:ilvl w:val="0"/>
                <w:numId w:val="18"/>
              </w:numPr>
              <w:spacing w:line="360" w:lineRule="auto"/>
              <w:ind w:left="420" w:hanging="420"/>
              <w:rPr>
                <w:rFonts w:ascii="宋体" w:hAnsi="宋体" w:cs="宋体"/>
                <w:color w:val="auto"/>
                <w:sz w:val="22"/>
                <w:highlight w:val="none"/>
              </w:rPr>
            </w:pPr>
            <w:r>
              <w:rPr>
                <w:rFonts w:hint="eastAsia" w:ascii="宋体" w:hAnsi="宋体" w:cs="宋体"/>
                <w:color w:val="auto"/>
                <w:sz w:val="22"/>
                <w:highlight w:val="none"/>
              </w:rPr>
              <w:t>领导安排的其它工作。</w:t>
            </w:r>
          </w:p>
          <w:p w14:paraId="068478C7">
            <w:pPr>
              <w:spacing w:line="360" w:lineRule="auto"/>
              <w:ind w:firstLine="420"/>
              <w:rPr>
                <w:rFonts w:ascii="宋体" w:hAnsi="宋体" w:cs="宋体"/>
                <w:b/>
                <w:color w:val="auto"/>
                <w:sz w:val="22"/>
                <w:highlight w:val="none"/>
              </w:rPr>
            </w:pPr>
            <w:r>
              <w:rPr>
                <w:rFonts w:hint="eastAsia" w:ascii="宋体" w:hAnsi="宋体" w:cs="宋体"/>
                <w:b/>
                <w:color w:val="auto"/>
                <w:sz w:val="22"/>
                <w:highlight w:val="none"/>
              </w:rPr>
              <w:t>2.4.2教学楼、行政楼管理</w:t>
            </w:r>
          </w:p>
          <w:p w14:paraId="09379E05">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1.按学校规定，做好教学楼、行政楼进出人员的身份确认和登记等，确保未经允许人员不能进入教学楼、行政楼。</w:t>
            </w:r>
          </w:p>
          <w:p w14:paraId="18DAC57E">
            <w:pPr>
              <w:spacing w:line="360" w:lineRule="auto"/>
              <w:ind w:firstLine="420"/>
              <w:rPr>
                <w:rFonts w:ascii="宋体" w:hAnsi="宋体" w:cs="宋体"/>
                <w:color w:val="auto"/>
                <w:sz w:val="22"/>
                <w:highlight w:val="none"/>
              </w:rPr>
            </w:pPr>
            <w:r>
              <w:rPr>
                <w:rFonts w:hint="eastAsia" w:ascii="宋体" w:hAnsi="宋体" w:cs="宋体"/>
                <w:color w:val="auto"/>
                <w:sz w:val="22"/>
                <w:highlight w:val="none"/>
                <w:shd w:val="clear" w:color="000000" w:fill="FFFFFF"/>
              </w:rPr>
              <w:t>2.所有人员进出本栋楼必须刷卡，如果忘带卡要进入教学楼、行政楼，必须确认其身份后再准予进入。</w:t>
            </w:r>
          </w:p>
          <w:p w14:paraId="2524E430">
            <w:pPr>
              <w:spacing w:line="360" w:lineRule="auto"/>
              <w:ind w:firstLine="420"/>
              <w:rPr>
                <w:rFonts w:ascii="宋体" w:hAnsi="宋体" w:cs="宋体"/>
                <w:color w:val="auto"/>
                <w:sz w:val="22"/>
                <w:highlight w:val="none"/>
              </w:rPr>
            </w:pPr>
            <w:r>
              <w:rPr>
                <w:rFonts w:hint="eastAsia" w:ascii="宋体" w:hAnsi="宋体" w:cs="宋体"/>
                <w:color w:val="auto"/>
                <w:sz w:val="22"/>
                <w:highlight w:val="none"/>
                <w:shd w:val="clear" w:color="000000" w:fill="FFFFFF"/>
              </w:rPr>
              <w:t>3.制止商贩进入教学楼、行政楼，对楼内经商进行劝阻。</w:t>
            </w:r>
          </w:p>
          <w:p w14:paraId="5C275EB8">
            <w:pPr>
              <w:spacing w:line="360" w:lineRule="auto"/>
              <w:ind w:firstLine="420"/>
              <w:rPr>
                <w:rFonts w:ascii="宋体" w:hAnsi="宋体" w:cs="宋体"/>
                <w:color w:val="auto"/>
                <w:sz w:val="22"/>
                <w:highlight w:val="none"/>
              </w:rPr>
            </w:pPr>
            <w:r>
              <w:rPr>
                <w:rFonts w:hint="eastAsia" w:ascii="宋体" w:hAnsi="宋体" w:cs="宋体"/>
                <w:color w:val="auto"/>
                <w:sz w:val="22"/>
                <w:highlight w:val="none"/>
                <w:shd w:val="clear" w:color="000000" w:fill="FFFFFF"/>
              </w:rPr>
              <w:t>4.按要求学习消防知识，在危机发生时，做好处置工作。</w:t>
            </w:r>
          </w:p>
          <w:p w14:paraId="5229D53D">
            <w:pPr>
              <w:spacing w:line="360" w:lineRule="auto"/>
              <w:ind w:firstLine="420"/>
              <w:rPr>
                <w:rFonts w:ascii="宋体" w:hAnsi="宋体" w:cs="宋体"/>
                <w:color w:val="auto"/>
                <w:sz w:val="22"/>
                <w:highlight w:val="none"/>
              </w:rPr>
            </w:pPr>
            <w:r>
              <w:rPr>
                <w:rFonts w:hint="eastAsia" w:ascii="宋体" w:hAnsi="宋体" w:cs="宋体"/>
                <w:color w:val="auto"/>
                <w:sz w:val="22"/>
                <w:highlight w:val="none"/>
                <w:shd w:val="clear" w:color="000000" w:fill="FFFFFF"/>
              </w:rPr>
              <w:t>5.熟悉学校的应急电话以及应急处理流程，做好教学楼、行政楼的巡逻，及时发现安全隐患并进行应急处置，并汇报给相关部门。</w:t>
            </w:r>
          </w:p>
          <w:p w14:paraId="4AA39F6C">
            <w:pPr>
              <w:spacing w:line="360" w:lineRule="auto"/>
              <w:ind w:firstLine="420"/>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6. 8：30至17：00日班楼管值班，17：00至23：00晚班楼管值班，需全面掌握所负责教学楼、行政楼的基本情况。</w:t>
            </w:r>
          </w:p>
          <w:p w14:paraId="547C1459">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7.做好教学楼、行政楼设施检查等工作。</w:t>
            </w:r>
          </w:p>
          <w:p w14:paraId="10497526">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8、熟悉《温州肯恩大学楼宇管理办法》维持楼宇内公共区域秩序，严格规范管理布展等活动现场，严禁占用通道。</w:t>
            </w:r>
          </w:p>
          <w:p w14:paraId="2BFD917B">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9.做好值班记录、信件收发、失物登记、管理及招领工作，督促保洁人员做好公共区域的卫生。</w:t>
            </w:r>
          </w:p>
          <w:p w14:paraId="466637C7">
            <w:pPr>
              <w:spacing w:line="360" w:lineRule="auto"/>
              <w:ind w:firstLine="420"/>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10.</w:t>
            </w:r>
            <w:r>
              <w:rPr>
                <w:rFonts w:hint="eastAsia" w:ascii="宋体" w:hAnsi="宋体" w:cs="宋体"/>
                <w:color w:val="auto"/>
                <w:sz w:val="22"/>
                <w:highlight w:val="none"/>
              </w:rPr>
              <w:t>做好教学楼、行政楼维修登记、报修和修后回访工作，定期将维修回访状况汇报上级。</w:t>
            </w:r>
          </w:p>
          <w:p w14:paraId="516E6805">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11.管理教学楼、行政楼内公共区域、活动室和教室等。</w:t>
            </w:r>
          </w:p>
          <w:p w14:paraId="4242112F">
            <w:pPr>
              <w:spacing w:line="360" w:lineRule="auto"/>
              <w:ind w:firstLine="420"/>
              <w:rPr>
                <w:rFonts w:ascii="宋体" w:hAnsi="宋体" w:cs="宋体"/>
                <w:color w:val="auto"/>
                <w:sz w:val="22"/>
                <w:highlight w:val="none"/>
              </w:rPr>
            </w:pPr>
            <w:r>
              <w:rPr>
                <w:rFonts w:hint="eastAsia" w:ascii="宋体" w:hAnsi="宋体" w:cs="宋体"/>
                <w:color w:val="auto"/>
                <w:sz w:val="22"/>
                <w:highlight w:val="none"/>
                <w:shd w:val="clear" w:color="000000" w:fill="FFFFFF"/>
              </w:rPr>
              <w:t>12.教学楼、行政楼每天上午和下午都必须巡查一次，并做好记录。</w:t>
            </w:r>
          </w:p>
          <w:p w14:paraId="1F11402C">
            <w:pPr>
              <w:spacing w:line="360" w:lineRule="auto"/>
              <w:ind w:firstLine="420"/>
              <w:rPr>
                <w:rFonts w:ascii="宋体" w:hAnsi="宋体" w:cs="宋体"/>
                <w:color w:val="auto"/>
                <w:sz w:val="22"/>
                <w:highlight w:val="none"/>
              </w:rPr>
            </w:pPr>
            <w:r>
              <w:rPr>
                <w:rFonts w:hint="eastAsia" w:ascii="宋体" w:hAnsi="宋体" w:cs="宋体"/>
                <w:color w:val="auto"/>
                <w:sz w:val="22"/>
                <w:highlight w:val="none"/>
              </w:rPr>
              <w:t>13.领导安排的其它工作。</w:t>
            </w:r>
          </w:p>
          <w:p w14:paraId="01AF5165">
            <w:pPr>
              <w:tabs>
                <w:tab w:val="left" w:pos="9135"/>
              </w:tabs>
              <w:spacing w:line="360" w:lineRule="auto"/>
              <w:ind w:firstLine="420"/>
              <w:rPr>
                <w:rFonts w:ascii="宋体" w:hAnsi="宋体" w:cs="宋体"/>
                <w:b/>
                <w:color w:val="auto"/>
                <w:sz w:val="22"/>
                <w:highlight w:val="none"/>
              </w:rPr>
            </w:pPr>
            <w:r>
              <w:rPr>
                <w:rFonts w:hint="eastAsia" w:ascii="宋体" w:hAnsi="宋体" w:cs="宋体"/>
                <w:b/>
                <w:color w:val="auto"/>
                <w:sz w:val="22"/>
                <w:highlight w:val="none"/>
              </w:rPr>
              <w:t>2.5能源管理工作</w:t>
            </w:r>
          </w:p>
          <w:p w14:paraId="0C289A18">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投标人须严格履行以下针对我校智慧后勤服务管理相关平台（含电脑端与移动端）的运营维护职责：</w:t>
            </w:r>
          </w:p>
          <w:p w14:paraId="27F4861E">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投标人须全面负责我校现有后勤智慧服务管理平台（含电脑端与移动端）的日常运营操作与功能维护保障。投标人须全面接管并负责我校自有智慧后勤相关平台的日常运营操作与系统维护工作。确保各平台各功能模块持续、稳定、高效运行，无缝满足全校师生日常后勤服务需求。</w:t>
            </w:r>
          </w:p>
          <w:p w14:paraId="222D4D21">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运维服务核心内容</w:t>
            </w:r>
          </w:p>
          <w:p w14:paraId="6431B9C6">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投标人承担的运维服务应涵盖以下关键操作性与维护性工作（包括但不限于）：</w:t>
            </w:r>
          </w:p>
          <w:p w14:paraId="76088A53">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系统日常监控与值守： 实施平台7x24小时运行状态监控，及时发现并响应异常。</w:t>
            </w:r>
          </w:p>
          <w:p w14:paraId="08A0A7AA">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平台操作与用户支持： 执行标准化的平台操作流程，处理师生及管理人员的操作咨询与问题解答。</w:t>
            </w:r>
          </w:p>
          <w:p w14:paraId="1317BAED">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数据维护与管理： 严格执行数据定期备份、验证备份有效性，并在必要时执行数据恢复操作。</w:t>
            </w:r>
          </w:p>
          <w:p w14:paraId="6202B362">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基础性能维护： 监控系统性能指标（如响应时间、资源利用率），进行常规的性能调优操作。</w:t>
            </w:r>
          </w:p>
          <w:p w14:paraId="78F5A3BD">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故障处理与响应： 接收、记录、诊断并处理系统运行中出现的故障，执行应急恢复操作，最大限度减少服务中断时间。</w:t>
            </w:r>
          </w:p>
          <w:p w14:paraId="263FDCBE">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安全基础维护： 执行常规安全策略（如密码策略、访问控制列表维护），监控安全日志，及时响应并处理已发现的安全告警或低风险漏洞（高风险漏洞修补方案需报学校批准后执行）。</w:t>
            </w:r>
          </w:p>
          <w:p w14:paraId="7E4422DF">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设施关联操作： 确保平台与相关硬件设施（如远程监控传感器、数据采集设备）的连接稳定，执行必要的设备状态检查、维修与基础维护操作。</w:t>
            </w:r>
          </w:p>
          <w:p w14:paraId="22B4B737">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定期运营报告制度：</w:t>
            </w:r>
          </w:p>
          <w:p w14:paraId="7482CCB4">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投标人须定期（至少按月或按季）向学校后勤管理部门提交详尽的平台运营报告。</w:t>
            </w:r>
          </w:p>
          <w:p w14:paraId="60CA5311">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报告内容必须包含：</w:t>
            </w:r>
          </w:p>
          <w:p w14:paraId="13F0BC78">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运行状态综述： 系统可用性指标、关键性能指标达成情况。</w:t>
            </w:r>
          </w:p>
          <w:p w14:paraId="603CAD69">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故障处理记录： 故障发生时间、现象、原因分析、处理过程、解决时间及影响范围。</w:t>
            </w:r>
          </w:p>
          <w:p w14:paraId="04C51623">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安全日志摘要与分析： 主要安全事件记录、处理情况及潜在风险提示。</w:t>
            </w:r>
          </w:p>
          <w:p w14:paraId="10F74952">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用户反馈汇总与分析： 收集、整理并分析用户使用反馈、投诉及建议。</w:t>
            </w:r>
          </w:p>
          <w:p w14:paraId="2C4D0436">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优化建议： 基于日常运维实践和用户反馈，提出具体的、可操作的平台功能、性能、用户体验或管理流程优化建议。</w:t>
            </w:r>
          </w:p>
          <w:p w14:paraId="31C4E0D5">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持续优化与升级建议机制：</w:t>
            </w:r>
          </w:p>
          <w:p w14:paraId="3A0E699C">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投标人须主动结合学校后勤管理的中长期需求与发展规划，深度总结日常运维实践经验。</w:t>
            </w:r>
          </w:p>
          <w:p w14:paraId="113F5FEC">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在此基础上，持续提出关于平台功能完善、性能提升、用户体验改进及管理流程优化的迭代升级建议。</w:t>
            </w:r>
          </w:p>
          <w:p w14:paraId="220D03E1">
            <w:pPr>
              <w:numPr>
                <w:ilvl w:val="0"/>
                <w:numId w:val="19"/>
              </w:numPr>
              <w:spacing w:line="360" w:lineRule="auto"/>
              <w:rPr>
                <w:rFonts w:ascii="宋体" w:hAnsi="宋体" w:cs="宋体"/>
                <w:color w:val="auto"/>
                <w:sz w:val="22"/>
                <w:highlight w:val="none"/>
                <w:shd w:val="clear" w:color="000000" w:fill="FFFFFF"/>
              </w:rPr>
            </w:pPr>
            <w:r>
              <w:rPr>
                <w:rFonts w:hint="eastAsia" w:ascii="宋体" w:hAnsi="宋体" w:cs="宋体"/>
                <w:color w:val="auto"/>
                <w:sz w:val="22"/>
                <w:highlight w:val="none"/>
                <w:shd w:val="clear" w:color="000000" w:fill="FFFFFF"/>
              </w:rPr>
              <w:t>所提建议应具备前瞻性、可行性和价值性，并明确实施路径和预期效益。</w:t>
            </w:r>
          </w:p>
          <w:p w14:paraId="6CB4693B">
            <w:pPr>
              <w:spacing w:line="360" w:lineRule="auto"/>
              <w:ind w:left="400"/>
              <w:rPr>
                <w:rFonts w:ascii="宋体" w:hAnsi="宋体" w:cs="宋体"/>
                <w:color w:val="auto"/>
                <w:sz w:val="22"/>
                <w:highlight w:val="none"/>
              </w:rPr>
            </w:pPr>
            <w:r>
              <w:rPr>
                <w:rFonts w:hint="eastAsia" w:ascii="宋体" w:hAnsi="宋体" w:cs="宋体"/>
                <w:color w:val="auto"/>
                <w:sz w:val="22"/>
                <w:highlight w:val="none"/>
                <w:shd w:val="clear" w:color="000000" w:fill="FFFFFF"/>
              </w:rPr>
              <w:t>2.7</w:t>
            </w:r>
            <w:r>
              <w:rPr>
                <w:rFonts w:hint="eastAsia" w:ascii="宋体" w:hAnsi="宋体" w:cs="宋体"/>
                <w:color w:val="auto"/>
                <w:sz w:val="22"/>
                <w:highlight w:val="none"/>
              </w:rPr>
              <w:t>搬运服务</w:t>
            </w:r>
          </w:p>
          <w:p w14:paraId="7AA77B86">
            <w:pPr>
              <w:spacing w:line="4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投标人负责校园各类活动场地布置、活动保障、桌椅、垃圾桶等及综合物业管理相关的设备及器材等的搬运，相关费用均包含在投标报价内。</w:t>
            </w:r>
          </w:p>
          <w:p w14:paraId="063ACE87">
            <w:pPr>
              <w:spacing w:line="4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1.负责采购人各类活动场地设施设备的搬运工作；</w:t>
            </w:r>
          </w:p>
          <w:p w14:paraId="1911B47D">
            <w:pPr>
              <w:spacing w:line="4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2.负责校园内各类广告、宣传板等物资的搬运及悬挂、张贴的配合工作；</w:t>
            </w:r>
          </w:p>
          <w:p w14:paraId="5745CFAA">
            <w:pPr>
              <w:spacing w:line="4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3.负责各类场馆活动保障相关场地布置工作；</w:t>
            </w:r>
          </w:p>
          <w:p w14:paraId="68F64F42">
            <w:pPr>
              <w:spacing w:line="360" w:lineRule="auto"/>
              <w:ind w:firstLine="440" w:firstLineChars="200"/>
              <w:rPr>
                <w:rFonts w:ascii="宋体" w:hAnsi="宋体" w:cs="宋体"/>
                <w:color w:val="auto"/>
                <w:sz w:val="22"/>
                <w:highlight w:val="none"/>
              </w:rPr>
            </w:pPr>
            <w:r>
              <w:rPr>
                <w:rFonts w:hint="eastAsia" w:ascii="宋体" w:hAnsi="宋体" w:cs="宋体"/>
                <w:bCs/>
                <w:color w:val="auto"/>
                <w:sz w:val="22"/>
                <w:highlight w:val="none"/>
              </w:rPr>
              <w:t>4.采购人要求的其他一些零星搬运工作。</w:t>
            </w:r>
          </w:p>
          <w:p w14:paraId="539DB68B">
            <w:pPr>
              <w:spacing w:line="360" w:lineRule="auto"/>
              <w:ind w:left="400"/>
              <w:rPr>
                <w:rFonts w:ascii="宋体" w:hAnsi="宋体" w:cs="宋体"/>
                <w:color w:val="auto"/>
                <w:sz w:val="22"/>
                <w:highlight w:val="none"/>
              </w:rPr>
            </w:pPr>
            <w:r>
              <w:rPr>
                <w:rFonts w:hint="eastAsia" w:ascii="宋体" w:hAnsi="宋体" w:cs="宋体"/>
                <w:color w:val="auto"/>
                <w:sz w:val="22"/>
                <w:highlight w:val="none"/>
                <w:shd w:val="clear" w:color="000000" w:fill="FFFFFF"/>
              </w:rPr>
              <w:t>2.8</w:t>
            </w:r>
            <w:r>
              <w:rPr>
                <w:rFonts w:hint="eastAsia" w:ascii="宋体" w:hAnsi="宋体" w:cs="宋体"/>
                <w:color w:val="auto"/>
                <w:sz w:val="22"/>
                <w:highlight w:val="none"/>
              </w:rPr>
              <w:t>投诉处理</w:t>
            </w:r>
          </w:p>
          <w:p w14:paraId="088C0120">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1.做好各项投诉处理工作，投标人直接受理的投诉核实情况，及时处理并回复投诉者；</w:t>
            </w:r>
          </w:p>
          <w:p w14:paraId="7E13D175">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2.属于物业服务责任的，做好投诉处理，确保及时有效；属于无效投诉的做好解释工作；投标人与投诉者无法协商解决的，上报学校相应部门处理；</w:t>
            </w:r>
          </w:p>
          <w:p w14:paraId="6091A86C">
            <w:pPr>
              <w:spacing w:line="360" w:lineRule="auto"/>
              <w:ind w:left="400"/>
              <w:rPr>
                <w:rFonts w:ascii="宋体" w:hAnsi="宋体" w:cs="宋体"/>
                <w:color w:val="auto"/>
                <w:sz w:val="22"/>
                <w:highlight w:val="none"/>
              </w:rPr>
            </w:pPr>
            <w:r>
              <w:rPr>
                <w:rFonts w:hint="eastAsia" w:ascii="宋体" w:hAnsi="宋体" w:cs="宋体"/>
                <w:color w:val="auto"/>
                <w:sz w:val="22"/>
                <w:highlight w:val="none"/>
              </w:rPr>
              <w:t>3.直接受理的投诉，在一个工作日内回复处理结果，最长不超过三个工作日；向有关部门的投诉，应查明事实后上报书面材料，协助有关部门做好工作。</w:t>
            </w:r>
          </w:p>
          <w:p w14:paraId="41649AD1">
            <w:pPr>
              <w:spacing w:line="360" w:lineRule="auto"/>
              <w:ind w:left="400"/>
              <w:rPr>
                <w:rFonts w:ascii="宋体" w:hAnsi="宋体" w:cs="宋体"/>
                <w:color w:val="auto"/>
                <w:sz w:val="22"/>
                <w:highlight w:val="none"/>
              </w:rPr>
            </w:pPr>
            <w:r>
              <w:rPr>
                <w:rFonts w:hint="eastAsia" w:ascii="宋体" w:hAnsi="宋体" w:cs="宋体"/>
                <w:color w:val="auto"/>
                <w:sz w:val="22"/>
                <w:highlight w:val="none"/>
              </w:rPr>
              <w:t>2.8个性化便民服务</w:t>
            </w:r>
          </w:p>
          <w:p w14:paraId="0AC8240A">
            <w:pPr>
              <w:spacing w:line="360" w:lineRule="auto"/>
              <w:ind w:left="400"/>
              <w:rPr>
                <w:rFonts w:ascii="宋体" w:hAnsi="宋体" w:cs="宋体"/>
                <w:color w:val="auto"/>
                <w:sz w:val="22"/>
                <w:highlight w:val="none"/>
                <w:shd w:val="clear" w:color="000000" w:fill="FFFFFF"/>
              </w:rPr>
            </w:pPr>
            <w:r>
              <w:rPr>
                <w:rFonts w:hint="eastAsia" w:ascii="宋体" w:hAnsi="宋体" w:cs="宋体"/>
                <w:color w:val="auto"/>
                <w:sz w:val="22"/>
                <w:highlight w:val="none"/>
              </w:rPr>
              <w:t>物业公司要突出个性化的便民服务，开设便民暖心服务且融合传统节日文化，每年开展一系列温馨便民服务，包含但不限于元宵节包汤圆、端午节包粽子、女生关爱营养粥、中秋节月饼盛宴、温暖八宝粥行动、病患学生营养汤品、师生非机动车公益维修服务及退休教职工住房水电爱心维修。同时针对个别师生或特定群体需求，提供相应服务切实解决师生困难，相关费用包含在本次投标报价内。</w:t>
            </w:r>
          </w:p>
          <w:p w14:paraId="52FFCA51">
            <w:pPr>
              <w:pStyle w:val="39"/>
              <w:ind w:firstLine="442"/>
              <w:rPr>
                <w:rFonts w:ascii="宋体" w:hAnsi="宋体" w:cs="宋体"/>
                <w:b/>
                <w:color w:val="auto"/>
                <w:sz w:val="22"/>
                <w:highlight w:val="none"/>
              </w:rPr>
            </w:pPr>
          </w:p>
          <w:p w14:paraId="73E186EE">
            <w:pPr>
              <w:snapToGrid w:val="0"/>
              <w:spacing w:line="440" w:lineRule="exact"/>
              <w:ind w:left="549" w:hanging="110"/>
              <w:jc w:val="center"/>
              <w:rPr>
                <w:rFonts w:ascii="宋体" w:hAnsi="宋体" w:cs="宋体"/>
                <w:b/>
                <w:color w:val="auto"/>
                <w:sz w:val="22"/>
                <w:highlight w:val="none"/>
              </w:rPr>
            </w:pPr>
            <w:r>
              <w:rPr>
                <w:rFonts w:hint="eastAsia" w:ascii="宋体" w:hAnsi="宋体" w:cs="宋体"/>
                <w:b/>
                <w:color w:val="auto"/>
                <w:sz w:val="22"/>
                <w:highlight w:val="none"/>
              </w:rPr>
              <w:t>第四章、物业管理人员配备要求</w:t>
            </w:r>
          </w:p>
          <w:p w14:paraId="73A3ED14">
            <w:pPr>
              <w:widowControl/>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表格一.物业服务人员配置增减表</w:t>
            </w:r>
          </w:p>
          <w:tbl>
            <w:tblPr>
              <w:tblStyle w:val="30"/>
              <w:tblW w:w="8863" w:type="dxa"/>
              <w:tblInd w:w="96" w:type="dxa"/>
              <w:tblLayout w:type="fixed"/>
              <w:tblCellMar>
                <w:top w:w="0" w:type="dxa"/>
                <w:left w:w="108" w:type="dxa"/>
                <w:bottom w:w="0" w:type="dxa"/>
                <w:right w:w="108" w:type="dxa"/>
              </w:tblCellMar>
            </w:tblPr>
            <w:tblGrid>
              <w:gridCol w:w="804"/>
              <w:gridCol w:w="2386"/>
              <w:gridCol w:w="1347"/>
              <w:gridCol w:w="903"/>
              <w:gridCol w:w="1077"/>
              <w:gridCol w:w="1023"/>
              <w:gridCol w:w="1323"/>
            </w:tblGrid>
            <w:tr w14:paraId="3B9B9883">
              <w:trPr>
                <w:trHeight w:val="480" w:hRule="atLeast"/>
              </w:trPr>
              <w:tc>
                <w:tcPr>
                  <w:tcW w:w="8863" w:type="dxa"/>
                  <w:gridSpan w:val="7"/>
                  <w:tcBorders>
                    <w:top w:val="nil"/>
                    <w:left w:val="nil"/>
                    <w:bottom w:val="nil"/>
                    <w:right w:val="nil"/>
                  </w:tcBorders>
                  <w:shd w:val="clear" w:color="auto" w:fill="auto"/>
                  <w:noWrap/>
                  <w:vAlign w:val="center"/>
                </w:tcPr>
                <w:p w14:paraId="5F10C140">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表格一温州肯恩大学物业服务人员配置增减表（预算编制计划表）</w:t>
                  </w:r>
                </w:p>
              </w:tc>
            </w:tr>
            <w:tr w14:paraId="14BADEF7">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05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序号</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57A8">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岗位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2F8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上一轮人数</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AD1">
                  <w:pPr>
                    <w:widowControl/>
                    <w:jc w:val="center"/>
                    <w:textAlignment w:val="center"/>
                    <w:rPr>
                      <w:rFonts w:ascii="宋体" w:hAnsi="宋体" w:cs="宋体"/>
                      <w:b/>
                      <w:bCs/>
                      <w:color w:val="auto"/>
                      <w:sz w:val="22"/>
                      <w:highlight w:val="none"/>
                    </w:rPr>
                  </w:pPr>
                  <w:r>
                    <w:rPr>
                      <w:rFonts w:hint="eastAsia" w:ascii="宋体" w:hAnsi="宋体" w:cs="宋体"/>
                      <w:color w:val="auto"/>
                      <w:sz w:val="22"/>
                      <w:highlight w:val="none"/>
                    </w:rPr>
                    <w:t>第一年2025.9.16-2026.9.15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3BE7">
                  <w:pPr>
                    <w:widowControl/>
                    <w:jc w:val="center"/>
                    <w:textAlignment w:val="center"/>
                    <w:rPr>
                      <w:rFonts w:ascii="宋体" w:hAnsi="宋体" w:cs="宋体"/>
                      <w:b/>
                      <w:bCs/>
                      <w:color w:val="auto"/>
                      <w:sz w:val="22"/>
                      <w:highlight w:val="none"/>
                    </w:rPr>
                  </w:pPr>
                  <w:r>
                    <w:rPr>
                      <w:rFonts w:hint="eastAsia" w:ascii="宋体" w:hAnsi="宋体" w:cs="宋体"/>
                      <w:color w:val="auto"/>
                      <w:sz w:val="22"/>
                      <w:highlight w:val="none"/>
                    </w:rPr>
                    <w:t>第二年2026.9.16-2027.2.15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3F4E">
                  <w:pPr>
                    <w:widowControl/>
                    <w:jc w:val="center"/>
                    <w:textAlignment w:val="center"/>
                    <w:rPr>
                      <w:rFonts w:ascii="宋体" w:hAnsi="宋体" w:cs="宋体"/>
                      <w:b/>
                      <w:bCs/>
                      <w:color w:val="auto"/>
                      <w:sz w:val="22"/>
                      <w:highlight w:val="none"/>
                    </w:rPr>
                  </w:pPr>
                  <w:r>
                    <w:rPr>
                      <w:rFonts w:hint="eastAsia" w:ascii="宋体" w:hAnsi="宋体" w:cs="宋体"/>
                      <w:color w:val="auto"/>
                      <w:sz w:val="22"/>
                      <w:highlight w:val="none"/>
                    </w:rPr>
                    <w:t>第二年2027.2.16-2027.9.15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B01A">
                  <w:pPr>
                    <w:widowControl/>
                    <w:jc w:val="center"/>
                    <w:textAlignment w:val="center"/>
                    <w:rPr>
                      <w:rFonts w:ascii="宋体" w:hAnsi="宋体" w:cs="宋体"/>
                      <w:b/>
                      <w:bCs/>
                      <w:color w:val="auto"/>
                      <w:kern w:val="0"/>
                      <w:sz w:val="22"/>
                      <w:highlight w:val="none"/>
                      <w:lang w:bidi="ar"/>
                    </w:rPr>
                  </w:pPr>
                  <w:r>
                    <w:rPr>
                      <w:rFonts w:hint="eastAsia" w:ascii="宋体" w:hAnsi="宋体" w:cs="宋体"/>
                      <w:color w:val="auto"/>
                      <w:sz w:val="22"/>
                      <w:highlight w:val="none"/>
                    </w:rPr>
                    <w:t>第三年2027.9.16-2028.9.15</w:t>
                  </w:r>
                </w:p>
              </w:tc>
            </w:tr>
            <w:tr w14:paraId="7A145B83">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D79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26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项目经理</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957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C2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90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C8F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E3A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r>
            <w:tr w14:paraId="5536EC6F">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402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67B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项目副经理（综合支撑含垃圾清运和搬运）</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94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FA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79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8E7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01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r>
            <w:tr w14:paraId="13A88350">
              <w:tblPrEx>
                <w:tblCellMar>
                  <w:top w:w="0" w:type="dxa"/>
                  <w:left w:w="108" w:type="dxa"/>
                  <w:bottom w:w="0" w:type="dxa"/>
                  <w:right w:w="108" w:type="dxa"/>
                </w:tblCellMar>
              </w:tblPrEx>
              <w:trPr>
                <w:trHeight w:val="65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334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1B9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综合主管（楼宇、会务）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0AD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86C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C4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58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09E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r>
            <w:tr w14:paraId="7A705E36">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C4A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A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工程维修主管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004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AAC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49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61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4BA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r>
            <w:tr w14:paraId="6B679A15">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21A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8DF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保洁主管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1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0AF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C6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B2A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7D2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r>
            <w:tr w14:paraId="4995BF19">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75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8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公寓管理主管</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41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C7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C3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66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43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r>
            <w:tr w14:paraId="0B466D71">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BE4E">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lang w:val="en-US" w:eastAsia="zh-CN" w:bidi="ar"/>
                    </w:rPr>
                    <w:t>7</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752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保洁人员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84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69</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7F7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76</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555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A5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88</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5E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89</w:t>
                  </w:r>
                </w:p>
              </w:tc>
            </w:tr>
            <w:tr w14:paraId="179DAE0C">
              <w:tblPrEx>
                <w:tblCellMar>
                  <w:top w:w="0" w:type="dxa"/>
                  <w:left w:w="108" w:type="dxa"/>
                  <w:bottom w:w="0" w:type="dxa"/>
                  <w:right w:w="108" w:type="dxa"/>
                </w:tblCellMar>
              </w:tblPrEx>
              <w:trPr>
                <w:trHeight w:val="6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B8F5">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lang w:val="en-US" w:eastAsia="zh-CN" w:bidi="ar"/>
                    </w:rPr>
                    <w:t>8</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C6F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工程维修人员</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（含水泥工）</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20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3D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E26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17</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337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19</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2D5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19</w:t>
                  </w:r>
                </w:p>
              </w:tc>
            </w:tr>
            <w:tr w14:paraId="0494A560">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3558">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kern w:val="0"/>
                      <w:sz w:val="22"/>
                      <w:highlight w:val="none"/>
                      <w:lang w:val="en-US" w:eastAsia="zh-CN" w:bidi="ar"/>
                    </w:rPr>
                    <w:t>9</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5AC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会务人员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E7A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02B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25C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8FD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3B7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r>
            <w:tr w14:paraId="2EE65B1A">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B993">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kern w:val="0"/>
                      <w:sz w:val="22"/>
                      <w:highlight w:val="none"/>
                      <w:lang w:val="en-US" w:eastAsia="zh-CN" w:bidi="ar"/>
                    </w:rPr>
                    <w:t>10</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AC1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楼宇管理人员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6D9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581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71D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07A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C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r>
            <w:tr w14:paraId="6DA2AD69">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771C">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kern w:val="0"/>
                      <w:sz w:val="22"/>
                      <w:highlight w:val="none"/>
                      <w:lang w:val="en-US" w:eastAsia="zh-CN" w:bidi="ar"/>
                    </w:rPr>
                    <w:t>11</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BD0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宿舍管理人员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816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39</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ED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5A1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F6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B9C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66</w:t>
                  </w:r>
                </w:p>
              </w:tc>
            </w:tr>
            <w:tr w14:paraId="557FC8E3">
              <w:tblPrEx>
                <w:tblCellMar>
                  <w:top w:w="0" w:type="dxa"/>
                  <w:left w:w="108" w:type="dxa"/>
                  <w:bottom w:w="0" w:type="dxa"/>
                  <w:right w:w="108" w:type="dxa"/>
                </w:tblCellMar>
              </w:tblPrEx>
              <w:trPr>
                <w:trHeight w:val="4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2DAC">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kern w:val="0"/>
                      <w:sz w:val="22"/>
                      <w:highlight w:val="none"/>
                      <w:lang w:val="en-US" w:eastAsia="zh-CN" w:bidi="ar"/>
                    </w:rPr>
                    <w:t>12</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14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搬运人员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0DB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D3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7AD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A9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DBE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r>
            <w:tr w14:paraId="0F114402">
              <w:tblPrEx>
                <w:tblCellMar>
                  <w:top w:w="0" w:type="dxa"/>
                  <w:left w:w="108" w:type="dxa"/>
                  <w:bottom w:w="0" w:type="dxa"/>
                  <w:right w:w="108" w:type="dxa"/>
                </w:tblCellMar>
              </w:tblPrEx>
              <w:trPr>
                <w:trHeight w:val="3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B4A0">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cs="宋体"/>
                      <w:color w:val="auto"/>
                      <w:kern w:val="0"/>
                      <w:sz w:val="22"/>
                      <w:highlight w:val="none"/>
                      <w:lang w:val="en-US" w:eastAsia="zh-CN" w:bidi="ar"/>
                    </w:rPr>
                    <w:t>13</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84EB">
                  <w:pPr>
                    <w:jc w:val="center"/>
                    <w:rPr>
                      <w:rFonts w:ascii="宋体" w:hAnsi="宋体" w:cs="宋体"/>
                      <w:color w:val="auto"/>
                      <w:sz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5F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147</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561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172</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ADF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185</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B3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195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E0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202</w:t>
                  </w:r>
                </w:p>
              </w:tc>
            </w:tr>
            <w:tr w14:paraId="004783D5">
              <w:tblPrEx>
                <w:tblCellMar>
                  <w:top w:w="0" w:type="dxa"/>
                  <w:left w:w="108" w:type="dxa"/>
                  <w:bottom w:w="0" w:type="dxa"/>
                  <w:right w:w="108" w:type="dxa"/>
                </w:tblCellMar>
              </w:tblPrEx>
              <w:trPr>
                <w:trHeight w:val="288" w:hRule="atLeast"/>
              </w:trPr>
              <w:tc>
                <w:tcPr>
                  <w:tcW w:w="8863" w:type="dxa"/>
                  <w:gridSpan w:val="7"/>
                  <w:tcBorders>
                    <w:top w:val="nil"/>
                    <w:left w:val="nil"/>
                    <w:bottom w:val="nil"/>
                    <w:right w:val="nil"/>
                  </w:tcBorders>
                  <w:shd w:val="clear" w:color="auto" w:fill="auto"/>
                  <w:noWrap/>
                  <w:vAlign w:val="center"/>
                </w:tcPr>
                <w:p w14:paraId="66CDFC2A">
                  <w:pPr>
                    <w:rPr>
                      <w:rFonts w:ascii="宋体" w:hAnsi="宋体" w:cs="宋体"/>
                      <w:color w:val="auto"/>
                      <w:sz w:val="22"/>
                      <w:highlight w:val="none"/>
                    </w:rPr>
                  </w:pPr>
                  <w:r>
                    <w:rPr>
                      <w:rFonts w:hint="eastAsia" w:ascii="宋体" w:hAnsi="宋体" w:cs="宋体"/>
                      <w:color w:val="auto"/>
                      <w:kern w:val="0"/>
                      <w:sz w:val="22"/>
                      <w:highlight w:val="none"/>
                      <w:lang w:bidi="ar"/>
                    </w:rPr>
                    <w:t>2025年3月目前实际到岗147</w:t>
                  </w:r>
                </w:p>
              </w:tc>
            </w:tr>
            <w:tr w14:paraId="35E12E22">
              <w:tblPrEx>
                <w:tblCellMar>
                  <w:top w:w="0" w:type="dxa"/>
                  <w:left w:w="108" w:type="dxa"/>
                  <w:bottom w:w="0" w:type="dxa"/>
                  <w:right w:w="108" w:type="dxa"/>
                </w:tblCellMar>
              </w:tblPrEx>
              <w:trPr>
                <w:trHeight w:val="288" w:hRule="atLeast"/>
              </w:trPr>
              <w:tc>
                <w:tcPr>
                  <w:tcW w:w="8863" w:type="dxa"/>
                  <w:gridSpan w:val="7"/>
                  <w:tcBorders>
                    <w:top w:val="nil"/>
                    <w:left w:val="nil"/>
                    <w:bottom w:val="nil"/>
                    <w:right w:val="nil"/>
                  </w:tcBorders>
                  <w:shd w:val="clear" w:color="auto" w:fill="auto"/>
                  <w:noWrap/>
                  <w:vAlign w:val="center"/>
                </w:tcPr>
                <w:p w14:paraId="2BB6AE54">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2025年9月，新增宿舍三区投用3栋，7万多建筑面积；</w:t>
                  </w:r>
                </w:p>
                <w:p w14:paraId="2D0D6287">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2026年8月，宿舍三区另外4栋全部投用.2027年8月，宿舍三区另外2栋全部投用.</w:t>
                  </w:r>
                </w:p>
                <w:p w14:paraId="2516FF30">
                  <w:pPr>
                    <w:rPr>
                      <w:rFonts w:ascii="宋体" w:hAnsi="宋体" w:cs="宋体"/>
                      <w:color w:val="auto"/>
                      <w:kern w:val="0"/>
                      <w:sz w:val="22"/>
                      <w:highlight w:val="none"/>
                      <w:lang w:bidi="ar"/>
                    </w:rPr>
                  </w:pPr>
                  <w:r>
                    <w:rPr>
                      <w:rFonts w:hint="eastAsia" w:ascii="宋体" w:hAnsi="宋体" w:cs="宋体"/>
                      <w:b/>
                      <w:bCs/>
                      <w:color w:val="auto"/>
                      <w:kern w:val="0"/>
                      <w:sz w:val="22"/>
                      <w:highlight w:val="none"/>
                      <w:lang w:bidi="ar"/>
                    </w:rPr>
                    <w:t>2027年3月新增教师公寓二期项目新增4万多建筑面积，8栋教师公寓。</w:t>
                  </w:r>
                </w:p>
              </w:tc>
            </w:tr>
          </w:tbl>
          <w:p w14:paraId="7D452460">
            <w:pPr>
              <w:rPr>
                <w:rFonts w:ascii="宋体" w:hAnsi="宋体" w:cs="宋体"/>
                <w:color w:val="auto"/>
                <w:sz w:val="22"/>
                <w:highlight w:val="none"/>
              </w:rPr>
            </w:pPr>
          </w:p>
          <w:p w14:paraId="0C6B5756">
            <w:pPr>
              <w:widowControl/>
              <w:jc w:val="center"/>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上述人员变动的说明</w:t>
            </w:r>
          </w:p>
          <w:p w14:paraId="5C0BAD10">
            <w:pPr>
              <w:widowControl/>
              <w:textAlignment w:val="center"/>
              <w:rPr>
                <w:rFonts w:ascii="宋体" w:hAnsi="宋体" w:cs="宋体"/>
                <w:b/>
                <w:bCs/>
                <w:color w:val="auto"/>
                <w:kern w:val="0"/>
                <w:sz w:val="22"/>
                <w:highlight w:val="none"/>
                <w:lang w:bidi="ar"/>
              </w:rPr>
            </w:pPr>
          </w:p>
          <w:p w14:paraId="26A371D7">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一、2025年9月，考虑新增宿舍三区投用3栋，7万多建筑面积；需要增配下面物业人员。</w:t>
            </w:r>
          </w:p>
          <w:p w14:paraId="7026EFD4">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1、管理人员：新增一名副经理。共新增1名。</w:t>
            </w:r>
          </w:p>
          <w:p w14:paraId="001E5A1E">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2、宿舍三区3栋投用，配置宿管4*3=12人；宿管增加12人。</w:t>
            </w:r>
          </w:p>
          <w:p w14:paraId="46544791">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3、保洁：宿舍三区3栋投用新增3名，未投用6栋配置1名，室外保洁新增3人，共计新增7人</w:t>
            </w:r>
          </w:p>
          <w:p w14:paraId="2C16FDF2">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4、工程维修，新增零星维修2人，弱电1人，公区维修1人。共计4人</w:t>
            </w:r>
          </w:p>
          <w:p w14:paraId="331BA64D">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5、搬运新增1人；</w:t>
            </w:r>
          </w:p>
          <w:p w14:paraId="1AADC849">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共计新增25人。</w:t>
            </w:r>
          </w:p>
          <w:p w14:paraId="0B8660EA">
            <w:pPr>
              <w:rPr>
                <w:rFonts w:ascii="宋体" w:hAnsi="宋体" w:cs="宋体"/>
                <w:b/>
                <w:bCs/>
                <w:color w:val="auto"/>
                <w:kern w:val="0"/>
                <w:sz w:val="22"/>
                <w:highlight w:val="none"/>
                <w:lang w:bidi="ar"/>
              </w:rPr>
            </w:pPr>
          </w:p>
          <w:p w14:paraId="7863B58E">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2026年8月，宿舍三区9栋新增投用4栋.需要增配下面物业人员。</w:t>
            </w:r>
          </w:p>
          <w:p w14:paraId="4BD75360">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1、4栋宿舍投用，3*3=9人；宿管新增9人；</w:t>
            </w:r>
          </w:p>
          <w:p w14:paraId="42EAB4CF">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2、4栋宿舍投用，保洁新增4人。</w:t>
            </w:r>
          </w:p>
          <w:p w14:paraId="7B25D8F7">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共计新增13人</w:t>
            </w:r>
          </w:p>
          <w:p w14:paraId="087D7581">
            <w:pPr>
              <w:rPr>
                <w:rFonts w:ascii="宋体" w:hAnsi="宋体" w:cs="宋体"/>
                <w:b/>
                <w:bCs/>
                <w:color w:val="auto"/>
                <w:kern w:val="0"/>
                <w:sz w:val="22"/>
                <w:highlight w:val="none"/>
                <w:lang w:bidi="ar"/>
              </w:rPr>
            </w:pPr>
          </w:p>
          <w:p w14:paraId="4F41315F">
            <w:pPr>
              <w:rPr>
                <w:rFonts w:ascii="宋体" w:hAnsi="宋体" w:cs="宋体"/>
                <w:b/>
                <w:bCs/>
                <w:color w:val="auto"/>
                <w:kern w:val="0"/>
                <w:sz w:val="22"/>
                <w:highlight w:val="none"/>
                <w:lang w:bidi="ar"/>
              </w:rPr>
            </w:pPr>
          </w:p>
          <w:p w14:paraId="63131B76">
            <w:pPr>
              <w:widowControl/>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2027年3月新增教师公寓二期项目新增4万多建筑面积，8栋教师公寓。需要增配下面物业人员。</w:t>
            </w:r>
          </w:p>
          <w:p w14:paraId="4F6EEE97">
            <w:pPr>
              <w:widowControl/>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1、保洁新增室内6人，室外2人，共计新增8人；</w:t>
            </w:r>
          </w:p>
          <w:p w14:paraId="12D5D509">
            <w:pPr>
              <w:widowControl/>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2、维修人员新增2名；</w:t>
            </w:r>
          </w:p>
          <w:p w14:paraId="79E99035">
            <w:pPr>
              <w:widowControl/>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共计新增：10人（教师公寓7人另外招聘）</w:t>
            </w:r>
          </w:p>
          <w:p w14:paraId="57BFFA03">
            <w:pPr>
              <w:widowControl/>
              <w:textAlignment w:val="center"/>
              <w:rPr>
                <w:rFonts w:ascii="宋体" w:hAnsi="宋体" w:cs="宋体"/>
                <w:b/>
                <w:bCs/>
                <w:color w:val="auto"/>
                <w:kern w:val="0"/>
                <w:sz w:val="22"/>
                <w:highlight w:val="none"/>
                <w:lang w:bidi="ar"/>
              </w:rPr>
            </w:pPr>
          </w:p>
          <w:p w14:paraId="333EA375">
            <w:pPr>
              <w:widowControl/>
              <w:textAlignment w:val="center"/>
              <w:rPr>
                <w:rFonts w:ascii="宋体" w:hAnsi="宋体" w:cs="宋体"/>
                <w:b/>
                <w:bCs/>
                <w:color w:val="auto"/>
                <w:kern w:val="0"/>
                <w:sz w:val="22"/>
                <w:highlight w:val="none"/>
                <w:lang w:bidi="ar"/>
              </w:rPr>
            </w:pPr>
          </w:p>
          <w:p w14:paraId="5F8E7DEA">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2027年8月，宿舍三区9栋新增投用2栋（全部投用）.需要增配下面物业人员。</w:t>
            </w:r>
          </w:p>
          <w:p w14:paraId="15B61568">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1、2栋宿舍投用，2*3=6人；宿管新增6人；</w:t>
            </w:r>
          </w:p>
          <w:p w14:paraId="6E689D40">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2、2栋宿舍投用，保洁新增1人。</w:t>
            </w:r>
          </w:p>
          <w:p w14:paraId="2343E538">
            <w:pP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共计新增7人</w:t>
            </w:r>
          </w:p>
          <w:p w14:paraId="73AB8A82">
            <w:pPr>
              <w:snapToGrid w:val="0"/>
              <w:spacing w:line="440" w:lineRule="exact"/>
              <w:ind w:left="550" w:hanging="550"/>
              <w:rPr>
                <w:rFonts w:ascii="宋体" w:hAnsi="宋体" w:cs="宋体"/>
                <w:color w:val="auto"/>
                <w:sz w:val="22"/>
                <w:highlight w:val="none"/>
              </w:rPr>
            </w:pPr>
          </w:p>
          <w:p w14:paraId="2ADBCD82">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相关人员要求：</w:t>
            </w:r>
          </w:p>
          <w:tbl>
            <w:tblPr>
              <w:tblStyle w:val="30"/>
              <w:tblW w:w="8226" w:type="dxa"/>
              <w:jc w:val="center"/>
              <w:tblLayout w:type="fixed"/>
              <w:tblCellMar>
                <w:top w:w="0" w:type="dxa"/>
                <w:left w:w="108" w:type="dxa"/>
                <w:bottom w:w="0" w:type="dxa"/>
                <w:right w:w="108" w:type="dxa"/>
              </w:tblCellMar>
            </w:tblPr>
            <w:tblGrid>
              <w:gridCol w:w="680"/>
              <w:gridCol w:w="1180"/>
              <w:gridCol w:w="880"/>
              <w:gridCol w:w="980"/>
              <w:gridCol w:w="3412"/>
              <w:gridCol w:w="1094"/>
            </w:tblGrid>
            <w:tr w14:paraId="33749438">
              <w:tblPrEx>
                <w:tblCellMar>
                  <w:top w:w="0" w:type="dxa"/>
                  <w:left w:w="108" w:type="dxa"/>
                  <w:bottom w:w="0" w:type="dxa"/>
                  <w:right w:w="108" w:type="dxa"/>
                </w:tblCellMar>
              </w:tblPrEx>
              <w:trPr>
                <w:trHeight w:val="705"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14:paraId="0DBE58D4">
                  <w:pPr>
                    <w:widowControl/>
                    <w:jc w:val="center"/>
                    <w:rPr>
                      <w:rFonts w:ascii="宋体" w:hAnsi="宋体" w:cs="宋体"/>
                      <w:color w:val="auto"/>
                      <w:sz w:val="22"/>
                      <w:highlight w:val="none"/>
                    </w:rPr>
                  </w:pPr>
                  <w:r>
                    <w:rPr>
                      <w:rFonts w:hint="eastAsia" w:ascii="宋体" w:hAnsi="宋体" w:cs="宋体"/>
                      <w:color w:val="auto"/>
                      <w:sz w:val="22"/>
                      <w:highlight w:val="none"/>
                    </w:rPr>
                    <w:t>序号</w:t>
                  </w:r>
                </w:p>
              </w:tc>
              <w:tc>
                <w:tcPr>
                  <w:tcW w:w="1180" w:type="dxa"/>
                  <w:tcBorders>
                    <w:top w:val="single" w:color="auto" w:sz="4" w:space="0"/>
                    <w:left w:val="nil"/>
                    <w:bottom w:val="single" w:color="auto" w:sz="4" w:space="0"/>
                    <w:right w:val="single" w:color="auto" w:sz="4" w:space="0"/>
                  </w:tcBorders>
                  <w:shd w:val="clear" w:color="000000" w:fill="FFFFFF"/>
                  <w:vAlign w:val="center"/>
                </w:tcPr>
                <w:p w14:paraId="394AA143">
                  <w:pPr>
                    <w:widowControl/>
                    <w:jc w:val="center"/>
                    <w:rPr>
                      <w:rFonts w:ascii="宋体" w:hAnsi="宋体" w:cs="宋体"/>
                      <w:color w:val="auto"/>
                      <w:sz w:val="22"/>
                      <w:highlight w:val="none"/>
                    </w:rPr>
                  </w:pPr>
                  <w:r>
                    <w:rPr>
                      <w:rFonts w:hint="eastAsia" w:ascii="宋体" w:hAnsi="宋体" w:cs="宋体"/>
                      <w:color w:val="auto"/>
                      <w:sz w:val="22"/>
                      <w:highlight w:val="none"/>
                    </w:rPr>
                    <w:t>岗位</w:t>
                  </w:r>
                </w:p>
              </w:tc>
              <w:tc>
                <w:tcPr>
                  <w:tcW w:w="880" w:type="dxa"/>
                  <w:tcBorders>
                    <w:top w:val="single" w:color="auto" w:sz="4" w:space="0"/>
                    <w:left w:val="nil"/>
                    <w:bottom w:val="single" w:color="auto" w:sz="4" w:space="0"/>
                    <w:right w:val="single" w:color="auto" w:sz="4" w:space="0"/>
                  </w:tcBorders>
                  <w:shd w:val="clear" w:color="000000" w:fill="FFFFFF"/>
                  <w:vAlign w:val="center"/>
                </w:tcPr>
                <w:p w14:paraId="253AAB3E">
                  <w:pPr>
                    <w:widowControl/>
                    <w:jc w:val="center"/>
                    <w:rPr>
                      <w:rFonts w:ascii="宋体" w:hAnsi="宋体" w:cs="宋体"/>
                      <w:color w:val="auto"/>
                      <w:sz w:val="22"/>
                      <w:highlight w:val="none"/>
                    </w:rPr>
                  </w:pPr>
                  <w:r>
                    <w:rPr>
                      <w:rFonts w:hint="eastAsia" w:ascii="宋体" w:hAnsi="宋体" w:cs="宋体"/>
                      <w:color w:val="auto"/>
                      <w:sz w:val="22"/>
                      <w:highlight w:val="none"/>
                    </w:rPr>
                    <w:t>年龄</w:t>
                  </w:r>
                </w:p>
              </w:tc>
              <w:tc>
                <w:tcPr>
                  <w:tcW w:w="980" w:type="dxa"/>
                  <w:tcBorders>
                    <w:top w:val="single" w:color="auto" w:sz="4" w:space="0"/>
                    <w:left w:val="nil"/>
                    <w:bottom w:val="single" w:color="auto" w:sz="4" w:space="0"/>
                    <w:right w:val="single" w:color="auto" w:sz="4" w:space="0"/>
                  </w:tcBorders>
                  <w:shd w:val="clear" w:color="000000" w:fill="FFFFFF"/>
                  <w:vAlign w:val="center"/>
                </w:tcPr>
                <w:p w14:paraId="42B89059">
                  <w:pPr>
                    <w:widowControl/>
                    <w:jc w:val="center"/>
                    <w:rPr>
                      <w:rFonts w:ascii="宋体" w:hAnsi="宋体" w:cs="宋体"/>
                      <w:color w:val="auto"/>
                      <w:sz w:val="22"/>
                      <w:highlight w:val="none"/>
                    </w:rPr>
                  </w:pPr>
                  <w:r>
                    <w:rPr>
                      <w:rFonts w:hint="eastAsia" w:ascii="宋体" w:hAnsi="宋体" w:cs="宋体"/>
                      <w:color w:val="auto"/>
                      <w:sz w:val="22"/>
                      <w:highlight w:val="none"/>
                    </w:rPr>
                    <w:t>学历</w:t>
                  </w:r>
                </w:p>
              </w:tc>
              <w:tc>
                <w:tcPr>
                  <w:tcW w:w="3412" w:type="dxa"/>
                  <w:tcBorders>
                    <w:top w:val="single" w:color="auto" w:sz="4" w:space="0"/>
                    <w:left w:val="nil"/>
                    <w:bottom w:val="single" w:color="auto" w:sz="4" w:space="0"/>
                    <w:right w:val="single" w:color="auto" w:sz="4" w:space="0"/>
                  </w:tcBorders>
                  <w:shd w:val="clear" w:color="000000" w:fill="FFFFFF"/>
                  <w:vAlign w:val="center"/>
                </w:tcPr>
                <w:p w14:paraId="5F2D0177">
                  <w:pPr>
                    <w:widowControl/>
                    <w:jc w:val="center"/>
                    <w:rPr>
                      <w:rFonts w:ascii="宋体" w:hAnsi="宋体" w:cs="宋体"/>
                      <w:color w:val="auto"/>
                      <w:sz w:val="22"/>
                      <w:highlight w:val="none"/>
                    </w:rPr>
                  </w:pPr>
                  <w:r>
                    <w:rPr>
                      <w:rFonts w:hint="eastAsia" w:ascii="宋体" w:hAnsi="宋体" w:cs="宋体"/>
                      <w:color w:val="auto"/>
                      <w:sz w:val="22"/>
                      <w:highlight w:val="none"/>
                    </w:rPr>
                    <w:t>岗位要求</w:t>
                  </w:r>
                </w:p>
              </w:tc>
              <w:tc>
                <w:tcPr>
                  <w:tcW w:w="1094" w:type="dxa"/>
                  <w:tcBorders>
                    <w:top w:val="single" w:color="auto" w:sz="4" w:space="0"/>
                    <w:left w:val="nil"/>
                    <w:bottom w:val="single" w:color="auto" w:sz="4" w:space="0"/>
                    <w:right w:val="single" w:color="auto" w:sz="4" w:space="0"/>
                  </w:tcBorders>
                  <w:shd w:val="clear" w:color="000000" w:fill="FFFFFF"/>
                  <w:vAlign w:val="center"/>
                </w:tcPr>
                <w:p w14:paraId="4D69EB96">
                  <w:pPr>
                    <w:widowControl/>
                    <w:jc w:val="center"/>
                    <w:rPr>
                      <w:rFonts w:ascii="宋体" w:hAnsi="宋体" w:cs="宋体"/>
                      <w:color w:val="auto"/>
                      <w:sz w:val="22"/>
                      <w:highlight w:val="none"/>
                    </w:rPr>
                  </w:pPr>
                  <w:r>
                    <w:rPr>
                      <w:rFonts w:hint="eastAsia" w:ascii="宋体" w:hAnsi="宋体" w:cs="宋体"/>
                      <w:color w:val="auto"/>
                      <w:sz w:val="22"/>
                      <w:highlight w:val="none"/>
                    </w:rPr>
                    <w:t>备注</w:t>
                  </w:r>
                </w:p>
              </w:tc>
            </w:tr>
            <w:tr w14:paraId="584F614E">
              <w:tblPrEx>
                <w:tblCellMar>
                  <w:top w:w="0" w:type="dxa"/>
                  <w:left w:w="108" w:type="dxa"/>
                  <w:bottom w:w="0" w:type="dxa"/>
                  <w:right w:w="108" w:type="dxa"/>
                </w:tblCellMar>
              </w:tblPrEx>
              <w:trPr>
                <w:trHeight w:val="15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593CACAC">
                  <w:pPr>
                    <w:widowControl/>
                    <w:jc w:val="center"/>
                    <w:rPr>
                      <w:rFonts w:ascii="宋体" w:hAnsi="宋体" w:cs="宋体"/>
                      <w:color w:val="auto"/>
                      <w:sz w:val="22"/>
                      <w:highlight w:val="none"/>
                    </w:rPr>
                  </w:pPr>
                  <w:r>
                    <w:rPr>
                      <w:rFonts w:hint="eastAsia" w:ascii="宋体" w:hAnsi="宋体" w:cs="宋体"/>
                      <w:color w:val="auto"/>
                      <w:sz w:val="22"/>
                      <w:highlight w:val="none"/>
                    </w:rPr>
                    <w:t>1</w:t>
                  </w:r>
                </w:p>
              </w:tc>
              <w:tc>
                <w:tcPr>
                  <w:tcW w:w="1180" w:type="dxa"/>
                  <w:tcBorders>
                    <w:top w:val="nil"/>
                    <w:left w:val="nil"/>
                    <w:bottom w:val="single" w:color="auto" w:sz="4" w:space="0"/>
                    <w:right w:val="single" w:color="auto" w:sz="4" w:space="0"/>
                  </w:tcBorders>
                  <w:shd w:val="clear" w:color="000000" w:fill="FFFFFF"/>
                  <w:noWrap/>
                  <w:vAlign w:val="center"/>
                </w:tcPr>
                <w:p w14:paraId="103C41CA">
                  <w:pPr>
                    <w:widowControl/>
                    <w:jc w:val="center"/>
                    <w:rPr>
                      <w:rFonts w:ascii="宋体" w:hAnsi="宋体" w:cs="宋体"/>
                      <w:color w:val="auto"/>
                      <w:sz w:val="22"/>
                      <w:highlight w:val="none"/>
                    </w:rPr>
                  </w:pPr>
                  <w:r>
                    <w:rPr>
                      <w:rFonts w:hint="eastAsia" w:ascii="宋体" w:hAnsi="宋体" w:cs="宋体"/>
                      <w:color w:val="auto"/>
                      <w:sz w:val="22"/>
                      <w:highlight w:val="none"/>
                    </w:rPr>
                    <w:t>项目经理</w:t>
                  </w:r>
                </w:p>
              </w:tc>
              <w:tc>
                <w:tcPr>
                  <w:tcW w:w="880" w:type="dxa"/>
                  <w:tcBorders>
                    <w:top w:val="nil"/>
                    <w:left w:val="nil"/>
                    <w:bottom w:val="single" w:color="auto" w:sz="4" w:space="0"/>
                    <w:right w:val="single" w:color="auto" w:sz="4" w:space="0"/>
                  </w:tcBorders>
                  <w:shd w:val="clear" w:color="000000" w:fill="FFFFFF"/>
                  <w:vAlign w:val="center"/>
                </w:tcPr>
                <w:p w14:paraId="39F6CDA1">
                  <w:pPr>
                    <w:widowControl/>
                    <w:jc w:val="center"/>
                    <w:rPr>
                      <w:rFonts w:ascii="宋体" w:hAnsi="宋体" w:cs="宋体"/>
                      <w:color w:val="auto"/>
                      <w:sz w:val="22"/>
                      <w:highlight w:val="none"/>
                    </w:rPr>
                  </w:pPr>
                  <w:r>
                    <w:rPr>
                      <w:rFonts w:hint="eastAsia" w:ascii="宋体" w:hAnsi="宋体" w:cs="宋体"/>
                      <w:color w:val="auto"/>
                      <w:sz w:val="22"/>
                      <w:highlight w:val="none"/>
                    </w:rPr>
                    <w:t>55周岁以下</w:t>
                  </w:r>
                </w:p>
              </w:tc>
              <w:tc>
                <w:tcPr>
                  <w:tcW w:w="980" w:type="dxa"/>
                  <w:tcBorders>
                    <w:top w:val="nil"/>
                    <w:left w:val="nil"/>
                    <w:bottom w:val="single" w:color="auto" w:sz="4" w:space="0"/>
                    <w:right w:val="single" w:color="auto" w:sz="4" w:space="0"/>
                  </w:tcBorders>
                  <w:shd w:val="clear" w:color="000000" w:fill="FFFFFF"/>
                  <w:vAlign w:val="center"/>
                </w:tcPr>
                <w:p w14:paraId="0C4078DE">
                  <w:pPr>
                    <w:widowControl/>
                    <w:jc w:val="center"/>
                    <w:rPr>
                      <w:rFonts w:ascii="宋体" w:hAnsi="宋体" w:cs="宋体"/>
                      <w:color w:val="auto"/>
                      <w:sz w:val="22"/>
                      <w:highlight w:val="none"/>
                    </w:rPr>
                  </w:pPr>
                  <w:r>
                    <w:rPr>
                      <w:rFonts w:hint="eastAsia" w:ascii="宋体" w:hAnsi="宋体" w:cs="宋体"/>
                      <w:color w:val="auto"/>
                      <w:sz w:val="22"/>
                      <w:highlight w:val="none"/>
                    </w:rPr>
                    <w:t>大学本科及以上</w:t>
                  </w:r>
                </w:p>
              </w:tc>
              <w:tc>
                <w:tcPr>
                  <w:tcW w:w="3412" w:type="dxa"/>
                  <w:tcBorders>
                    <w:top w:val="nil"/>
                    <w:left w:val="nil"/>
                    <w:bottom w:val="single" w:color="auto" w:sz="4" w:space="0"/>
                    <w:right w:val="single" w:color="auto" w:sz="4" w:space="0"/>
                  </w:tcBorders>
                  <w:shd w:val="clear" w:color="000000" w:fill="FFFFFF"/>
                  <w:vAlign w:val="center"/>
                </w:tcPr>
                <w:p w14:paraId="102281CB">
                  <w:pPr>
                    <w:widowControl/>
                    <w:rPr>
                      <w:rFonts w:ascii="宋体" w:hAnsi="宋体" w:cs="宋体"/>
                      <w:color w:val="auto"/>
                      <w:sz w:val="22"/>
                      <w:highlight w:val="none"/>
                    </w:rPr>
                  </w:pPr>
                  <w:r>
                    <w:rPr>
                      <w:rFonts w:hint="eastAsia" w:ascii="宋体" w:hAnsi="宋体" w:cs="宋体"/>
                      <w:color w:val="auto"/>
                      <w:sz w:val="22"/>
                      <w:highlight w:val="none"/>
                    </w:rPr>
                    <w:t>1、身体健康，工作认真负责；</w:t>
                  </w:r>
                </w:p>
                <w:p w14:paraId="6AA68C71">
                  <w:pPr>
                    <w:widowControl/>
                    <w:rPr>
                      <w:rFonts w:ascii="宋体" w:hAnsi="宋体" w:cs="宋体"/>
                      <w:color w:val="auto"/>
                      <w:sz w:val="22"/>
                      <w:highlight w:val="none"/>
                    </w:rPr>
                  </w:pPr>
                  <w:r>
                    <w:rPr>
                      <w:rFonts w:hint="eastAsia" w:ascii="宋体" w:hAnsi="宋体" w:cs="宋体"/>
                      <w:color w:val="auto"/>
                      <w:sz w:val="22"/>
                      <w:highlight w:val="none"/>
                    </w:rPr>
                    <w:t>2、全面负责学校各项日常管理工作及事务，负责与业主及外部的沟通与协调，确保物业服务到位。</w:t>
                  </w:r>
                </w:p>
              </w:tc>
              <w:tc>
                <w:tcPr>
                  <w:tcW w:w="1094" w:type="dxa"/>
                  <w:tcBorders>
                    <w:top w:val="nil"/>
                    <w:left w:val="nil"/>
                    <w:bottom w:val="single" w:color="auto" w:sz="4" w:space="0"/>
                    <w:right w:val="single" w:color="auto" w:sz="4" w:space="0"/>
                  </w:tcBorders>
                  <w:vAlign w:val="center"/>
                </w:tcPr>
                <w:p w14:paraId="5F427932">
                  <w:pPr>
                    <w:widowControl/>
                    <w:jc w:val="center"/>
                    <w:rPr>
                      <w:rFonts w:ascii="宋体" w:hAnsi="宋体" w:cs="宋体"/>
                      <w:color w:val="auto"/>
                      <w:sz w:val="22"/>
                      <w:highlight w:val="none"/>
                    </w:rPr>
                  </w:pPr>
                </w:p>
              </w:tc>
            </w:tr>
            <w:tr w14:paraId="19BB099F">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69A15998">
                  <w:pPr>
                    <w:widowControl/>
                    <w:jc w:val="center"/>
                    <w:rPr>
                      <w:rFonts w:ascii="宋体" w:hAnsi="宋体" w:cs="宋体"/>
                      <w:color w:val="auto"/>
                      <w:sz w:val="22"/>
                      <w:highlight w:val="none"/>
                    </w:rPr>
                  </w:pPr>
                  <w:r>
                    <w:rPr>
                      <w:rFonts w:hint="eastAsia" w:ascii="宋体" w:hAnsi="宋体" w:cs="宋体"/>
                      <w:color w:val="auto"/>
                      <w:sz w:val="22"/>
                      <w:highlight w:val="none"/>
                    </w:rPr>
                    <w:t>2</w:t>
                  </w:r>
                </w:p>
              </w:tc>
              <w:tc>
                <w:tcPr>
                  <w:tcW w:w="1180" w:type="dxa"/>
                  <w:tcBorders>
                    <w:top w:val="nil"/>
                    <w:left w:val="nil"/>
                    <w:bottom w:val="single" w:color="auto" w:sz="4" w:space="0"/>
                    <w:right w:val="single" w:color="auto" w:sz="4" w:space="0"/>
                  </w:tcBorders>
                  <w:shd w:val="clear" w:color="000000" w:fill="FFFFFF"/>
                  <w:noWrap/>
                  <w:vAlign w:val="center"/>
                </w:tcPr>
                <w:p w14:paraId="219DF8A8">
                  <w:pPr>
                    <w:widowControl/>
                    <w:jc w:val="center"/>
                    <w:rPr>
                      <w:rFonts w:ascii="宋体" w:hAnsi="宋体" w:cs="宋体"/>
                      <w:color w:val="auto"/>
                      <w:sz w:val="22"/>
                      <w:highlight w:val="none"/>
                    </w:rPr>
                  </w:pPr>
                  <w:r>
                    <w:rPr>
                      <w:rFonts w:hint="eastAsia" w:ascii="宋体" w:hAnsi="宋体" w:cs="宋体"/>
                      <w:color w:val="auto"/>
                      <w:sz w:val="22"/>
                      <w:highlight w:val="none"/>
                    </w:rPr>
                    <w:t>项目副经理</w:t>
                  </w:r>
                </w:p>
              </w:tc>
              <w:tc>
                <w:tcPr>
                  <w:tcW w:w="880" w:type="dxa"/>
                  <w:tcBorders>
                    <w:top w:val="nil"/>
                    <w:left w:val="nil"/>
                    <w:bottom w:val="single" w:color="auto" w:sz="4" w:space="0"/>
                    <w:right w:val="single" w:color="auto" w:sz="4" w:space="0"/>
                  </w:tcBorders>
                  <w:shd w:val="clear" w:color="000000" w:fill="FFFFFF"/>
                  <w:vAlign w:val="center"/>
                </w:tcPr>
                <w:p w14:paraId="09A041BE">
                  <w:pPr>
                    <w:widowControl/>
                    <w:jc w:val="center"/>
                    <w:rPr>
                      <w:rFonts w:ascii="宋体" w:hAnsi="宋体" w:cs="宋体"/>
                      <w:color w:val="auto"/>
                      <w:sz w:val="22"/>
                      <w:highlight w:val="none"/>
                    </w:rPr>
                  </w:pPr>
                  <w:r>
                    <w:rPr>
                      <w:rFonts w:hint="eastAsia" w:ascii="宋体" w:hAnsi="宋体" w:cs="宋体"/>
                      <w:color w:val="auto"/>
                      <w:kern w:val="0"/>
                      <w:sz w:val="22"/>
                      <w:highlight w:val="none"/>
                    </w:rPr>
                    <w:t>45周岁及以下</w:t>
                  </w:r>
                </w:p>
              </w:tc>
              <w:tc>
                <w:tcPr>
                  <w:tcW w:w="980" w:type="dxa"/>
                  <w:tcBorders>
                    <w:top w:val="nil"/>
                    <w:left w:val="nil"/>
                    <w:bottom w:val="single" w:color="auto" w:sz="4" w:space="0"/>
                    <w:right w:val="single" w:color="auto" w:sz="4" w:space="0"/>
                  </w:tcBorders>
                  <w:shd w:val="clear" w:color="000000" w:fill="FFFFFF"/>
                  <w:vAlign w:val="center"/>
                </w:tcPr>
                <w:p w14:paraId="6FFEACB9">
                  <w:pPr>
                    <w:widowControl/>
                    <w:jc w:val="center"/>
                    <w:rPr>
                      <w:rFonts w:ascii="宋体" w:hAnsi="宋体" w:cs="宋体"/>
                      <w:color w:val="auto"/>
                      <w:sz w:val="22"/>
                      <w:highlight w:val="none"/>
                    </w:rPr>
                  </w:pPr>
                  <w:r>
                    <w:rPr>
                      <w:rFonts w:hint="eastAsia" w:ascii="宋体" w:hAnsi="宋体" w:cs="宋体"/>
                      <w:color w:val="auto"/>
                      <w:kern w:val="0"/>
                      <w:sz w:val="22"/>
                      <w:highlight w:val="none"/>
                    </w:rPr>
                    <w:t>大学本科及以上学历</w:t>
                  </w:r>
                </w:p>
                <w:p w14:paraId="32622204">
                  <w:pPr>
                    <w:rPr>
                      <w:rFonts w:ascii="宋体" w:hAnsi="宋体" w:cs="宋体"/>
                      <w:color w:val="auto"/>
                      <w:sz w:val="22"/>
                      <w:highlight w:val="none"/>
                    </w:rPr>
                  </w:pPr>
                </w:p>
              </w:tc>
              <w:tc>
                <w:tcPr>
                  <w:tcW w:w="3412" w:type="dxa"/>
                  <w:tcBorders>
                    <w:top w:val="nil"/>
                    <w:left w:val="nil"/>
                    <w:bottom w:val="single" w:color="auto" w:sz="4" w:space="0"/>
                    <w:right w:val="single" w:color="auto" w:sz="4" w:space="0"/>
                  </w:tcBorders>
                  <w:shd w:val="clear" w:color="000000" w:fill="FFFFFF"/>
                </w:tcPr>
                <w:p w14:paraId="19164A42">
                  <w:pPr>
                    <w:widowControl/>
                    <w:numPr>
                      <w:ilvl w:val="0"/>
                      <w:numId w:val="20"/>
                    </w:numPr>
                    <w:adjustRightInd w:val="0"/>
                    <w:jc w:val="left"/>
                    <w:rPr>
                      <w:rFonts w:ascii="宋体" w:hAnsi="宋体" w:cs="宋体"/>
                      <w:color w:val="auto"/>
                      <w:kern w:val="0"/>
                      <w:sz w:val="22"/>
                      <w:highlight w:val="none"/>
                    </w:rPr>
                  </w:pPr>
                  <w:r>
                    <w:rPr>
                      <w:rFonts w:hint="eastAsia" w:ascii="宋体" w:hAnsi="宋体" w:cs="宋体"/>
                      <w:color w:val="auto"/>
                      <w:kern w:val="0"/>
                      <w:sz w:val="22"/>
                      <w:highlight w:val="none"/>
                    </w:rPr>
                    <w:t>英语六级及以上，有良好的英语口语交流能力；</w:t>
                  </w:r>
                </w:p>
                <w:p w14:paraId="072B88BE">
                  <w:pPr>
                    <w:widowControl/>
                    <w:numPr>
                      <w:ilvl w:val="0"/>
                      <w:numId w:val="20"/>
                    </w:numPr>
                    <w:adjustRightInd w:val="0"/>
                    <w:jc w:val="left"/>
                    <w:rPr>
                      <w:rFonts w:ascii="宋体" w:hAnsi="宋体" w:cs="宋体"/>
                      <w:color w:val="auto"/>
                      <w:kern w:val="0"/>
                      <w:sz w:val="22"/>
                      <w:highlight w:val="none"/>
                    </w:rPr>
                  </w:pPr>
                  <w:r>
                    <w:rPr>
                      <w:rFonts w:hint="eastAsia" w:ascii="宋体" w:hAnsi="宋体" w:cs="宋体"/>
                      <w:color w:val="auto"/>
                      <w:kern w:val="0"/>
                      <w:sz w:val="22"/>
                      <w:highlight w:val="none"/>
                    </w:rPr>
                    <w:t>有良好的沟通能力，政治素质好，业务能力强，工作责任感好，组织管理能力强；</w:t>
                  </w:r>
                </w:p>
                <w:p w14:paraId="0DC8BF10">
                  <w:pPr>
                    <w:widowControl/>
                    <w:rPr>
                      <w:rFonts w:ascii="宋体" w:hAnsi="宋体" w:cs="宋体"/>
                      <w:color w:val="auto"/>
                      <w:sz w:val="22"/>
                      <w:highlight w:val="none"/>
                    </w:rPr>
                  </w:pPr>
                  <w:r>
                    <w:rPr>
                      <w:rFonts w:hint="eastAsia" w:ascii="宋体" w:hAnsi="宋体" w:cs="宋体"/>
                      <w:color w:val="auto"/>
                      <w:kern w:val="0"/>
                      <w:sz w:val="22"/>
                      <w:highlight w:val="none"/>
                    </w:rPr>
                    <w:t>必须常驻项目现场。</w:t>
                  </w:r>
                </w:p>
              </w:tc>
              <w:tc>
                <w:tcPr>
                  <w:tcW w:w="1094" w:type="dxa"/>
                  <w:tcBorders>
                    <w:top w:val="nil"/>
                    <w:left w:val="nil"/>
                    <w:bottom w:val="single" w:color="auto" w:sz="4" w:space="0"/>
                    <w:right w:val="single" w:color="auto" w:sz="4" w:space="0"/>
                  </w:tcBorders>
                  <w:shd w:val="clear" w:color="000000" w:fill="FFFFFF"/>
                  <w:vAlign w:val="center"/>
                </w:tcPr>
                <w:p w14:paraId="71732AF5">
                  <w:pPr>
                    <w:widowControl/>
                    <w:jc w:val="center"/>
                    <w:rPr>
                      <w:rFonts w:ascii="宋体" w:hAnsi="宋体" w:cs="宋体"/>
                      <w:strike/>
                      <w:color w:val="auto"/>
                      <w:sz w:val="22"/>
                      <w:highlight w:val="none"/>
                    </w:rPr>
                  </w:pPr>
                </w:p>
              </w:tc>
            </w:tr>
            <w:tr w14:paraId="1BCC4774">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0175E50C">
                  <w:pPr>
                    <w:widowControl/>
                    <w:jc w:val="center"/>
                    <w:rPr>
                      <w:rFonts w:ascii="宋体" w:hAnsi="宋体" w:cs="宋体"/>
                      <w:color w:val="auto"/>
                      <w:sz w:val="22"/>
                      <w:highlight w:val="none"/>
                    </w:rPr>
                  </w:pPr>
                  <w:r>
                    <w:rPr>
                      <w:rFonts w:hint="eastAsia" w:ascii="宋体" w:hAnsi="宋体" w:cs="宋体"/>
                      <w:color w:val="auto"/>
                      <w:sz w:val="22"/>
                      <w:highlight w:val="none"/>
                    </w:rPr>
                    <w:t>3</w:t>
                  </w:r>
                </w:p>
              </w:tc>
              <w:tc>
                <w:tcPr>
                  <w:tcW w:w="1180" w:type="dxa"/>
                  <w:tcBorders>
                    <w:top w:val="nil"/>
                    <w:left w:val="nil"/>
                    <w:bottom w:val="single" w:color="auto" w:sz="4" w:space="0"/>
                    <w:right w:val="single" w:color="auto" w:sz="4" w:space="0"/>
                  </w:tcBorders>
                  <w:shd w:val="clear" w:color="000000" w:fill="FFFFFF"/>
                  <w:noWrap/>
                  <w:vAlign w:val="center"/>
                </w:tcPr>
                <w:p w14:paraId="4685ECFA">
                  <w:pPr>
                    <w:widowControl/>
                    <w:jc w:val="center"/>
                    <w:rPr>
                      <w:rFonts w:ascii="宋体" w:hAnsi="宋体" w:cs="宋体"/>
                      <w:color w:val="auto"/>
                      <w:sz w:val="22"/>
                      <w:highlight w:val="none"/>
                    </w:rPr>
                  </w:pPr>
                  <w:r>
                    <w:rPr>
                      <w:rFonts w:hint="eastAsia" w:ascii="宋体" w:hAnsi="宋体" w:cs="宋体"/>
                      <w:color w:val="auto"/>
                      <w:kern w:val="0"/>
                      <w:sz w:val="22"/>
                      <w:highlight w:val="none"/>
                      <w:lang w:bidi="ar"/>
                    </w:rPr>
                    <w:t>综合主管（楼宇、会务）</w:t>
                  </w:r>
                </w:p>
              </w:tc>
              <w:tc>
                <w:tcPr>
                  <w:tcW w:w="880" w:type="dxa"/>
                  <w:tcBorders>
                    <w:top w:val="nil"/>
                    <w:left w:val="nil"/>
                    <w:bottom w:val="single" w:color="auto" w:sz="4" w:space="0"/>
                    <w:right w:val="single" w:color="auto" w:sz="4" w:space="0"/>
                  </w:tcBorders>
                  <w:shd w:val="clear" w:color="000000" w:fill="FFFFFF"/>
                  <w:vAlign w:val="center"/>
                </w:tcPr>
                <w:p w14:paraId="7B674930">
                  <w:pPr>
                    <w:widowControl/>
                    <w:jc w:val="center"/>
                    <w:rPr>
                      <w:rFonts w:ascii="宋体" w:hAnsi="宋体" w:cs="宋体"/>
                      <w:color w:val="auto"/>
                      <w:sz w:val="22"/>
                      <w:highlight w:val="none"/>
                    </w:rPr>
                  </w:pPr>
                  <w:r>
                    <w:rPr>
                      <w:rFonts w:hint="eastAsia" w:ascii="宋体" w:hAnsi="宋体" w:cs="宋体"/>
                      <w:color w:val="auto"/>
                      <w:kern w:val="0"/>
                      <w:sz w:val="22"/>
                      <w:highlight w:val="none"/>
                    </w:rPr>
                    <w:t>50周岁及以下</w:t>
                  </w:r>
                </w:p>
              </w:tc>
              <w:tc>
                <w:tcPr>
                  <w:tcW w:w="980" w:type="dxa"/>
                  <w:tcBorders>
                    <w:top w:val="nil"/>
                    <w:left w:val="nil"/>
                    <w:bottom w:val="single" w:color="auto" w:sz="4" w:space="0"/>
                    <w:right w:val="single" w:color="auto" w:sz="4" w:space="0"/>
                  </w:tcBorders>
                  <w:shd w:val="clear" w:color="000000" w:fill="FFFFFF"/>
                  <w:vAlign w:val="center"/>
                </w:tcPr>
                <w:p w14:paraId="0198B15D">
                  <w:pPr>
                    <w:widowControl/>
                    <w:jc w:val="center"/>
                    <w:rPr>
                      <w:rFonts w:ascii="宋体" w:hAnsi="宋体" w:cs="宋体"/>
                      <w:color w:val="auto"/>
                      <w:sz w:val="22"/>
                      <w:highlight w:val="none"/>
                    </w:rPr>
                  </w:pPr>
                  <w:r>
                    <w:rPr>
                      <w:rFonts w:hint="eastAsia" w:ascii="宋体" w:hAnsi="宋体" w:cs="宋体"/>
                      <w:color w:val="auto"/>
                      <w:kern w:val="0"/>
                      <w:sz w:val="22"/>
                      <w:highlight w:val="none"/>
                    </w:rPr>
                    <w:t>大学大专及以上学历；</w:t>
                  </w:r>
                </w:p>
              </w:tc>
              <w:tc>
                <w:tcPr>
                  <w:tcW w:w="3412" w:type="dxa"/>
                  <w:tcBorders>
                    <w:top w:val="nil"/>
                    <w:left w:val="nil"/>
                    <w:bottom w:val="single" w:color="auto" w:sz="4" w:space="0"/>
                    <w:right w:val="single" w:color="auto" w:sz="4" w:space="0"/>
                  </w:tcBorders>
                  <w:shd w:val="clear" w:color="000000" w:fill="FFFFFF"/>
                </w:tcPr>
                <w:p w14:paraId="44270758">
                  <w:pPr>
                    <w:widowControl/>
                    <w:numPr>
                      <w:ilvl w:val="0"/>
                      <w:numId w:val="21"/>
                    </w:numPr>
                    <w:tabs>
                      <w:tab w:val="left" w:pos="454"/>
                    </w:tabs>
                    <w:adjustRightInd w:val="0"/>
                    <w:jc w:val="left"/>
                    <w:rPr>
                      <w:rFonts w:ascii="宋体" w:hAnsi="宋体" w:cs="宋体"/>
                      <w:color w:val="auto"/>
                      <w:kern w:val="0"/>
                      <w:sz w:val="22"/>
                      <w:highlight w:val="none"/>
                    </w:rPr>
                  </w:pPr>
                  <w:r>
                    <w:rPr>
                      <w:rFonts w:hint="eastAsia" w:ascii="宋体" w:hAnsi="宋体" w:cs="宋体"/>
                      <w:color w:val="auto"/>
                      <w:kern w:val="0"/>
                      <w:sz w:val="22"/>
                      <w:highlight w:val="none"/>
                    </w:rPr>
                    <w:t>工作经验：</w:t>
                  </w:r>
                  <w:r>
                    <w:rPr>
                      <w:rFonts w:hint="eastAsia" w:ascii="宋体" w:hAnsi="宋体" w:cs="宋体"/>
                      <w:color w:val="auto"/>
                      <w:kern w:val="0"/>
                      <w:sz w:val="22"/>
                      <w:highlight w:val="none"/>
                      <w:lang w:val="en-US" w:eastAsia="zh-CN"/>
                    </w:rPr>
                    <w:t>三</w:t>
                  </w:r>
                  <w:r>
                    <w:rPr>
                      <w:rFonts w:hint="eastAsia" w:ascii="宋体" w:hAnsi="宋体" w:cs="宋体"/>
                      <w:color w:val="auto"/>
                      <w:kern w:val="0"/>
                      <w:sz w:val="22"/>
                      <w:highlight w:val="none"/>
                    </w:rPr>
                    <w:t>年及以上会务经理经历；或有星级酒店会议工作经验；</w:t>
                  </w:r>
                </w:p>
                <w:p w14:paraId="7C991B12">
                  <w:pPr>
                    <w:widowControl/>
                    <w:rPr>
                      <w:rFonts w:ascii="宋体" w:hAnsi="宋体" w:cs="宋体"/>
                      <w:color w:val="auto"/>
                      <w:sz w:val="22"/>
                      <w:highlight w:val="none"/>
                    </w:rPr>
                  </w:pPr>
                  <w:r>
                    <w:rPr>
                      <w:rFonts w:hint="eastAsia" w:ascii="宋体" w:hAnsi="宋体" w:cs="宋体"/>
                      <w:color w:val="auto"/>
                      <w:kern w:val="0"/>
                      <w:sz w:val="22"/>
                      <w:highlight w:val="none"/>
                    </w:rPr>
                    <w:t>有一定的英语沟通能力，政治素质好，工作责任心强，具有团队合作精神。</w:t>
                  </w:r>
                </w:p>
              </w:tc>
              <w:tc>
                <w:tcPr>
                  <w:tcW w:w="1094" w:type="dxa"/>
                  <w:tcBorders>
                    <w:top w:val="nil"/>
                    <w:left w:val="nil"/>
                    <w:bottom w:val="single" w:color="auto" w:sz="4" w:space="0"/>
                    <w:right w:val="single" w:color="auto" w:sz="4" w:space="0"/>
                  </w:tcBorders>
                  <w:shd w:val="clear" w:color="000000" w:fill="FFFFFF"/>
                  <w:vAlign w:val="center"/>
                </w:tcPr>
                <w:p w14:paraId="649A92C2">
                  <w:pPr>
                    <w:widowControl/>
                    <w:jc w:val="center"/>
                    <w:rPr>
                      <w:rFonts w:ascii="宋体" w:hAnsi="宋体" w:cs="宋体"/>
                      <w:strike/>
                      <w:color w:val="auto"/>
                      <w:sz w:val="22"/>
                      <w:highlight w:val="none"/>
                    </w:rPr>
                  </w:pPr>
                </w:p>
              </w:tc>
            </w:tr>
            <w:tr w14:paraId="4A40FB3B">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4A8245E0">
                  <w:pPr>
                    <w:widowControl/>
                    <w:jc w:val="center"/>
                    <w:rPr>
                      <w:rFonts w:ascii="宋体" w:hAnsi="宋体" w:cs="宋体"/>
                      <w:color w:val="auto"/>
                      <w:sz w:val="22"/>
                      <w:highlight w:val="none"/>
                    </w:rPr>
                  </w:pPr>
                  <w:r>
                    <w:rPr>
                      <w:rFonts w:hint="eastAsia" w:ascii="宋体" w:hAnsi="宋体" w:cs="宋体"/>
                      <w:color w:val="auto"/>
                      <w:sz w:val="22"/>
                      <w:highlight w:val="none"/>
                    </w:rPr>
                    <w:t>4</w:t>
                  </w:r>
                </w:p>
              </w:tc>
              <w:tc>
                <w:tcPr>
                  <w:tcW w:w="1180" w:type="dxa"/>
                  <w:tcBorders>
                    <w:top w:val="nil"/>
                    <w:left w:val="nil"/>
                    <w:bottom w:val="single" w:color="auto" w:sz="4" w:space="0"/>
                    <w:right w:val="single" w:color="auto" w:sz="4" w:space="0"/>
                  </w:tcBorders>
                  <w:shd w:val="clear" w:color="000000" w:fill="FFFFFF"/>
                  <w:noWrap/>
                  <w:vAlign w:val="center"/>
                </w:tcPr>
                <w:p w14:paraId="61E91AD6">
                  <w:pPr>
                    <w:widowControl/>
                    <w:jc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工程维修主管</w:t>
                  </w:r>
                </w:p>
              </w:tc>
              <w:tc>
                <w:tcPr>
                  <w:tcW w:w="880" w:type="dxa"/>
                  <w:tcBorders>
                    <w:top w:val="nil"/>
                    <w:left w:val="nil"/>
                    <w:bottom w:val="single" w:color="auto" w:sz="4" w:space="0"/>
                    <w:right w:val="single" w:color="auto" w:sz="4" w:space="0"/>
                  </w:tcBorders>
                  <w:shd w:val="clear" w:color="000000" w:fill="FFFFFF"/>
                  <w:vAlign w:val="center"/>
                </w:tcPr>
                <w:p w14:paraId="2CD43FFF">
                  <w:pPr>
                    <w:widowControl/>
                    <w:jc w:val="center"/>
                    <w:rPr>
                      <w:rFonts w:ascii="宋体" w:hAnsi="宋体" w:cs="宋体"/>
                      <w:color w:val="auto"/>
                      <w:sz w:val="22"/>
                      <w:highlight w:val="none"/>
                    </w:rPr>
                  </w:pPr>
                  <w:r>
                    <w:rPr>
                      <w:rFonts w:hint="eastAsia" w:ascii="宋体" w:hAnsi="宋体" w:cs="宋体"/>
                      <w:color w:val="auto"/>
                      <w:kern w:val="0"/>
                      <w:sz w:val="22"/>
                      <w:highlight w:val="none"/>
                    </w:rPr>
                    <w:t>50周岁及以下</w:t>
                  </w:r>
                </w:p>
              </w:tc>
              <w:tc>
                <w:tcPr>
                  <w:tcW w:w="980" w:type="dxa"/>
                  <w:tcBorders>
                    <w:top w:val="nil"/>
                    <w:left w:val="nil"/>
                    <w:bottom w:val="single" w:color="auto" w:sz="4" w:space="0"/>
                    <w:right w:val="single" w:color="auto" w:sz="4" w:space="0"/>
                  </w:tcBorders>
                  <w:shd w:val="clear" w:color="000000" w:fill="FFFFFF"/>
                  <w:vAlign w:val="center"/>
                </w:tcPr>
                <w:p w14:paraId="76CC874C">
                  <w:pPr>
                    <w:widowControl/>
                    <w:jc w:val="center"/>
                    <w:rPr>
                      <w:rFonts w:ascii="宋体" w:hAnsi="宋体" w:cs="宋体"/>
                      <w:color w:val="auto"/>
                      <w:sz w:val="22"/>
                      <w:highlight w:val="none"/>
                    </w:rPr>
                  </w:pPr>
                  <w:r>
                    <w:rPr>
                      <w:rFonts w:hint="eastAsia" w:ascii="宋体" w:hAnsi="宋体" w:cs="宋体"/>
                      <w:color w:val="auto"/>
                      <w:kern w:val="0"/>
                      <w:sz w:val="22"/>
                      <w:highlight w:val="none"/>
                    </w:rPr>
                    <w:t>大学本科及以上学历</w:t>
                  </w:r>
                </w:p>
              </w:tc>
              <w:tc>
                <w:tcPr>
                  <w:tcW w:w="3412" w:type="dxa"/>
                  <w:tcBorders>
                    <w:top w:val="nil"/>
                    <w:left w:val="nil"/>
                    <w:bottom w:val="single" w:color="auto" w:sz="4" w:space="0"/>
                    <w:right w:val="single" w:color="auto" w:sz="4" w:space="0"/>
                  </w:tcBorders>
                  <w:shd w:val="clear" w:color="000000" w:fill="FFFFFF"/>
                </w:tcPr>
                <w:p w14:paraId="01B223B3">
                  <w:pPr>
                    <w:widowControl/>
                    <w:numPr>
                      <w:ilvl w:val="0"/>
                      <w:numId w:val="22"/>
                    </w:numPr>
                    <w:tabs>
                      <w:tab w:val="left" w:pos="312"/>
                    </w:tabs>
                    <w:adjustRightInd w:val="0"/>
                    <w:jc w:val="left"/>
                    <w:rPr>
                      <w:rFonts w:ascii="宋体" w:hAnsi="宋体" w:cs="宋体"/>
                      <w:color w:val="auto"/>
                      <w:kern w:val="0"/>
                      <w:sz w:val="22"/>
                      <w:highlight w:val="none"/>
                    </w:rPr>
                  </w:pPr>
                  <w:r>
                    <w:rPr>
                      <w:rFonts w:hint="eastAsia" w:ascii="宋体" w:hAnsi="宋体" w:cs="宋体"/>
                      <w:color w:val="auto"/>
                      <w:kern w:val="0"/>
                      <w:sz w:val="22"/>
                      <w:highlight w:val="none"/>
                    </w:rPr>
                    <w:t>职称：建设工程类或机电类专业工程师及以上职称；</w:t>
                  </w:r>
                </w:p>
                <w:p w14:paraId="2A1046CC">
                  <w:pPr>
                    <w:widowControl/>
                    <w:numPr>
                      <w:ilvl w:val="0"/>
                      <w:numId w:val="22"/>
                    </w:numPr>
                    <w:tabs>
                      <w:tab w:val="left" w:pos="312"/>
                    </w:tabs>
                    <w:adjustRightInd w:val="0"/>
                    <w:jc w:val="left"/>
                    <w:rPr>
                      <w:rFonts w:ascii="宋体" w:hAnsi="宋体" w:cs="宋体"/>
                      <w:color w:val="auto"/>
                      <w:kern w:val="0"/>
                      <w:sz w:val="22"/>
                      <w:highlight w:val="none"/>
                    </w:rPr>
                  </w:pPr>
                  <w:r>
                    <w:rPr>
                      <w:rFonts w:hint="eastAsia" w:ascii="宋体" w:hAnsi="宋体" w:cs="宋体"/>
                      <w:color w:val="auto"/>
                      <w:kern w:val="0"/>
                      <w:sz w:val="22"/>
                      <w:highlight w:val="none"/>
                    </w:rPr>
                    <w:t>工作经验：具备五年及以上的工程管理业绩；</w:t>
                  </w:r>
                </w:p>
                <w:p w14:paraId="4D78BF80">
                  <w:pPr>
                    <w:widowControl/>
                    <w:numPr>
                      <w:ilvl w:val="0"/>
                      <w:numId w:val="22"/>
                    </w:numPr>
                    <w:tabs>
                      <w:tab w:val="left" w:pos="312"/>
                    </w:tabs>
                    <w:adjustRightInd w:val="0"/>
                    <w:jc w:val="left"/>
                    <w:rPr>
                      <w:rFonts w:ascii="宋体" w:hAnsi="宋体" w:cs="宋体"/>
                      <w:color w:val="auto"/>
                      <w:kern w:val="0"/>
                      <w:sz w:val="22"/>
                      <w:highlight w:val="none"/>
                    </w:rPr>
                  </w:pPr>
                  <w:r>
                    <w:rPr>
                      <w:rFonts w:hint="eastAsia" w:ascii="宋体" w:hAnsi="宋体" w:cs="宋体"/>
                      <w:color w:val="auto"/>
                      <w:kern w:val="0"/>
                      <w:sz w:val="22"/>
                      <w:highlight w:val="none"/>
                    </w:rPr>
                    <w:t>政治素质好，业务能力强，工作责任感好，有较强的组织管理能力和应急处置能力；</w:t>
                  </w:r>
                </w:p>
                <w:p w14:paraId="0C7135E8">
                  <w:pPr>
                    <w:widowControl/>
                    <w:rPr>
                      <w:rFonts w:ascii="宋体" w:hAnsi="宋体" w:cs="宋体"/>
                      <w:color w:val="auto"/>
                      <w:sz w:val="22"/>
                      <w:highlight w:val="none"/>
                    </w:rPr>
                  </w:pPr>
                  <w:r>
                    <w:rPr>
                      <w:rFonts w:hint="eastAsia" w:ascii="宋体" w:hAnsi="宋体" w:cs="宋体"/>
                      <w:color w:val="auto"/>
                      <w:kern w:val="0"/>
                      <w:sz w:val="22"/>
                      <w:highlight w:val="none"/>
                    </w:rPr>
                    <w:t>必须常驻项目现场。</w:t>
                  </w:r>
                </w:p>
              </w:tc>
              <w:tc>
                <w:tcPr>
                  <w:tcW w:w="1094" w:type="dxa"/>
                  <w:tcBorders>
                    <w:top w:val="nil"/>
                    <w:left w:val="nil"/>
                    <w:bottom w:val="single" w:color="auto" w:sz="4" w:space="0"/>
                    <w:right w:val="single" w:color="auto" w:sz="4" w:space="0"/>
                  </w:tcBorders>
                  <w:shd w:val="clear" w:color="000000" w:fill="FFFFFF"/>
                  <w:vAlign w:val="center"/>
                </w:tcPr>
                <w:p w14:paraId="5D224775">
                  <w:pPr>
                    <w:widowControl/>
                    <w:jc w:val="center"/>
                    <w:rPr>
                      <w:rFonts w:ascii="宋体" w:hAnsi="宋体" w:cs="宋体"/>
                      <w:strike/>
                      <w:color w:val="auto"/>
                      <w:sz w:val="22"/>
                      <w:highlight w:val="none"/>
                    </w:rPr>
                  </w:pPr>
                </w:p>
              </w:tc>
            </w:tr>
            <w:tr w14:paraId="2B0B4395">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52BE6138">
                  <w:pPr>
                    <w:widowControl/>
                    <w:jc w:val="center"/>
                    <w:rPr>
                      <w:rFonts w:ascii="宋体" w:hAnsi="宋体" w:cs="宋体"/>
                      <w:color w:val="auto"/>
                      <w:sz w:val="22"/>
                      <w:highlight w:val="none"/>
                    </w:rPr>
                  </w:pPr>
                  <w:r>
                    <w:rPr>
                      <w:rFonts w:hint="eastAsia" w:ascii="宋体" w:hAnsi="宋体" w:cs="宋体"/>
                      <w:color w:val="auto"/>
                      <w:sz w:val="22"/>
                      <w:highlight w:val="none"/>
                    </w:rPr>
                    <w:t>5</w:t>
                  </w:r>
                </w:p>
              </w:tc>
              <w:tc>
                <w:tcPr>
                  <w:tcW w:w="1180" w:type="dxa"/>
                  <w:tcBorders>
                    <w:top w:val="nil"/>
                    <w:left w:val="nil"/>
                    <w:bottom w:val="single" w:color="auto" w:sz="4" w:space="0"/>
                    <w:right w:val="single" w:color="auto" w:sz="4" w:space="0"/>
                  </w:tcBorders>
                  <w:shd w:val="clear" w:color="000000" w:fill="FFFFFF"/>
                  <w:noWrap/>
                  <w:vAlign w:val="center"/>
                </w:tcPr>
                <w:p w14:paraId="5B98C2B1">
                  <w:pPr>
                    <w:widowControl/>
                    <w:jc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保洁主管</w:t>
                  </w:r>
                </w:p>
              </w:tc>
              <w:tc>
                <w:tcPr>
                  <w:tcW w:w="880" w:type="dxa"/>
                  <w:tcBorders>
                    <w:top w:val="nil"/>
                    <w:left w:val="nil"/>
                    <w:bottom w:val="single" w:color="auto" w:sz="4" w:space="0"/>
                    <w:right w:val="single" w:color="auto" w:sz="4" w:space="0"/>
                  </w:tcBorders>
                  <w:shd w:val="clear" w:color="000000" w:fill="FFFFFF"/>
                  <w:vAlign w:val="center"/>
                </w:tcPr>
                <w:p w14:paraId="08BE6B41">
                  <w:pPr>
                    <w:widowControl/>
                    <w:jc w:val="center"/>
                    <w:rPr>
                      <w:rFonts w:ascii="宋体" w:hAnsi="宋体" w:cs="宋体"/>
                      <w:color w:val="auto"/>
                      <w:sz w:val="22"/>
                      <w:highlight w:val="none"/>
                    </w:rPr>
                  </w:pPr>
                  <w:r>
                    <w:rPr>
                      <w:rFonts w:hint="eastAsia" w:ascii="宋体" w:hAnsi="宋体" w:cs="宋体"/>
                      <w:color w:val="auto"/>
                      <w:kern w:val="0"/>
                      <w:sz w:val="22"/>
                      <w:highlight w:val="none"/>
                    </w:rPr>
                    <w:t>50周岁及以下</w:t>
                  </w:r>
                </w:p>
              </w:tc>
              <w:tc>
                <w:tcPr>
                  <w:tcW w:w="980" w:type="dxa"/>
                  <w:tcBorders>
                    <w:top w:val="nil"/>
                    <w:left w:val="nil"/>
                    <w:bottom w:val="single" w:color="auto" w:sz="4" w:space="0"/>
                    <w:right w:val="single" w:color="auto" w:sz="4" w:space="0"/>
                  </w:tcBorders>
                  <w:shd w:val="clear" w:color="000000" w:fill="FFFFFF"/>
                  <w:vAlign w:val="center"/>
                </w:tcPr>
                <w:p w14:paraId="1DCBC517">
                  <w:pPr>
                    <w:widowControl/>
                    <w:jc w:val="center"/>
                    <w:rPr>
                      <w:rFonts w:ascii="宋体" w:hAnsi="宋体" w:cs="宋体"/>
                      <w:color w:val="auto"/>
                      <w:sz w:val="22"/>
                      <w:highlight w:val="none"/>
                    </w:rPr>
                  </w:pPr>
                  <w:r>
                    <w:rPr>
                      <w:rFonts w:hint="eastAsia" w:ascii="宋体" w:hAnsi="宋体" w:cs="宋体"/>
                      <w:color w:val="auto"/>
                      <w:kern w:val="0"/>
                      <w:sz w:val="22"/>
                      <w:highlight w:val="none"/>
                    </w:rPr>
                    <w:t>大专及以上学历</w:t>
                  </w:r>
                </w:p>
              </w:tc>
              <w:tc>
                <w:tcPr>
                  <w:tcW w:w="3412" w:type="dxa"/>
                  <w:tcBorders>
                    <w:top w:val="nil"/>
                    <w:left w:val="nil"/>
                    <w:bottom w:val="single" w:color="auto" w:sz="4" w:space="0"/>
                    <w:right w:val="single" w:color="auto" w:sz="4" w:space="0"/>
                  </w:tcBorders>
                  <w:shd w:val="clear" w:color="000000" w:fill="FFFFFF"/>
                </w:tcPr>
                <w:p w14:paraId="57D1901D">
                  <w:pPr>
                    <w:widowControl/>
                    <w:tabs>
                      <w:tab w:val="left" w:pos="312"/>
                      <w:tab w:val="left" w:pos="454"/>
                    </w:tabs>
                    <w:adjustRightInd w:val="0"/>
                    <w:rPr>
                      <w:rFonts w:ascii="宋体" w:hAnsi="宋体" w:cs="宋体"/>
                      <w:color w:val="auto"/>
                      <w:kern w:val="0"/>
                      <w:sz w:val="22"/>
                      <w:highlight w:val="none"/>
                    </w:rPr>
                  </w:pPr>
                  <w:r>
                    <w:rPr>
                      <w:rFonts w:hint="eastAsia" w:ascii="宋体" w:hAnsi="宋体" w:cs="宋体"/>
                      <w:color w:val="auto"/>
                      <w:kern w:val="0"/>
                      <w:sz w:val="22"/>
                      <w:highlight w:val="none"/>
                    </w:rPr>
                    <w:t>1工作经验：三年及以上物业保洁经理经历；</w:t>
                  </w:r>
                </w:p>
                <w:p w14:paraId="097A3216">
                  <w:pPr>
                    <w:widowControl/>
                    <w:rPr>
                      <w:rFonts w:ascii="宋体" w:hAnsi="宋体" w:cs="宋体"/>
                      <w:color w:val="auto"/>
                      <w:sz w:val="22"/>
                      <w:highlight w:val="none"/>
                    </w:rPr>
                  </w:pPr>
                  <w:r>
                    <w:rPr>
                      <w:rFonts w:hint="eastAsia" w:ascii="宋体" w:hAnsi="宋体" w:cs="宋体"/>
                      <w:color w:val="auto"/>
                      <w:kern w:val="0"/>
                      <w:sz w:val="22"/>
                      <w:highlight w:val="none"/>
                    </w:rPr>
                    <w:t>2.吃苦耐劳，政治素质好，工作责任感强，具有管理能力和团队合作精神</w:t>
                  </w:r>
                </w:p>
              </w:tc>
              <w:tc>
                <w:tcPr>
                  <w:tcW w:w="1094" w:type="dxa"/>
                  <w:tcBorders>
                    <w:top w:val="nil"/>
                    <w:left w:val="nil"/>
                    <w:bottom w:val="single" w:color="auto" w:sz="4" w:space="0"/>
                    <w:right w:val="single" w:color="auto" w:sz="4" w:space="0"/>
                  </w:tcBorders>
                  <w:shd w:val="clear" w:color="000000" w:fill="FFFFFF"/>
                  <w:vAlign w:val="center"/>
                </w:tcPr>
                <w:p w14:paraId="68935BC8">
                  <w:pPr>
                    <w:widowControl/>
                    <w:jc w:val="center"/>
                    <w:rPr>
                      <w:rFonts w:ascii="宋体" w:hAnsi="宋体" w:cs="宋体"/>
                      <w:strike/>
                      <w:color w:val="auto"/>
                      <w:sz w:val="22"/>
                      <w:highlight w:val="none"/>
                    </w:rPr>
                  </w:pPr>
                </w:p>
              </w:tc>
            </w:tr>
            <w:tr w14:paraId="7A47087D">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68202723">
                  <w:pPr>
                    <w:widowControl/>
                    <w:jc w:val="center"/>
                    <w:rPr>
                      <w:rFonts w:ascii="宋体" w:hAnsi="宋体" w:cs="宋体"/>
                      <w:color w:val="auto"/>
                      <w:sz w:val="22"/>
                      <w:highlight w:val="none"/>
                    </w:rPr>
                  </w:pPr>
                  <w:r>
                    <w:rPr>
                      <w:rFonts w:hint="eastAsia" w:ascii="宋体" w:hAnsi="宋体" w:cs="宋体"/>
                      <w:color w:val="auto"/>
                      <w:sz w:val="22"/>
                      <w:highlight w:val="none"/>
                    </w:rPr>
                    <w:t>6</w:t>
                  </w:r>
                </w:p>
              </w:tc>
              <w:tc>
                <w:tcPr>
                  <w:tcW w:w="1180" w:type="dxa"/>
                  <w:tcBorders>
                    <w:top w:val="nil"/>
                    <w:left w:val="nil"/>
                    <w:bottom w:val="single" w:color="auto" w:sz="4" w:space="0"/>
                    <w:right w:val="single" w:color="auto" w:sz="4" w:space="0"/>
                  </w:tcBorders>
                  <w:shd w:val="clear" w:color="000000" w:fill="FFFFFF"/>
                  <w:noWrap/>
                  <w:vAlign w:val="center"/>
                </w:tcPr>
                <w:p w14:paraId="7D1C9164">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公寓管理主管</w:t>
                  </w:r>
                </w:p>
              </w:tc>
              <w:tc>
                <w:tcPr>
                  <w:tcW w:w="880" w:type="dxa"/>
                  <w:tcBorders>
                    <w:top w:val="nil"/>
                    <w:left w:val="nil"/>
                    <w:bottom w:val="single" w:color="auto" w:sz="4" w:space="0"/>
                    <w:right w:val="single" w:color="auto" w:sz="4" w:space="0"/>
                  </w:tcBorders>
                  <w:shd w:val="clear" w:color="000000" w:fill="FFFFFF"/>
                  <w:vAlign w:val="center"/>
                </w:tcPr>
                <w:p w14:paraId="4A58FED1">
                  <w:pPr>
                    <w:widowControl/>
                    <w:jc w:val="center"/>
                    <w:rPr>
                      <w:rFonts w:ascii="宋体" w:hAnsi="宋体" w:cs="宋体"/>
                      <w:color w:val="auto"/>
                      <w:sz w:val="22"/>
                      <w:highlight w:val="none"/>
                    </w:rPr>
                  </w:pPr>
                  <w:r>
                    <w:rPr>
                      <w:rFonts w:hint="eastAsia" w:ascii="宋体" w:hAnsi="宋体" w:cs="宋体"/>
                      <w:color w:val="auto"/>
                      <w:kern w:val="0"/>
                      <w:sz w:val="22"/>
                      <w:highlight w:val="none"/>
                    </w:rPr>
                    <w:t>50周岁及以下</w:t>
                  </w:r>
                </w:p>
              </w:tc>
              <w:tc>
                <w:tcPr>
                  <w:tcW w:w="980" w:type="dxa"/>
                  <w:tcBorders>
                    <w:top w:val="nil"/>
                    <w:left w:val="nil"/>
                    <w:bottom w:val="single" w:color="auto" w:sz="4" w:space="0"/>
                    <w:right w:val="single" w:color="auto" w:sz="4" w:space="0"/>
                  </w:tcBorders>
                  <w:shd w:val="clear" w:color="000000" w:fill="FFFFFF"/>
                  <w:vAlign w:val="center"/>
                </w:tcPr>
                <w:p w14:paraId="008D3BA7">
                  <w:pPr>
                    <w:widowControl/>
                    <w:jc w:val="center"/>
                    <w:rPr>
                      <w:rFonts w:ascii="宋体" w:hAnsi="宋体" w:cs="宋体"/>
                      <w:color w:val="auto"/>
                      <w:sz w:val="22"/>
                      <w:highlight w:val="none"/>
                    </w:rPr>
                  </w:pPr>
                  <w:r>
                    <w:rPr>
                      <w:rFonts w:hint="eastAsia" w:ascii="宋体" w:hAnsi="宋体" w:cs="宋体"/>
                      <w:color w:val="auto"/>
                      <w:kern w:val="0"/>
                      <w:sz w:val="22"/>
                      <w:highlight w:val="none"/>
                    </w:rPr>
                    <w:t>大学本科及以上学历</w:t>
                  </w:r>
                </w:p>
              </w:tc>
              <w:tc>
                <w:tcPr>
                  <w:tcW w:w="3412" w:type="dxa"/>
                  <w:tcBorders>
                    <w:top w:val="nil"/>
                    <w:left w:val="nil"/>
                    <w:bottom w:val="single" w:color="auto" w:sz="4" w:space="0"/>
                    <w:right w:val="single" w:color="auto" w:sz="4" w:space="0"/>
                  </w:tcBorders>
                  <w:shd w:val="clear" w:color="000000" w:fill="FFFFFF"/>
                </w:tcPr>
                <w:p w14:paraId="4EB1CB41">
                  <w:pPr>
                    <w:widowControl/>
                    <w:numPr>
                      <w:ilvl w:val="0"/>
                      <w:numId w:val="23"/>
                    </w:numPr>
                    <w:tabs>
                      <w:tab w:val="left" w:pos="454"/>
                    </w:tabs>
                    <w:adjustRightInd w:val="0"/>
                    <w:jc w:val="left"/>
                    <w:rPr>
                      <w:rFonts w:ascii="宋体" w:hAnsi="宋体" w:cs="宋体"/>
                      <w:color w:val="auto"/>
                      <w:sz w:val="22"/>
                      <w:highlight w:val="none"/>
                    </w:rPr>
                  </w:pPr>
                  <w:r>
                    <w:rPr>
                      <w:rFonts w:hint="eastAsia" w:ascii="宋体" w:hAnsi="宋体" w:cs="宋体"/>
                      <w:color w:val="auto"/>
                      <w:kern w:val="0"/>
                      <w:sz w:val="22"/>
                      <w:highlight w:val="none"/>
                    </w:rPr>
                    <w:t>工作经验：学生公寓经理具有三年及以上学生公寓管理经验</w:t>
                  </w:r>
                </w:p>
                <w:p w14:paraId="2B6E6CD5">
                  <w:pPr>
                    <w:widowControl/>
                    <w:numPr>
                      <w:ilvl w:val="0"/>
                      <w:numId w:val="23"/>
                    </w:numPr>
                    <w:tabs>
                      <w:tab w:val="left" w:pos="454"/>
                    </w:tabs>
                    <w:adjustRightInd w:val="0"/>
                    <w:jc w:val="left"/>
                    <w:rPr>
                      <w:rFonts w:ascii="宋体" w:hAnsi="宋体" w:cs="宋体"/>
                      <w:color w:val="auto"/>
                      <w:sz w:val="22"/>
                      <w:highlight w:val="none"/>
                    </w:rPr>
                  </w:pPr>
                  <w:r>
                    <w:rPr>
                      <w:rFonts w:hint="eastAsia" w:ascii="宋体" w:hAnsi="宋体" w:cs="宋体"/>
                      <w:color w:val="auto"/>
                      <w:kern w:val="0"/>
                      <w:sz w:val="22"/>
                      <w:highlight w:val="none"/>
                    </w:rPr>
                    <w:t>有良好的沟通能力，政治素质好，业务能力强，工作责任感好，组织管理能力强。</w:t>
                  </w:r>
                </w:p>
              </w:tc>
              <w:tc>
                <w:tcPr>
                  <w:tcW w:w="1094" w:type="dxa"/>
                  <w:tcBorders>
                    <w:top w:val="nil"/>
                    <w:left w:val="nil"/>
                    <w:bottom w:val="single" w:color="auto" w:sz="4" w:space="0"/>
                    <w:right w:val="single" w:color="auto" w:sz="4" w:space="0"/>
                  </w:tcBorders>
                  <w:shd w:val="clear" w:color="000000" w:fill="FFFFFF"/>
                  <w:vAlign w:val="center"/>
                </w:tcPr>
                <w:p w14:paraId="5F12E9C1">
                  <w:pPr>
                    <w:widowControl/>
                    <w:jc w:val="center"/>
                    <w:rPr>
                      <w:rFonts w:ascii="宋体" w:hAnsi="宋体" w:cs="宋体"/>
                      <w:strike/>
                      <w:color w:val="auto"/>
                      <w:sz w:val="22"/>
                      <w:highlight w:val="none"/>
                    </w:rPr>
                  </w:pPr>
                </w:p>
              </w:tc>
            </w:tr>
            <w:tr w14:paraId="3B20739E">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0D4B32E8">
                  <w:pPr>
                    <w:widowControl/>
                    <w:jc w:val="center"/>
                    <w:rPr>
                      <w:rFonts w:ascii="宋体" w:hAnsi="宋体" w:cs="宋体"/>
                      <w:color w:val="auto"/>
                      <w:sz w:val="22"/>
                      <w:highlight w:val="none"/>
                    </w:rPr>
                  </w:pPr>
                  <w:r>
                    <w:rPr>
                      <w:rFonts w:hint="eastAsia" w:ascii="宋体" w:hAnsi="宋体" w:cs="宋体"/>
                      <w:color w:val="auto"/>
                      <w:sz w:val="22"/>
                      <w:highlight w:val="none"/>
                    </w:rPr>
                    <w:t>7</w:t>
                  </w:r>
                </w:p>
              </w:tc>
              <w:tc>
                <w:tcPr>
                  <w:tcW w:w="1180" w:type="dxa"/>
                  <w:tcBorders>
                    <w:top w:val="nil"/>
                    <w:left w:val="nil"/>
                    <w:bottom w:val="single" w:color="auto" w:sz="4" w:space="0"/>
                    <w:right w:val="single" w:color="auto" w:sz="4" w:space="0"/>
                  </w:tcBorders>
                  <w:shd w:val="clear" w:color="000000" w:fill="FFFFFF"/>
                  <w:noWrap/>
                  <w:vAlign w:val="center"/>
                </w:tcPr>
                <w:p w14:paraId="4F8D4664">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保洁人员</w:t>
                  </w:r>
                </w:p>
              </w:tc>
              <w:tc>
                <w:tcPr>
                  <w:tcW w:w="880" w:type="dxa"/>
                  <w:tcBorders>
                    <w:top w:val="nil"/>
                    <w:left w:val="nil"/>
                    <w:bottom w:val="single" w:color="auto" w:sz="4" w:space="0"/>
                    <w:right w:val="single" w:color="auto" w:sz="4" w:space="0"/>
                  </w:tcBorders>
                  <w:shd w:val="clear" w:color="000000" w:fill="FFFFFF"/>
                  <w:vAlign w:val="center"/>
                </w:tcPr>
                <w:p w14:paraId="2D9EC2BE">
                  <w:pPr>
                    <w:widowControl/>
                    <w:jc w:val="center"/>
                    <w:rPr>
                      <w:rFonts w:ascii="宋体" w:hAnsi="宋体" w:cs="宋体"/>
                      <w:color w:val="auto"/>
                      <w:sz w:val="22"/>
                      <w:highlight w:val="none"/>
                    </w:rPr>
                  </w:pPr>
                  <w:r>
                    <w:rPr>
                      <w:rFonts w:hint="eastAsia" w:ascii="宋体" w:hAnsi="宋体" w:cs="宋体"/>
                      <w:color w:val="auto"/>
                      <w:sz w:val="22"/>
                      <w:highlight w:val="none"/>
                    </w:rPr>
                    <w:t>55周岁以下</w:t>
                  </w:r>
                </w:p>
              </w:tc>
              <w:tc>
                <w:tcPr>
                  <w:tcW w:w="980" w:type="dxa"/>
                  <w:tcBorders>
                    <w:top w:val="nil"/>
                    <w:left w:val="nil"/>
                    <w:bottom w:val="single" w:color="auto" w:sz="4" w:space="0"/>
                    <w:right w:val="single" w:color="auto" w:sz="4" w:space="0"/>
                  </w:tcBorders>
                  <w:shd w:val="clear" w:color="000000" w:fill="FFFFFF"/>
                  <w:vAlign w:val="center"/>
                </w:tcPr>
                <w:p w14:paraId="0B1138B4">
                  <w:pPr>
                    <w:widowControl/>
                    <w:jc w:val="center"/>
                    <w:rPr>
                      <w:rFonts w:ascii="宋体" w:hAnsi="宋体" w:cs="宋体"/>
                      <w:color w:val="auto"/>
                      <w:sz w:val="22"/>
                      <w:highlight w:val="none"/>
                    </w:rPr>
                  </w:pPr>
                  <w:r>
                    <w:rPr>
                      <w:rFonts w:hint="eastAsia" w:ascii="宋体" w:hAnsi="宋体" w:cs="宋体"/>
                      <w:color w:val="auto"/>
                      <w:sz w:val="22"/>
                      <w:highlight w:val="none"/>
                    </w:rPr>
                    <w:t>/</w:t>
                  </w:r>
                </w:p>
              </w:tc>
              <w:tc>
                <w:tcPr>
                  <w:tcW w:w="3412" w:type="dxa"/>
                  <w:tcBorders>
                    <w:top w:val="nil"/>
                    <w:left w:val="nil"/>
                    <w:bottom w:val="single" w:color="auto" w:sz="4" w:space="0"/>
                    <w:right w:val="single" w:color="auto" w:sz="4" w:space="0"/>
                  </w:tcBorders>
                  <w:shd w:val="clear" w:color="000000" w:fill="FFFFFF"/>
                  <w:vAlign w:val="center"/>
                </w:tcPr>
                <w:p w14:paraId="30977440">
                  <w:pPr>
                    <w:spacing w:line="276" w:lineRule="auto"/>
                    <w:rPr>
                      <w:rFonts w:ascii="宋体" w:hAnsi="宋体" w:cs="宋体"/>
                      <w:color w:val="auto"/>
                      <w:sz w:val="22"/>
                      <w:highlight w:val="none"/>
                    </w:rPr>
                  </w:pPr>
                  <w:r>
                    <w:rPr>
                      <w:rFonts w:hint="eastAsia" w:ascii="宋体" w:hAnsi="宋体" w:cs="宋体"/>
                      <w:color w:val="auto"/>
                      <w:sz w:val="22"/>
                      <w:highlight w:val="none"/>
                    </w:rPr>
                    <w:t>1、身体健康，工作认真负责并定期接受培训；</w:t>
                  </w:r>
                </w:p>
                <w:p w14:paraId="1A50C7E1">
                  <w:pPr>
                    <w:spacing w:line="276" w:lineRule="auto"/>
                    <w:rPr>
                      <w:rFonts w:ascii="宋体" w:hAnsi="宋体" w:cs="宋体"/>
                      <w:color w:val="auto"/>
                      <w:sz w:val="22"/>
                      <w:highlight w:val="none"/>
                    </w:rPr>
                  </w:pPr>
                  <w:r>
                    <w:rPr>
                      <w:rFonts w:hint="eastAsia" w:ascii="宋体" w:hAnsi="宋体" w:cs="宋体"/>
                      <w:color w:val="auto"/>
                      <w:sz w:val="22"/>
                      <w:highlight w:val="none"/>
                    </w:rPr>
                    <w:t>2、文明工作，训练有素，言语规范，认真负责，能够对学生起到正面影响；</w:t>
                  </w:r>
                </w:p>
                <w:p w14:paraId="7C260F57">
                  <w:pPr>
                    <w:widowControl/>
                    <w:rPr>
                      <w:rFonts w:ascii="宋体" w:hAnsi="宋体" w:cs="宋体"/>
                      <w:color w:val="auto"/>
                      <w:sz w:val="22"/>
                      <w:highlight w:val="none"/>
                    </w:rPr>
                  </w:pPr>
                  <w:r>
                    <w:rPr>
                      <w:rFonts w:hint="eastAsia" w:ascii="宋体" w:hAnsi="宋体" w:cs="宋体"/>
                      <w:color w:val="auto"/>
                      <w:sz w:val="22"/>
                      <w:highlight w:val="none"/>
                    </w:rPr>
                    <w:t>3、上岗时佩戴统一标志，按需求穿戴统一制服，仪容仪表规范整齐。</w:t>
                  </w:r>
                </w:p>
              </w:tc>
              <w:tc>
                <w:tcPr>
                  <w:tcW w:w="1094" w:type="dxa"/>
                  <w:tcBorders>
                    <w:top w:val="nil"/>
                    <w:left w:val="nil"/>
                    <w:bottom w:val="single" w:color="auto" w:sz="4" w:space="0"/>
                    <w:right w:val="single" w:color="auto" w:sz="4" w:space="0"/>
                  </w:tcBorders>
                  <w:shd w:val="clear" w:color="000000" w:fill="FFFFFF"/>
                  <w:vAlign w:val="center"/>
                </w:tcPr>
                <w:p w14:paraId="2515455B">
                  <w:pPr>
                    <w:widowControl/>
                    <w:jc w:val="center"/>
                    <w:rPr>
                      <w:rFonts w:ascii="宋体" w:hAnsi="宋体" w:cs="宋体"/>
                      <w:strike/>
                      <w:color w:val="auto"/>
                      <w:sz w:val="22"/>
                      <w:highlight w:val="none"/>
                    </w:rPr>
                  </w:pPr>
                </w:p>
              </w:tc>
            </w:tr>
            <w:tr w14:paraId="7F6F8F34">
              <w:tblPrEx>
                <w:tblCellMar>
                  <w:top w:w="0" w:type="dxa"/>
                  <w:left w:w="108" w:type="dxa"/>
                  <w:bottom w:w="0" w:type="dxa"/>
                  <w:right w:w="108" w:type="dxa"/>
                </w:tblCellMar>
              </w:tblPrEx>
              <w:trPr>
                <w:trHeight w:val="600" w:hRule="atLeast"/>
                <w:jc w:val="center"/>
              </w:trPr>
              <w:tc>
                <w:tcPr>
                  <w:tcW w:w="680" w:type="dxa"/>
                  <w:vMerge w:val="restart"/>
                  <w:tcBorders>
                    <w:top w:val="nil"/>
                    <w:left w:val="single" w:color="auto" w:sz="4" w:space="0"/>
                    <w:right w:val="single" w:color="auto" w:sz="4" w:space="0"/>
                  </w:tcBorders>
                  <w:shd w:val="clear" w:color="000000" w:fill="FFFFFF"/>
                  <w:vAlign w:val="center"/>
                </w:tcPr>
                <w:p w14:paraId="27E546E0">
                  <w:pPr>
                    <w:widowControl/>
                    <w:jc w:val="center"/>
                    <w:rPr>
                      <w:rFonts w:ascii="宋体" w:hAnsi="宋体" w:cs="宋体"/>
                      <w:color w:val="auto"/>
                      <w:sz w:val="22"/>
                      <w:highlight w:val="none"/>
                    </w:rPr>
                  </w:pPr>
                  <w:r>
                    <w:rPr>
                      <w:rFonts w:hint="eastAsia" w:ascii="宋体" w:hAnsi="宋体" w:cs="宋体"/>
                      <w:color w:val="auto"/>
                      <w:sz w:val="22"/>
                      <w:highlight w:val="none"/>
                    </w:rPr>
                    <w:t>8</w:t>
                  </w:r>
                </w:p>
              </w:tc>
              <w:tc>
                <w:tcPr>
                  <w:tcW w:w="1180" w:type="dxa"/>
                  <w:tcBorders>
                    <w:top w:val="nil"/>
                    <w:left w:val="nil"/>
                    <w:bottom w:val="single" w:color="auto" w:sz="4" w:space="0"/>
                    <w:right w:val="single" w:color="auto" w:sz="4" w:space="0"/>
                  </w:tcBorders>
                  <w:shd w:val="clear" w:color="000000" w:fill="FFFFFF"/>
                  <w:noWrap/>
                  <w:vAlign w:val="center"/>
                </w:tcPr>
                <w:p w14:paraId="34244918">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工程维修人员</w:t>
                  </w:r>
                  <w:r>
                    <w:rPr>
                      <w:rFonts w:hint="eastAsia" w:ascii="宋体" w:hAnsi="宋体" w:cs="宋体"/>
                      <w:color w:val="auto"/>
                      <w:kern w:val="0"/>
                      <w:sz w:val="22"/>
                      <w:highlight w:val="none"/>
                      <w:lang w:bidi="ar"/>
                    </w:rPr>
                    <w:br w:type="textWrapping"/>
                  </w:r>
                  <w:r>
                    <w:rPr>
                      <w:rFonts w:hint="eastAsia" w:ascii="宋体" w:hAnsi="宋体" w:cs="宋体"/>
                      <w:color w:val="auto"/>
                      <w:kern w:val="0"/>
                      <w:sz w:val="22"/>
                      <w:highlight w:val="none"/>
                      <w:lang w:bidi="ar"/>
                    </w:rPr>
                    <w:t>（含水泥工）</w:t>
                  </w:r>
                </w:p>
              </w:tc>
              <w:tc>
                <w:tcPr>
                  <w:tcW w:w="880" w:type="dxa"/>
                  <w:tcBorders>
                    <w:top w:val="nil"/>
                    <w:left w:val="nil"/>
                    <w:bottom w:val="single" w:color="auto" w:sz="4" w:space="0"/>
                    <w:right w:val="single" w:color="auto" w:sz="4" w:space="0"/>
                  </w:tcBorders>
                  <w:shd w:val="clear" w:color="000000" w:fill="FFFFFF"/>
                  <w:vAlign w:val="center"/>
                </w:tcPr>
                <w:p w14:paraId="797CA41F">
                  <w:pPr>
                    <w:widowControl/>
                    <w:jc w:val="center"/>
                    <w:rPr>
                      <w:rFonts w:ascii="宋体" w:hAnsi="宋体" w:cs="宋体"/>
                      <w:color w:val="auto"/>
                      <w:sz w:val="22"/>
                      <w:highlight w:val="none"/>
                    </w:rPr>
                  </w:pPr>
                  <w:r>
                    <w:rPr>
                      <w:rFonts w:hint="eastAsia" w:ascii="宋体" w:hAnsi="宋体" w:cs="宋体"/>
                      <w:color w:val="auto"/>
                      <w:sz w:val="22"/>
                      <w:highlight w:val="none"/>
                    </w:rPr>
                    <w:t>50周岁以下</w:t>
                  </w:r>
                </w:p>
              </w:tc>
              <w:tc>
                <w:tcPr>
                  <w:tcW w:w="980" w:type="dxa"/>
                  <w:tcBorders>
                    <w:top w:val="nil"/>
                    <w:left w:val="nil"/>
                    <w:bottom w:val="single" w:color="auto" w:sz="4" w:space="0"/>
                    <w:right w:val="single" w:color="auto" w:sz="4" w:space="0"/>
                  </w:tcBorders>
                  <w:shd w:val="clear" w:color="000000" w:fill="FFFFFF"/>
                  <w:vAlign w:val="center"/>
                </w:tcPr>
                <w:p w14:paraId="7A10D0BB">
                  <w:pPr>
                    <w:widowControl/>
                    <w:jc w:val="center"/>
                    <w:rPr>
                      <w:rFonts w:ascii="宋体" w:hAnsi="宋体" w:cs="宋体"/>
                      <w:color w:val="auto"/>
                      <w:sz w:val="22"/>
                      <w:highlight w:val="none"/>
                    </w:rPr>
                  </w:pPr>
                  <w:r>
                    <w:rPr>
                      <w:rFonts w:hint="eastAsia" w:ascii="宋体" w:hAnsi="宋体" w:cs="宋体"/>
                      <w:color w:val="auto"/>
                      <w:sz w:val="22"/>
                      <w:highlight w:val="none"/>
                    </w:rPr>
                    <w:t>高中及以上和特种证书</w:t>
                  </w:r>
                </w:p>
              </w:tc>
              <w:tc>
                <w:tcPr>
                  <w:tcW w:w="3412" w:type="dxa"/>
                  <w:tcBorders>
                    <w:top w:val="nil"/>
                    <w:left w:val="nil"/>
                    <w:bottom w:val="single" w:color="auto" w:sz="4" w:space="0"/>
                    <w:right w:val="single" w:color="auto" w:sz="4" w:space="0"/>
                  </w:tcBorders>
                  <w:shd w:val="clear" w:color="000000" w:fill="FFFFFF"/>
                  <w:vAlign w:val="center"/>
                </w:tcPr>
                <w:p w14:paraId="38E4341B">
                  <w:pPr>
                    <w:widowControl/>
                    <w:rPr>
                      <w:rFonts w:ascii="宋体" w:hAnsi="宋体" w:cs="宋体"/>
                      <w:color w:val="auto"/>
                      <w:sz w:val="22"/>
                      <w:highlight w:val="none"/>
                    </w:rPr>
                  </w:pPr>
                  <w:r>
                    <w:rPr>
                      <w:rFonts w:hint="eastAsia" w:ascii="宋体" w:hAnsi="宋体" w:cs="宋体"/>
                      <w:color w:val="auto"/>
                      <w:sz w:val="22"/>
                      <w:highlight w:val="none"/>
                    </w:rPr>
                    <w:t>1、身体健康，工作认真负责并定期接受培训；</w:t>
                  </w:r>
                </w:p>
                <w:p w14:paraId="780397DC">
                  <w:pPr>
                    <w:widowControl/>
                    <w:rPr>
                      <w:rFonts w:ascii="宋体" w:hAnsi="宋体" w:cs="宋体"/>
                      <w:color w:val="auto"/>
                      <w:sz w:val="22"/>
                      <w:highlight w:val="none"/>
                    </w:rPr>
                  </w:pPr>
                  <w:r>
                    <w:rPr>
                      <w:rFonts w:hint="eastAsia" w:ascii="宋体" w:hAnsi="宋体" w:cs="宋体"/>
                      <w:color w:val="auto"/>
                      <w:sz w:val="22"/>
                      <w:highlight w:val="none"/>
                    </w:rPr>
                    <w:t>2、水电工、木工、泥水工需有相关工作丰富经验，其中水电工（除泥水工、木工外）需要政府部门颁发的低压电工特种作业操作证；</w:t>
                  </w:r>
                </w:p>
                <w:p w14:paraId="269EB211">
                  <w:pPr>
                    <w:widowControl/>
                    <w:rPr>
                      <w:rFonts w:ascii="宋体" w:hAnsi="宋体" w:cs="宋体"/>
                      <w:color w:val="auto"/>
                      <w:sz w:val="22"/>
                      <w:highlight w:val="none"/>
                    </w:rPr>
                  </w:pPr>
                  <w:r>
                    <w:rPr>
                      <w:rFonts w:hint="eastAsia" w:ascii="宋体" w:hAnsi="宋体" w:cs="宋体"/>
                      <w:color w:val="auto"/>
                      <w:sz w:val="22"/>
                      <w:highlight w:val="none"/>
                    </w:rPr>
                    <w:t>3、上岗时佩戴统一标志，按需求穿戴统一制服，仪容仪表规范整齐，文明工作，训练有素，言语规范；</w:t>
                  </w:r>
                </w:p>
                <w:p w14:paraId="564318AA">
                  <w:pPr>
                    <w:widowControl/>
                    <w:rPr>
                      <w:rFonts w:ascii="宋体" w:hAnsi="宋体" w:cs="宋体"/>
                      <w:color w:val="auto"/>
                      <w:sz w:val="22"/>
                      <w:highlight w:val="none"/>
                    </w:rPr>
                  </w:pPr>
                  <w:r>
                    <w:rPr>
                      <w:rFonts w:hint="eastAsia" w:ascii="宋体" w:hAnsi="宋体" w:cs="宋体"/>
                      <w:color w:val="auto"/>
                      <w:sz w:val="22"/>
                      <w:highlight w:val="none"/>
                    </w:rPr>
                    <w:t>4、24小时值班。</w:t>
                  </w:r>
                </w:p>
              </w:tc>
              <w:tc>
                <w:tcPr>
                  <w:tcW w:w="1094" w:type="dxa"/>
                  <w:tcBorders>
                    <w:top w:val="nil"/>
                    <w:left w:val="nil"/>
                    <w:bottom w:val="single" w:color="auto" w:sz="4" w:space="0"/>
                    <w:right w:val="single" w:color="auto" w:sz="4" w:space="0"/>
                  </w:tcBorders>
                  <w:shd w:val="clear" w:color="000000" w:fill="FFFFFF"/>
                  <w:vAlign w:val="center"/>
                </w:tcPr>
                <w:p w14:paraId="4489E46E">
                  <w:pPr>
                    <w:widowControl/>
                    <w:jc w:val="center"/>
                    <w:rPr>
                      <w:rFonts w:ascii="宋体" w:hAnsi="宋体" w:cs="宋体"/>
                      <w:strike/>
                      <w:color w:val="auto"/>
                      <w:sz w:val="22"/>
                      <w:highlight w:val="none"/>
                    </w:rPr>
                  </w:pPr>
                </w:p>
              </w:tc>
            </w:tr>
            <w:tr w14:paraId="4424195C">
              <w:tblPrEx>
                <w:tblCellMar>
                  <w:top w:w="0" w:type="dxa"/>
                  <w:left w:w="108" w:type="dxa"/>
                  <w:bottom w:w="0" w:type="dxa"/>
                  <w:right w:w="108" w:type="dxa"/>
                </w:tblCellMar>
              </w:tblPrEx>
              <w:trPr>
                <w:trHeight w:val="600"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54898302">
                  <w:pPr>
                    <w:widowControl/>
                    <w:jc w:val="center"/>
                    <w:rPr>
                      <w:rFonts w:ascii="宋体" w:hAnsi="宋体" w:cs="宋体"/>
                      <w:color w:val="auto"/>
                      <w:sz w:val="22"/>
                      <w:highlight w:val="none"/>
                    </w:rPr>
                  </w:pPr>
                </w:p>
              </w:tc>
              <w:tc>
                <w:tcPr>
                  <w:tcW w:w="1180" w:type="dxa"/>
                  <w:tcBorders>
                    <w:top w:val="nil"/>
                    <w:left w:val="nil"/>
                    <w:bottom w:val="single" w:color="auto" w:sz="4" w:space="0"/>
                    <w:right w:val="single" w:color="auto" w:sz="4" w:space="0"/>
                  </w:tcBorders>
                  <w:shd w:val="clear" w:color="000000" w:fill="FFFFFF"/>
                  <w:noWrap/>
                  <w:vAlign w:val="center"/>
                </w:tcPr>
                <w:p w14:paraId="3A73B4BA">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智能化维修人员</w:t>
                  </w:r>
                </w:p>
              </w:tc>
              <w:tc>
                <w:tcPr>
                  <w:tcW w:w="880" w:type="dxa"/>
                  <w:tcBorders>
                    <w:top w:val="nil"/>
                    <w:left w:val="nil"/>
                    <w:bottom w:val="single" w:color="auto" w:sz="4" w:space="0"/>
                    <w:right w:val="single" w:color="auto" w:sz="4" w:space="0"/>
                  </w:tcBorders>
                  <w:shd w:val="clear" w:color="000000" w:fill="FFFFFF"/>
                  <w:vAlign w:val="center"/>
                </w:tcPr>
                <w:p w14:paraId="03E9049D">
                  <w:pPr>
                    <w:widowControl/>
                    <w:jc w:val="center"/>
                    <w:rPr>
                      <w:rFonts w:ascii="宋体" w:hAnsi="宋体" w:cs="宋体"/>
                      <w:color w:val="auto"/>
                      <w:sz w:val="22"/>
                      <w:highlight w:val="none"/>
                    </w:rPr>
                  </w:pPr>
                  <w:r>
                    <w:rPr>
                      <w:rFonts w:hint="eastAsia" w:ascii="宋体" w:hAnsi="宋体" w:cs="宋体"/>
                      <w:color w:val="auto"/>
                      <w:sz w:val="22"/>
                      <w:highlight w:val="none"/>
                    </w:rPr>
                    <w:t>50周岁以下</w:t>
                  </w:r>
                </w:p>
              </w:tc>
              <w:tc>
                <w:tcPr>
                  <w:tcW w:w="980" w:type="dxa"/>
                  <w:tcBorders>
                    <w:top w:val="nil"/>
                    <w:left w:val="nil"/>
                    <w:bottom w:val="single" w:color="auto" w:sz="4" w:space="0"/>
                    <w:right w:val="single" w:color="auto" w:sz="4" w:space="0"/>
                  </w:tcBorders>
                  <w:shd w:val="clear" w:color="000000" w:fill="FFFFFF"/>
                  <w:vAlign w:val="center"/>
                </w:tcPr>
                <w:p w14:paraId="1D62A1A0">
                  <w:pPr>
                    <w:widowControl/>
                    <w:jc w:val="center"/>
                    <w:rPr>
                      <w:rFonts w:ascii="宋体" w:hAnsi="宋体" w:cs="宋体"/>
                      <w:color w:val="auto"/>
                      <w:sz w:val="22"/>
                      <w:highlight w:val="none"/>
                    </w:rPr>
                  </w:pPr>
                  <w:r>
                    <w:rPr>
                      <w:rFonts w:hint="eastAsia" w:ascii="宋体" w:hAnsi="宋体" w:cs="宋体"/>
                      <w:color w:val="auto"/>
                      <w:sz w:val="22"/>
                      <w:highlight w:val="none"/>
                    </w:rPr>
                    <w:t>大专及以上</w:t>
                  </w:r>
                </w:p>
              </w:tc>
              <w:tc>
                <w:tcPr>
                  <w:tcW w:w="3412" w:type="dxa"/>
                  <w:tcBorders>
                    <w:top w:val="nil"/>
                    <w:left w:val="nil"/>
                    <w:bottom w:val="single" w:color="auto" w:sz="4" w:space="0"/>
                    <w:right w:val="single" w:color="auto" w:sz="4" w:space="0"/>
                  </w:tcBorders>
                  <w:shd w:val="clear" w:color="000000" w:fill="FFFFFF"/>
                  <w:vAlign w:val="center"/>
                </w:tcPr>
                <w:p w14:paraId="670B3519">
                  <w:pPr>
                    <w:widowControl/>
                    <w:rPr>
                      <w:rFonts w:ascii="宋体" w:hAnsi="宋体" w:cs="宋体"/>
                      <w:color w:val="auto"/>
                      <w:sz w:val="22"/>
                      <w:highlight w:val="none"/>
                    </w:rPr>
                  </w:pPr>
                  <w:r>
                    <w:rPr>
                      <w:rFonts w:hint="eastAsia" w:ascii="宋体" w:hAnsi="宋体" w:cs="宋体"/>
                      <w:color w:val="auto"/>
                      <w:sz w:val="22"/>
                      <w:highlight w:val="none"/>
                    </w:rPr>
                    <w:t>持有政府部门或政府部门授权的机构颁发的弱电等专业证书；</w:t>
                  </w:r>
                </w:p>
                <w:p w14:paraId="3400E888">
                  <w:pPr>
                    <w:widowControl/>
                    <w:rPr>
                      <w:rFonts w:ascii="宋体" w:hAnsi="宋体" w:cs="宋体"/>
                      <w:color w:val="auto"/>
                      <w:sz w:val="22"/>
                      <w:highlight w:val="none"/>
                    </w:rPr>
                  </w:pPr>
                  <w:r>
                    <w:rPr>
                      <w:rFonts w:hint="eastAsia" w:ascii="宋体" w:hAnsi="宋体" w:cs="宋体"/>
                      <w:color w:val="auto"/>
                      <w:sz w:val="22"/>
                      <w:highlight w:val="none"/>
                    </w:rPr>
                    <w:t>2.工作经验：具备三年及以上应熟悉各种智能化设备的基本原理、功能，掌握操作技能，具有设施设备及中控系统维护相关工作经验；具备弱电各系统主流软件平台操作技能与排查初步故障能力；具备基础的网络知识（IP地址、子网掩码、网关、VLAN概念），能处理常见网络故障。能熟悉使用万用表、网络测线仪、监控工程宝等常用检测工具进行故障诊断</w:t>
                  </w:r>
                </w:p>
                <w:p w14:paraId="6BDF3F81">
                  <w:pPr>
                    <w:widowControl/>
                    <w:rPr>
                      <w:rFonts w:ascii="宋体" w:hAnsi="宋体" w:cs="宋体"/>
                      <w:color w:val="auto"/>
                      <w:sz w:val="22"/>
                      <w:highlight w:val="none"/>
                    </w:rPr>
                  </w:pPr>
                  <w:r>
                    <w:rPr>
                      <w:rFonts w:hint="eastAsia" w:ascii="宋体" w:hAnsi="宋体" w:cs="宋体"/>
                      <w:color w:val="auto"/>
                      <w:sz w:val="22"/>
                      <w:highlight w:val="none"/>
                    </w:rPr>
                    <w:t>3、.政治素质好，业务能力强，工作责任感好，安全意识强，良好的服务意识和沟通协调能力，动手能力强，逻辑思维清晰，具备独立分析和解决问题的能力，具备良好的沟通能力及团队合作精神。</w:t>
                  </w:r>
                </w:p>
              </w:tc>
              <w:tc>
                <w:tcPr>
                  <w:tcW w:w="1094" w:type="dxa"/>
                  <w:tcBorders>
                    <w:top w:val="nil"/>
                    <w:left w:val="nil"/>
                    <w:bottom w:val="single" w:color="auto" w:sz="4" w:space="0"/>
                    <w:right w:val="single" w:color="auto" w:sz="4" w:space="0"/>
                  </w:tcBorders>
                  <w:shd w:val="clear" w:color="000000" w:fill="FFFFFF"/>
                  <w:vAlign w:val="center"/>
                </w:tcPr>
                <w:p w14:paraId="6E942388">
                  <w:pPr>
                    <w:widowControl/>
                    <w:jc w:val="center"/>
                    <w:rPr>
                      <w:rFonts w:ascii="宋体" w:hAnsi="宋体" w:cs="宋体"/>
                      <w:strike/>
                      <w:color w:val="auto"/>
                      <w:sz w:val="22"/>
                      <w:highlight w:val="none"/>
                    </w:rPr>
                  </w:pPr>
                </w:p>
              </w:tc>
            </w:tr>
            <w:tr w14:paraId="50712564">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0CD7C036">
                  <w:pPr>
                    <w:widowControl/>
                    <w:jc w:val="center"/>
                    <w:rPr>
                      <w:rFonts w:ascii="宋体" w:hAnsi="宋体" w:cs="宋体"/>
                      <w:color w:val="auto"/>
                      <w:sz w:val="22"/>
                      <w:highlight w:val="none"/>
                    </w:rPr>
                  </w:pPr>
                  <w:r>
                    <w:rPr>
                      <w:rFonts w:hint="eastAsia" w:ascii="宋体" w:hAnsi="宋体" w:cs="宋体"/>
                      <w:color w:val="auto"/>
                      <w:sz w:val="22"/>
                      <w:highlight w:val="none"/>
                    </w:rPr>
                    <w:t>9</w:t>
                  </w:r>
                </w:p>
              </w:tc>
              <w:tc>
                <w:tcPr>
                  <w:tcW w:w="1180" w:type="dxa"/>
                  <w:tcBorders>
                    <w:top w:val="nil"/>
                    <w:left w:val="nil"/>
                    <w:bottom w:val="single" w:color="auto" w:sz="4" w:space="0"/>
                    <w:right w:val="single" w:color="auto" w:sz="4" w:space="0"/>
                  </w:tcBorders>
                  <w:shd w:val="clear" w:color="000000" w:fill="FFFFFF"/>
                  <w:noWrap/>
                  <w:vAlign w:val="center"/>
                </w:tcPr>
                <w:p w14:paraId="753D042D">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会务人员</w:t>
                  </w:r>
                </w:p>
              </w:tc>
              <w:tc>
                <w:tcPr>
                  <w:tcW w:w="880" w:type="dxa"/>
                  <w:tcBorders>
                    <w:top w:val="nil"/>
                    <w:left w:val="nil"/>
                    <w:bottom w:val="single" w:color="auto" w:sz="4" w:space="0"/>
                    <w:right w:val="single" w:color="auto" w:sz="4" w:space="0"/>
                  </w:tcBorders>
                  <w:shd w:val="clear" w:color="000000" w:fill="FFFFFF"/>
                  <w:vAlign w:val="center"/>
                </w:tcPr>
                <w:p w14:paraId="7289E357">
                  <w:pPr>
                    <w:widowControl/>
                    <w:jc w:val="center"/>
                    <w:rPr>
                      <w:rFonts w:ascii="宋体" w:hAnsi="宋体" w:cs="宋体"/>
                      <w:color w:val="auto"/>
                      <w:sz w:val="22"/>
                      <w:highlight w:val="none"/>
                    </w:rPr>
                  </w:pPr>
                  <w:r>
                    <w:rPr>
                      <w:rFonts w:hint="eastAsia" w:ascii="宋体" w:hAnsi="宋体" w:cs="宋体"/>
                      <w:color w:val="auto"/>
                      <w:sz w:val="22"/>
                      <w:highlight w:val="none"/>
                    </w:rPr>
                    <w:t>35周岁以下</w:t>
                  </w:r>
                </w:p>
              </w:tc>
              <w:tc>
                <w:tcPr>
                  <w:tcW w:w="980" w:type="dxa"/>
                  <w:tcBorders>
                    <w:top w:val="nil"/>
                    <w:left w:val="nil"/>
                    <w:bottom w:val="single" w:color="auto" w:sz="4" w:space="0"/>
                    <w:right w:val="single" w:color="auto" w:sz="4" w:space="0"/>
                  </w:tcBorders>
                  <w:shd w:val="clear" w:color="000000" w:fill="FFFFFF"/>
                  <w:vAlign w:val="center"/>
                </w:tcPr>
                <w:p w14:paraId="3211C81D">
                  <w:pPr>
                    <w:widowControl/>
                    <w:jc w:val="center"/>
                    <w:rPr>
                      <w:rFonts w:ascii="宋体" w:hAnsi="宋体" w:cs="宋体"/>
                      <w:color w:val="auto"/>
                      <w:sz w:val="22"/>
                      <w:highlight w:val="none"/>
                    </w:rPr>
                  </w:pPr>
                  <w:r>
                    <w:rPr>
                      <w:rFonts w:hint="eastAsia" w:ascii="宋体" w:hAnsi="宋体" w:cs="宋体"/>
                      <w:color w:val="auto"/>
                      <w:sz w:val="22"/>
                      <w:highlight w:val="none"/>
                    </w:rPr>
                    <w:t>高中及以上</w:t>
                  </w:r>
                </w:p>
              </w:tc>
              <w:tc>
                <w:tcPr>
                  <w:tcW w:w="3412" w:type="dxa"/>
                  <w:tcBorders>
                    <w:top w:val="nil"/>
                    <w:left w:val="nil"/>
                    <w:bottom w:val="single" w:color="auto" w:sz="4" w:space="0"/>
                    <w:right w:val="single" w:color="auto" w:sz="4" w:space="0"/>
                  </w:tcBorders>
                  <w:shd w:val="clear" w:color="000000" w:fill="FFFFFF"/>
                  <w:vAlign w:val="center"/>
                </w:tcPr>
                <w:p w14:paraId="43AE1A20">
                  <w:pPr>
                    <w:widowControl/>
                    <w:rPr>
                      <w:rFonts w:ascii="宋体" w:hAnsi="宋体" w:cs="宋体"/>
                      <w:color w:val="auto"/>
                      <w:sz w:val="22"/>
                      <w:highlight w:val="none"/>
                    </w:rPr>
                  </w:pPr>
                  <w:r>
                    <w:rPr>
                      <w:rFonts w:hint="eastAsia" w:ascii="宋体" w:hAnsi="宋体" w:cs="宋体"/>
                      <w:color w:val="auto"/>
                      <w:sz w:val="22"/>
                      <w:highlight w:val="none"/>
                    </w:rPr>
                    <w:t>1、身体健康，仪表端庄，举止得体，工作认真负责并定期接受培训，身高不得低于160cm；</w:t>
                  </w:r>
                </w:p>
                <w:p w14:paraId="021B8DD9">
                  <w:pPr>
                    <w:widowControl/>
                    <w:rPr>
                      <w:rFonts w:ascii="宋体" w:hAnsi="宋体" w:cs="宋体"/>
                      <w:color w:val="auto"/>
                      <w:sz w:val="22"/>
                      <w:highlight w:val="none"/>
                    </w:rPr>
                  </w:pPr>
                  <w:r>
                    <w:rPr>
                      <w:rFonts w:hint="eastAsia" w:ascii="宋体" w:hAnsi="宋体" w:cs="宋体"/>
                      <w:color w:val="auto"/>
                      <w:sz w:val="22"/>
                      <w:highlight w:val="none"/>
                    </w:rPr>
                    <w:t>2、上岗时佩戴统一标志，按需求穿戴统一制服，仪容仪表规范整齐；</w:t>
                  </w:r>
                </w:p>
                <w:p w14:paraId="6C36AD07">
                  <w:pPr>
                    <w:widowControl/>
                    <w:rPr>
                      <w:rFonts w:ascii="宋体" w:hAnsi="宋体" w:cs="宋体"/>
                      <w:color w:val="auto"/>
                      <w:sz w:val="22"/>
                      <w:highlight w:val="none"/>
                    </w:rPr>
                  </w:pPr>
                  <w:r>
                    <w:rPr>
                      <w:rFonts w:hint="eastAsia" w:ascii="宋体" w:hAnsi="宋体" w:cs="宋体"/>
                      <w:color w:val="auto"/>
                      <w:sz w:val="22"/>
                      <w:highlight w:val="none"/>
                    </w:rPr>
                    <w:t>3、会简单英语；</w:t>
                  </w:r>
                </w:p>
                <w:p w14:paraId="304CACD1">
                  <w:pPr>
                    <w:widowControl/>
                    <w:rPr>
                      <w:rFonts w:ascii="宋体" w:hAnsi="宋体" w:cs="宋体"/>
                      <w:color w:val="auto"/>
                      <w:sz w:val="22"/>
                      <w:highlight w:val="none"/>
                    </w:rPr>
                  </w:pPr>
                  <w:r>
                    <w:rPr>
                      <w:rFonts w:hint="eastAsia" w:ascii="宋体" w:hAnsi="宋体" w:cs="宋体"/>
                      <w:color w:val="auto"/>
                      <w:sz w:val="22"/>
                      <w:highlight w:val="none"/>
                    </w:rPr>
                    <w:t xml:space="preserve">4、具有一定的会务接待经验，负责学校日常会务的接待工作。 </w:t>
                  </w:r>
                </w:p>
              </w:tc>
              <w:tc>
                <w:tcPr>
                  <w:tcW w:w="1094" w:type="dxa"/>
                  <w:tcBorders>
                    <w:top w:val="nil"/>
                    <w:left w:val="nil"/>
                    <w:bottom w:val="single" w:color="auto" w:sz="4" w:space="0"/>
                    <w:right w:val="single" w:color="auto" w:sz="4" w:space="0"/>
                  </w:tcBorders>
                  <w:shd w:val="clear" w:color="000000" w:fill="FFFFFF"/>
                  <w:vAlign w:val="center"/>
                </w:tcPr>
                <w:p w14:paraId="4FB452E1">
                  <w:pPr>
                    <w:widowControl/>
                    <w:jc w:val="center"/>
                    <w:rPr>
                      <w:rFonts w:ascii="宋体" w:hAnsi="宋体" w:cs="宋体"/>
                      <w:strike/>
                      <w:color w:val="auto"/>
                      <w:sz w:val="22"/>
                      <w:highlight w:val="none"/>
                    </w:rPr>
                  </w:pPr>
                </w:p>
              </w:tc>
            </w:tr>
            <w:tr w14:paraId="71C8476D">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651B5779">
                  <w:pPr>
                    <w:widowControl/>
                    <w:jc w:val="center"/>
                    <w:rPr>
                      <w:rFonts w:ascii="宋体" w:hAnsi="宋体" w:cs="宋体"/>
                      <w:color w:val="auto"/>
                      <w:sz w:val="22"/>
                      <w:highlight w:val="none"/>
                    </w:rPr>
                  </w:pPr>
                  <w:r>
                    <w:rPr>
                      <w:rFonts w:hint="eastAsia" w:ascii="宋体" w:hAnsi="宋体" w:cs="宋体"/>
                      <w:color w:val="auto"/>
                      <w:sz w:val="22"/>
                      <w:highlight w:val="none"/>
                    </w:rPr>
                    <w:t>10</w:t>
                  </w:r>
                </w:p>
              </w:tc>
              <w:tc>
                <w:tcPr>
                  <w:tcW w:w="1180" w:type="dxa"/>
                  <w:tcBorders>
                    <w:top w:val="nil"/>
                    <w:left w:val="nil"/>
                    <w:bottom w:val="single" w:color="auto" w:sz="4" w:space="0"/>
                    <w:right w:val="single" w:color="auto" w:sz="4" w:space="0"/>
                  </w:tcBorders>
                  <w:shd w:val="clear" w:color="000000" w:fill="FFFFFF"/>
                  <w:noWrap/>
                  <w:vAlign w:val="center"/>
                </w:tcPr>
                <w:p w14:paraId="4C130648">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楼宇管理人员</w:t>
                  </w:r>
                </w:p>
              </w:tc>
              <w:tc>
                <w:tcPr>
                  <w:tcW w:w="880" w:type="dxa"/>
                  <w:tcBorders>
                    <w:top w:val="nil"/>
                    <w:left w:val="nil"/>
                    <w:bottom w:val="single" w:color="auto" w:sz="4" w:space="0"/>
                    <w:right w:val="single" w:color="auto" w:sz="4" w:space="0"/>
                  </w:tcBorders>
                  <w:shd w:val="clear" w:color="000000" w:fill="FFFFFF"/>
                  <w:vAlign w:val="center"/>
                </w:tcPr>
                <w:p w14:paraId="5230AA64">
                  <w:pPr>
                    <w:widowControl/>
                    <w:jc w:val="center"/>
                    <w:rPr>
                      <w:rFonts w:ascii="宋体" w:hAnsi="宋体" w:cs="宋体"/>
                      <w:color w:val="auto"/>
                      <w:sz w:val="22"/>
                      <w:highlight w:val="none"/>
                    </w:rPr>
                  </w:pPr>
                  <w:r>
                    <w:rPr>
                      <w:rFonts w:hint="eastAsia" w:ascii="宋体" w:hAnsi="宋体" w:cs="宋体"/>
                      <w:color w:val="auto"/>
                      <w:sz w:val="22"/>
                      <w:highlight w:val="none"/>
                    </w:rPr>
                    <w:t>40周岁以下</w:t>
                  </w:r>
                </w:p>
              </w:tc>
              <w:tc>
                <w:tcPr>
                  <w:tcW w:w="980" w:type="dxa"/>
                  <w:tcBorders>
                    <w:top w:val="nil"/>
                    <w:left w:val="nil"/>
                    <w:bottom w:val="single" w:color="auto" w:sz="4" w:space="0"/>
                    <w:right w:val="single" w:color="auto" w:sz="4" w:space="0"/>
                  </w:tcBorders>
                  <w:shd w:val="clear" w:color="000000" w:fill="FFFFFF"/>
                  <w:vAlign w:val="center"/>
                </w:tcPr>
                <w:p w14:paraId="57B6F9C7">
                  <w:pPr>
                    <w:widowControl/>
                    <w:jc w:val="center"/>
                    <w:rPr>
                      <w:rFonts w:ascii="宋体" w:hAnsi="宋体" w:cs="宋体"/>
                      <w:color w:val="auto"/>
                      <w:sz w:val="22"/>
                      <w:highlight w:val="none"/>
                    </w:rPr>
                  </w:pPr>
                  <w:r>
                    <w:rPr>
                      <w:rFonts w:hint="eastAsia" w:ascii="宋体" w:hAnsi="宋体" w:cs="宋体"/>
                      <w:color w:val="auto"/>
                      <w:sz w:val="22"/>
                      <w:highlight w:val="none"/>
                    </w:rPr>
                    <w:t>高中及以上</w:t>
                  </w:r>
                </w:p>
              </w:tc>
              <w:tc>
                <w:tcPr>
                  <w:tcW w:w="3412" w:type="dxa"/>
                  <w:tcBorders>
                    <w:top w:val="nil"/>
                    <w:left w:val="nil"/>
                    <w:bottom w:val="single" w:color="auto" w:sz="4" w:space="0"/>
                    <w:right w:val="single" w:color="auto" w:sz="4" w:space="0"/>
                  </w:tcBorders>
                  <w:shd w:val="clear" w:color="000000" w:fill="FFFFFF"/>
                  <w:vAlign w:val="center"/>
                </w:tcPr>
                <w:p w14:paraId="3C4B62E4">
                  <w:pPr>
                    <w:spacing w:line="276" w:lineRule="auto"/>
                    <w:rPr>
                      <w:rFonts w:ascii="宋体" w:hAnsi="宋体" w:cs="宋体"/>
                      <w:color w:val="auto"/>
                      <w:sz w:val="22"/>
                      <w:highlight w:val="none"/>
                    </w:rPr>
                  </w:pPr>
                  <w:r>
                    <w:rPr>
                      <w:rFonts w:hint="eastAsia" w:ascii="宋体" w:hAnsi="宋体" w:cs="宋体"/>
                      <w:color w:val="auto"/>
                      <w:sz w:val="22"/>
                      <w:highlight w:val="none"/>
                    </w:rPr>
                    <w:t>1、身体健康，形象气质佳，工作认真负责并定期接受培训；</w:t>
                  </w:r>
                </w:p>
                <w:p w14:paraId="53914B82">
                  <w:pPr>
                    <w:widowControl/>
                    <w:rPr>
                      <w:rFonts w:ascii="宋体" w:hAnsi="宋体" w:cs="宋体"/>
                      <w:color w:val="auto"/>
                      <w:sz w:val="22"/>
                      <w:highlight w:val="none"/>
                    </w:rPr>
                  </w:pPr>
                  <w:r>
                    <w:rPr>
                      <w:rFonts w:hint="eastAsia" w:ascii="宋体" w:hAnsi="宋体" w:cs="宋体"/>
                      <w:color w:val="auto"/>
                      <w:sz w:val="22"/>
                      <w:highlight w:val="none"/>
                    </w:rPr>
                    <w:t>2、上岗时佩戴统一标志，统一着装，仪容仪表规范整齐；</w:t>
                  </w:r>
                </w:p>
                <w:p w14:paraId="0715BDCE">
                  <w:pPr>
                    <w:widowControl/>
                    <w:rPr>
                      <w:rFonts w:ascii="宋体" w:hAnsi="宋体" w:cs="宋体"/>
                      <w:color w:val="auto"/>
                      <w:sz w:val="22"/>
                      <w:highlight w:val="none"/>
                    </w:rPr>
                  </w:pPr>
                  <w:r>
                    <w:rPr>
                      <w:rFonts w:hint="eastAsia" w:ascii="宋体" w:hAnsi="宋体" w:cs="宋体"/>
                      <w:color w:val="auto"/>
                      <w:sz w:val="22"/>
                      <w:highlight w:val="none"/>
                    </w:rPr>
                    <w:t>3、会简单英语；</w:t>
                  </w:r>
                </w:p>
                <w:p w14:paraId="3D031BEE">
                  <w:pPr>
                    <w:widowControl/>
                    <w:rPr>
                      <w:rFonts w:ascii="宋体" w:hAnsi="宋体" w:cs="宋体"/>
                      <w:color w:val="auto"/>
                      <w:sz w:val="22"/>
                      <w:highlight w:val="none"/>
                    </w:rPr>
                  </w:pPr>
                  <w:r>
                    <w:rPr>
                      <w:rFonts w:hint="eastAsia" w:ascii="宋体" w:hAnsi="宋体" w:cs="宋体"/>
                      <w:color w:val="auto"/>
                      <w:sz w:val="22"/>
                      <w:highlight w:val="none"/>
                    </w:rPr>
                    <w:t>4、需要值晚班；</w:t>
                  </w:r>
                </w:p>
              </w:tc>
              <w:tc>
                <w:tcPr>
                  <w:tcW w:w="1094" w:type="dxa"/>
                  <w:tcBorders>
                    <w:top w:val="nil"/>
                    <w:left w:val="nil"/>
                    <w:bottom w:val="single" w:color="auto" w:sz="4" w:space="0"/>
                    <w:right w:val="single" w:color="auto" w:sz="4" w:space="0"/>
                  </w:tcBorders>
                  <w:shd w:val="clear" w:color="000000" w:fill="FFFFFF"/>
                  <w:vAlign w:val="center"/>
                </w:tcPr>
                <w:p w14:paraId="0460CC38">
                  <w:pPr>
                    <w:widowControl/>
                    <w:jc w:val="center"/>
                    <w:rPr>
                      <w:rFonts w:ascii="宋体" w:hAnsi="宋体" w:cs="宋体"/>
                      <w:strike/>
                      <w:color w:val="auto"/>
                      <w:sz w:val="22"/>
                      <w:highlight w:val="none"/>
                    </w:rPr>
                  </w:pPr>
                </w:p>
              </w:tc>
            </w:tr>
            <w:tr w14:paraId="33F697DF">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129E100A">
                  <w:pPr>
                    <w:widowControl/>
                    <w:jc w:val="center"/>
                    <w:rPr>
                      <w:rFonts w:ascii="宋体" w:hAnsi="宋体" w:cs="宋体"/>
                      <w:color w:val="auto"/>
                      <w:sz w:val="22"/>
                      <w:highlight w:val="none"/>
                    </w:rPr>
                  </w:pPr>
                  <w:r>
                    <w:rPr>
                      <w:rFonts w:hint="eastAsia" w:ascii="宋体" w:hAnsi="宋体" w:cs="宋体"/>
                      <w:color w:val="auto"/>
                      <w:sz w:val="22"/>
                      <w:highlight w:val="none"/>
                    </w:rPr>
                    <w:t>11</w:t>
                  </w:r>
                </w:p>
              </w:tc>
              <w:tc>
                <w:tcPr>
                  <w:tcW w:w="1180" w:type="dxa"/>
                  <w:tcBorders>
                    <w:top w:val="nil"/>
                    <w:left w:val="nil"/>
                    <w:bottom w:val="single" w:color="auto" w:sz="4" w:space="0"/>
                    <w:right w:val="single" w:color="auto" w:sz="4" w:space="0"/>
                  </w:tcBorders>
                  <w:shd w:val="clear" w:color="000000" w:fill="FFFFFF"/>
                  <w:noWrap/>
                  <w:vAlign w:val="center"/>
                </w:tcPr>
                <w:p w14:paraId="201A7889">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宿舍管理人员</w:t>
                  </w:r>
                </w:p>
              </w:tc>
              <w:tc>
                <w:tcPr>
                  <w:tcW w:w="880" w:type="dxa"/>
                  <w:tcBorders>
                    <w:top w:val="nil"/>
                    <w:left w:val="nil"/>
                    <w:bottom w:val="single" w:color="auto" w:sz="4" w:space="0"/>
                    <w:right w:val="single" w:color="auto" w:sz="4" w:space="0"/>
                  </w:tcBorders>
                  <w:shd w:val="clear" w:color="000000" w:fill="FFFFFF"/>
                  <w:vAlign w:val="center"/>
                </w:tcPr>
                <w:p w14:paraId="7CCFE24E">
                  <w:pPr>
                    <w:widowControl/>
                    <w:jc w:val="center"/>
                    <w:rPr>
                      <w:rFonts w:ascii="宋体" w:hAnsi="宋体" w:cs="宋体"/>
                      <w:color w:val="auto"/>
                      <w:sz w:val="22"/>
                      <w:highlight w:val="none"/>
                    </w:rPr>
                  </w:pPr>
                  <w:r>
                    <w:rPr>
                      <w:rFonts w:hint="eastAsia" w:ascii="宋体" w:hAnsi="宋体" w:cs="宋体"/>
                      <w:color w:val="auto"/>
                      <w:sz w:val="22"/>
                      <w:highlight w:val="none"/>
                    </w:rPr>
                    <w:t>55周岁以下</w:t>
                  </w:r>
                </w:p>
              </w:tc>
              <w:tc>
                <w:tcPr>
                  <w:tcW w:w="980" w:type="dxa"/>
                  <w:tcBorders>
                    <w:top w:val="nil"/>
                    <w:left w:val="nil"/>
                    <w:bottom w:val="single" w:color="auto" w:sz="4" w:space="0"/>
                    <w:right w:val="single" w:color="auto" w:sz="4" w:space="0"/>
                  </w:tcBorders>
                  <w:shd w:val="clear" w:color="000000" w:fill="FFFFFF"/>
                  <w:vAlign w:val="center"/>
                </w:tcPr>
                <w:p w14:paraId="6493B975">
                  <w:pPr>
                    <w:widowControl/>
                    <w:jc w:val="center"/>
                    <w:rPr>
                      <w:rFonts w:ascii="宋体" w:hAnsi="宋体" w:cs="宋体"/>
                      <w:color w:val="auto"/>
                      <w:sz w:val="22"/>
                      <w:highlight w:val="none"/>
                    </w:rPr>
                  </w:pPr>
                  <w:r>
                    <w:rPr>
                      <w:rFonts w:hint="eastAsia" w:ascii="宋体" w:hAnsi="宋体" w:cs="宋体"/>
                      <w:color w:val="auto"/>
                      <w:sz w:val="22"/>
                      <w:highlight w:val="none"/>
                    </w:rPr>
                    <w:t>高中及以上</w:t>
                  </w:r>
                </w:p>
              </w:tc>
              <w:tc>
                <w:tcPr>
                  <w:tcW w:w="3412" w:type="dxa"/>
                  <w:tcBorders>
                    <w:top w:val="nil"/>
                    <w:left w:val="nil"/>
                    <w:bottom w:val="single" w:color="auto" w:sz="4" w:space="0"/>
                    <w:right w:val="single" w:color="auto" w:sz="4" w:space="0"/>
                  </w:tcBorders>
                  <w:shd w:val="clear" w:color="000000" w:fill="FFFFFF"/>
                </w:tcPr>
                <w:p w14:paraId="351F02C4">
                  <w:pPr>
                    <w:spacing w:line="276" w:lineRule="auto"/>
                    <w:rPr>
                      <w:rFonts w:ascii="宋体" w:hAnsi="宋体" w:cs="宋体"/>
                      <w:color w:val="auto"/>
                      <w:sz w:val="22"/>
                      <w:highlight w:val="none"/>
                    </w:rPr>
                  </w:pPr>
                  <w:r>
                    <w:rPr>
                      <w:rFonts w:hint="eastAsia" w:ascii="宋体" w:hAnsi="宋体" w:cs="宋体"/>
                      <w:color w:val="auto"/>
                      <w:sz w:val="22"/>
                      <w:highlight w:val="none"/>
                    </w:rPr>
                    <w:t>1、身体健康，工作认真负责并定期接受培训；</w:t>
                  </w:r>
                </w:p>
                <w:p w14:paraId="1DC11440">
                  <w:pPr>
                    <w:spacing w:line="276" w:lineRule="auto"/>
                    <w:rPr>
                      <w:rFonts w:ascii="宋体" w:hAnsi="宋体" w:cs="宋体"/>
                      <w:color w:val="auto"/>
                      <w:sz w:val="22"/>
                      <w:highlight w:val="none"/>
                    </w:rPr>
                  </w:pPr>
                  <w:r>
                    <w:rPr>
                      <w:rFonts w:hint="eastAsia" w:ascii="宋体" w:hAnsi="宋体" w:cs="宋体"/>
                      <w:color w:val="auto"/>
                      <w:sz w:val="22"/>
                      <w:highlight w:val="none"/>
                    </w:rPr>
                    <w:t>2、上岗时佩戴统一标志，统一着装，仪容仪表规范整齐；</w:t>
                  </w:r>
                </w:p>
                <w:p w14:paraId="4C891611">
                  <w:pPr>
                    <w:widowControl/>
                    <w:rPr>
                      <w:rFonts w:ascii="宋体" w:hAnsi="宋体" w:cs="宋体"/>
                      <w:color w:val="auto"/>
                      <w:sz w:val="22"/>
                      <w:highlight w:val="none"/>
                    </w:rPr>
                  </w:pPr>
                  <w:r>
                    <w:rPr>
                      <w:rFonts w:hint="eastAsia" w:ascii="宋体" w:hAnsi="宋体" w:cs="宋体"/>
                      <w:color w:val="auto"/>
                      <w:sz w:val="22"/>
                      <w:highlight w:val="none"/>
                    </w:rPr>
                    <w:t>3、具有一定的宿舍管理经验，有岗位育人的意识，对学生有爱心、有耐心。管理工作文明礼貌、语言规范；</w:t>
                  </w:r>
                </w:p>
                <w:p w14:paraId="12DF85E7">
                  <w:pPr>
                    <w:widowControl/>
                    <w:rPr>
                      <w:rFonts w:ascii="宋体" w:hAnsi="宋体" w:cs="宋体"/>
                      <w:color w:val="auto"/>
                      <w:sz w:val="22"/>
                      <w:highlight w:val="none"/>
                    </w:rPr>
                  </w:pPr>
                  <w:r>
                    <w:rPr>
                      <w:rFonts w:hint="eastAsia" w:ascii="宋体" w:hAnsi="宋体" w:cs="宋体"/>
                      <w:color w:val="auto"/>
                      <w:sz w:val="22"/>
                      <w:highlight w:val="none"/>
                    </w:rPr>
                    <w:t>4、需24小时值班。</w:t>
                  </w:r>
                </w:p>
              </w:tc>
              <w:tc>
                <w:tcPr>
                  <w:tcW w:w="1094" w:type="dxa"/>
                  <w:tcBorders>
                    <w:top w:val="nil"/>
                    <w:left w:val="nil"/>
                    <w:bottom w:val="single" w:color="auto" w:sz="4" w:space="0"/>
                    <w:right w:val="single" w:color="auto" w:sz="4" w:space="0"/>
                  </w:tcBorders>
                  <w:shd w:val="clear" w:color="000000" w:fill="FFFFFF"/>
                  <w:vAlign w:val="center"/>
                </w:tcPr>
                <w:p w14:paraId="2A15FE75">
                  <w:pPr>
                    <w:widowControl/>
                    <w:jc w:val="center"/>
                    <w:rPr>
                      <w:rFonts w:ascii="宋体" w:hAnsi="宋体" w:cs="宋体"/>
                      <w:strike/>
                      <w:color w:val="auto"/>
                      <w:sz w:val="22"/>
                      <w:highlight w:val="none"/>
                    </w:rPr>
                  </w:pPr>
                </w:p>
              </w:tc>
            </w:tr>
            <w:tr w14:paraId="24F8E7E6">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000000" w:fill="FFFFFF"/>
                  <w:vAlign w:val="center"/>
                </w:tcPr>
                <w:p w14:paraId="44265A29">
                  <w:pPr>
                    <w:widowControl/>
                    <w:jc w:val="center"/>
                    <w:rPr>
                      <w:rFonts w:ascii="宋体" w:hAnsi="宋体" w:cs="宋体"/>
                      <w:color w:val="auto"/>
                      <w:sz w:val="22"/>
                      <w:highlight w:val="none"/>
                    </w:rPr>
                  </w:pPr>
                  <w:r>
                    <w:rPr>
                      <w:rFonts w:hint="eastAsia" w:ascii="宋体" w:hAnsi="宋体" w:cs="宋体"/>
                      <w:color w:val="auto"/>
                      <w:sz w:val="22"/>
                      <w:highlight w:val="none"/>
                    </w:rPr>
                    <w:t>12</w:t>
                  </w:r>
                </w:p>
              </w:tc>
              <w:tc>
                <w:tcPr>
                  <w:tcW w:w="1180" w:type="dxa"/>
                  <w:tcBorders>
                    <w:top w:val="nil"/>
                    <w:left w:val="nil"/>
                    <w:bottom w:val="single" w:color="auto" w:sz="4" w:space="0"/>
                    <w:right w:val="single" w:color="auto" w:sz="4" w:space="0"/>
                  </w:tcBorders>
                  <w:shd w:val="clear" w:color="000000" w:fill="FFFFFF"/>
                  <w:noWrap/>
                  <w:vAlign w:val="center"/>
                </w:tcPr>
                <w:p w14:paraId="3414338C">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搬运人员</w:t>
                  </w:r>
                </w:p>
              </w:tc>
              <w:tc>
                <w:tcPr>
                  <w:tcW w:w="880" w:type="dxa"/>
                  <w:tcBorders>
                    <w:top w:val="nil"/>
                    <w:left w:val="nil"/>
                    <w:bottom w:val="single" w:color="auto" w:sz="4" w:space="0"/>
                    <w:right w:val="single" w:color="auto" w:sz="4" w:space="0"/>
                  </w:tcBorders>
                  <w:shd w:val="clear" w:color="000000" w:fill="FFFFFF"/>
                  <w:vAlign w:val="center"/>
                </w:tcPr>
                <w:p w14:paraId="2B9921C2">
                  <w:pPr>
                    <w:widowControl/>
                    <w:jc w:val="center"/>
                    <w:rPr>
                      <w:rFonts w:ascii="宋体" w:hAnsi="宋体" w:cs="宋体"/>
                      <w:color w:val="auto"/>
                      <w:sz w:val="22"/>
                      <w:highlight w:val="none"/>
                    </w:rPr>
                  </w:pPr>
                  <w:r>
                    <w:rPr>
                      <w:rFonts w:hint="eastAsia" w:ascii="宋体" w:hAnsi="宋体" w:cs="宋体"/>
                      <w:color w:val="auto"/>
                      <w:sz w:val="22"/>
                      <w:highlight w:val="none"/>
                    </w:rPr>
                    <w:t>55周岁以下</w:t>
                  </w:r>
                </w:p>
              </w:tc>
              <w:tc>
                <w:tcPr>
                  <w:tcW w:w="980" w:type="dxa"/>
                  <w:tcBorders>
                    <w:top w:val="nil"/>
                    <w:left w:val="nil"/>
                    <w:bottom w:val="single" w:color="auto" w:sz="4" w:space="0"/>
                    <w:right w:val="single" w:color="auto" w:sz="4" w:space="0"/>
                  </w:tcBorders>
                  <w:shd w:val="clear" w:color="000000" w:fill="FFFFFF"/>
                  <w:vAlign w:val="center"/>
                </w:tcPr>
                <w:p w14:paraId="0918E43D">
                  <w:pPr>
                    <w:widowControl/>
                    <w:jc w:val="center"/>
                    <w:rPr>
                      <w:rFonts w:ascii="宋体" w:hAnsi="宋体" w:cs="宋体"/>
                      <w:color w:val="auto"/>
                      <w:sz w:val="22"/>
                      <w:highlight w:val="none"/>
                    </w:rPr>
                  </w:pPr>
                  <w:r>
                    <w:rPr>
                      <w:rFonts w:hint="eastAsia" w:ascii="宋体" w:hAnsi="宋体" w:cs="宋体"/>
                      <w:color w:val="auto"/>
                      <w:sz w:val="22"/>
                      <w:highlight w:val="none"/>
                    </w:rPr>
                    <w:t>初中及以上</w:t>
                  </w:r>
                </w:p>
              </w:tc>
              <w:tc>
                <w:tcPr>
                  <w:tcW w:w="3412" w:type="dxa"/>
                  <w:tcBorders>
                    <w:top w:val="nil"/>
                    <w:left w:val="nil"/>
                    <w:bottom w:val="single" w:color="auto" w:sz="4" w:space="0"/>
                    <w:right w:val="single" w:color="auto" w:sz="4" w:space="0"/>
                  </w:tcBorders>
                  <w:shd w:val="clear" w:color="000000" w:fill="FFFFFF"/>
                  <w:vAlign w:val="center"/>
                </w:tcPr>
                <w:p w14:paraId="0B1B3614">
                  <w:pPr>
                    <w:widowControl/>
                    <w:rPr>
                      <w:rFonts w:ascii="宋体" w:hAnsi="宋体" w:cs="宋体"/>
                      <w:color w:val="auto"/>
                      <w:sz w:val="22"/>
                      <w:highlight w:val="none"/>
                    </w:rPr>
                  </w:pPr>
                  <w:r>
                    <w:rPr>
                      <w:rFonts w:hint="eastAsia" w:ascii="宋体" w:hAnsi="宋体" w:cs="宋体"/>
                      <w:color w:val="auto"/>
                      <w:sz w:val="22"/>
                      <w:highlight w:val="none"/>
                    </w:rPr>
                    <w:t>1、身体健康强壮，吃苦耐劳，认真负责，文明工作，言语规范；</w:t>
                  </w:r>
                </w:p>
                <w:p w14:paraId="091DF5AB">
                  <w:pPr>
                    <w:widowControl/>
                    <w:rPr>
                      <w:rFonts w:ascii="宋体" w:hAnsi="宋体" w:cs="宋体"/>
                      <w:color w:val="auto"/>
                      <w:sz w:val="22"/>
                      <w:highlight w:val="none"/>
                    </w:rPr>
                  </w:pPr>
                  <w:r>
                    <w:rPr>
                      <w:rFonts w:hint="eastAsia" w:ascii="宋体" w:hAnsi="宋体" w:cs="宋体"/>
                      <w:color w:val="auto"/>
                      <w:sz w:val="22"/>
                      <w:highlight w:val="none"/>
                    </w:rPr>
                    <w:t>2、上岗时佩戴统一标志，按需求穿戴统一制服，仪容仪表规范整齐；</w:t>
                  </w:r>
                </w:p>
              </w:tc>
              <w:tc>
                <w:tcPr>
                  <w:tcW w:w="1094" w:type="dxa"/>
                  <w:tcBorders>
                    <w:top w:val="nil"/>
                    <w:left w:val="nil"/>
                    <w:bottom w:val="single" w:color="auto" w:sz="4" w:space="0"/>
                    <w:right w:val="single" w:color="auto" w:sz="4" w:space="0"/>
                  </w:tcBorders>
                  <w:shd w:val="clear" w:color="000000" w:fill="FFFFFF"/>
                  <w:vAlign w:val="center"/>
                </w:tcPr>
                <w:p w14:paraId="0EFC1963">
                  <w:pPr>
                    <w:widowControl/>
                    <w:jc w:val="center"/>
                    <w:rPr>
                      <w:rFonts w:ascii="宋体" w:hAnsi="宋体" w:cs="宋体"/>
                      <w:strike/>
                      <w:color w:val="auto"/>
                      <w:sz w:val="22"/>
                      <w:highlight w:val="none"/>
                    </w:rPr>
                  </w:pPr>
                </w:p>
              </w:tc>
            </w:tr>
          </w:tbl>
          <w:p w14:paraId="1E209FE5">
            <w:pPr>
              <w:snapToGrid w:val="0"/>
              <w:spacing w:line="440" w:lineRule="exact"/>
              <w:rPr>
                <w:rFonts w:ascii="宋体" w:hAnsi="宋体" w:cs="宋体"/>
                <w:color w:val="auto"/>
                <w:sz w:val="22"/>
                <w:highlight w:val="none"/>
              </w:rPr>
            </w:pPr>
            <w:r>
              <w:rPr>
                <w:rFonts w:hint="eastAsia" w:ascii="宋体" w:hAnsi="宋体" w:cs="宋体"/>
                <w:color w:val="auto"/>
                <w:sz w:val="22"/>
                <w:highlight w:val="none"/>
              </w:rPr>
              <w:t>说明：设备运行、维修2人（轮班）。负责周一至周日对公共设备设施（配电系统、照明系统、电梯系统、暖通系统、给排水系统、消防系统、污水处理系统、智能化系统等）进行日常运行值班。日常管理工程人员（包括：运行维保工程师、工程维修、运行操作工）投标文件中须提供以上工程人员资格或职称证书复印件。</w:t>
            </w:r>
          </w:p>
          <w:p w14:paraId="5854CA27">
            <w:pPr>
              <w:snapToGrid w:val="0"/>
              <w:spacing w:line="440" w:lineRule="exact"/>
              <w:ind w:left="550" w:hanging="550"/>
              <w:rPr>
                <w:rFonts w:ascii="宋体" w:hAnsi="宋体" w:cs="宋体"/>
                <w:b/>
                <w:color w:val="auto"/>
                <w:sz w:val="22"/>
                <w:highlight w:val="none"/>
                <w:u w:val="single"/>
              </w:rPr>
            </w:pPr>
            <w:r>
              <w:rPr>
                <w:rFonts w:hint="eastAsia" w:ascii="宋体" w:hAnsi="宋体" w:cs="宋体"/>
                <w:color w:val="auto"/>
                <w:sz w:val="22"/>
                <w:highlight w:val="none"/>
              </w:rPr>
              <w:t xml:space="preserve">2.2  </w:t>
            </w:r>
            <w:r>
              <w:rPr>
                <w:rFonts w:hint="eastAsia" w:ascii="宋体" w:hAnsi="宋体" w:cs="宋体"/>
                <w:b/>
                <w:color w:val="auto"/>
                <w:sz w:val="22"/>
                <w:highlight w:val="none"/>
                <w:u w:val="single"/>
              </w:rPr>
              <w:t xml:space="preserve">▲完成本项目服务人员第一年2025.9.16-2026.9.15不得少于上述的172人；第二年2026.9.16-2027.2.15不得少于上述的185人；第二年2027.2.16-2027.9.15不得少于上述的195人；第三年2027.9.16-2028.9.15不得少于上述的202人（如业主方认为具体岗位配置不合理需要变动，可要求中标方进行调整，中标方积极配合，不得拒绝，具体以人员配置表为准，物业费据实结算。 </w:t>
            </w:r>
          </w:p>
          <w:p w14:paraId="3C6711B9">
            <w:pPr>
              <w:snapToGrid w:val="0"/>
              <w:spacing w:line="440" w:lineRule="exact"/>
              <w:ind w:left="210" w:leftChars="100" w:firstLine="660" w:firstLineChars="300"/>
              <w:rPr>
                <w:rFonts w:ascii="宋体" w:hAnsi="宋体" w:cs="宋体"/>
                <w:color w:val="auto"/>
                <w:sz w:val="22"/>
                <w:highlight w:val="none"/>
              </w:rPr>
            </w:pPr>
            <w:r>
              <w:rPr>
                <w:rFonts w:hint="eastAsia" w:ascii="宋体" w:hAnsi="宋体" w:cs="宋体"/>
                <w:color w:val="auto"/>
                <w:kern w:val="0"/>
                <w:sz w:val="22"/>
                <w:highlight w:val="none"/>
              </w:rPr>
              <w:t>新增人工费用结算标准：根据（投标人新增人员或采购人最高新增人数）×投标人报价×（投入使用的时间/12月）</w:t>
            </w:r>
          </w:p>
          <w:p w14:paraId="73D27DF2">
            <w:pPr>
              <w:snapToGrid w:val="0"/>
              <w:spacing w:line="440" w:lineRule="exact"/>
              <w:ind w:left="550" w:hanging="550"/>
              <w:rPr>
                <w:rFonts w:ascii="宋体" w:hAnsi="宋体" w:cs="宋体"/>
                <w:b/>
                <w:color w:val="auto"/>
                <w:sz w:val="22"/>
                <w:highlight w:val="none"/>
              </w:rPr>
            </w:pPr>
            <w:r>
              <w:rPr>
                <w:rFonts w:hint="eastAsia" w:ascii="宋体" w:hAnsi="宋体" w:cs="宋体"/>
                <w:color w:val="auto"/>
                <w:sz w:val="22"/>
                <w:highlight w:val="none"/>
              </w:rPr>
              <w:t xml:space="preserve">2.3  </w:t>
            </w:r>
            <w:r>
              <w:rPr>
                <w:rFonts w:hint="eastAsia" w:ascii="宋体" w:hAnsi="宋体" w:cs="宋体"/>
                <w:b/>
                <w:color w:val="auto"/>
                <w:sz w:val="22"/>
                <w:highlight w:val="none"/>
              </w:rPr>
              <w:t>物业服务人员的要求：</w:t>
            </w:r>
            <w:r>
              <w:rPr>
                <w:rFonts w:hint="eastAsia" w:ascii="宋体" w:hAnsi="宋体" w:cs="宋体"/>
                <w:color w:val="auto"/>
                <w:sz w:val="22"/>
                <w:highlight w:val="none"/>
              </w:rPr>
              <w:t>本项目人员投标配置表中项目经理及各类主管为管理人员，其他人员均为服务人员。</w:t>
            </w:r>
            <w:r>
              <w:rPr>
                <w:rFonts w:hint="eastAsia" w:ascii="宋体" w:hAnsi="宋体" w:cs="宋体"/>
                <w:b/>
                <w:color w:val="auto"/>
                <w:sz w:val="22"/>
                <w:highlight w:val="none"/>
                <w:lang w:val="en-US" w:eastAsia="zh-CN"/>
              </w:rPr>
              <w:t xml:space="preserve"> </w:t>
            </w:r>
            <w:r>
              <w:rPr>
                <w:rFonts w:hint="eastAsia" w:ascii="宋体" w:hAnsi="宋体" w:cs="宋体"/>
                <w:color w:val="auto"/>
                <w:kern w:val="0"/>
                <w:sz w:val="22"/>
                <w:highlight w:val="none"/>
                <w:lang w:eastAsia="zh-CN"/>
              </w:rPr>
              <w:t>投标人</w:t>
            </w:r>
            <w:r>
              <w:rPr>
                <w:rFonts w:hint="eastAsia" w:ascii="宋体" w:hAnsi="宋体" w:cs="宋体"/>
                <w:color w:val="auto"/>
                <w:kern w:val="0"/>
                <w:sz w:val="22"/>
                <w:highlight w:val="none"/>
              </w:rPr>
              <w:t>的主管人员必须按投标文件进行配置且必须指定一位项目经理（负责人），全权代表</w:t>
            </w:r>
            <w:r>
              <w:rPr>
                <w:rFonts w:hint="eastAsia" w:ascii="宋体" w:hAnsi="宋体" w:cs="宋体"/>
                <w:color w:val="auto"/>
                <w:kern w:val="0"/>
                <w:sz w:val="22"/>
                <w:highlight w:val="none"/>
                <w:lang w:eastAsia="zh-CN"/>
              </w:rPr>
              <w:t>投标人</w:t>
            </w:r>
            <w:r>
              <w:rPr>
                <w:rFonts w:hint="eastAsia" w:ascii="宋体" w:hAnsi="宋体" w:cs="宋体"/>
                <w:color w:val="auto"/>
                <w:kern w:val="0"/>
                <w:sz w:val="22"/>
                <w:highlight w:val="none"/>
              </w:rPr>
              <w:t>与</w:t>
            </w:r>
            <w:r>
              <w:rPr>
                <w:rFonts w:hint="eastAsia" w:ascii="宋体" w:hAnsi="宋体" w:cs="宋体"/>
                <w:color w:val="auto"/>
                <w:kern w:val="0"/>
                <w:sz w:val="22"/>
                <w:highlight w:val="none"/>
                <w:lang w:eastAsia="zh-CN"/>
              </w:rPr>
              <w:t>学校</w:t>
            </w:r>
            <w:r>
              <w:rPr>
                <w:rFonts w:hint="eastAsia" w:ascii="宋体" w:hAnsi="宋体" w:cs="宋体"/>
                <w:color w:val="auto"/>
                <w:kern w:val="0"/>
                <w:sz w:val="22"/>
                <w:highlight w:val="none"/>
              </w:rPr>
              <w:t>保持密切联系并保证承包区域服务管理工作；除</w:t>
            </w:r>
            <w:r>
              <w:rPr>
                <w:rFonts w:hint="eastAsia" w:ascii="宋体" w:hAnsi="宋体" w:cs="宋体"/>
                <w:color w:val="auto"/>
                <w:kern w:val="0"/>
                <w:sz w:val="22"/>
                <w:highlight w:val="none"/>
                <w:lang w:eastAsia="zh-CN"/>
              </w:rPr>
              <w:t>学校</w:t>
            </w:r>
            <w:r>
              <w:rPr>
                <w:rFonts w:hint="eastAsia" w:ascii="宋体" w:hAnsi="宋体" w:cs="宋体"/>
                <w:color w:val="auto"/>
                <w:kern w:val="0"/>
                <w:sz w:val="22"/>
                <w:highlight w:val="none"/>
              </w:rPr>
              <w:t>要求更换外，以上管理人员原则上不允许进行更换；如确有发生不可预见情况需更换的，</w:t>
            </w:r>
            <w:r>
              <w:rPr>
                <w:rFonts w:hint="eastAsia" w:ascii="宋体" w:hAnsi="宋体" w:cs="宋体"/>
                <w:color w:val="auto"/>
                <w:kern w:val="0"/>
                <w:sz w:val="22"/>
                <w:highlight w:val="none"/>
                <w:lang w:eastAsia="zh-CN"/>
              </w:rPr>
              <w:t>投标人</w:t>
            </w:r>
            <w:r>
              <w:rPr>
                <w:rFonts w:hint="eastAsia" w:ascii="宋体" w:hAnsi="宋体" w:cs="宋体"/>
                <w:color w:val="auto"/>
                <w:sz w:val="22"/>
                <w:highlight w:val="none"/>
              </w:rPr>
              <w:t>须保证更换后的管理人员资质条件不低于原人员，并经</w:t>
            </w:r>
            <w:r>
              <w:rPr>
                <w:rFonts w:hint="eastAsia" w:ascii="宋体" w:hAnsi="宋体" w:cs="宋体"/>
                <w:color w:val="auto"/>
                <w:sz w:val="22"/>
                <w:highlight w:val="none"/>
                <w:lang w:eastAsia="zh-CN"/>
              </w:rPr>
              <w:t>学校</w:t>
            </w:r>
            <w:r>
              <w:rPr>
                <w:rFonts w:hint="eastAsia" w:ascii="宋体" w:hAnsi="宋体" w:cs="宋体"/>
                <w:color w:val="auto"/>
                <w:sz w:val="22"/>
                <w:highlight w:val="none"/>
              </w:rPr>
              <w:t>同意后方可更换</w:t>
            </w:r>
            <w:r>
              <w:rPr>
                <w:rFonts w:hint="eastAsia" w:ascii="宋体" w:hAnsi="宋体" w:cs="宋体"/>
                <w:color w:val="auto"/>
                <w:kern w:val="0"/>
                <w:sz w:val="22"/>
                <w:highlight w:val="none"/>
              </w:rPr>
              <w:t>：项目经理更换一次罚款5万元，项目主管更换一次罚款2万元。</w:t>
            </w:r>
            <w:r>
              <w:rPr>
                <w:rFonts w:hint="eastAsia" w:ascii="宋体" w:hAnsi="宋体" w:cs="宋体"/>
                <w:color w:val="auto"/>
                <w:kern w:val="0"/>
                <w:sz w:val="22"/>
                <w:highlight w:val="none"/>
                <w:lang w:val="en-US" w:eastAsia="zh-CN"/>
              </w:rPr>
              <w:t xml:space="preserve"> </w:t>
            </w:r>
            <w:r>
              <w:rPr>
                <w:rFonts w:hint="eastAsia" w:ascii="宋体" w:hAnsi="宋体" w:cs="宋体"/>
                <w:color w:val="auto"/>
                <w:kern w:val="0"/>
                <w:sz w:val="22"/>
                <w:highlight w:val="none"/>
              </w:rPr>
              <w:t>若投标人采用先进设备或智能化管理模式优化服务人员配置的，须保证调整后的服务质量不低于招标文件要求，优化方案报采购人同意后，服务人员数量可以优化减少，合同价格不予调整</w:t>
            </w:r>
            <w:r>
              <w:rPr>
                <w:rFonts w:hint="eastAsia" w:ascii="宋体" w:hAnsi="宋体" w:cs="宋体"/>
                <w:b w:val="0"/>
                <w:bCs w:val="0"/>
                <w:color w:val="auto"/>
                <w:kern w:val="0"/>
                <w:sz w:val="22"/>
                <w:highlight w:val="none"/>
              </w:rPr>
              <w:t>。</w:t>
            </w:r>
          </w:p>
          <w:p w14:paraId="1FCD8C56">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2.4  所有相关人员的配备如需经相关主管部门认证发证才能上岗的，必须持证上岗。所有上岗人员要求政治上可靠、无不良行为记录，身体素质好，主管及以上重要岗位人员必须经学校确认通过方可变更。</w:t>
            </w:r>
          </w:p>
          <w:p w14:paraId="0E451C77">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2.5  相关人员应持有相关上岗证书，不得有违法犯罪记录。特种作业人员应持有政府相关专业部门颁发的有效上岗证书。服务人员应每年一次体检，体检（</w:t>
            </w:r>
            <w:r>
              <w:rPr>
                <w:rFonts w:hint="eastAsia" w:ascii="宋体" w:hAnsi="宋体" w:cs="宋体"/>
                <w:bCs/>
                <w:color w:val="auto"/>
                <w:sz w:val="22"/>
                <w:highlight w:val="none"/>
              </w:rPr>
              <w:t>体检内容不得少于当地健康证的要求</w:t>
            </w:r>
            <w:r>
              <w:rPr>
                <w:rFonts w:hint="eastAsia" w:ascii="宋体" w:hAnsi="宋体" w:cs="宋体"/>
                <w:color w:val="auto"/>
                <w:sz w:val="22"/>
                <w:highlight w:val="none"/>
              </w:rPr>
              <w:t>）合格方可上岗。</w:t>
            </w:r>
          </w:p>
          <w:p w14:paraId="0556CF56">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2.6  中标人</w:t>
            </w:r>
            <w:r>
              <w:rPr>
                <w:rFonts w:hint="eastAsia" w:ascii="宋体" w:hAnsi="宋体" w:cs="宋体"/>
                <w:color w:val="auto"/>
                <w:kern w:val="0"/>
                <w:sz w:val="22"/>
                <w:highlight w:val="none"/>
              </w:rPr>
              <w:t>需对下属服务人员严格管理，如校内发现服务人员将一次性消耗品带出校园等情况，发现一次扣500元；</w:t>
            </w:r>
            <w:r>
              <w:rPr>
                <w:rFonts w:hint="eastAsia" w:ascii="宋体" w:hAnsi="宋体" w:cs="宋体"/>
                <w:color w:val="auto"/>
                <w:sz w:val="22"/>
                <w:highlight w:val="none"/>
              </w:rPr>
              <w:t>中标人</w:t>
            </w:r>
            <w:r>
              <w:rPr>
                <w:rFonts w:hint="eastAsia" w:ascii="宋体" w:hAnsi="宋体" w:cs="宋体"/>
                <w:color w:val="auto"/>
                <w:kern w:val="0"/>
                <w:sz w:val="22"/>
                <w:highlight w:val="none"/>
              </w:rPr>
              <w:t>服务人员如有在校内赌博、滋事、扰乱治安等行为，经发现将直接辞退，情节严重的，将移交公安机关处理。</w:t>
            </w:r>
          </w:p>
          <w:p w14:paraId="7F0B73D8">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2.7  中标方所有工种人员，必须无条件服从业主方管理人员的调度、指挥，如发现不符合业主方管理要求的工作人员，业主方有权提出整改、更换，如3天内整改、更换、不及时或不到位，经协商无效，业主方有权终止合同。中标方更换或调整人员应提前征求业主方意见在征得业主方同意后方可更换、调整。</w:t>
            </w:r>
          </w:p>
          <w:p w14:paraId="2989565F">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2.8</w:t>
            </w:r>
            <w:r>
              <w:rPr>
                <w:rFonts w:hint="eastAsia" w:ascii="宋体" w:hAnsi="宋体" w:cs="宋体"/>
                <w:bCs/>
                <w:color w:val="auto"/>
                <w:sz w:val="22"/>
                <w:highlight w:val="none"/>
              </w:rPr>
              <w:t>在本项目中，</w:t>
            </w:r>
            <w:r>
              <w:rPr>
                <w:rFonts w:hint="eastAsia" w:ascii="宋体" w:hAnsi="宋体" w:cs="宋体"/>
                <w:snapToGrid w:val="0"/>
                <w:color w:val="auto"/>
                <w:kern w:val="0"/>
                <w:sz w:val="22"/>
                <w:highlight w:val="none"/>
              </w:rPr>
              <w:t>投标人</w:t>
            </w:r>
            <w:r>
              <w:rPr>
                <w:rFonts w:hint="eastAsia" w:ascii="宋体" w:hAnsi="宋体" w:cs="宋体"/>
                <w:color w:val="auto"/>
                <w:sz w:val="22"/>
                <w:highlight w:val="none"/>
              </w:rPr>
              <w:t>在管理服务中违反国家相关法规或行业规范，造成他人人身伤亡、财产损失的，或</w:t>
            </w:r>
            <w:r>
              <w:rPr>
                <w:rFonts w:hint="eastAsia" w:ascii="宋体" w:hAnsi="宋体" w:cs="宋体"/>
                <w:snapToGrid w:val="0"/>
                <w:color w:val="auto"/>
                <w:kern w:val="0"/>
                <w:sz w:val="22"/>
                <w:highlight w:val="none"/>
              </w:rPr>
              <w:t>投标人</w:t>
            </w:r>
            <w:r>
              <w:rPr>
                <w:rFonts w:hint="eastAsia" w:ascii="宋体" w:hAnsi="宋体" w:cs="宋体"/>
                <w:color w:val="auto"/>
                <w:sz w:val="22"/>
                <w:highlight w:val="none"/>
              </w:rPr>
              <w:t>员工在岗履行工作职责期间，发生自身的人身伤害伤亡、财产损失等，均由</w:t>
            </w:r>
            <w:r>
              <w:rPr>
                <w:rFonts w:hint="eastAsia" w:ascii="宋体" w:hAnsi="宋体" w:cs="宋体"/>
                <w:snapToGrid w:val="0"/>
                <w:color w:val="auto"/>
                <w:kern w:val="0"/>
                <w:sz w:val="22"/>
                <w:highlight w:val="none"/>
              </w:rPr>
              <w:t>投标人</w:t>
            </w:r>
            <w:r>
              <w:rPr>
                <w:rFonts w:hint="eastAsia" w:ascii="宋体" w:hAnsi="宋体" w:cs="宋体"/>
                <w:color w:val="auto"/>
                <w:sz w:val="22"/>
                <w:highlight w:val="none"/>
              </w:rPr>
              <w:t>负责处理并承担经济和道义上的责任；</w:t>
            </w:r>
            <w:r>
              <w:rPr>
                <w:rFonts w:hint="eastAsia" w:ascii="宋体" w:hAnsi="宋体" w:cs="宋体"/>
                <w:snapToGrid w:val="0"/>
                <w:color w:val="auto"/>
                <w:kern w:val="0"/>
                <w:sz w:val="22"/>
                <w:highlight w:val="none"/>
              </w:rPr>
              <w:t>投标人</w:t>
            </w:r>
            <w:r>
              <w:rPr>
                <w:rFonts w:hint="eastAsia" w:ascii="宋体" w:hAnsi="宋体" w:cs="宋体"/>
                <w:color w:val="auto"/>
                <w:sz w:val="22"/>
                <w:highlight w:val="none"/>
              </w:rPr>
              <w:t>与员工发生用工争议的，均由</w:t>
            </w:r>
            <w:r>
              <w:rPr>
                <w:rFonts w:hint="eastAsia" w:ascii="宋体" w:hAnsi="宋体" w:cs="宋体"/>
                <w:snapToGrid w:val="0"/>
                <w:color w:val="auto"/>
                <w:kern w:val="0"/>
                <w:sz w:val="22"/>
                <w:highlight w:val="none"/>
              </w:rPr>
              <w:t>投标人</w:t>
            </w:r>
            <w:r>
              <w:rPr>
                <w:rFonts w:hint="eastAsia" w:ascii="宋体" w:hAnsi="宋体" w:cs="宋体"/>
                <w:color w:val="auto"/>
                <w:sz w:val="22"/>
                <w:highlight w:val="none"/>
              </w:rPr>
              <w:t>负责处理并承担相应责任，采购人不承担任何责任。</w:t>
            </w:r>
          </w:p>
          <w:p w14:paraId="1C2F5F36">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2.9</w:t>
            </w:r>
            <w:r>
              <w:rPr>
                <w:rFonts w:hint="eastAsia" w:ascii="宋体" w:hAnsi="宋体" w:cs="宋体"/>
                <w:b/>
                <w:bCs/>
                <w:color w:val="auto"/>
                <w:sz w:val="22"/>
                <w:highlight w:val="none"/>
              </w:rPr>
              <w:t>投标人应与前物业服务公司做好工作交接。包括但不限于设施设备管理交接，人员变动交接等，确保平稳过渡。期间产生的任何纠纷与采购人无关。</w:t>
            </w:r>
          </w:p>
          <w:p w14:paraId="557C6A98">
            <w:pPr>
              <w:keepNext/>
              <w:keepLines/>
              <w:snapToGrid w:val="0"/>
              <w:spacing w:before="260" w:after="260" w:line="680" w:lineRule="exact"/>
              <w:jc w:val="center"/>
              <w:rPr>
                <w:rFonts w:ascii="宋体" w:hAnsi="宋体" w:cs="宋体"/>
                <w:b/>
                <w:color w:val="auto"/>
                <w:sz w:val="22"/>
                <w:highlight w:val="none"/>
              </w:rPr>
            </w:pPr>
            <w:r>
              <w:rPr>
                <w:rFonts w:hint="eastAsia" w:ascii="宋体" w:hAnsi="宋体" w:cs="宋体"/>
                <w:b/>
                <w:color w:val="auto"/>
                <w:sz w:val="22"/>
                <w:highlight w:val="none"/>
              </w:rPr>
              <w:t>第五章、报价要求</w:t>
            </w:r>
          </w:p>
          <w:p w14:paraId="4C5D7232">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   供应商应考虑企业自身实力、经验及项目实施过程中的各种因素，根据采购要求，详细说明所能提供的各项具体服务内容，自主确定报价按每年进行报价（共三年服务期），并按服务的内容分别独立报价并提供报价组成与成本分析。</w:t>
            </w:r>
          </w:p>
          <w:p w14:paraId="7A107CBD">
            <w:pPr>
              <w:snapToGrid w:val="0"/>
              <w:spacing w:line="440" w:lineRule="exact"/>
              <w:ind w:left="550" w:hanging="550"/>
              <w:rPr>
                <w:rFonts w:ascii="宋体" w:hAnsi="宋体" w:cs="宋体"/>
                <w:b/>
                <w:color w:val="auto"/>
                <w:sz w:val="22"/>
                <w:highlight w:val="none"/>
              </w:rPr>
            </w:pPr>
            <w:r>
              <w:rPr>
                <w:rFonts w:hint="eastAsia" w:ascii="宋体" w:hAnsi="宋体" w:cs="宋体"/>
                <w:color w:val="auto"/>
                <w:sz w:val="22"/>
                <w:highlight w:val="none"/>
              </w:rPr>
              <w:t xml:space="preserve">2.   </w:t>
            </w:r>
            <w:r>
              <w:rPr>
                <w:rFonts w:hint="eastAsia" w:ascii="宋体" w:hAnsi="宋体" w:cs="宋体"/>
                <w:b/>
                <w:color w:val="auto"/>
                <w:sz w:val="22"/>
                <w:highlight w:val="none"/>
              </w:rPr>
              <w:t>以下是本项目相关报价要求，供应商需按本条要求报价：</w:t>
            </w:r>
          </w:p>
          <w:p w14:paraId="39BA2EFD">
            <w:pPr>
              <w:numPr>
                <w:ilvl w:val="0"/>
                <w:numId w:val="24"/>
              </w:numPr>
              <w:tabs>
                <w:tab w:val="left" w:pos="840"/>
              </w:tabs>
              <w:snapToGrid w:val="0"/>
              <w:spacing w:line="440" w:lineRule="exact"/>
              <w:rPr>
                <w:rFonts w:ascii="宋体" w:hAnsi="宋体" w:cs="宋体"/>
                <w:color w:val="auto"/>
                <w:sz w:val="22"/>
                <w:highlight w:val="none"/>
              </w:rPr>
            </w:pPr>
            <w:r>
              <w:rPr>
                <w:rFonts w:hint="eastAsia" w:ascii="宋体" w:hAnsi="宋体" w:cs="宋体"/>
                <w:color w:val="auto"/>
                <w:sz w:val="22"/>
                <w:highlight w:val="none"/>
              </w:rPr>
              <w:t>延长工作时间的工资；中班、夜班、高温、低温、有毒有害等特殊工作环境、条件下的津贴；贴补伙食、住房等支付给劳动者的非货币性收入、企业应承担的社保及法律、法规和国家规定的劳动者福利待遇等内容需含入报价。</w:t>
            </w:r>
          </w:p>
          <w:p w14:paraId="27FC6CE8">
            <w:pPr>
              <w:numPr>
                <w:ilvl w:val="0"/>
                <w:numId w:val="24"/>
              </w:numPr>
              <w:tabs>
                <w:tab w:val="left" w:pos="540"/>
              </w:tabs>
              <w:snapToGrid w:val="0"/>
              <w:spacing w:line="440" w:lineRule="exact"/>
              <w:rPr>
                <w:rFonts w:ascii="宋体" w:hAnsi="宋体" w:cs="宋体"/>
                <w:color w:val="auto"/>
                <w:sz w:val="22"/>
                <w:highlight w:val="none"/>
              </w:rPr>
            </w:pPr>
            <w:r>
              <w:rPr>
                <w:rFonts w:hint="eastAsia" w:ascii="宋体" w:hAnsi="宋体" w:cs="宋体"/>
                <w:color w:val="auto"/>
                <w:sz w:val="22"/>
                <w:highlight w:val="none"/>
              </w:rPr>
              <w:t>供应商应合理安排人员进行节假日加班。</w:t>
            </w:r>
          </w:p>
          <w:p w14:paraId="12C951E1">
            <w:pPr>
              <w:numPr>
                <w:ilvl w:val="0"/>
                <w:numId w:val="24"/>
              </w:numPr>
              <w:tabs>
                <w:tab w:val="left" w:pos="540"/>
              </w:tabs>
              <w:snapToGrid w:val="0"/>
              <w:spacing w:line="440" w:lineRule="exact"/>
              <w:rPr>
                <w:rFonts w:ascii="宋体" w:hAnsi="宋体" w:cs="宋体"/>
                <w:color w:val="auto"/>
                <w:sz w:val="22"/>
                <w:highlight w:val="none"/>
              </w:rPr>
            </w:pPr>
            <w:r>
              <w:rPr>
                <w:rFonts w:hint="eastAsia" w:ascii="宋体" w:hAnsi="宋体" w:cs="宋体"/>
                <w:color w:val="auto"/>
                <w:sz w:val="22"/>
                <w:highlight w:val="none"/>
              </w:rPr>
              <w:t>工会费及教育经费按国家有关规定计提。</w:t>
            </w:r>
          </w:p>
          <w:p w14:paraId="60D5C7A2">
            <w:pPr>
              <w:numPr>
                <w:ilvl w:val="0"/>
                <w:numId w:val="24"/>
              </w:numPr>
              <w:tabs>
                <w:tab w:val="left" w:pos="540"/>
              </w:tabs>
              <w:snapToGrid w:val="0"/>
              <w:spacing w:line="440" w:lineRule="exact"/>
              <w:rPr>
                <w:rFonts w:ascii="宋体" w:hAnsi="宋体" w:cs="宋体"/>
                <w:color w:val="auto"/>
                <w:sz w:val="22"/>
                <w:highlight w:val="none"/>
              </w:rPr>
            </w:pPr>
            <w:r>
              <w:rPr>
                <w:rFonts w:hint="eastAsia" w:ascii="宋体" w:hAnsi="宋体" w:cs="宋体"/>
                <w:color w:val="auto"/>
                <w:sz w:val="22"/>
                <w:highlight w:val="none"/>
              </w:rPr>
              <w:t>高温补贴按相关规定标准发放。</w:t>
            </w:r>
          </w:p>
          <w:p w14:paraId="22FB230F">
            <w:pPr>
              <w:numPr>
                <w:ilvl w:val="0"/>
                <w:numId w:val="24"/>
              </w:numPr>
              <w:tabs>
                <w:tab w:val="left" w:pos="540"/>
              </w:tabs>
              <w:snapToGrid w:val="0"/>
              <w:spacing w:line="440" w:lineRule="exact"/>
              <w:rPr>
                <w:rFonts w:ascii="宋体" w:hAnsi="宋体" w:cs="宋体"/>
                <w:color w:val="auto"/>
                <w:sz w:val="22"/>
                <w:highlight w:val="none"/>
              </w:rPr>
            </w:pPr>
            <w:r>
              <w:rPr>
                <w:rFonts w:hint="eastAsia" w:ascii="宋体" w:hAnsi="宋体" w:cs="宋体"/>
                <w:color w:val="auto"/>
                <w:sz w:val="22"/>
                <w:highlight w:val="none"/>
                <w:u w:val="single"/>
              </w:rPr>
              <w:t>▲人员的薪资不低于当地规定的最新现行标准，若经测算发现投标人的报价低于该标准，则其投标作无效标处理。</w:t>
            </w:r>
          </w:p>
          <w:p w14:paraId="7F5F4CCD">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4.   在合同执行期间，如采购人发现中标人未按上述规定及投标承诺提供员工相关待遇及其他福利发放的，采购人有权拒付合同款，且可以终止服务合同。采购人有权随时进行检查核实。</w:t>
            </w:r>
          </w:p>
          <w:p w14:paraId="13CE71EA">
            <w:pPr>
              <w:keepNext/>
              <w:keepLines/>
              <w:snapToGrid w:val="0"/>
              <w:spacing w:before="260" w:after="260" w:line="680" w:lineRule="exact"/>
              <w:jc w:val="center"/>
              <w:rPr>
                <w:rFonts w:ascii="宋体" w:hAnsi="宋体" w:cs="宋体"/>
                <w:b/>
                <w:color w:val="auto"/>
                <w:sz w:val="22"/>
                <w:highlight w:val="none"/>
              </w:rPr>
            </w:pPr>
            <w:r>
              <w:rPr>
                <w:rFonts w:hint="eastAsia" w:ascii="宋体" w:hAnsi="宋体" w:cs="宋体"/>
                <w:b/>
                <w:color w:val="auto"/>
                <w:sz w:val="22"/>
                <w:highlight w:val="none"/>
              </w:rPr>
              <w:t>第六章、物业管理费用</w:t>
            </w:r>
          </w:p>
          <w:p w14:paraId="55427CCF">
            <w:pPr>
              <w:snapToGrid w:val="0"/>
              <w:spacing w:line="440" w:lineRule="exact"/>
              <w:ind w:left="552" w:hanging="552"/>
              <w:rPr>
                <w:rFonts w:ascii="宋体" w:hAnsi="宋体" w:cs="宋体"/>
                <w:color w:val="auto"/>
                <w:sz w:val="22"/>
                <w:highlight w:val="none"/>
              </w:rPr>
            </w:pPr>
            <w:r>
              <w:rPr>
                <w:rFonts w:hint="eastAsia" w:ascii="宋体" w:hAnsi="宋体" w:cs="宋体"/>
                <w:b/>
                <w:color w:val="auto"/>
                <w:sz w:val="22"/>
                <w:highlight w:val="none"/>
              </w:rPr>
              <w:t xml:space="preserve">1.   </w:t>
            </w:r>
            <w:r>
              <w:rPr>
                <w:rFonts w:hint="eastAsia" w:ascii="宋体" w:hAnsi="宋体" w:cs="宋体"/>
                <w:color w:val="auto"/>
                <w:sz w:val="22"/>
                <w:highlight w:val="none"/>
              </w:rPr>
              <w:t xml:space="preserve"> 物业管理人员费用以投标人的中标单价</w:t>
            </w:r>
            <w:r>
              <w:rPr>
                <w:rFonts w:hint="eastAsia" w:ascii="宋体" w:hAnsi="宋体" w:cs="宋体"/>
                <w:color w:val="auto"/>
                <w:sz w:val="22"/>
                <w:highlight w:val="none"/>
                <w:lang w:eastAsia="zh-CN"/>
              </w:rPr>
              <w:t>（</w:t>
            </w:r>
            <w:r>
              <w:rPr>
                <w:rFonts w:hint="eastAsia" w:ascii="宋体" w:hAnsi="宋体"/>
                <w:b/>
                <w:color w:val="auto"/>
                <w:szCs w:val="21"/>
                <w:highlight w:val="none"/>
                <w:u w:val="single"/>
              </w:rPr>
              <w:t>（根据投标报价明细表内当年的人员</w:t>
            </w:r>
            <w:r>
              <w:rPr>
                <w:rFonts w:hint="eastAsia" w:ascii="宋体" w:hAnsi="宋体"/>
                <w:b/>
                <w:color w:val="auto"/>
                <w:szCs w:val="21"/>
                <w:highlight w:val="none"/>
                <w:u w:val="single"/>
                <w:lang w:val="en-US" w:eastAsia="zh-CN"/>
              </w:rPr>
              <w:t>费用</w:t>
            </w:r>
            <w:r>
              <w:rPr>
                <w:rFonts w:hint="eastAsia" w:ascii="宋体" w:hAnsi="宋体"/>
                <w:b/>
                <w:color w:val="auto"/>
                <w:szCs w:val="21"/>
                <w:highlight w:val="none"/>
                <w:u w:val="single"/>
              </w:rPr>
              <w:t>进行计算）</w:t>
            </w:r>
            <w:r>
              <w:rPr>
                <w:rFonts w:hint="eastAsia" w:ascii="宋体" w:hAnsi="宋体" w:cs="宋体"/>
                <w:color w:val="auto"/>
                <w:sz w:val="22"/>
                <w:highlight w:val="none"/>
                <w:lang w:eastAsia="zh-CN"/>
              </w:rPr>
              <w:t>）</w:t>
            </w:r>
            <w:r>
              <w:rPr>
                <w:rFonts w:hint="eastAsia" w:ascii="宋体" w:hAnsi="宋体" w:cs="宋体"/>
                <w:color w:val="auto"/>
                <w:sz w:val="22"/>
                <w:highlight w:val="none"/>
              </w:rPr>
              <w:t>为准，采购人（招标人）按月分期拨付。采用单价包干制，与人员用工有关的一切费用均包括在内，中标人（乙方）不得另行向招标人收取任何费用；物业管理其他专项服务费采用总价包干制，与本项目有关的一切费用（除上方要求的人员费用外）均包括在总价内，中标人（乙方）不得另行向招标人收取任何费用；</w:t>
            </w:r>
          </w:p>
          <w:p w14:paraId="4C11C4DA">
            <w:pPr>
              <w:snapToGrid w:val="0"/>
              <w:spacing w:line="440" w:lineRule="exact"/>
              <w:rPr>
                <w:rFonts w:hint="eastAsia" w:ascii="宋体" w:hAnsi="宋体" w:cs="宋体"/>
                <w:color w:val="auto"/>
                <w:sz w:val="22"/>
                <w:highlight w:val="none"/>
              </w:rPr>
            </w:pPr>
            <w:r>
              <w:rPr>
                <w:rFonts w:hint="eastAsia" w:ascii="宋体" w:hAnsi="宋体" w:cs="宋体"/>
                <w:color w:val="auto"/>
                <w:sz w:val="22"/>
                <w:highlight w:val="none"/>
              </w:rPr>
              <w:t>2.   采购人提供物业管理的办公场地。</w:t>
            </w:r>
          </w:p>
          <w:p w14:paraId="13E96D67">
            <w:pPr>
              <w:ind w:firstLine="0" w:firstLineChars="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 xml:space="preserve">3.   </w:t>
            </w:r>
            <w:r>
              <w:rPr>
                <w:rFonts w:hint="eastAsia" w:ascii="宋体" w:hAnsi="宋体" w:cs="宋体"/>
                <w:color w:val="auto"/>
                <w:sz w:val="22"/>
                <w:szCs w:val="22"/>
                <w:highlight w:val="none"/>
              </w:rPr>
              <w:t>中标单位负责承担包含：1)、物业耗材；2)、维修的工器具配置费用；3)、单价费用在300元及以下的维修配件及材料费用；4)、保洁工具（推车、清洁剂、洗衣粉、工具组等）；5)、按招标文件需要配置设备</w:t>
            </w:r>
            <w:r>
              <w:rPr>
                <w:rFonts w:hint="eastAsia" w:ascii="宋体" w:hAnsi="宋体" w:cs="宋体"/>
                <w:color w:val="auto"/>
                <w:sz w:val="22"/>
                <w:szCs w:val="22"/>
                <w:highlight w:val="none"/>
                <w:lang w:eastAsia="zh-CN"/>
              </w:rPr>
              <w:t>；</w:t>
            </w:r>
          </w:p>
          <w:p w14:paraId="3138EEC4">
            <w:pPr>
              <w:ind w:firstLine="0" w:firstLineChars="0"/>
              <w:rPr>
                <w:rFonts w:hint="eastAsia" w:ascii="宋体" w:hAnsi="宋体" w:cs="宋体"/>
                <w:b w:val="0"/>
                <w:color w:val="auto"/>
                <w:sz w:val="22"/>
                <w:szCs w:val="22"/>
                <w:highlight w:val="none"/>
              </w:rPr>
            </w:pPr>
            <w:r>
              <w:rPr>
                <w:rFonts w:hint="eastAsia" w:ascii="宋体" w:hAnsi="宋体" w:cs="宋体"/>
                <w:color w:val="auto"/>
                <w:sz w:val="22"/>
                <w:szCs w:val="22"/>
                <w:highlight w:val="none"/>
                <w:lang w:val="en-US" w:eastAsia="zh-CN"/>
              </w:rPr>
              <w:t xml:space="preserve">4.   </w:t>
            </w:r>
            <w:r>
              <w:rPr>
                <w:rFonts w:hint="eastAsia" w:ascii="宋体" w:hAnsi="宋体" w:cs="宋体"/>
                <w:color w:val="auto"/>
                <w:sz w:val="22"/>
                <w:highlight w:val="none"/>
              </w:rPr>
              <w:t>采购人</w:t>
            </w:r>
            <w:r>
              <w:rPr>
                <w:rFonts w:hint="eastAsia" w:ascii="宋体" w:hAnsi="宋体" w:cs="宋体"/>
                <w:color w:val="auto"/>
                <w:sz w:val="22"/>
                <w:szCs w:val="22"/>
                <w:highlight w:val="none"/>
              </w:rPr>
              <w:t>承担费用包含：1)、公共区域日常保洁耗材（空气清新剂、皂液器、蚊香、香精球、卷纸盒、擦手纸盒、洗手液、擦手纸、卷纸、垃圾袋、84消毒水、垃圾桶）及会务用品；2)、单价费用在300元以上的维修配件及材料费用。</w:t>
            </w:r>
            <w:r>
              <w:rPr>
                <w:rFonts w:hint="eastAsia" w:ascii="宋体" w:hAnsi="宋体" w:cs="宋体"/>
                <w:color w:val="auto"/>
                <w:sz w:val="22"/>
                <w:szCs w:val="22"/>
                <w:highlight w:val="none"/>
                <w:lang w:eastAsia="zh-CN"/>
              </w:rPr>
              <w:t>；</w:t>
            </w:r>
          </w:p>
          <w:p w14:paraId="218CF98A">
            <w:pPr>
              <w:snapToGrid/>
              <w:spacing w:line="240" w:lineRule="auto"/>
              <w:ind w:left="0"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  采购人仅提供物业管理所需的工作室及值班室和宿舍管理人员的住宿场地，投标人员工的住宿场地，水电、伙食等费用由中标人自行负责解决。</w:t>
            </w:r>
          </w:p>
          <w:p w14:paraId="775B2709">
            <w:pPr>
              <w:keepNext/>
              <w:keepLines/>
              <w:snapToGrid w:val="0"/>
              <w:spacing w:before="260" w:after="260" w:line="680" w:lineRule="exact"/>
              <w:jc w:val="center"/>
              <w:rPr>
                <w:rFonts w:ascii="宋体" w:hAnsi="宋体" w:cs="宋体"/>
                <w:b/>
                <w:color w:val="auto"/>
                <w:sz w:val="22"/>
                <w:highlight w:val="none"/>
              </w:rPr>
            </w:pPr>
            <w:r>
              <w:rPr>
                <w:rFonts w:hint="eastAsia" w:ascii="宋体" w:hAnsi="宋体" w:cs="宋体"/>
                <w:b/>
                <w:color w:val="auto"/>
                <w:sz w:val="22"/>
                <w:highlight w:val="none"/>
              </w:rPr>
              <w:t>第七章、温州肯恩大学</w:t>
            </w:r>
            <w:r>
              <w:rPr>
                <w:rFonts w:hint="eastAsia" w:ascii="宋体" w:hAnsi="宋体" w:cs="宋体"/>
                <w:b/>
                <w:bCs/>
                <w:color w:val="auto"/>
                <w:sz w:val="22"/>
                <w:highlight w:val="none"/>
              </w:rPr>
              <w:t>物业服务考核办法</w:t>
            </w:r>
          </w:p>
          <w:p w14:paraId="1F71A94E">
            <w:pPr>
              <w:keepNext/>
              <w:keepLines/>
              <w:adjustRightInd w:val="0"/>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温州肯恩大学物业服务考核办法</w:t>
            </w:r>
          </w:p>
          <w:p w14:paraId="564455EE">
            <w:pPr>
              <w:spacing w:line="360" w:lineRule="auto"/>
              <w:ind w:firstLine="482"/>
              <w:rPr>
                <w:rFonts w:ascii="宋体" w:hAnsi="宋体" w:cs="宋体"/>
                <w:color w:val="auto"/>
                <w:sz w:val="22"/>
                <w:highlight w:val="none"/>
              </w:rPr>
            </w:pPr>
            <w:r>
              <w:rPr>
                <w:rFonts w:hint="eastAsia" w:ascii="宋体" w:hAnsi="宋体" w:cs="宋体"/>
                <w:color w:val="auto"/>
                <w:sz w:val="22"/>
                <w:highlight w:val="none"/>
              </w:rPr>
              <w:t>为将“以师生为本”的服务理念融入校园服务的全过程，不断提高后勤服务水准和后勤服务合同执行效果，有效保障后勤服务质量，不断提升师生满意度，根据国家、省、市以及温州肯恩大学的有关规定，制定本办法。以下考核办法，招标人有权在项目实施过程中，根据实际情况及其合理性进行修正。</w:t>
            </w:r>
          </w:p>
          <w:p w14:paraId="395B7927">
            <w:pPr>
              <w:spacing w:line="360" w:lineRule="auto"/>
              <w:rPr>
                <w:rFonts w:ascii="宋体" w:hAnsi="宋体" w:cs="宋体"/>
                <w:color w:val="auto"/>
                <w:sz w:val="22"/>
                <w:highlight w:val="none"/>
              </w:rPr>
            </w:pPr>
            <w:r>
              <w:rPr>
                <w:rFonts w:hint="eastAsia" w:ascii="宋体" w:hAnsi="宋体" w:cs="宋体"/>
                <w:color w:val="auto"/>
                <w:sz w:val="22"/>
                <w:highlight w:val="none"/>
              </w:rPr>
              <w:t>第一条  考核目的</w:t>
            </w:r>
          </w:p>
          <w:p w14:paraId="5A8A4556">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规范物业服务单位的工作流程和服务质量，考核物业服务单位的合同执行率，为学校办学提供有力地服务支撑。</w:t>
            </w:r>
          </w:p>
          <w:p w14:paraId="469E42B3">
            <w:pPr>
              <w:spacing w:line="360" w:lineRule="auto"/>
              <w:rPr>
                <w:rFonts w:ascii="宋体" w:hAnsi="宋体" w:cs="宋体"/>
                <w:color w:val="auto"/>
                <w:sz w:val="22"/>
                <w:highlight w:val="none"/>
              </w:rPr>
            </w:pPr>
            <w:r>
              <w:rPr>
                <w:rFonts w:hint="eastAsia" w:ascii="宋体" w:hAnsi="宋体" w:cs="宋体"/>
                <w:color w:val="auto"/>
                <w:sz w:val="22"/>
                <w:highlight w:val="none"/>
              </w:rPr>
              <w:t>第二条  考核主体</w:t>
            </w:r>
          </w:p>
          <w:p w14:paraId="16F27E7B">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学校后勤部或聘请的第三方专业机构，以及学校其他部门组成的考核小组。</w:t>
            </w:r>
          </w:p>
          <w:p w14:paraId="7EDC717A">
            <w:pPr>
              <w:spacing w:line="360" w:lineRule="auto"/>
              <w:rPr>
                <w:rFonts w:ascii="宋体" w:hAnsi="宋体" w:cs="宋体"/>
                <w:color w:val="auto"/>
                <w:sz w:val="22"/>
                <w:highlight w:val="none"/>
              </w:rPr>
            </w:pPr>
            <w:r>
              <w:rPr>
                <w:rFonts w:hint="eastAsia" w:ascii="宋体" w:hAnsi="宋体" w:cs="宋体"/>
                <w:color w:val="auto"/>
                <w:sz w:val="22"/>
                <w:highlight w:val="none"/>
              </w:rPr>
              <w:t>第三条  考核对象</w:t>
            </w:r>
          </w:p>
          <w:p w14:paraId="586FC98B">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学校物业服务单位，包括不限于物业等。</w:t>
            </w:r>
          </w:p>
          <w:p w14:paraId="4B4160EE">
            <w:pPr>
              <w:spacing w:line="360" w:lineRule="auto"/>
              <w:rPr>
                <w:rFonts w:ascii="宋体" w:hAnsi="宋体" w:cs="宋体"/>
                <w:color w:val="auto"/>
                <w:sz w:val="22"/>
                <w:highlight w:val="none"/>
              </w:rPr>
            </w:pPr>
            <w:r>
              <w:rPr>
                <w:rFonts w:hint="eastAsia" w:ascii="宋体" w:hAnsi="宋体" w:cs="宋体"/>
                <w:color w:val="auto"/>
                <w:sz w:val="22"/>
                <w:highlight w:val="none"/>
              </w:rPr>
              <w:t>第四条 考核范围</w:t>
            </w:r>
          </w:p>
          <w:p w14:paraId="11578EC9">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物业服务合同约定的服务范围和服务内容，各项服务的完成情况。</w:t>
            </w:r>
          </w:p>
          <w:p w14:paraId="52FD1B01">
            <w:pPr>
              <w:spacing w:line="360" w:lineRule="auto"/>
              <w:rPr>
                <w:rFonts w:ascii="宋体" w:hAnsi="宋体" w:cs="宋体"/>
                <w:color w:val="auto"/>
                <w:sz w:val="22"/>
                <w:highlight w:val="none"/>
              </w:rPr>
            </w:pPr>
            <w:r>
              <w:rPr>
                <w:rFonts w:hint="eastAsia" w:ascii="宋体" w:hAnsi="宋体" w:cs="宋体"/>
                <w:color w:val="auto"/>
                <w:sz w:val="22"/>
                <w:highlight w:val="none"/>
              </w:rPr>
              <w:t>第五条 考核说明</w:t>
            </w:r>
          </w:p>
          <w:p w14:paraId="08CF161B">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考核形式分为月度考核、满意度测评和年度考核三种形式，考核采用百分制。</w:t>
            </w:r>
          </w:p>
          <w:p w14:paraId="7425D156">
            <w:pPr>
              <w:pStyle w:val="63"/>
              <w:spacing w:line="360" w:lineRule="auto"/>
              <w:ind w:firstLine="440"/>
              <w:rPr>
                <w:rFonts w:ascii="宋体" w:hAnsi="宋体" w:cs="宋体"/>
                <w:color w:val="auto"/>
                <w:sz w:val="22"/>
                <w:highlight w:val="none"/>
              </w:rPr>
            </w:pPr>
            <w:r>
              <w:rPr>
                <w:rFonts w:hint="eastAsia" w:ascii="宋体" w:hAnsi="宋体" w:cs="宋体"/>
                <w:color w:val="auto"/>
                <w:sz w:val="22"/>
                <w:highlight w:val="none"/>
              </w:rPr>
              <w:t>1.月度考核</w:t>
            </w:r>
          </w:p>
          <w:p w14:paraId="40CD6A33">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月度考核由后勤部结合日常工作和各部门及师生反馈情况进行，按量化考核所列项目打分（单项扣完为止，不负分），后勤部负责成绩汇总并计算物业月度考核分，并与物业服务单位进行确认。</w:t>
            </w:r>
          </w:p>
          <w:p w14:paraId="74FE1E15">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2.满意度测评</w:t>
            </w:r>
          </w:p>
          <w:p w14:paraId="6D4C4C6E">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满意度测评由后勤部组织开展，每学期一次。两个学期的满意度分值各按50%计算年度满意度分值。</w:t>
            </w:r>
          </w:p>
          <w:p w14:paraId="15D12E77">
            <w:pPr>
              <w:tabs>
                <w:tab w:val="left" w:pos="1276"/>
              </w:tabs>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3.年度考核</w:t>
            </w:r>
          </w:p>
          <w:p w14:paraId="030CB9FE">
            <w:pPr>
              <w:tabs>
                <w:tab w:val="left" w:pos="1276"/>
              </w:tabs>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年度考核综合得分由月度常规考核平均分和年度师生满意度测评平均分两部分组成，常规考核比重为70%，满意度测评比重为30%，即年度考核得分=年度常规考核得分×70%＋满意度测评得分×30%。</w:t>
            </w:r>
          </w:p>
          <w:p w14:paraId="002D954C">
            <w:pPr>
              <w:spacing w:line="360" w:lineRule="auto"/>
              <w:rPr>
                <w:rFonts w:ascii="宋体" w:hAnsi="宋体" w:cs="宋体"/>
                <w:color w:val="auto"/>
                <w:sz w:val="22"/>
                <w:highlight w:val="none"/>
              </w:rPr>
            </w:pPr>
            <w:r>
              <w:rPr>
                <w:rFonts w:hint="eastAsia" w:ascii="宋体" w:hAnsi="宋体" w:cs="宋体"/>
                <w:color w:val="auto"/>
                <w:sz w:val="22"/>
                <w:highlight w:val="none"/>
              </w:rPr>
              <w:t>第六条  绩效考核付费办法</w:t>
            </w:r>
          </w:p>
          <w:p w14:paraId="4D5994D2">
            <w:pPr>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1.管理常规考核付费办法</w:t>
            </w:r>
          </w:p>
          <w:p w14:paraId="704CA337">
            <w:pPr>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按月度对物业服务单位进行考核，并填写月度考核评分表，月度总评分为100分。</w:t>
            </w:r>
          </w:p>
          <w:p w14:paraId="37A6E831">
            <w:pPr>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考核得分分值为85分（含）及以上的，按月全额支付服务费。</w:t>
            </w:r>
          </w:p>
          <w:p w14:paraId="6AF5E18D">
            <w:pPr>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考核得分分值为70分（含）-85分（不含）的，按如下方式计算应扣除服务费：应扣除服务费=（85-考核得分）×0.5%×月度总服务费。</w:t>
            </w:r>
          </w:p>
          <w:p w14:paraId="09C3B9DF">
            <w:pPr>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考核得分分值为70分（不含）以下的，视为服务单位月度考核不合格，扣除月度总服务费的10%。</w:t>
            </w:r>
          </w:p>
          <w:p w14:paraId="3D2CA7A3">
            <w:pPr>
              <w:adjustRightInd w:val="0"/>
              <w:snapToGrid w:val="0"/>
              <w:spacing w:line="360" w:lineRule="auto"/>
              <w:ind w:firstLine="480"/>
              <w:rPr>
                <w:rFonts w:ascii="宋体" w:hAnsi="宋体" w:cs="宋体"/>
                <w:color w:val="auto"/>
                <w:sz w:val="22"/>
                <w:highlight w:val="none"/>
              </w:rPr>
            </w:pPr>
            <w:r>
              <w:rPr>
                <w:rFonts w:hint="eastAsia" w:ascii="宋体" w:hAnsi="宋体" w:cs="宋体"/>
                <w:color w:val="auto"/>
                <w:sz w:val="22"/>
                <w:highlight w:val="none"/>
              </w:rPr>
              <w:t>累计三个月考核不合格的，校方有权要求该服务合同终止。</w:t>
            </w:r>
          </w:p>
          <w:p w14:paraId="0BAD0596">
            <w:pPr>
              <w:pStyle w:val="93"/>
              <w:widowControl/>
              <w:rPr>
                <w:rFonts w:hint="default" w:cs="宋体"/>
                <w:color w:val="auto"/>
                <w:sz w:val="22"/>
                <w:szCs w:val="22"/>
                <w:highlight w:val="none"/>
              </w:rPr>
            </w:pPr>
            <w:r>
              <w:rPr>
                <w:rFonts w:cs="宋体"/>
                <w:color w:val="auto"/>
                <w:sz w:val="22"/>
                <w:szCs w:val="22"/>
                <w:highlight w:val="none"/>
              </w:rPr>
              <w:t>年度考核70分（含）以上为合格，继续履约。</w:t>
            </w:r>
          </w:p>
          <w:p w14:paraId="28AED625">
            <w:pPr>
              <w:pStyle w:val="93"/>
              <w:widowControl/>
              <w:rPr>
                <w:rFonts w:hint="default" w:cs="宋体"/>
                <w:color w:val="auto"/>
                <w:sz w:val="22"/>
                <w:szCs w:val="22"/>
                <w:highlight w:val="none"/>
              </w:rPr>
            </w:pPr>
            <w:r>
              <w:rPr>
                <w:rFonts w:cs="宋体"/>
                <w:color w:val="auto"/>
                <w:sz w:val="22"/>
                <w:szCs w:val="22"/>
                <w:highlight w:val="none"/>
              </w:rPr>
              <w:t>年度考核70分（不含）以下为不合格，扣除全部年度保证金，并终止合同。</w:t>
            </w:r>
          </w:p>
          <w:p w14:paraId="69858A87">
            <w:pPr>
              <w:spacing w:line="360" w:lineRule="auto"/>
              <w:rPr>
                <w:rFonts w:ascii="宋体" w:hAnsi="宋体" w:cs="宋体"/>
                <w:color w:val="auto"/>
                <w:sz w:val="22"/>
                <w:highlight w:val="none"/>
              </w:rPr>
            </w:pPr>
            <w:r>
              <w:rPr>
                <w:rFonts w:hint="eastAsia" w:ascii="宋体" w:hAnsi="宋体" w:cs="宋体"/>
                <w:color w:val="auto"/>
                <w:sz w:val="22"/>
                <w:highlight w:val="none"/>
              </w:rPr>
              <w:t>第七条  其他</w:t>
            </w:r>
          </w:p>
          <w:p w14:paraId="02DE657E">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依据考核条款细则，发生扣分项的事宜采购方对中标人予以扣分，采购方向中标人发送《考核事项通知单》（见附表），若在限期内未整改到位或再次发生类似情况，采购方将在当月向中标人发送扣款告知单（见附表），一次一罚，处罚标准是500元/次，扣罚款项从月度服务费中扣除，月度付款时由中标人对扣罚款项签字盖章确认。</w:t>
            </w:r>
          </w:p>
          <w:p w14:paraId="6739B491">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年度服务项目发生重大责任事故（含设施设备运行事故、安全隐患未及时排查和处理等），给学校造成严重经济损失或不良影响的，除赔偿相应损失外，学校有权终止服务合同，扣除全部年度保证金，并不支付任何形式的赔偿金或补偿金。</w:t>
            </w:r>
          </w:p>
          <w:p w14:paraId="5A756540">
            <w:pPr>
              <w:spacing w:line="360" w:lineRule="auto"/>
              <w:ind w:firstLine="480"/>
              <w:rPr>
                <w:rFonts w:ascii="宋体" w:hAnsi="宋体" w:cs="宋体"/>
                <w:color w:val="auto"/>
                <w:sz w:val="22"/>
                <w:highlight w:val="none"/>
              </w:rPr>
            </w:pPr>
            <w:r>
              <w:rPr>
                <w:rFonts w:hint="eastAsia" w:ascii="宋体" w:hAnsi="宋体" w:cs="宋体"/>
                <w:color w:val="auto"/>
                <w:sz w:val="22"/>
                <w:highlight w:val="none"/>
              </w:rPr>
              <w:t>3.本考核办法自合同履约之日起施行。</w:t>
            </w:r>
          </w:p>
          <w:p w14:paraId="60DF2EA3">
            <w:pPr>
              <w:snapToGrid w:val="0"/>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4.本办法为试行，因服务内容和要求调整，考核指标校方将据实调整。</w:t>
            </w:r>
          </w:p>
          <w:p w14:paraId="62D96BCD">
            <w:pPr>
              <w:snapToGrid w:val="0"/>
              <w:spacing w:line="360" w:lineRule="auto"/>
              <w:ind w:left="238"/>
              <w:jc w:val="center"/>
              <w:rPr>
                <w:rFonts w:ascii="宋体" w:hAnsi="宋体" w:cs="宋体"/>
                <w:color w:val="auto"/>
                <w:sz w:val="22"/>
                <w:highlight w:val="none"/>
              </w:rPr>
            </w:pPr>
          </w:p>
          <w:p w14:paraId="5EAE15D3">
            <w:pPr>
              <w:spacing w:line="360" w:lineRule="auto"/>
              <w:rPr>
                <w:rFonts w:ascii="宋体" w:hAnsi="宋体" w:cs="宋体"/>
                <w:b/>
                <w:bCs/>
                <w:color w:val="auto"/>
                <w:sz w:val="22"/>
                <w:highlight w:val="none"/>
              </w:rPr>
            </w:pPr>
            <w:r>
              <w:rPr>
                <w:rFonts w:hint="eastAsia" w:ascii="宋体" w:hAnsi="宋体" w:cs="宋体"/>
                <w:b/>
                <w:bCs/>
                <w:color w:val="auto"/>
                <w:sz w:val="22"/>
                <w:highlight w:val="none"/>
                <w:lang w:eastAsia="zh-CN"/>
              </w:rPr>
              <w:t>附表</w:t>
            </w:r>
            <w:r>
              <w:rPr>
                <w:rFonts w:hint="eastAsia" w:ascii="宋体" w:hAnsi="宋体" w:cs="宋体"/>
                <w:b/>
                <w:bCs/>
                <w:color w:val="auto"/>
                <w:sz w:val="22"/>
                <w:highlight w:val="none"/>
              </w:rPr>
              <w:t>1：温州肯恩大学</w:t>
            </w:r>
            <w:r>
              <w:rPr>
                <w:rFonts w:hint="eastAsia" w:ascii="宋体" w:hAnsi="宋体" w:cs="宋体"/>
                <w:b/>
                <w:bCs/>
                <w:color w:val="auto"/>
                <w:sz w:val="22"/>
                <w:highlight w:val="none"/>
                <w:lang w:eastAsia="zh-CN"/>
              </w:rPr>
              <w:t>物业服务</w:t>
            </w:r>
            <w:r>
              <w:rPr>
                <w:rFonts w:hint="eastAsia" w:ascii="宋体" w:hAnsi="宋体" w:cs="宋体"/>
                <w:b/>
                <w:bCs/>
                <w:color w:val="auto"/>
                <w:sz w:val="22"/>
                <w:highlight w:val="none"/>
              </w:rPr>
              <w:t>考核表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1"/>
              <w:gridCol w:w="858"/>
              <w:gridCol w:w="6315"/>
              <w:gridCol w:w="442"/>
              <w:gridCol w:w="661"/>
              <w:gridCol w:w="835"/>
            </w:tblGrid>
            <w:tr w14:paraId="03AD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2" w:hRule="atLeast"/>
                <w:tblHeader/>
                <w:jc w:val="center"/>
              </w:trPr>
              <w:tc>
                <w:tcPr>
                  <w:tcW w:w="319" w:type="pct"/>
                  <w:vAlign w:val="center"/>
                </w:tcPr>
                <w:p w14:paraId="715EC3B3">
                  <w:pPr>
                    <w:jc w:val="center"/>
                    <w:rPr>
                      <w:rFonts w:ascii="宋体" w:hAnsi="宋体" w:cs="宋体"/>
                      <w:b/>
                      <w:color w:val="auto"/>
                      <w:sz w:val="22"/>
                      <w:highlight w:val="none"/>
                    </w:rPr>
                  </w:pPr>
                  <w:r>
                    <w:rPr>
                      <w:rFonts w:hint="eastAsia" w:ascii="宋体" w:hAnsi="宋体" w:cs="宋体"/>
                      <w:b/>
                      <w:color w:val="auto"/>
                      <w:sz w:val="22"/>
                      <w:highlight w:val="none"/>
                    </w:rPr>
                    <w:t>类目</w:t>
                  </w:r>
                </w:p>
              </w:tc>
              <w:tc>
                <w:tcPr>
                  <w:tcW w:w="441" w:type="pct"/>
                  <w:vAlign w:val="center"/>
                </w:tcPr>
                <w:p w14:paraId="71396516">
                  <w:pPr>
                    <w:jc w:val="center"/>
                    <w:rPr>
                      <w:rFonts w:ascii="宋体" w:hAnsi="宋体" w:cs="宋体"/>
                      <w:b/>
                      <w:color w:val="auto"/>
                      <w:sz w:val="22"/>
                      <w:highlight w:val="none"/>
                    </w:rPr>
                  </w:pPr>
                  <w:r>
                    <w:rPr>
                      <w:rFonts w:hint="eastAsia" w:ascii="宋体" w:hAnsi="宋体" w:cs="宋体"/>
                      <w:b/>
                      <w:color w:val="auto"/>
                      <w:sz w:val="22"/>
                      <w:highlight w:val="none"/>
                    </w:rPr>
                    <w:t>评分项目</w:t>
                  </w:r>
                </w:p>
              </w:tc>
              <w:tc>
                <w:tcPr>
                  <w:tcW w:w="3243" w:type="pct"/>
                  <w:vAlign w:val="center"/>
                </w:tcPr>
                <w:p w14:paraId="627EC313">
                  <w:pPr>
                    <w:ind w:left="420"/>
                    <w:jc w:val="center"/>
                    <w:rPr>
                      <w:rFonts w:ascii="宋体" w:hAnsi="宋体" w:cs="宋体"/>
                      <w:b/>
                      <w:color w:val="auto"/>
                      <w:sz w:val="22"/>
                      <w:highlight w:val="none"/>
                    </w:rPr>
                  </w:pPr>
                  <w:r>
                    <w:rPr>
                      <w:rFonts w:hint="eastAsia" w:ascii="宋体" w:hAnsi="宋体" w:cs="宋体"/>
                      <w:b/>
                      <w:color w:val="auto"/>
                      <w:sz w:val="22"/>
                      <w:highlight w:val="none"/>
                    </w:rPr>
                    <w:t>评  分  标  准</w:t>
                  </w:r>
                </w:p>
              </w:tc>
              <w:tc>
                <w:tcPr>
                  <w:tcW w:w="227" w:type="pct"/>
                  <w:vAlign w:val="center"/>
                </w:tcPr>
                <w:p w14:paraId="40149020">
                  <w:pPr>
                    <w:jc w:val="center"/>
                    <w:rPr>
                      <w:rFonts w:ascii="宋体" w:hAnsi="宋体" w:cs="宋体"/>
                      <w:b/>
                      <w:color w:val="auto"/>
                      <w:sz w:val="22"/>
                      <w:highlight w:val="none"/>
                    </w:rPr>
                  </w:pPr>
                  <w:r>
                    <w:rPr>
                      <w:rFonts w:hint="eastAsia" w:ascii="宋体" w:hAnsi="宋体" w:cs="宋体"/>
                      <w:b/>
                      <w:color w:val="auto"/>
                      <w:sz w:val="22"/>
                      <w:highlight w:val="none"/>
                    </w:rPr>
                    <w:t>分值</w:t>
                  </w:r>
                </w:p>
              </w:tc>
              <w:tc>
                <w:tcPr>
                  <w:tcW w:w="340" w:type="pct"/>
                  <w:vAlign w:val="center"/>
                </w:tcPr>
                <w:p w14:paraId="7C6C4A4B">
                  <w:pPr>
                    <w:jc w:val="center"/>
                    <w:rPr>
                      <w:rFonts w:ascii="宋体" w:hAnsi="宋体" w:cs="宋体"/>
                      <w:b/>
                      <w:color w:val="auto"/>
                      <w:sz w:val="22"/>
                      <w:highlight w:val="none"/>
                    </w:rPr>
                  </w:pPr>
                  <w:r>
                    <w:rPr>
                      <w:rFonts w:hint="eastAsia" w:ascii="宋体" w:hAnsi="宋体" w:cs="宋体"/>
                      <w:b/>
                      <w:color w:val="auto"/>
                      <w:sz w:val="22"/>
                      <w:highlight w:val="none"/>
                    </w:rPr>
                    <w:t>校方考核</w:t>
                  </w:r>
                </w:p>
              </w:tc>
              <w:tc>
                <w:tcPr>
                  <w:tcW w:w="427" w:type="pct"/>
                  <w:vAlign w:val="center"/>
                </w:tcPr>
                <w:p w14:paraId="46983E4E">
                  <w:pPr>
                    <w:jc w:val="center"/>
                    <w:rPr>
                      <w:rFonts w:ascii="宋体" w:hAnsi="宋体" w:cs="宋体"/>
                      <w:b/>
                      <w:color w:val="auto"/>
                      <w:sz w:val="22"/>
                      <w:highlight w:val="none"/>
                    </w:rPr>
                  </w:pPr>
                  <w:r>
                    <w:rPr>
                      <w:rFonts w:hint="eastAsia" w:ascii="宋体" w:hAnsi="宋体" w:cs="宋体"/>
                      <w:b/>
                      <w:color w:val="auto"/>
                      <w:sz w:val="22"/>
                      <w:highlight w:val="none"/>
                    </w:rPr>
                    <w:t>备注</w:t>
                  </w:r>
                </w:p>
              </w:tc>
            </w:tr>
            <w:tr w14:paraId="0C4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restart"/>
                  <w:vAlign w:val="center"/>
                </w:tcPr>
                <w:p w14:paraId="6BE5FF2A">
                  <w:pPr>
                    <w:jc w:val="center"/>
                    <w:rPr>
                      <w:rFonts w:ascii="宋体" w:hAnsi="宋体" w:cs="宋体"/>
                      <w:color w:val="auto"/>
                      <w:sz w:val="22"/>
                      <w:highlight w:val="none"/>
                    </w:rPr>
                  </w:pPr>
                  <w:r>
                    <w:rPr>
                      <w:rFonts w:hint="eastAsia" w:ascii="宋体" w:hAnsi="宋体" w:cs="宋体"/>
                      <w:color w:val="auto"/>
                      <w:sz w:val="22"/>
                      <w:highlight w:val="none"/>
                    </w:rPr>
                    <w:t>项目管理</w:t>
                  </w:r>
                </w:p>
              </w:tc>
              <w:tc>
                <w:tcPr>
                  <w:tcW w:w="441" w:type="pct"/>
                  <w:vAlign w:val="center"/>
                </w:tcPr>
                <w:p w14:paraId="55729101">
                  <w:pPr>
                    <w:jc w:val="center"/>
                    <w:rPr>
                      <w:rFonts w:ascii="宋体" w:hAnsi="宋体" w:cs="宋体"/>
                      <w:color w:val="auto"/>
                      <w:sz w:val="22"/>
                      <w:highlight w:val="none"/>
                    </w:rPr>
                  </w:pPr>
                  <w:r>
                    <w:rPr>
                      <w:rFonts w:hint="eastAsia" w:ascii="宋体" w:hAnsi="宋体" w:cs="宋体"/>
                      <w:color w:val="auto"/>
                      <w:sz w:val="22"/>
                      <w:highlight w:val="none"/>
                    </w:rPr>
                    <w:t>人员管理</w:t>
                  </w:r>
                </w:p>
              </w:tc>
              <w:tc>
                <w:tcPr>
                  <w:tcW w:w="3243" w:type="pct"/>
                  <w:vAlign w:val="center"/>
                </w:tcPr>
                <w:p w14:paraId="593FA3F9">
                  <w:pPr>
                    <w:ind w:firstLine="480"/>
                    <w:jc w:val="left"/>
                    <w:rPr>
                      <w:rFonts w:ascii="宋体" w:hAnsi="宋体" w:cs="宋体"/>
                      <w:color w:val="auto"/>
                      <w:sz w:val="22"/>
                      <w:highlight w:val="none"/>
                    </w:rPr>
                  </w:pPr>
                  <w:r>
                    <w:rPr>
                      <w:rFonts w:hint="eastAsia" w:ascii="宋体" w:hAnsi="宋体" w:cs="宋体"/>
                      <w:color w:val="auto"/>
                      <w:sz w:val="22"/>
                      <w:highlight w:val="none"/>
                    </w:rPr>
                    <w:t>1.物业从业人员上岗时应穿工作服（含工作帽和工作鞋），挂工号牌。整体服务形象良好，精神饱满。</w:t>
                  </w:r>
                </w:p>
                <w:p w14:paraId="45E4D41E">
                  <w:pPr>
                    <w:ind w:firstLine="480"/>
                    <w:jc w:val="left"/>
                    <w:rPr>
                      <w:rFonts w:ascii="宋体" w:hAnsi="宋体" w:cs="宋体"/>
                      <w:color w:val="auto"/>
                      <w:sz w:val="22"/>
                      <w:highlight w:val="none"/>
                    </w:rPr>
                  </w:pPr>
                  <w:r>
                    <w:rPr>
                      <w:rFonts w:hint="eastAsia" w:ascii="宋体" w:hAnsi="宋体" w:cs="宋体"/>
                      <w:color w:val="auto"/>
                      <w:sz w:val="22"/>
                      <w:highlight w:val="none"/>
                    </w:rPr>
                    <w:t>2.物业人员服务应服务态度良好，不与师生发生争执，应礼貌回答师生提出的问题。</w:t>
                  </w:r>
                </w:p>
                <w:p w14:paraId="26FAD5B3">
                  <w:pPr>
                    <w:ind w:firstLine="480"/>
                    <w:jc w:val="left"/>
                    <w:rPr>
                      <w:rFonts w:ascii="宋体" w:hAnsi="宋体" w:cs="宋体"/>
                      <w:color w:val="auto"/>
                      <w:sz w:val="22"/>
                      <w:highlight w:val="none"/>
                    </w:rPr>
                  </w:pPr>
                  <w:r>
                    <w:rPr>
                      <w:rFonts w:hint="eastAsia" w:ascii="宋体" w:hAnsi="宋体" w:cs="宋体"/>
                      <w:color w:val="auto"/>
                      <w:sz w:val="22"/>
                      <w:highlight w:val="none"/>
                    </w:rPr>
                    <w:t>3.人员持证上岗符合资质要求，资质证书在有效期内。</w:t>
                  </w:r>
                </w:p>
                <w:p w14:paraId="75A0D3D3">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4.保密要求，物业人员不得随意将校内师生的情况透露给其他人。</w:t>
                  </w:r>
                </w:p>
                <w:p w14:paraId="1F465767">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5.培训要求，物业人员应经过培训后上岗，项目部每月至少一次对物业人员进行培训。</w:t>
                  </w:r>
                </w:p>
                <w:p w14:paraId="3A0252AD">
                  <w:pPr>
                    <w:ind w:firstLine="480"/>
                    <w:rPr>
                      <w:rFonts w:ascii="宋体" w:hAnsi="宋体" w:cs="宋体"/>
                      <w:color w:val="auto"/>
                      <w:sz w:val="22"/>
                      <w:highlight w:val="none"/>
                    </w:rPr>
                  </w:pPr>
                  <w:r>
                    <w:rPr>
                      <w:rFonts w:hint="eastAsia" w:ascii="宋体" w:hAnsi="宋体" w:cs="宋体"/>
                      <w:color w:val="auto"/>
                      <w:sz w:val="22"/>
                      <w:highlight w:val="none"/>
                    </w:rPr>
                    <w:t>6.项目公司应对物业人员进行考核，建立合理的考核制度，并按月度进行考核。</w:t>
                  </w:r>
                </w:p>
                <w:p w14:paraId="682EE149">
                  <w:pPr>
                    <w:ind w:firstLine="480"/>
                    <w:rPr>
                      <w:rFonts w:ascii="宋体" w:hAnsi="宋体" w:cs="宋体"/>
                      <w:color w:val="auto"/>
                      <w:sz w:val="22"/>
                      <w:highlight w:val="none"/>
                    </w:rPr>
                  </w:pPr>
                  <w:r>
                    <w:rPr>
                      <w:rFonts w:hint="eastAsia" w:ascii="宋体" w:hAnsi="宋体" w:cs="宋体"/>
                      <w:color w:val="auto"/>
                      <w:sz w:val="22"/>
                      <w:highlight w:val="none"/>
                      <w:lang w:bidi="ar"/>
                    </w:rPr>
                    <w:t>7.考勤系统应与实际人员在职情况同步，离职同步注销校园卡、取消相关校园进出权限。</w:t>
                  </w:r>
                </w:p>
                <w:p w14:paraId="20C63E8F">
                  <w:pPr>
                    <w:ind w:left="420"/>
                    <w:jc w:val="left"/>
                    <w:rPr>
                      <w:rFonts w:ascii="宋体" w:hAnsi="宋体" w:cs="宋体"/>
                      <w:b/>
                      <w:color w:val="auto"/>
                      <w:sz w:val="22"/>
                      <w:highlight w:val="none"/>
                    </w:rPr>
                  </w:pPr>
                  <w:r>
                    <w:rPr>
                      <w:rFonts w:hint="eastAsia" w:ascii="宋体" w:hAnsi="宋体" w:cs="宋体"/>
                      <w:b/>
                      <w:color w:val="auto"/>
                      <w:sz w:val="22"/>
                      <w:highlight w:val="none"/>
                    </w:rPr>
                    <w:t>上述情况发现一次不符合的扣1分。</w:t>
                  </w:r>
                </w:p>
              </w:tc>
              <w:tc>
                <w:tcPr>
                  <w:tcW w:w="227" w:type="pct"/>
                  <w:vAlign w:val="center"/>
                </w:tcPr>
                <w:p w14:paraId="5FDD2690">
                  <w:pPr>
                    <w:jc w:val="center"/>
                    <w:rPr>
                      <w:rFonts w:ascii="宋体" w:hAnsi="宋体" w:cs="宋体"/>
                      <w:color w:val="auto"/>
                      <w:sz w:val="22"/>
                      <w:highlight w:val="none"/>
                    </w:rPr>
                  </w:pPr>
                  <w:r>
                    <w:rPr>
                      <w:rFonts w:hint="eastAsia" w:ascii="宋体" w:hAnsi="宋体" w:cs="宋体"/>
                      <w:color w:val="auto"/>
                      <w:sz w:val="22"/>
                      <w:highlight w:val="none"/>
                    </w:rPr>
                    <w:t>5</w:t>
                  </w:r>
                </w:p>
              </w:tc>
              <w:tc>
                <w:tcPr>
                  <w:tcW w:w="340" w:type="pct"/>
                  <w:vAlign w:val="center"/>
                </w:tcPr>
                <w:p w14:paraId="0E4E974C">
                  <w:pPr>
                    <w:ind w:left="420"/>
                    <w:jc w:val="left"/>
                    <w:rPr>
                      <w:rFonts w:ascii="宋体" w:hAnsi="宋体" w:cs="宋体"/>
                      <w:color w:val="auto"/>
                      <w:sz w:val="22"/>
                      <w:highlight w:val="none"/>
                    </w:rPr>
                  </w:pPr>
                </w:p>
              </w:tc>
              <w:tc>
                <w:tcPr>
                  <w:tcW w:w="427" w:type="pct"/>
                  <w:vAlign w:val="center"/>
                </w:tcPr>
                <w:p w14:paraId="0363485D">
                  <w:pPr>
                    <w:ind w:left="420"/>
                    <w:rPr>
                      <w:rFonts w:ascii="宋体" w:hAnsi="宋体" w:cs="宋体"/>
                      <w:color w:val="auto"/>
                      <w:sz w:val="22"/>
                      <w:highlight w:val="none"/>
                    </w:rPr>
                  </w:pPr>
                </w:p>
              </w:tc>
            </w:tr>
            <w:tr w14:paraId="7C86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5E2F67C9">
                  <w:pPr>
                    <w:jc w:val="center"/>
                    <w:rPr>
                      <w:rFonts w:ascii="宋体" w:hAnsi="宋体" w:cs="宋体"/>
                      <w:color w:val="auto"/>
                      <w:sz w:val="22"/>
                      <w:highlight w:val="none"/>
                    </w:rPr>
                  </w:pPr>
                </w:p>
              </w:tc>
              <w:tc>
                <w:tcPr>
                  <w:tcW w:w="441" w:type="pct"/>
                  <w:vAlign w:val="center"/>
                </w:tcPr>
                <w:p w14:paraId="043288C8">
                  <w:pPr>
                    <w:jc w:val="center"/>
                    <w:rPr>
                      <w:rFonts w:ascii="宋体" w:hAnsi="宋体" w:cs="宋体"/>
                      <w:color w:val="auto"/>
                      <w:sz w:val="22"/>
                      <w:highlight w:val="none"/>
                    </w:rPr>
                  </w:pPr>
                  <w:r>
                    <w:rPr>
                      <w:rFonts w:hint="eastAsia" w:ascii="宋体" w:hAnsi="宋体" w:cs="宋体"/>
                      <w:color w:val="auto"/>
                      <w:sz w:val="22"/>
                      <w:highlight w:val="none"/>
                    </w:rPr>
                    <w:t>制度流程管理</w:t>
                  </w:r>
                </w:p>
              </w:tc>
              <w:tc>
                <w:tcPr>
                  <w:tcW w:w="3243" w:type="pct"/>
                  <w:vAlign w:val="center"/>
                </w:tcPr>
                <w:p w14:paraId="366B9934">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1.针对学校实际的后勤服务工作建立完整的管理服务制度。</w:t>
                  </w:r>
                </w:p>
                <w:p w14:paraId="10D3869D">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2.后勤服务流程完整，操作规范。</w:t>
                  </w:r>
                </w:p>
                <w:p w14:paraId="7DDC1B49">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3.后勤服务过程有完整的工作台帐，服务全过程留痕。</w:t>
                  </w:r>
                </w:p>
                <w:p w14:paraId="2DBF1AE0">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4.后勤服务必要岗位进行公示，服务内容公示。</w:t>
                  </w:r>
                </w:p>
                <w:p w14:paraId="58926F55">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5.对师生的服务有制作服务手册，明确告知师生的后勤服务内容，并接受师生的监督。</w:t>
                  </w:r>
                </w:p>
                <w:p w14:paraId="038703C6">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6.物业的投诉处理流程合理、高效，并能做到首问首处，记录完整，每学期有分析报告。</w:t>
                  </w:r>
                </w:p>
                <w:p w14:paraId="634A716F">
                  <w:pPr>
                    <w:pStyle w:val="90"/>
                    <w:ind w:firstLine="480"/>
                    <w:rPr>
                      <w:rFonts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上述情况发现一次不符合的扣1分。</w:t>
                  </w:r>
                </w:p>
              </w:tc>
              <w:tc>
                <w:tcPr>
                  <w:tcW w:w="227" w:type="pct"/>
                  <w:vAlign w:val="center"/>
                </w:tcPr>
                <w:p w14:paraId="14C44855">
                  <w:pPr>
                    <w:jc w:val="center"/>
                    <w:rPr>
                      <w:rFonts w:ascii="宋体" w:hAnsi="宋体" w:cs="宋体"/>
                      <w:color w:val="auto"/>
                      <w:sz w:val="22"/>
                      <w:highlight w:val="none"/>
                    </w:rPr>
                  </w:pPr>
                  <w:r>
                    <w:rPr>
                      <w:rFonts w:hint="eastAsia" w:ascii="宋体" w:hAnsi="宋体" w:cs="宋体"/>
                      <w:color w:val="auto"/>
                      <w:sz w:val="22"/>
                      <w:highlight w:val="none"/>
                    </w:rPr>
                    <w:t>4</w:t>
                  </w:r>
                </w:p>
              </w:tc>
              <w:tc>
                <w:tcPr>
                  <w:tcW w:w="340" w:type="pct"/>
                  <w:vAlign w:val="center"/>
                </w:tcPr>
                <w:p w14:paraId="33559C48">
                  <w:pPr>
                    <w:ind w:left="420"/>
                    <w:jc w:val="left"/>
                    <w:rPr>
                      <w:rFonts w:ascii="宋体" w:hAnsi="宋体" w:cs="宋体"/>
                      <w:color w:val="auto"/>
                      <w:sz w:val="22"/>
                      <w:highlight w:val="none"/>
                    </w:rPr>
                  </w:pPr>
                </w:p>
              </w:tc>
              <w:tc>
                <w:tcPr>
                  <w:tcW w:w="427" w:type="pct"/>
                  <w:vAlign w:val="center"/>
                </w:tcPr>
                <w:p w14:paraId="2DE25F60">
                  <w:pPr>
                    <w:ind w:left="420"/>
                    <w:rPr>
                      <w:rFonts w:ascii="宋体" w:hAnsi="宋体" w:cs="宋体"/>
                      <w:color w:val="auto"/>
                      <w:sz w:val="22"/>
                      <w:highlight w:val="none"/>
                    </w:rPr>
                  </w:pPr>
                </w:p>
              </w:tc>
            </w:tr>
            <w:tr w14:paraId="08F8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6" w:hRule="atLeast"/>
                <w:jc w:val="center"/>
              </w:trPr>
              <w:tc>
                <w:tcPr>
                  <w:tcW w:w="319" w:type="pct"/>
                  <w:vMerge w:val="continue"/>
                  <w:vAlign w:val="center"/>
                </w:tcPr>
                <w:p w14:paraId="5E839498">
                  <w:pPr>
                    <w:jc w:val="center"/>
                    <w:rPr>
                      <w:rFonts w:ascii="宋体" w:hAnsi="宋体" w:cs="宋体"/>
                      <w:color w:val="auto"/>
                      <w:sz w:val="22"/>
                      <w:highlight w:val="none"/>
                    </w:rPr>
                  </w:pPr>
                </w:p>
              </w:tc>
              <w:tc>
                <w:tcPr>
                  <w:tcW w:w="441" w:type="pct"/>
                  <w:vAlign w:val="center"/>
                </w:tcPr>
                <w:p w14:paraId="164A3BEE">
                  <w:pPr>
                    <w:jc w:val="center"/>
                    <w:rPr>
                      <w:rFonts w:ascii="宋体" w:hAnsi="宋体" w:cs="宋体"/>
                      <w:color w:val="auto"/>
                      <w:sz w:val="22"/>
                      <w:highlight w:val="none"/>
                    </w:rPr>
                  </w:pPr>
                  <w:r>
                    <w:rPr>
                      <w:rFonts w:hint="eastAsia" w:ascii="宋体" w:hAnsi="宋体" w:cs="宋体"/>
                      <w:color w:val="auto"/>
                      <w:sz w:val="22"/>
                      <w:highlight w:val="none"/>
                    </w:rPr>
                    <w:t>项目管理</w:t>
                  </w:r>
                </w:p>
              </w:tc>
              <w:tc>
                <w:tcPr>
                  <w:tcW w:w="3243" w:type="pct"/>
                  <w:vAlign w:val="center"/>
                </w:tcPr>
                <w:p w14:paraId="7069756C">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1.物业人员在岗满足投标方案承诺的最低数量，并且按要求向甲方备案。</w:t>
                  </w:r>
                </w:p>
                <w:p w14:paraId="75BDD587">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2.物业公司有内控机制，每月对项目进行品质检查，并留有记录，供校方抽查。</w:t>
                  </w:r>
                </w:p>
                <w:p w14:paraId="3037C832">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3.物业公司对项目部的夜间服务，有巡查制度，每月至少夜查一次，记录同步给校方。</w:t>
                  </w:r>
                </w:p>
                <w:p w14:paraId="37DA2306">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4.物业公司在本项目使用的信息化产品后台系统应开放给校方，并将数据每月整理、汇总和分析，每月提交报告给校方。</w:t>
                  </w:r>
                </w:p>
                <w:p w14:paraId="63D2464C">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5.物业公司按校方要求完成对固定资产的定期核对工作。</w:t>
                  </w:r>
                </w:p>
                <w:p w14:paraId="29CF890E">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6.物业公司按要求完成对配套服务用房的监督，并将记录提交给校方。</w:t>
                  </w:r>
                </w:p>
                <w:p w14:paraId="43B5336B">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7.物业公司对本项目的节能管理，有详实的可执行的方案，并每月对能耗有统计和分析，并改进节能管理方案。</w:t>
                  </w:r>
                </w:p>
                <w:p w14:paraId="6362FEF4">
                  <w:pPr>
                    <w:ind w:firstLine="480"/>
                    <w:rPr>
                      <w:rFonts w:ascii="宋体" w:hAnsi="宋体" w:cs="宋体"/>
                      <w:color w:val="auto"/>
                      <w:sz w:val="22"/>
                      <w:highlight w:val="none"/>
                    </w:rPr>
                  </w:pPr>
                  <w:r>
                    <w:rPr>
                      <w:rFonts w:hint="eastAsia" w:ascii="宋体" w:hAnsi="宋体" w:cs="宋体"/>
                      <w:color w:val="auto"/>
                      <w:sz w:val="22"/>
                      <w:highlight w:val="none"/>
                    </w:rPr>
                    <w:t>8. 结合校园运行要求，对校园交通标识牌、标线、机动车与非机动车位线提出优化建议，并进行实施。校园内的标识标牌清晰，无脱落和缺损。</w:t>
                  </w:r>
                </w:p>
                <w:p w14:paraId="556528B9">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9.物业人员的每月流动率应在5%以内。</w:t>
                  </w:r>
                </w:p>
                <w:p w14:paraId="7F9E3F30">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10.物业项目档案齐全。</w:t>
                  </w:r>
                </w:p>
                <w:p w14:paraId="6EDBB94A">
                  <w:pPr>
                    <w:pStyle w:val="94"/>
                    <w:ind w:left="0" w:firstLine="480"/>
                    <w:rPr>
                      <w:rFonts w:hint="eastAsia" w:ascii="宋体" w:hAnsi="宋体" w:cs="宋体"/>
                      <w:color w:val="auto"/>
                      <w:kern w:val="2"/>
                      <w:sz w:val="22"/>
                      <w:highlight w:val="none"/>
                    </w:rPr>
                  </w:pPr>
                  <w:r>
                    <w:rPr>
                      <w:rFonts w:hint="eastAsia" w:ascii="宋体" w:hAnsi="宋体" w:cs="宋体"/>
                      <w:color w:val="auto"/>
                      <w:kern w:val="2"/>
                      <w:sz w:val="22"/>
                      <w:highlight w:val="none"/>
                    </w:rPr>
                    <w:t>11.保质保量完成校方交办的其他事项。</w:t>
                  </w:r>
                </w:p>
                <w:p w14:paraId="2CF96923">
                  <w:pPr>
                    <w:ind w:firstLine="440" w:firstLineChars="200"/>
                    <w:rPr>
                      <w:rFonts w:hint="default" w:eastAsia="宋体"/>
                      <w:highlight w:val="none"/>
                      <w:lang w:val="en-US" w:eastAsia="zh-CN"/>
                    </w:rPr>
                  </w:pPr>
                  <w:r>
                    <w:rPr>
                      <w:rFonts w:hint="eastAsia" w:ascii="宋体" w:hAnsi="宋体" w:cs="宋体"/>
                      <w:color w:val="auto"/>
                      <w:kern w:val="2"/>
                      <w:sz w:val="22"/>
                      <w:highlight w:val="none"/>
                      <w:lang w:val="en-US" w:eastAsia="zh-CN"/>
                    </w:rPr>
                    <w:t>12.物业公司未落实其投标文件内承诺内容的。</w:t>
                  </w:r>
                </w:p>
                <w:p w14:paraId="12D31D88">
                  <w:pPr>
                    <w:pStyle w:val="94"/>
                    <w:ind w:left="0" w:firstLine="480"/>
                    <w:rPr>
                      <w:rFonts w:ascii="宋体" w:hAnsi="宋体" w:cs="宋体"/>
                      <w:b/>
                      <w:color w:val="auto"/>
                      <w:kern w:val="2"/>
                      <w:sz w:val="22"/>
                      <w:highlight w:val="none"/>
                    </w:rPr>
                  </w:pPr>
                  <w:r>
                    <w:rPr>
                      <w:rFonts w:hint="eastAsia" w:ascii="宋体" w:hAnsi="宋体" w:cs="宋体"/>
                      <w:b/>
                      <w:color w:val="auto"/>
                      <w:kern w:val="2"/>
                      <w:sz w:val="22"/>
                      <w:highlight w:val="none"/>
                    </w:rPr>
                    <w:t>上述情况发现一次不符合的扣0.5分。</w:t>
                  </w:r>
                </w:p>
              </w:tc>
              <w:tc>
                <w:tcPr>
                  <w:tcW w:w="227" w:type="pct"/>
                  <w:vAlign w:val="center"/>
                </w:tcPr>
                <w:p w14:paraId="3CCD08F9">
                  <w:pPr>
                    <w:jc w:val="center"/>
                    <w:rPr>
                      <w:rFonts w:ascii="宋体" w:hAnsi="宋体" w:cs="宋体"/>
                      <w:color w:val="auto"/>
                      <w:sz w:val="22"/>
                      <w:highlight w:val="none"/>
                    </w:rPr>
                  </w:pPr>
                  <w:r>
                    <w:rPr>
                      <w:rFonts w:hint="eastAsia" w:ascii="宋体" w:hAnsi="宋体" w:cs="宋体"/>
                      <w:color w:val="auto"/>
                      <w:sz w:val="22"/>
                      <w:highlight w:val="none"/>
                    </w:rPr>
                    <w:t>5</w:t>
                  </w:r>
                </w:p>
              </w:tc>
              <w:tc>
                <w:tcPr>
                  <w:tcW w:w="340" w:type="pct"/>
                  <w:vAlign w:val="center"/>
                </w:tcPr>
                <w:p w14:paraId="66A76A9B">
                  <w:pPr>
                    <w:ind w:left="420"/>
                    <w:jc w:val="left"/>
                    <w:rPr>
                      <w:rFonts w:ascii="宋体" w:hAnsi="宋体" w:cs="宋体"/>
                      <w:color w:val="auto"/>
                      <w:sz w:val="22"/>
                      <w:highlight w:val="none"/>
                    </w:rPr>
                  </w:pPr>
                </w:p>
              </w:tc>
              <w:tc>
                <w:tcPr>
                  <w:tcW w:w="427" w:type="pct"/>
                  <w:vAlign w:val="center"/>
                </w:tcPr>
                <w:p w14:paraId="0DF2D70E">
                  <w:pPr>
                    <w:ind w:left="420"/>
                    <w:rPr>
                      <w:rFonts w:ascii="宋体" w:hAnsi="宋体" w:cs="宋体"/>
                      <w:color w:val="auto"/>
                      <w:sz w:val="22"/>
                      <w:highlight w:val="none"/>
                    </w:rPr>
                  </w:pPr>
                </w:p>
              </w:tc>
            </w:tr>
            <w:tr w14:paraId="3873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restart"/>
                  <w:vAlign w:val="center"/>
                </w:tcPr>
                <w:p w14:paraId="189B81F5">
                  <w:pPr>
                    <w:jc w:val="center"/>
                    <w:rPr>
                      <w:rFonts w:ascii="宋体" w:hAnsi="宋体" w:cs="宋体"/>
                      <w:color w:val="auto"/>
                      <w:sz w:val="22"/>
                      <w:highlight w:val="none"/>
                    </w:rPr>
                  </w:pPr>
                  <w:r>
                    <w:rPr>
                      <w:rFonts w:hint="eastAsia" w:ascii="宋体" w:hAnsi="宋体" w:cs="宋体"/>
                      <w:color w:val="auto"/>
                      <w:sz w:val="22"/>
                      <w:highlight w:val="none"/>
                    </w:rPr>
                    <w:t>保洁服务</w:t>
                  </w:r>
                </w:p>
              </w:tc>
              <w:tc>
                <w:tcPr>
                  <w:tcW w:w="441" w:type="pct"/>
                  <w:vAlign w:val="center"/>
                </w:tcPr>
                <w:p w14:paraId="0B3C433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工作规范</w:t>
                  </w:r>
                </w:p>
              </w:tc>
              <w:tc>
                <w:tcPr>
                  <w:tcW w:w="3243" w:type="pct"/>
                  <w:vAlign w:val="center"/>
                </w:tcPr>
                <w:p w14:paraId="6E047F5D">
                  <w:pPr>
                    <w:widowControl/>
                    <w:ind w:firstLine="480"/>
                    <w:jc w:val="left"/>
                    <w:rPr>
                      <w:rFonts w:ascii="宋体" w:hAnsi="宋体" w:cs="宋体"/>
                      <w:color w:val="auto"/>
                      <w:sz w:val="22"/>
                      <w:highlight w:val="none"/>
                    </w:rPr>
                  </w:pPr>
                  <w:r>
                    <w:rPr>
                      <w:rFonts w:hint="eastAsia" w:ascii="宋体" w:hAnsi="宋体" w:cs="宋体"/>
                      <w:color w:val="auto"/>
                      <w:sz w:val="22"/>
                      <w:highlight w:val="none"/>
                    </w:rPr>
                    <w:t>1.保洁人员在公作场所内不大声喧哗、举止文明。</w:t>
                  </w:r>
                </w:p>
                <w:p w14:paraId="3ACDA377">
                  <w:pPr>
                    <w:widowControl/>
                    <w:ind w:firstLine="480"/>
                    <w:jc w:val="left"/>
                    <w:rPr>
                      <w:rFonts w:ascii="宋体" w:hAnsi="宋体" w:cs="宋体"/>
                      <w:color w:val="auto"/>
                      <w:sz w:val="22"/>
                      <w:highlight w:val="none"/>
                    </w:rPr>
                  </w:pPr>
                  <w:r>
                    <w:rPr>
                      <w:rFonts w:hint="eastAsia" w:ascii="宋体" w:hAnsi="宋体" w:cs="宋体"/>
                      <w:color w:val="auto"/>
                      <w:sz w:val="22"/>
                      <w:highlight w:val="none"/>
                    </w:rPr>
                    <w:t>2.保洁人员应爱护保洁工器具，且摆放整齐。</w:t>
                  </w:r>
                </w:p>
                <w:p w14:paraId="033AD493">
                  <w:pPr>
                    <w:widowControl/>
                    <w:ind w:firstLine="480"/>
                    <w:jc w:val="left"/>
                    <w:rPr>
                      <w:rFonts w:ascii="宋体" w:hAnsi="宋体" w:cs="宋体"/>
                      <w:color w:val="auto"/>
                      <w:sz w:val="22"/>
                      <w:highlight w:val="none"/>
                    </w:rPr>
                  </w:pPr>
                  <w:r>
                    <w:rPr>
                      <w:rFonts w:hint="eastAsia" w:ascii="宋体" w:hAnsi="宋体" w:cs="宋体"/>
                      <w:color w:val="auto"/>
                      <w:sz w:val="22"/>
                      <w:highlight w:val="none"/>
                    </w:rPr>
                    <w:t>3.垃圾按要求堆放在指定地点。</w:t>
                  </w:r>
                </w:p>
                <w:p w14:paraId="5C69CCF9">
                  <w:pPr>
                    <w:widowControl/>
                    <w:ind w:firstLine="480"/>
                    <w:jc w:val="left"/>
                    <w:rPr>
                      <w:rFonts w:ascii="宋体" w:hAnsi="宋体" w:cs="宋体"/>
                      <w:color w:val="auto"/>
                      <w:sz w:val="22"/>
                      <w:highlight w:val="none"/>
                    </w:rPr>
                  </w:pPr>
                  <w:r>
                    <w:rPr>
                      <w:rFonts w:hint="eastAsia" w:ascii="宋体" w:hAnsi="宋体" w:cs="宋体"/>
                      <w:color w:val="auto"/>
                      <w:sz w:val="22"/>
                      <w:highlight w:val="none"/>
                    </w:rPr>
                    <w:t>4.保洁人员在工作时，应注重节能减排，无浪费行为。</w:t>
                  </w:r>
                </w:p>
                <w:p w14:paraId="50471D65">
                  <w:pPr>
                    <w:widowControl/>
                    <w:ind w:firstLine="480"/>
                    <w:jc w:val="left"/>
                    <w:rPr>
                      <w:rFonts w:ascii="宋体" w:hAnsi="宋体" w:cs="宋体"/>
                      <w:color w:val="auto"/>
                      <w:sz w:val="22"/>
                      <w:highlight w:val="none"/>
                    </w:rPr>
                  </w:pPr>
                  <w:r>
                    <w:rPr>
                      <w:rFonts w:hint="eastAsia" w:ascii="宋体" w:hAnsi="宋体" w:cs="宋体"/>
                      <w:color w:val="auto"/>
                      <w:sz w:val="22"/>
                      <w:highlight w:val="none"/>
                    </w:rPr>
                    <w:t>5.按要求做好防疫消杀工作。</w:t>
                  </w:r>
                </w:p>
                <w:p w14:paraId="4DE583B6">
                  <w:pPr>
                    <w:widowControl/>
                    <w:ind w:firstLine="480"/>
                    <w:jc w:val="left"/>
                    <w:rPr>
                      <w:rFonts w:ascii="宋体" w:hAnsi="宋体" w:cs="宋体"/>
                      <w:color w:val="auto"/>
                      <w:sz w:val="22"/>
                      <w:highlight w:val="none"/>
                    </w:rPr>
                  </w:pPr>
                  <w:r>
                    <w:rPr>
                      <w:rFonts w:hint="eastAsia" w:ascii="宋体" w:hAnsi="宋体" w:cs="宋体"/>
                      <w:color w:val="auto"/>
                      <w:sz w:val="22"/>
                      <w:highlight w:val="none"/>
                    </w:rPr>
                    <w:t>6.保洁人员按校方要求进行公示，且部分区域保洁记录和巡查记录按要求公示。</w:t>
                  </w:r>
                </w:p>
                <w:p w14:paraId="5275BDFC">
                  <w:pPr>
                    <w:widowControl/>
                    <w:ind w:firstLine="480"/>
                    <w:jc w:val="left"/>
                    <w:rPr>
                      <w:rFonts w:ascii="宋体" w:hAnsi="宋体" w:cs="宋体"/>
                      <w:color w:val="auto"/>
                      <w:sz w:val="22"/>
                      <w:highlight w:val="none"/>
                    </w:rPr>
                  </w:pPr>
                  <w:r>
                    <w:rPr>
                      <w:rFonts w:hint="eastAsia" w:ascii="宋体" w:hAnsi="宋体" w:cs="宋体"/>
                      <w:color w:val="auto"/>
                      <w:sz w:val="22"/>
                      <w:highlight w:val="none"/>
                    </w:rPr>
                    <w:t>7.师生无投诉卫生问题。</w:t>
                  </w:r>
                </w:p>
                <w:p w14:paraId="72043664">
                  <w:pPr>
                    <w:widowControl/>
                    <w:ind w:firstLine="480"/>
                    <w:jc w:val="left"/>
                    <w:rPr>
                      <w:rFonts w:ascii="宋体" w:hAnsi="宋体" w:cs="宋体"/>
                      <w:color w:val="auto"/>
                      <w:sz w:val="22"/>
                      <w:highlight w:val="none"/>
                    </w:rPr>
                  </w:pPr>
                  <w:r>
                    <w:rPr>
                      <w:rFonts w:hint="eastAsia" w:ascii="宋体" w:hAnsi="宋体" w:cs="宋体"/>
                      <w:color w:val="auto"/>
                      <w:sz w:val="22"/>
                      <w:highlight w:val="none"/>
                    </w:rPr>
                    <w:t>8.做好启用区域的开荒保洁工作。</w:t>
                  </w:r>
                </w:p>
                <w:p w14:paraId="536D1082">
                  <w:pPr>
                    <w:widowControl/>
                    <w:ind w:firstLine="482"/>
                    <w:jc w:val="left"/>
                    <w:rPr>
                      <w:rFonts w:ascii="宋体" w:hAnsi="宋体" w:cs="宋体"/>
                      <w:b/>
                      <w:color w:val="auto"/>
                      <w:kern w:val="0"/>
                      <w:sz w:val="22"/>
                      <w:highlight w:val="none"/>
                    </w:rPr>
                  </w:pPr>
                  <w:r>
                    <w:rPr>
                      <w:rFonts w:hint="eastAsia" w:ascii="宋体" w:hAnsi="宋体" w:cs="宋体"/>
                      <w:b/>
                      <w:color w:val="auto"/>
                      <w:sz w:val="22"/>
                      <w:highlight w:val="none"/>
                    </w:rPr>
                    <w:t>上述情况发现一次不符合的扣0.2分。</w:t>
                  </w:r>
                </w:p>
              </w:tc>
              <w:tc>
                <w:tcPr>
                  <w:tcW w:w="227" w:type="pct"/>
                  <w:vAlign w:val="center"/>
                </w:tcPr>
                <w:p w14:paraId="69189AA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3DE6884B">
                  <w:pPr>
                    <w:widowControl/>
                    <w:rPr>
                      <w:rFonts w:ascii="宋体" w:hAnsi="宋体" w:cs="宋体"/>
                      <w:color w:val="auto"/>
                      <w:kern w:val="0"/>
                      <w:sz w:val="22"/>
                      <w:highlight w:val="none"/>
                    </w:rPr>
                  </w:pPr>
                </w:p>
              </w:tc>
              <w:tc>
                <w:tcPr>
                  <w:tcW w:w="427" w:type="pct"/>
                  <w:vAlign w:val="center"/>
                </w:tcPr>
                <w:p w14:paraId="116BC34F">
                  <w:pPr>
                    <w:widowControl/>
                    <w:ind w:firstLine="480"/>
                    <w:jc w:val="center"/>
                    <w:rPr>
                      <w:rFonts w:ascii="宋体" w:hAnsi="宋体" w:cs="宋体"/>
                      <w:color w:val="auto"/>
                      <w:kern w:val="0"/>
                      <w:sz w:val="22"/>
                      <w:highlight w:val="none"/>
                    </w:rPr>
                  </w:pPr>
                </w:p>
              </w:tc>
            </w:tr>
            <w:tr w14:paraId="3E50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10015BCC">
                  <w:pPr>
                    <w:jc w:val="center"/>
                    <w:rPr>
                      <w:rFonts w:ascii="宋体" w:hAnsi="宋体" w:cs="宋体"/>
                      <w:color w:val="auto"/>
                      <w:sz w:val="22"/>
                      <w:highlight w:val="none"/>
                    </w:rPr>
                  </w:pPr>
                </w:p>
              </w:tc>
              <w:tc>
                <w:tcPr>
                  <w:tcW w:w="441" w:type="pct"/>
                  <w:vAlign w:val="center"/>
                </w:tcPr>
                <w:p w14:paraId="174921E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外围环境卫生</w:t>
                  </w:r>
                </w:p>
              </w:tc>
              <w:tc>
                <w:tcPr>
                  <w:tcW w:w="3243" w:type="pct"/>
                  <w:vAlign w:val="center"/>
                </w:tcPr>
                <w:p w14:paraId="22CC848A">
                  <w:pPr>
                    <w:widowControl/>
                    <w:ind w:firstLine="480"/>
                    <w:jc w:val="left"/>
                    <w:rPr>
                      <w:rFonts w:ascii="宋体" w:hAnsi="宋体" w:cs="宋体"/>
                      <w:color w:val="auto"/>
                      <w:sz w:val="22"/>
                      <w:highlight w:val="none"/>
                    </w:rPr>
                  </w:pPr>
                  <w:r>
                    <w:rPr>
                      <w:rFonts w:hint="eastAsia" w:ascii="宋体" w:hAnsi="宋体" w:cs="宋体"/>
                      <w:color w:val="auto"/>
                      <w:sz w:val="22"/>
                      <w:highlight w:val="none"/>
                    </w:rPr>
                    <w:t>1.道路路面、绿地等清洁，无纸屑、果皮、烟头、塑料袋、落叶等杂物。</w:t>
                  </w:r>
                </w:p>
                <w:p w14:paraId="6AC203AC">
                  <w:pPr>
                    <w:widowControl/>
                    <w:ind w:firstLine="480"/>
                    <w:jc w:val="left"/>
                    <w:rPr>
                      <w:rFonts w:ascii="宋体" w:hAnsi="宋体" w:cs="宋体"/>
                      <w:color w:val="auto"/>
                      <w:sz w:val="22"/>
                      <w:highlight w:val="none"/>
                    </w:rPr>
                  </w:pPr>
                  <w:r>
                    <w:rPr>
                      <w:rFonts w:hint="eastAsia" w:ascii="宋体" w:hAnsi="宋体" w:cs="宋体"/>
                      <w:color w:val="auto"/>
                      <w:sz w:val="22"/>
                      <w:highlight w:val="none"/>
                    </w:rPr>
                    <w:t>2.绿化带内无垃圾，无杂物。</w:t>
                  </w:r>
                </w:p>
                <w:p w14:paraId="31D3C433">
                  <w:pPr>
                    <w:widowControl/>
                    <w:ind w:firstLine="480"/>
                    <w:jc w:val="left"/>
                    <w:rPr>
                      <w:rFonts w:ascii="宋体" w:hAnsi="宋体" w:cs="宋体"/>
                      <w:color w:val="auto"/>
                      <w:sz w:val="22"/>
                      <w:highlight w:val="none"/>
                    </w:rPr>
                  </w:pPr>
                  <w:r>
                    <w:rPr>
                      <w:rFonts w:hint="eastAsia" w:ascii="宋体" w:hAnsi="宋体" w:cs="宋体"/>
                      <w:color w:val="auto"/>
                      <w:sz w:val="22"/>
                      <w:highlight w:val="none"/>
                    </w:rPr>
                    <w:t>3.户外垃圾桶或果壳箱干净，垃圾无满溢。垃圾箱及周边清洁，垃圾箱门关闭。</w:t>
                  </w:r>
                </w:p>
                <w:p w14:paraId="43D50B70">
                  <w:pPr>
                    <w:widowControl/>
                    <w:ind w:firstLine="480"/>
                    <w:jc w:val="left"/>
                    <w:rPr>
                      <w:rFonts w:ascii="宋体" w:hAnsi="宋体" w:cs="宋体"/>
                      <w:color w:val="auto"/>
                      <w:sz w:val="22"/>
                      <w:highlight w:val="none"/>
                    </w:rPr>
                  </w:pPr>
                  <w:r>
                    <w:rPr>
                      <w:rFonts w:hint="eastAsia" w:ascii="宋体" w:hAnsi="宋体" w:cs="宋体"/>
                      <w:color w:val="auto"/>
                      <w:sz w:val="22"/>
                      <w:highlight w:val="none"/>
                    </w:rPr>
                    <w:t>4.户外广告牌、路灯、景观座椅等无灰尘、无污痕、无破损。</w:t>
                  </w:r>
                </w:p>
                <w:p w14:paraId="11A3E716">
                  <w:pPr>
                    <w:pStyle w:val="90"/>
                    <w:rPr>
                      <w:rFonts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2"/>
                      <w:szCs w:val="22"/>
                      <w:highlight w:val="none"/>
                    </w:rPr>
                    <w:t xml:space="preserve">   5.玻璃幕墙无明显污渍。</w:t>
                  </w:r>
                </w:p>
                <w:p w14:paraId="77A039C3">
                  <w:pPr>
                    <w:widowControl/>
                    <w:ind w:firstLine="480"/>
                    <w:jc w:val="left"/>
                    <w:rPr>
                      <w:rFonts w:ascii="宋体" w:hAnsi="宋体" w:cs="宋体"/>
                      <w:color w:val="auto"/>
                      <w:sz w:val="22"/>
                      <w:highlight w:val="none"/>
                    </w:rPr>
                  </w:pPr>
                  <w:r>
                    <w:rPr>
                      <w:rFonts w:hint="eastAsia" w:ascii="宋体" w:hAnsi="宋体" w:cs="宋体"/>
                      <w:color w:val="auto"/>
                      <w:sz w:val="22"/>
                      <w:highlight w:val="none"/>
                    </w:rPr>
                    <w:t>6.外墙面洁净，无明显污痕，房檐无悬挂物。</w:t>
                  </w:r>
                </w:p>
                <w:p w14:paraId="295B54A4">
                  <w:pPr>
                    <w:widowControl/>
                    <w:ind w:firstLine="480"/>
                    <w:jc w:val="left"/>
                    <w:rPr>
                      <w:rFonts w:ascii="宋体" w:hAnsi="宋体" w:cs="宋体"/>
                      <w:color w:val="auto"/>
                      <w:sz w:val="22"/>
                      <w:highlight w:val="none"/>
                    </w:rPr>
                  </w:pPr>
                  <w:r>
                    <w:rPr>
                      <w:rFonts w:hint="eastAsia" w:ascii="宋体" w:hAnsi="宋体" w:cs="宋体"/>
                      <w:color w:val="auto"/>
                      <w:sz w:val="22"/>
                      <w:highlight w:val="none"/>
                    </w:rPr>
                    <w:t>7. 屋顶、排水沟等无垃圾、杂物，无堵塞现象，天沟排水通畅。</w:t>
                  </w:r>
                </w:p>
                <w:p w14:paraId="57CFA69D">
                  <w:pPr>
                    <w:widowControl/>
                    <w:ind w:firstLine="480"/>
                    <w:jc w:val="left"/>
                    <w:rPr>
                      <w:rFonts w:ascii="宋体" w:hAnsi="宋体" w:cs="宋体"/>
                      <w:color w:val="auto"/>
                      <w:sz w:val="22"/>
                      <w:highlight w:val="none"/>
                    </w:rPr>
                  </w:pPr>
                  <w:r>
                    <w:rPr>
                      <w:rFonts w:hint="eastAsia" w:ascii="宋体" w:hAnsi="宋体" w:cs="宋体"/>
                      <w:color w:val="auto"/>
                      <w:sz w:val="22"/>
                      <w:highlight w:val="none"/>
                    </w:rPr>
                    <w:t>8. 如遇雨雪天气，及时排除，并做防滑处理，确保安全通行。</w:t>
                  </w:r>
                </w:p>
                <w:p w14:paraId="27C7ABAD">
                  <w:pPr>
                    <w:pStyle w:val="90"/>
                    <w:ind w:firstLine="442" w:firstLineChars="200"/>
                    <w:rPr>
                      <w:rFonts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上述情况发现一次不符合的扣0.2分。</w:t>
                  </w:r>
                </w:p>
              </w:tc>
              <w:tc>
                <w:tcPr>
                  <w:tcW w:w="227" w:type="pct"/>
                  <w:vAlign w:val="center"/>
                </w:tcPr>
                <w:p w14:paraId="4FC67C6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2AA80252">
                  <w:pPr>
                    <w:widowControl/>
                    <w:ind w:firstLine="480"/>
                    <w:jc w:val="left"/>
                    <w:rPr>
                      <w:rFonts w:ascii="宋体" w:hAnsi="宋体" w:cs="宋体"/>
                      <w:color w:val="auto"/>
                      <w:kern w:val="0"/>
                      <w:sz w:val="22"/>
                      <w:highlight w:val="none"/>
                    </w:rPr>
                  </w:pPr>
                </w:p>
              </w:tc>
              <w:tc>
                <w:tcPr>
                  <w:tcW w:w="427" w:type="pct"/>
                  <w:vAlign w:val="center"/>
                </w:tcPr>
                <w:p w14:paraId="0D0DB4F7">
                  <w:pPr>
                    <w:widowControl/>
                    <w:ind w:firstLine="480"/>
                    <w:jc w:val="left"/>
                    <w:rPr>
                      <w:rFonts w:ascii="宋体" w:hAnsi="宋体" w:cs="宋体"/>
                      <w:color w:val="auto"/>
                      <w:kern w:val="0"/>
                      <w:sz w:val="22"/>
                      <w:highlight w:val="none"/>
                    </w:rPr>
                  </w:pPr>
                </w:p>
              </w:tc>
            </w:tr>
            <w:tr w14:paraId="02B5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39870515">
                  <w:pPr>
                    <w:jc w:val="center"/>
                    <w:rPr>
                      <w:rFonts w:ascii="宋体" w:hAnsi="宋体" w:cs="宋体"/>
                      <w:color w:val="auto"/>
                      <w:sz w:val="22"/>
                      <w:highlight w:val="none"/>
                    </w:rPr>
                  </w:pPr>
                </w:p>
              </w:tc>
              <w:tc>
                <w:tcPr>
                  <w:tcW w:w="441" w:type="pct"/>
                  <w:vAlign w:val="center"/>
                </w:tcPr>
                <w:p w14:paraId="5C8AD14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教室卫生</w:t>
                  </w:r>
                </w:p>
              </w:tc>
              <w:tc>
                <w:tcPr>
                  <w:tcW w:w="3243" w:type="pct"/>
                  <w:vAlign w:val="center"/>
                </w:tcPr>
                <w:p w14:paraId="26850615">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1.地面干净清洁。</w:t>
                  </w:r>
                </w:p>
                <w:p w14:paraId="249F71C8">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2.课桌椅干净。</w:t>
                  </w:r>
                </w:p>
                <w:p w14:paraId="200904B3">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3.黑板清洁。</w:t>
                  </w:r>
                </w:p>
                <w:p w14:paraId="06CD8534">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4.墙面、门、窗及窗台干净。</w:t>
                  </w:r>
                </w:p>
                <w:p w14:paraId="19F40236">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5.抽屉无杂物。</w:t>
                  </w:r>
                </w:p>
                <w:p w14:paraId="2A78D0E2">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6.天花板无蜘蛛网。</w:t>
                  </w:r>
                </w:p>
                <w:p w14:paraId="5E718845">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7.教室内用具齐全整洁。</w:t>
                  </w:r>
                </w:p>
                <w:p w14:paraId="31F8C2D6">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8.教室内灯具清洁。</w:t>
                  </w:r>
                </w:p>
                <w:p w14:paraId="149D1828">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9.垃圾桶不满溢。</w:t>
                  </w:r>
                </w:p>
                <w:p w14:paraId="071F39D4">
                  <w:pPr>
                    <w:widowControl/>
                    <w:ind w:firstLine="482"/>
                    <w:jc w:val="left"/>
                    <w:rPr>
                      <w:rFonts w:ascii="宋体" w:hAnsi="宋体" w:cs="宋体"/>
                      <w:b/>
                      <w:color w:val="auto"/>
                      <w:sz w:val="22"/>
                      <w:highlight w:val="none"/>
                    </w:rPr>
                  </w:pPr>
                  <w:r>
                    <w:rPr>
                      <w:rFonts w:hint="eastAsia" w:ascii="宋体" w:hAnsi="宋体" w:cs="宋体"/>
                      <w:b/>
                      <w:color w:val="auto"/>
                      <w:kern w:val="0"/>
                      <w:sz w:val="22"/>
                      <w:highlight w:val="none"/>
                    </w:rPr>
                    <w:t>上述情况发现一次不符合</w:t>
                  </w:r>
                  <w:r>
                    <w:rPr>
                      <w:rFonts w:hint="eastAsia" w:ascii="宋体" w:hAnsi="宋体" w:cs="宋体"/>
                      <w:b/>
                      <w:color w:val="auto"/>
                      <w:sz w:val="22"/>
                      <w:highlight w:val="none"/>
                    </w:rPr>
                    <w:t>的扣0.1分。</w:t>
                  </w:r>
                </w:p>
              </w:tc>
              <w:tc>
                <w:tcPr>
                  <w:tcW w:w="227" w:type="pct"/>
                  <w:vAlign w:val="center"/>
                </w:tcPr>
                <w:p w14:paraId="24583EE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61082696">
                  <w:pPr>
                    <w:widowControl/>
                    <w:ind w:firstLine="480"/>
                    <w:jc w:val="left"/>
                    <w:rPr>
                      <w:rFonts w:ascii="宋体" w:hAnsi="宋体" w:cs="宋体"/>
                      <w:color w:val="auto"/>
                      <w:kern w:val="0"/>
                      <w:sz w:val="22"/>
                      <w:highlight w:val="none"/>
                    </w:rPr>
                  </w:pPr>
                </w:p>
              </w:tc>
              <w:tc>
                <w:tcPr>
                  <w:tcW w:w="427" w:type="pct"/>
                  <w:vAlign w:val="center"/>
                </w:tcPr>
                <w:p w14:paraId="619B16C6">
                  <w:pPr>
                    <w:widowControl/>
                    <w:ind w:firstLine="480"/>
                    <w:jc w:val="left"/>
                    <w:rPr>
                      <w:rFonts w:ascii="宋体" w:hAnsi="宋体" w:cs="宋体"/>
                      <w:color w:val="auto"/>
                      <w:kern w:val="0"/>
                      <w:sz w:val="22"/>
                      <w:highlight w:val="none"/>
                    </w:rPr>
                  </w:pPr>
                </w:p>
              </w:tc>
            </w:tr>
            <w:tr w14:paraId="0554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0BAA73C1">
                  <w:pPr>
                    <w:jc w:val="center"/>
                    <w:rPr>
                      <w:rFonts w:ascii="宋体" w:hAnsi="宋体" w:cs="宋体"/>
                      <w:color w:val="auto"/>
                      <w:sz w:val="22"/>
                      <w:highlight w:val="none"/>
                    </w:rPr>
                  </w:pPr>
                </w:p>
              </w:tc>
              <w:tc>
                <w:tcPr>
                  <w:tcW w:w="441" w:type="pct"/>
                  <w:vAlign w:val="center"/>
                </w:tcPr>
                <w:p w14:paraId="5C8A131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卫生间</w:t>
                  </w:r>
                </w:p>
              </w:tc>
              <w:tc>
                <w:tcPr>
                  <w:tcW w:w="3243" w:type="pct"/>
                  <w:vAlign w:val="center"/>
                </w:tcPr>
                <w:p w14:paraId="62061E57">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1.地面干净、无积水积垢。</w:t>
                  </w:r>
                </w:p>
                <w:p w14:paraId="2EA5FC83">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2.室内无异味。</w:t>
                  </w:r>
                </w:p>
                <w:p w14:paraId="4161ABF2">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3.坐便器干净，墙面及隔离板、洗手盆台、水龙头、干手器等清洁到位，干净整洁。</w:t>
                  </w:r>
                </w:p>
                <w:p w14:paraId="44BF5D74">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4.卫生间内厕纸、洗手液、擦手纸等消耗品不间断。</w:t>
                  </w:r>
                </w:p>
                <w:p w14:paraId="77B0C5B1">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5.垃圾桶内垃圾无溢出，垃圾桶干净。</w:t>
                  </w:r>
                </w:p>
                <w:p w14:paraId="4833EDB7">
                  <w:pPr>
                    <w:pStyle w:val="94"/>
                    <w:ind w:left="0"/>
                    <w:rPr>
                      <w:rFonts w:ascii="宋体" w:hAnsi="宋体" w:cs="宋体"/>
                      <w:b/>
                      <w:color w:val="auto"/>
                      <w:sz w:val="22"/>
                      <w:highlight w:val="none"/>
                    </w:rPr>
                  </w:pPr>
                  <w:r>
                    <w:rPr>
                      <w:rFonts w:hint="eastAsia" w:ascii="宋体" w:hAnsi="宋体" w:cs="宋体"/>
                      <w:color w:val="auto"/>
                      <w:sz w:val="22"/>
                      <w:highlight w:val="none"/>
                    </w:rPr>
                    <w:t xml:space="preserve">    </w:t>
                  </w:r>
                  <w:r>
                    <w:rPr>
                      <w:rFonts w:hint="eastAsia" w:ascii="宋体" w:hAnsi="宋体" w:cs="宋体"/>
                      <w:b/>
                      <w:color w:val="auto"/>
                      <w:sz w:val="22"/>
                      <w:highlight w:val="none"/>
                    </w:rPr>
                    <w:t>上述情况发现一次不符合的扣0.2分。</w:t>
                  </w:r>
                </w:p>
              </w:tc>
              <w:tc>
                <w:tcPr>
                  <w:tcW w:w="227" w:type="pct"/>
                  <w:vAlign w:val="center"/>
                </w:tcPr>
                <w:p w14:paraId="4FDB9BF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61856072">
                  <w:pPr>
                    <w:widowControl/>
                    <w:ind w:firstLine="480"/>
                    <w:jc w:val="left"/>
                    <w:rPr>
                      <w:rFonts w:ascii="宋体" w:hAnsi="宋体" w:cs="宋体"/>
                      <w:color w:val="auto"/>
                      <w:kern w:val="0"/>
                      <w:sz w:val="22"/>
                      <w:highlight w:val="none"/>
                    </w:rPr>
                  </w:pPr>
                </w:p>
              </w:tc>
              <w:tc>
                <w:tcPr>
                  <w:tcW w:w="427" w:type="pct"/>
                  <w:vAlign w:val="center"/>
                </w:tcPr>
                <w:p w14:paraId="00A42D18">
                  <w:pPr>
                    <w:widowControl/>
                    <w:ind w:firstLine="480"/>
                    <w:jc w:val="left"/>
                    <w:rPr>
                      <w:rFonts w:ascii="宋体" w:hAnsi="宋体" w:cs="宋体"/>
                      <w:color w:val="auto"/>
                      <w:kern w:val="0"/>
                      <w:sz w:val="22"/>
                      <w:highlight w:val="none"/>
                    </w:rPr>
                  </w:pPr>
                </w:p>
              </w:tc>
            </w:tr>
            <w:tr w14:paraId="589F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4F25B59E">
                  <w:pPr>
                    <w:jc w:val="center"/>
                    <w:rPr>
                      <w:rFonts w:ascii="宋体" w:hAnsi="宋体" w:cs="宋体"/>
                      <w:color w:val="auto"/>
                      <w:sz w:val="22"/>
                      <w:highlight w:val="none"/>
                    </w:rPr>
                  </w:pPr>
                </w:p>
              </w:tc>
              <w:tc>
                <w:tcPr>
                  <w:tcW w:w="441" w:type="pct"/>
                  <w:vAlign w:val="center"/>
                </w:tcPr>
                <w:p w14:paraId="71C5826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大厅、走廊及楼梯、电梯、等</w:t>
                  </w:r>
                </w:p>
              </w:tc>
              <w:tc>
                <w:tcPr>
                  <w:tcW w:w="3243" w:type="pct"/>
                  <w:vAlign w:val="center"/>
                </w:tcPr>
                <w:p w14:paraId="5468F34F">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1.玻璃门窗清洁。</w:t>
                  </w:r>
                </w:p>
                <w:p w14:paraId="7848304C">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2.墙面干净，无足印、污迹等。</w:t>
                  </w:r>
                </w:p>
                <w:p w14:paraId="6BA54DB1">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3.天花板及墙面无蜘蛛网等附着物。</w:t>
                  </w:r>
                </w:p>
                <w:p w14:paraId="3C52D312">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4.扶手、楼梯整洁无杂物。</w:t>
                  </w:r>
                </w:p>
                <w:p w14:paraId="3E82244E">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5.地面干净无积尘。</w:t>
                  </w:r>
                </w:p>
                <w:p w14:paraId="56A735F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6.电梯轿厢干净整洁，无手印。</w:t>
                  </w:r>
                </w:p>
                <w:p w14:paraId="552FE83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7.电梯内清洁记录完整。</w:t>
                  </w:r>
                </w:p>
                <w:p w14:paraId="4550B86C">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8. 宣传栏上无过期或不规范张贴物</w:t>
                  </w:r>
                </w:p>
                <w:p w14:paraId="15675BA5">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 灯具、家具设备、消防设施等干净。</w:t>
                  </w:r>
                </w:p>
                <w:p w14:paraId="3FD19C23">
                  <w:pPr>
                    <w:pStyle w:val="94"/>
                    <w:ind w:left="0" w:firstLine="442" w:firstLineChars="200"/>
                    <w:rPr>
                      <w:rFonts w:ascii="宋体" w:hAnsi="宋体" w:cs="宋体"/>
                      <w:b/>
                      <w:color w:val="auto"/>
                      <w:sz w:val="22"/>
                      <w:highlight w:val="none"/>
                    </w:rPr>
                  </w:pPr>
                  <w:r>
                    <w:rPr>
                      <w:rFonts w:hint="eastAsia" w:ascii="宋体" w:hAnsi="宋体" w:cs="宋体"/>
                      <w:b/>
                      <w:color w:val="auto"/>
                      <w:sz w:val="22"/>
                      <w:highlight w:val="none"/>
                    </w:rPr>
                    <w:t>上述情况发现一次不符合的扣0.2分。</w:t>
                  </w:r>
                </w:p>
              </w:tc>
              <w:tc>
                <w:tcPr>
                  <w:tcW w:w="227" w:type="pct"/>
                  <w:vAlign w:val="center"/>
                </w:tcPr>
                <w:p w14:paraId="63F6583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599503B6">
                  <w:pPr>
                    <w:widowControl/>
                    <w:ind w:firstLine="480"/>
                    <w:jc w:val="left"/>
                    <w:rPr>
                      <w:rFonts w:ascii="宋体" w:hAnsi="宋体" w:cs="宋体"/>
                      <w:color w:val="auto"/>
                      <w:kern w:val="0"/>
                      <w:sz w:val="22"/>
                      <w:highlight w:val="none"/>
                    </w:rPr>
                  </w:pPr>
                </w:p>
              </w:tc>
              <w:tc>
                <w:tcPr>
                  <w:tcW w:w="427" w:type="pct"/>
                  <w:vAlign w:val="center"/>
                </w:tcPr>
                <w:p w14:paraId="66108492">
                  <w:pPr>
                    <w:widowControl/>
                    <w:ind w:firstLine="480"/>
                    <w:jc w:val="left"/>
                    <w:rPr>
                      <w:rFonts w:ascii="宋体" w:hAnsi="宋体" w:cs="宋体"/>
                      <w:color w:val="auto"/>
                      <w:kern w:val="0"/>
                      <w:sz w:val="22"/>
                      <w:highlight w:val="none"/>
                    </w:rPr>
                  </w:pPr>
                </w:p>
              </w:tc>
            </w:tr>
            <w:tr w14:paraId="02B8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45BE4A18">
                  <w:pPr>
                    <w:jc w:val="center"/>
                    <w:rPr>
                      <w:rFonts w:ascii="宋体" w:hAnsi="宋体" w:cs="宋体"/>
                      <w:color w:val="auto"/>
                      <w:sz w:val="22"/>
                      <w:highlight w:val="none"/>
                    </w:rPr>
                  </w:pPr>
                </w:p>
              </w:tc>
              <w:tc>
                <w:tcPr>
                  <w:tcW w:w="441" w:type="pct"/>
                  <w:vAlign w:val="center"/>
                </w:tcPr>
                <w:p w14:paraId="590C347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会议室、报告厅、办公室、图书馆、</w:t>
                  </w:r>
                  <w:r>
                    <w:rPr>
                      <w:rFonts w:hint="eastAsia" w:ascii="宋体" w:hAnsi="宋体" w:cs="宋体"/>
                      <w:bCs/>
                      <w:color w:val="auto"/>
                      <w:sz w:val="22"/>
                      <w:highlight w:val="none"/>
                    </w:rPr>
                    <w:t>校史馆、档案馆、</w:t>
                  </w:r>
                  <w:r>
                    <w:rPr>
                      <w:rFonts w:hint="eastAsia" w:ascii="宋体" w:hAnsi="宋体" w:cs="宋体"/>
                      <w:color w:val="auto"/>
                      <w:kern w:val="0"/>
                      <w:sz w:val="22"/>
                      <w:highlight w:val="none"/>
                    </w:rPr>
                    <w:t>等</w:t>
                  </w:r>
                </w:p>
              </w:tc>
              <w:tc>
                <w:tcPr>
                  <w:tcW w:w="3243" w:type="pct"/>
                  <w:vAlign w:val="center"/>
                </w:tcPr>
                <w:p w14:paraId="696AB565">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1.地面干净，无积尘、纸屑等杂物。</w:t>
                  </w:r>
                </w:p>
                <w:p w14:paraId="2CC8EDCC">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2.桌面、座椅及设备无积尘，抽屉、储物柜等无杂物。</w:t>
                  </w:r>
                </w:p>
                <w:p w14:paraId="2AC7EB24">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3.门窗、窗台、扶手、把手等无积尘及其他杂物。</w:t>
                  </w:r>
                </w:p>
                <w:p w14:paraId="3E9C35B8">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4.茶具按要求进行消毒。</w:t>
                  </w:r>
                </w:p>
                <w:p w14:paraId="7078AD5F">
                  <w:pPr>
                    <w:widowControl/>
                    <w:ind w:firstLine="480"/>
                    <w:jc w:val="left"/>
                    <w:rPr>
                      <w:rFonts w:ascii="宋体" w:hAnsi="宋体" w:cs="宋体"/>
                      <w:color w:val="auto"/>
                      <w:sz w:val="22"/>
                      <w:highlight w:val="none"/>
                    </w:rPr>
                  </w:pPr>
                  <w:r>
                    <w:rPr>
                      <w:rFonts w:hint="eastAsia" w:ascii="宋体" w:hAnsi="宋体" w:cs="宋体"/>
                      <w:color w:val="auto"/>
                      <w:sz w:val="22"/>
                      <w:highlight w:val="none"/>
                    </w:rPr>
                    <w:t>5.茶水间的器具按要求进行清洗和消毒。</w:t>
                  </w:r>
                </w:p>
                <w:p w14:paraId="74F20C44">
                  <w:pPr>
                    <w:widowControl/>
                    <w:ind w:firstLine="480"/>
                    <w:jc w:val="left"/>
                    <w:rPr>
                      <w:rFonts w:ascii="宋体" w:hAnsi="宋体" w:cs="宋体"/>
                      <w:color w:val="auto"/>
                      <w:sz w:val="22"/>
                      <w:highlight w:val="none"/>
                    </w:rPr>
                  </w:pPr>
                  <w:r>
                    <w:rPr>
                      <w:rFonts w:hint="eastAsia" w:ascii="宋体" w:hAnsi="宋体" w:cs="宋体"/>
                      <w:color w:val="auto"/>
                      <w:sz w:val="22"/>
                      <w:highlight w:val="none"/>
                    </w:rPr>
                    <w:t>6.室内遗留的师生个人物品，应统一收到指定地点。</w:t>
                  </w:r>
                </w:p>
                <w:p w14:paraId="493E01C0">
                  <w:pPr>
                    <w:widowControl/>
                    <w:ind w:firstLine="480"/>
                    <w:jc w:val="left"/>
                    <w:rPr>
                      <w:rFonts w:ascii="宋体" w:hAnsi="宋体" w:cs="宋体"/>
                      <w:color w:val="auto"/>
                      <w:sz w:val="22"/>
                      <w:highlight w:val="none"/>
                    </w:rPr>
                  </w:pPr>
                  <w:r>
                    <w:rPr>
                      <w:rFonts w:hint="eastAsia" w:ascii="宋体" w:hAnsi="宋体" w:cs="宋体"/>
                      <w:color w:val="auto"/>
                      <w:sz w:val="22"/>
                      <w:highlight w:val="none"/>
                    </w:rPr>
                    <w:t>7.舞台及座椅干净整洁。</w:t>
                  </w:r>
                </w:p>
                <w:p w14:paraId="163BC321">
                  <w:pPr>
                    <w:widowControl/>
                    <w:ind w:firstLine="480"/>
                    <w:jc w:val="left"/>
                    <w:rPr>
                      <w:rFonts w:ascii="宋体" w:hAnsi="宋体" w:cs="宋体"/>
                      <w:color w:val="auto"/>
                      <w:kern w:val="0"/>
                      <w:sz w:val="22"/>
                      <w:highlight w:val="none"/>
                    </w:rPr>
                  </w:pPr>
                  <w:r>
                    <w:rPr>
                      <w:rFonts w:hint="eastAsia" w:ascii="宋体" w:hAnsi="宋体" w:cs="宋体"/>
                      <w:color w:val="auto"/>
                      <w:sz w:val="22"/>
                      <w:highlight w:val="none"/>
                    </w:rPr>
                    <w:t>8.及时配合做好大型活动的卫生保障工作。</w:t>
                  </w:r>
                </w:p>
                <w:p w14:paraId="3014A1C4">
                  <w:pPr>
                    <w:pStyle w:val="94"/>
                    <w:ind w:left="0" w:firstLine="442" w:firstLineChars="200"/>
                    <w:rPr>
                      <w:rFonts w:ascii="宋体" w:hAnsi="宋体" w:cs="宋体"/>
                      <w:b/>
                      <w:color w:val="auto"/>
                      <w:sz w:val="22"/>
                      <w:highlight w:val="none"/>
                    </w:rPr>
                  </w:pPr>
                  <w:r>
                    <w:rPr>
                      <w:rFonts w:hint="eastAsia" w:ascii="宋体" w:hAnsi="宋体" w:cs="宋体"/>
                      <w:b/>
                      <w:color w:val="auto"/>
                      <w:sz w:val="22"/>
                      <w:highlight w:val="none"/>
                    </w:rPr>
                    <w:t>上述情况发现一次不符合的扣0.2分。</w:t>
                  </w:r>
                </w:p>
              </w:tc>
              <w:tc>
                <w:tcPr>
                  <w:tcW w:w="227" w:type="pct"/>
                  <w:vAlign w:val="center"/>
                </w:tcPr>
                <w:p w14:paraId="080CDC3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340" w:type="pct"/>
                  <w:vAlign w:val="center"/>
                </w:tcPr>
                <w:p w14:paraId="42C4CCC1">
                  <w:pPr>
                    <w:widowControl/>
                    <w:ind w:firstLine="480"/>
                    <w:jc w:val="left"/>
                    <w:rPr>
                      <w:rFonts w:ascii="宋体" w:hAnsi="宋体" w:cs="宋体"/>
                      <w:color w:val="auto"/>
                      <w:kern w:val="0"/>
                      <w:sz w:val="22"/>
                      <w:highlight w:val="none"/>
                    </w:rPr>
                  </w:pPr>
                </w:p>
              </w:tc>
              <w:tc>
                <w:tcPr>
                  <w:tcW w:w="427" w:type="pct"/>
                  <w:vAlign w:val="center"/>
                </w:tcPr>
                <w:p w14:paraId="3958B311">
                  <w:pPr>
                    <w:widowControl/>
                    <w:ind w:firstLine="480"/>
                    <w:jc w:val="left"/>
                    <w:rPr>
                      <w:rFonts w:ascii="宋体" w:hAnsi="宋体" w:cs="宋体"/>
                      <w:color w:val="auto"/>
                      <w:kern w:val="0"/>
                      <w:sz w:val="22"/>
                      <w:highlight w:val="none"/>
                    </w:rPr>
                  </w:pPr>
                </w:p>
              </w:tc>
            </w:tr>
            <w:tr w14:paraId="4EE7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702219E7">
                  <w:pPr>
                    <w:jc w:val="center"/>
                    <w:rPr>
                      <w:rFonts w:ascii="宋体" w:hAnsi="宋体" w:cs="宋体"/>
                      <w:color w:val="auto"/>
                      <w:sz w:val="22"/>
                      <w:highlight w:val="none"/>
                    </w:rPr>
                  </w:pPr>
                </w:p>
              </w:tc>
              <w:tc>
                <w:tcPr>
                  <w:tcW w:w="441" w:type="pct"/>
                  <w:vAlign w:val="center"/>
                </w:tcPr>
                <w:p w14:paraId="6CA0E355">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办公室、服务大厅、校领导办公室</w:t>
                  </w:r>
                </w:p>
              </w:tc>
              <w:tc>
                <w:tcPr>
                  <w:tcW w:w="3243" w:type="pct"/>
                  <w:vAlign w:val="center"/>
                </w:tcPr>
                <w:p w14:paraId="39D6801A">
                  <w:pPr>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1.办公室每日收取垃圾一次，每天进行扫拖一次。</w:t>
                  </w:r>
                </w:p>
                <w:p w14:paraId="2115C1D3">
                  <w:pPr>
                    <w:adjustRightInd w:val="0"/>
                    <w:snapToGrid w:val="0"/>
                    <w:ind w:firstLine="480"/>
                    <w:rPr>
                      <w:rFonts w:ascii="宋体" w:hAnsi="宋体" w:cs="宋体"/>
                      <w:color w:val="auto"/>
                      <w:sz w:val="22"/>
                      <w:highlight w:val="none"/>
                    </w:rPr>
                  </w:pPr>
                  <w:r>
                    <w:rPr>
                      <w:rFonts w:hint="eastAsia" w:ascii="宋体" w:hAnsi="宋体" w:cs="宋体"/>
                      <w:color w:val="auto"/>
                      <w:kern w:val="0"/>
                      <w:sz w:val="22"/>
                      <w:highlight w:val="none"/>
                    </w:rPr>
                    <w:t>2.校领导办公室内空气流通无异味，干净整洁。</w:t>
                  </w:r>
                </w:p>
                <w:p w14:paraId="40275009">
                  <w:pPr>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3.天棚、灯具、设备等整洁干净。</w:t>
                  </w:r>
                </w:p>
                <w:p w14:paraId="1AF56E23">
                  <w:pPr>
                    <w:pStyle w:val="90"/>
                    <w:rPr>
                      <w:rFonts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2"/>
                      <w:szCs w:val="22"/>
                      <w:highlight w:val="none"/>
                    </w:rPr>
                    <w:t>4.办公室打扫时，保洁员有礼仪礼节。</w:t>
                  </w:r>
                </w:p>
                <w:p w14:paraId="4641EDEA">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上述情况发现一次不符合的扣0.2分。</w:t>
                  </w:r>
                </w:p>
              </w:tc>
              <w:tc>
                <w:tcPr>
                  <w:tcW w:w="227" w:type="pct"/>
                  <w:vAlign w:val="center"/>
                </w:tcPr>
                <w:p w14:paraId="5AE82F8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07E4955E">
                  <w:pPr>
                    <w:widowControl/>
                    <w:ind w:firstLine="480"/>
                    <w:jc w:val="left"/>
                    <w:rPr>
                      <w:rFonts w:ascii="宋体" w:hAnsi="宋体" w:cs="宋体"/>
                      <w:color w:val="auto"/>
                      <w:kern w:val="0"/>
                      <w:sz w:val="22"/>
                      <w:highlight w:val="none"/>
                    </w:rPr>
                  </w:pPr>
                </w:p>
              </w:tc>
              <w:tc>
                <w:tcPr>
                  <w:tcW w:w="427" w:type="pct"/>
                  <w:vAlign w:val="center"/>
                </w:tcPr>
                <w:p w14:paraId="2D9D8353">
                  <w:pPr>
                    <w:widowControl/>
                    <w:ind w:firstLine="480"/>
                    <w:jc w:val="left"/>
                    <w:rPr>
                      <w:rFonts w:ascii="宋体" w:hAnsi="宋体" w:cs="宋体"/>
                      <w:color w:val="auto"/>
                      <w:kern w:val="0"/>
                      <w:sz w:val="22"/>
                      <w:highlight w:val="none"/>
                    </w:rPr>
                  </w:pPr>
                </w:p>
              </w:tc>
            </w:tr>
            <w:tr w14:paraId="24BC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6" w:hRule="atLeast"/>
                <w:jc w:val="center"/>
              </w:trPr>
              <w:tc>
                <w:tcPr>
                  <w:tcW w:w="319" w:type="pct"/>
                  <w:vMerge w:val="continue"/>
                  <w:vAlign w:val="center"/>
                </w:tcPr>
                <w:p w14:paraId="4F81E7EC">
                  <w:pPr>
                    <w:jc w:val="center"/>
                    <w:rPr>
                      <w:rFonts w:ascii="宋体" w:hAnsi="宋体" w:cs="宋体"/>
                      <w:color w:val="auto"/>
                      <w:sz w:val="22"/>
                      <w:highlight w:val="none"/>
                    </w:rPr>
                  </w:pPr>
                </w:p>
              </w:tc>
              <w:tc>
                <w:tcPr>
                  <w:tcW w:w="441" w:type="pct"/>
                  <w:vAlign w:val="center"/>
                </w:tcPr>
                <w:p w14:paraId="7239E32A">
                  <w:pPr>
                    <w:adjustRightInd w:val="0"/>
                    <w:snapToGrid w:val="0"/>
                    <w:jc w:val="center"/>
                    <w:rPr>
                      <w:rFonts w:ascii="宋体" w:hAnsi="宋体" w:cs="宋体"/>
                      <w:bCs/>
                      <w:color w:val="auto"/>
                      <w:sz w:val="22"/>
                      <w:highlight w:val="none"/>
                    </w:rPr>
                  </w:pPr>
                  <w:r>
                    <w:rPr>
                      <w:rFonts w:hint="eastAsia" w:ascii="宋体" w:hAnsi="宋体" w:cs="宋体"/>
                      <w:bCs/>
                      <w:color w:val="auto"/>
                      <w:sz w:val="22"/>
                      <w:highlight w:val="none"/>
                    </w:rPr>
                    <w:t>体育馆内各类球场、健身房、观众席等</w:t>
                  </w:r>
                </w:p>
              </w:tc>
              <w:tc>
                <w:tcPr>
                  <w:tcW w:w="3243" w:type="pct"/>
                  <w:vAlign w:val="center"/>
                </w:tcPr>
                <w:p w14:paraId="59B42A44">
                  <w:pPr>
                    <w:ind w:firstLine="480"/>
                    <w:rPr>
                      <w:rFonts w:ascii="宋体" w:hAnsi="宋体" w:cs="宋体"/>
                      <w:color w:val="auto"/>
                      <w:sz w:val="22"/>
                      <w:highlight w:val="none"/>
                    </w:rPr>
                  </w:pPr>
                  <w:r>
                    <w:rPr>
                      <w:rFonts w:hint="eastAsia" w:ascii="宋体" w:hAnsi="宋体" w:cs="宋体"/>
                      <w:color w:val="auto"/>
                      <w:sz w:val="22"/>
                      <w:highlight w:val="none"/>
                    </w:rPr>
                    <w:t>1.球场、多功能厅、公共走廊、楼梯、窗台等干净整洁。</w:t>
                  </w:r>
                </w:p>
                <w:p w14:paraId="1D5B195D">
                  <w:pPr>
                    <w:ind w:firstLine="480"/>
                    <w:rPr>
                      <w:rFonts w:ascii="宋体" w:hAnsi="宋体" w:cs="宋体"/>
                      <w:color w:val="auto"/>
                      <w:sz w:val="22"/>
                      <w:highlight w:val="none"/>
                    </w:rPr>
                  </w:pPr>
                  <w:r>
                    <w:rPr>
                      <w:rFonts w:hint="eastAsia" w:ascii="宋体" w:hAnsi="宋体" w:cs="宋体"/>
                      <w:color w:val="auto"/>
                      <w:sz w:val="22"/>
                      <w:highlight w:val="none"/>
                    </w:rPr>
                    <w:t>2.健身器材干净整洁，按要求进行定期消毒。</w:t>
                  </w:r>
                </w:p>
                <w:p w14:paraId="6A7D15A9">
                  <w:pPr>
                    <w:ind w:firstLine="480"/>
                    <w:rPr>
                      <w:rFonts w:ascii="宋体" w:hAnsi="宋体" w:cs="宋体"/>
                      <w:color w:val="auto"/>
                      <w:sz w:val="22"/>
                      <w:highlight w:val="none"/>
                    </w:rPr>
                  </w:pPr>
                  <w:r>
                    <w:rPr>
                      <w:rFonts w:hint="eastAsia" w:ascii="宋体" w:hAnsi="宋体" w:cs="宋体"/>
                      <w:color w:val="auto"/>
                      <w:sz w:val="22"/>
                      <w:highlight w:val="none"/>
                    </w:rPr>
                    <w:t>3.运动场所的木地板、地胶板等特殊材质应按要求进行养护。</w:t>
                  </w:r>
                </w:p>
                <w:p w14:paraId="00CD2382">
                  <w:pPr>
                    <w:ind w:firstLine="480"/>
                    <w:rPr>
                      <w:rFonts w:ascii="宋体" w:hAnsi="宋体" w:cs="宋体"/>
                      <w:color w:val="auto"/>
                      <w:sz w:val="22"/>
                      <w:highlight w:val="none"/>
                    </w:rPr>
                  </w:pPr>
                  <w:r>
                    <w:rPr>
                      <w:rFonts w:hint="eastAsia" w:ascii="宋体" w:hAnsi="宋体" w:cs="宋体"/>
                      <w:color w:val="auto"/>
                      <w:sz w:val="22"/>
                      <w:highlight w:val="none"/>
                    </w:rPr>
                    <w:t>4.观众席干净整洁，无垃圾。</w:t>
                  </w:r>
                </w:p>
                <w:p w14:paraId="3594EE11">
                  <w:pPr>
                    <w:pStyle w:val="9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5.各类器材和用具按要求做好消毒工作。</w:t>
                  </w:r>
                </w:p>
                <w:p w14:paraId="5A99FB5F">
                  <w:pPr>
                    <w:pStyle w:val="94"/>
                    <w:ind w:left="0" w:firstLine="442" w:firstLineChars="200"/>
                    <w:rPr>
                      <w:rFonts w:ascii="宋体" w:hAnsi="宋体" w:cs="宋体"/>
                      <w:b/>
                      <w:color w:val="auto"/>
                      <w:sz w:val="22"/>
                      <w:highlight w:val="none"/>
                    </w:rPr>
                  </w:pPr>
                  <w:r>
                    <w:rPr>
                      <w:rFonts w:hint="eastAsia" w:ascii="宋体" w:hAnsi="宋体" w:cs="宋体"/>
                      <w:b/>
                      <w:color w:val="auto"/>
                      <w:sz w:val="22"/>
                      <w:highlight w:val="none"/>
                    </w:rPr>
                    <w:t>上述情况发现一次不符合的扣0.2分。</w:t>
                  </w:r>
                </w:p>
              </w:tc>
              <w:tc>
                <w:tcPr>
                  <w:tcW w:w="227" w:type="pct"/>
                  <w:vAlign w:val="center"/>
                </w:tcPr>
                <w:p w14:paraId="4601A68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340" w:type="pct"/>
                  <w:vAlign w:val="center"/>
                </w:tcPr>
                <w:p w14:paraId="1E8CFEA4">
                  <w:pPr>
                    <w:widowControl/>
                    <w:ind w:firstLine="480"/>
                    <w:jc w:val="left"/>
                    <w:rPr>
                      <w:rFonts w:ascii="宋体" w:hAnsi="宋体" w:cs="宋体"/>
                      <w:color w:val="auto"/>
                      <w:kern w:val="0"/>
                      <w:sz w:val="22"/>
                      <w:highlight w:val="none"/>
                    </w:rPr>
                  </w:pPr>
                </w:p>
              </w:tc>
              <w:tc>
                <w:tcPr>
                  <w:tcW w:w="427" w:type="pct"/>
                  <w:vAlign w:val="center"/>
                </w:tcPr>
                <w:p w14:paraId="5143596E">
                  <w:pPr>
                    <w:widowControl/>
                    <w:ind w:firstLine="480"/>
                    <w:jc w:val="left"/>
                    <w:rPr>
                      <w:rFonts w:ascii="宋体" w:hAnsi="宋体" w:cs="宋体"/>
                      <w:color w:val="auto"/>
                      <w:kern w:val="0"/>
                      <w:sz w:val="22"/>
                      <w:highlight w:val="none"/>
                    </w:rPr>
                  </w:pPr>
                </w:p>
              </w:tc>
            </w:tr>
            <w:tr w14:paraId="5E8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826" w:hRule="atLeast"/>
                <w:jc w:val="center"/>
              </w:trPr>
              <w:tc>
                <w:tcPr>
                  <w:tcW w:w="319" w:type="pct"/>
                  <w:vMerge w:val="continue"/>
                  <w:vAlign w:val="center"/>
                </w:tcPr>
                <w:p w14:paraId="491C4305">
                  <w:pPr>
                    <w:jc w:val="center"/>
                    <w:rPr>
                      <w:rFonts w:ascii="宋体" w:hAnsi="宋体" w:cs="宋体"/>
                      <w:color w:val="auto"/>
                      <w:sz w:val="22"/>
                      <w:highlight w:val="none"/>
                    </w:rPr>
                  </w:pPr>
                </w:p>
              </w:tc>
              <w:tc>
                <w:tcPr>
                  <w:tcW w:w="441" w:type="pct"/>
                  <w:vAlign w:val="center"/>
                </w:tcPr>
                <w:p w14:paraId="1D8156A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学生公寓及教师公寓的公共区域</w:t>
                  </w:r>
                </w:p>
              </w:tc>
              <w:tc>
                <w:tcPr>
                  <w:tcW w:w="3243" w:type="pct"/>
                  <w:vAlign w:val="center"/>
                </w:tcPr>
                <w:p w14:paraId="3EE2AC94">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1.玻璃门窗、窗台清洁。</w:t>
                  </w:r>
                </w:p>
                <w:p w14:paraId="47F0AC0F">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2.墙面干净，无足印、污迹等。</w:t>
                  </w:r>
                </w:p>
                <w:p w14:paraId="294968CA">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3.天花板及墙面无蜘蛛网等附着物。</w:t>
                  </w:r>
                </w:p>
                <w:p w14:paraId="4E43E96E">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4.扶手、楼梯整洁无杂物。</w:t>
                  </w:r>
                </w:p>
                <w:p w14:paraId="1E33D1DD">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5.地面干净无积尘。</w:t>
                  </w:r>
                </w:p>
                <w:p w14:paraId="356FAC31">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6.电梯轿厢干净整洁。</w:t>
                  </w:r>
                </w:p>
                <w:p w14:paraId="044587A4">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7.灯具、家具设备、消防设施等干净。</w:t>
                  </w:r>
                </w:p>
                <w:p w14:paraId="46B20E70">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8. 宣传栏上无过期或不规范张贴物</w:t>
                  </w:r>
                </w:p>
                <w:p w14:paraId="1147CBC0">
                  <w:pPr>
                    <w:pStyle w:val="94"/>
                    <w:ind w:left="0" w:firstLine="442" w:firstLineChars="200"/>
                    <w:rPr>
                      <w:rFonts w:ascii="宋体" w:hAnsi="宋体" w:cs="宋体"/>
                      <w:color w:val="auto"/>
                      <w:sz w:val="22"/>
                      <w:highlight w:val="none"/>
                    </w:rPr>
                  </w:pPr>
                  <w:r>
                    <w:rPr>
                      <w:rFonts w:hint="eastAsia" w:ascii="宋体" w:hAnsi="宋体" w:cs="宋体"/>
                      <w:b/>
                      <w:color w:val="auto"/>
                      <w:sz w:val="22"/>
                      <w:highlight w:val="none"/>
                    </w:rPr>
                    <w:t>上述情况发现一次不符合的扣0.1分。</w:t>
                  </w:r>
                </w:p>
              </w:tc>
              <w:tc>
                <w:tcPr>
                  <w:tcW w:w="227" w:type="pct"/>
                  <w:vAlign w:val="center"/>
                </w:tcPr>
                <w:p w14:paraId="42F3C15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340" w:type="pct"/>
                  <w:vAlign w:val="center"/>
                </w:tcPr>
                <w:p w14:paraId="6125BF5D">
                  <w:pPr>
                    <w:widowControl/>
                    <w:ind w:firstLine="480"/>
                    <w:jc w:val="left"/>
                    <w:rPr>
                      <w:rFonts w:ascii="宋体" w:hAnsi="宋体" w:cs="宋体"/>
                      <w:color w:val="auto"/>
                      <w:kern w:val="0"/>
                      <w:sz w:val="22"/>
                      <w:highlight w:val="none"/>
                    </w:rPr>
                  </w:pPr>
                </w:p>
              </w:tc>
              <w:tc>
                <w:tcPr>
                  <w:tcW w:w="427" w:type="pct"/>
                  <w:vAlign w:val="center"/>
                </w:tcPr>
                <w:p w14:paraId="620888E4">
                  <w:pPr>
                    <w:widowControl/>
                    <w:ind w:firstLine="480"/>
                    <w:jc w:val="left"/>
                    <w:rPr>
                      <w:rFonts w:ascii="宋体" w:hAnsi="宋体" w:cs="宋体"/>
                      <w:color w:val="auto"/>
                      <w:kern w:val="0"/>
                      <w:sz w:val="22"/>
                      <w:highlight w:val="none"/>
                    </w:rPr>
                  </w:pPr>
                </w:p>
              </w:tc>
            </w:tr>
            <w:tr w14:paraId="7F54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1545B370">
                  <w:pPr>
                    <w:jc w:val="center"/>
                    <w:rPr>
                      <w:rFonts w:ascii="宋体" w:hAnsi="宋体" w:cs="宋体"/>
                      <w:color w:val="auto"/>
                      <w:sz w:val="22"/>
                      <w:highlight w:val="none"/>
                    </w:rPr>
                  </w:pPr>
                </w:p>
              </w:tc>
              <w:tc>
                <w:tcPr>
                  <w:tcW w:w="441" w:type="pct"/>
                  <w:vAlign w:val="center"/>
                </w:tcPr>
                <w:p w14:paraId="125BD13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消杀及垃圾清运</w:t>
                  </w:r>
                </w:p>
              </w:tc>
              <w:tc>
                <w:tcPr>
                  <w:tcW w:w="3243" w:type="pct"/>
                  <w:vAlign w:val="center"/>
                </w:tcPr>
                <w:p w14:paraId="7DF3FE95">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1.垃圾房每日进行消毒，冲洗和清洁，力求做到无异味，垃圾房内垃圾桶不满溢。</w:t>
                  </w:r>
                </w:p>
                <w:p w14:paraId="0A4552A8">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2.根据温州市垃圾分类要求，放置分类垃圾桶，做好垃圾分引导和宣传。</w:t>
                  </w:r>
                </w:p>
                <w:p w14:paraId="458EA196">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3.定期开展消杀、消毒工作，保留相关记录。（在委托其它单位实施期内负监督责任，考核要求一致）</w:t>
                  </w:r>
                </w:p>
                <w:p w14:paraId="0B474D19">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4.雨水、污水管道畅通，无粪便堵塞或溢出现象。</w:t>
                  </w:r>
                </w:p>
                <w:p w14:paraId="4C2578E3">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上述情况发现一次不符合的扣0.2分。</w:t>
                  </w:r>
                </w:p>
              </w:tc>
              <w:tc>
                <w:tcPr>
                  <w:tcW w:w="227" w:type="pct"/>
                  <w:vAlign w:val="center"/>
                </w:tcPr>
                <w:p w14:paraId="004D919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40" w:type="pct"/>
                  <w:vAlign w:val="center"/>
                </w:tcPr>
                <w:p w14:paraId="22B7512E">
                  <w:pPr>
                    <w:widowControl/>
                    <w:ind w:firstLine="480"/>
                    <w:jc w:val="left"/>
                    <w:rPr>
                      <w:rFonts w:ascii="宋体" w:hAnsi="宋体" w:cs="宋体"/>
                      <w:color w:val="auto"/>
                      <w:kern w:val="0"/>
                      <w:sz w:val="22"/>
                      <w:highlight w:val="none"/>
                    </w:rPr>
                  </w:pPr>
                </w:p>
              </w:tc>
              <w:tc>
                <w:tcPr>
                  <w:tcW w:w="427" w:type="pct"/>
                  <w:vAlign w:val="center"/>
                </w:tcPr>
                <w:p w14:paraId="7553DB70">
                  <w:pPr>
                    <w:widowControl/>
                    <w:ind w:firstLine="480"/>
                    <w:jc w:val="left"/>
                    <w:rPr>
                      <w:rFonts w:ascii="宋体" w:hAnsi="宋体" w:cs="宋体"/>
                      <w:color w:val="auto"/>
                      <w:kern w:val="0"/>
                      <w:sz w:val="22"/>
                      <w:highlight w:val="none"/>
                    </w:rPr>
                  </w:pPr>
                </w:p>
              </w:tc>
            </w:tr>
            <w:tr w14:paraId="356C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30BA49DF">
                  <w:pPr>
                    <w:jc w:val="center"/>
                    <w:rPr>
                      <w:rFonts w:ascii="宋体" w:hAnsi="宋体" w:cs="宋体"/>
                      <w:color w:val="auto"/>
                      <w:sz w:val="22"/>
                      <w:highlight w:val="none"/>
                    </w:rPr>
                  </w:pPr>
                </w:p>
              </w:tc>
              <w:tc>
                <w:tcPr>
                  <w:tcW w:w="441" w:type="pct"/>
                  <w:vAlign w:val="center"/>
                </w:tcPr>
                <w:p w14:paraId="4940773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校内活动的支撑</w:t>
                  </w:r>
                </w:p>
              </w:tc>
              <w:tc>
                <w:tcPr>
                  <w:tcW w:w="3243" w:type="pct"/>
                  <w:vAlign w:val="center"/>
                </w:tcPr>
                <w:p w14:paraId="5E4C43E8">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1.大型活动时，配合学校设施设备和强电设备的检查及实施。</w:t>
                  </w:r>
                </w:p>
                <w:p w14:paraId="266EB855">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2.大型活动时，配合学校保洁服务。</w:t>
                  </w:r>
                </w:p>
                <w:p w14:paraId="071ADA27">
                  <w:pPr>
                    <w:pStyle w:val="94"/>
                    <w:ind w:left="0" w:firstLine="442" w:firstLineChars="200"/>
                    <w:rPr>
                      <w:rFonts w:ascii="宋体" w:hAnsi="宋体" w:cs="宋体"/>
                      <w:color w:val="auto"/>
                      <w:sz w:val="22"/>
                      <w:highlight w:val="none"/>
                    </w:rPr>
                  </w:pPr>
                  <w:r>
                    <w:rPr>
                      <w:rFonts w:hint="eastAsia" w:ascii="宋体" w:hAnsi="宋体" w:cs="宋体"/>
                      <w:b/>
                      <w:color w:val="auto"/>
                      <w:sz w:val="22"/>
                      <w:highlight w:val="none"/>
                    </w:rPr>
                    <w:t>上述情况发现一次不符合的扣0.2分。</w:t>
                  </w:r>
                </w:p>
              </w:tc>
              <w:tc>
                <w:tcPr>
                  <w:tcW w:w="227" w:type="pct"/>
                  <w:vAlign w:val="center"/>
                </w:tcPr>
                <w:p w14:paraId="607ABF4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40" w:type="pct"/>
                  <w:vAlign w:val="center"/>
                </w:tcPr>
                <w:p w14:paraId="4A297ED5">
                  <w:pPr>
                    <w:widowControl/>
                    <w:ind w:firstLine="480"/>
                    <w:jc w:val="center"/>
                    <w:rPr>
                      <w:rFonts w:ascii="宋体" w:hAnsi="宋体" w:cs="宋体"/>
                      <w:color w:val="auto"/>
                      <w:kern w:val="0"/>
                      <w:sz w:val="22"/>
                      <w:highlight w:val="none"/>
                    </w:rPr>
                  </w:pPr>
                </w:p>
              </w:tc>
              <w:tc>
                <w:tcPr>
                  <w:tcW w:w="427" w:type="pct"/>
                  <w:vAlign w:val="center"/>
                </w:tcPr>
                <w:p w14:paraId="196F5C32">
                  <w:pPr>
                    <w:widowControl/>
                    <w:ind w:firstLine="480"/>
                    <w:jc w:val="left"/>
                    <w:rPr>
                      <w:rFonts w:ascii="宋体" w:hAnsi="宋体" w:cs="宋体"/>
                      <w:color w:val="auto"/>
                      <w:kern w:val="0"/>
                      <w:sz w:val="22"/>
                      <w:highlight w:val="none"/>
                    </w:rPr>
                  </w:pPr>
                </w:p>
              </w:tc>
            </w:tr>
            <w:tr w14:paraId="5F71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restart"/>
                  <w:vAlign w:val="center"/>
                </w:tcPr>
                <w:p w14:paraId="7721AB48">
                  <w:pPr>
                    <w:jc w:val="center"/>
                    <w:rPr>
                      <w:rFonts w:ascii="宋体" w:hAnsi="宋体" w:cs="宋体"/>
                      <w:color w:val="auto"/>
                      <w:sz w:val="22"/>
                      <w:highlight w:val="none"/>
                    </w:rPr>
                  </w:pPr>
                  <w:r>
                    <w:rPr>
                      <w:rFonts w:hint="eastAsia" w:ascii="宋体" w:hAnsi="宋体" w:cs="宋体"/>
                      <w:color w:val="auto"/>
                      <w:sz w:val="22"/>
                      <w:highlight w:val="none"/>
                    </w:rPr>
                    <w:t>楼宇综合服务</w:t>
                  </w:r>
                </w:p>
              </w:tc>
              <w:tc>
                <w:tcPr>
                  <w:tcW w:w="441" w:type="pct"/>
                  <w:vAlign w:val="center"/>
                </w:tcPr>
                <w:p w14:paraId="496566D6">
                  <w:pPr>
                    <w:jc w:val="center"/>
                    <w:rPr>
                      <w:rFonts w:ascii="宋体" w:hAnsi="宋体" w:cs="宋体"/>
                      <w:color w:val="auto"/>
                      <w:sz w:val="22"/>
                      <w:highlight w:val="none"/>
                    </w:rPr>
                  </w:pPr>
                  <w:r>
                    <w:rPr>
                      <w:rFonts w:hint="eastAsia" w:ascii="宋体" w:hAnsi="宋体" w:cs="宋体"/>
                      <w:color w:val="auto"/>
                      <w:sz w:val="22"/>
                      <w:highlight w:val="none"/>
                    </w:rPr>
                    <w:t>前台服务</w:t>
                  </w:r>
                </w:p>
              </w:tc>
              <w:tc>
                <w:tcPr>
                  <w:tcW w:w="3243" w:type="pct"/>
                  <w:vAlign w:val="center"/>
                </w:tcPr>
                <w:p w14:paraId="3E5504A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1.楼内大堂设前台服务岗位，负责外来施工登记、接待、邮件收发、首问首处等服务。</w:t>
                  </w:r>
                </w:p>
                <w:p w14:paraId="50C7060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2.作为楼内服务的联系人，做好各种事项的衔接工作，并做好记录。</w:t>
                  </w:r>
                </w:p>
                <w:p w14:paraId="0124027E">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3.做好楼内公共空间的使用管理。</w:t>
                  </w:r>
                </w:p>
                <w:p w14:paraId="1CED36B9">
                  <w:pPr>
                    <w:widowControl/>
                    <w:ind w:left="420"/>
                    <w:jc w:val="left"/>
                    <w:rPr>
                      <w:rFonts w:ascii="宋体" w:hAnsi="宋体" w:cs="宋体"/>
                      <w:b/>
                      <w:color w:val="auto"/>
                      <w:kern w:val="0"/>
                      <w:sz w:val="22"/>
                      <w:highlight w:val="none"/>
                    </w:rPr>
                  </w:pPr>
                  <w:r>
                    <w:rPr>
                      <w:rFonts w:hint="eastAsia" w:ascii="宋体" w:hAnsi="宋体" w:cs="宋体"/>
                      <w:b/>
                      <w:color w:val="auto"/>
                      <w:kern w:val="0"/>
                      <w:sz w:val="22"/>
                      <w:highlight w:val="none"/>
                    </w:rPr>
                    <w:t>上述情况发现一次不符合的扣0.5分。</w:t>
                  </w:r>
                </w:p>
              </w:tc>
              <w:tc>
                <w:tcPr>
                  <w:tcW w:w="227" w:type="pct"/>
                  <w:vAlign w:val="center"/>
                </w:tcPr>
                <w:p w14:paraId="7D33E4A5">
                  <w:pPr>
                    <w:jc w:val="center"/>
                    <w:rPr>
                      <w:rFonts w:ascii="宋体" w:hAnsi="宋体" w:cs="宋体"/>
                      <w:color w:val="auto"/>
                      <w:sz w:val="22"/>
                      <w:highlight w:val="none"/>
                    </w:rPr>
                  </w:pPr>
                  <w:r>
                    <w:rPr>
                      <w:rFonts w:hint="eastAsia" w:ascii="宋体" w:hAnsi="宋体" w:cs="宋体"/>
                      <w:color w:val="auto"/>
                      <w:sz w:val="22"/>
                      <w:highlight w:val="none"/>
                    </w:rPr>
                    <w:t>2</w:t>
                  </w:r>
                </w:p>
              </w:tc>
              <w:tc>
                <w:tcPr>
                  <w:tcW w:w="340" w:type="pct"/>
                  <w:vAlign w:val="center"/>
                </w:tcPr>
                <w:p w14:paraId="6B8C9043">
                  <w:pPr>
                    <w:widowControl/>
                    <w:ind w:firstLine="480"/>
                    <w:jc w:val="left"/>
                    <w:rPr>
                      <w:rFonts w:ascii="宋体" w:hAnsi="宋体" w:cs="宋体"/>
                      <w:color w:val="auto"/>
                      <w:kern w:val="0"/>
                      <w:sz w:val="22"/>
                      <w:highlight w:val="none"/>
                    </w:rPr>
                  </w:pPr>
                </w:p>
              </w:tc>
              <w:tc>
                <w:tcPr>
                  <w:tcW w:w="427" w:type="pct"/>
                  <w:vAlign w:val="center"/>
                </w:tcPr>
                <w:p w14:paraId="522B07E0">
                  <w:pPr>
                    <w:pStyle w:val="90"/>
                    <w:rPr>
                      <w:rFonts w:ascii="宋体" w:hAnsi="宋体" w:eastAsia="宋体" w:cs="宋体"/>
                      <w:color w:val="auto"/>
                      <w:sz w:val="22"/>
                      <w:szCs w:val="22"/>
                      <w:highlight w:val="none"/>
                    </w:rPr>
                  </w:pPr>
                </w:p>
              </w:tc>
            </w:tr>
            <w:tr w14:paraId="4469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240DF4F9">
                  <w:pPr>
                    <w:jc w:val="center"/>
                    <w:rPr>
                      <w:rFonts w:ascii="宋体" w:hAnsi="宋体" w:cs="宋体"/>
                      <w:color w:val="auto"/>
                      <w:sz w:val="22"/>
                      <w:highlight w:val="none"/>
                    </w:rPr>
                  </w:pPr>
                </w:p>
              </w:tc>
              <w:tc>
                <w:tcPr>
                  <w:tcW w:w="441" w:type="pct"/>
                  <w:vAlign w:val="center"/>
                </w:tcPr>
                <w:p w14:paraId="32BC9AF0">
                  <w:pPr>
                    <w:jc w:val="center"/>
                    <w:rPr>
                      <w:rFonts w:ascii="宋体" w:hAnsi="宋体" w:cs="宋体"/>
                      <w:color w:val="auto"/>
                      <w:sz w:val="22"/>
                      <w:highlight w:val="none"/>
                    </w:rPr>
                  </w:pPr>
                  <w:r>
                    <w:rPr>
                      <w:rFonts w:hint="eastAsia" w:ascii="宋体" w:hAnsi="宋体" w:cs="宋体"/>
                      <w:color w:val="auto"/>
                      <w:sz w:val="22"/>
                      <w:highlight w:val="none"/>
                    </w:rPr>
                    <w:t>会务服务</w:t>
                  </w:r>
                </w:p>
              </w:tc>
              <w:tc>
                <w:tcPr>
                  <w:tcW w:w="3243" w:type="pct"/>
                  <w:vAlign w:val="center"/>
                </w:tcPr>
                <w:p w14:paraId="3FC03743">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1.根据会务服务的工作要求和服务标准开展会务服务工作；</w:t>
                  </w:r>
                </w:p>
                <w:p w14:paraId="4BE470DE">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2.记录好会议召开的单位、出席人数和召集的领导职务来决定会议的大小，采取相应的服务措施，提前做好席签、茶水、文具等服务用品的准备；</w:t>
                  </w:r>
                </w:p>
                <w:p w14:paraId="6E90ED34">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3.负责安排工作人员对会议室进行布置，保障会议室整洁舒适，期间提供会务服务、茶水等；</w:t>
                  </w:r>
                </w:p>
                <w:p w14:paraId="25B5D2A2">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4.会议接待员负责在会议进行期间巡查，及时处理突发事件，确保会议顺利进行。</w:t>
                  </w:r>
                </w:p>
                <w:p w14:paraId="4F3267C0">
                  <w:pPr>
                    <w:pStyle w:val="90"/>
                    <w:widowControl/>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5.保密要求，会务服务过程中不得拍照，以及泄露会议的内容。</w:t>
                  </w:r>
                </w:p>
                <w:p w14:paraId="6A42EE3D">
                  <w:pPr>
                    <w:pStyle w:val="90"/>
                    <w:widowControl/>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 会后及时清理茶杯、水壶及其他会议用品，将桌椅归位，关闭会议室各类设备灯光及门窗；</w:t>
                  </w:r>
                </w:p>
                <w:p w14:paraId="32DD09A5">
                  <w:pPr>
                    <w:pStyle w:val="90"/>
                    <w:widowControl/>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上述情况发现一次不符合的扣1分。</w:t>
                  </w:r>
                </w:p>
              </w:tc>
              <w:tc>
                <w:tcPr>
                  <w:tcW w:w="227" w:type="pct"/>
                  <w:vAlign w:val="center"/>
                </w:tcPr>
                <w:p w14:paraId="2E9EEA96">
                  <w:pPr>
                    <w:jc w:val="center"/>
                    <w:rPr>
                      <w:rFonts w:ascii="宋体" w:hAnsi="宋体" w:cs="宋体"/>
                      <w:color w:val="auto"/>
                      <w:sz w:val="22"/>
                      <w:highlight w:val="none"/>
                    </w:rPr>
                  </w:pPr>
                  <w:r>
                    <w:rPr>
                      <w:rFonts w:hint="eastAsia" w:ascii="宋体" w:hAnsi="宋体" w:cs="宋体"/>
                      <w:color w:val="auto"/>
                      <w:sz w:val="22"/>
                      <w:highlight w:val="none"/>
                    </w:rPr>
                    <w:t>5</w:t>
                  </w:r>
                </w:p>
              </w:tc>
              <w:tc>
                <w:tcPr>
                  <w:tcW w:w="340" w:type="pct"/>
                  <w:vAlign w:val="center"/>
                </w:tcPr>
                <w:p w14:paraId="3EBF55DA">
                  <w:pPr>
                    <w:widowControl/>
                    <w:ind w:firstLine="480"/>
                    <w:jc w:val="left"/>
                    <w:rPr>
                      <w:rFonts w:ascii="宋体" w:hAnsi="宋体" w:cs="宋体"/>
                      <w:color w:val="auto"/>
                      <w:kern w:val="0"/>
                      <w:sz w:val="22"/>
                      <w:highlight w:val="none"/>
                    </w:rPr>
                  </w:pPr>
                </w:p>
              </w:tc>
              <w:tc>
                <w:tcPr>
                  <w:tcW w:w="427" w:type="pct"/>
                  <w:vAlign w:val="center"/>
                </w:tcPr>
                <w:p w14:paraId="46F76294">
                  <w:pPr>
                    <w:pStyle w:val="90"/>
                    <w:rPr>
                      <w:rFonts w:ascii="宋体" w:hAnsi="宋体" w:eastAsia="宋体" w:cs="宋体"/>
                      <w:color w:val="auto"/>
                      <w:sz w:val="22"/>
                      <w:szCs w:val="22"/>
                      <w:highlight w:val="none"/>
                    </w:rPr>
                  </w:pPr>
                </w:p>
              </w:tc>
            </w:tr>
            <w:tr w14:paraId="1BCF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374C67BF">
                  <w:pPr>
                    <w:jc w:val="center"/>
                    <w:rPr>
                      <w:rFonts w:ascii="宋体" w:hAnsi="宋体" w:cs="宋体"/>
                      <w:color w:val="auto"/>
                      <w:sz w:val="22"/>
                      <w:highlight w:val="none"/>
                    </w:rPr>
                  </w:pPr>
                </w:p>
              </w:tc>
              <w:tc>
                <w:tcPr>
                  <w:tcW w:w="441" w:type="pct"/>
                  <w:vAlign w:val="center"/>
                </w:tcPr>
                <w:p w14:paraId="7E8FA12D">
                  <w:pPr>
                    <w:jc w:val="center"/>
                    <w:rPr>
                      <w:rFonts w:ascii="宋体" w:hAnsi="宋体" w:cs="宋体"/>
                      <w:color w:val="auto"/>
                      <w:sz w:val="22"/>
                      <w:highlight w:val="none"/>
                    </w:rPr>
                  </w:pPr>
                  <w:r>
                    <w:rPr>
                      <w:rFonts w:hint="eastAsia" w:ascii="宋体" w:hAnsi="宋体" w:cs="宋体"/>
                      <w:color w:val="auto"/>
                      <w:sz w:val="22"/>
                      <w:highlight w:val="none"/>
                    </w:rPr>
                    <w:t>楼宇服务</w:t>
                  </w:r>
                </w:p>
              </w:tc>
              <w:tc>
                <w:tcPr>
                  <w:tcW w:w="3243" w:type="pct"/>
                  <w:vAlign w:val="center"/>
                </w:tcPr>
                <w:p w14:paraId="054C9381">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 做好楼内设备设施清点、家具配置登记与巡检、建筑空间信息整理、标识标牌整理等工作。</w:t>
                  </w:r>
                </w:p>
                <w:p w14:paraId="5E81EF7E">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 做好对楼宇的管理，定期巡查，并留有记录。</w:t>
                  </w:r>
                </w:p>
                <w:p w14:paraId="4625B3D7">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 按体育馆的工作要求做好体育场所的服务。</w:t>
                  </w:r>
                </w:p>
                <w:p w14:paraId="01FCDBA0">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5.做好大型活动、大型演出的配合工作。</w:t>
                  </w:r>
                </w:p>
                <w:p w14:paraId="34EA1309">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6. 按学校要求检查教室开放、关闭情况，晚自习后，组织员工做好清楼、设备检查及卫生保洁工作，并锁好门窗。</w:t>
                  </w:r>
                </w:p>
                <w:p w14:paraId="59C181A5">
                  <w:pPr>
                    <w:pStyle w:val="90"/>
                    <w:ind w:firstLine="435"/>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7.做好其他教学辅助工作。</w:t>
                  </w:r>
                </w:p>
                <w:p w14:paraId="5C5F9303">
                  <w:pPr>
                    <w:ind w:firstLine="480"/>
                    <w:rPr>
                      <w:rFonts w:ascii="宋体" w:hAnsi="宋体" w:cs="宋体"/>
                      <w:color w:val="auto"/>
                      <w:kern w:val="0"/>
                      <w:sz w:val="22"/>
                      <w:highlight w:val="none"/>
                    </w:rPr>
                  </w:pPr>
                  <w:r>
                    <w:rPr>
                      <w:rFonts w:hint="eastAsia" w:ascii="宋体" w:hAnsi="宋体" w:cs="宋体"/>
                      <w:color w:val="auto"/>
                      <w:sz w:val="22"/>
                      <w:highlight w:val="none"/>
                    </w:rPr>
                    <w:t>8.</w:t>
                  </w:r>
                  <w:r>
                    <w:rPr>
                      <w:rFonts w:hint="eastAsia" w:ascii="宋体" w:hAnsi="宋体" w:cs="宋体"/>
                      <w:color w:val="auto"/>
                      <w:kern w:val="0"/>
                      <w:sz w:val="22"/>
                      <w:highlight w:val="none"/>
                    </w:rPr>
                    <w:t xml:space="preserve"> 做好楼内公共空间的管理，及时报修损坏的设施设备，无人公共区域空调灯光及时关闭。</w:t>
                  </w:r>
                </w:p>
                <w:p w14:paraId="49E2BB51">
                  <w:pPr>
                    <w:pStyle w:val="90"/>
                    <w:ind w:firstLine="435"/>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 熟悉断水断电、学生突发疾病等应急预案内容及操作流程</w:t>
                  </w:r>
                </w:p>
                <w:p w14:paraId="3E46F9BD">
                  <w:pPr>
                    <w:pStyle w:val="90"/>
                    <w:widowControl/>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上述情况发现一次不符合的扣0.5分。</w:t>
                  </w:r>
                </w:p>
              </w:tc>
              <w:tc>
                <w:tcPr>
                  <w:tcW w:w="227" w:type="pct"/>
                  <w:vAlign w:val="center"/>
                </w:tcPr>
                <w:p w14:paraId="0CAAF3C6">
                  <w:pPr>
                    <w:jc w:val="center"/>
                    <w:rPr>
                      <w:rFonts w:ascii="宋体" w:hAnsi="宋体" w:cs="宋体"/>
                      <w:color w:val="auto"/>
                      <w:sz w:val="22"/>
                      <w:highlight w:val="none"/>
                    </w:rPr>
                  </w:pPr>
                  <w:r>
                    <w:rPr>
                      <w:rFonts w:hint="eastAsia" w:ascii="宋体" w:hAnsi="宋体" w:cs="宋体"/>
                      <w:color w:val="auto"/>
                      <w:sz w:val="22"/>
                      <w:highlight w:val="none"/>
                    </w:rPr>
                    <w:t>4</w:t>
                  </w:r>
                </w:p>
              </w:tc>
              <w:tc>
                <w:tcPr>
                  <w:tcW w:w="340" w:type="pct"/>
                  <w:vAlign w:val="center"/>
                </w:tcPr>
                <w:p w14:paraId="6EDBB769">
                  <w:pPr>
                    <w:widowControl/>
                    <w:ind w:firstLine="480"/>
                    <w:jc w:val="left"/>
                    <w:rPr>
                      <w:rFonts w:ascii="宋体" w:hAnsi="宋体" w:cs="宋体"/>
                      <w:color w:val="auto"/>
                      <w:kern w:val="0"/>
                      <w:sz w:val="22"/>
                      <w:highlight w:val="none"/>
                    </w:rPr>
                  </w:pPr>
                </w:p>
              </w:tc>
              <w:tc>
                <w:tcPr>
                  <w:tcW w:w="427" w:type="pct"/>
                  <w:vAlign w:val="center"/>
                </w:tcPr>
                <w:p w14:paraId="740AF22F">
                  <w:pPr>
                    <w:pStyle w:val="90"/>
                    <w:rPr>
                      <w:rFonts w:ascii="宋体" w:hAnsi="宋体" w:eastAsia="宋体" w:cs="宋体"/>
                      <w:color w:val="auto"/>
                      <w:sz w:val="22"/>
                      <w:szCs w:val="22"/>
                      <w:highlight w:val="none"/>
                    </w:rPr>
                  </w:pPr>
                </w:p>
              </w:tc>
            </w:tr>
            <w:tr w14:paraId="7C18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0A3D42D7">
                  <w:pPr>
                    <w:jc w:val="center"/>
                    <w:rPr>
                      <w:rFonts w:ascii="宋体" w:hAnsi="宋体" w:cs="宋体"/>
                      <w:color w:val="auto"/>
                      <w:sz w:val="22"/>
                      <w:highlight w:val="none"/>
                    </w:rPr>
                  </w:pPr>
                </w:p>
              </w:tc>
              <w:tc>
                <w:tcPr>
                  <w:tcW w:w="441" w:type="pct"/>
                  <w:vAlign w:val="center"/>
                </w:tcPr>
                <w:p w14:paraId="5DA87826">
                  <w:pPr>
                    <w:jc w:val="center"/>
                    <w:rPr>
                      <w:rFonts w:ascii="宋体" w:hAnsi="宋体" w:cs="宋体"/>
                      <w:color w:val="auto"/>
                      <w:sz w:val="22"/>
                      <w:highlight w:val="none"/>
                    </w:rPr>
                  </w:pPr>
                  <w:r>
                    <w:rPr>
                      <w:rFonts w:hint="eastAsia" w:ascii="宋体" w:hAnsi="宋体" w:cs="宋体"/>
                      <w:color w:val="auto"/>
                      <w:sz w:val="22"/>
                      <w:highlight w:val="none"/>
                    </w:rPr>
                    <w:t>24小时服务中心</w:t>
                  </w:r>
                </w:p>
              </w:tc>
              <w:tc>
                <w:tcPr>
                  <w:tcW w:w="3243" w:type="pct"/>
                  <w:vAlign w:val="center"/>
                </w:tcPr>
                <w:p w14:paraId="59547D57">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1.24小时必须有人接听电话。</w:t>
                  </w:r>
                </w:p>
                <w:p w14:paraId="273F0DDF">
                  <w:pPr>
                    <w:pStyle w:val="94"/>
                    <w:ind w:left="0" w:firstLine="440" w:firstLineChars="200"/>
                    <w:jc w:val="left"/>
                    <w:rPr>
                      <w:rFonts w:ascii="宋体" w:hAnsi="宋体" w:cs="宋体"/>
                      <w:color w:val="auto"/>
                      <w:sz w:val="22"/>
                      <w:highlight w:val="none"/>
                    </w:rPr>
                  </w:pPr>
                  <w:r>
                    <w:rPr>
                      <w:rFonts w:hint="eastAsia" w:ascii="宋体" w:hAnsi="宋体" w:cs="宋体"/>
                      <w:color w:val="auto"/>
                      <w:sz w:val="22"/>
                      <w:highlight w:val="none"/>
                    </w:rPr>
                    <w:t>2.各类台账登记完整，及时接听电话，服务有礼貌。</w:t>
                  </w:r>
                </w:p>
                <w:p w14:paraId="57171626">
                  <w:pPr>
                    <w:widowControl/>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3.“最多找一人”服务，按要求做到及时高效，事事有回音、件件有落实。</w:t>
                  </w:r>
                </w:p>
                <w:p w14:paraId="29B775D3">
                  <w:pPr>
                    <w:pStyle w:val="90"/>
                    <w:widowControl/>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上述情况发现一次不符合的扣0.5分。</w:t>
                  </w:r>
                </w:p>
              </w:tc>
              <w:tc>
                <w:tcPr>
                  <w:tcW w:w="227" w:type="pct"/>
                  <w:vAlign w:val="center"/>
                </w:tcPr>
                <w:p w14:paraId="0CA8C120">
                  <w:pPr>
                    <w:jc w:val="center"/>
                    <w:rPr>
                      <w:rFonts w:ascii="宋体" w:hAnsi="宋体" w:cs="宋体"/>
                      <w:color w:val="auto"/>
                      <w:sz w:val="22"/>
                      <w:highlight w:val="none"/>
                    </w:rPr>
                  </w:pPr>
                  <w:r>
                    <w:rPr>
                      <w:rFonts w:hint="eastAsia" w:ascii="宋体" w:hAnsi="宋体" w:cs="宋体"/>
                      <w:color w:val="auto"/>
                      <w:sz w:val="22"/>
                      <w:highlight w:val="none"/>
                    </w:rPr>
                    <w:t>2</w:t>
                  </w:r>
                </w:p>
              </w:tc>
              <w:tc>
                <w:tcPr>
                  <w:tcW w:w="340" w:type="pct"/>
                  <w:vAlign w:val="center"/>
                </w:tcPr>
                <w:p w14:paraId="57EFBE4B">
                  <w:pPr>
                    <w:widowControl/>
                    <w:ind w:firstLine="480"/>
                    <w:jc w:val="left"/>
                    <w:rPr>
                      <w:rFonts w:ascii="宋体" w:hAnsi="宋体" w:cs="宋体"/>
                      <w:color w:val="auto"/>
                      <w:kern w:val="0"/>
                      <w:sz w:val="22"/>
                      <w:highlight w:val="none"/>
                    </w:rPr>
                  </w:pPr>
                </w:p>
              </w:tc>
              <w:tc>
                <w:tcPr>
                  <w:tcW w:w="427" w:type="pct"/>
                  <w:vAlign w:val="center"/>
                </w:tcPr>
                <w:p w14:paraId="421F82E5">
                  <w:pPr>
                    <w:pStyle w:val="90"/>
                    <w:rPr>
                      <w:rFonts w:ascii="宋体" w:hAnsi="宋体" w:eastAsia="宋体" w:cs="宋体"/>
                      <w:color w:val="auto"/>
                      <w:sz w:val="22"/>
                      <w:szCs w:val="22"/>
                      <w:highlight w:val="none"/>
                    </w:rPr>
                  </w:pPr>
                </w:p>
              </w:tc>
            </w:tr>
            <w:tr w14:paraId="6133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restart"/>
                  <w:vAlign w:val="center"/>
                </w:tcPr>
                <w:p w14:paraId="1EE0DE8C">
                  <w:pPr>
                    <w:jc w:val="center"/>
                    <w:rPr>
                      <w:rFonts w:ascii="宋体" w:hAnsi="宋体" w:cs="宋体"/>
                      <w:color w:val="auto"/>
                      <w:sz w:val="22"/>
                      <w:highlight w:val="none"/>
                    </w:rPr>
                  </w:pPr>
                  <w:r>
                    <w:rPr>
                      <w:rFonts w:hint="eastAsia" w:ascii="宋体" w:hAnsi="宋体" w:cs="宋体"/>
                      <w:color w:val="auto"/>
                      <w:sz w:val="22"/>
                      <w:highlight w:val="none"/>
                    </w:rPr>
                    <w:t>设施设备运维服务</w:t>
                  </w:r>
                </w:p>
              </w:tc>
              <w:tc>
                <w:tcPr>
                  <w:tcW w:w="441" w:type="pct"/>
                  <w:vAlign w:val="center"/>
                </w:tcPr>
                <w:p w14:paraId="71DEA1C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工作规范</w:t>
                  </w:r>
                </w:p>
              </w:tc>
              <w:tc>
                <w:tcPr>
                  <w:tcW w:w="3243" w:type="pct"/>
                  <w:vAlign w:val="center"/>
                </w:tcPr>
                <w:p w14:paraId="513B30FC">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1.需要年审的岗位资格证书是否按规定期限年审（包括继续教育）。</w:t>
                  </w:r>
                </w:p>
                <w:p w14:paraId="0A611AC6">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2.维修人员规范着装、规范佩戴安全用具。</w:t>
                  </w:r>
                </w:p>
                <w:p w14:paraId="6BB27DC4">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3.日常巡视、维修服务文明、礼貌。</w:t>
                  </w:r>
                </w:p>
                <w:p w14:paraId="45251D6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4.凡用户到维修部门联系工作或电话报修，首接人员要热情接待，及时处理。</w:t>
                  </w:r>
                </w:p>
                <w:p w14:paraId="7638C62A">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上述情况发现一次不符合的扣0.2分。</w:t>
                  </w:r>
                </w:p>
              </w:tc>
              <w:tc>
                <w:tcPr>
                  <w:tcW w:w="227" w:type="pct"/>
                  <w:vAlign w:val="center"/>
                </w:tcPr>
                <w:p w14:paraId="2717CC3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40" w:type="pct"/>
                  <w:vAlign w:val="center"/>
                </w:tcPr>
                <w:p w14:paraId="002EC836">
                  <w:pPr>
                    <w:widowControl/>
                    <w:ind w:firstLine="480"/>
                    <w:jc w:val="left"/>
                    <w:rPr>
                      <w:rFonts w:ascii="宋体" w:hAnsi="宋体" w:cs="宋体"/>
                      <w:color w:val="auto"/>
                      <w:kern w:val="0"/>
                      <w:sz w:val="22"/>
                      <w:highlight w:val="none"/>
                    </w:rPr>
                  </w:pPr>
                </w:p>
              </w:tc>
              <w:tc>
                <w:tcPr>
                  <w:tcW w:w="427" w:type="pct"/>
                  <w:vAlign w:val="center"/>
                </w:tcPr>
                <w:p w14:paraId="01CDF23A">
                  <w:pPr>
                    <w:pStyle w:val="90"/>
                    <w:rPr>
                      <w:rFonts w:ascii="宋体" w:hAnsi="宋体" w:eastAsia="宋体" w:cs="宋体"/>
                      <w:color w:val="auto"/>
                      <w:sz w:val="22"/>
                      <w:szCs w:val="22"/>
                      <w:highlight w:val="none"/>
                    </w:rPr>
                  </w:pPr>
                </w:p>
              </w:tc>
            </w:tr>
            <w:tr w14:paraId="1D7D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7D16C231">
                  <w:pPr>
                    <w:jc w:val="center"/>
                    <w:rPr>
                      <w:rFonts w:ascii="宋体" w:hAnsi="宋体" w:cs="宋体"/>
                      <w:color w:val="auto"/>
                      <w:sz w:val="22"/>
                      <w:highlight w:val="none"/>
                    </w:rPr>
                  </w:pPr>
                </w:p>
              </w:tc>
              <w:tc>
                <w:tcPr>
                  <w:tcW w:w="441" w:type="pct"/>
                  <w:vAlign w:val="center"/>
                </w:tcPr>
                <w:p w14:paraId="01B100E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工程管理体系建设</w:t>
                  </w:r>
                </w:p>
              </w:tc>
              <w:tc>
                <w:tcPr>
                  <w:tcW w:w="3243" w:type="pct"/>
                  <w:vAlign w:val="center"/>
                </w:tcPr>
                <w:p w14:paraId="323C155F">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1.根据校园设施设备情况建立适用的工程管理体系（包括但不限于管理制度、设备台账、操作规程、岗位职责、工程档案、应急预案等）。</w:t>
                  </w:r>
                </w:p>
                <w:p w14:paraId="7D4A7561">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2.工程资料管理应保持实时的更新以及存档。</w:t>
                  </w:r>
                </w:p>
                <w:p w14:paraId="0911D2A2">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3.每月开展岗位培训不少于1次。</w:t>
                  </w:r>
                </w:p>
                <w:p w14:paraId="1785A670">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4.按照优秀物业示范项目、绿色校园等评比工作要求，做好设施设备管理工作。</w:t>
                  </w:r>
                </w:p>
                <w:p w14:paraId="2AB40A86">
                  <w:pPr>
                    <w:widowControl/>
                    <w:ind w:firstLine="482"/>
                    <w:jc w:val="left"/>
                    <w:rPr>
                      <w:rFonts w:ascii="宋体" w:hAnsi="宋体" w:cs="宋体"/>
                      <w:b/>
                      <w:color w:val="auto"/>
                      <w:kern w:val="0"/>
                      <w:sz w:val="22"/>
                      <w:highlight w:val="none"/>
                    </w:rPr>
                  </w:pPr>
                  <w:r>
                    <w:rPr>
                      <w:rFonts w:hint="eastAsia" w:ascii="宋体" w:hAnsi="宋体" w:cs="宋体"/>
                      <w:b/>
                      <w:color w:val="auto"/>
                      <w:kern w:val="0"/>
                      <w:sz w:val="22"/>
                      <w:highlight w:val="none"/>
                    </w:rPr>
                    <w:t>上述情况发现一次不符合的扣0.5分。</w:t>
                  </w:r>
                </w:p>
              </w:tc>
              <w:tc>
                <w:tcPr>
                  <w:tcW w:w="227" w:type="pct"/>
                  <w:vAlign w:val="center"/>
                </w:tcPr>
                <w:p w14:paraId="15D0289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340" w:type="pct"/>
                  <w:vAlign w:val="center"/>
                </w:tcPr>
                <w:p w14:paraId="32A4C7DE">
                  <w:pPr>
                    <w:widowControl/>
                    <w:ind w:firstLine="480"/>
                    <w:jc w:val="left"/>
                    <w:rPr>
                      <w:rFonts w:ascii="宋体" w:hAnsi="宋体" w:cs="宋体"/>
                      <w:color w:val="auto"/>
                      <w:kern w:val="0"/>
                      <w:sz w:val="22"/>
                      <w:highlight w:val="none"/>
                    </w:rPr>
                  </w:pPr>
                </w:p>
              </w:tc>
              <w:tc>
                <w:tcPr>
                  <w:tcW w:w="427" w:type="pct"/>
                  <w:vAlign w:val="center"/>
                </w:tcPr>
                <w:p w14:paraId="6B8210F5">
                  <w:pPr>
                    <w:pStyle w:val="90"/>
                    <w:rPr>
                      <w:rFonts w:ascii="宋体" w:hAnsi="宋体" w:eastAsia="宋体" w:cs="宋体"/>
                      <w:color w:val="auto"/>
                      <w:sz w:val="22"/>
                      <w:szCs w:val="22"/>
                      <w:highlight w:val="none"/>
                    </w:rPr>
                  </w:pPr>
                </w:p>
              </w:tc>
            </w:tr>
            <w:tr w14:paraId="0875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59683CAF">
                  <w:pPr>
                    <w:jc w:val="center"/>
                    <w:rPr>
                      <w:rFonts w:ascii="宋体" w:hAnsi="宋体" w:cs="宋体"/>
                      <w:color w:val="auto"/>
                      <w:sz w:val="22"/>
                      <w:highlight w:val="none"/>
                    </w:rPr>
                  </w:pPr>
                </w:p>
              </w:tc>
              <w:tc>
                <w:tcPr>
                  <w:tcW w:w="441" w:type="pct"/>
                  <w:vAlign w:val="center"/>
                </w:tcPr>
                <w:p w14:paraId="7F5CAC6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维修服务</w:t>
                  </w:r>
                </w:p>
              </w:tc>
              <w:tc>
                <w:tcPr>
                  <w:tcW w:w="3243" w:type="pct"/>
                  <w:vAlign w:val="center"/>
                </w:tcPr>
                <w:p w14:paraId="0CC7BC04">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1.接到报修任务后，维修人员应立即处理，故障处理及时率达到95%及以上。</w:t>
                  </w:r>
                </w:p>
                <w:p w14:paraId="651C8142">
                  <w:pPr>
                    <w:widowControl/>
                    <w:ind w:firstLine="480"/>
                    <w:jc w:val="left"/>
                    <w:rPr>
                      <w:rFonts w:ascii="宋体" w:hAnsi="宋体" w:cs="宋体"/>
                      <w:color w:val="auto"/>
                      <w:sz w:val="22"/>
                      <w:highlight w:val="none"/>
                    </w:rPr>
                  </w:pPr>
                  <w:r>
                    <w:rPr>
                      <w:rFonts w:hint="eastAsia" w:ascii="宋体" w:hAnsi="宋体" w:cs="宋体"/>
                      <w:color w:val="auto"/>
                      <w:kern w:val="0"/>
                      <w:sz w:val="22"/>
                      <w:highlight w:val="none"/>
                    </w:rPr>
                    <w:t>2.当天上午12:00前报修的，须在当天17：00前处理完成。</w:t>
                  </w:r>
                  <w:r>
                    <w:rPr>
                      <w:rFonts w:hint="eastAsia" w:ascii="宋体" w:hAnsi="宋体" w:cs="宋体"/>
                      <w:color w:val="auto"/>
                      <w:sz w:val="22"/>
                      <w:highlight w:val="none"/>
                    </w:rPr>
                    <w:t>如有特殊情况无法即时完成维修的需向后勤部和报修人说明原因，约定维修完成时限，最迟不得超过48小时。</w:t>
                  </w:r>
                </w:p>
                <w:p w14:paraId="4703B085">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3.维修人员实施夜间值班制度，夜间按规定时间进行巡视和设施设备故障紧急处理。</w:t>
                  </w:r>
                </w:p>
                <w:p w14:paraId="6B372D98">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4.到女生宿舍、游泳馆换衣间以及重要实验室等场所，需要有人陪修。</w:t>
                  </w:r>
                </w:p>
                <w:p w14:paraId="58E66923">
                  <w:pPr>
                    <w:widowControl/>
                    <w:ind w:firstLine="480"/>
                    <w:jc w:val="left"/>
                    <w:rPr>
                      <w:rFonts w:ascii="宋体" w:hAnsi="宋体" w:cs="宋体"/>
                      <w:color w:val="auto"/>
                      <w:sz w:val="22"/>
                      <w:highlight w:val="none"/>
                    </w:rPr>
                  </w:pPr>
                  <w:r>
                    <w:rPr>
                      <w:rFonts w:hint="eastAsia" w:ascii="宋体" w:hAnsi="宋体" w:cs="宋体"/>
                      <w:color w:val="auto"/>
                      <w:sz w:val="22"/>
                      <w:highlight w:val="none"/>
                    </w:rPr>
                    <w:t>5.维修时，维修人员必须做好现场的安全防护工作，特种作业必须按流程审批后，方可实施。</w:t>
                  </w:r>
                </w:p>
                <w:p w14:paraId="5130A29C">
                  <w:pPr>
                    <w:widowControl/>
                    <w:ind w:firstLine="480"/>
                    <w:jc w:val="left"/>
                    <w:rPr>
                      <w:rFonts w:ascii="宋体" w:hAnsi="宋体" w:cs="宋体"/>
                      <w:color w:val="auto"/>
                      <w:sz w:val="22"/>
                      <w:highlight w:val="none"/>
                    </w:rPr>
                  </w:pPr>
                  <w:r>
                    <w:rPr>
                      <w:rFonts w:hint="eastAsia" w:ascii="宋体" w:hAnsi="宋体" w:cs="宋体"/>
                      <w:color w:val="auto"/>
                      <w:sz w:val="22"/>
                      <w:highlight w:val="none"/>
                    </w:rPr>
                    <w:t>6.维修时，维修人员必须做好现场施工噪声、粉尘的控制，尽量不影响师生的学习、生活。</w:t>
                  </w:r>
                </w:p>
                <w:p w14:paraId="660E459A">
                  <w:pPr>
                    <w:widowControl/>
                    <w:ind w:firstLine="480"/>
                    <w:jc w:val="left"/>
                    <w:rPr>
                      <w:rFonts w:ascii="宋体" w:hAnsi="宋体" w:cs="宋体"/>
                      <w:color w:val="auto"/>
                      <w:sz w:val="22"/>
                      <w:highlight w:val="none"/>
                    </w:rPr>
                  </w:pPr>
                  <w:r>
                    <w:rPr>
                      <w:rFonts w:hint="eastAsia" w:ascii="宋体" w:hAnsi="宋体" w:cs="宋体"/>
                      <w:color w:val="auto"/>
                      <w:sz w:val="22"/>
                      <w:highlight w:val="none"/>
                    </w:rPr>
                    <w:t>7.维修时应确保维修工作质量，完成后及时关注维修评价。对一定期限内，同一地点同一事项2次报修的，需查明原因并出具处理意见。</w:t>
                  </w:r>
                </w:p>
                <w:p w14:paraId="0C74CC69">
                  <w:pPr>
                    <w:widowControl/>
                    <w:ind w:firstLine="480"/>
                    <w:jc w:val="left"/>
                    <w:rPr>
                      <w:rFonts w:ascii="宋体" w:hAnsi="宋体" w:cs="宋体"/>
                      <w:color w:val="auto"/>
                      <w:sz w:val="22"/>
                      <w:highlight w:val="none"/>
                    </w:rPr>
                  </w:pPr>
                  <w:r>
                    <w:rPr>
                      <w:rFonts w:hint="eastAsia" w:ascii="宋体" w:hAnsi="宋体" w:cs="宋体"/>
                      <w:color w:val="auto"/>
                      <w:sz w:val="22"/>
                      <w:highlight w:val="none"/>
                    </w:rPr>
                    <w:t>8. 维修完成后在离开前应将场地处理干净，做到文明施工、事完场清。</w:t>
                  </w:r>
                </w:p>
                <w:p w14:paraId="35473C21">
                  <w:pPr>
                    <w:widowControl/>
                    <w:ind w:firstLine="480"/>
                    <w:jc w:val="left"/>
                    <w:rPr>
                      <w:rFonts w:ascii="宋体" w:hAnsi="宋体" w:cs="宋体"/>
                      <w:color w:val="auto"/>
                      <w:sz w:val="22"/>
                      <w:highlight w:val="none"/>
                    </w:rPr>
                  </w:pPr>
                  <w:r>
                    <w:rPr>
                      <w:rFonts w:hint="eastAsia" w:ascii="宋体" w:hAnsi="宋体" w:cs="宋体"/>
                      <w:color w:val="auto"/>
                      <w:sz w:val="22"/>
                      <w:highlight w:val="none"/>
                    </w:rPr>
                    <w:t>9.仓库管理：零修材料摆放整齐、进出库台账记录清晰、损耗控制在合理范围内。</w:t>
                  </w:r>
                </w:p>
                <w:p w14:paraId="0680C6F8">
                  <w:pPr>
                    <w:widowControl/>
                    <w:ind w:firstLine="480"/>
                    <w:jc w:val="left"/>
                    <w:rPr>
                      <w:rFonts w:ascii="宋体" w:hAnsi="宋体" w:cs="宋体"/>
                      <w:color w:val="auto"/>
                      <w:sz w:val="22"/>
                      <w:highlight w:val="none"/>
                    </w:rPr>
                  </w:pPr>
                  <w:r>
                    <w:rPr>
                      <w:rFonts w:hint="eastAsia" w:ascii="宋体" w:hAnsi="宋体" w:cs="宋体"/>
                      <w:color w:val="auto"/>
                      <w:sz w:val="22"/>
                      <w:highlight w:val="none"/>
                    </w:rPr>
                    <w:t>10.每月开展维修工技能培训和工作考核，提高维修工的维修质量。维修工月度奖金与维修工作质量和考核结果挂钩。</w:t>
                  </w:r>
                </w:p>
                <w:p w14:paraId="776DBC13">
                  <w:pPr>
                    <w:autoSpaceDE w:val="0"/>
                    <w:autoSpaceDN w:val="0"/>
                    <w:adjustRightInd w:val="0"/>
                    <w:ind w:firstLine="480"/>
                    <w:jc w:val="left"/>
                    <w:rPr>
                      <w:rFonts w:ascii="宋体" w:hAnsi="宋体" w:cs="宋体"/>
                      <w:color w:val="auto"/>
                      <w:sz w:val="22"/>
                      <w:highlight w:val="none"/>
                    </w:rPr>
                  </w:pPr>
                  <w:r>
                    <w:rPr>
                      <w:rFonts w:hint="eastAsia" w:ascii="宋体" w:hAnsi="宋体" w:cs="宋体"/>
                      <w:color w:val="auto"/>
                      <w:kern w:val="0"/>
                      <w:sz w:val="22"/>
                      <w:highlight w:val="none"/>
                    </w:rPr>
                    <w:t>11.协助学校做好水电表抄录及水电费收缴工作。</w:t>
                  </w:r>
                </w:p>
                <w:p w14:paraId="50267EBE">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上述情况发现一次不符合的扣1分。</w:t>
                  </w:r>
                </w:p>
              </w:tc>
              <w:tc>
                <w:tcPr>
                  <w:tcW w:w="227" w:type="pct"/>
                  <w:vAlign w:val="center"/>
                </w:tcPr>
                <w:p w14:paraId="5C4B165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340" w:type="pct"/>
                  <w:vAlign w:val="center"/>
                </w:tcPr>
                <w:p w14:paraId="6F3C8D66">
                  <w:pPr>
                    <w:widowControl/>
                    <w:ind w:firstLine="480"/>
                    <w:jc w:val="left"/>
                    <w:rPr>
                      <w:rFonts w:ascii="宋体" w:hAnsi="宋体" w:cs="宋体"/>
                      <w:color w:val="auto"/>
                      <w:kern w:val="0"/>
                      <w:sz w:val="22"/>
                      <w:highlight w:val="none"/>
                    </w:rPr>
                  </w:pPr>
                </w:p>
              </w:tc>
              <w:tc>
                <w:tcPr>
                  <w:tcW w:w="427" w:type="pct"/>
                  <w:vAlign w:val="center"/>
                </w:tcPr>
                <w:p w14:paraId="1C2C70D0">
                  <w:pPr>
                    <w:pStyle w:val="90"/>
                    <w:rPr>
                      <w:rFonts w:ascii="宋体" w:hAnsi="宋体" w:eastAsia="宋体" w:cs="宋体"/>
                      <w:color w:val="auto"/>
                      <w:sz w:val="22"/>
                      <w:szCs w:val="22"/>
                      <w:highlight w:val="none"/>
                    </w:rPr>
                  </w:pPr>
                </w:p>
              </w:tc>
            </w:tr>
            <w:tr w14:paraId="18A8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18A4A14A">
                  <w:pPr>
                    <w:jc w:val="center"/>
                    <w:rPr>
                      <w:rFonts w:ascii="宋体" w:hAnsi="宋体" w:cs="宋体"/>
                      <w:color w:val="auto"/>
                      <w:sz w:val="22"/>
                      <w:highlight w:val="none"/>
                    </w:rPr>
                  </w:pPr>
                </w:p>
              </w:tc>
              <w:tc>
                <w:tcPr>
                  <w:tcW w:w="441" w:type="pct"/>
                  <w:vAlign w:val="center"/>
                </w:tcPr>
                <w:p w14:paraId="09F8659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设施设备运维</w:t>
                  </w:r>
                </w:p>
              </w:tc>
              <w:tc>
                <w:tcPr>
                  <w:tcW w:w="3243" w:type="pct"/>
                  <w:vAlign w:val="center"/>
                </w:tcPr>
                <w:p w14:paraId="53474461">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制定各类设施设备及系统年度运维、保养计划（包括第三方专业维保计划），经报送校方批准后方可执行（在合同签订2个月内完成各类设施设备运维方案的编制报批工作，如延期或缺失此项得分为0分）。</w:t>
                  </w:r>
                </w:p>
                <w:p w14:paraId="22388100">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根据合同约定由物业委托第三方维保单位进行维保的，及时完成第三方专业维保单位的合同签订工作。</w:t>
                  </w:r>
                </w:p>
                <w:p w14:paraId="1A20D1AA">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按要求开展设施设备日常巡视、操作、检查、保养，在检查巡查发现问题或接到问题反映后，应及时处理或向学校报告。</w:t>
                  </w:r>
                </w:p>
                <w:p w14:paraId="37A5B4F8">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强电、弱电、给排水、电梯、消防、安防、暖通等及其他公用设施设备，应保证系统运行正常。无法维修时，需及时反馈。</w:t>
                  </w:r>
                </w:p>
                <w:p w14:paraId="4042A44E">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第三方专业维保监管工作：必须保证按保养计划约定的时间及内容完成设备保养，同时跟踪监督其维保全过程并做好索证，相关台账记录及时、规范，可追溯，并报业主单位进行存档。</w:t>
                  </w:r>
                </w:p>
                <w:p w14:paraId="3BFA4001">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建立完善各系统设备档案，各类设备设施要有完整、实时的运维记录。</w:t>
                  </w:r>
                </w:p>
                <w:p w14:paraId="40D14F26">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仓库管理：维保仓库材料摆放整齐、进出库台账记录清晰、维保材料齐备。</w:t>
                  </w:r>
                </w:p>
                <w:p w14:paraId="1D9AF3F2">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标准化机房建设：按合同约定完成标准化机房建设，制度上墙，保持设备机房清洁，标识完整、清晰，设备除锈除垢、涂注润滑防锈油及其他维保措施。</w:t>
                  </w:r>
                </w:p>
                <w:p w14:paraId="238CB150">
                  <w:pPr>
                    <w:widowControl/>
                    <w:numPr>
                      <w:ilvl w:val="0"/>
                      <w:numId w:val="25"/>
                    </w:numPr>
                    <w:ind w:firstLine="480"/>
                    <w:jc w:val="left"/>
                    <w:rPr>
                      <w:rFonts w:ascii="宋体" w:hAnsi="宋体" w:cs="宋体"/>
                      <w:color w:val="auto"/>
                      <w:sz w:val="22"/>
                      <w:highlight w:val="none"/>
                    </w:rPr>
                  </w:pPr>
                  <w:r>
                    <w:rPr>
                      <w:rFonts w:hint="eastAsia" w:ascii="宋体" w:hAnsi="宋体" w:cs="宋体"/>
                      <w:color w:val="auto"/>
                      <w:sz w:val="22"/>
                      <w:highlight w:val="none"/>
                    </w:rPr>
                    <w:t>每月初导出水电空调能耗表数据，分析数据问题，形成相应账单。</w:t>
                  </w:r>
                </w:p>
                <w:p w14:paraId="69A8DB61">
                  <w:pPr>
                    <w:ind w:firstLine="482"/>
                    <w:jc w:val="left"/>
                    <w:textAlignment w:val="center"/>
                    <w:rPr>
                      <w:rFonts w:ascii="宋体" w:hAnsi="宋体" w:cs="宋体"/>
                      <w:b/>
                      <w:color w:val="auto"/>
                      <w:sz w:val="22"/>
                      <w:highlight w:val="none"/>
                    </w:rPr>
                  </w:pPr>
                  <w:r>
                    <w:rPr>
                      <w:rFonts w:hint="eastAsia" w:ascii="宋体" w:hAnsi="宋体" w:cs="宋体"/>
                      <w:b/>
                      <w:bCs/>
                      <w:color w:val="auto"/>
                      <w:sz w:val="22"/>
                      <w:highlight w:val="none"/>
                    </w:rPr>
                    <w:t>上述情况发现一次不符合的扣1分。</w:t>
                  </w:r>
                </w:p>
              </w:tc>
              <w:tc>
                <w:tcPr>
                  <w:tcW w:w="227" w:type="pct"/>
                  <w:vAlign w:val="center"/>
                </w:tcPr>
                <w:p w14:paraId="6DB408D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340" w:type="pct"/>
                  <w:vAlign w:val="center"/>
                </w:tcPr>
                <w:p w14:paraId="418F483B">
                  <w:pPr>
                    <w:widowControl/>
                    <w:ind w:firstLine="480"/>
                    <w:jc w:val="left"/>
                    <w:rPr>
                      <w:rFonts w:ascii="宋体" w:hAnsi="宋体" w:cs="宋体"/>
                      <w:color w:val="auto"/>
                      <w:kern w:val="0"/>
                      <w:sz w:val="22"/>
                      <w:highlight w:val="none"/>
                    </w:rPr>
                  </w:pPr>
                </w:p>
              </w:tc>
              <w:tc>
                <w:tcPr>
                  <w:tcW w:w="427" w:type="pct"/>
                  <w:vAlign w:val="center"/>
                </w:tcPr>
                <w:p w14:paraId="3D25A453">
                  <w:pPr>
                    <w:pStyle w:val="90"/>
                    <w:rPr>
                      <w:rFonts w:ascii="宋体" w:hAnsi="宋体" w:eastAsia="宋体" w:cs="宋体"/>
                      <w:color w:val="auto"/>
                      <w:sz w:val="22"/>
                      <w:szCs w:val="22"/>
                      <w:highlight w:val="none"/>
                    </w:rPr>
                  </w:pPr>
                </w:p>
              </w:tc>
            </w:tr>
            <w:tr w14:paraId="08E7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434E2E06">
                  <w:pPr>
                    <w:jc w:val="center"/>
                    <w:rPr>
                      <w:rFonts w:ascii="宋体" w:hAnsi="宋体" w:cs="宋体"/>
                      <w:color w:val="auto"/>
                      <w:sz w:val="22"/>
                      <w:highlight w:val="none"/>
                    </w:rPr>
                  </w:pPr>
                </w:p>
              </w:tc>
              <w:tc>
                <w:tcPr>
                  <w:tcW w:w="441" w:type="pct"/>
                  <w:vAlign w:val="center"/>
                </w:tcPr>
                <w:p w14:paraId="3F58791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第三方服务单位管理</w:t>
                  </w:r>
                </w:p>
              </w:tc>
              <w:tc>
                <w:tcPr>
                  <w:tcW w:w="3243" w:type="pct"/>
                  <w:vAlign w:val="center"/>
                </w:tcPr>
                <w:p w14:paraId="1C44BA5A">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1.根据学校要求配合大专修策划及施工过程管理。</w:t>
                  </w:r>
                </w:p>
                <w:p w14:paraId="275F2E60">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2.协调第三方服务单位所需要的环境条件（如接水、接电、施工边界等）。</w:t>
                  </w:r>
                </w:p>
                <w:p w14:paraId="72EB3AE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3.监督第三方服务单位工作开展，对整个施工过程进行安全、质量、进度、文明施工等方面的管控。</w:t>
                  </w:r>
                </w:p>
                <w:p w14:paraId="1F06A5B9">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4.协助校方处理施工过程中的各项事项（师生投诉等）</w:t>
                  </w:r>
                </w:p>
                <w:p w14:paraId="4357E3DB">
                  <w:pPr>
                    <w:widowControl/>
                    <w:ind w:firstLine="480"/>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5.按要求参与第三方服务单位完工后的竣工验收工作。 </w:t>
                  </w:r>
                </w:p>
                <w:p w14:paraId="0CAD23DC">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上述情况发现一次不符合的扣1分。</w:t>
                  </w:r>
                </w:p>
              </w:tc>
              <w:tc>
                <w:tcPr>
                  <w:tcW w:w="227" w:type="pct"/>
                  <w:vAlign w:val="center"/>
                </w:tcPr>
                <w:p w14:paraId="6E1EAF7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0AF40B6F">
                  <w:pPr>
                    <w:widowControl/>
                    <w:ind w:firstLine="480"/>
                    <w:jc w:val="left"/>
                    <w:rPr>
                      <w:rFonts w:ascii="宋体" w:hAnsi="宋体" w:cs="宋体"/>
                      <w:color w:val="auto"/>
                      <w:kern w:val="0"/>
                      <w:sz w:val="22"/>
                      <w:highlight w:val="none"/>
                    </w:rPr>
                  </w:pPr>
                </w:p>
              </w:tc>
              <w:tc>
                <w:tcPr>
                  <w:tcW w:w="427" w:type="pct"/>
                  <w:vAlign w:val="center"/>
                </w:tcPr>
                <w:p w14:paraId="64AF3B94">
                  <w:pPr>
                    <w:widowControl/>
                    <w:ind w:firstLine="480"/>
                    <w:jc w:val="left"/>
                    <w:rPr>
                      <w:rFonts w:ascii="宋体" w:hAnsi="宋体" w:cs="宋体"/>
                      <w:color w:val="auto"/>
                      <w:kern w:val="0"/>
                      <w:sz w:val="22"/>
                      <w:highlight w:val="none"/>
                    </w:rPr>
                  </w:pPr>
                </w:p>
              </w:tc>
            </w:tr>
            <w:tr w14:paraId="60B8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restart"/>
                  <w:vAlign w:val="center"/>
                </w:tcPr>
                <w:p w14:paraId="6BAAA6A0">
                  <w:pPr>
                    <w:jc w:val="center"/>
                    <w:rPr>
                      <w:rFonts w:ascii="宋体" w:hAnsi="宋体" w:cs="宋体"/>
                      <w:color w:val="auto"/>
                      <w:sz w:val="22"/>
                      <w:highlight w:val="none"/>
                    </w:rPr>
                  </w:pPr>
                  <w:r>
                    <w:rPr>
                      <w:rFonts w:hint="eastAsia" w:ascii="宋体" w:hAnsi="宋体" w:cs="宋体"/>
                      <w:color w:val="auto"/>
                      <w:sz w:val="22"/>
                      <w:highlight w:val="none"/>
                    </w:rPr>
                    <w:t>公寓服务</w:t>
                  </w:r>
                </w:p>
              </w:tc>
              <w:tc>
                <w:tcPr>
                  <w:tcW w:w="441" w:type="pct"/>
                  <w:vAlign w:val="center"/>
                </w:tcPr>
                <w:p w14:paraId="2138DB8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工作规范</w:t>
                  </w:r>
                </w:p>
              </w:tc>
              <w:tc>
                <w:tcPr>
                  <w:tcW w:w="3243" w:type="pct"/>
                  <w:vAlign w:val="center"/>
                </w:tcPr>
                <w:p w14:paraId="618E8538">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1.宿管人员整体服务形象良好，精神饱满。</w:t>
                  </w:r>
                </w:p>
                <w:p w14:paraId="0B0D04F5">
                  <w:pPr>
                    <w:pStyle w:val="94"/>
                    <w:ind w:left="0" w:firstLine="440" w:firstLineChars="200"/>
                    <w:rPr>
                      <w:rFonts w:ascii="宋体" w:hAnsi="宋体" w:cs="宋体"/>
                      <w:color w:val="auto"/>
                      <w:sz w:val="22"/>
                      <w:highlight w:val="none"/>
                    </w:rPr>
                  </w:pPr>
                  <w:r>
                    <w:rPr>
                      <w:rFonts w:hint="eastAsia" w:ascii="宋体" w:hAnsi="宋体" w:cs="宋体"/>
                      <w:color w:val="auto"/>
                      <w:sz w:val="22"/>
                      <w:highlight w:val="none"/>
                    </w:rPr>
                    <w:t>2.宿管人员见到师生礼貌微笑、问候；服务态度良好，不与师生发生争执，礼貌回答师生提出的问题。</w:t>
                  </w:r>
                </w:p>
                <w:p w14:paraId="15484430">
                  <w:pPr>
                    <w:ind w:firstLine="440" w:firstLineChars="200"/>
                    <w:rPr>
                      <w:rFonts w:ascii="宋体" w:hAnsi="宋体" w:cs="宋体"/>
                      <w:color w:val="auto"/>
                      <w:sz w:val="22"/>
                      <w:highlight w:val="none"/>
                    </w:rPr>
                  </w:pPr>
                  <w:r>
                    <w:rPr>
                      <w:rFonts w:hint="eastAsia" w:ascii="宋体" w:hAnsi="宋体" w:cs="宋体"/>
                      <w:color w:val="auto"/>
                      <w:sz w:val="22"/>
                      <w:highlight w:val="none"/>
                    </w:rPr>
                    <w:t>3.及时反馈住宿相关信息。</w:t>
                  </w:r>
                </w:p>
                <w:p w14:paraId="4CC33900">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上述情况发现一次不符合的扣0.5分。</w:t>
                  </w:r>
                </w:p>
              </w:tc>
              <w:tc>
                <w:tcPr>
                  <w:tcW w:w="227" w:type="pct"/>
                  <w:vAlign w:val="center"/>
                </w:tcPr>
                <w:p w14:paraId="7E158D3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3DFA5D8F">
                  <w:pPr>
                    <w:widowControl/>
                    <w:ind w:firstLine="480"/>
                    <w:jc w:val="left"/>
                    <w:rPr>
                      <w:rFonts w:ascii="宋体" w:hAnsi="宋体" w:cs="宋体"/>
                      <w:color w:val="auto"/>
                      <w:kern w:val="0"/>
                      <w:sz w:val="22"/>
                      <w:highlight w:val="none"/>
                    </w:rPr>
                  </w:pPr>
                </w:p>
              </w:tc>
              <w:tc>
                <w:tcPr>
                  <w:tcW w:w="427" w:type="pct"/>
                  <w:vAlign w:val="center"/>
                </w:tcPr>
                <w:p w14:paraId="602E497D">
                  <w:pPr>
                    <w:widowControl/>
                    <w:ind w:firstLine="480"/>
                    <w:jc w:val="left"/>
                    <w:rPr>
                      <w:rFonts w:ascii="宋体" w:hAnsi="宋体" w:cs="宋体"/>
                      <w:color w:val="auto"/>
                      <w:kern w:val="0"/>
                      <w:sz w:val="22"/>
                      <w:highlight w:val="none"/>
                    </w:rPr>
                  </w:pPr>
                </w:p>
              </w:tc>
            </w:tr>
            <w:tr w14:paraId="4311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4BF7F075">
                  <w:pPr>
                    <w:jc w:val="center"/>
                    <w:rPr>
                      <w:rFonts w:ascii="宋体" w:hAnsi="宋体" w:cs="宋体"/>
                      <w:color w:val="auto"/>
                      <w:sz w:val="22"/>
                      <w:highlight w:val="none"/>
                    </w:rPr>
                  </w:pPr>
                </w:p>
              </w:tc>
              <w:tc>
                <w:tcPr>
                  <w:tcW w:w="441" w:type="pct"/>
                  <w:vAlign w:val="center"/>
                </w:tcPr>
                <w:p w14:paraId="2D0E08C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学生公寓管理</w:t>
                  </w:r>
                </w:p>
              </w:tc>
              <w:tc>
                <w:tcPr>
                  <w:tcW w:w="3243" w:type="pct"/>
                  <w:vAlign w:val="center"/>
                </w:tcPr>
                <w:p w14:paraId="46A78FE5">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1.按要求做好学生公寓楼的值班，不得无故脱岗、缺岗、睡岗。</w:t>
                  </w:r>
                </w:p>
                <w:p w14:paraId="4FFE9456">
                  <w:pPr>
                    <w:pStyle w:val="94"/>
                    <w:ind w:left="0" w:firstLine="440" w:firstLineChars="200"/>
                    <w:rPr>
                      <w:rFonts w:ascii="宋体" w:hAnsi="宋体" w:cs="宋体"/>
                      <w:color w:val="auto"/>
                      <w:sz w:val="22"/>
                      <w:highlight w:val="none"/>
                    </w:rPr>
                  </w:pPr>
                  <w:r>
                    <w:rPr>
                      <w:rFonts w:hint="eastAsia" w:ascii="宋体" w:hAnsi="宋体" w:cs="宋体"/>
                      <w:color w:val="auto"/>
                      <w:sz w:val="22"/>
                      <w:highlight w:val="none"/>
                    </w:rPr>
                    <w:t>2.宿管员的人员识别率在90%以上。</w:t>
                  </w:r>
                </w:p>
                <w:p w14:paraId="790D9196">
                  <w:pPr>
                    <w:ind w:firstLine="440" w:firstLineChars="200"/>
                    <w:rPr>
                      <w:rFonts w:ascii="宋体" w:hAnsi="宋体" w:cs="宋体"/>
                      <w:color w:val="auto"/>
                      <w:kern w:val="0"/>
                      <w:sz w:val="22"/>
                      <w:highlight w:val="none"/>
                    </w:rPr>
                  </w:pPr>
                  <w:r>
                    <w:rPr>
                      <w:rFonts w:hint="eastAsia" w:ascii="宋体" w:hAnsi="宋体" w:cs="宋体"/>
                      <w:color w:val="auto"/>
                      <w:sz w:val="22"/>
                      <w:highlight w:val="none"/>
                    </w:rPr>
                    <w:t>3.宿管员应做好楼宇的安全管理工作，按要求巡视，并做好记录。</w:t>
                  </w:r>
                </w:p>
                <w:p w14:paraId="4D89BA23">
                  <w:pPr>
                    <w:ind w:firstLine="440" w:firstLineChars="200"/>
                    <w:rPr>
                      <w:rFonts w:ascii="宋体" w:hAnsi="宋体" w:cs="宋体"/>
                      <w:color w:val="auto"/>
                      <w:kern w:val="0"/>
                      <w:sz w:val="22"/>
                      <w:highlight w:val="none"/>
                    </w:rPr>
                  </w:pPr>
                  <w:r>
                    <w:rPr>
                      <w:rFonts w:hint="eastAsia" w:ascii="宋体" w:hAnsi="宋体" w:cs="宋体"/>
                      <w:color w:val="auto"/>
                      <w:kern w:val="0"/>
                      <w:sz w:val="22"/>
                      <w:highlight w:val="none"/>
                    </w:rPr>
                    <w:t>4.做好学生住宿、退宿以及住宿调整等的管理和服务。</w:t>
                  </w:r>
                  <w:r>
                    <w:rPr>
                      <w:rFonts w:hint="eastAsia" w:ascii="宋体" w:hAnsi="宋体" w:cs="宋体"/>
                      <w:color w:val="auto"/>
                      <w:sz w:val="22"/>
                      <w:highlight w:val="none"/>
                    </w:rPr>
                    <w:t xml:space="preserve"> </w:t>
                  </w:r>
                </w:p>
                <w:p w14:paraId="596F3F83">
                  <w:pPr>
                    <w:pStyle w:val="94"/>
                    <w:ind w:left="0" w:firstLine="440" w:firstLineChars="200"/>
                    <w:rPr>
                      <w:rFonts w:ascii="宋体" w:hAnsi="宋体" w:cs="宋体"/>
                      <w:color w:val="auto"/>
                      <w:sz w:val="22"/>
                      <w:highlight w:val="none"/>
                    </w:rPr>
                  </w:pPr>
                  <w:r>
                    <w:rPr>
                      <w:rFonts w:hint="eastAsia" w:ascii="宋体" w:hAnsi="宋体" w:cs="宋体"/>
                      <w:color w:val="auto"/>
                      <w:sz w:val="22"/>
                      <w:highlight w:val="none"/>
                    </w:rPr>
                    <w:t>5.及时更新公寓信息数据与实际情况相符。</w:t>
                  </w:r>
                </w:p>
                <w:p w14:paraId="684708ED">
                  <w:pPr>
                    <w:ind w:firstLine="440" w:firstLineChars="200"/>
                    <w:rPr>
                      <w:rFonts w:ascii="宋体" w:hAnsi="宋体" w:cs="宋体"/>
                      <w:color w:val="auto"/>
                      <w:sz w:val="22"/>
                      <w:highlight w:val="none"/>
                    </w:rPr>
                  </w:pPr>
                  <w:r>
                    <w:rPr>
                      <w:rFonts w:hint="eastAsia" w:ascii="宋体" w:hAnsi="宋体" w:cs="宋体"/>
                      <w:color w:val="auto"/>
                      <w:sz w:val="22"/>
                      <w:highlight w:val="none"/>
                    </w:rPr>
                    <w:t>6.在公寓内开展非营利性的便利服务。</w:t>
                  </w:r>
                </w:p>
                <w:p w14:paraId="27433AE8">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7.做好每年的毕业生离校，迎接新生，搬迁等专项工作。</w:t>
                  </w:r>
                </w:p>
                <w:p w14:paraId="595A5761">
                  <w:pPr>
                    <w:pStyle w:val="94"/>
                    <w:ind w:left="0" w:firstLine="440" w:firstLineChars="200"/>
                    <w:rPr>
                      <w:rFonts w:ascii="宋体" w:hAnsi="宋体" w:cs="宋体"/>
                      <w:color w:val="auto"/>
                      <w:sz w:val="22"/>
                      <w:highlight w:val="none"/>
                    </w:rPr>
                  </w:pPr>
                  <w:r>
                    <w:rPr>
                      <w:rFonts w:hint="eastAsia" w:ascii="宋体" w:hAnsi="宋体" w:cs="宋体"/>
                      <w:color w:val="auto"/>
                      <w:sz w:val="22"/>
                      <w:highlight w:val="none"/>
                    </w:rPr>
                    <w:t>8.配合校方做好少数民族以及留学生的管理。</w:t>
                  </w:r>
                </w:p>
                <w:p w14:paraId="3DE9E7EA">
                  <w:pPr>
                    <w:ind w:firstLine="480"/>
                    <w:rPr>
                      <w:rFonts w:ascii="宋体" w:hAnsi="宋体" w:cs="宋体"/>
                      <w:color w:val="auto"/>
                      <w:kern w:val="0"/>
                      <w:sz w:val="22"/>
                      <w:highlight w:val="none"/>
                    </w:rPr>
                  </w:pPr>
                  <w:r>
                    <w:rPr>
                      <w:rFonts w:hint="eastAsia" w:ascii="宋体" w:hAnsi="宋体" w:cs="宋体"/>
                      <w:color w:val="auto"/>
                      <w:kern w:val="0"/>
                      <w:sz w:val="22"/>
                      <w:highlight w:val="none"/>
                    </w:rPr>
                    <w:t>9.做好公寓楼内公共空间的管理，及时报修损坏的设施设备，无人公共区域空调灯光及时关闭。</w:t>
                  </w:r>
                </w:p>
                <w:p w14:paraId="5C76AFA5">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10. 熟悉断水断电、学生突发疾病等应急预案内容及操作流程</w:t>
                  </w:r>
                </w:p>
                <w:p w14:paraId="16A4F989">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11. 做好访客登记，禁止商贩、外卖人员等无关人员进入公寓楼</w:t>
                  </w:r>
                </w:p>
                <w:p w14:paraId="49F90733">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12. 及时配合相关部门催收住宿生拖欠的住宿费和水电费</w:t>
                  </w:r>
                </w:p>
                <w:p w14:paraId="7C26A40A">
                  <w:pPr>
                    <w:pStyle w:val="3"/>
                    <w:ind w:firstLine="440" w:firstLineChars="200"/>
                    <w:rPr>
                      <w:rFonts w:ascii="宋体" w:hAnsi="宋体" w:cs="宋体"/>
                      <w:color w:val="auto"/>
                      <w:sz w:val="22"/>
                      <w:highlight w:val="none"/>
                    </w:rPr>
                  </w:pPr>
                  <w:r>
                    <w:rPr>
                      <w:rFonts w:hint="eastAsia" w:ascii="宋体" w:hAnsi="宋体" w:cs="宋体"/>
                      <w:color w:val="auto"/>
                      <w:sz w:val="22"/>
                      <w:highlight w:val="none"/>
                    </w:rPr>
                    <w:t>13. 做好值班记录、信件收发、失物登记、管理及招领工作，各类值班台帐齐全并整洁填写</w:t>
                  </w:r>
                </w:p>
                <w:p w14:paraId="513517E7">
                  <w:pPr>
                    <w:pStyle w:val="3"/>
                    <w:rPr>
                      <w:rFonts w:ascii="宋体" w:hAnsi="宋体" w:cs="宋体"/>
                      <w:b/>
                      <w:color w:val="auto"/>
                      <w:sz w:val="22"/>
                      <w:highlight w:val="none"/>
                    </w:rPr>
                  </w:pPr>
                  <w:r>
                    <w:rPr>
                      <w:rFonts w:hint="eastAsia" w:ascii="宋体" w:hAnsi="宋体" w:cs="宋体"/>
                      <w:b/>
                      <w:color w:val="auto"/>
                      <w:sz w:val="22"/>
                      <w:highlight w:val="none"/>
                    </w:rPr>
                    <w:t>上述情况发现一次不符合的扣0.5分。</w:t>
                  </w:r>
                </w:p>
              </w:tc>
              <w:tc>
                <w:tcPr>
                  <w:tcW w:w="227" w:type="pct"/>
                  <w:vAlign w:val="center"/>
                </w:tcPr>
                <w:p w14:paraId="15883EF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340" w:type="pct"/>
                  <w:vAlign w:val="center"/>
                </w:tcPr>
                <w:p w14:paraId="5237B0A3">
                  <w:pPr>
                    <w:widowControl/>
                    <w:ind w:firstLine="480"/>
                    <w:jc w:val="left"/>
                    <w:rPr>
                      <w:rFonts w:ascii="宋体" w:hAnsi="宋体" w:cs="宋体"/>
                      <w:color w:val="auto"/>
                      <w:kern w:val="0"/>
                      <w:sz w:val="22"/>
                      <w:highlight w:val="none"/>
                    </w:rPr>
                  </w:pPr>
                </w:p>
              </w:tc>
              <w:tc>
                <w:tcPr>
                  <w:tcW w:w="427" w:type="pct"/>
                  <w:vAlign w:val="center"/>
                </w:tcPr>
                <w:p w14:paraId="6A29EFA5">
                  <w:pPr>
                    <w:widowControl/>
                    <w:ind w:firstLine="480"/>
                    <w:jc w:val="left"/>
                    <w:rPr>
                      <w:rFonts w:ascii="宋体" w:hAnsi="宋体" w:cs="宋体"/>
                      <w:color w:val="auto"/>
                      <w:kern w:val="0"/>
                      <w:sz w:val="22"/>
                      <w:highlight w:val="none"/>
                    </w:rPr>
                  </w:pPr>
                </w:p>
              </w:tc>
            </w:tr>
            <w:tr w14:paraId="148C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5BAF45BC">
                  <w:pPr>
                    <w:jc w:val="center"/>
                    <w:rPr>
                      <w:rFonts w:ascii="宋体" w:hAnsi="宋体" w:cs="宋体"/>
                      <w:color w:val="auto"/>
                      <w:sz w:val="22"/>
                      <w:highlight w:val="none"/>
                    </w:rPr>
                  </w:pPr>
                </w:p>
              </w:tc>
              <w:tc>
                <w:tcPr>
                  <w:tcW w:w="441" w:type="pct"/>
                  <w:vAlign w:val="center"/>
                </w:tcPr>
                <w:p w14:paraId="2FA0F77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配合宿舍基础文明教育、宿舍文化育人氛围营造、宿舍文化建设</w:t>
                  </w:r>
                </w:p>
              </w:tc>
              <w:tc>
                <w:tcPr>
                  <w:tcW w:w="3243" w:type="pct"/>
                  <w:vAlign w:val="center"/>
                </w:tcPr>
                <w:p w14:paraId="7EF17F8A">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1.配合公寓做好文明寝室等特色寝室的创建和养成教育工作等，按要求开展公寓文化活动，包括不限于寝室美化大赛，垃圾分类活动，节能减排等活动。</w:t>
                  </w:r>
                </w:p>
                <w:p w14:paraId="07620AB6">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2.开展公寓基础文明教育活动，按要求检查寝室卫生及安全情况，对学生的不文明行为进行引导。</w:t>
                  </w:r>
                </w:p>
                <w:p w14:paraId="1F6699EA">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3.配合开展“文明寝室”及各类先进寝室的评比活动。</w:t>
                  </w:r>
                </w:p>
                <w:p w14:paraId="29FE43BA">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4.编制服务指南，公寓手册等宣传用品。</w:t>
                  </w:r>
                </w:p>
                <w:p w14:paraId="3E4CB233">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5.开展主题宣传活动，包括不限于控烟主题，地球日主题，国庆主题，元旦主题等。</w:t>
                  </w:r>
                </w:p>
                <w:p w14:paraId="2385E735">
                  <w:pPr>
                    <w:pStyle w:val="9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6.每逢节假日须配合进行学生宿舍节日氛围布置，公寓楼的门厅、楼道等进行装饰。</w:t>
                  </w:r>
                </w:p>
                <w:p w14:paraId="632D135C">
                  <w:pPr>
                    <w:pStyle w:val="94"/>
                    <w:ind w:left="0"/>
                    <w:rPr>
                      <w:rFonts w:ascii="宋体" w:hAnsi="宋体" w:cs="宋体"/>
                      <w:color w:val="auto"/>
                      <w:sz w:val="22"/>
                      <w:highlight w:val="none"/>
                    </w:rPr>
                  </w:pPr>
                  <w:r>
                    <w:rPr>
                      <w:rFonts w:hint="eastAsia" w:ascii="宋体" w:hAnsi="宋体" w:cs="宋体"/>
                      <w:color w:val="auto"/>
                      <w:sz w:val="22"/>
                      <w:highlight w:val="none"/>
                    </w:rPr>
                    <w:t xml:space="preserve">    7.迎接新生、毕业生离校等专项活动时，进行欢迎新生的氛围营造、编制新生入住须知等材料及活动开展，毕业生文明离校的引导及活动开展。</w:t>
                  </w:r>
                </w:p>
                <w:p w14:paraId="17C89C7F">
                  <w:pPr>
                    <w:pStyle w:val="90"/>
                    <w:ind w:firstLine="442" w:firstLineChars="200"/>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上述情况发现一次不符合的扣0.5分。</w:t>
                  </w:r>
                </w:p>
              </w:tc>
              <w:tc>
                <w:tcPr>
                  <w:tcW w:w="227" w:type="pct"/>
                  <w:vAlign w:val="center"/>
                </w:tcPr>
                <w:p w14:paraId="25B483F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340" w:type="pct"/>
                  <w:vAlign w:val="center"/>
                </w:tcPr>
                <w:p w14:paraId="369A6376">
                  <w:pPr>
                    <w:widowControl/>
                    <w:ind w:firstLine="480"/>
                    <w:jc w:val="left"/>
                    <w:rPr>
                      <w:rFonts w:ascii="宋体" w:hAnsi="宋体" w:cs="宋体"/>
                      <w:color w:val="auto"/>
                      <w:kern w:val="0"/>
                      <w:sz w:val="22"/>
                      <w:highlight w:val="none"/>
                    </w:rPr>
                  </w:pPr>
                </w:p>
              </w:tc>
              <w:tc>
                <w:tcPr>
                  <w:tcW w:w="427" w:type="pct"/>
                  <w:vAlign w:val="center"/>
                </w:tcPr>
                <w:p w14:paraId="0C2D1DD0">
                  <w:pPr>
                    <w:widowControl/>
                    <w:ind w:firstLine="480"/>
                    <w:jc w:val="left"/>
                    <w:rPr>
                      <w:rFonts w:ascii="宋体" w:hAnsi="宋体" w:cs="宋体"/>
                      <w:color w:val="auto"/>
                      <w:kern w:val="0"/>
                      <w:sz w:val="22"/>
                      <w:highlight w:val="none"/>
                    </w:rPr>
                  </w:pPr>
                </w:p>
              </w:tc>
            </w:tr>
            <w:tr w14:paraId="403D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0BD2EE10">
                  <w:pPr>
                    <w:jc w:val="center"/>
                    <w:rPr>
                      <w:rFonts w:ascii="宋体" w:hAnsi="宋体" w:cs="宋体"/>
                      <w:color w:val="auto"/>
                      <w:sz w:val="22"/>
                      <w:highlight w:val="none"/>
                    </w:rPr>
                  </w:pPr>
                </w:p>
              </w:tc>
              <w:tc>
                <w:tcPr>
                  <w:tcW w:w="441" w:type="pct"/>
                  <w:vAlign w:val="center"/>
                </w:tcPr>
                <w:p w14:paraId="38A2505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教师公寓管理</w:t>
                  </w:r>
                </w:p>
              </w:tc>
              <w:tc>
                <w:tcPr>
                  <w:tcW w:w="3243" w:type="pct"/>
                  <w:vAlign w:val="center"/>
                </w:tcPr>
                <w:p w14:paraId="62004EF0">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1.提供管家式的服务。负责该楼宇内所有服务的统筹和协调，包括但不限于统筹该楼宇内的人员入住服务、维修、环境清洁、应急响应等服务。</w:t>
                  </w:r>
                </w:p>
                <w:p w14:paraId="2455DC15">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2.按要求做好教师公寓值班，不得无故脱岗、缺岗。</w:t>
                  </w:r>
                </w:p>
                <w:p w14:paraId="5B6810B2">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3.提供服务手册，确保入住人员清晰地了解教师公寓管家式服务的内容和流程。</w:t>
                  </w:r>
                </w:p>
                <w:p w14:paraId="4A615A8C">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4. 做好宿管和房务的培训工作，规范入住、退宿、布草、消毒、巡查等工作流程。</w:t>
                  </w:r>
                </w:p>
                <w:p w14:paraId="247A52C2">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5.做好住户的信息传达和沟通，按要求定期向住户征询他们的工作建议。</w:t>
                  </w:r>
                </w:p>
                <w:p w14:paraId="63076BD0">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6.办理入住和退宿手续，做好信息登记。</w:t>
                  </w:r>
                </w:p>
                <w:p w14:paraId="318016E0">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7.做好教师公寓的安全管理工作，按要求巡视，并做好记录。</w:t>
                  </w:r>
                </w:p>
                <w:p w14:paraId="08CA4DCC">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rPr>
                    <w:t>9.协助校方做好房租、住宿、水电等费用的查询和收缴工作。</w:t>
                  </w:r>
                </w:p>
                <w:p w14:paraId="4D34C6B9">
                  <w:pPr>
                    <w:pStyle w:val="90"/>
                    <w:ind w:firstLine="480"/>
                    <w:rPr>
                      <w:rFonts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10.管家的工作时间应适应教师公寓管理的需求。</w:t>
                  </w:r>
                </w:p>
                <w:p w14:paraId="5A306B7C">
                  <w:pPr>
                    <w:pStyle w:val="94"/>
                    <w:ind w:left="0" w:firstLine="480"/>
                    <w:rPr>
                      <w:rFonts w:ascii="宋体" w:hAnsi="宋体" w:cs="宋体"/>
                      <w:color w:val="auto"/>
                      <w:kern w:val="2"/>
                      <w:sz w:val="22"/>
                      <w:highlight w:val="none"/>
                    </w:rPr>
                  </w:pPr>
                  <w:r>
                    <w:rPr>
                      <w:rFonts w:hint="eastAsia" w:ascii="宋体" w:hAnsi="宋体" w:cs="宋体"/>
                      <w:color w:val="auto"/>
                      <w:kern w:val="2"/>
                      <w:sz w:val="22"/>
                      <w:highlight w:val="none"/>
                    </w:rPr>
                    <w:t>11. 做好布草物资、循环周转物资、易耗品等物品管理，台账清晰。</w:t>
                  </w:r>
                </w:p>
                <w:p w14:paraId="2FD37C58">
                  <w:pPr>
                    <w:pStyle w:val="90"/>
                    <w:ind w:firstLine="442" w:firstLineChars="200"/>
                    <w:rPr>
                      <w:rFonts w:ascii="宋体" w:hAnsi="宋体" w:eastAsia="宋体" w:cs="宋体"/>
                      <w:b/>
                      <w:color w:val="auto"/>
                      <w:kern w:val="2"/>
                      <w:sz w:val="22"/>
                      <w:szCs w:val="22"/>
                      <w:highlight w:val="none"/>
                    </w:rPr>
                  </w:pPr>
                  <w:r>
                    <w:rPr>
                      <w:rFonts w:hint="eastAsia" w:ascii="宋体" w:hAnsi="宋体" w:eastAsia="宋体" w:cs="宋体"/>
                      <w:b/>
                      <w:color w:val="auto"/>
                      <w:kern w:val="2"/>
                      <w:sz w:val="22"/>
                      <w:szCs w:val="22"/>
                      <w:highlight w:val="none"/>
                    </w:rPr>
                    <w:t>上述情况发现一次不符合的扣0.5分。</w:t>
                  </w:r>
                </w:p>
              </w:tc>
              <w:tc>
                <w:tcPr>
                  <w:tcW w:w="227" w:type="pct"/>
                  <w:vAlign w:val="center"/>
                </w:tcPr>
                <w:p w14:paraId="36F9BD2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340" w:type="pct"/>
                  <w:vAlign w:val="center"/>
                </w:tcPr>
                <w:p w14:paraId="43538C4A">
                  <w:pPr>
                    <w:ind w:left="420"/>
                    <w:jc w:val="left"/>
                    <w:rPr>
                      <w:rFonts w:ascii="宋体" w:hAnsi="宋体" w:cs="宋体"/>
                      <w:color w:val="auto"/>
                      <w:sz w:val="22"/>
                      <w:highlight w:val="none"/>
                    </w:rPr>
                  </w:pPr>
                </w:p>
              </w:tc>
              <w:tc>
                <w:tcPr>
                  <w:tcW w:w="427" w:type="pct"/>
                  <w:vAlign w:val="center"/>
                </w:tcPr>
                <w:p w14:paraId="20F9046A">
                  <w:pPr>
                    <w:ind w:left="420"/>
                    <w:rPr>
                      <w:rFonts w:ascii="宋体" w:hAnsi="宋体" w:cs="宋体"/>
                      <w:color w:val="auto"/>
                      <w:sz w:val="22"/>
                      <w:highlight w:val="none"/>
                    </w:rPr>
                  </w:pPr>
                </w:p>
              </w:tc>
            </w:tr>
            <w:tr w14:paraId="0218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restart"/>
                  <w:vAlign w:val="center"/>
                </w:tcPr>
                <w:p w14:paraId="41E3553E">
                  <w:pPr>
                    <w:jc w:val="center"/>
                    <w:rPr>
                      <w:rFonts w:ascii="宋体" w:hAnsi="宋体" w:cs="宋体"/>
                      <w:color w:val="auto"/>
                      <w:sz w:val="22"/>
                      <w:highlight w:val="none"/>
                    </w:rPr>
                  </w:pPr>
                  <w:r>
                    <w:rPr>
                      <w:rFonts w:hint="eastAsia" w:ascii="宋体" w:hAnsi="宋体" w:cs="宋体"/>
                      <w:color w:val="auto"/>
                      <w:sz w:val="22"/>
                      <w:highlight w:val="none"/>
                    </w:rPr>
                    <w:t>其他</w:t>
                  </w:r>
                </w:p>
              </w:tc>
              <w:tc>
                <w:tcPr>
                  <w:tcW w:w="441" w:type="pct"/>
                  <w:vAlign w:val="center"/>
                </w:tcPr>
                <w:p w14:paraId="4DE127AA">
                  <w:pPr>
                    <w:widowControl/>
                    <w:jc w:val="center"/>
                    <w:rPr>
                      <w:rFonts w:ascii="宋体" w:hAnsi="宋体" w:cs="宋体"/>
                      <w:color w:val="auto"/>
                      <w:kern w:val="0"/>
                      <w:sz w:val="22"/>
                      <w:highlight w:val="none"/>
                    </w:rPr>
                  </w:pPr>
                  <w:r>
                    <w:rPr>
                      <w:rFonts w:hint="eastAsia" w:ascii="宋体" w:hAnsi="宋体" w:cs="宋体"/>
                      <w:color w:val="auto"/>
                      <w:sz w:val="22"/>
                      <w:highlight w:val="none"/>
                      <w:lang w:bidi="ar"/>
                    </w:rPr>
                    <w:t>后勤信息化服务</w:t>
                  </w:r>
                </w:p>
              </w:tc>
              <w:tc>
                <w:tcPr>
                  <w:tcW w:w="3243" w:type="pct"/>
                  <w:vAlign w:val="center"/>
                </w:tcPr>
                <w:p w14:paraId="17779583">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lang w:bidi="ar"/>
                    </w:rPr>
                    <w:t>对信息化平台的运行数据，定时进行统计分析，包括系统运行状况、工单完成率、故障处理情况、服务满意度等方面的数据和分析，每月提交使用报告，提出优化方案建议；</w:t>
                  </w:r>
                </w:p>
                <w:p w14:paraId="5BB30917">
                  <w:pPr>
                    <w:widowControl/>
                    <w:jc w:val="left"/>
                    <w:rPr>
                      <w:rFonts w:ascii="宋体" w:hAnsi="宋体" w:cs="宋体"/>
                      <w:color w:val="auto"/>
                      <w:sz w:val="22"/>
                      <w:highlight w:val="none"/>
                    </w:rPr>
                  </w:pPr>
                  <w:r>
                    <w:rPr>
                      <w:rFonts w:hint="eastAsia" w:ascii="宋体" w:hAnsi="宋体" w:cs="宋体"/>
                      <w:b/>
                      <w:color w:val="auto"/>
                      <w:sz w:val="22"/>
                      <w:highlight w:val="none"/>
                      <w:lang w:bidi="ar"/>
                    </w:rPr>
                    <w:t>上述情况发现一次不符合的扣0.5分。</w:t>
                  </w:r>
                  <w:r>
                    <w:rPr>
                      <w:rFonts w:hint="eastAsia" w:ascii="宋体" w:hAnsi="宋体" w:cs="宋体"/>
                      <w:color w:val="auto"/>
                      <w:sz w:val="22"/>
                      <w:highlight w:val="none"/>
                      <w:lang w:bidi="ar"/>
                    </w:rPr>
                    <w:t xml:space="preserve"> </w:t>
                  </w:r>
                </w:p>
                <w:p w14:paraId="117103A7">
                  <w:pPr>
                    <w:pStyle w:val="90"/>
                    <w:ind w:firstLine="420"/>
                    <w:rPr>
                      <w:rFonts w:ascii="宋体" w:hAnsi="宋体" w:eastAsia="宋体" w:cs="宋体"/>
                      <w:b/>
                      <w:color w:val="auto"/>
                      <w:kern w:val="2"/>
                      <w:sz w:val="22"/>
                      <w:szCs w:val="22"/>
                      <w:highlight w:val="none"/>
                    </w:rPr>
                  </w:pPr>
                </w:p>
              </w:tc>
              <w:tc>
                <w:tcPr>
                  <w:tcW w:w="227" w:type="pct"/>
                  <w:vAlign w:val="center"/>
                </w:tcPr>
                <w:p w14:paraId="2C8C9D6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575C19D7">
                  <w:pPr>
                    <w:ind w:left="420"/>
                    <w:jc w:val="left"/>
                    <w:rPr>
                      <w:rFonts w:ascii="宋体" w:hAnsi="宋体" w:cs="宋体"/>
                      <w:color w:val="auto"/>
                      <w:sz w:val="22"/>
                      <w:highlight w:val="none"/>
                    </w:rPr>
                  </w:pPr>
                </w:p>
              </w:tc>
              <w:tc>
                <w:tcPr>
                  <w:tcW w:w="427" w:type="pct"/>
                  <w:vAlign w:val="center"/>
                </w:tcPr>
                <w:p w14:paraId="7BC61B7E">
                  <w:pPr>
                    <w:ind w:left="420"/>
                    <w:rPr>
                      <w:rFonts w:ascii="宋体" w:hAnsi="宋体" w:cs="宋体"/>
                      <w:color w:val="auto"/>
                      <w:sz w:val="22"/>
                      <w:highlight w:val="none"/>
                    </w:rPr>
                  </w:pPr>
                </w:p>
              </w:tc>
            </w:tr>
            <w:tr w14:paraId="7119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7B451E32">
                  <w:pPr>
                    <w:jc w:val="center"/>
                    <w:rPr>
                      <w:rFonts w:ascii="宋体" w:hAnsi="宋体" w:cs="宋体"/>
                      <w:color w:val="auto"/>
                      <w:sz w:val="22"/>
                      <w:highlight w:val="none"/>
                    </w:rPr>
                  </w:pPr>
                </w:p>
              </w:tc>
              <w:tc>
                <w:tcPr>
                  <w:tcW w:w="441" w:type="pct"/>
                  <w:vAlign w:val="center"/>
                </w:tcPr>
                <w:p w14:paraId="0AF268CC">
                  <w:pPr>
                    <w:widowControl/>
                    <w:jc w:val="center"/>
                    <w:rPr>
                      <w:rFonts w:ascii="宋体" w:hAnsi="宋体" w:cs="宋体"/>
                      <w:color w:val="auto"/>
                      <w:kern w:val="0"/>
                      <w:sz w:val="22"/>
                      <w:highlight w:val="none"/>
                    </w:rPr>
                  </w:pPr>
                  <w:r>
                    <w:rPr>
                      <w:rFonts w:hint="eastAsia" w:ascii="宋体" w:hAnsi="宋体" w:cs="宋体"/>
                      <w:color w:val="auto"/>
                      <w:sz w:val="22"/>
                      <w:highlight w:val="none"/>
                      <w:lang w:bidi="ar"/>
                    </w:rPr>
                    <w:t>节能服务</w:t>
                  </w:r>
                </w:p>
              </w:tc>
              <w:tc>
                <w:tcPr>
                  <w:tcW w:w="3243" w:type="pct"/>
                  <w:vAlign w:val="center"/>
                </w:tcPr>
                <w:p w14:paraId="67208FED">
                  <w:pPr>
                    <w:ind w:firstLine="480"/>
                    <w:rPr>
                      <w:rFonts w:ascii="宋体" w:hAnsi="宋体" w:cs="宋体"/>
                      <w:color w:val="auto"/>
                      <w:sz w:val="22"/>
                      <w:highlight w:val="none"/>
                    </w:rPr>
                  </w:pPr>
                  <w:r>
                    <w:rPr>
                      <w:rFonts w:hint="eastAsia" w:ascii="宋体" w:hAnsi="宋体" w:cs="宋体"/>
                      <w:color w:val="auto"/>
                      <w:sz w:val="22"/>
                      <w:highlight w:val="none"/>
                      <w:lang w:bidi="ar"/>
                    </w:rPr>
                    <w:t>1.根据学校节能要求和相关规定，加强节能减排的巡视力度，对公共部位出现常明灯和常流水现象进行处理。</w:t>
                  </w:r>
                </w:p>
                <w:p w14:paraId="101C647D">
                  <w:pPr>
                    <w:ind w:firstLine="480"/>
                    <w:rPr>
                      <w:rFonts w:ascii="宋体" w:hAnsi="宋体" w:cs="宋体"/>
                      <w:color w:val="auto"/>
                      <w:sz w:val="22"/>
                      <w:highlight w:val="none"/>
                    </w:rPr>
                  </w:pPr>
                  <w:r>
                    <w:rPr>
                      <w:rFonts w:hint="eastAsia" w:ascii="宋体" w:hAnsi="宋体" w:cs="宋体"/>
                      <w:color w:val="auto"/>
                      <w:sz w:val="22"/>
                      <w:highlight w:val="none"/>
                      <w:lang w:bidi="ar"/>
                    </w:rPr>
                    <w:t>2.在楼内开展节能宣传，倡导师生节约水电。</w:t>
                  </w:r>
                </w:p>
                <w:p w14:paraId="755D54FD">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lang w:bidi="ar"/>
                    </w:rPr>
                    <w:t>3.建立楼宇节能台账。</w:t>
                  </w:r>
                </w:p>
                <w:p w14:paraId="4232AAB5">
                  <w:pPr>
                    <w:widowControl/>
                    <w:jc w:val="left"/>
                    <w:rPr>
                      <w:rFonts w:ascii="宋体" w:hAnsi="宋体" w:cs="宋体"/>
                      <w:color w:val="auto"/>
                      <w:sz w:val="22"/>
                      <w:highlight w:val="none"/>
                    </w:rPr>
                  </w:pPr>
                  <w:r>
                    <w:rPr>
                      <w:rFonts w:hint="eastAsia" w:ascii="宋体" w:hAnsi="宋体" w:cs="宋体"/>
                      <w:b/>
                      <w:color w:val="auto"/>
                      <w:sz w:val="22"/>
                      <w:highlight w:val="none"/>
                      <w:lang w:bidi="ar"/>
                    </w:rPr>
                    <w:t>上述情况发现一次不符合的扣0.5分。</w:t>
                  </w:r>
                  <w:r>
                    <w:rPr>
                      <w:rFonts w:hint="eastAsia" w:ascii="宋体" w:hAnsi="宋体" w:cs="宋体"/>
                      <w:color w:val="auto"/>
                      <w:sz w:val="22"/>
                      <w:highlight w:val="none"/>
                      <w:lang w:bidi="ar"/>
                    </w:rPr>
                    <w:t xml:space="preserve"> </w:t>
                  </w:r>
                </w:p>
                <w:p w14:paraId="5E3DFD97">
                  <w:pPr>
                    <w:pStyle w:val="90"/>
                    <w:ind w:firstLine="420"/>
                    <w:rPr>
                      <w:rFonts w:ascii="宋体" w:hAnsi="宋体" w:eastAsia="宋体" w:cs="宋体"/>
                      <w:b/>
                      <w:color w:val="auto"/>
                      <w:kern w:val="2"/>
                      <w:sz w:val="22"/>
                      <w:szCs w:val="22"/>
                      <w:highlight w:val="none"/>
                    </w:rPr>
                  </w:pPr>
                </w:p>
              </w:tc>
              <w:tc>
                <w:tcPr>
                  <w:tcW w:w="227" w:type="pct"/>
                  <w:vAlign w:val="center"/>
                </w:tcPr>
                <w:p w14:paraId="0C8B289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40" w:type="pct"/>
                  <w:vAlign w:val="center"/>
                </w:tcPr>
                <w:p w14:paraId="5F9910AD">
                  <w:pPr>
                    <w:ind w:left="420"/>
                    <w:jc w:val="left"/>
                    <w:rPr>
                      <w:rFonts w:ascii="宋体" w:hAnsi="宋体" w:cs="宋体"/>
                      <w:color w:val="auto"/>
                      <w:sz w:val="22"/>
                      <w:highlight w:val="none"/>
                    </w:rPr>
                  </w:pPr>
                </w:p>
              </w:tc>
              <w:tc>
                <w:tcPr>
                  <w:tcW w:w="427" w:type="pct"/>
                  <w:vAlign w:val="center"/>
                </w:tcPr>
                <w:p w14:paraId="33B12D3E">
                  <w:pPr>
                    <w:ind w:left="420"/>
                    <w:rPr>
                      <w:rFonts w:ascii="宋体" w:hAnsi="宋体" w:cs="宋体"/>
                      <w:color w:val="auto"/>
                      <w:sz w:val="22"/>
                      <w:highlight w:val="none"/>
                    </w:rPr>
                  </w:pPr>
                </w:p>
              </w:tc>
            </w:tr>
            <w:tr w14:paraId="6852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Merge w:val="continue"/>
                  <w:vAlign w:val="center"/>
                </w:tcPr>
                <w:p w14:paraId="22D6EA1B">
                  <w:pPr>
                    <w:jc w:val="center"/>
                    <w:rPr>
                      <w:rFonts w:ascii="宋体" w:hAnsi="宋体" w:cs="宋体"/>
                      <w:color w:val="auto"/>
                      <w:sz w:val="22"/>
                      <w:highlight w:val="none"/>
                    </w:rPr>
                  </w:pPr>
                </w:p>
              </w:tc>
              <w:tc>
                <w:tcPr>
                  <w:tcW w:w="441" w:type="pct"/>
                  <w:vAlign w:val="center"/>
                </w:tcPr>
                <w:p w14:paraId="5C87908C">
                  <w:pPr>
                    <w:widowControl/>
                    <w:jc w:val="center"/>
                    <w:rPr>
                      <w:rFonts w:ascii="宋体" w:hAnsi="宋体" w:cs="宋体"/>
                      <w:color w:val="auto"/>
                      <w:kern w:val="0"/>
                      <w:sz w:val="22"/>
                      <w:highlight w:val="none"/>
                    </w:rPr>
                  </w:pPr>
                  <w:r>
                    <w:rPr>
                      <w:rFonts w:hint="eastAsia" w:ascii="宋体" w:hAnsi="宋体" w:cs="宋体"/>
                      <w:color w:val="auto"/>
                      <w:sz w:val="22"/>
                      <w:highlight w:val="none"/>
                      <w:lang w:bidi="ar"/>
                    </w:rPr>
                    <w:t>资产服务</w:t>
                  </w:r>
                </w:p>
              </w:tc>
              <w:tc>
                <w:tcPr>
                  <w:tcW w:w="3243" w:type="pct"/>
                  <w:vAlign w:val="center"/>
                </w:tcPr>
                <w:p w14:paraId="2CD39506">
                  <w:pPr>
                    <w:pStyle w:val="26"/>
                    <w:widowControl w:val="0"/>
                    <w:spacing w:before="0" w:beforeAutospacing="0" w:after="0" w:afterAutospacing="0"/>
                    <w:ind w:firstLine="480"/>
                    <w:jc w:val="both"/>
                    <w:rPr>
                      <w:color w:val="auto"/>
                      <w:sz w:val="22"/>
                      <w:highlight w:val="none"/>
                    </w:rPr>
                  </w:pPr>
                  <w:r>
                    <w:rPr>
                      <w:rFonts w:hint="eastAsia"/>
                      <w:color w:val="auto"/>
                      <w:kern w:val="2"/>
                      <w:sz w:val="22"/>
                      <w:highlight w:val="none"/>
                      <w:lang w:bidi="ar"/>
                    </w:rPr>
                    <w:t>1.协助学校相关部门做好楼宇房屋信息整理建档。</w:t>
                  </w:r>
                </w:p>
                <w:p w14:paraId="30117D8F">
                  <w:pPr>
                    <w:pStyle w:val="26"/>
                    <w:widowControl w:val="0"/>
                    <w:spacing w:before="0" w:beforeAutospacing="0" w:after="0" w:afterAutospacing="0"/>
                    <w:ind w:firstLine="480"/>
                    <w:jc w:val="both"/>
                    <w:rPr>
                      <w:color w:val="auto"/>
                      <w:sz w:val="22"/>
                      <w:highlight w:val="none"/>
                    </w:rPr>
                  </w:pPr>
                  <w:r>
                    <w:rPr>
                      <w:rFonts w:hint="eastAsia"/>
                      <w:color w:val="auto"/>
                      <w:kern w:val="2"/>
                      <w:sz w:val="22"/>
                      <w:highlight w:val="none"/>
                      <w:lang w:bidi="ar"/>
                    </w:rPr>
                    <w:t>2.对所有房屋（包括暂不启用的精装修区域和毛坯房区域）定期巡视，及时反馈信息，确保校园安全。</w:t>
                  </w:r>
                </w:p>
                <w:p w14:paraId="5D99769A">
                  <w:pPr>
                    <w:tabs>
                      <w:tab w:val="left" w:pos="0"/>
                    </w:tabs>
                    <w:adjustRightInd w:val="0"/>
                    <w:snapToGrid w:val="0"/>
                    <w:ind w:firstLine="480"/>
                    <w:rPr>
                      <w:rFonts w:ascii="宋体" w:hAnsi="宋体" w:cs="宋体"/>
                      <w:color w:val="auto"/>
                      <w:sz w:val="22"/>
                      <w:highlight w:val="none"/>
                    </w:rPr>
                  </w:pPr>
                  <w:r>
                    <w:rPr>
                      <w:rFonts w:hint="eastAsia" w:ascii="宋体" w:hAnsi="宋体" w:cs="宋体"/>
                      <w:color w:val="auto"/>
                      <w:sz w:val="22"/>
                      <w:highlight w:val="none"/>
                      <w:lang w:bidi="ar"/>
                    </w:rPr>
                    <w:t>3.定期对家具及设施情况进行巡查，对损坏情况及时反馈并跟踪维修进展。保证家具和设施的定点定位工作，未经采购人同意不准随意更换家具设施的位置。配合采购人做好家具、设备现场安装工作。</w:t>
                  </w:r>
                </w:p>
                <w:p w14:paraId="3AC67D11">
                  <w:pPr>
                    <w:widowControl/>
                    <w:jc w:val="left"/>
                    <w:rPr>
                      <w:rFonts w:ascii="宋体" w:hAnsi="宋体" w:cs="宋体"/>
                      <w:color w:val="auto"/>
                      <w:sz w:val="22"/>
                      <w:highlight w:val="none"/>
                    </w:rPr>
                  </w:pPr>
                  <w:r>
                    <w:rPr>
                      <w:rFonts w:hint="eastAsia" w:ascii="宋体" w:hAnsi="宋体" w:cs="宋体"/>
                      <w:b/>
                      <w:color w:val="auto"/>
                      <w:sz w:val="22"/>
                      <w:highlight w:val="none"/>
                      <w:lang w:bidi="ar"/>
                    </w:rPr>
                    <w:t>上述情况发现一次不符合的扣0.5分。</w:t>
                  </w:r>
                  <w:r>
                    <w:rPr>
                      <w:rFonts w:hint="eastAsia" w:ascii="宋体" w:hAnsi="宋体" w:cs="宋体"/>
                      <w:color w:val="auto"/>
                      <w:sz w:val="22"/>
                      <w:highlight w:val="none"/>
                      <w:lang w:bidi="ar"/>
                    </w:rPr>
                    <w:t xml:space="preserve"> </w:t>
                  </w:r>
                </w:p>
                <w:p w14:paraId="6AA70BD8">
                  <w:pPr>
                    <w:pStyle w:val="90"/>
                    <w:ind w:firstLine="420"/>
                    <w:rPr>
                      <w:rFonts w:ascii="宋体" w:hAnsi="宋体" w:eastAsia="宋体" w:cs="宋体"/>
                      <w:b/>
                      <w:color w:val="auto"/>
                      <w:kern w:val="2"/>
                      <w:sz w:val="22"/>
                      <w:szCs w:val="22"/>
                      <w:highlight w:val="none"/>
                    </w:rPr>
                  </w:pPr>
                </w:p>
              </w:tc>
              <w:tc>
                <w:tcPr>
                  <w:tcW w:w="227" w:type="pct"/>
                  <w:vAlign w:val="center"/>
                </w:tcPr>
                <w:p w14:paraId="1EDCBAD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0B571A14">
                  <w:pPr>
                    <w:ind w:left="420"/>
                    <w:jc w:val="left"/>
                    <w:rPr>
                      <w:rFonts w:ascii="宋体" w:hAnsi="宋体" w:cs="宋体"/>
                      <w:color w:val="auto"/>
                      <w:sz w:val="22"/>
                      <w:highlight w:val="none"/>
                    </w:rPr>
                  </w:pPr>
                </w:p>
              </w:tc>
              <w:tc>
                <w:tcPr>
                  <w:tcW w:w="427" w:type="pct"/>
                  <w:vAlign w:val="center"/>
                </w:tcPr>
                <w:p w14:paraId="46CCB5F9">
                  <w:pPr>
                    <w:ind w:left="420"/>
                    <w:rPr>
                      <w:rFonts w:ascii="宋体" w:hAnsi="宋体" w:cs="宋体"/>
                      <w:color w:val="auto"/>
                      <w:sz w:val="22"/>
                      <w:highlight w:val="none"/>
                    </w:rPr>
                  </w:pPr>
                </w:p>
              </w:tc>
            </w:tr>
            <w:tr w14:paraId="2BEB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1" w:hRule="atLeast"/>
                <w:jc w:val="center"/>
              </w:trPr>
              <w:tc>
                <w:tcPr>
                  <w:tcW w:w="319" w:type="pct"/>
                  <w:vAlign w:val="center"/>
                </w:tcPr>
                <w:p w14:paraId="151AA680">
                  <w:pPr>
                    <w:jc w:val="center"/>
                    <w:rPr>
                      <w:rFonts w:ascii="宋体" w:hAnsi="宋体" w:cs="宋体"/>
                      <w:color w:val="auto"/>
                      <w:sz w:val="22"/>
                      <w:highlight w:val="none"/>
                    </w:rPr>
                  </w:pPr>
                </w:p>
              </w:tc>
              <w:tc>
                <w:tcPr>
                  <w:tcW w:w="441" w:type="pct"/>
                  <w:vAlign w:val="center"/>
                </w:tcPr>
                <w:p w14:paraId="386A4C46">
                  <w:pPr>
                    <w:widowControl/>
                    <w:jc w:val="center"/>
                    <w:rPr>
                      <w:rFonts w:ascii="宋体" w:hAnsi="宋体" w:cs="宋体"/>
                      <w:color w:val="auto"/>
                      <w:sz w:val="22"/>
                      <w:highlight w:val="none"/>
                      <w:lang w:bidi="ar"/>
                    </w:rPr>
                  </w:pPr>
                  <w:r>
                    <w:rPr>
                      <w:rFonts w:hint="eastAsia" w:ascii="宋体" w:hAnsi="宋体" w:cs="宋体"/>
                      <w:color w:val="auto"/>
                      <w:sz w:val="22"/>
                      <w:highlight w:val="none"/>
                      <w:lang w:bidi="ar"/>
                    </w:rPr>
                    <w:t>搬运服务</w:t>
                  </w:r>
                </w:p>
              </w:tc>
              <w:tc>
                <w:tcPr>
                  <w:tcW w:w="3243" w:type="pct"/>
                  <w:vAlign w:val="center"/>
                </w:tcPr>
                <w:p w14:paraId="692F1F16">
                  <w:pPr>
                    <w:pStyle w:val="26"/>
                    <w:widowControl w:val="0"/>
                    <w:numPr>
                      <w:ilvl w:val="0"/>
                      <w:numId w:val="26"/>
                    </w:numPr>
                    <w:shd w:val="clear" w:color="auto" w:fill="FFFFFF"/>
                    <w:spacing w:before="0" w:beforeAutospacing="0" w:after="0" w:afterAutospacing="0"/>
                    <w:ind w:firstLine="480"/>
                    <w:jc w:val="both"/>
                    <w:rPr>
                      <w:color w:val="auto"/>
                      <w:kern w:val="2"/>
                      <w:sz w:val="22"/>
                      <w:highlight w:val="none"/>
                      <w:lang w:bidi="ar"/>
                    </w:rPr>
                  </w:pPr>
                  <w:r>
                    <w:rPr>
                      <w:rFonts w:hint="eastAsia"/>
                      <w:color w:val="auto"/>
                      <w:kern w:val="2"/>
                      <w:sz w:val="22"/>
                      <w:highlight w:val="none"/>
                      <w:lang w:bidi="ar"/>
                    </w:rPr>
                    <w:t>日常搬运需求应在接到通知后2小时内到场响应，4小时内完成基础搬运任务；</w:t>
                  </w:r>
                </w:p>
                <w:p w14:paraId="5C2877C7">
                  <w:pPr>
                    <w:pStyle w:val="26"/>
                    <w:widowControl w:val="0"/>
                    <w:numPr>
                      <w:ilvl w:val="0"/>
                      <w:numId w:val="26"/>
                    </w:numPr>
                    <w:shd w:val="clear" w:color="auto" w:fill="FFFFFF"/>
                    <w:spacing w:before="0" w:beforeAutospacing="0" w:after="0" w:afterAutospacing="0"/>
                    <w:ind w:firstLine="480"/>
                    <w:jc w:val="both"/>
                    <w:rPr>
                      <w:color w:val="auto"/>
                      <w:kern w:val="2"/>
                      <w:sz w:val="22"/>
                      <w:highlight w:val="none"/>
                      <w:lang w:bidi="ar"/>
                    </w:rPr>
                  </w:pPr>
                  <w:r>
                    <w:rPr>
                      <w:rFonts w:hint="eastAsia"/>
                      <w:color w:val="auto"/>
                      <w:kern w:val="2"/>
                      <w:sz w:val="22"/>
                      <w:highlight w:val="none"/>
                      <w:lang w:bidi="ar"/>
                    </w:rPr>
                    <w:t>紧急搬运需30分钟内响应；</w:t>
                  </w:r>
                </w:p>
                <w:p w14:paraId="5F4FF170">
                  <w:pPr>
                    <w:pStyle w:val="26"/>
                    <w:widowControl w:val="0"/>
                    <w:numPr>
                      <w:ilvl w:val="0"/>
                      <w:numId w:val="26"/>
                    </w:numPr>
                    <w:shd w:val="clear" w:color="auto" w:fill="FFFFFF"/>
                    <w:spacing w:before="0" w:beforeAutospacing="0" w:after="0" w:afterAutospacing="0"/>
                    <w:ind w:firstLine="480"/>
                    <w:jc w:val="both"/>
                    <w:rPr>
                      <w:color w:val="auto"/>
                      <w:kern w:val="2"/>
                      <w:sz w:val="22"/>
                      <w:highlight w:val="none"/>
                      <w:lang w:bidi="ar"/>
                    </w:rPr>
                  </w:pPr>
                  <w:r>
                    <w:rPr>
                      <w:rFonts w:hint="eastAsia"/>
                      <w:color w:val="auto"/>
                      <w:kern w:val="2"/>
                      <w:sz w:val="22"/>
                      <w:highlight w:val="none"/>
                      <w:lang w:bidi="ar"/>
                    </w:rPr>
                    <w:t>大宗物品（如档案柜、课桌椅）禁止地面拖拽；</w:t>
                  </w:r>
                </w:p>
                <w:p w14:paraId="6E36C8C5">
                  <w:pPr>
                    <w:pStyle w:val="26"/>
                    <w:widowControl w:val="0"/>
                    <w:numPr>
                      <w:ilvl w:val="0"/>
                      <w:numId w:val="26"/>
                    </w:numPr>
                    <w:shd w:val="clear" w:color="auto" w:fill="FFFFFF"/>
                    <w:spacing w:before="0" w:beforeAutospacing="0" w:after="0" w:afterAutospacing="0"/>
                    <w:ind w:firstLine="480"/>
                    <w:jc w:val="both"/>
                    <w:rPr>
                      <w:color w:val="auto"/>
                      <w:kern w:val="2"/>
                      <w:sz w:val="22"/>
                      <w:highlight w:val="none"/>
                      <w:lang w:bidi="ar"/>
                    </w:rPr>
                  </w:pPr>
                  <w:r>
                    <w:rPr>
                      <w:rFonts w:hint="eastAsia"/>
                      <w:color w:val="auto"/>
                      <w:kern w:val="2"/>
                      <w:sz w:val="22"/>
                      <w:highlight w:val="none"/>
                      <w:lang w:bidi="ar"/>
                    </w:rPr>
                    <w:t>搬运过程零事故：人员需佩戴安全护具，大型搬运设置警戒标识；</w:t>
                  </w:r>
                </w:p>
                <w:p w14:paraId="33971719">
                  <w:pPr>
                    <w:pStyle w:val="26"/>
                    <w:widowControl w:val="0"/>
                    <w:numPr>
                      <w:ilvl w:val="0"/>
                      <w:numId w:val="26"/>
                    </w:numPr>
                    <w:shd w:val="clear" w:color="auto" w:fill="FFFFFF"/>
                    <w:spacing w:before="0" w:beforeAutospacing="0" w:after="0" w:afterAutospacing="0"/>
                    <w:ind w:firstLine="480"/>
                    <w:jc w:val="both"/>
                    <w:rPr>
                      <w:color w:val="auto"/>
                      <w:kern w:val="2"/>
                      <w:sz w:val="22"/>
                      <w:highlight w:val="none"/>
                      <w:lang w:bidi="ar"/>
                    </w:rPr>
                  </w:pPr>
                  <w:r>
                    <w:rPr>
                      <w:rFonts w:hint="eastAsia"/>
                      <w:color w:val="auto"/>
                      <w:kern w:val="2"/>
                      <w:sz w:val="22"/>
                      <w:highlight w:val="none"/>
                      <w:lang w:bidi="ar"/>
                    </w:rPr>
                    <w:t>开学/毕业季集中搬迁，需提前7天制定分流预案，保障运输能力；；</w:t>
                  </w:r>
                </w:p>
                <w:p w14:paraId="174E0FB7">
                  <w:pPr>
                    <w:pStyle w:val="26"/>
                    <w:widowControl w:val="0"/>
                    <w:numPr>
                      <w:ilvl w:val="0"/>
                      <w:numId w:val="26"/>
                    </w:numPr>
                    <w:shd w:val="clear" w:color="auto" w:fill="FFFFFF"/>
                    <w:spacing w:before="0" w:beforeAutospacing="0" w:after="0" w:afterAutospacing="0"/>
                    <w:ind w:firstLine="480"/>
                    <w:jc w:val="both"/>
                    <w:rPr>
                      <w:color w:val="auto"/>
                      <w:kern w:val="2"/>
                      <w:sz w:val="22"/>
                      <w:highlight w:val="none"/>
                      <w:lang w:bidi="ar"/>
                    </w:rPr>
                  </w:pPr>
                  <w:r>
                    <w:rPr>
                      <w:rFonts w:hint="eastAsia"/>
                      <w:color w:val="auto"/>
                      <w:kern w:val="2"/>
                      <w:sz w:val="22"/>
                      <w:highlight w:val="none"/>
                      <w:lang w:bidi="ar"/>
                    </w:rPr>
                    <w:t>配合大型活动（如学术会议、考试）时，夜间/节假日提供24小时值班小组</w:t>
                  </w:r>
                </w:p>
                <w:p w14:paraId="6611FC6A">
                  <w:pPr>
                    <w:widowControl/>
                    <w:jc w:val="left"/>
                    <w:rPr>
                      <w:rFonts w:ascii="宋体" w:hAnsi="宋体" w:cs="宋体"/>
                      <w:color w:val="auto"/>
                      <w:sz w:val="22"/>
                      <w:highlight w:val="none"/>
                      <w:lang w:bidi="ar"/>
                    </w:rPr>
                  </w:pPr>
                  <w:r>
                    <w:rPr>
                      <w:rFonts w:hint="eastAsia" w:ascii="宋体" w:hAnsi="宋体" w:cs="宋体"/>
                      <w:color w:val="auto"/>
                      <w:sz w:val="22"/>
                      <w:highlight w:val="none"/>
                      <w:lang w:bidi="ar"/>
                    </w:rPr>
                    <w:t xml:space="preserve">上述情况发现一次不符合的扣0.2分。 </w:t>
                  </w:r>
                </w:p>
              </w:tc>
              <w:tc>
                <w:tcPr>
                  <w:tcW w:w="227" w:type="pct"/>
                  <w:vAlign w:val="center"/>
                </w:tcPr>
                <w:p w14:paraId="6120FE9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340" w:type="pct"/>
                  <w:vAlign w:val="center"/>
                </w:tcPr>
                <w:p w14:paraId="47A61FB6">
                  <w:pPr>
                    <w:ind w:left="420"/>
                    <w:jc w:val="left"/>
                    <w:rPr>
                      <w:rFonts w:ascii="宋体" w:hAnsi="宋体" w:cs="宋体"/>
                      <w:color w:val="auto"/>
                      <w:sz w:val="22"/>
                      <w:highlight w:val="none"/>
                    </w:rPr>
                  </w:pPr>
                </w:p>
              </w:tc>
              <w:tc>
                <w:tcPr>
                  <w:tcW w:w="427" w:type="pct"/>
                  <w:vAlign w:val="center"/>
                </w:tcPr>
                <w:p w14:paraId="58A19080">
                  <w:pPr>
                    <w:ind w:left="420"/>
                    <w:rPr>
                      <w:rFonts w:ascii="宋体" w:hAnsi="宋体" w:cs="宋体"/>
                      <w:color w:val="auto"/>
                      <w:sz w:val="22"/>
                      <w:highlight w:val="none"/>
                    </w:rPr>
                  </w:pPr>
                </w:p>
              </w:tc>
            </w:tr>
            <w:tr w14:paraId="2834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Align w:val="center"/>
                </w:tcPr>
                <w:p w14:paraId="27BDDF37">
                  <w:pPr>
                    <w:jc w:val="center"/>
                    <w:rPr>
                      <w:rFonts w:ascii="宋体" w:hAnsi="宋体" w:cs="宋体"/>
                      <w:color w:val="auto"/>
                      <w:sz w:val="22"/>
                      <w:highlight w:val="none"/>
                    </w:rPr>
                  </w:pPr>
                </w:p>
              </w:tc>
              <w:tc>
                <w:tcPr>
                  <w:tcW w:w="441" w:type="pct"/>
                  <w:vAlign w:val="center"/>
                </w:tcPr>
                <w:p w14:paraId="6C08DCA8">
                  <w:pPr>
                    <w:widowControl/>
                    <w:jc w:val="center"/>
                    <w:rPr>
                      <w:rFonts w:ascii="宋体" w:hAnsi="宋体" w:cs="宋体"/>
                      <w:color w:val="auto"/>
                      <w:sz w:val="22"/>
                      <w:highlight w:val="none"/>
                      <w:lang w:bidi="ar"/>
                    </w:rPr>
                  </w:pPr>
                  <w:r>
                    <w:rPr>
                      <w:rFonts w:hint="eastAsia" w:ascii="宋体" w:hAnsi="宋体" w:cs="宋体"/>
                      <w:color w:val="auto"/>
                      <w:sz w:val="22"/>
                      <w:highlight w:val="none"/>
                    </w:rPr>
                    <w:t>水箱清洗和饮水机管理服务</w:t>
                  </w:r>
                </w:p>
              </w:tc>
              <w:tc>
                <w:tcPr>
                  <w:tcW w:w="3243" w:type="pct"/>
                  <w:vAlign w:val="center"/>
                </w:tcPr>
                <w:p w14:paraId="39A0E7F9">
                  <w:pPr>
                    <w:pStyle w:val="3"/>
                    <w:numPr>
                      <w:ilvl w:val="0"/>
                      <w:numId w:val="27"/>
                    </w:numPr>
                    <w:ind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水箱清洗管理每学期至少清洗消毒1次，并留存清洗记录、水质检测报告；</w:t>
                  </w:r>
                </w:p>
                <w:p w14:paraId="01D2C955">
                  <w:pPr>
                    <w:pStyle w:val="3"/>
                    <w:numPr>
                      <w:ilvl w:val="0"/>
                      <w:numId w:val="27"/>
                    </w:numPr>
                    <w:ind w:firstLine="440" w:firstLineChars="200"/>
                    <w:rPr>
                      <w:rFonts w:ascii="宋体" w:hAnsi="宋体" w:cs="宋体"/>
                      <w:color w:val="auto"/>
                      <w:sz w:val="22"/>
                      <w:highlight w:val="none"/>
                      <w:lang w:bidi="ar"/>
                    </w:rPr>
                  </w:pPr>
                  <w:r>
                    <w:rPr>
                      <w:rFonts w:hint="eastAsia" w:ascii="宋体" w:hAnsi="宋体" w:cs="宋体"/>
                      <w:color w:val="auto"/>
                      <w:sz w:val="22"/>
                      <w:highlight w:val="none"/>
                      <w:lang w:bidi="ar"/>
                    </w:rPr>
                    <w:t>清洗后水质检测合格；</w:t>
                  </w:r>
                </w:p>
                <w:p w14:paraId="6D65B86D">
                  <w:pPr>
                    <w:pStyle w:val="3"/>
                    <w:numPr>
                      <w:ilvl w:val="0"/>
                      <w:numId w:val="27"/>
                    </w:numPr>
                    <w:ind w:firstLine="440" w:firstLineChars="200"/>
                    <w:rPr>
                      <w:rFonts w:ascii="宋体" w:hAnsi="宋体" w:cs="宋体"/>
                      <w:color w:val="auto"/>
                      <w:sz w:val="22"/>
                      <w:highlight w:val="none"/>
                      <w:lang w:bidi="ar"/>
                    </w:rPr>
                  </w:pPr>
                  <w:r>
                    <w:rPr>
                      <w:rFonts w:hint="eastAsia" w:ascii="宋体" w:hAnsi="宋体" w:cs="宋体"/>
                      <w:color w:val="auto"/>
                      <w:sz w:val="22"/>
                      <w:highlight w:val="none"/>
                      <w:lang w:bidi="ar"/>
                    </w:rPr>
                    <w:t>水箱盖密封完好，无锈蚀、渗漏，周边环境清洁；</w:t>
                  </w:r>
                </w:p>
                <w:p w14:paraId="33822844">
                  <w:pPr>
                    <w:pStyle w:val="3"/>
                    <w:numPr>
                      <w:ilvl w:val="0"/>
                      <w:numId w:val="27"/>
                    </w:numPr>
                    <w:ind w:firstLine="440" w:firstLineChars="200"/>
                    <w:rPr>
                      <w:rFonts w:ascii="宋体" w:hAnsi="宋体" w:cs="宋体"/>
                      <w:color w:val="auto"/>
                      <w:sz w:val="22"/>
                      <w:highlight w:val="none"/>
                      <w:lang w:bidi="ar"/>
                    </w:rPr>
                  </w:pPr>
                  <w:r>
                    <w:rPr>
                      <w:rFonts w:hint="eastAsia" w:ascii="宋体" w:hAnsi="宋体" w:cs="宋体"/>
                      <w:color w:val="auto"/>
                      <w:sz w:val="22"/>
                      <w:highlight w:val="none"/>
                      <w:lang w:bidi="ar"/>
                    </w:rPr>
                    <w:t>饮水机每4个月至少1次滤芯更换、消毒，并张贴维护记录；</w:t>
                  </w:r>
                </w:p>
                <w:p w14:paraId="5E4504A4">
                  <w:pPr>
                    <w:pStyle w:val="3"/>
                    <w:numPr>
                      <w:ilvl w:val="0"/>
                      <w:numId w:val="27"/>
                    </w:numPr>
                    <w:ind w:firstLine="440" w:firstLineChars="200"/>
                    <w:rPr>
                      <w:rFonts w:ascii="宋体" w:hAnsi="宋体" w:cs="宋体"/>
                      <w:color w:val="auto"/>
                      <w:sz w:val="22"/>
                      <w:highlight w:val="none"/>
                      <w:lang w:bidi="ar"/>
                    </w:rPr>
                  </w:pPr>
                  <w:r>
                    <w:rPr>
                      <w:rFonts w:hint="eastAsia" w:ascii="宋体" w:hAnsi="宋体" w:cs="宋体"/>
                      <w:color w:val="auto"/>
                      <w:sz w:val="22"/>
                      <w:highlight w:val="none"/>
                      <w:lang w:bidi="ar"/>
                    </w:rPr>
                    <w:t>饮水机无漏水、漏电，水温正常，出水无异味；</w:t>
                  </w:r>
                </w:p>
                <w:p w14:paraId="2CC8899E">
                  <w:pPr>
                    <w:pStyle w:val="3"/>
                    <w:numPr>
                      <w:ilvl w:val="0"/>
                      <w:numId w:val="27"/>
                    </w:numPr>
                    <w:ind w:firstLine="440" w:firstLineChars="200"/>
                    <w:rPr>
                      <w:rFonts w:ascii="宋体" w:hAnsi="宋体" w:cs="宋体"/>
                      <w:color w:val="auto"/>
                      <w:sz w:val="22"/>
                      <w:highlight w:val="none"/>
                      <w:lang w:bidi="ar"/>
                    </w:rPr>
                  </w:pPr>
                  <w:r>
                    <w:rPr>
                      <w:rFonts w:hint="eastAsia" w:ascii="宋体" w:hAnsi="宋体" w:cs="宋体"/>
                      <w:color w:val="auto"/>
                      <w:sz w:val="22"/>
                      <w:highlight w:val="none"/>
                      <w:lang w:bidi="ar"/>
                    </w:rPr>
                    <w:t>饮水机周边无积水、无污渍，接水区保持干燥整洁。</w:t>
                  </w:r>
                </w:p>
                <w:p w14:paraId="3A33E213">
                  <w:pPr>
                    <w:pStyle w:val="3"/>
                    <w:numPr>
                      <w:ilvl w:val="0"/>
                      <w:numId w:val="27"/>
                    </w:numPr>
                    <w:ind w:firstLine="440" w:firstLineChars="200"/>
                    <w:rPr>
                      <w:rFonts w:ascii="宋体" w:hAnsi="宋体" w:cs="宋体"/>
                      <w:b/>
                      <w:color w:val="auto"/>
                      <w:sz w:val="22"/>
                      <w:highlight w:val="none"/>
                    </w:rPr>
                  </w:pPr>
                  <w:r>
                    <w:rPr>
                      <w:rFonts w:hint="eastAsia" w:ascii="宋体" w:hAnsi="宋体" w:cs="宋体"/>
                      <w:color w:val="auto"/>
                      <w:sz w:val="22"/>
                      <w:highlight w:val="none"/>
                      <w:lang w:bidi="ar"/>
                    </w:rPr>
                    <w:t xml:space="preserve">上述情况发现一次不符合的扣0.2分。 </w:t>
                  </w:r>
                </w:p>
              </w:tc>
              <w:tc>
                <w:tcPr>
                  <w:tcW w:w="227" w:type="pct"/>
                  <w:vAlign w:val="center"/>
                </w:tcPr>
                <w:p w14:paraId="73036A6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40" w:type="pct"/>
                  <w:vAlign w:val="center"/>
                </w:tcPr>
                <w:p w14:paraId="5EF83F45">
                  <w:pPr>
                    <w:ind w:left="420"/>
                    <w:jc w:val="left"/>
                    <w:rPr>
                      <w:rFonts w:ascii="宋体" w:hAnsi="宋体" w:cs="宋体"/>
                      <w:color w:val="auto"/>
                      <w:sz w:val="22"/>
                      <w:highlight w:val="none"/>
                    </w:rPr>
                  </w:pPr>
                </w:p>
              </w:tc>
              <w:tc>
                <w:tcPr>
                  <w:tcW w:w="427" w:type="pct"/>
                  <w:vAlign w:val="center"/>
                </w:tcPr>
                <w:p w14:paraId="548901DE">
                  <w:pPr>
                    <w:ind w:left="420"/>
                    <w:rPr>
                      <w:rFonts w:ascii="宋体" w:hAnsi="宋体" w:cs="宋体"/>
                      <w:color w:val="auto"/>
                      <w:sz w:val="22"/>
                      <w:highlight w:val="none"/>
                    </w:rPr>
                  </w:pPr>
                </w:p>
              </w:tc>
            </w:tr>
            <w:tr w14:paraId="7B74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319" w:type="pct"/>
                  <w:vAlign w:val="center"/>
                </w:tcPr>
                <w:p w14:paraId="14CEB296">
                  <w:pPr>
                    <w:jc w:val="center"/>
                    <w:rPr>
                      <w:rFonts w:ascii="宋体" w:hAnsi="宋体" w:cs="宋体"/>
                      <w:color w:val="auto"/>
                      <w:sz w:val="22"/>
                      <w:highlight w:val="none"/>
                    </w:rPr>
                  </w:pPr>
                </w:p>
              </w:tc>
              <w:tc>
                <w:tcPr>
                  <w:tcW w:w="441" w:type="pct"/>
                  <w:vAlign w:val="center"/>
                </w:tcPr>
                <w:p w14:paraId="20FA9C4E">
                  <w:pPr>
                    <w:widowControl/>
                    <w:tabs>
                      <w:tab w:val="left" w:pos="273"/>
                    </w:tabs>
                    <w:jc w:val="left"/>
                    <w:rPr>
                      <w:rFonts w:ascii="宋体" w:hAnsi="宋体" w:cs="宋体"/>
                      <w:color w:val="auto"/>
                      <w:sz w:val="22"/>
                      <w:highlight w:val="none"/>
                    </w:rPr>
                  </w:pPr>
                  <w:r>
                    <w:rPr>
                      <w:rFonts w:hint="eastAsia" w:ascii="宋体" w:hAnsi="宋体" w:cs="宋体"/>
                      <w:color w:val="auto"/>
                      <w:sz w:val="22"/>
                      <w:highlight w:val="none"/>
                    </w:rPr>
                    <w:tab/>
                  </w:r>
                  <w:r>
                    <w:rPr>
                      <w:rFonts w:hint="eastAsia" w:ascii="宋体" w:hAnsi="宋体" w:cs="宋体"/>
                      <w:color w:val="auto"/>
                      <w:sz w:val="22"/>
                      <w:highlight w:val="none"/>
                    </w:rPr>
                    <w:t>室外防护木和钢构件，外墙安全检查等维护服务</w:t>
                  </w:r>
                </w:p>
              </w:tc>
              <w:tc>
                <w:tcPr>
                  <w:tcW w:w="3243" w:type="pct"/>
                  <w:vAlign w:val="center"/>
                </w:tcPr>
                <w:p w14:paraId="6DCB5CB1">
                  <w:pPr>
                    <w:pStyle w:val="90"/>
                    <w:numPr>
                      <w:ilvl w:val="0"/>
                      <w:numId w:val="28"/>
                    </w:numPr>
                    <w:ind w:firstLine="440" w:firstLineChars="200"/>
                    <w:rPr>
                      <w:rFonts w:hint="eastAsia" w:ascii="宋体" w:hAnsi="宋体" w:eastAsia="宋体" w:cs="宋体"/>
                      <w:bCs/>
                      <w:color w:val="auto"/>
                      <w:kern w:val="2"/>
                      <w:sz w:val="22"/>
                      <w:szCs w:val="22"/>
                      <w:highlight w:val="none"/>
                      <w:shd w:val="clear"/>
                    </w:rPr>
                  </w:pPr>
                  <w:r>
                    <w:rPr>
                      <w:rFonts w:hint="eastAsia" w:ascii="宋体" w:hAnsi="宋体" w:eastAsia="宋体" w:cs="宋体"/>
                      <w:b w:val="0"/>
                      <w:bCs/>
                      <w:color w:val="auto"/>
                      <w:kern w:val="2"/>
                      <w:sz w:val="22"/>
                      <w:szCs w:val="22"/>
                      <w:highlight w:val="none"/>
                    </w:rPr>
                    <w:t>室外木质构件要求</w:t>
                  </w:r>
                  <w:r>
                    <w:rPr>
                      <w:rFonts w:hint="eastAsia" w:ascii="宋体" w:hAnsi="宋体" w:eastAsia="宋体" w:cs="宋体"/>
                      <w:bCs/>
                      <w:color w:val="auto"/>
                      <w:sz w:val="22"/>
                      <w:szCs w:val="22"/>
                      <w:highlight w:val="none"/>
                      <w:shd w:val="clear" w:color="auto" w:fill="FFFFFF"/>
                    </w:rPr>
                    <w:t>每年至少</w:t>
                  </w:r>
                  <w:r>
                    <w:rPr>
                      <w:rStyle w:val="33"/>
                      <w:rFonts w:hint="eastAsia" w:ascii="宋体" w:hAnsi="宋体" w:eastAsia="宋体" w:cs="宋体"/>
                      <w:b w:val="0"/>
                      <w:bCs/>
                      <w:color w:val="auto"/>
                      <w:sz w:val="22"/>
                      <w:szCs w:val="22"/>
                      <w:highlight w:val="none"/>
                      <w:shd w:val="clear" w:color="auto" w:fill="FFFFFF"/>
                    </w:rPr>
                    <w:t>1次</w:t>
                  </w:r>
                  <w:r>
                    <w:rPr>
                      <w:rFonts w:hint="eastAsia" w:ascii="宋体" w:hAnsi="宋体" w:eastAsia="宋体" w:cs="宋体"/>
                      <w:bCs/>
                      <w:color w:val="auto"/>
                      <w:sz w:val="22"/>
                      <w:szCs w:val="22"/>
                      <w:highlight w:val="none"/>
                      <w:shd w:val="clear" w:color="auto" w:fill="FFFFFF"/>
                    </w:rPr>
                    <w:t>防腐、防蛀涂刷，无腐朽现</w:t>
                  </w:r>
                  <w:r>
                    <w:rPr>
                      <w:rFonts w:hint="eastAsia" w:ascii="宋体" w:hAnsi="宋体" w:eastAsia="宋体" w:cs="宋体"/>
                      <w:bCs/>
                      <w:color w:val="auto"/>
                      <w:kern w:val="2"/>
                      <w:sz w:val="22"/>
                      <w:szCs w:val="22"/>
                      <w:highlight w:val="none"/>
                      <w:shd w:val="clear"/>
                    </w:rPr>
                    <w:t>象；</w:t>
                  </w:r>
                </w:p>
                <w:p w14:paraId="0E7F1AC0">
                  <w:pPr>
                    <w:pStyle w:val="90"/>
                    <w:numPr>
                      <w:ilvl w:val="0"/>
                      <w:numId w:val="28"/>
                    </w:numPr>
                    <w:ind w:firstLine="440" w:firstLineChars="200"/>
                    <w:rPr>
                      <w:rFonts w:hint="eastAsia" w:ascii="宋体" w:hAnsi="宋体" w:eastAsia="宋体" w:cs="宋体"/>
                      <w:bCs/>
                      <w:color w:val="auto"/>
                      <w:kern w:val="2"/>
                      <w:sz w:val="22"/>
                      <w:szCs w:val="22"/>
                      <w:highlight w:val="none"/>
                      <w:shd w:val="clear"/>
                    </w:rPr>
                  </w:pPr>
                  <w:r>
                    <w:rPr>
                      <w:rFonts w:hint="eastAsia" w:ascii="宋体" w:hAnsi="宋体" w:eastAsia="宋体" w:cs="宋体"/>
                      <w:bCs/>
                      <w:color w:val="auto"/>
                      <w:kern w:val="2"/>
                      <w:sz w:val="22"/>
                      <w:szCs w:val="22"/>
                      <w:highlight w:val="none"/>
                      <w:shd w:val="clear"/>
                    </w:rPr>
                    <w:t>木构件</w:t>
                  </w:r>
                  <w:r>
                    <w:rPr>
                      <w:rFonts w:hint="eastAsia" w:ascii="宋体" w:hAnsi="宋体" w:eastAsia="宋体" w:cs="宋体"/>
                      <w:b w:val="0"/>
                      <w:bCs/>
                      <w:color w:val="auto"/>
                      <w:kern w:val="2"/>
                      <w:sz w:val="22"/>
                      <w:szCs w:val="22"/>
                      <w:highlight w:val="none"/>
                      <w:shd w:val="clear"/>
                    </w:rPr>
                    <w:t>无松动、断裂</w:t>
                  </w:r>
                  <w:r>
                    <w:rPr>
                      <w:rFonts w:hint="eastAsia" w:ascii="宋体" w:hAnsi="宋体" w:eastAsia="宋体" w:cs="宋体"/>
                      <w:bCs/>
                      <w:color w:val="auto"/>
                      <w:kern w:val="2"/>
                      <w:sz w:val="22"/>
                      <w:szCs w:val="22"/>
                      <w:highlight w:val="none"/>
                      <w:shd w:val="clear"/>
                    </w:rPr>
                    <w:t>，螺栓、连接件牢固；</w:t>
                  </w:r>
                </w:p>
                <w:p w14:paraId="4774651A">
                  <w:pPr>
                    <w:pStyle w:val="90"/>
                    <w:numPr>
                      <w:ilvl w:val="0"/>
                      <w:numId w:val="28"/>
                    </w:numPr>
                    <w:ind w:firstLine="440" w:firstLineChars="200"/>
                    <w:rPr>
                      <w:rFonts w:hint="eastAsia" w:ascii="宋体" w:hAnsi="宋体" w:eastAsia="宋体" w:cs="宋体"/>
                      <w:bCs/>
                      <w:color w:val="auto"/>
                      <w:kern w:val="2"/>
                      <w:sz w:val="22"/>
                      <w:szCs w:val="22"/>
                      <w:highlight w:val="none"/>
                      <w:shd w:val="clear"/>
                      <w:lang w:bidi="ar"/>
                    </w:rPr>
                  </w:pPr>
                  <w:r>
                    <w:rPr>
                      <w:rFonts w:hint="eastAsia" w:ascii="宋体" w:hAnsi="宋体" w:eastAsia="宋体" w:cs="宋体"/>
                      <w:b w:val="0"/>
                      <w:bCs/>
                      <w:color w:val="auto"/>
                      <w:kern w:val="2"/>
                      <w:sz w:val="22"/>
                      <w:szCs w:val="22"/>
                      <w:highlight w:val="none"/>
                      <w:shd w:val="clear"/>
                      <w:lang w:bidi="ar"/>
                    </w:rPr>
                    <w:t>室外钢构件要求</w:t>
                  </w:r>
                  <w:r>
                    <w:rPr>
                      <w:rFonts w:hint="eastAsia" w:ascii="宋体" w:hAnsi="宋体" w:eastAsia="宋体" w:cs="宋体"/>
                      <w:bCs/>
                      <w:color w:val="auto"/>
                      <w:kern w:val="2"/>
                      <w:sz w:val="22"/>
                      <w:szCs w:val="22"/>
                      <w:highlight w:val="none"/>
                      <w:shd w:val="clear"/>
                      <w:lang w:bidi="ar"/>
                    </w:rPr>
                    <w:t>每年至少</w:t>
                  </w:r>
                  <w:r>
                    <w:rPr>
                      <w:rFonts w:hint="eastAsia" w:ascii="宋体" w:hAnsi="宋体" w:eastAsia="宋体" w:cs="宋体"/>
                      <w:b w:val="0"/>
                      <w:bCs/>
                      <w:color w:val="auto"/>
                      <w:kern w:val="2"/>
                      <w:sz w:val="22"/>
                      <w:szCs w:val="22"/>
                      <w:highlight w:val="none"/>
                      <w:shd w:val="clear"/>
                      <w:lang w:bidi="ar"/>
                    </w:rPr>
                    <w:t>1次</w:t>
                  </w:r>
                  <w:r>
                    <w:rPr>
                      <w:rFonts w:hint="eastAsia" w:ascii="宋体" w:hAnsi="宋体" w:eastAsia="宋体" w:cs="宋体"/>
                      <w:bCs/>
                      <w:color w:val="auto"/>
                      <w:kern w:val="2"/>
                      <w:sz w:val="22"/>
                      <w:szCs w:val="22"/>
                      <w:highlight w:val="none"/>
                      <w:shd w:val="clear"/>
                      <w:lang w:bidi="ar"/>
                    </w:rPr>
                    <w:t> 除锈、刷漆，无锈蚀、漆皮脱落；</w:t>
                  </w:r>
                </w:p>
                <w:p w14:paraId="3BFD9B5D">
                  <w:pPr>
                    <w:pStyle w:val="90"/>
                    <w:numPr>
                      <w:ilvl w:val="0"/>
                      <w:numId w:val="28"/>
                    </w:numPr>
                    <w:ind w:firstLine="440" w:firstLineChars="200"/>
                    <w:rPr>
                      <w:rFonts w:hint="eastAsia" w:ascii="宋体" w:hAnsi="宋体" w:eastAsia="宋体" w:cs="宋体"/>
                      <w:bCs/>
                      <w:color w:val="auto"/>
                      <w:kern w:val="2"/>
                      <w:sz w:val="22"/>
                      <w:szCs w:val="22"/>
                      <w:highlight w:val="none"/>
                      <w:shd w:val="clear"/>
                      <w:lang w:bidi="ar"/>
                    </w:rPr>
                  </w:pPr>
                  <w:r>
                    <w:rPr>
                      <w:rFonts w:hint="eastAsia" w:ascii="宋体" w:hAnsi="宋体" w:eastAsia="宋体" w:cs="宋体"/>
                      <w:bCs/>
                      <w:color w:val="auto"/>
                      <w:kern w:val="2"/>
                      <w:sz w:val="22"/>
                      <w:szCs w:val="22"/>
                      <w:highlight w:val="none"/>
                      <w:shd w:val="clear"/>
                      <w:lang w:bidi="ar"/>
                    </w:rPr>
                    <w:t>钢构件 无变形、焊接点无开裂，护栏、支架稳固；</w:t>
                  </w:r>
                </w:p>
                <w:p w14:paraId="213FA829">
                  <w:pPr>
                    <w:pStyle w:val="90"/>
                    <w:numPr>
                      <w:ilvl w:val="0"/>
                      <w:numId w:val="28"/>
                    </w:numPr>
                    <w:ind w:firstLine="440" w:firstLineChars="200"/>
                    <w:rPr>
                      <w:rFonts w:hint="eastAsia" w:ascii="宋体" w:hAnsi="宋体" w:eastAsia="宋体" w:cs="宋体"/>
                      <w:bCs/>
                      <w:color w:val="auto"/>
                      <w:kern w:val="2"/>
                      <w:sz w:val="22"/>
                      <w:szCs w:val="22"/>
                      <w:highlight w:val="none"/>
                      <w:shd w:val="clear"/>
                      <w:lang w:bidi="ar"/>
                    </w:rPr>
                  </w:pPr>
                  <w:r>
                    <w:rPr>
                      <w:rFonts w:hint="eastAsia" w:ascii="宋体" w:hAnsi="宋体" w:eastAsia="宋体" w:cs="宋体"/>
                      <w:bCs/>
                      <w:color w:val="auto"/>
                      <w:kern w:val="2"/>
                      <w:sz w:val="22"/>
                      <w:szCs w:val="22"/>
                      <w:highlight w:val="none"/>
                      <w:shd w:val="clear"/>
                      <w:lang w:bidi="ar"/>
                    </w:rPr>
                    <w:t>每月至少一次外立面瓷砖起鼓，脱落风险，玻璃自爆情况等检查并建立完整的巡查记录台账；</w:t>
                  </w:r>
                </w:p>
                <w:p w14:paraId="0B28799D">
                  <w:pPr>
                    <w:pStyle w:val="90"/>
                    <w:numPr>
                      <w:ilvl w:val="0"/>
                      <w:numId w:val="28"/>
                    </w:numPr>
                    <w:ind w:firstLine="440" w:firstLineChars="200"/>
                    <w:rPr>
                      <w:rFonts w:hint="eastAsia" w:ascii="宋体" w:hAnsi="宋体" w:eastAsia="宋体" w:cs="宋体"/>
                      <w:bCs/>
                      <w:color w:val="auto"/>
                      <w:kern w:val="2"/>
                      <w:sz w:val="22"/>
                      <w:szCs w:val="22"/>
                      <w:highlight w:val="none"/>
                      <w:shd w:val="clear"/>
                      <w:lang w:bidi="ar"/>
                    </w:rPr>
                  </w:pPr>
                  <w:r>
                    <w:rPr>
                      <w:rFonts w:hint="eastAsia" w:ascii="宋体" w:hAnsi="宋体" w:eastAsia="宋体" w:cs="宋体"/>
                      <w:bCs/>
                      <w:color w:val="auto"/>
                      <w:kern w:val="2"/>
                      <w:sz w:val="22"/>
                      <w:szCs w:val="22"/>
                      <w:highlight w:val="none"/>
                      <w:shd w:val="clear"/>
                      <w:lang w:bidi="ar"/>
                    </w:rPr>
                    <w:t>外立面维修管理发现问题及时响应设置警戒区；</w:t>
                  </w:r>
                </w:p>
                <w:p w14:paraId="6A9B1301">
                  <w:pPr>
                    <w:pStyle w:val="90"/>
                    <w:numPr>
                      <w:ilvl w:val="0"/>
                      <w:numId w:val="28"/>
                    </w:numPr>
                    <w:ind w:firstLine="440" w:firstLineChars="200"/>
                    <w:rPr>
                      <w:rFonts w:hint="eastAsia" w:ascii="宋体" w:hAnsi="宋体" w:eastAsia="宋体" w:cs="宋体"/>
                      <w:bCs/>
                      <w:color w:val="auto"/>
                      <w:kern w:val="2"/>
                      <w:sz w:val="22"/>
                      <w:szCs w:val="22"/>
                      <w:highlight w:val="none"/>
                      <w:shd w:val="clear"/>
                      <w:lang w:bidi="ar"/>
                    </w:rPr>
                  </w:pPr>
                  <w:r>
                    <w:rPr>
                      <w:rFonts w:hint="eastAsia" w:ascii="宋体" w:hAnsi="宋体" w:eastAsia="宋体" w:cs="宋体"/>
                      <w:bCs/>
                      <w:color w:val="auto"/>
                      <w:kern w:val="2"/>
                      <w:sz w:val="22"/>
                      <w:szCs w:val="22"/>
                      <w:highlight w:val="none"/>
                      <w:shd w:val="clear"/>
                      <w:lang w:bidi="ar"/>
                    </w:rPr>
                    <w:t>户外家具等维护和管理及时。</w:t>
                  </w:r>
                </w:p>
                <w:p w14:paraId="499B8EDF">
                  <w:pPr>
                    <w:pStyle w:val="90"/>
                    <w:numPr>
                      <w:ilvl w:val="0"/>
                      <w:numId w:val="28"/>
                    </w:numPr>
                    <w:ind w:firstLine="440" w:firstLineChars="200"/>
                    <w:rPr>
                      <w:rFonts w:ascii="宋体" w:hAnsi="宋体" w:eastAsia="宋体" w:cs="宋体"/>
                      <w:color w:val="auto"/>
                      <w:sz w:val="22"/>
                      <w:szCs w:val="22"/>
                      <w:highlight w:val="none"/>
                      <w:shd w:val="clear" w:color="auto" w:fill="FFFFFF"/>
                    </w:rPr>
                  </w:pPr>
                  <w:r>
                    <w:rPr>
                      <w:rFonts w:hint="eastAsia" w:ascii="宋体" w:hAnsi="宋体" w:eastAsia="宋体" w:cs="宋体"/>
                      <w:bCs/>
                      <w:color w:val="auto"/>
                      <w:kern w:val="2"/>
                      <w:sz w:val="22"/>
                      <w:szCs w:val="22"/>
                      <w:highlight w:val="none"/>
                      <w:lang w:bidi="ar"/>
                    </w:rPr>
                    <w:t xml:space="preserve">上述情况发现一次不符合的扣0.2分。 </w:t>
                  </w:r>
                </w:p>
              </w:tc>
              <w:tc>
                <w:tcPr>
                  <w:tcW w:w="227" w:type="pct"/>
                  <w:vAlign w:val="center"/>
                </w:tcPr>
                <w:p w14:paraId="3DBB4D4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340" w:type="pct"/>
                  <w:vAlign w:val="center"/>
                </w:tcPr>
                <w:p w14:paraId="4F71A525">
                  <w:pPr>
                    <w:ind w:left="420"/>
                    <w:jc w:val="left"/>
                    <w:rPr>
                      <w:rFonts w:ascii="宋体" w:hAnsi="宋体" w:cs="宋体"/>
                      <w:color w:val="auto"/>
                      <w:sz w:val="22"/>
                      <w:highlight w:val="none"/>
                    </w:rPr>
                  </w:pPr>
                </w:p>
              </w:tc>
              <w:tc>
                <w:tcPr>
                  <w:tcW w:w="427" w:type="pct"/>
                  <w:vAlign w:val="center"/>
                </w:tcPr>
                <w:p w14:paraId="720443E2">
                  <w:pPr>
                    <w:ind w:left="420"/>
                    <w:rPr>
                      <w:rFonts w:ascii="宋体" w:hAnsi="宋体" w:cs="宋体"/>
                      <w:color w:val="auto"/>
                      <w:sz w:val="22"/>
                      <w:highlight w:val="none"/>
                    </w:rPr>
                  </w:pPr>
                </w:p>
              </w:tc>
            </w:tr>
            <w:tr w14:paraId="7A17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4004" w:type="pct"/>
                  <w:gridSpan w:val="3"/>
                  <w:vAlign w:val="center"/>
                </w:tcPr>
                <w:p w14:paraId="1F33F80D">
                  <w:pPr>
                    <w:tabs>
                      <w:tab w:val="left" w:pos="0"/>
                    </w:tabs>
                    <w:adjustRightInd w:val="0"/>
                    <w:snapToGrid w:val="0"/>
                    <w:ind w:firstLine="480"/>
                    <w:jc w:val="center"/>
                    <w:rPr>
                      <w:rFonts w:ascii="宋体" w:hAnsi="宋体" w:cs="宋体"/>
                      <w:color w:val="auto"/>
                      <w:sz w:val="22"/>
                      <w:highlight w:val="none"/>
                    </w:rPr>
                  </w:pPr>
                  <w:r>
                    <w:rPr>
                      <w:rFonts w:hint="eastAsia" w:ascii="宋体" w:hAnsi="宋体" w:cs="宋体"/>
                      <w:color w:val="auto"/>
                      <w:sz w:val="22"/>
                      <w:highlight w:val="none"/>
                    </w:rPr>
                    <w:t>总计</w:t>
                  </w:r>
                </w:p>
              </w:tc>
              <w:tc>
                <w:tcPr>
                  <w:tcW w:w="227" w:type="pct"/>
                  <w:vAlign w:val="center"/>
                </w:tcPr>
                <w:p w14:paraId="232E13A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100</w:t>
                  </w:r>
                </w:p>
              </w:tc>
              <w:tc>
                <w:tcPr>
                  <w:tcW w:w="340" w:type="pct"/>
                  <w:vAlign w:val="center"/>
                </w:tcPr>
                <w:p w14:paraId="4C5AF2B1">
                  <w:pPr>
                    <w:ind w:left="420"/>
                    <w:jc w:val="left"/>
                    <w:rPr>
                      <w:rFonts w:ascii="宋体" w:hAnsi="宋体" w:cs="宋体"/>
                      <w:color w:val="auto"/>
                      <w:sz w:val="22"/>
                      <w:highlight w:val="none"/>
                    </w:rPr>
                  </w:pPr>
                </w:p>
              </w:tc>
              <w:tc>
                <w:tcPr>
                  <w:tcW w:w="427" w:type="pct"/>
                  <w:vAlign w:val="center"/>
                </w:tcPr>
                <w:p w14:paraId="128DD8A9">
                  <w:pPr>
                    <w:ind w:left="420"/>
                    <w:rPr>
                      <w:rFonts w:ascii="宋体" w:hAnsi="宋体" w:cs="宋体"/>
                      <w:color w:val="auto"/>
                      <w:sz w:val="22"/>
                      <w:highlight w:val="none"/>
                    </w:rPr>
                  </w:pPr>
                </w:p>
              </w:tc>
            </w:tr>
            <w:tr w14:paraId="13D7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0" w:hRule="atLeast"/>
                <w:jc w:val="center"/>
              </w:trPr>
              <w:tc>
                <w:tcPr>
                  <w:tcW w:w="5000" w:type="pct"/>
                  <w:gridSpan w:val="6"/>
                  <w:vAlign w:val="center"/>
                </w:tcPr>
                <w:p w14:paraId="1918386E">
                  <w:pPr>
                    <w:ind w:left="420"/>
                    <w:jc w:val="left"/>
                    <w:rPr>
                      <w:rFonts w:ascii="宋体" w:hAnsi="宋体" w:cs="宋体"/>
                      <w:color w:val="auto"/>
                      <w:sz w:val="22"/>
                      <w:highlight w:val="none"/>
                    </w:rPr>
                  </w:pPr>
                  <w:r>
                    <w:rPr>
                      <w:rFonts w:hint="eastAsia" w:ascii="宋体" w:hAnsi="宋体" w:cs="宋体"/>
                      <w:color w:val="auto"/>
                      <w:sz w:val="22"/>
                      <w:highlight w:val="none"/>
                    </w:rPr>
                    <w:t>考核人：                                                                                考核日期：</w:t>
                  </w:r>
                </w:p>
              </w:tc>
            </w:tr>
          </w:tbl>
          <w:p w14:paraId="3D6E1C12">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附表</w:t>
            </w:r>
            <w:r>
              <w:rPr>
                <w:rFonts w:hint="eastAsia" w:ascii="宋体" w:hAnsi="宋体" w:cs="宋体"/>
                <w:b/>
                <w:bCs/>
                <w:color w:val="auto"/>
                <w:sz w:val="22"/>
                <w:highlight w:val="none"/>
                <w:lang w:val="en-US" w:eastAsia="zh-CN"/>
              </w:rPr>
              <w:t>2</w:t>
            </w:r>
            <w:r>
              <w:rPr>
                <w:rFonts w:hint="eastAsia" w:ascii="宋体" w:hAnsi="宋体" w:cs="宋体"/>
                <w:b/>
                <w:bCs/>
                <w:color w:val="auto"/>
                <w:sz w:val="22"/>
                <w:highlight w:val="none"/>
                <w:lang w:eastAsia="zh-CN"/>
              </w:rPr>
              <w:t>：温州肯恩大学</w:t>
            </w:r>
            <w:r>
              <w:rPr>
                <w:rFonts w:hint="eastAsia" w:ascii="宋体" w:hAnsi="宋体" w:cs="宋体"/>
                <w:b/>
                <w:bCs/>
                <w:color w:val="auto"/>
                <w:sz w:val="22"/>
                <w:highlight w:val="none"/>
              </w:rPr>
              <w:t>物业服务</w:t>
            </w:r>
            <w:r>
              <w:rPr>
                <w:rFonts w:hint="eastAsia" w:ascii="宋体" w:hAnsi="宋体" w:cs="宋体"/>
                <w:b/>
                <w:bCs/>
                <w:color w:val="auto"/>
                <w:sz w:val="22"/>
                <w:highlight w:val="none"/>
                <w:lang w:eastAsia="zh-CN"/>
              </w:rPr>
              <w:t>年度</w:t>
            </w:r>
            <w:r>
              <w:rPr>
                <w:rFonts w:hint="eastAsia" w:ascii="宋体" w:hAnsi="宋体" w:cs="宋体"/>
                <w:b/>
                <w:bCs/>
                <w:color w:val="auto"/>
                <w:sz w:val="22"/>
                <w:highlight w:val="none"/>
              </w:rPr>
              <w:t>考核表</w:t>
            </w:r>
          </w:p>
          <w:p w14:paraId="208AA8EF">
            <w:pPr>
              <w:adjustRightInd w:val="0"/>
              <w:snapToGrid w:val="0"/>
              <w:spacing w:line="360" w:lineRule="auto"/>
              <w:ind w:firstLine="482"/>
              <w:jc w:val="center"/>
              <w:rPr>
                <w:rFonts w:ascii="宋体" w:hAnsi="宋体" w:cs="宋体"/>
                <w:b/>
                <w:bCs/>
                <w:color w:val="auto"/>
                <w:sz w:val="22"/>
                <w:highlight w:val="none"/>
              </w:rPr>
            </w:pPr>
            <w:r>
              <w:rPr>
                <w:rFonts w:hint="eastAsia" w:ascii="宋体" w:hAnsi="宋体" w:cs="宋体"/>
                <w:b/>
                <w:bCs/>
                <w:color w:val="auto"/>
                <w:sz w:val="22"/>
                <w:highlight w:val="none"/>
              </w:rPr>
              <w:t>二0  年  月</w:t>
            </w:r>
          </w:p>
          <w:p w14:paraId="34D53043">
            <w:pPr>
              <w:adjustRightInd w:val="0"/>
              <w:snapToGrid w:val="0"/>
              <w:spacing w:line="360" w:lineRule="auto"/>
              <w:ind w:firstLine="480"/>
              <w:jc w:val="right"/>
              <w:rPr>
                <w:rFonts w:ascii="宋体" w:hAnsi="宋体" w:cs="宋体"/>
                <w:color w:val="auto"/>
                <w:sz w:val="22"/>
                <w:highlight w:val="none"/>
              </w:rPr>
            </w:pPr>
            <w:r>
              <w:rPr>
                <w:rFonts w:hint="eastAsia" w:ascii="宋体" w:hAnsi="宋体" w:cs="宋体"/>
                <w:color w:val="auto"/>
                <w:sz w:val="22"/>
                <w:highlight w:val="none"/>
              </w:rPr>
              <w:t>日期：  年  月  日</w:t>
            </w:r>
          </w:p>
          <w:tbl>
            <w:tblPr>
              <w:tblStyle w:val="30"/>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132"/>
              <w:gridCol w:w="1558"/>
              <w:gridCol w:w="1401"/>
              <w:gridCol w:w="2571"/>
            </w:tblGrid>
            <w:tr w14:paraId="5B69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689" w:type="dxa"/>
                  <w:tcBorders>
                    <w:top w:val="single" w:color="auto" w:sz="4" w:space="0"/>
                    <w:left w:val="single" w:color="auto" w:sz="4" w:space="0"/>
                    <w:bottom w:val="single" w:color="auto" w:sz="4" w:space="0"/>
                    <w:right w:val="single" w:color="auto" w:sz="4" w:space="0"/>
                  </w:tcBorders>
                  <w:vAlign w:val="center"/>
                </w:tcPr>
                <w:p w14:paraId="5B47D4A2">
                  <w:pPr>
                    <w:adjustRightInd w:val="0"/>
                    <w:snapToGrid w:val="0"/>
                    <w:jc w:val="center"/>
                    <w:rPr>
                      <w:rFonts w:ascii="宋体" w:hAnsi="宋体" w:cs="宋体"/>
                      <w:b/>
                      <w:bCs/>
                      <w:color w:val="auto"/>
                      <w:sz w:val="22"/>
                      <w:highlight w:val="none"/>
                    </w:rPr>
                  </w:pPr>
                  <w:r>
                    <w:rPr>
                      <w:rFonts w:hint="eastAsia" w:ascii="宋体" w:hAnsi="宋体" w:cs="宋体"/>
                      <w:b/>
                      <w:bCs/>
                      <w:color w:val="auto"/>
                      <w:sz w:val="22"/>
                      <w:highlight w:val="none"/>
                    </w:rPr>
                    <w:t>项目</w:t>
                  </w:r>
                </w:p>
              </w:tc>
              <w:tc>
                <w:tcPr>
                  <w:tcW w:w="1132" w:type="dxa"/>
                  <w:tcBorders>
                    <w:top w:val="single" w:color="auto" w:sz="4" w:space="0"/>
                    <w:left w:val="single" w:color="auto" w:sz="4" w:space="0"/>
                    <w:bottom w:val="single" w:color="auto" w:sz="4" w:space="0"/>
                    <w:right w:val="single" w:color="auto" w:sz="4" w:space="0"/>
                  </w:tcBorders>
                  <w:vAlign w:val="center"/>
                </w:tcPr>
                <w:p w14:paraId="6EAE6BD9">
                  <w:pPr>
                    <w:adjustRightInd w:val="0"/>
                    <w:snapToGrid w:val="0"/>
                    <w:jc w:val="center"/>
                    <w:rPr>
                      <w:rFonts w:ascii="宋体" w:hAnsi="宋体" w:cs="宋体"/>
                      <w:b/>
                      <w:bCs/>
                      <w:color w:val="auto"/>
                      <w:sz w:val="22"/>
                      <w:highlight w:val="none"/>
                    </w:rPr>
                  </w:pPr>
                  <w:r>
                    <w:rPr>
                      <w:rFonts w:hint="eastAsia" w:ascii="宋体" w:hAnsi="宋体" w:cs="宋体"/>
                      <w:b/>
                      <w:bCs/>
                      <w:color w:val="auto"/>
                      <w:sz w:val="22"/>
                      <w:highlight w:val="none"/>
                    </w:rPr>
                    <w:t>得分</w:t>
                  </w:r>
                </w:p>
              </w:tc>
              <w:tc>
                <w:tcPr>
                  <w:tcW w:w="1558" w:type="dxa"/>
                  <w:tcBorders>
                    <w:top w:val="single" w:color="auto" w:sz="4" w:space="0"/>
                    <w:left w:val="single" w:color="auto" w:sz="4" w:space="0"/>
                    <w:bottom w:val="single" w:color="auto" w:sz="4" w:space="0"/>
                    <w:right w:val="single" w:color="auto" w:sz="4" w:space="0"/>
                  </w:tcBorders>
                  <w:vAlign w:val="center"/>
                </w:tcPr>
                <w:p w14:paraId="3B9C4CA1">
                  <w:pPr>
                    <w:adjustRightInd w:val="0"/>
                    <w:snapToGrid w:val="0"/>
                    <w:jc w:val="center"/>
                    <w:rPr>
                      <w:rFonts w:ascii="宋体" w:hAnsi="宋体" w:cs="宋体"/>
                      <w:b/>
                      <w:bCs/>
                      <w:color w:val="auto"/>
                      <w:sz w:val="22"/>
                      <w:highlight w:val="none"/>
                    </w:rPr>
                  </w:pPr>
                  <w:r>
                    <w:rPr>
                      <w:rFonts w:hint="eastAsia" w:ascii="宋体" w:hAnsi="宋体" w:cs="宋体"/>
                      <w:b/>
                      <w:bCs/>
                      <w:color w:val="auto"/>
                      <w:sz w:val="22"/>
                      <w:highlight w:val="none"/>
                    </w:rPr>
                    <w:t>权重</w:t>
                  </w:r>
                </w:p>
              </w:tc>
              <w:tc>
                <w:tcPr>
                  <w:tcW w:w="1401" w:type="dxa"/>
                  <w:tcBorders>
                    <w:top w:val="single" w:color="auto" w:sz="4" w:space="0"/>
                    <w:left w:val="single" w:color="auto" w:sz="4" w:space="0"/>
                    <w:bottom w:val="single" w:color="auto" w:sz="4" w:space="0"/>
                    <w:right w:val="single" w:color="auto" w:sz="4" w:space="0"/>
                  </w:tcBorders>
                  <w:vAlign w:val="center"/>
                </w:tcPr>
                <w:p w14:paraId="2D326DD2">
                  <w:pPr>
                    <w:adjustRightInd w:val="0"/>
                    <w:snapToGrid w:val="0"/>
                    <w:jc w:val="center"/>
                    <w:rPr>
                      <w:rFonts w:ascii="宋体" w:hAnsi="宋体" w:cs="宋体"/>
                      <w:b/>
                      <w:bCs/>
                      <w:color w:val="auto"/>
                      <w:sz w:val="22"/>
                      <w:highlight w:val="none"/>
                    </w:rPr>
                  </w:pPr>
                  <w:r>
                    <w:rPr>
                      <w:rFonts w:hint="eastAsia" w:ascii="宋体" w:hAnsi="宋体" w:cs="宋体"/>
                      <w:b/>
                      <w:bCs/>
                      <w:color w:val="auto"/>
                      <w:sz w:val="22"/>
                      <w:highlight w:val="none"/>
                    </w:rPr>
                    <w:t>加权得分</w:t>
                  </w:r>
                </w:p>
              </w:tc>
              <w:tc>
                <w:tcPr>
                  <w:tcW w:w="2571" w:type="dxa"/>
                  <w:tcBorders>
                    <w:top w:val="single" w:color="auto" w:sz="4" w:space="0"/>
                    <w:left w:val="single" w:color="auto" w:sz="4" w:space="0"/>
                    <w:bottom w:val="single" w:color="auto" w:sz="4" w:space="0"/>
                    <w:right w:val="single" w:color="auto" w:sz="4" w:space="0"/>
                  </w:tcBorders>
                  <w:vAlign w:val="center"/>
                </w:tcPr>
                <w:p w14:paraId="3BF9D131">
                  <w:pPr>
                    <w:adjustRightInd w:val="0"/>
                    <w:snapToGrid w:val="0"/>
                    <w:jc w:val="center"/>
                    <w:rPr>
                      <w:rFonts w:ascii="宋体" w:hAnsi="宋体" w:cs="宋体"/>
                      <w:b/>
                      <w:bCs/>
                      <w:color w:val="auto"/>
                      <w:sz w:val="22"/>
                      <w:highlight w:val="none"/>
                    </w:rPr>
                  </w:pPr>
                  <w:r>
                    <w:rPr>
                      <w:rFonts w:hint="eastAsia" w:ascii="宋体" w:hAnsi="宋体" w:cs="宋体"/>
                      <w:b/>
                      <w:bCs/>
                      <w:color w:val="auto"/>
                      <w:sz w:val="22"/>
                      <w:highlight w:val="none"/>
                    </w:rPr>
                    <w:t>备注</w:t>
                  </w:r>
                </w:p>
              </w:tc>
            </w:tr>
            <w:tr w14:paraId="4415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689" w:type="dxa"/>
                  <w:tcBorders>
                    <w:top w:val="single" w:color="auto" w:sz="4" w:space="0"/>
                    <w:left w:val="single" w:color="auto" w:sz="4" w:space="0"/>
                    <w:bottom w:val="single" w:color="auto" w:sz="4" w:space="0"/>
                    <w:right w:val="single" w:color="auto" w:sz="4" w:space="0"/>
                  </w:tcBorders>
                  <w:vAlign w:val="center"/>
                </w:tcPr>
                <w:p w14:paraId="0D37AAA6">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年度常规考核得分</w:t>
                  </w:r>
                </w:p>
              </w:tc>
              <w:tc>
                <w:tcPr>
                  <w:tcW w:w="1132" w:type="dxa"/>
                  <w:tcBorders>
                    <w:top w:val="single" w:color="auto" w:sz="4" w:space="0"/>
                    <w:left w:val="single" w:color="auto" w:sz="4" w:space="0"/>
                    <w:bottom w:val="single" w:color="auto" w:sz="4" w:space="0"/>
                    <w:right w:val="single" w:color="auto" w:sz="4" w:space="0"/>
                  </w:tcBorders>
                  <w:vAlign w:val="center"/>
                </w:tcPr>
                <w:p w14:paraId="152B02AC">
                  <w:pPr>
                    <w:adjustRightInd w:val="0"/>
                    <w:snapToGrid w:val="0"/>
                    <w:ind w:firstLine="480"/>
                    <w:jc w:val="center"/>
                    <w:rPr>
                      <w:rFonts w:ascii="宋体" w:hAnsi="宋体" w:cs="宋体"/>
                      <w:color w:val="auto"/>
                      <w:sz w:val="22"/>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1FDC0D38">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70%</w:t>
                  </w:r>
                </w:p>
              </w:tc>
              <w:tc>
                <w:tcPr>
                  <w:tcW w:w="1401" w:type="dxa"/>
                  <w:tcBorders>
                    <w:top w:val="single" w:color="auto" w:sz="4" w:space="0"/>
                    <w:left w:val="single" w:color="auto" w:sz="4" w:space="0"/>
                    <w:bottom w:val="single" w:color="auto" w:sz="4" w:space="0"/>
                    <w:right w:val="single" w:color="auto" w:sz="4" w:space="0"/>
                  </w:tcBorders>
                  <w:vAlign w:val="center"/>
                </w:tcPr>
                <w:p w14:paraId="03BBDF06">
                  <w:pPr>
                    <w:adjustRightInd w:val="0"/>
                    <w:snapToGrid w:val="0"/>
                    <w:ind w:firstLine="480"/>
                    <w:jc w:val="center"/>
                    <w:rPr>
                      <w:rFonts w:ascii="宋体" w:hAnsi="宋体" w:cs="宋体"/>
                      <w:color w:val="auto"/>
                      <w:sz w:val="22"/>
                      <w:highlight w:val="none"/>
                    </w:rPr>
                  </w:pPr>
                </w:p>
              </w:tc>
              <w:tc>
                <w:tcPr>
                  <w:tcW w:w="2571" w:type="dxa"/>
                  <w:vMerge w:val="restart"/>
                  <w:tcBorders>
                    <w:top w:val="single" w:color="auto" w:sz="4" w:space="0"/>
                    <w:left w:val="single" w:color="auto" w:sz="4" w:space="0"/>
                    <w:bottom w:val="single" w:color="auto" w:sz="4" w:space="0"/>
                    <w:right w:val="single" w:color="auto" w:sz="4" w:space="0"/>
                  </w:tcBorders>
                  <w:vAlign w:val="center"/>
                </w:tcPr>
                <w:p w14:paraId="4F889AF1">
                  <w:pPr>
                    <w:adjustRightInd w:val="0"/>
                    <w:snapToGrid w:val="0"/>
                    <w:ind w:firstLine="480"/>
                    <w:rPr>
                      <w:rFonts w:ascii="宋体" w:hAnsi="宋体" w:cs="宋体"/>
                      <w:color w:val="auto"/>
                      <w:sz w:val="22"/>
                      <w:highlight w:val="none"/>
                    </w:rPr>
                  </w:pPr>
                </w:p>
              </w:tc>
            </w:tr>
            <w:tr w14:paraId="7FD2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689" w:type="dxa"/>
                  <w:tcBorders>
                    <w:top w:val="single" w:color="auto" w:sz="4" w:space="0"/>
                    <w:left w:val="single" w:color="auto" w:sz="4" w:space="0"/>
                    <w:bottom w:val="single" w:color="auto" w:sz="4" w:space="0"/>
                    <w:right w:val="single" w:color="auto" w:sz="4" w:space="0"/>
                  </w:tcBorders>
                  <w:vAlign w:val="center"/>
                </w:tcPr>
                <w:p w14:paraId="31E9C180">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年度满意度测评</w:t>
                  </w:r>
                </w:p>
              </w:tc>
              <w:tc>
                <w:tcPr>
                  <w:tcW w:w="1132" w:type="dxa"/>
                  <w:tcBorders>
                    <w:top w:val="single" w:color="auto" w:sz="4" w:space="0"/>
                    <w:left w:val="single" w:color="auto" w:sz="4" w:space="0"/>
                    <w:bottom w:val="single" w:color="auto" w:sz="4" w:space="0"/>
                    <w:right w:val="single" w:color="auto" w:sz="4" w:space="0"/>
                  </w:tcBorders>
                  <w:vAlign w:val="center"/>
                </w:tcPr>
                <w:p w14:paraId="5A4175C1">
                  <w:pPr>
                    <w:adjustRightInd w:val="0"/>
                    <w:snapToGrid w:val="0"/>
                    <w:ind w:firstLine="480"/>
                    <w:jc w:val="center"/>
                    <w:rPr>
                      <w:rFonts w:ascii="宋体" w:hAnsi="宋体" w:cs="宋体"/>
                      <w:color w:val="auto"/>
                      <w:sz w:val="22"/>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14:paraId="3C00677A">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30%</w:t>
                  </w:r>
                </w:p>
              </w:tc>
              <w:tc>
                <w:tcPr>
                  <w:tcW w:w="1401" w:type="dxa"/>
                  <w:tcBorders>
                    <w:top w:val="single" w:color="auto" w:sz="4" w:space="0"/>
                    <w:left w:val="single" w:color="auto" w:sz="4" w:space="0"/>
                    <w:bottom w:val="single" w:color="auto" w:sz="4" w:space="0"/>
                    <w:right w:val="single" w:color="auto" w:sz="4" w:space="0"/>
                  </w:tcBorders>
                  <w:vAlign w:val="center"/>
                </w:tcPr>
                <w:p w14:paraId="02F60CC0">
                  <w:pPr>
                    <w:adjustRightInd w:val="0"/>
                    <w:snapToGrid w:val="0"/>
                    <w:ind w:firstLine="480"/>
                    <w:jc w:val="center"/>
                    <w:rPr>
                      <w:rFonts w:ascii="宋体" w:hAnsi="宋体" w:cs="宋体"/>
                      <w:color w:val="auto"/>
                      <w:sz w:val="22"/>
                      <w:highlight w:val="none"/>
                    </w:rPr>
                  </w:pPr>
                </w:p>
              </w:tc>
              <w:tc>
                <w:tcPr>
                  <w:tcW w:w="2571" w:type="dxa"/>
                  <w:vMerge w:val="continue"/>
                  <w:tcBorders>
                    <w:top w:val="single" w:color="auto" w:sz="4" w:space="0"/>
                    <w:left w:val="single" w:color="auto" w:sz="4" w:space="0"/>
                    <w:bottom w:val="single" w:color="auto" w:sz="4" w:space="0"/>
                    <w:right w:val="single" w:color="auto" w:sz="4" w:space="0"/>
                  </w:tcBorders>
                  <w:vAlign w:val="center"/>
                </w:tcPr>
                <w:p w14:paraId="0305B981">
                  <w:pPr>
                    <w:adjustRightInd w:val="0"/>
                    <w:snapToGrid w:val="0"/>
                    <w:ind w:firstLine="480"/>
                    <w:rPr>
                      <w:rFonts w:ascii="宋体" w:hAnsi="宋体" w:cs="宋体"/>
                      <w:color w:val="auto"/>
                      <w:sz w:val="22"/>
                      <w:highlight w:val="none"/>
                    </w:rPr>
                  </w:pPr>
                </w:p>
              </w:tc>
            </w:tr>
            <w:tr w14:paraId="0B80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821" w:type="dxa"/>
                  <w:gridSpan w:val="2"/>
                  <w:tcBorders>
                    <w:top w:val="single" w:color="auto" w:sz="4" w:space="0"/>
                    <w:left w:val="single" w:color="auto" w:sz="4" w:space="0"/>
                    <w:bottom w:val="single" w:color="auto" w:sz="4" w:space="0"/>
                    <w:right w:val="single" w:color="auto" w:sz="4" w:space="0"/>
                  </w:tcBorders>
                  <w:vAlign w:val="center"/>
                </w:tcPr>
                <w:p w14:paraId="34025890">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年度考核得分</w:t>
                  </w:r>
                </w:p>
              </w:tc>
              <w:tc>
                <w:tcPr>
                  <w:tcW w:w="1558" w:type="dxa"/>
                  <w:tcBorders>
                    <w:top w:val="single" w:color="auto" w:sz="4" w:space="0"/>
                    <w:left w:val="single" w:color="auto" w:sz="4" w:space="0"/>
                    <w:bottom w:val="single" w:color="auto" w:sz="4" w:space="0"/>
                    <w:right w:val="single" w:color="auto" w:sz="4" w:space="0"/>
                  </w:tcBorders>
                  <w:vAlign w:val="center"/>
                </w:tcPr>
                <w:p w14:paraId="69291262">
                  <w:pPr>
                    <w:adjustRightInd w:val="0"/>
                    <w:snapToGrid w:val="0"/>
                    <w:jc w:val="center"/>
                    <w:rPr>
                      <w:rFonts w:ascii="宋体" w:hAnsi="宋体" w:cs="宋体"/>
                      <w:color w:val="auto"/>
                      <w:sz w:val="22"/>
                      <w:highlight w:val="none"/>
                    </w:rPr>
                  </w:pPr>
                  <w:r>
                    <w:rPr>
                      <w:rFonts w:hint="eastAsia" w:ascii="宋体" w:hAnsi="宋体" w:cs="宋体"/>
                      <w:color w:val="auto"/>
                      <w:sz w:val="22"/>
                      <w:highlight w:val="none"/>
                    </w:rPr>
                    <w:t>100%</w:t>
                  </w:r>
                </w:p>
              </w:tc>
              <w:tc>
                <w:tcPr>
                  <w:tcW w:w="1401" w:type="dxa"/>
                  <w:tcBorders>
                    <w:top w:val="single" w:color="auto" w:sz="4" w:space="0"/>
                    <w:left w:val="single" w:color="auto" w:sz="4" w:space="0"/>
                    <w:bottom w:val="single" w:color="auto" w:sz="4" w:space="0"/>
                    <w:right w:val="single" w:color="auto" w:sz="4" w:space="0"/>
                  </w:tcBorders>
                  <w:vAlign w:val="center"/>
                </w:tcPr>
                <w:p w14:paraId="62205B58">
                  <w:pPr>
                    <w:adjustRightInd w:val="0"/>
                    <w:snapToGrid w:val="0"/>
                    <w:ind w:firstLine="480"/>
                    <w:jc w:val="center"/>
                    <w:rPr>
                      <w:rFonts w:ascii="宋体" w:hAnsi="宋体" w:cs="宋体"/>
                      <w:color w:val="auto"/>
                      <w:sz w:val="22"/>
                      <w:highlight w:val="none"/>
                    </w:rPr>
                  </w:pPr>
                </w:p>
              </w:tc>
              <w:tc>
                <w:tcPr>
                  <w:tcW w:w="2571" w:type="dxa"/>
                  <w:vMerge w:val="continue"/>
                  <w:tcBorders>
                    <w:top w:val="single" w:color="auto" w:sz="4" w:space="0"/>
                    <w:left w:val="single" w:color="auto" w:sz="4" w:space="0"/>
                    <w:bottom w:val="single" w:color="auto" w:sz="4" w:space="0"/>
                    <w:right w:val="single" w:color="auto" w:sz="4" w:space="0"/>
                  </w:tcBorders>
                  <w:vAlign w:val="center"/>
                </w:tcPr>
                <w:p w14:paraId="1BCDACEF">
                  <w:pPr>
                    <w:widowControl/>
                    <w:ind w:firstLine="480"/>
                    <w:jc w:val="left"/>
                    <w:rPr>
                      <w:rFonts w:ascii="宋体" w:hAnsi="宋体" w:cs="宋体"/>
                      <w:color w:val="auto"/>
                      <w:sz w:val="22"/>
                      <w:highlight w:val="none"/>
                    </w:rPr>
                  </w:pPr>
                </w:p>
              </w:tc>
            </w:tr>
          </w:tbl>
          <w:p w14:paraId="542422E3">
            <w:pPr>
              <w:adjustRightInd w:val="0"/>
              <w:snapToGrid w:val="0"/>
              <w:spacing w:line="360" w:lineRule="auto"/>
              <w:ind w:firstLine="480"/>
              <w:rPr>
                <w:rFonts w:ascii="宋体" w:hAnsi="宋体" w:cs="宋体"/>
                <w:color w:val="auto"/>
                <w:sz w:val="22"/>
                <w:highlight w:val="none"/>
              </w:rPr>
            </w:pPr>
          </w:p>
          <w:p w14:paraId="1C79F368">
            <w:pPr>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核算人员：</w:t>
            </w:r>
          </w:p>
          <w:p w14:paraId="74D5CCB4">
            <w:pPr>
              <w:spacing w:line="360" w:lineRule="auto"/>
              <w:jc w:val="center"/>
              <w:rPr>
                <w:rFonts w:ascii="宋体" w:hAnsi="宋体" w:cs="宋体"/>
                <w:b/>
                <w:bCs/>
                <w:color w:val="auto"/>
                <w:sz w:val="22"/>
                <w:highlight w:val="none"/>
              </w:rPr>
            </w:pPr>
            <w:r>
              <w:rPr>
                <w:rFonts w:hint="eastAsia" w:ascii="宋体" w:hAnsi="宋体" w:cs="宋体"/>
                <w:color w:val="auto"/>
                <w:sz w:val="22"/>
                <w:highlight w:val="none"/>
              </w:rPr>
              <w:t>复核人员</w:t>
            </w:r>
            <w:r>
              <w:rPr>
                <w:rFonts w:hint="eastAsia" w:ascii="宋体" w:hAnsi="宋体" w:cs="宋体"/>
                <w:b/>
                <w:bCs/>
                <w:color w:val="auto"/>
                <w:sz w:val="22"/>
                <w:highlight w:val="none"/>
              </w:rPr>
              <w:t>温州肯恩大学考核事项告知单</w:t>
            </w:r>
          </w:p>
          <w:p w14:paraId="67BC756C">
            <w:pPr>
              <w:spacing w:line="360" w:lineRule="auto"/>
              <w:jc w:val="right"/>
              <w:rPr>
                <w:rFonts w:ascii="宋体" w:hAnsi="宋体" w:cs="宋体"/>
                <w:color w:val="auto"/>
                <w:sz w:val="22"/>
                <w:highlight w:val="none"/>
              </w:rPr>
            </w:pPr>
            <w:r>
              <w:rPr>
                <w:rFonts w:hint="eastAsia" w:ascii="宋体" w:hAnsi="宋体" w:cs="宋体"/>
                <w:color w:val="auto"/>
                <w:sz w:val="22"/>
                <w:highlight w:val="none"/>
              </w:rPr>
              <w:t>编号：</w:t>
            </w:r>
          </w:p>
          <w:p w14:paraId="133576DA">
            <w:pPr>
              <w:spacing w:line="360" w:lineRule="auto"/>
              <w:ind w:firstLine="640"/>
              <w:rPr>
                <w:rFonts w:ascii="宋体" w:hAnsi="宋体" w:cs="宋体"/>
                <w:color w:val="auto"/>
                <w:sz w:val="22"/>
                <w:highlight w:val="none"/>
              </w:rPr>
            </w:pPr>
          </w:p>
          <w:p w14:paraId="58EFF299">
            <w:pPr>
              <w:spacing w:line="360" w:lineRule="auto"/>
              <w:rPr>
                <w:rFonts w:ascii="宋体" w:hAnsi="宋体" w:cs="宋体"/>
                <w:bCs/>
                <w:color w:val="auto"/>
                <w:spacing w:val="-6"/>
                <w:sz w:val="22"/>
                <w:highlight w:val="none"/>
              </w:rPr>
            </w:pP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公司:</w:t>
            </w:r>
          </w:p>
          <w:p w14:paraId="4AE7FAF0">
            <w:pPr>
              <w:tabs>
                <w:tab w:val="left" w:pos="0"/>
              </w:tabs>
              <w:spacing w:line="360" w:lineRule="auto"/>
              <w:ind w:firstLine="618"/>
              <w:rPr>
                <w:rFonts w:ascii="宋体" w:hAnsi="宋体" w:cs="宋体"/>
                <w:bCs/>
                <w:color w:val="auto"/>
                <w:spacing w:val="-6"/>
                <w:sz w:val="22"/>
                <w:highlight w:val="none"/>
              </w:rPr>
            </w:pPr>
            <w:r>
              <w:rPr>
                <w:rFonts w:hint="eastAsia" w:ascii="宋体" w:hAnsi="宋体" w:cs="宋体"/>
                <w:bCs/>
                <w:color w:val="auto"/>
                <w:spacing w:val="-6"/>
                <w:sz w:val="22"/>
                <w:highlight w:val="none"/>
              </w:rPr>
              <w:t>根据服务合同，在</w:t>
            </w: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年</w:t>
            </w: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月</w:t>
            </w: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日的校园检查时，发现如下问题：</w:t>
            </w: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，请于</w:t>
            </w: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日内整改完毕，否则根据服务考核条款，将给予罚金</w:t>
            </w:r>
            <w:r>
              <w:rPr>
                <w:rFonts w:hint="eastAsia" w:ascii="宋体" w:hAnsi="宋体" w:cs="宋体"/>
                <w:bCs/>
                <w:color w:val="auto"/>
                <w:spacing w:val="-6"/>
                <w:sz w:val="22"/>
                <w:highlight w:val="none"/>
                <w:u w:val="single"/>
              </w:rPr>
              <w:t xml:space="preserve">            </w:t>
            </w:r>
            <w:r>
              <w:rPr>
                <w:rFonts w:hint="eastAsia" w:ascii="宋体" w:hAnsi="宋体" w:cs="宋体"/>
                <w:bCs/>
                <w:color w:val="auto"/>
                <w:spacing w:val="-6"/>
                <w:sz w:val="22"/>
                <w:highlight w:val="none"/>
              </w:rPr>
              <w:t>元整。</w:t>
            </w:r>
          </w:p>
          <w:p w14:paraId="3FCB82CF">
            <w:pPr>
              <w:spacing w:line="360" w:lineRule="auto"/>
              <w:ind w:firstLine="618"/>
              <w:rPr>
                <w:rFonts w:ascii="宋体" w:hAnsi="宋体" w:cs="宋体"/>
                <w:bCs/>
                <w:color w:val="auto"/>
                <w:spacing w:val="-6"/>
                <w:sz w:val="22"/>
                <w:highlight w:val="none"/>
              </w:rPr>
            </w:pPr>
            <w:r>
              <w:rPr>
                <w:rFonts w:hint="eastAsia" w:ascii="宋体" w:hAnsi="宋体" w:cs="宋体"/>
                <w:bCs/>
                <w:color w:val="auto"/>
                <w:spacing w:val="-6"/>
                <w:sz w:val="22"/>
                <w:highlight w:val="none"/>
              </w:rPr>
              <w:t xml:space="preserve">                          </w:t>
            </w:r>
          </w:p>
          <w:p w14:paraId="0B946482">
            <w:pPr>
              <w:spacing w:line="360" w:lineRule="auto"/>
              <w:ind w:firstLine="416" w:firstLineChars="200"/>
              <w:jc w:val="left"/>
              <w:rPr>
                <w:rFonts w:ascii="宋体" w:hAnsi="宋体" w:cs="宋体"/>
                <w:bCs/>
                <w:color w:val="auto"/>
                <w:spacing w:val="-6"/>
                <w:sz w:val="22"/>
                <w:highlight w:val="none"/>
              </w:rPr>
            </w:pPr>
            <w:r>
              <w:rPr>
                <w:rFonts w:hint="eastAsia" w:ascii="宋体" w:hAnsi="宋体" w:cs="宋体"/>
                <w:bCs/>
                <w:color w:val="auto"/>
                <w:spacing w:val="-6"/>
                <w:sz w:val="22"/>
                <w:highlight w:val="none"/>
              </w:rPr>
              <w:t>检查人：                  分管负责人：</w:t>
            </w:r>
          </w:p>
          <w:p w14:paraId="47501068">
            <w:pPr>
              <w:spacing w:line="360" w:lineRule="auto"/>
              <w:ind w:firstLine="2912" w:firstLineChars="1400"/>
              <w:jc w:val="left"/>
              <w:rPr>
                <w:rFonts w:ascii="宋体" w:hAnsi="宋体" w:cs="宋体"/>
                <w:bCs/>
                <w:color w:val="auto"/>
                <w:spacing w:val="-6"/>
                <w:sz w:val="22"/>
                <w:highlight w:val="none"/>
              </w:rPr>
            </w:pPr>
          </w:p>
          <w:p w14:paraId="5244019B">
            <w:pPr>
              <w:spacing w:line="360" w:lineRule="auto"/>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温州肯恩大学后勤部</w:t>
            </w:r>
          </w:p>
          <w:p w14:paraId="1202DCB5">
            <w:pPr>
              <w:spacing w:line="360" w:lineRule="auto"/>
              <w:jc w:val="center"/>
              <w:rPr>
                <w:rFonts w:ascii="宋体" w:hAnsi="宋体" w:cs="宋体"/>
                <w:bCs/>
                <w:color w:val="auto"/>
                <w:spacing w:val="-6"/>
                <w:sz w:val="22"/>
                <w:highlight w:val="none"/>
              </w:rPr>
            </w:pPr>
          </w:p>
          <w:p w14:paraId="02FBD2CC">
            <w:pPr>
              <w:spacing w:line="360" w:lineRule="auto"/>
              <w:jc w:val="right"/>
              <w:rPr>
                <w:rFonts w:ascii="宋体" w:hAnsi="宋体" w:cs="宋体"/>
                <w:bCs/>
                <w:color w:val="auto"/>
                <w:spacing w:val="-6"/>
                <w:sz w:val="22"/>
                <w:highlight w:val="none"/>
              </w:rPr>
            </w:pPr>
            <w:r>
              <w:rPr>
                <w:rFonts w:hint="eastAsia" w:ascii="宋体" w:hAnsi="宋体" w:cs="宋体"/>
                <w:bCs/>
                <w:color w:val="auto"/>
                <w:spacing w:val="-6"/>
                <w:sz w:val="22"/>
                <w:highlight w:val="none"/>
              </w:rPr>
              <w:t xml:space="preserve">     年     月     日</w:t>
            </w:r>
          </w:p>
          <w:p w14:paraId="7D22110C">
            <w:pPr>
              <w:spacing w:line="360" w:lineRule="auto"/>
              <w:rPr>
                <w:rFonts w:ascii="宋体" w:hAnsi="宋体" w:cs="宋体"/>
                <w:b/>
                <w:bCs/>
                <w:color w:val="auto"/>
                <w:sz w:val="22"/>
                <w:highlight w:val="none"/>
              </w:rPr>
            </w:pPr>
            <w:r>
              <w:rPr>
                <w:rFonts w:hint="eastAsia" w:ascii="宋体" w:hAnsi="宋体" w:cs="宋体"/>
                <w:color w:val="auto"/>
                <w:sz w:val="22"/>
                <w:highlight w:val="none"/>
              </w:rPr>
              <w:br w:type="page"/>
            </w:r>
            <w:r>
              <w:rPr>
                <w:rFonts w:hint="eastAsia" w:ascii="宋体" w:hAnsi="宋体" w:cs="宋体"/>
                <w:b/>
                <w:bCs/>
                <w:color w:val="auto"/>
                <w:sz w:val="22"/>
                <w:highlight w:val="none"/>
              </w:rPr>
              <w:t xml:space="preserve">温州肯恩大学考核扣款通知单    </w:t>
            </w:r>
          </w:p>
          <w:p w14:paraId="6D7408C4">
            <w:pPr>
              <w:spacing w:line="360" w:lineRule="auto"/>
              <w:ind w:firstLine="640"/>
              <w:jc w:val="right"/>
              <w:rPr>
                <w:rFonts w:ascii="宋体" w:hAnsi="宋体" w:cs="宋体"/>
                <w:color w:val="auto"/>
                <w:sz w:val="22"/>
                <w:highlight w:val="none"/>
              </w:rPr>
            </w:pPr>
            <w:r>
              <w:rPr>
                <w:rFonts w:hint="eastAsia" w:ascii="宋体" w:hAnsi="宋体" w:cs="宋体"/>
                <w:color w:val="auto"/>
                <w:sz w:val="22"/>
                <w:highlight w:val="none"/>
              </w:rPr>
              <w:t>编号：</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3621"/>
              <w:gridCol w:w="2355"/>
              <w:gridCol w:w="2355"/>
            </w:tblGrid>
            <w:tr w14:paraId="7E89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88" w:type="dxa"/>
                  <w:vAlign w:val="center"/>
                </w:tcPr>
                <w:p w14:paraId="4C73D4C6">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3621" w:type="dxa"/>
                  <w:vAlign w:val="center"/>
                </w:tcPr>
                <w:p w14:paraId="1C861001">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考核事项告知单编号</w:t>
                  </w:r>
                </w:p>
              </w:tc>
              <w:tc>
                <w:tcPr>
                  <w:tcW w:w="2355" w:type="dxa"/>
                  <w:vAlign w:val="center"/>
                </w:tcPr>
                <w:p w14:paraId="4587CC05">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扣款额</w:t>
                  </w:r>
                </w:p>
              </w:tc>
              <w:tc>
                <w:tcPr>
                  <w:tcW w:w="2355" w:type="dxa"/>
                  <w:vAlign w:val="center"/>
                </w:tcPr>
                <w:p w14:paraId="39072893">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备注</w:t>
                  </w:r>
                </w:p>
              </w:tc>
            </w:tr>
            <w:tr w14:paraId="3A65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8" w:type="dxa"/>
                  <w:vAlign w:val="center"/>
                </w:tcPr>
                <w:p w14:paraId="38DCAA7D">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1</w:t>
                  </w:r>
                </w:p>
              </w:tc>
              <w:tc>
                <w:tcPr>
                  <w:tcW w:w="3621" w:type="dxa"/>
                  <w:vAlign w:val="center"/>
                </w:tcPr>
                <w:p w14:paraId="023B184D">
                  <w:pPr>
                    <w:jc w:val="center"/>
                    <w:rPr>
                      <w:rFonts w:ascii="宋体" w:hAnsi="宋体" w:cs="宋体"/>
                      <w:b/>
                      <w:color w:val="auto"/>
                      <w:spacing w:val="-6"/>
                      <w:sz w:val="22"/>
                      <w:highlight w:val="none"/>
                    </w:rPr>
                  </w:pPr>
                </w:p>
              </w:tc>
              <w:tc>
                <w:tcPr>
                  <w:tcW w:w="2355" w:type="dxa"/>
                  <w:vAlign w:val="center"/>
                </w:tcPr>
                <w:p w14:paraId="173643E8">
                  <w:pPr>
                    <w:jc w:val="center"/>
                    <w:rPr>
                      <w:rFonts w:ascii="宋体" w:hAnsi="宋体" w:cs="宋体"/>
                      <w:b/>
                      <w:color w:val="auto"/>
                      <w:spacing w:val="-6"/>
                      <w:sz w:val="22"/>
                      <w:highlight w:val="none"/>
                    </w:rPr>
                  </w:pPr>
                </w:p>
              </w:tc>
              <w:tc>
                <w:tcPr>
                  <w:tcW w:w="2355" w:type="dxa"/>
                  <w:vAlign w:val="center"/>
                </w:tcPr>
                <w:p w14:paraId="499B7191">
                  <w:pPr>
                    <w:jc w:val="center"/>
                    <w:rPr>
                      <w:rFonts w:ascii="宋体" w:hAnsi="宋体" w:cs="宋体"/>
                      <w:b/>
                      <w:color w:val="auto"/>
                      <w:spacing w:val="-6"/>
                      <w:sz w:val="22"/>
                      <w:highlight w:val="none"/>
                    </w:rPr>
                  </w:pPr>
                </w:p>
              </w:tc>
            </w:tr>
            <w:tr w14:paraId="0B9B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8" w:type="dxa"/>
                  <w:vAlign w:val="center"/>
                </w:tcPr>
                <w:p w14:paraId="1AA5138A">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2</w:t>
                  </w:r>
                </w:p>
              </w:tc>
              <w:tc>
                <w:tcPr>
                  <w:tcW w:w="3621" w:type="dxa"/>
                  <w:vAlign w:val="center"/>
                </w:tcPr>
                <w:p w14:paraId="505F68D5">
                  <w:pPr>
                    <w:jc w:val="center"/>
                    <w:rPr>
                      <w:rFonts w:ascii="宋体" w:hAnsi="宋体" w:cs="宋体"/>
                      <w:b/>
                      <w:color w:val="auto"/>
                      <w:spacing w:val="-6"/>
                      <w:sz w:val="22"/>
                      <w:highlight w:val="none"/>
                    </w:rPr>
                  </w:pPr>
                </w:p>
              </w:tc>
              <w:tc>
                <w:tcPr>
                  <w:tcW w:w="2355" w:type="dxa"/>
                  <w:vAlign w:val="center"/>
                </w:tcPr>
                <w:p w14:paraId="3941FB68">
                  <w:pPr>
                    <w:jc w:val="center"/>
                    <w:rPr>
                      <w:rFonts w:ascii="宋体" w:hAnsi="宋体" w:cs="宋体"/>
                      <w:b/>
                      <w:color w:val="auto"/>
                      <w:spacing w:val="-6"/>
                      <w:sz w:val="22"/>
                      <w:highlight w:val="none"/>
                    </w:rPr>
                  </w:pPr>
                </w:p>
              </w:tc>
              <w:tc>
                <w:tcPr>
                  <w:tcW w:w="2355" w:type="dxa"/>
                  <w:vAlign w:val="center"/>
                </w:tcPr>
                <w:p w14:paraId="1F994E26">
                  <w:pPr>
                    <w:jc w:val="center"/>
                    <w:rPr>
                      <w:rFonts w:ascii="宋体" w:hAnsi="宋体" w:cs="宋体"/>
                      <w:b/>
                      <w:color w:val="auto"/>
                      <w:spacing w:val="-6"/>
                      <w:sz w:val="22"/>
                      <w:highlight w:val="none"/>
                    </w:rPr>
                  </w:pPr>
                </w:p>
              </w:tc>
            </w:tr>
            <w:tr w14:paraId="392E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8" w:type="dxa"/>
                  <w:vAlign w:val="center"/>
                </w:tcPr>
                <w:p w14:paraId="1B8BB160">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3</w:t>
                  </w:r>
                </w:p>
              </w:tc>
              <w:tc>
                <w:tcPr>
                  <w:tcW w:w="3621" w:type="dxa"/>
                  <w:vAlign w:val="center"/>
                </w:tcPr>
                <w:p w14:paraId="2BFABC5E">
                  <w:pPr>
                    <w:jc w:val="center"/>
                    <w:rPr>
                      <w:rFonts w:ascii="宋体" w:hAnsi="宋体" w:cs="宋体"/>
                      <w:b/>
                      <w:color w:val="auto"/>
                      <w:spacing w:val="-6"/>
                      <w:sz w:val="22"/>
                      <w:highlight w:val="none"/>
                    </w:rPr>
                  </w:pPr>
                </w:p>
              </w:tc>
              <w:tc>
                <w:tcPr>
                  <w:tcW w:w="2355" w:type="dxa"/>
                  <w:vAlign w:val="center"/>
                </w:tcPr>
                <w:p w14:paraId="222E599E">
                  <w:pPr>
                    <w:jc w:val="center"/>
                    <w:rPr>
                      <w:rFonts w:ascii="宋体" w:hAnsi="宋体" w:cs="宋体"/>
                      <w:b/>
                      <w:color w:val="auto"/>
                      <w:spacing w:val="-6"/>
                      <w:sz w:val="22"/>
                      <w:highlight w:val="none"/>
                    </w:rPr>
                  </w:pPr>
                </w:p>
              </w:tc>
              <w:tc>
                <w:tcPr>
                  <w:tcW w:w="2355" w:type="dxa"/>
                  <w:vAlign w:val="center"/>
                </w:tcPr>
                <w:p w14:paraId="4936A950">
                  <w:pPr>
                    <w:jc w:val="center"/>
                    <w:rPr>
                      <w:rFonts w:ascii="宋体" w:hAnsi="宋体" w:cs="宋体"/>
                      <w:b/>
                      <w:color w:val="auto"/>
                      <w:spacing w:val="-6"/>
                      <w:sz w:val="22"/>
                      <w:highlight w:val="none"/>
                    </w:rPr>
                  </w:pPr>
                </w:p>
              </w:tc>
            </w:tr>
            <w:tr w14:paraId="1482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8" w:type="dxa"/>
                  <w:vAlign w:val="center"/>
                </w:tcPr>
                <w:p w14:paraId="7E7748A0">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4</w:t>
                  </w:r>
                </w:p>
              </w:tc>
              <w:tc>
                <w:tcPr>
                  <w:tcW w:w="3621" w:type="dxa"/>
                  <w:vAlign w:val="center"/>
                </w:tcPr>
                <w:p w14:paraId="5018F987">
                  <w:pPr>
                    <w:jc w:val="center"/>
                    <w:rPr>
                      <w:rFonts w:ascii="宋体" w:hAnsi="宋体" w:cs="宋体"/>
                      <w:b/>
                      <w:color w:val="auto"/>
                      <w:spacing w:val="-6"/>
                      <w:sz w:val="22"/>
                      <w:highlight w:val="none"/>
                    </w:rPr>
                  </w:pPr>
                </w:p>
              </w:tc>
              <w:tc>
                <w:tcPr>
                  <w:tcW w:w="2355" w:type="dxa"/>
                  <w:vAlign w:val="center"/>
                </w:tcPr>
                <w:p w14:paraId="5DEDD7D4">
                  <w:pPr>
                    <w:jc w:val="center"/>
                    <w:rPr>
                      <w:rFonts w:ascii="宋体" w:hAnsi="宋体" w:cs="宋体"/>
                      <w:b/>
                      <w:color w:val="auto"/>
                      <w:spacing w:val="-6"/>
                      <w:sz w:val="22"/>
                      <w:highlight w:val="none"/>
                    </w:rPr>
                  </w:pPr>
                </w:p>
              </w:tc>
              <w:tc>
                <w:tcPr>
                  <w:tcW w:w="2355" w:type="dxa"/>
                  <w:vAlign w:val="center"/>
                </w:tcPr>
                <w:p w14:paraId="106CF467">
                  <w:pPr>
                    <w:jc w:val="center"/>
                    <w:rPr>
                      <w:rFonts w:ascii="宋体" w:hAnsi="宋体" w:cs="宋体"/>
                      <w:b/>
                      <w:color w:val="auto"/>
                      <w:spacing w:val="-6"/>
                      <w:sz w:val="22"/>
                      <w:highlight w:val="none"/>
                    </w:rPr>
                  </w:pPr>
                </w:p>
              </w:tc>
            </w:tr>
            <w:tr w14:paraId="6C3B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8" w:type="dxa"/>
                  <w:vAlign w:val="center"/>
                </w:tcPr>
                <w:p w14:paraId="015C7FB6">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5</w:t>
                  </w:r>
                </w:p>
              </w:tc>
              <w:tc>
                <w:tcPr>
                  <w:tcW w:w="3621" w:type="dxa"/>
                  <w:vAlign w:val="center"/>
                </w:tcPr>
                <w:p w14:paraId="2391D6FE">
                  <w:pPr>
                    <w:jc w:val="center"/>
                    <w:rPr>
                      <w:rFonts w:ascii="宋体" w:hAnsi="宋体" w:cs="宋体"/>
                      <w:b/>
                      <w:color w:val="auto"/>
                      <w:spacing w:val="-6"/>
                      <w:sz w:val="22"/>
                      <w:highlight w:val="none"/>
                    </w:rPr>
                  </w:pPr>
                </w:p>
              </w:tc>
              <w:tc>
                <w:tcPr>
                  <w:tcW w:w="2355" w:type="dxa"/>
                  <w:vAlign w:val="center"/>
                </w:tcPr>
                <w:p w14:paraId="417B2229">
                  <w:pPr>
                    <w:jc w:val="center"/>
                    <w:rPr>
                      <w:rFonts w:ascii="宋体" w:hAnsi="宋体" w:cs="宋体"/>
                      <w:b/>
                      <w:color w:val="auto"/>
                      <w:spacing w:val="-6"/>
                      <w:sz w:val="22"/>
                      <w:highlight w:val="none"/>
                    </w:rPr>
                  </w:pPr>
                </w:p>
              </w:tc>
              <w:tc>
                <w:tcPr>
                  <w:tcW w:w="2355" w:type="dxa"/>
                  <w:vAlign w:val="center"/>
                </w:tcPr>
                <w:p w14:paraId="5F053638">
                  <w:pPr>
                    <w:jc w:val="center"/>
                    <w:rPr>
                      <w:rFonts w:ascii="宋体" w:hAnsi="宋体" w:cs="宋体"/>
                      <w:b/>
                      <w:color w:val="auto"/>
                      <w:spacing w:val="-6"/>
                      <w:sz w:val="22"/>
                      <w:highlight w:val="none"/>
                    </w:rPr>
                  </w:pPr>
                </w:p>
              </w:tc>
            </w:tr>
            <w:tr w14:paraId="35E4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88" w:type="dxa"/>
                  <w:vAlign w:val="center"/>
                </w:tcPr>
                <w:p w14:paraId="2C2612AD">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6</w:t>
                  </w:r>
                </w:p>
              </w:tc>
              <w:tc>
                <w:tcPr>
                  <w:tcW w:w="3621" w:type="dxa"/>
                  <w:vAlign w:val="center"/>
                </w:tcPr>
                <w:p w14:paraId="2BA3DDE4">
                  <w:pPr>
                    <w:jc w:val="center"/>
                    <w:rPr>
                      <w:rFonts w:ascii="宋体" w:hAnsi="宋体" w:cs="宋体"/>
                      <w:b/>
                      <w:color w:val="auto"/>
                      <w:spacing w:val="-6"/>
                      <w:sz w:val="22"/>
                      <w:highlight w:val="none"/>
                    </w:rPr>
                  </w:pPr>
                  <w:r>
                    <w:rPr>
                      <w:rFonts w:hint="eastAsia" w:ascii="宋体" w:hAnsi="宋体" w:cs="宋体"/>
                      <w:b/>
                      <w:color w:val="auto"/>
                      <w:spacing w:val="-6"/>
                      <w:sz w:val="22"/>
                      <w:highlight w:val="none"/>
                    </w:rPr>
                    <w:t>小计</w:t>
                  </w:r>
                </w:p>
              </w:tc>
              <w:tc>
                <w:tcPr>
                  <w:tcW w:w="2355" w:type="dxa"/>
                  <w:vAlign w:val="center"/>
                </w:tcPr>
                <w:p w14:paraId="0B84A9F6">
                  <w:pPr>
                    <w:jc w:val="center"/>
                    <w:rPr>
                      <w:rFonts w:ascii="宋体" w:hAnsi="宋体" w:cs="宋体"/>
                      <w:b/>
                      <w:color w:val="auto"/>
                      <w:spacing w:val="-6"/>
                      <w:sz w:val="22"/>
                      <w:highlight w:val="none"/>
                    </w:rPr>
                  </w:pPr>
                </w:p>
              </w:tc>
              <w:tc>
                <w:tcPr>
                  <w:tcW w:w="2355" w:type="dxa"/>
                  <w:vAlign w:val="center"/>
                </w:tcPr>
                <w:p w14:paraId="391B8A76">
                  <w:pPr>
                    <w:jc w:val="center"/>
                    <w:rPr>
                      <w:rFonts w:ascii="宋体" w:hAnsi="宋体" w:cs="宋体"/>
                      <w:b/>
                      <w:color w:val="auto"/>
                      <w:spacing w:val="-6"/>
                      <w:sz w:val="22"/>
                      <w:highlight w:val="none"/>
                    </w:rPr>
                  </w:pPr>
                </w:p>
              </w:tc>
            </w:tr>
          </w:tbl>
          <w:p w14:paraId="42FCF925">
            <w:pPr>
              <w:spacing w:before="156" w:after="156" w:line="360" w:lineRule="auto"/>
              <w:ind w:firstLine="2924" w:firstLineChars="1400"/>
              <w:jc w:val="left"/>
              <w:rPr>
                <w:rFonts w:ascii="宋体" w:hAnsi="宋体" w:cs="宋体"/>
                <w:b/>
                <w:color w:val="auto"/>
                <w:spacing w:val="-6"/>
                <w:sz w:val="22"/>
                <w:highlight w:val="none"/>
              </w:rPr>
            </w:pPr>
          </w:p>
          <w:p w14:paraId="723F109B">
            <w:pPr>
              <w:spacing w:before="156" w:after="156"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温州肯恩大学后勤部  </w:t>
            </w:r>
          </w:p>
          <w:p w14:paraId="601972E6">
            <w:pPr>
              <w:spacing w:before="156" w:after="156" w:line="360" w:lineRule="auto"/>
              <w:rPr>
                <w:rFonts w:ascii="宋体" w:hAnsi="宋体" w:cs="宋体"/>
                <w:b/>
                <w:color w:val="auto"/>
                <w:spacing w:val="-6"/>
                <w:sz w:val="22"/>
                <w:highlight w:val="none"/>
              </w:rPr>
            </w:pPr>
          </w:p>
          <w:p w14:paraId="624C405E">
            <w:pPr>
              <w:spacing w:before="156" w:after="156"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（服务单位签章）</w:t>
            </w:r>
          </w:p>
          <w:p w14:paraId="476C8D78">
            <w:pPr>
              <w:spacing w:before="156" w:after="156" w:line="360" w:lineRule="auto"/>
              <w:jc w:val="right"/>
              <w:rPr>
                <w:rStyle w:val="95"/>
                <w:rFonts w:ascii="宋体" w:hAnsi="宋体" w:cs="宋体"/>
                <w:b/>
                <w:bCs/>
                <w:color w:val="auto"/>
                <w:sz w:val="22"/>
                <w:szCs w:val="22"/>
                <w:highlight w:val="none"/>
              </w:rPr>
            </w:pPr>
            <w:r>
              <w:rPr>
                <w:rFonts w:hint="eastAsia" w:ascii="宋体" w:hAnsi="宋体" w:cs="宋体"/>
                <w:b/>
                <w:color w:val="auto"/>
                <w:spacing w:val="-6"/>
                <w:sz w:val="22"/>
                <w:highlight w:val="none"/>
              </w:rPr>
              <w:t>年</w:t>
            </w:r>
            <w:r>
              <w:rPr>
                <w:rFonts w:hint="eastAsia" w:ascii="宋体" w:hAnsi="宋体" w:cs="宋体"/>
                <w:b/>
                <w:color w:val="auto"/>
                <w:spacing w:val="-6"/>
                <w:sz w:val="22"/>
                <w:highlight w:val="none"/>
                <w:u w:val="single"/>
              </w:rPr>
              <w:t xml:space="preserve">   </w:t>
            </w:r>
            <w:r>
              <w:rPr>
                <w:rFonts w:hint="eastAsia" w:ascii="宋体" w:hAnsi="宋体" w:cs="宋体"/>
                <w:b/>
                <w:color w:val="auto"/>
                <w:spacing w:val="-6"/>
                <w:sz w:val="22"/>
                <w:highlight w:val="none"/>
              </w:rPr>
              <w:t>月</w:t>
            </w:r>
            <w:r>
              <w:rPr>
                <w:rFonts w:hint="eastAsia" w:ascii="宋体" w:hAnsi="宋体" w:cs="宋体"/>
                <w:b/>
                <w:color w:val="auto"/>
                <w:spacing w:val="-6"/>
                <w:sz w:val="22"/>
                <w:highlight w:val="none"/>
                <w:u w:val="single"/>
              </w:rPr>
              <w:t xml:space="preserve">  </w:t>
            </w:r>
            <w:r>
              <w:rPr>
                <w:rFonts w:hint="eastAsia" w:ascii="宋体" w:hAnsi="宋体" w:cs="宋体"/>
                <w:b/>
                <w:color w:val="auto"/>
                <w:spacing w:val="-6"/>
                <w:sz w:val="22"/>
                <w:highlight w:val="none"/>
              </w:rPr>
              <w:t>日</w:t>
            </w:r>
          </w:p>
          <w:p w14:paraId="310814CD">
            <w:pPr>
              <w:outlineLvl w:val="1"/>
              <w:rPr>
                <w:rFonts w:ascii="宋体" w:hAnsi="宋体" w:cs="宋体"/>
                <w:color w:val="auto"/>
                <w:sz w:val="22"/>
                <w:highlight w:val="none"/>
              </w:rPr>
            </w:pPr>
            <w:bookmarkStart w:id="30" w:name="_Hlk169849946"/>
            <w:bookmarkEnd w:id="30"/>
            <w:bookmarkStart w:id="31" w:name="_Toc293401393"/>
            <w:bookmarkEnd w:id="31"/>
          </w:p>
          <w:p w14:paraId="368A4006">
            <w:pPr>
              <w:keepNext/>
              <w:keepLines/>
              <w:snapToGrid w:val="0"/>
              <w:spacing w:before="260" w:after="260" w:line="680" w:lineRule="exact"/>
              <w:jc w:val="center"/>
              <w:rPr>
                <w:rFonts w:ascii="宋体" w:hAnsi="宋体" w:cs="宋体"/>
                <w:b/>
                <w:color w:val="auto"/>
                <w:sz w:val="22"/>
                <w:highlight w:val="none"/>
              </w:rPr>
            </w:pPr>
            <w:r>
              <w:rPr>
                <w:rFonts w:hint="eastAsia" w:ascii="宋体" w:hAnsi="宋体" w:cs="宋体"/>
                <w:b/>
                <w:color w:val="auto"/>
                <w:sz w:val="22"/>
                <w:highlight w:val="none"/>
              </w:rPr>
              <w:t>第八章、其他说明及要求</w:t>
            </w:r>
          </w:p>
          <w:p w14:paraId="4BE80ECA">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   投标人可根据以上内容及要求进行管理机构设置、资源配置、质量管理控制及制订管理方案。</w:t>
            </w:r>
          </w:p>
          <w:p w14:paraId="59DBD48E">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   中标人应根据国家、省市的有关法律、法规，按照招标文件、投标文件和物业管理委托管理合同对本服务实施统一管理、综合服务、自主经营、自负盈亏。</w:t>
            </w:r>
          </w:p>
          <w:p w14:paraId="324B42C8">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3.   未达到管理合同中服务质量标准的，业主有权提出整改意见和限期改进并通报行政主管部门，当整改期限满后仍无明显改善的，将依据法律法规及政策规定，按法定程序解除物业管理委托管理合同。</w:t>
            </w:r>
          </w:p>
          <w:p w14:paraId="31F9DBEA">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4.   投标人中标后，应配备有经验的项目责任人，在运作期间如项目负责人需变更应事先得到业主同意。</w:t>
            </w:r>
          </w:p>
          <w:p w14:paraId="7A44F42F">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5.   中标人在与业主单位签订《中标合同》后的一个星期内，应派相关人员进驻管理现场，并履行下列职责：</w:t>
            </w:r>
          </w:p>
          <w:p w14:paraId="15888A32">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（1）熟悉服务区域的地理位置、环境条件、设施的配置、使用，服务区域物业管理用房的配置和设施配套情况；</w:t>
            </w:r>
          </w:p>
          <w:p w14:paraId="6F17023A">
            <w:pPr>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（2）办理物业管理承接手续时，要与业主交接所有与物业管理相关的资料和档案材料，并由双方授权代表签字。</w:t>
            </w:r>
          </w:p>
          <w:p w14:paraId="2C62068C">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6.   社会保险（除必须的养老保险外，还应包括第三者责任保险和员工人身意外保险）。</w:t>
            </w:r>
          </w:p>
          <w:p w14:paraId="4CEBC0D6">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（1）第三者责任保险：中标方应为参与承包区域经营的工作人员（包括人员以及第三方）投保，以保证在承包期间人员和财产以外遭受损失时得到补偿。</w:t>
            </w:r>
          </w:p>
          <w:p w14:paraId="40F6E96E">
            <w:pPr>
              <w:widowControl/>
              <w:snapToGrid w:val="0"/>
              <w:spacing w:line="440" w:lineRule="exact"/>
              <w:ind w:left="550" w:hanging="550"/>
              <w:rPr>
                <w:rFonts w:ascii="宋体" w:hAnsi="宋体" w:cs="宋体"/>
                <w:color w:val="auto"/>
                <w:sz w:val="22"/>
                <w:highlight w:val="none"/>
              </w:rPr>
            </w:pPr>
            <w:r>
              <w:rPr>
                <w:rFonts w:hint="eastAsia" w:ascii="宋体" w:hAnsi="宋体" w:cs="宋体"/>
                <w:color w:val="auto"/>
                <w:sz w:val="22"/>
                <w:highlight w:val="none"/>
              </w:rPr>
              <w:t>（2）员工人身意外保险：在承包期内，中标方应为其员工投保人身意外险，以保证业主在中标方工作人员索偿时不受任何责任的约束。</w:t>
            </w:r>
          </w:p>
          <w:p w14:paraId="4B3468F1">
            <w:pPr>
              <w:widowControl/>
              <w:snapToGrid w:val="0"/>
              <w:spacing w:line="440" w:lineRule="exact"/>
              <w:ind w:left="550" w:hanging="550"/>
              <w:rPr>
                <w:rFonts w:ascii="宋体" w:hAnsi="宋体" w:cs="宋体"/>
                <w:b w:val="0"/>
                <w:bCs w:val="0"/>
                <w:color w:val="auto"/>
                <w:sz w:val="22"/>
                <w:highlight w:val="none"/>
              </w:rPr>
            </w:pPr>
            <w:r>
              <w:rPr>
                <w:rFonts w:hint="eastAsia" w:ascii="宋体" w:hAnsi="宋体" w:cs="宋体"/>
                <w:color w:val="auto"/>
                <w:sz w:val="22"/>
                <w:highlight w:val="none"/>
              </w:rPr>
              <w:t xml:space="preserve">7.   </w:t>
            </w:r>
            <w:r>
              <w:rPr>
                <w:rFonts w:hint="eastAsia" w:ascii="宋体" w:hAnsi="宋体" w:cs="宋体"/>
                <w:b w:val="0"/>
                <w:bCs w:val="0"/>
                <w:color w:val="auto"/>
                <w:sz w:val="22"/>
                <w:highlight w:val="none"/>
              </w:rPr>
              <w:t>投标人所有员工必须根据采购人的规定，每天打卡上班。</w:t>
            </w:r>
          </w:p>
          <w:p w14:paraId="4B87C855">
            <w:pPr>
              <w:widowControl/>
              <w:snapToGrid w:val="0"/>
              <w:spacing w:line="440" w:lineRule="exact"/>
              <w:ind w:left="550" w:hanging="550"/>
              <w:rPr>
                <w:rFonts w:ascii="宋体" w:hAnsi="宋体" w:cs="宋体"/>
                <w:b w:val="0"/>
                <w:bCs w:val="0"/>
                <w:color w:val="auto"/>
                <w:sz w:val="22"/>
                <w:highlight w:val="none"/>
              </w:rPr>
            </w:pPr>
            <w:r>
              <w:rPr>
                <w:rFonts w:hint="eastAsia" w:ascii="宋体" w:hAnsi="宋体" w:cs="宋体"/>
                <w:b w:val="0"/>
                <w:bCs w:val="0"/>
                <w:color w:val="auto"/>
                <w:sz w:val="22"/>
                <w:highlight w:val="none"/>
              </w:rPr>
              <w:t>8.   采购人现有一批用于日常保洁的机械设备，投标人必须定期使用该批设备进行保洁作业并负责该批设备的维保，除正常损耗外，本项目合同到期后，所有设备应保持正常状态归还采购人。</w:t>
            </w:r>
          </w:p>
          <w:p w14:paraId="06978E36">
            <w:pPr>
              <w:widowControl/>
              <w:snapToGrid w:val="0"/>
              <w:spacing w:line="440" w:lineRule="exact"/>
              <w:ind w:left="552" w:hanging="552"/>
              <w:rPr>
                <w:rFonts w:ascii="宋体" w:hAnsi="宋体" w:cs="宋体"/>
                <w:color w:val="auto"/>
                <w:sz w:val="22"/>
                <w:highlight w:val="none"/>
              </w:rPr>
            </w:pPr>
            <w:r>
              <w:rPr>
                <w:rFonts w:hint="eastAsia" w:ascii="宋体" w:hAnsi="宋体" w:cs="宋体"/>
                <w:bCs/>
                <w:color w:val="auto"/>
                <w:sz w:val="22"/>
                <w:highlight w:val="none"/>
              </w:rPr>
              <w:t xml:space="preserve">9.   </w:t>
            </w:r>
            <w:r>
              <w:rPr>
                <w:rFonts w:hint="eastAsia" w:ascii="宋体" w:hAnsi="宋体" w:cs="宋体"/>
                <w:color w:val="auto"/>
                <w:sz w:val="22"/>
                <w:highlight w:val="none"/>
              </w:rPr>
              <w:t>投入本项目的项目负责人必须专职于本项目，除非特殊情况，未征得招标人同意，不得更换，否则采购人有权单方解除合同。</w:t>
            </w:r>
          </w:p>
          <w:p w14:paraId="14CADD7F">
            <w:pPr>
              <w:spacing w:line="460" w:lineRule="exact"/>
              <w:rPr>
                <w:rFonts w:ascii="宋体" w:hAnsi="宋体" w:cs="宋体"/>
                <w:color w:val="auto"/>
                <w:sz w:val="22"/>
                <w:highlight w:val="none"/>
              </w:rPr>
            </w:pPr>
            <w:r>
              <w:rPr>
                <w:rFonts w:hint="eastAsia" w:ascii="宋体" w:hAnsi="宋体" w:cs="宋体"/>
                <w:color w:val="auto"/>
                <w:sz w:val="22"/>
                <w:highlight w:val="none"/>
              </w:rPr>
              <w:t>10.  年度物业项目发生重大责任事故，给学校造成严重经济损失或严重不良影响的，除赔偿相应损失外，温州肯恩大学有权终止物业服务合同，并不支付任何形式的赔偿金或补偿金。</w:t>
            </w:r>
            <w:r>
              <w:rPr>
                <w:rFonts w:hint="eastAsia" w:ascii="宋体" w:hAnsi="宋体" w:cs="宋体"/>
                <w:b/>
                <w:bCs/>
                <w:color w:val="auto"/>
                <w:kern w:val="0"/>
                <w:sz w:val="22"/>
                <w:highlight w:val="none"/>
              </w:rPr>
              <w:br w:type="page"/>
            </w:r>
          </w:p>
        </w:tc>
      </w:tr>
    </w:tbl>
    <w:p w14:paraId="0B4A14A4">
      <w:pPr>
        <w:rPr>
          <w:color w:val="auto"/>
          <w:highlight w:val="none"/>
        </w:rPr>
      </w:pPr>
    </w:p>
    <w:p w14:paraId="6FB04FF3">
      <w:pPr>
        <w:spacing w:line="36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五．其他</w:t>
      </w:r>
    </w:p>
    <w:p w14:paraId="6A10CDD3">
      <w:pPr>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266A15B7">
      <w:pPr>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 xml:space="preserve">2.带“▲且加下划线”的有关技术和商务条款为实质性条款，投标人必须做出实质性响应，否则视为投标无效。 </w:t>
      </w:r>
    </w:p>
    <w:p w14:paraId="7E5507F7">
      <w:pPr>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3.如技术部分中未特别注明需执行的国家相关标准、行业标准、地方标准或者其他标准、规范，则统一执行最新标准、规范。</w:t>
      </w:r>
    </w:p>
    <w:p w14:paraId="570C7A8A">
      <w:pPr>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1B8A1CD3">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br w:type="page"/>
      </w:r>
      <w:bookmarkStart w:id="32" w:name="_Toc24725"/>
      <w:r>
        <w:rPr>
          <w:rFonts w:hint="eastAsia" w:ascii="宋体" w:hAnsi="宋体" w:cs="宋体"/>
          <w:b/>
          <w:color w:val="auto"/>
          <w:sz w:val="32"/>
          <w:highlight w:val="none"/>
        </w:rPr>
        <w:t>第六部分 评标原则及方法</w:t>
      </w:r>
      <w:bookmarkEnd w:id="32"/>
    </w:p>
    <w:p w14:paraId="3EB0E605">
      <w:pPr>
        <w:pStyle w:val="3"/>
        <w:spacing w:after="0"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4DDB5007">
      <w:pPr>
        <w:spacing w:line="400" w:lineRule="exact"/>
        <w:ind w:firstLine="440" w:firstLineChars="200"/>
        <w:outlineLvl w:val="1"/>
        <w:rPr>
          <w:rFonts w:ascii="宋体" w:hAnsi="宋体" w:cs="宋体"/>
          <w:color w:val="auto"/>
          <w:sz w:val="22"/>
          <w:highlight w:val="none"/>
        </w:rPr>
      </w:pPr>
      <w:bookmarkStart w:id="33" w:name="_Toc30943"/>
      <w:r>
        <w:rPr>
          <w:rFonts w:hint="eastAsia" w:ascii="宋体" w:hAnsi="宋体" w:cs="宋体"/>
          <w:color w:val="auto"/>
          <w:sz w:val="22"/>
          <w:highlight w:val="none"/>
        </w:rPr>
        <w:t>一．总则</w:t>
      </w:r>
      <w:bookmarkEnd w:id="33"/>
    </w:p>
    <w:p w14:paraId="420F663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6EA6BEC0">
      <w:pPr>
        <w:spacing w:line="400" w:lineRule="exact"/>
        <w:ind w:firstLine="440" w:firstLineChars="200"/>
        <w:outlineLvl w:val="1"/>
        <w:rPr>
          <w:rFonts w:ascii="宋体" w:hAnsi="宋体" w:cs="宋体"/>
          <w:color w:val="auto"/>
          <w:sz w:val="22"/>
          <w:highlight w:val="none"/>
        </w:rPr>
      </w:pPr>
      <w:bookmarkStart w:id="34" w:name="_Toc18939"/>
      <w:r>
        <w:rPr>
          <w:rFonts w:hint="eastAsia" w:ascii="宋体" w:hAnsi="宋体" w:cs="宋体"/>
          <w:color w:val="auto"/>
          <w:sz w:val="22"/>
          <w:highlight w:val="none"/>
        </w:rPr>
        <w:t>二.评标组织</w:t>
      </w:r>
      <w:bookmarkEnd w:id="34"/>
    </w:p>
    <w:p w14:paraId="46C5A628">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14:paraId="4964B1E6">
      <w:pPr>
        <w:spacing w:line="400" w:lineRule="exact"/>
        <w:ind w:firstLine="440" w:firstLineChars="200"/>
        <w:outlineLvl w:val="1"/>
        <w:rPr>
          <w:rFonts w:ascii="宋体" w:hAnsi="宋体" w:cs="宋体"/>
          <w:color w:val="auto"/>
          <w:sz w:val="22"/>
          <w:highlight w:val="none"/>
        </w:rPr>
      </w:pPr>
      <w:bookmarkStart w:id="35" w:name="_Toc7464"/>
      <w:r>
        <w:rPr>
          <w:rFonts w:hint="eastAsia" w:ascii="宋体" w:hAnsi="宋体" w:cs="宋体"/>
          <w:color w:val="auto"/>
          <w:sz w:val="22"/>
          <w:highlight w:val="none"/>
        </w:rPr>
        <w:t>三.评标程序</w:t>
      </w:r>
      <w:bookmarkEnd w:id="35"/>
    </w:p>
    <w:p w14:paraId="6394B0E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540C8FAE">
      <w:pPr>
        <w:spacing w:line="400" w:lineRule="exact"/>
        <w:ind w:firstLine="440" w:firstLineChars="200"/>
        <w:outlineLvl w:val="1"/>
        <w:rPr>
          <w:rFonts w:ascii="宋体" w:hAnsi="宋体" w:cs="宋体"/>
          <w:color w:val="auto"/>
          <w:sz w:val="22"/>
          <w:highlight w:val="none"/>
        </w:rPr>
      </w:pPr>
      <w:bookmarkStart w:id="36" w:name="_Toc21198"/>
      <w:r>
        <w:rPr>
          <w:rFonts w:hint="eastAsia" w:ascii="宋体" w:hAnsi="宋体" w:cs="宋体"/>
          <w:color w:val="auto"/>
          <w:sz w:val="22"/>
          <w:highlight w:val="none"/>
        </w:rPr>
        <w:t>四.评标办法</w:t>
      </w:r>
      <w:bookmarkEnd w:id="36"/>
    </w:p>
    <w:p w14:paraId="45D9E0E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本评标办法采用百分制综合评分法，商务和技术80分（商务和技术权值80%），报价20分（价格权值20%）。最大限度地满足招标文件中规定的各项综合评价标准且综合得分最高的投标人，将被推荐为中标候选人。</w:t>
      </w:r>
    </w:p>
    <w:p w14:paraId="6A418D1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14:paraId="7AE2584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1.商务和技术分的评定（80分）</w:t>
      </w:r>
    </w:p>
    <w:p w14:paraId="39658906">
      <w:pPr>
        <w:pStyle w:val="60"/>
        <w:spacing w:line="360" w:lineRule="exact"/>
        <w:ind w:firstLine="0" w:firstLineChars="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pPr w:leftFromText="180" w:rightFromText="180" w:vertAnchor="text" w:horzAnchor="page" w:tblpX="1631" w:tblpY="413"/>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9"/>
        <w:gridCol w:w="1401"/>
        <w:gridCol w:w="769"/>
        <w:gridCol w:w="5938"/>
      </w:tblGrid>
      <w:tr w14:paraId="44BD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45E5C3E0">
            <w:pPr>
              <w:spacing w:line="360" w:lineRule="auto"/>
              <w:jc w:val="center"/>
              <w:rPr>
                <w:rFonts w:ascii="宋体" w:hAnsi="宋体" w:cs="宋体"/>
                <w:b w:val="0"/>
                <w:bCs w:val="0"/>
                <w:color w:val="auto"/>
                <w:sz w:val="22"/>
                <w:highlight w:val="none"/>
              </w:rPr>
            </w:pPr>
            <w:r>
              <w:rPr>
                <w:rFonts w:hint="eastAsia" w:ascii="宋体" w:hAnsi="宋体" w:cs="宋体"/>
                <w:b w:val="0"/>
                <w:bCs w:val="0"/>
                <w:color w:val="auto"/>
                <w:sz w:val="22"/>
                <w:highlight w:val="none"/>
              </w:rPr>
              <w:t>序号</w:t>
            </w:r>
          </w:p>
        </w:tc>
        <w:tc>
          <w:tcPr>
            <w:tcW w:w="1401" w:type="dxa"/>
            <w:vAlign w:val="center"/>
          </w:tcPr>
          <w:p w14:paraId="1A984118">
            <w:pPr>
              <w:spacing w:line="360" w:lineRule="auto"/>
              <w:jc w:val="center"/>
              <w:rPr>
                <w:rFonts w:ascii="宋体" w:hAnsi="宋体" w:cs="宋体"/>
                <w:b w:val="0"/>
                <w:bCs w:val="0"/>
                <w:color w:val="auto"/>
                <w:sz w:val="22"/>
                <w:highlight w:val="none"/>
              </w:rPr>
            </w:pPr>
            <w:r>
              <w:rPr>
                <w:rFonts w:hint="eastAsia" w:ascii="宋体" w:hAnsi="宋体" w:cs="宋体"/>
                <w:b w:val="0"/>
                <w:bCs w:val="0"/>
                <w:color w:val="auto"/>
                <w:sz w:val="22"/>
                <w:highlight w:val="none"/>
              </w:rPr>
              <w:t>评审项目</w:t>
            </w:r>
          </w:p>
        </w:tc>
        <w:tc>
          <w:tcPr>
            <w:tcW w:w="769" w:type="dxa"/>
            <w:vAlign w:val="center"/>
          </w:tcPr>
          <w:p w14:paraId="5E05EB97">
            <w:pPr>
              <w:spacing w:line="360" w:lineRule="auto"/>
              <w:jc w:val="center"/>
              <w:rPr>
                <w:rFonts w:ascii="宋体" w:hAnsi="宋体" w:cs="宋体"/>
                <w:b w:val="0"/>
                <w:bCs w:val="0"/>
                <w:color w:val="auto"/>
                <w:sz w:val="22"/>
                <w:highlight w:val="none"/>
              </w:rPr>
            </w:pPr>
            <w:r>
              <w:rPr>
                <w:rFonts w:hint="eastAsia" w:ascii="宋体" w:hAnsi="宋体" w:cs="宋体"/>
                <w:b w:val="0"/>
                <w:bCs w:val="0"/>
                <w:color w:val="auto"/>
                <w:sz w:val="22"/>
                <w:highlight w:val="none"/>
              </w:rPr>
              <w:t>分值</w:t>
            </w:r>
          </w:p>
        </w:tc>
        <w:tc>
          <w:tcPr>
            <w:tcW w:w="5938" w:type="dxa"/>
            <w:vAlign w:val="center"/>
          </w:tcPr>
          <w:p w14:paraId="242BF0B3">
            <w:pPr>
              <w:spacing w:line="360" w:lineRule="auto"/>
              <w:jc w:val="center"/>
              <w:rPr>
                <w:rFonts w:ascii="宋体" w:hAnsi="宋体" w:cs="宋体"/>
                <w:b w:val="0"/>
                <w:bCs w:val="0"/>
                <w:color w:val="auto"/>
                <w:sz w:val="22"/>
                <w:highlight w:val="none"/>
              </w:rPr>
            </w:pPr>
            <w:r>
              <w:rPr>
                <w:rFonts w:hint="eastAsia" w:ascii="宋体" w:hAnsi="宋体" w:cs="宋体"/>
                <w:b w:val="0"/>
                <w:bCs w:val="0"/>
                <w:color w:val="auto"/>
                <w:sz w:val="22"/>
                <w:highlight w:val="none"/>
              </w:rPr>
              <w:t>评分标准</w:t>
            </w:r>
          </w:p>
        </w:tc>
      </w:tr>
      <w:tr w14:paraId="26D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4039E011">
            <w:pPr>
              <w:jc w:val="center"/>
              <w:rPr>
                <w:rFonts w:ascii="宋体" w:hAnsi="宋体" w:cs="宋体"/>
                <w:color w:val="auto"/>
                <w:sz w:val="22"/>
                <w:highlight w:val="none"/>
              </w:rPr>
            </w:pPr>
            <w:r>
              <w:rPr>
                <w:rFonts w:hint="eastAsia" w:ascii="宋体" w:hAnsi="宋体" w:cs="宋体"/>
                <w:color w:val="auto"/>
                <w:sz w:val="22"/>
                <w:highlight w:val="none"/>
              </w:rPr>
              <w:t>1</w:t>
            </w:r>
          </w:p>
        </w:tc>
        <w:tc>
          <w:tcPr>
            <w:tcW w:w="1401" w:type="dxa"/>
            <w:vAlign w:val="center"/>
          </w:tcPr>
          <w:p w14:paraId="0755BA54">
            <w:pPr>
              <w:jc w:val="center"/>
              <w:rPr>
                <w:rFonts w:ascii="宋体" w:hAnsi="宋体" w:cs="宋体"/>
                <w:color w:val="auto"/>
                <w:sz w:val="22"/>
                <w:highlight w:val="none"/>
              </w:rPr>
            </w:pPr>
            <w:r>
              <w:rPr>
                <w:rFonts w:hint="eastAsia" w:ascii="宋体" w:hAnsi="宋体" w:cs="宋体"/>
                <w:color w:val="auto"/>
                <w:sz w:val="22"/>
                <w:highlight w:val="none"/>
              </w:rPr>
              <w:t>投标人资信</w:t>
            </w:r>
          </w:p>
        </w:tc>
        <w:tc>
          <w:tcPr>
            <w:tcW w:w="769" w:type="dxa"/>
            <w:vAlign w:val="center"/>
          </w:tcPr>
          <w:p w14:paraId="7ED9ED4C">
            <w:pPr>
              <w:jc w:val="center"/>
              <w:rPr>
                <w:rFonts w:ascii="宋体" w:hAnsi="宋体" w:cs="宋体"/>
                <w:color w:val="auto"/>
                <w:sz w:val="22"/>
                <w:highlight w:val="none"/>
              </w:rPr>
            </w:pPr>
            <w:r>
              <w:rPr>
                <w:rFonts w:hint="eastAsia" w:ascii="宋体" w:hAnsi="宋体" w:cs="宋体"/>
                <w:color w:val="auto"/>
                <w:sz w:val="22"/>
                <w:highlight w:val="none"/>
              </w:rPr>
              <w:t>3分</w:t>
            </w:r>
          </w:p>
        </w:tc>
        <w:tc>
          <w:tcPr>
            <w:tcW w:w="5938" w:type="dxa"/>
            <w:vAlign w:val="center"/>
          </w:tcPr>
          <w:p w14:paraId="09717313">
            <w:pPr>
              <w:widowControl/>
              <w:adjustRightInd w:val="0"/>
              <w:snapToGrid w:val="0"/>
              <w:textAlignment w:val="baseline"/>
              <w:rPr>
                <w:rFonts w:ascii="宋体" w:hAnsi="宋体" w:cs="宋体"/>
                <w:color w:val="auto"/>
                <w:sz w:val="22"/>
                <w:highlight w:val="none"/>
              </w:rPr>
            </w:pPr>
            <w:r>
              <w:rPr>
                <w:rFonts w:hint="eastAsia" w:ascii="宋体" w:hAnsi="宋体" w:cs="宋体"/>
                <w:color w:val="auto"/>
                <w:sz w:val="22"/>
                <w:highlight w:val="none"/>
              </w:rPr>
              <w:t>1、投标人具有有效的质量管理体系认证，得1分；</w:t>
            </w:r>
          </w:p>
          <w:p w14:paraId="60585A1F">
            <w:pPr>
              <w:widowControl/>
              <w:adjustRightInd w:val="0"/>
              <w:snapToGrid w:val="0"/>
              <w:textAlignment w:val="baseline"/>
              <w:rPr>
                <w:rFonts w:ascii="宋体" w:hAnsi="宋体" w:cs="宋体"/>
                <w:color w:val="auto"/>
                <w:sz w:val="22"/>
                <w:highlight w:val="none"/>
              </w:rPr>
            </w:pPr>
            <w:r>
              <w:rPr>
                <w:rFonts w:hint="eastAsia" w:ascii="宋体" w:hAnsi="宋体" w:cs="宋体"/>
                <w:color w:val="auto"/>
                <w:sz w:val="22"/>
                <w:highlight w:val="none"/>
              </w:rPr>
              <w:t>2、投标人具有有效的职业健康安全管理体系认证，得1分；</w:t>
            </w:r>
          </w:p>
          <w:p w14:paraId="38863646">
            <w:pPr>
              <w:widowControl/>
              <w:adjustRightInd w:val="0"/>
              <w:snapToGrid w:val="0"/>
              <w:textAlignment w:val="baseline"/>
              <w:rPr>
                <w:rFonts w:ascii="宋体" w:hAnsi="宋体" w:cs="宋体"/>
                <w:color w:val="auto"/>
                <w:sz w:val="22"/>
                <w:highlight w:val="none"/>
              </w:rPr>
            </w:pPr>
            <w:r>
              <w:rPr>
                <w:rFonts w:hint="eastAsia" w:ascii="宋体" w:hAnsi="宋体" w:cs="宋体"/>
                <w:color w:val="auto"/>
                <w:sz w:val="22"/>
                <w:highlight w:val="none"/>
              </w:rPr>
              <w:t>3、投标人具有有效的环境管理体系认证，得1分；</w:t>
            </w:r>
          </w:p>
          <w:p w14:paraId="0FDCDB32">
            <w:pPr>
              <w:jc w:val="left"/>
              <w:rPr>
                <w:rFonts w:ascii="宋体" w:hAnsi="宋体" w:cs="宋体"/>
                <w:color w:val="auto"/>
                <w:sz w:val="22"/>
                <w:highlight w:val="none"/>
              </w:rPr>
            </w:pPr>
            <w:r>
              <w:rPr>
                <w:rFonts w:hint="eastAsia" w:ascii="宋体" w:hAnsi="宋体" w:cs="宋体"/>
                <w:b w:val="0"/>
                <w:color w:val="auto"/>
                <w:kern w:val="0"/>
                <w:sz w:val="22"/>
                <w:highlight w:val="none"/>
              </w:rPr>
              <w:t>注：</w:t>
            </w:r>
            <w:r>
              <w:rPr>
                <w:rFonts w:hint="eastAsia" w:ascii="宋体" w:hAnsi="宋体" w:cs="宋体"/>
                <w:b w:val="0"/>
                <w:color w:val="auto"/>
                <w:sz w:val="22"/>
                <w:highlight w:val="none"/>
              </w:rPr>
              <w:t>响应文件附有中国国家认证认可监督管理委员会查询平台（网址：http://www.cnca.gov.cn/）的相关查询记录及有效期内的证书复印件加盖投标人公章，不提供不得分，证书不在有效期内不得分。</w:t>
            </w:r>
          </w:p>
        </w:tc>
      </w:tr>
      <w:tr w14:paraId="3A90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5B281F19">
            <w:pPr>
              <w:jc w:val="center"/>
              <w:rPr>
                <w:rFonts w:ascii="宋体" w:hAnsi="宋体" w:cs="宋体"/>
                <w:color w:val="auto"/>
                <w:sz w:val="22"/>
                <w:highlight w:val="none"/>
              </w:rPr>
            </w:pPr>
            <w:r>
              <w:rPr>
                <w:rFonts w:hint="eastAsia" w:ascii="宋体" w:hAnsi="宋体" w:cs="宋体"/>
                <w:color w:val="auto"/>
                <w:sz w:val="22"/>
                <w:highlight w:val="none"/>
              </w:rPr>
              <w:t>2</w:t>
            </w:r>
          </w:p>
        </w:tc>
        <w:tc>
          <w:tcPr>
            <w:tcW w:w="1401" w:type="dxa"/>
            <w:vAlign w:val="center"/>
          </w:tcPr>
          <w:p w14:paraId="2D3DE763">
            <w:pPr>
              <w:jc w:val="center"/>
              <w:rPr>
                <w:rFonts w:ascii="宋体" w:hAnsi="宋体" w:cs="宋体"/>
                <w:color w:val="auto"/>
                <w:sz w:val="22"/>
                <w:highlight w:val="none"/>
              </w:rPr>
            </w:pPr>
            <w:r>
              <w:rPr>
                <w:rFonts w:hint="eastAsia" w:ascii="宋体" w:hAnsi="宋体" w:cs="宋体"/>
                <w:color w:val="auto"/>
                <w:sz w:val="22"/>
                <w:highlight w:val="none"/>
              </w:rPr>
              <w:t>投标人2022年至今同类项目业绩</w:t>
            </w:r>
          </w:p>
        </w:tc>
        <w:tc>
          <w:tcPr>
            <w:tcW w:w="769" w:type="dxa"/>
            <w:vAlign w:val="center"/>
          </w:tcPr>
          <w:p w14:paraId="3AE28A9F">
            <w:pPr>
              <w:jc w:val="center"/>
              <w:rPr>
                <w:rFonts w:ascii="宋体" w:hAnsi="宋体" w:cs="宋体"/>
                <w:color w:val="auto"/>
                <w:sz w:val="22"/>
                <w:highlight w:val="none"/>
              </w:rPr>
            </w:pPr>
            <w:r>
              <w:rPr>
                <w:rFonts w:hint="eastAsia" w:ascii="宋体" w:hAnsi="宋体" w:cs="宋体"/>
                <w:color w:val="auto"/>
                <w:sz w:val="22"/>
                <w:highlight w:val="none"/>
              </w:rPr>
              <w:t>2分</w:t>
            </w:r>
          </w:p>
        </w:tc>
        <w:tc>
          <w:tcPr>
            <w:tcW w:w="5938" w:type="dxa"/>
            <w:vAlign w:val="center"/>
          </w:tcPr>
          <w:p w14:paraId="1FECBE72">
            <w:pPr>
              <w:jc w:val="left"/>
              <w:rPr>
                <w:rFonts w:ascii="宋体" w:hAnsi="宋体" w:cs="宋体"/>
                <w:color w:val="auto"/>
                <w:sz w:val="22"/>
                <w:highlight w:val="none"/>
              </w:rPr>
            </w:pPr>
            <w:r>
              <w:rPr>
                <w:rFonts w:hint="eastAsia" w:ascii="宋体" w:hAnsi="宋体" w:cs="宋体"/>
                <w:color w:val="auto"/>
                <w:sz w:val="22"/>
                <w:highlight w:val="none"/>
              </w:rPr>
              <w:t>根据投标人2022年01月01日至今（以合同签订时间为准）签订的,每具有一个同类项目业绩可得0.5分（提供合同复印件，否则不得分），最高得2分。</w:t>
            </w:r>
          </w:p>
          <w:p w14:paraId="5852D63B">
            <w:pPr>
              <w:jc w:val="left"/>
              <w:rPr>
                <w:rFonts w:ascii="宋体" w:hAnsi="宋体" w:cs="宋体"/>
                <w:color w:val="auto"/>
                <w:sz w:val="22"/>
                <w:highlight w:val="none"/>
              </w:rPr>
            </w:pPr>
            <w:r>
              <w:rPr>
                <w:rFonts w:hint="eastAsia" w:ascii="宋体" w:hAnsi="宋体" w:cs="宋体"/>
                <w:color w:val="auto"/>
                <w:sz w:val="22"/>
                <w:highlight w:val="none"/>
              </w:rPr>
              <w:t>备注：</w:t>
            </w:r>
          </w:p>
          <w:p w14:paraId="7CF185D3">
            <w:pPr>
              <w:jc w:val="left"/>
              <w:rPr>
                <w:rFonts w:ascii="宋体" w:hAnsi="宋体" w:cs="宋体"/>
                <w:color w:val="auto"/>
                <w:sz w:val="22"/>
                <w:highlight w:val="none"/>
              </w:rPr>
            </w:pPr>
            <w:r>
              <w:rPr>
                <w:rFonts w:hint="eastAsia" w:ascii="宋体" w:hAnsi="宋体" w:cs="宋体"/>
                <w:color w:val="auto"/>
                <w:sz w:val="22"/>
                <w:highlight w:val="none"/>
              </w:rPr>
              <w:t>①合同内容同时包</w:t>
            </w:r>
            <w:r>
              <w:rPr>
                <w:rFonts w:hint="eastAsia" w:ascii="宋体" w:hAnsi="宋体" w:cs="宋体"/>
                <w:b w:val="0"/>
                <w:bCs w:val="0"/>
                <w:color w:val="auto"/>
                <w:sz w:val="22"/>
                <w:highlight w:val="none"/>
              </w:rPr>
              <w:t>含保洁服务、</w:t>
            </w:r>
            <w:r>
              <w:rPr>
                <w:rFonts w:hint="eastAsia" w:ascii="宋体" w:hAnsi="宋体" w:cs="宋体"/>
                <w:b w:val="0"/>
                <w:bCs w:val="0"/>
                <w:color w:val="auto"/>
                <w:kern w:val="0"/>
                <w:sz w:val="22"/>
                <w:highlight w:val="none"/>
              </w:rPr>
              <w:t>公寓</w:t>
            </w:r>
            <w:r>
              <w:rPr>
                <w:rFonts w:hint="eastAsia" w:ascii="宋体" w:hAnsi="宋体" w:cs="宋体"/>
                <w:b w:val="0"/>
                <w:bCs w:val="0"/>
                <w:color w:val="auto"/>
                <w:sz w:val="22"/>
                <w:highlight w:val="none"/>
              </w:rPr>
              <w:t>或宿舍管理、工程维修、楼宇服务、会务服务</w:t>
            </w:r>
            <w:r>
              <w:rPr>
                <w:rFonts w:hint="eastAsia" w:ascii="宋体" w:hAnsi="宋体" w:cs="宋体"/>
                <w:color w:val="auto"/>
                <w:sz w:val="22"/>
                <w:highlight w:val="none"/>
              </w:rPr>
              <w:t>内容，否则不得分。</w:t>
            </w:r>
          </w:p>
          <w:p w14:paraId="58A7DB2C">
            <w:pPr>
              <w:jc w:val="left"/>
              <w:rPr>
                <w:rFonts w:ascii="宋体" w:hAnsi="宋体" w:cs="宋体"/>
                <w:color w:val="auto"/>
                <w:sz w:val="22"/>
                <w:highlight w:val="none"/>
              </w:rPr>
            </w:pPr>
            <w:r>
              <w:rPr>
                <w:rFonts w:hint="eastAsia" w:ascii="宋体" w:hAnsi="宋体" w:cs="宋体"/>
                <w:color w:val="auto"/>
                <w:sz w:val="22"/>
                <w:highlight w:val="none"/>
              </w:rPr>
              <w:t>②续签的合同按一份合同认定。</w:t>
            </w:r>
          </w:p>
        </w:tc>
      </w:tr>
      <w:tr w14:paraId="7E8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33" w:hRule="atLeast"/>
        </w:trPr>
        <w:tc>
          <w:tcPr>
            <w:tcW w:w="749" w:type="dxa"/>
            <w:vAlign w:val="center"/>
          </w:tcPr>
          <w:p w14:paraId="454244DF">
            <w:pPr>
              <w:jc w:val="center"/>
              <w:rPr>
                <w:rFonts w:ascii="宋体" w:hAnsi="宋体" w:cs="宋体"/>
                <w:color w:val="auto"/>
                <w:sz w:val="22"/>
                <w:highlight w:val="none"/>
              </w:rPr>
            </w:pPr>
            <w:r>
              <w:rPr>
                <w:rFonts w:hint="eastAsia" w:ascii="宋体" w:hAnsi="宋体" w:cs="宋体"/>
                <w:color w:val="auto"/>
                <w:sz w:val="22"/>
                <w:highlight w:val="none"/>
              </w:rPr>
              <w:t>3</w:t>
            </w:r>
          </w:p>
        </w:tc>
        <w:tc>
          <w:tcPr>
            <w:tcW w:w="1401" w:type="dxa"/>
            <w:vAlign w:val="center"/>
          </w:tcPr>
          <w:p w14:paraId="1A58F4CF">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拟派项目经理及主管相关情况</w:t>
            </w:r>
          </w:p>
        </w:tc>
        <w:tc>
          <w:tcPr>
            <w:tcW w:w="769" w:type="dxa"/>
            <w:vAlign w:val="center"/>
          </w:tcPr>
          <w:p w14:paraId="61B45BD9">
            <w:pPr>
              <w:jc w:val="center"/>
              <w:rPr>
                <w:rFonts w:ascii="宋体" w:hAnsi="宋体" w:cs="宋体"/>
                <w:color w:val="auto"/>
                <w:sz w:val="22"/>
                <w:highlight w:val="none"/>
              </w:rPr>
            </w:pPr>
            <w:r>
              <w:rPr>
                <w:rFonts w:hint="eastAsia" w:ascii="宋体" w:hAnsi="宋体" w:cs="宋体"/>
                <w:color w:val="auto"/>
                <w:sz w:val="22"/>
                <w:highlight w:val="none"/>
              </w:rPr>
              <w:t>28分</w:t>
            </w:r>
          </w:p>
        </w:tc>
        <w:tc>
          <w:tcPr>
            <w:tcW w:w="5938" w:type="dxa"/>
            <w:vAlign w:val="center"/>
          </w:tcPr>
          <w:p w14:paraId="5F348BF1">
            <w:pPr>
              <w:pStyle w:val="86"/>
              <w:adjustRightInd w:val="0"/>
              <w:rPr>
                <w:rFonts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1.项目经理（共5分）</w:t>
            </w:r>
          </w:p>
          <w:p w14:paraId="7DE97CE8">
            <w:pPr>
              <w:numPr>
                <w:ilvl w:val="0"/>
                <w:numId w:val="29"/>
              </w:numPr>
              <w:rPr>
                <w:rFonts w:ascii="宋体" w:hAnsi="宋体" w:cs="宋体"/>
                <w:color w:val="auto"/>
                <w:kern w:val="0"/>
                <w:sz w:val="22"/>
                <w:highlight w:val="none"/>
              </w:rPr>
            </w:pPr>
            <w:r>
              <w:rPr>
                <w:rFonts w:hint="eastAsia" w:ascii="宋体" w:hAnsi="宋体" w:cs="宋体"/>
                <w:color w:val="auto"/>
                <w:kern w:val="0"/>
                <w:sz w:val="22"/>
                <w:highlight w:val="none"/>
              </w:rPr>
              <w:t>年龄55周岁或以下且具有本科及以上学历</w:t>
            </w:r>
            <w:r>
              <w:rPr>
                <w:rFonts w:hint="eastAsia" w:ascii="宋体" w:hAnsi="宋体" w:cs="宋体"/>
                <w:color w:val="auto"/>
                <w:sz w:val="22"/>
                <w:highlight w:val="none"/>
              </w:rPr>
              <w:t>的，得1.5分（提供身份证和毕业证书复印件）</w:t>
            </w:r>
            <w:r>
              <w:rPr>
                <w:rFonts w:hint="eastAsia" w:ascii="宋体" w:hAnsi="宋体" w:cs="宋体"/>
                <w:color w:val="auto"/>
                <w:kern w:val="0"/>
                <w:sz w:val="22"/>
                <w:highlight w:val="none"/>
              </w:rPr>
              <w:t>；</w:t>
            </w:r>
          </w:p>
          <w:p w14:paraId="0169C0C1">
            <w:pPr>
              <w:numPr>
                <w:ilvl w:val="0"/>
                <w:numId w:val="29"/>
              </w:numPr>
              <w:rPr>
                <w:rFonts w:ascii="宋体" w:hAnsi="宋体" w:cs="宋体"/>
                <w:color w:val="auto"/>
                <w:kern w:val="0"/>
                <w:sz w:val="22"/>
                <w:highlight w:val="none"/>
              </w:rPr>
            </w:pPr>
            <w:r>
              <w:rPr>
                <w:rFonts w:hint="eastAsia" w:ascii="宋体" w:hAnsi="宋体" w:cs="宋体"/>
                <w:color w:val="auto"/>
                <w:kern w:val="0"/>
                <w:sz w:val="22"/>
                <w:highlight w:val="none"/>
              </w:rPr>
              <w:t>持有人社部门颁发的高级职称证书的，得1.5分</w:t>
            </w:r>
            <w:r>
              <w:rPr>
                <w:rFonts w:hint="eastAsia" w:ascii="宋体" w:hAnsi="宋体" w:cs="宋体"/>
                <w:color w:val="auto"/>
                <w:sz w:val="22"/>
                <w:highlight w:val="none"/>
              </w:rPr>
              <w:t>（提供证书复印件）</w:t>
            </w:r>
            <w:r>
              <w:rPr>
                <w:rFonts w:hint="eastAsia" w:ascii="宋体" w:hAnsi="宋体" w:cs="宋体"/>
                <w:color w:val="auto"/>
                <w:kern w:val="0"/>
                <w:sz w:val="22"/>
                <w:highlight w:val="none"/>
              </w:rPr>
              <w:t>；</w:t>
            </w:r>
          </w:p>
          <w:p w14:paraId="511451F4">
            <w:pPr>
              <w:numPr>
                <w:ilvl w:val="0"/>
                <w:numId w:val="29"/>
              </w:numPr>
              <w:rPr>
                <w:rFonts w:ascii="宋体" w:hAnsi="宋体" w:cs="宋体"/>
                <w:color w:val="auto"/>
                <w:kern w:val="0"/>
                <w:sz w:val="22"/>
                <w:highlight w:val="none"/>
              </w:rPr>
            </w:pPr>
            <w:r>
              <w:rPr>
                <w:rFonts w:hint="eastAsia" w:ascii="宋体" w:hAnsi="宋体" w:cs="宋体"/>
                <w:color w:val="auto"/>
                <w:kern w:val="0"/>
                <w:sz w:val="22"/>
                <w:highlight w:val="none"/>
              </w:rPr>
              <w:t>具有5年或以上非住宅类综合物业服务项目经理工作经验，得2分（须提供物业合同或业主证明，否则不得分）</w:t>
            </w:r>
          </w:p>
          <w:p w14:paraId="1398CD12">
            <w:pPr>
              <w:pStyle w:val="90"/>
              <w:rPr>
                <w:rFonts w:ascii="宋体" w:hAnsi="宋体" w:eastAsia="宋体" w:cs="宋体"/>
                <w:color w:val="auto"/>
                <w:sz w:val="22"/>
                <w:szCs w:val="22"/>
                <w:highlight w:val="none"/>
              </w:rPr>
            </w:pPr>
          </w:p>
          <w:p w14:paraId="67FFD8CB">
            <w:pPr>
              <w:numPr>
                <w:ilvl w:val="0"/>
                <w:numId w:val="30"/>
              </w:numP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项目副经理（共5分）</w:t>
            </w:r>
          </w:p>
          <w:p w14:paraId="5D2CD8DC">
            <w:pPr>
              <w:numPr>
                <w:ilvl w:val="0"/>
                <w:numId w:val="31"/>
              </w:numPr>
              <w:rPr>
                <w:rFonts w:ascii="宋体" w:hAnsi="宋体" w:cs="宋体"/>
                <w:color w:val="auto"/>
                <w:kern w:val="0"/>
                <w:sz w:val="22"/>
                <w:highlight w:val="none"/>
              </w:rPr>
            </w:pPr>
            <w:r>
              <w:rPr>
                <w:rFonts w:hint="eastAsia" w:ascii="宋体" w:hAnsi="宋体" w:cs="宋体"/>
                <w:color w:val="auto"/>
                <w:kern w:val="0"/>
                <w:sz w:val="22"/>
                <w:highlight w:val="none"/>
              </w:rPr>
              <w:t>年龄45周岁或以下且具有本科及以上学历</w:t>
            </w:r>
            <w:r>
              <w:rPr>
                <w:rFonts w:hint="eastAsia" w:ascii="宋体" w:hAnsi="宋体" w:cs="宋体"/>
                <w:color w:val="auto"/>
                <w:sz w:val="22"/>
                <w:highlight w:val="none"/>
              </w:rPr>
              <w:t>的，得1分（提供身份证和毕业证书复印件）；</w:t>
            </w:r>
          </w:p>
          <w:p w14:paraId="3E742060">
            <w:pPr>
              <w:numPr>
                <w:ilvl w:val="0"/>
                <w:numId w:val="31"/>
              </w:numPr>
              <w:rPr>
                <w:rFonts w:ascii="宋体" w:hAnsi="宋体" w:cs="宋体"/>
                <w:color w:val="auto"/>
                <w:kern w:val="0"/>
                <w:sz w:val="22"/>
                <w:highlight w:val="none"/>
              </w:rPr>
            </w:pPr>
            <w:r>
              <w:rPr>
                <w:rFonts w:hint="eastAsia" w:ascii="宋体" w:hAnsi="宋体" w:cs="宋体"/>
                <w:color w:val="auto"/>
                <w:sz w:val="22"/>
                <w:highlight w:val="none"/>
              </w:rPr>
              <w:t>具有英语六级（CET-6）或以上、PETS-4或以上、雅思 5.5 分或以上、托福 60 分或以上，提供以上任意一个证书或证明材料，得1分（提供证书或证明材料复印件）；</w:t>
            </w:r>
          </w:p>
          <w:p w14:paraId="1C884618">
            <w:pPr>
              <w:numPr>
                <w:ilvl w:val="0"/>
                <w:numId w:val="31"/>
              </w:numPr>
              <w:rPr>
                <w:rFonts w:ascii="宋体" w:hAnsi="宋体" w:cs="宋体"/>
                <w:color w:val="auto"/>
                <w:kern w:val="0"/>
                <w:sz w:val="22"/>
                <w:highlight w:val="none"/>
              </w:rPr>
            </w:pPr>
            <w:r>
              <w:rPr>
                <w:rFonts w:hint="eastAsia" w:ascii="宋体" w:hAnsi="宋体" w:cs="宋体"/>
                <w:color w:val="auto"/>
                <w:kern w:val="0"/>
                <w:sz w:val="22"/>
                <w:highlight w:val="none"/>
              </w:rPr>
              <w:t>具有人社部门颁发的中级或以上职称，得1分</w:t>
            </w:r>
            <w:r>
              <w:rPr>
                <w:rFonts w:hint="eastAsia" w:ascii="宋体" w:hAnsi="宋体" w:cs="宋体"/>
                <w:color w:val="auto"/>
                <w:sz w:val="22"/>
                <w:highlight w:val="none"/>
              </w:rPr>
              <w:t>（提供证书复印件）</w:t>
            </w:r>
            <w:r>
              <w:rPr>
                <w:rFonts w:hint="eastAsia" w:ascii="宋体" w:hAnsi="宋体" w:cs="宋体"/>
                <w:color w:val="auto"/>
                <w:kern w:val="0"/>
                <w:sz w:val="22"/>
                <w:highlight w:val="none"/>
              </w:rPr>
              <w:t>；</w:t>
            </w:r>
          </w:p>
          <w:p w14:paraId="2C94AA7A">
            <w:pPr>
              <w:numPr>
                <w:ilvl w:val="0"/>
                <w:numId w:val="31"/>
              </w:numPr>
              <w:rPr>
                <w:rFonts w:ascii="宋体" w:hAnsi="宋体" w:cs="宋体"/>
                <w:b w:val="0"/>
                <w:bCs w:val="0"/>
                <w:color w:val="auto"/>
                <w:kern w:val="0"/>
                <w:sz w:val="22"/>
                <w:highlight w:val="none"/>
              </w:rPr>
            </w:pPr>
            <w:r>
              <w:rPr>
                <w:rFonts w:hint="eastAsia" w:ascii="宋体" w:hAnsi="宋体" w:cs="宋体"/>
                <w:color w:val="auto"/>
                <w:kern w:val="0"/>
                <w:sz w:val="22"/>
                <w:highlight w:val="none"/>
              </w:rPr>
              <w:t>具有3年或以上非住宅类综合物业服务项目经理助理或项目经理工作经验，得2分（须提供物业合同或业主证明，否则不得分）。</w:t>
            </w:r>
          </w:p>
          <w:p w14:paraId="5E5CC2D1">
            <w:pPr>
              <w:numPr>
                <w:ilvl w:val="255"/>
                <w:numId w:val="0"/>
              </w:numP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3.综合主管（共5分）</w:t>
            </w:r>
          </w:p>
          <w:p w14:paraId="27AAA41E">
            <w:pPr>
              <w:numPr>
                <w:ilvl w:val="0"/>
                <w:numId w:val="32"/>
              </w:numPr>
              <w:rPr>
                <w:rFonts w:ascii="宋体" w:hAnsi="宋体" w:cs="宋体"/>
                <w:color w:val="auto"/>
                <w:kern w:val="0"/>
                <w:sz w:val="22"/>
                <w:highlight w:val="none"/>
              </w:rPr>
            </w:pPr>
            <w:r>
              <w:rPr>
                <w:rFonts w:hint="eastAsia" w:ascii="宋体" w:hAnsi="宋体" w:cs="宋体"/>
                <w:color w:val="auto"/>
                <w:kern w:val="0"/>
                <w:sz w:val="22"/>
                <w:highlight w:val="none"/>
              </w:rPr>
              <w:t>年龄50周岁或以下且具有本科及以上学历</w:t>
            </w:r>
            <w:r>
              <w:rPr>
                <w:rFonts w:hint="eastAsia" w:ascii="宋体" w:hAnsi="宋体" w:cs="宋体"/>
                <w:color w:val="auto"/>
                <w:sz w:val="22"/>
                <w:highlight w:val="none"/>
              </w:rPr>
              <w:t>的，得1分（提供身份证和毕业证书复印件）；</w:t>
            </w:r>
          </w:p>
          <w:p w14:paraId="5866E4B8">
            <w:pPr>
              <w:numPr>
                <w:ilvl w:val="0"/>
                <w:numId w:val="32"/>
              </w:numPr>
              <w:rPr>
                <w:rFonts w:ascii="宋体" w:hAnsi="宋体" w:cs="宋体"/>
                <w:color w:val="auto"/>
                <w:kern w:val="0"/>
                <w:sz w:val="22"/>
                <w:highlight w:val="none"/>
              </w:rPr>
            </w:pPr>
            <w:r>
              <w:rPr>
                <w:rFonts w:hint="eastAsia" w:ascii="宋体" w:hAnsi="宋体" w:cs="宋体"/>
                <w:color w:val="auto"/>
                <w:sz w:val="22"/>
                <w:highlight w:val="none"/>
              </w:rPr>
              <w:t>具有英语六级（CET-6）或以上、PETS-4或以上、雅思 5.5 分或以上、托福 60 分或以上，提供以上任意一个证书或证明材料，得1分（提供证书或证明材料复印件）</w:t>
            </w:r>
            <w:r>
              <w:rPr>
                <w:rFonts w:hint="eastAsia" w:ascii="宋体" w:hAnsi="宋体" w:cs="宋体"/>
                <w:color w:val="auto"/>
                <w:kern w:val="0"/>
                <w:sz w:val="22"/>
                <w:highlight w:val="none"/>
              </w:rPr>
              <w:t>；</w:t>
            </w:r>
          </w:p>
          <w:p w14:paraId="7E614E2B">
            <w:pPr>
              <w:pStyle w:val="87"/>
              <w:numPr>
                <w:ilvl w:val="0"/>
                <w:numId w:val="32"/>
              </w:numPr>
              <w:ind w:firstLineChars="0"/>
              <w:rPr>
                <w:rFonts w:ascii="宋体" w:hAnsi="宋体" w:cs="宋体"/>
                <w:color w:val="auto"/>
                <w:kern w:val="0"/>
                <w:sz w:val="22"/>
                <w:highlight w:val="none"/>
              </w:rPr>
            </w:pPr>
            <w:r>
              <w:rPr>
                <w:rFonts w:hint="eastAsia" w:ascii="宋体" w:hAnsi="宋体" w:cs="宋体"/>
                <w:color w:val="auto"/>
                <w:kern w:val="0"/>
                <w:sz w:val="22"/>
                <w:highlight w:val="none"/>
              </w:rPr>
              <w:t>具有人社部门颁发的中级或以上职称，得1分</w:t>
            </w:r>
            <w:r>
              <w:rPr>
                <w:rFonts w:hint="eastAsia" w:ascii="宋体" w:hAnsi="宋体" w:cs="宋体"/>
                <w:color w:val="auto"/>
                <w:sz w:val="22"/>
                <w:highlight w:val="none"/>
              </w:rPr>
              <w:t>（提供证书复印件）</w:t>
            </w:r>
            <w:r>
              <w:rPr>
                <w:rFonts w:hint="eastAsia" w:ascii="宋体" w:hAnsi="宋体" w:cs="宋体"/>
                <w:color w:val="auto"/>
                <w:kern w:val="0"/>
                <w:sz w:val="22"/>
                <w:highlight w:val="none"/>
              </w:rPr>
              <w:t>；</w:t>
            </w:r>
          </w:p>
          <w:p w14:paraId="7600B3F7">
            <w:pPr>
              <w:numPr>
                <w:ilvl w:val="0"/>
                <w:numId w:val="32"/>
              </w:numPr>
              <w:rPr>
                <w:rFonts w:ascii="宋体" w:hAnsi="宋体" w:cs="宋体"/>
                <w:color w:val="auto"/>
                <w:kern w:val="0"/>
                <w:sz w:val="22"/>
                <w:highlight w:val="none"/>
              </w:rPr>
            </w:pPr>
            <w:r>
              <w:rPr>
                <w:rFonts w:hint="eastAsia" w:ascii="宋体" w:hAnsi="宋体" w:cs="宋体"/>
                <w:color w:val="auto"/>
                <w:kern w:val="0"/>
                <w:sz w:val="22"/>
                <w:highlight w:val="none"/>
              </w:rPr>
              <w:t>具有3年或以上非住宅类项目综合主管的工作经验，得2分（须提供物业合同或业主证明，否则不得分）。</w:t>
            </w:r>
          </w:p>
          <w:p w14:paraId="1404FDC0">
            <w:pPr>
              <w:rPr>
                <w:rFonts w:ascii="宋体" w:hAnsi="宋体" w:cs="宋体"/>
                <w:b w:val="0"/>
                <w:bCs w:val="0"/>
                <w:color w:val="auto"/>
                <w:kern w:val="0"/>
                <w:sz w:val="22"/>
                <w:highlight w:val="none"/>
              </w:rPr>
            </w:pPr>
          </w:p>
          <w:p w14:paraId="1E875B56">
            <w:pP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4.公寓主管（共5分）</w:t>
            </w:r>
          </w:p>
          <w:p w14:paraId="49C7A8A4">
            <w:pPr>
              <w:numPr>
                <w:ilvl w:val="0"/>
                <w:numId w:val="33"/>
              </w:numPr>
              <w:rPr>
                <w:rFonts w:ascii="宋体" w:hAnsi="宋体" w:cs="宋体"/>
                <w:color w:val="auto"/>
                <w:kern w:val="0"/>
                <w:sz w:val="22"/>
                <w:highlight w:val="none"/>
              </w:rPr>
            </w:pPr>
            <w:r>
              <w:rPr>
                <w:rFonts w:hint="eastAsia" w:ascii="宋体" w:hAnsi="宋体" w:cs="宋体"/>
                <w:color w:val="auto"/>
                <w:kern w:val="0"/>
                <w:sz w:val="22"/>
                <w:highlight w:val="none"/>
              </w:rPr>
              <w:t>年龄50周岁或以下且具有本科及以上学历</w:t>
            </w:r>
            <w:r>
              <w:rPr>
                <w:rFonts w:hint="eastAsia" w:ascii="宋体" w:hAnsi="宋体" w:cs="宋体"/>
                <w:color w:val="auto"/>
                <w:sz w:val="22"/>
                <w:highlight w:val="none"/>
              </w:rPr>
              <w:t>的，得1.5分（提供身份证和毕业证书复印件）；</w:t>
            </w:r>
          </w:p>
          <w:p w14:paraId="0B9D707A">
            <w:pPr>
              <w:numPr>
                <w:ilvl w:val="0"/>
                <w:numId w:val="33"/>
              </w:numPr>
              <w:rPr>
                <w:rFonts w:ascii="宋体" w:hAnsi="宋体" w:cs="宋体"/>
                <w:color w:val="auto"/>
                <w:sz w:val="22"/>
                <w:highlight w:val="none"/>
              </w:rPr>
            </w:pPr>
            <w:r>
              <w:rPr>
                <w:rFonts w:hint="eastAsia" w:ascii="宋体" w:hAnsi="宋体" w:cs="宋体"/>
                <w:color w:val="auto"/>
                <w:kern w:val="0"/>
                <w:sz w:val="22"/>
                <w:highlight w:val="none"/>
              </w:rPr>
              <w:t>具有人社部门颁发的中级或以上职称，得1.5分</w:t>
            </w:r>
            <w:r>
              <w:rPr>
                <w:rFonts w:hint="eastAsia" w:ascii="宋体" w:hAnsi="宋体" w:cs="宋体"/>
                <w:color w:val="auto"/>
                <w:sz w:val="22"/>
                <w:highlight w:val="none"/>
              </w:rPr>
              <w:t>（提供证书复印件）</w:t>
            </w:r>
            <w:r>
              <w:rPr>
                <w:rFonts w:hint="eastAsia" w:ascii="宋体" w:hAnsi="宋体" w:cs="宋体"/>
                <w:color w:val="auto"/>
                <w:kern w:val="0"/>
                <w:sz w:val="22"/>
                <w:highlight w:val="none"/>
              </w:rPr>
              <w:t>。</w:t>
            </w:r>
          </w:p>
          <w:p w14:paraId="31F0A414">
            <w:pPr>
              <w:numPr>
                <w:ilvl w:val="0"/>
                <w:numId w:val="33"/>
              </w:numPr>
              <w:rPr>
                <w:rFonts w:ascii="宋体" w:hAnsi="宋体" w:cs="宋体"/>
                <w:color w:val="auto"/>
                <w:sz w:val="22"/>
                <w:highlight w:val="none"/>
              </w:rPr>
            </w:pPr>
            <w:r>
              <w:rPr>
                <w:rFonts w:hint="eastAsia" w:ascii="宋体" w:hAnsi="宋体" w:cs="宋体"/>
                <w:color w:val="auto"/>
                <w:kern w:val="0"/>
                <w:sz w:val="22"/>
                <w:highlight w:val="none"/>
              </w:rPr>
              <w:t>具有3年或以上非住宅类项目</w:t>
            </w:r>
            <w:r>
              <w:rPr>
                <w:rFonts w:hint="eastAsia" w:ascii="宋体" w:hAnsi="宋体" w:cs="宋体"/>
                <w:b w:val="0"/>
                <w:bCs w:val="0"/>
                <w:color w:val="auto"/>
                <w:kern w:val="0"/>
                <w:sz w:val="22"/>
                <w:highlight w:val="none"/>
              </w:rPr>
              <w:t>公寓</w:t>
            </w:r>
            <w:r>
              <w:rPr>
                <w:rFonts w:hint="eastAsia" w:ascii="宋体" w:hAnsi="宋体" w:cs="宋体"/>
                <w:b w:val="0"/>
                <w:bCs w:val="0"/>
                <w:color w:val="auto"/>
                <w:sz w:val="22"/>
                <w:highlight w:val="none"/>
              </w:rPr>
              <w:t>或宿舍</w:t>
            </w:r>
            <w:r>
              <w:rPr>
                <w:rFonts w:hint="eastAsia" w:ascii="宋体" w:hAnsi="宋体" w:cs="宋体"/>
                <w:color w:val="auto"/>
                <w:kern w:val="0"/>
                <w:sz w:val="22"/>
                <w:highlight w:val="none"/>
              </w:rPr>
              <w:t>主管的工作经验，得2分（须提供物业合同或业主证明，否则不得分）；</w:t>
            </w:r>
          </w:p>
          <w:p w14:paraId="77D37019">
            <w:pPr>
              <w:rPr>
                <w:rFonts w:ascii="宋体" w:hAnsi="宋体" w:cs="宋体"/>
                <w:b w:val="0"/>
                <w:bCs w:val="0"/>
                <w:color w:val="auto"/>
                <w:kern w:val="0"/>
                <w:sz w:val="22"/>
                <w:highlight w:val="none"/>
              </w:rPr>
            </w:pPr>
          </w:p>
          <w:p w14:paraId="05807150">
            <w:pP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5.工程维修主管（共5分）</w:t>
            </w:r>
          </w:p>
          <w:p w14:paraId="2B87B1DA">
            <w:pPr>
              <w:numPr>
                <w:ilvl w:val="0"/>
                <w:numId w:val="34"/>
              </w:numPr>
              <w:rPr>
                <w:rFonts w:ascii="宋体" w:hAnsi="宋体" w:cs="宋体"/>
                <w:color w:val="auto"/>
                <w:kern w:val="0"/>
                <w:sz w:val="22"/>
                <w:highlight w:val="none"/>
              </w:rPr>
            </w:pPr>
            <w:r>
              <w:rPr>
                <w:rFonts w:hint="eastAsia" w:ascii="宋体" w:hAnsi="宋体" w:cs="宋体"/>
                <w:color w:val="auto"/>
                <w:kern w:val="0"/>
                <w:sz w:val="22"/>
                <w:highlight w:val="none"/>
              </w:rPr>
              <w:t>年龄50周岁或以下且具有本科及以上学历</w:t>
            </w:r>
            <w:r>
              <w:rPr>
                <w:rFonts w:hint="eastAsia" w:ascii="宋体" w:hAnsi="宋体" w:cs="宋体"/>
                <w:color w:val="auto"/>
                <w:sz w:val="22"/>
                <w:highlight w:val="none"/>
              </w:rPr>
              <w:t>的，得1分（</w:t>
            </w:r>
            <w:r>
              <w:rPr>
                <w:rFonts w:hint="eastAsia" w:ascii="宋体" w:hAnsi="宋体" w:cs="宋体"/>
                <w:color w:val="auto"/>
                <w:kern w:val="0"/>
                <w:sz w:val="22"/>
                <w:highlight w:val="none"/>
              </w:rPr>
              <w:t>提供身份证和毕业证书</w:t>
            </w:r>
            <w:r>
              <w:rPr>
                <w:rFonts w:hint="eastAsia" w:ascii="宋体" w:hAnsi="宋体" w:cs="宋体"/>
                <w:color w:val="auto"/>
                <w:sz w:val="22"/>
                <w:highlight w:val="none"/>
              </w:rPr>
              <w:t>复印件</w:t>
            </w:r>
            <w:r>
              <w:rPr>
                <w:rFonts w:hint="eastAsia" w:ascii="宋体" w:hAnsi="宋体" w:cs="宋体"/>
                <w:color w:val="auto"/>
                <w:kern w:val="0"/>
                <w:sz w:val="22"/>
                <w:highlight w:val="none"/>
              </w:rPr>
              <w:t>）；</w:t>
            </w:r>
          </w:p>
          <w:p w14:paraId="0FBEBCFC">
            <w:pPr>
              <w:numPr>
                <w:ilvl w:val="0"/>
                <w:numId w:val="34"/>
              </w:numPr>
              <w:rPr>
                <w:rFonts w:ascii="宋体" w:hAnsi="宋体" w:cs="宋体"/>
                <w:color w:val="auto"/>
                <w:kern w:val="0"/>
                <w:sz w:val="22"/>
                <w:highlight w:val="none"/>
              </w:rPr>
            </w:pPr>
            <w:r>
              <w:rPr>
                <w:rFonts w:hint="eastAsia" w:ascii="宋体" w:hAnsi="宋体" w:cs="宋体"/>
                <w:color w:val="auto"/>
                <w:kern w:val="0"/>
                <w:sz w:val="22"/>
                <w:highlight w:val="none"/>
              </w:rPr>
              <w:t>具有人社部门颁发中级及以上工程师职称（电气类）证书，得1分</w:t>
            </w:r>
            <w:r>
              <w:rPr>
                <w:rFonts w:hint="eastAsia" w:ascii="宋体" w:hAnsi="宋体" w:cs="宋体"/>
                <w:color w:val="auto"/>
                <w:sz w:val="22"/>
                <w:highlight w:val="none"/>
              </w:rPr>
              <w:t>（提供证书复印件）</w:t>
            </w:r>
            <w:r>
              <w:rPr>
                <w:rFonts w:hint="eastAsia" w:ascii="宋体" w:hAnsi="宋体" w:cs="宋体"/>
                <w:color w:val="auto"/>
                <w:kern w:val="0"/>
                <w:sz w:val="22"/>
                <w:highlight w:val="none"/>
              </w:rPr>
              <w:t>；</w:t>
            </w:r>
          </w:p>
          <w:p w14:paraId="2364B949">
            <w:pPr>
              <w:numPr>
                <w:ilvl w:val="0"/>
                <w:numId w:val="34"/>
              </w:numPr>
              <w:rPr>
                <w:rFonts w:ascii="宋体" w:hAnsi="宋体" w:cs="宋体"/>
                <w:color w:val="auto"/>
                <w:kern w:val="0"/>
                <w:sz w:val="22"/>
                <w:highlight w:val="none"/>
              </w:rPr>
            </w:pPr>
            <w:r>
              <w:rPr>
                <w:rFonts w:hint="eastAsia" w:ascii="宋体" w:hAnsi="宋体" w:cs="宋体"/>
                <w:color w:val="auto"/>
                <w:kern w:val="0"/>
                <w:sz w:val="22"/>
                <w:highlight w:val="none"/>
              </w:rPr>
              <w:t>同时具有特种作业操作证（高压电工作业和低压电工作业），得0.5分</w:t>
            </w:r>
            <w:r>
              <w:rPr>
                <w:rFonts w:hint="eastAsia" w:ascii="宋体" w:hAnsi="宋体" w:cs="宋体"/>
                <w:color w:val="auto"/>
                <w:sz w:val="22"/>
                <w:highlight w:val="none"/>
              </w:rPr>
              <w:t>（提供证书复印件）；</w:t>
            </w:r>
          </w:p>
          <w:p w14:paraId="6A24DFA9">
            <w:pPr>
              <w:numPr>
                <w:ilvl w:val="0"/>
                <w:numId w:val="34"/>
              </w:numPr>
              <w:rPr>
                <w:rFonts w:ascii="宋体" w:hAnsi="宋体" w:cs="宋体"/>
                <w:color w:val="auto"/>
                <w:kern w:val="0"/>
                <w:sz w:val="22"/>
                <w:highlight w:val="none"/>
              </w:rPr>
            </w:pPr>
            <w:r>
              <w:rPr>
                <w:rFonts w:hint="eastAsia" w:ascii="宋体" w:hAnsi="宋体" w:cs="宋体"/>
                <w:color w:val="auto"/>
                <w:kern w:val="0"/>
                <w:sz w:val="22"/>
                <w:highlight w:val="none"/>
              </w:rPr>
              <w:t>具有特种设备安全管理人员证书，得0.5分</w:t>
            </w:r>
            <w:r>
              <w:rPr>
                <w:rFonts w:hint="eastAsia" w:ascii="宋体" w:hAnsi="宋体" w:cs="宋体"/>
                <w:color w:val="auto"/>
                <w:sz w:val="22"/>
                <w:highlight w:val="none"/>
              </w:rPr>
              <w:t>（提供证书复印件）；</w:t>
            </w:r>
          </w:p>
          <w:p w14:paraId="23A554CD">
            <w:pPr>
              <w:numPr>
                <w:ilvl w:val="0"/>
                <w:numId w:val="34"/>
              </w:numPr>
              <w:rPr>
                <w:rFonts w:ascii="宋体" w:hAnsi="宋体" w:cs="宋体"/>
                <w:color w:val="auto"/>
                <w:kern w:val="0"/>
                <w:sz w:val="22"/>
                <w:highlight w:val="none"/>
              </w:rPr>
            </w:pPr>
            <w:r>
              <w:rPr>
                <w:rFonts w:hint="eastAsia" w:ascii="宋体" w:hAnsi="宋体" w:cs="宋体"/>
                <w:color w:val="auto"/>
                <w:kern w:val="0"/>
                <w:sz w:val="22"/>
                <w:highlight w:val="none"/>
              </w:rPr>
              <w:t>具有3年或以上非住宅类项目工程维修主管工作经验，得2分（须提供物业合同或业主证明，否则不得分）。</w:t>
            </w:r>
          </w:p>
          <w:p w14:paraId="18B3005C">
            <w:pPr>
              <w:pStyle w:val="90"/>
              <w:rPr>
                <w:rFonts w:ascii="宋体" w:hAnsi="宋体" w:eastAsia="宋体" w:cs="宋体"/>
                <w:color w:val="auto"/>
                <w:sz w:val="22"/>
                <w:szCs w:val="22"/>
                <w:highlight w:val="none"/>
              </w:rPr>
            </w:pPr>
          </w:p>
          <w:p w14:paraId="262192A1">
            <w:pPr>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6.保洁主管（共3分）</w:t>
            </w:r>
          </w:p>
          <w:p w14:paraId="7102EFB8">
            <w:pPr>
              <w:numPr>
                <w:ilvl w:val="0"/>
                <w:numId w:val="35"/>
              </w:numPr>
              <w:rPr>
                <w:rFonts w:ascii="宋体" w:hAnsi="宋体" w:cs="宋体"/>
                <w:color w:val="auto"/>
                <w:kern w:val="0"/>
                <w:sz w:val="22"/>
                <w:highlight w:val="none"/>
              </w:rPr>
            </w:pPr>
            <w:r>
              <w:rPr>
                <w:rFonts w:hint="eastAsia" w:ascii="宋体" w:hAnsi="宋体" w:cs="宋体"/>
                <w:color w:val="auto"/>
                <w:kern w:val="0"/>
                <w:sz w:val="22"/>
                <w:highlight w:val="none"/>
              </w:rPr>
              <w:t>年龄50周岁或以下且具有大专或以上学历</w:t>
            </w:r>
            <w:r>
              <w:rPr>
                <w:rFonts w:hint="eastAsia" w:ascii="宋体" w:hAnsi="宋体" w:cs="宋体"/>
                <w:color w:val="auto"/>
                <w:sz w:val="22"/>
                <w:highlight w:val="none"/>
              </w:rPr>
              <w:t>的得1分（提供身份证和毕业证书复印件）</w:t>
            </w:r>
            <w:r>
              <w:rPr>
                <w:rFonts w:hint="eastAsia" w:ascii="宋体" w:hAnsi="宋体" w:cs="宋体"/>
                <w:color w:val="auto"/>
                <w:kern w:val="0"/>
                <w:sz w:val="22"/>
                <w:highlight w:val="none"/>
              </w:rPr>
              <w:t>；</w:t>
            </w:r>
          </w:p>
          <w:p w14:paraId="18B35FC1">
            <w:pPr>
              <w:numPr>
                <w:ilvl w:val="0"/>
                <w:numId w:val="35"/>
              </w:numPr>
              <w:rPr>
                <w:rFonts w:ascii="宋体" w:hAnsi="宋体" w:cs="宋体"/>
                <w:color w:val="auto"/>
                <w:kern w:val="0"/>
                <w:sz w:val="22"/>
                <w:highlight w:val="none"/>
              </w:rPr>
            </w:pPr>
            <w:r>
              <w:rPr>
                <w:rFonts w:hint="eastAsia" w:ascii="宋体" w:hAnsi="宋体" w:cs="宋体"/>
                <w:color w:val="auto"/>
                <w:kern w:val="0"/>
                <w:sz w:val="22"/>
                <w:highlight w:val="none"/>
              </w:rPr>
              <w:t>具有3年或以上非住宅类项目保洁主管的工作经验，得2分（须提供物业合同或业主证明，否则不得分）；</w:t>
            </w:r>
          </w:p>
          <w:p w14:paraId="346D36F8">
            <w:pPr>
              <w:pStyle w:val="86"/>
              <w:adjustRightInd w:val="0"/>
              <w:rPr>
                <w:rFonts w:ascii="宋体" w:hAnsi="宋体" w:eastAsia="宋体" w:cs="宋体"/>
                <w:b w:val="0"/>
                <w:bCs w:val="0"/>
                <w:color w:val="auto"/>
                <w:sz w:val="22"/>
                <w:highlight w:val="none"/>
              </w:rPr>
            </w:pPr>
          </w:p>
          <w:p w14:paraId="5CE2A959">
            <w:pPr>
              <w:pStyle w:val="86"/>
              <w:adjustRightInd w:val="0"/>
              <w:rPr>
                <w:rFonts w:ascii="宋体" w:hAnsi="宋体" w:eastAsia="宋体" w:cs="宋体"/>
                <w:color w:val="auto"/>
                <w:sz w:val="22"/>
                <w:highlight w:val="none"/>
              </w:rPr>
            </w:pPr>
            <w:r>
              <w:rPr>
                <w:rFonts w:hint="eastAsia" w:ascii="宋体" w:hAnsi="宋体" w:eastAsia="宋体" w:cs="宋体"/>
                <w:b w:val="0"/>
                <w:bCs w:val="0"/>
                <w:color w:val="auto"/>
                <w:sz w:val="22"/>
                <w:highlight w:val="none"/>
              </w:rPr>
              <w:t>备注：以上人员须提供在本单位2025年1月至今任意一个月的社保证明否则不得分（以上人员年龄计算时间按截止投标截止时间）。</w:t>
            </w:r>
          </w:p>
        </w:tc>
      </w:tr>
      <w:tr w14:paraId="3D10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36DF17B4">
            <w:pPr>
              <w:jc w:val="center"/>
              <w:rPr>
                <w:rFonts w:ascii="宋体" w:hAnsi="宋体" w:cs="宋体"/>
                <w:color w:val="auto"/>
                <w:sz w:val="22"/>
                <w:highlight w:val="none"/>
              </w:rPr>
            </w:pPr>
            <w:r>
              <w:rPr>
                <w:rFonts w:hint="eastAsia" w:ascii="宋体" w:hAnsi="宋体" w:cs="宋体"/>
                <w:color w:val="auto"/>
                <w:sz w:val="22"/>
                <w:highlight w:val="none"/>
              </w:rPr>
              <w:t>4</w:t>
            </w:r>
          </w:p>
        </w:tc>
        <w:tc>
          <w:tcPr>
            <w:tcW w:w="1401" w:type="dxa"/>
            <w:vAlign w:val="center"/>
          </w:tcPr>
          <w:p w14:paraId="279D2158">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其他工种人员配置情况</w:t>
            </w:r>
          </w:p>
        </w:tc>
        <w:tc>
          <w:tcPr>
            <w:tcW w:w="769" w:type="dxa"/>
            <w:vAlign w:val="center"/>
          </w:tcPr>
          <w:p w14:paraId="5214F559">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6分</w:t>
            </w:r>
          </w:p>
        </w:tc>
        <w:tc>
          <w:tcPr>
            <w:tcW w:w="5938" w:type="dxa"/>
            <w:vAlign w:val="center"/>
          </w:tcPr>
          <w:p w14:paraId="09154302">
            <w:pPr>
              <w:pStyle w:val="10"/>
              <w:rPr>
                <w:rFonts w:ascii="宋体" w:hAnsi="宋体" w:cs="宋体"/>
                <w:b w:val="0"/>
                <w:bCs w:val="0"/>
                <w:color w:val="auto"/>
                <w:kern w:val="0"/>
                <w:sz w:val="22"/>
                <w:highlight w:val="none"/>
              </w:rPr>
            </w:pPr>
            <w:r>
              <w:rPr>
                <w:rFonts w:hint="eastAsia" w:ascii="宋体" w:hAnsi="宋体" w:cs="宋体"/>
                <w:b w:val="0"/>
                <w:bCs w:val="0"/>
                <w:color w:val="auto"/>
                <w:kern w:val="0"/>
                <w:sz w:val="22"/>
                <w:highlight w:val="none"/>
              </w:rPr>
              <w:t>维修人员（</w:t>
            </w:r>
            <w:r>
              <w:rPr>
                <w:rFonts w:hint="eastAsia" w:ascii="宋体" w:hAnsi="宋体" w:cs="宋体"/>
                <w:color w:val="auto"/>
                <w:sz w:val="22"/>
                <w:highlight w:val="none"/>
              </w:rPr>
              <w:t>除拟派项目经理及主管外</w:t>
            </w:r>
            <w:r>
              <w:rPr>
                <w:rFonts w:hint="eastAsia" w:ascii="宋体" w:hAnsi="宋体" w:cs="宋体"/>
                <w:b w:val="0"/>
                <w:bCs w:val="0"/>
                <w:color w:val="auto"/>
                <w:kern w:val="0"/>
                <w:sz w:val="22"/>
                <w:highlight w:val="none"/>
              </w:rPr>
              <w:t>）</w:t>
            </w:r>
          </w:p>
          <w:p w14:paraId="0FB857E1">
            <w:pPr>
              <w:rPr>
                <w:rFonts w:ascii="宋体" w:hAnsi="宋体" w:cs="宋体"/>
                <w:color w:val="auto"/>
                <w:kern w:val="0"/>
                <w:sz w:val="22"/>
                <w:highlight w:val="none"/>
              </w:rPr>
            </w:pPr>
            <w:r>
              <w:rPr>
                <w:rFonts w:hint="eastAsia" w:ascii="宋体" w:hAnsi="宋体" w:cs="宋体"/>
                <w:color w:val="auto"/>
                <w:kern w:val="0"/>
                <w:sz w:val="22"/>
                <w:highlight w:val="none"/>
              </w:rPr>
              <w:t>（1）拟派维修人员中持有高压电工</w:t>
            </w:r>
            <w:r>
              <w:rPr>
                <w:rFonts w:hint="eastAsia" w:ascii="宋体" w:hAnsi="宋体" w:cs="宋体"/>
                <w:b w:val="0"/>
                <w:bCs w:val="0"/>
                <w:color w:val="auto"/>
                <w:kern w:val="0"/>
                <w:sz w:val="22"/>
                <w:highlight w:val="none"/>
              </w:rPr>
              <w:t>或低压电工</w:t>
            </w:r>
            <w:r>
              <w:rPr>
                <w:rFonts w:hint="eastAsia" w:ascii="宋体" w:hAnsi="宋体" w:cs="宋体"/>
                <w:color w:val="auto"/>
                <w:kern w:val="0"/>
                <w:sz w:val="22"/>
                <w:highlight w:val="none"/>
              </w:rPr>
              <w:t>操作证或电工作业许可证的，每人得0.5分，最高得2分</w:t>
            </w:r>
            <w:r>
              <w:rPr>
                <w:rFonts w:hint="eastAsia" w:ascii="宋体" w:hAnsi="宋体" w:cs="宋体"/>
                <w:color w:val="auto"/>
                <w:sz w:val="22"/>
                <w:highlight w:val="none"/>
              </w:rPr>
              <w:t>（提供证书复印件）</w:t>
            </w:r>
            <w:r>
              <w:rPr>
                <w:rFonts w:hint="eastAsia" w:ascii="宋体" w:hAnsi="宋体" w:cs="宋体"/>
                <w:color w:val="auto"/>
                <w:kern w:val="0"/>
                <w:sz w:val="22"/>
                <w:highlight w:val="none"/>
              </w:rPr>
              <w:t>；</w:t>
            </w:r>
          </w:p>
          <w:p w14:paraId="2E101666">
            <w:pPr>
              <w:rPr>
                <w:rFonts w:ascii="宋体" w:hAnsi="宋体" w:cs="宋体"/>
                <w:color w:val="auto"/>
                <w:kern w:val="0"/>
                <w:sz w:val="22"/>
                <w:highlight w:val="none"/>
              </w:rPr>
            </w:pPr>
            <w:r>
              <w:rPr>
                <w:rFonts w:hint="eastAsia" w:ascii="宋体" w:hAnsi="宋体" w:cs="宋体"/>
                <w:color w:val="auto"/>
                <w:kern w:val="0"/>
                <w:sz w:val="22"/>
                <w:highlight w:val="none"/>
              </w:rPr>
              <w:t>（2）拟派维修人员中具有中华人民共和国特种设备安全管理和作业人员证（项目代号：A）每人得0.5分，最高得2分；</w:t>
            </w:r>
          </w:p>
          <w:p w14:paraId="3A3821B8">
            <w:pPr>
              <w:rPr>
                <w:rFonts w:ascii="宋体" w:hAnsi="宋体" w:cs="宋体"/>
                <w:color w:val="auto"/>
                <w:kern w:val="0"/>
                <w:sz w:val="22"/>
                <w:highlight w:val="none"/>
              </w:rPr>
            </w:pPr>
            <w:r>
              <w:rPr>
                <w:rFonts w:hint="eastAsia" w:ascii="宋体" w:hAnsi="宋体" w:cs="宋体"/>
                <w:color w:val="auto"/>
                <w:kern w:val="0"/>
                <w:sz w:val="22"/>
                <w:highlight w:val="none"/>
              </w:rPr>
              <w:t>（3）拟派维修人员中有智能化弱电类相关作业证</w:t>
            </w:r>
            <w:r>
              <w:rPr>
                <w:rFonts w:hint="eastAsia" w:ascii="宋体" w:hAnsi="宋体" w:cs="宋体"/>
                <w:b w:val="0"/>
                <w:bCs w:val="0"/>
                <w:color w:val="auto"/>
                <w:kern w:val="0"/>
                <w:sz w:val="22"/>
                <w:highlight w:val="none"/>
              </w:rPr>
              <w:t>或焊工操作证</w:t>
            </w:r>
            <w:r>
              <w:rPr>
                <w:rFonts w:hint="eastAsia" w:ascii="宋体" w:hAnsi="宋体" w:cs="宋体"/>
                <w:color w:val="auto"/>
                <w:kern w:val="0"/>
                <w:sz w:val="22"/>
                <w:highlight w:val="none"/>
              </w:rPr>
              <w:t>的，每人得0.5分，最高得2分；</w:t>
            </w:r>
          </w:p>
          <w:p w14:paraId="16726172">
            <w:pPr>
              <w:pStyle w:val="3"/>
              <w:rPr>
                <w:rFonts w:ascii="宋体" w:hAnsi="宋体" w:cs="宋体"/>
                <w:color w:val="auto"/>
                <w:sz w:val="22"/>
                <w:highlight w:val="none"/>
              </w:rPr>
            </w:pPr>
            <w:r>
              <w:rPr>
                <w:rFonts w:hint="eastAsia" w:ascii="宋体" w:hAnsi="宋体" w:cs="宋体"/>
                <w:b w:val="0"/>
                <w:bCs w:val="0"/>
                <w:color w:val="auto"/>
                <w:kern w:val="0"/>
                <w:sz w:val="22"/>
                <w:highlight w:val="none"/>
              </w:rPr>
              <w:t>备注：</w:t>
            </w:r>
            <w:r>
              <w:rPr>
                <w:rFonts w:hint="eastAsia" w:ascii="宋体" w:hAnsi="宋体" w:cs="宋体"/>
                <w:b w:val="0"/>
                <w:bCs w:val="0"/>
                <w:color w:val="auto"/>
                <w:sz w:val="22"/>
                <w:highlight w:val="none"/>
              </w:rPr>
              <w:t>以上人员须提供在本单位2025年1月至今任意一个月的社保证明否则不得分。</w:t>
            </w:r>
          </w:p>
        </w:tc>
      </w:tr>
      <w:tr w14:paraId="1E61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749" w:type="dxa"/>
            <w:vAlign w:val="center"/>
          </w:tcPr>
          <w:p w14:paraId="4FFF3A4D">
            <w:pPr>
              <w:jc w:val="center"/>
              <w:rPr>
                <w:rFonts w:ascii="宋体" w:hAnsi="宋体" w:cs="宋体"/>
                <w:color w:val="auto"/>
                <w:sz w:val="22"/>
                <w:highlight w:val="none"/>
              </w:rPr>
            </w:pPr>
            <w:r>
              <w:rPr>
                <w:rFonts w:hint="eastAsia" w:ascii="宋体" w:hAnsi="宋体" w:cs="宋体"/>
                <w:color w:val="auto"/>
                <w:sz w:val="22"/>
                <w:highlight w:val="none"/>
              </w:rPr>
              <w:t>5</w:t>
            </w:r>
          </w:p>
        </w:tc>
        <w:tc>
          <w:tcPr>
            <w:tcW w:w="1401" w:type="dxa"/>
            <w:vAlign w:val="center"/>
          </w:tcPr>
          <w:p w14:paraId="0D6C8DB8">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管理服务方案</w:t>
            </w:r>
          </w:p>
        </w:tc>
        <w:tc>
          <w:tcPr>
            <w:tcW w:w="769" w:type="dxa"/>
            <w:vAlign w:val="center"/>
          </w:tcPr>
          <w:p w14:paraId="188574FB">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26分</w:t>
            </w:r>
          </w:p>
        </w:tc>
        <w:tc>
          <w:tcPr>
            <w:tcW w:w="5938" w:type="dxa"/>
            <w:vAlign w:val="center"/>
          </w:tcPr>
          <w:p w14:paraId="52E5904F">
            <w:pPr>
              <w:pStyle w:val="14"/>
              <w:tabs>
                <w:tab w:val="right" w:leader="dot" w:pos="8268"/>
              </w:tabs>
              <w:adjustRightInd w:val="0"/>
              <w:snapToGrid w:val="0"/>
              <w:ind w:firstLine="440" w:firstLineChars="200"/>
              <w:rPr>
                <w:rFonts w:hAnsi="宋体" w:cs="宋体"/>
                <w:color w:val="auto"/>
                <w:sz w:val="22"/>
                <w:highlight w:val="none"/>
              </w:rPr>
            </w:pPr>
            <w:r>
              <w:rPr>
                <w:rFonts w:hint="eastAsia" w:hAnsi="宋体" w:cs="宋体"/>
                <w:color w:val="auto"/>
                <w:sz w:val="22"/>
                <w:highlight w:val="none"/>
              </w:rPr>
              <w:t>投标的服务方案与采购需求的吻合程度，内容是否详尽、明晰，是否满足招标文件要求；内容是否完整齐全、表述准确、条理清晰，内容无前后矛盾，符合招标文件要求；分析本项目的特点提出针对性方案。包括如下方面：</w:t>
            </w:r>
          </w:p>
          <w:p w14:paraId="4BDDF958">
            <w:pPr>
              <w:pStyle w:val="14"/>
              <w:tabs>
                <w:tab w:val="right" w:leader="dot" w:pos="8268"/>
              </w:tabs>
              <w:adjustRightInd w:val="0"/>
              <w:snapToGrid w:val="0"/>
              <w:rPr>
                <w:rFonts w:hAnsi="宋体" w:cs="宋体"/>
                <w:b w:val="0"/>
                <w:bCs w:val="0"/>
                <w:color w:val="auto"/>
                <w:sz w:val="22"/>
                <w:highlight w:val="none"/>
              </w:rPr>
            </w:pPr>
            <w:r>
              <w:rPr>
                <w:rFonts w:hint="eastAsia" w:hAnsi="宋体" w:cs="宋体"/>
                <w:b w:val="0"/>
                <w:bCs w:val="0"/>
                <w:color w:val="auto"/>
                <w:sz w:val="22"/>
                <w:highlight w:val="none"/>
              </w:rPr>
              <w:t>5.1总体管理服务方案（5分）：</w:t>
            </w:r>
          </w:p>
          <w:p w14:paraId="1DB38C39">
            <w:pPr>
              <w:pStyle w:val="14"/>
              <w:tabs>
                <w:tab w:val="right" w:leader="dot" w:pos="8268"/>
              </w:tabs>
              <w:adjustRightInd w:val="0"/>
              <w:snapToGrid w:val="0"/>
              <w:rPr>
                <w:rFonts w:hAnsi="宋体" w:cs="宋体"/>
                <w:color w:val="auto"/>
                <w:sz w:val="22"/>
                <w:highlight w:val="none"/>
              </w:rPr>
            </w:pPr>
            <w:r>
              <w:rPr>
                <w:rFonts w:hint="eastAsia" w:hAnsi="宋体" w:cs="宋体"/>
                <w:color w:val="auto"/>
                <w:sz w:val="22"/>
                <w:highlight w:val="none"/>
              </w:rPr>
              <w:t>对本项目理解的熟悉程度、整体构想及服务定位、服务目标和管理模式提供方案（评分范围：5,4,3,2,1,0）；</w:t>
            </w:r>
          </w:p>
          <w:p w14:paraId="0C1725BA">
            <w:pPr>
              <w:rPr>
                <w:rFonts w:ascii="宋体" w:hAnsi="宋体" w:cs="宋体"/>
                <w:color w:val="auto"/>
                <w:sz w:val="22"/>
                <w:highlight w:val="none"/>
              </w:rPr>
            </w:pPr>
          </w:p>
          <w:p w14:paraId="6F0EFAD4">
            <w:pPr>
              <w:rPr>
                <w:rFonts w:ascii="宋体" w:hAnsi="宋体" w:cs="宋体"/>
                <w:b w:val="0"/>
                <w:bCs w:val="0"/>
                <w:color w:val="auto"/>
                <w:sz w:val="22"/>
                <w:highlight w:val="none"/>
              </w:rPr>
            </w:pPr>
            <w:r>
              <w:rPr>
                <w:rFonts w:hint="eastAsia" w:ascii="宋体" w:hAnsi="宋体" w:cs="宋体"/>
                <w:b w:val="0"/>
                <w:bCs w:val="0"/>
                <w:color w:val="auto"/>
                <w:sz w:val="22"/>
                <w:highlight w:val="none"/>
              </w:rPr>
              <w:t>5.2保洁服务方案（5分）：</w:t>
            </w:r>
          </w:p>
          <w:p w14:paraId="2CB981F1">
            <w:pPr>
              <w:rPr>
                <w:rFonts w:ascii="宋体" w:hAnsi="宋体" w:cs="宋体"/>
                <w:color w:val="auto"/>
                <w:sz w:val="22"/>
                <w:highlight w:val="none"/>
              </w:rPr>
            </w:pPr>
            <w:r>
              <w:rPr>
                <w:rFonts w:hint="eastAsia" w:ascii="宋体" w:hAnsi="宋体" w:cs="宋体"/>
                <w:color w:val="auto"/>
                <w:sz w:val="22"/>
                <w:highlight w:val="none"/>
              </w:rPr>
              <w:t>根据学校的建筑结构及功能分布、设施设备、校园环境、校园突发情况、重大活动等综合分析，提供详细的方案（评分范围：5,4,3,2,1,0）；</w:t>
            </w:r>
          </w:p>
          <w:p w14:paraId="63BAB5D1">
            <w:pPr>
              <w:rPr>
                <w:rFonts w:ascii="宋体" w:hAnsi="宋体" w:cs="宋体"/>
                <w:color w:val="auto"/>
                <w:sz w:val="22"/>
                <w:highlight w:val="none"/>
              </w:rPr>
            </w:pPr>
          </w:p>
          <w:p w14:paraId="0CDE06C5">
            <w:pPr>
              <w:rPr>
                <w:rFonts w:ascii="宋体" w:hAnsi="宋体" w:cs="宋体"/>
                <w:b w:val="0"/>
                <w:bCs w:val="0"/>
                <w:color w:val="auto"/>
                <w:sz w:val="22"/>
                <w:highlight w:val="none"/>
              </w:rPr>
            </w:pPr>
            <w:r>
              <w:rPr>
                <w:rFonts w:hint="eastAsia" w:ascii="宋体" w:hAnsi="宋体" w:cs="宋体"/>
                <w:b w:val="0"/>
                <w:bCs w:val="0"/>
                <w:color w:val="auto"/>
                <w:sz w:val="22"/>
                <w:highlight w:val="none"/>
              </w:rPr>
              <w:t>5.3学生公寓服务方案（4分）：</w:t>
            </w:r>
          </w:p>
          <w:p w14:paraId="3CB66000">
            <w:pPr>
              <w:rPr>
                <w:rFonts w:ascii="宋体" w:hAnsi="宋体" w:cs="宋体"/>
                <w:color w:val="auto"/>
                <w:sz w:val="22"/>
                <w:highlight w:val="none"/>
              </w:rPr>
            </w:pPr>
            <w:r>
              <w:rPr>
                <w:rFonts w:hint="eastAsia" w:ascii="宋体" w:hAnsi="宋体" w:cs="宋体"/>
                <w:color w:val="auto"/>
                <w:kern w:val="0"/>
                <w:sz w:val="22"/>
                <w:highlight w:val="none"/>
              </w:rPr>
              <w:t>根</w:t>
            </w:r>
            <w:r>
              <w:rPr>
                <w:rFonts w:hint="eastAsia" w:ascii="宋体" w:hAnsi="宋体" w:cs="宋体"/>
                <w:color w:val="auto"/>
                <w:sz w:val="22"/>
                <w:highlight w:val="none"/>
              </w:rPr>
              <w:t>据学生公寓的特点和要求，提供全方位包括对学生公寓值班、卫生服务、学生行为管理和引导、学生公寓的巡视和安全管理、公寓文化建设、育人服务方案，根据方案的完整性、针对性评分（评分范围：4,3,2,1,0）；</w:t>
            </w:r>
          </w:p>
          <w:p w14:paraId="3B8DAED3">
            <w:pPr>
              <w:rPr>
                <w:rFonts w:ascii="宋体" w:hAnsi="宋体" w:cs="宋体"/>
                <w:color w:val="auto"/>
                <w:sz w:val="22"/>
                <w:highlight w:val="none"/>
              </w:rPr>
            </w:pPr>
          </w:p>
          <w:p w14:paraId="424963C1">
            <w:pPr>
              <w:rPr>
                <w:rFonts w:ascii="宋体" w:hAnsi="宋体" w:cs="宋体"/>
                <w:color w:val="auto"/>
                <w:sz w:val="22"/>
                <w:highlight w:val="none"/>
              </w:rPr>
            </w:pPr>
            <w:r>
              <w:rPr>
                <w:rFonts w:hint="eastAsia" w:ascii="宋体" w:hAnsi="宋体" w:cs="宋体"/>
                <w:b w:val="0"/>
                <w:bCs w:val="0"/>
                <w:color w:val="auto"/>
                <w:sz w:val="22"/>
                <w:highlight w:val="none"/>
              </w:rPr>
              <w:t>5.4公共基础设施设备管理维修维护、零星维修管理方案（4分）：</w:t>
            </w:r>
            <w:r>
              <w:rPr>
                <w:rFonts w:hint="eastAsia" w:ascii="宋体" w:hAnsi="宋体" w:cs="宋体"/>
                <w:color w:val="auto"/>
                <w:sz w:val="22"/>
                <w:highlight w:val="none"/>
              </w:rPr>
              <w:t>根据房屋建筑、公共设施等日常维修养护管理，日常零星维修方案，根据方案的完整性、针对性评分（评分范围：4,3,2,1,0）；</w:t>
            </w:r>
            <w:r>
              <w:rPr>
                <w:rFonts w:hint="eastAsia" w:ascii="宋体" w:hAnsi="宋体" w:cs="宋体"/>
                <w:color w:val="auto"/>
                <w:sz w:val="22"/>
                <w:highlight w:val="none"/>
              </w:rPr>
              <w:br w:type="textWrapping"/>
            </w:r>
            <w:r>
              <w:rPr>
                <w:rFonts w:hint="eastAsia" w:ascii="宋体" w:hAnsi="宋体" w:cs="宋体"/>
                <w:color w:val="auto"/>
                <w:sz w:val="22"/>
                <w:highlight w:val="none"/>
              </w:rPr>
              <w:t xml:space="preserve"> </w:t>
            </w:r>
          </w:p>
          <w:p w14:paraId="1484C6FF">
            <w:pPr>
              <w:rPr>
                <w:rFonts w:ascii="宋体" w:hAnsi="宋体" w:cs="宋体"/>
                <w:b w:val="0"/>
                <w:bCs w:val="0"/>
                <w:color w:val="auto"/>
                <w:sz w:val="22"/>
                <w:highlight w:val="none"/>
              </w:rPr>
            </w:pPr>
            <w:r>
              <w:rPr>
                <w:rFonts w:hint="eastAsia" w:ascii="宋体" w:hAnsi="宋体" w:cs="宋体"/>
                <w:b w:val="0"/>
                <w:bCs w:val="0"/>
                <w:color w:val="auto"/>
                <w:sz w:val="22"/>
                <w:highlight w:val="none"/>
              </w:rPr>
              <w:t>5.5会务服务方案（4分）：</w:t>
            </w:r>
          </w:p>
          <w:p w14:paraId="44D2DCFC">
            <w:pPr>
              <w:rPr>
                <w:rFonts w:ascii="宋体" w:hAnsi="宋体" w:cs="宋体"/>
                <w:color w:val="auto"/>
                <w:sz w:val="22"/>
                <w:highlight w:val="none"/>
              </w:rPr>
            </w:pPr>
            <w:r>
              <w:rPr>
                <w:rFonts w:hint="eastAsia" w:ascii="宋体" w:hAnsi="宋体" w:cs="宋体"/>
                <w:color w:val="auto"/>
                <w:sz w:val="22"/>
                <w:highlight w:val="none"/>
              </w:rPr>
              <w:t>根据学校特点，提供会议服务、重大活动接待等服务方案，根据方案的完整性评分（评分范围：4,3,2,1,0）；</w:t>
            </w:r>
          </w:p>
          <w:p w14:paraId="687479CC">
            <w:pPr>
              <w:rPr>
                <w:rFonts w:ascii="宋体" w:hAnsi="宋体" w:cs="宋体"/>
                <w:color w:val="auto"/>
                <w:sz w:val="22"/>
                <w:highlight w:val="none"/>
              </w:rPr>
            </w:pPr>
          </w:p>
          <w:p w14:paraId="57718789">
            <w:pPr>
              <w:rPr>
                <w:rFonts w:ascii="宋体" w:hAnsi="宋体" w:cs="宋体"/>
                <w:b w:val="0"/>
                <w:bCs w:val="0"/>
                <w:color w:val="auto"/>
                <w:sz w:val="22"/>
                <w:highlight w:val="none"/>
              </w:rPr>
            </w:pPr>
            <w:r>
              <w:rPr>
                <w:rFonts w:hint="eastAsia" w:ascii="宋体" w:hAnsi="宋体" w:cs="宋体"/>
                <w:b w:val="0"/>
                <w:bCs w:val="0"/>
                <w:color w:val="auto"/>
                <w:sz w:val="22"/>
                <w:highlight w:val="none"/>
              </w:rPr>
              <w:t>5.6楼宇管理方案（4分）</w:t>
            </w:r>
          </w:p>
          <w:p w14:paraId="39697959">
            <w:pPr>
              <w:rPr>
                <w:rFonts w:ascii="宋体" w:hAnsi="宋体" w:cs="宋体"/>
                <w:color w:val="auto"/>
                <w:sz w:val="22"/>
                <w:highlight w:val="none"/>
              </w:rPr>
            </w:pPr>
            <w:r>
              <w:rPr>
                <w:rFonts w:hint="eastAsia" w:ascii="宋体" w:hAnsi="宋体" w:cs="宋体"/>
                <w:color w:val="auto"/>
                <w:sz w:val="22"/>
                <w:highlight w:val="none"/>
              </w:rPr>
              <w:t>根据学校各楼宇如教学楼、行政楼、公寓楼、体育场馆、图书馆等性质和特点，提供不同的楼宇管理服务方案，根据方案的完整性评分（评分范围：4,3,2,1,0）。</w:t>
            </w:r>
          </w:p>
        </w:tc>
      </w:tr>
      <w:tr w14:paraId="6830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0DF050C6">
            <w:pPr>
              <w:jc w:val="center"/>
              <w:rPr>
                <w:rFonts w:ascii="宋体" w:hAnsi="宋体" w:cs="宋体"/>
                <w:color w:val="auto"/>
                <w:sz w:val="22"/>
                <w:highlight w:val="none"/>
              </w:rPr>
            </w:pPr>
            <w:r>
              <w:rPr>
                <w:rFonts w:hint="eastAsia" w:ascii="宋体" w:hAnsi="宋体" w:cs="宋体"/>
                <w:color w:val="auto"/>
                <w:sz w:val="22"/>
                <w:highlight w:val="none"/>
              </w:rPr>
              <w:t>6</w:t>
            </w:r>
          </w:p>
        </w:tc>
        <w:tc>
          <w:tcPr>
            <w:tcW w:w="1401" w:type="dxa"/>
            <w:shd w:val="clear" w:color="auto" w:fill="auto"/>
            <w:vAlign w:val="center"/>
          </w:tcPr>
          <w:p w14:paraId="57577D1E">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项目管理及质量保证</w:t>
            </w:r>
          </w:p>
        </w:tc>
        <w:tc>
          <w:tcPr>
            <w:tcW w:w="769" w:type="dxa"/>
            <w:shd w:val="clear" w:color="auto" w:fill="auto"/>
            <w:vAlign w:val="center"/>
          </w:tcPr>
          <w:p w14:paraId="5267C2C9">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2分</w:t>
            </w:r>
          </w:p>
        </w:tc>
        <w:tc>
          <w:tcPr>
            <w:tcW w:w="5938" w:type="dxa"/>
            <w:shd w:val="clear" w:color="auto" w:fill="auto"/>
            <w:vAlign w:val="center"/>
          </w:tcPr>
          <w:p w14:paraId="71A87F85">
            <w:pPr>
              <w:pStyle w:val="86"/>
              <w:adjustRightInd w:val="0"/>
              <w:rPr>
                <w:rFonts w:ascii="宋体" w:hAnsi="宋体" w:eastAsia="宋体" w:cs="宋体"/>
                <w:color w:val="auto"/>
                <w:sz w:val="22"/>
                <w:highlight w:val="none"/>
              </w:rPr>
            </w:pPr>
            <w:r>
              <w:rPr>
                <w:rFonts w:hint="eastAsia" w:ascii="宋体" w:hAnsi="宋体" w:eastAsia="宋体" w:cs="宋体"/>
                <w:color w:val="auto"/>
                <w:kern w:val="28"/>
                <w:sz w:val="22"/>
                <w:highlight w:val="none"/>
                <w:shd w:val="clear" w:color="auto" w:fill="FFFFFF"/>
              </w:rPr>
              <w:t>根据管理服务组织机构设置（附组织机构图）、运作流程（附运作流程图）、激励机制、监督机制、自我约束机制和信息反馈渠道及处理机制、岗位职责，质量管理保证措施等是否科学、合理、高效评分</w:t>
            </w:r>
            <w:r>
              <w:rPr>
                <w:rFonts w:hint="eastAsia" w:ascii="宋体" w:hAnsi="宋体" w:eastAsia="宋体" w:cs="宋体"/>
                <w:color w:val="auto"/>
                <w:sz w:val="22"/>
                <w:highlight w:val="none"/>
              </w:rPr>
              <w:t>（评分范围：2,1,0.5,0）。</w:t>
            </w:r>
          </w:p>
        </w:tc>
      </w:tr>
      <w:tr w14:paraId="6638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3A830F35">
            <w:pPr>
              <w:jc w:val="center"/>
              <w:rPr>
                <w:rFonts w:ascii="宋体" w:hAnsi="宋体" w:cs="宋体"/>
                <w:color w:val="auto"/>
                <w:sz w:val="22"/>
                <w:highlight w:val="none"/>
              </w:rPr>
            </w:pPr>
            <w:r>
              <w:rPr>
                <w:rFonts w:hint="eastAsia" w:ascii="宋体" w:hAnsi="宋体" w:cs="宋体"/>
                <w:color w:val="auto"/>
                <w:sz w:val="22"/>
                <w:highlight w:val="none"/>
              </w:rPr>
              <w:t>7</w:t>
            </w:r>
          </w:p>
        </w:tc>
        <w:tc>
          <w:tcPr>
            <w:tcW w:w="1401" w:type="dxa"/>
            <w:vAlign w:val="center"/>
          </w:tcPr>
          <w:p w14:paraId="50EB2C09">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突发事件应急处理措施</w:t>
            </w:r>
          </w:p>
        </w:tc>
        <w:tc>
          <w:tcPr>
            <w:tcW w:w="769" w:type="dxa"/>
            <w:vAlign w:val="center"/>
          </w:tcPr>
          <w:p w14:paraId="69052F8E">
            <w:pPr>
              <w:pStyle w:val="86"/>
              <w:adjustRightInd w:val="0"/>
              <w:jc w:val="center"/>
              <w:rPr>
                <w:rFonts w:ascii="宋体" w:hAnsi="宋体" w:eastAsia="宋体" w:cs="宋体"/>
                <w:color w:val="auto"/>
                <w:sz w:val="22"/>
                <w:highlight w:val="none"/>
              </w:rPr>
            </w:pPr>
            <w:r>
              <w:rPr>
                <w:rFonts w:hint="eastAsia" w:ascii="宋体" w:hAnsi="宋体" w:eastAsia="宋体" w:cs="宋体"/>
                <w:color w:val="auto"/>
                <w:sz w:val="22"/>
                <w:highlight w:val="none"/>
              </w:rPr>
              <w:t>2分</w:t>
            </w:r>
          </w:p>
        </w:tc>
        <w:tc>
          <w:tcPr>
            <w:tcW w:w="5938" w:type="dxa"/>
            <w:vAlign w:val="center"/>
          </w:tcPr>
          <w:p w14:paraId="06FE5612">
            <w:pPr>
              <w:tabs>
                <w:tab w:val="left" w:pos="0"/>
              </w:tabs>
              <w:rPr>
                <w:rFonts w:ascii="宋体" w:hAnsi="宋体" w:cs="宋体"/>
                <w:color w:val="auto"/>
                <w:sz w:val="22"/>
                <w:highlight w:val="none"/>
              </w:rPr>
            </w:pPr>
            <w:r>
              <w:rPr>
                <w:rFonts w:hint="eastAsia" w:ascii="宋体" w:hAnsi="宋体" w:cs="宋体"/>
                <w:color w:val="auto"/>
                <w:sz w:val="22"/>
                <w:highlight w:val="none"/>
              </w:rPr>
              <w:t>针对突发事件所制定的预案和措施是否完善、周密、可行；另外根据各类特殊时期（大型活动、节庆假日、防台防汛等）保障方案的合理性、可行性，应急的速度及可临时投入的人力、物力进行评分（评分范围：2,1,0.5,0）。</w:t>
            </w:r>
          </w:p>
        </w:tc>
      </w:tr>
      <w:tr w14:paraId="5D4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27F2E85E">
            <w:pPr>
              <w:jc w:val="center"/>
              <w:rPr>
                <w:rFonts w:ascii="宋体" w:hAnsi="宋体" w:cs="宋体"/>
                <w:color w:val="auto"/>
                <w:sz w:val="22"/>
                <w:highlight w:val="none"/>
              </w:rPr>
            </w:pPr>
            <w:r>
              <w:rPr>
                <w:rFonts w:hint="eastAsia" w:ascii="宋体" w:hAnsi="宋体" w:cs="宋体"/>
                <w:color w:val="auto"/>
                <w:sz w:val="22"/>
                <w:highlight w:val="none"/>
              </w:rPr>
              <w:t>8</w:t>
            </w:r>
          </w:p>
        </w:tc>
        <w:tc>
          <w:tcPr>
            <w:tcW w:w="1401" w:type="dxa"/>
            <w:vAlign w:val="center"/>
          </w:tcPr>
          <w:p w14:paraId="2CC914C6">
            <w:pPr>
              <w:jc w:val="center"/>
              <w:rPr>
                <w:rFonts w:ascii="宋体" w:hAnsi="宋体" w:cs="宋体"/>
                <w:color w:val="auto"/>
                <w:sz w:val="22"/>
                <w:highlight w:val="none"/>
              </w:rPr>
            </w:pPr>
            <w:r>
              <w:rPr>
                <w:rFonts w:hint="eastAsia" w:ascii="宋体" w:hAnsi="宋体" w:cs="宋体"/>
                <w:color w:val="auto"/>
                <w:sz w:val="22"/>
                <w:highlight w:val="none"/>
              </w:rPr>
              <w:t>节能减排及文明建设</w:t>
            </w:r>
          </w:p>
        </w:tc>
        <w:tc>
          <w:tcPr>
            <w:tcW w:w="769" w:type="dxa"/>
            <w:vAlign w:val="center"/>
          </w:tcPr>
          <w:p w14:paraId="392EB35E">
            <w:pPr>
              <w:jc w:val="center"/>
              <w:rPr>
                <w:rFonts w:ascii="宋体" w:hAnsi="宋体" w:cs="宋体"/>
                <w:color w:val="auto"/>
                <w:sz w:val="22"/>
                <w:highlight w:val="none"/>
              </w:rPr>
            </w:pPr>
            <w:r>
              <w:rPr>
                <w:rFonts w:hint="eastAsia" w:ascii="宋体" w:hAnsi="宋体" w:cs="宋体"/>
                <w:color w:val="auto"/>
                <w:sz w:val="22"/>
                <w:highlight w:val="none"/>
              </w:rPr>
              <w:t>2分</w:t>
            </w:r>
          </w:p>
        </w:tc>
        <w:tc>
          <w:tcPr>
            <w:tcW w:w="5938" w:type="dxa"/>
            <w:vAlign w:val="center"/>
          </w:tcPr>
          <w:p w14:paraId="4FA3E2E8">
            <w:pPr>
              <w:jc w:val="left"/>
              <w:rPr>
                <w:rFonts w:ascii="宋体" w:hAnsi="宋体" w:cs="宋体"/>
                <w:color w:val="auto"/>
                <w:sz w:val="22"/>
                <w:highlight w:val="none"/>
              </w:rPr>
            </w:pPr>
            <w:r>
              <w:rPr>
                <w:rFonts w:hint="eastAsia" w:ascii="宋体" w:hAnsi="宋体" w:cs="宋体"/>
                <w:color w:val="auto"/>
                <w:sz w:val="22"/>
                <w:highlight w:val="none"/>
              </w:rPr>
              <w:t>节能减排的方案及措施及文明建设的内容（文明建设：如物业的文明服务，节假日协助业主单位做好形象布置等）（评分范围：2,1,0.5,0）。</w:t>
            </w:r>
          </w:p>
        </w:tc>
      </w:tr>
      <w:tr w14:paraId="3F3E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30F667D2">
            <w:pPr>
              <w:jc w:val="center"/>
              <w:rPr>
                <w:rFonts w:ascii="宋体" w:hAnsi="宋体" w:cs="宋体"/>
                <w:color w:val="auto"/>
                <w:sz w:val="22"/>
                <w:highlight w:val="none"/>
              </w:rPr>
            </w:pPr>
            <w:r>
              <w:rPr>
                <w:rFonts w:hint="eastAsia" w:ascii="宋体" w:hAnsi="宋体" w:cs="宋体"/>
                <w:color w:val="auto"/>
                <w:sz w:val="22"/>
                <w:highlight w:val="none"/>
              </w:rPr>
              <w:t>9</w:t>
            </w:r>
          </w:p>
        </w:tc>
        <w:tc>
          <w:tcPr>
            <w:tcW w:w="1401" w:type="dxa"/>
            <w:vAlign w:val="center"/>
          </w:tcPr>
          <w:p w14:paraId="77F9C032">
            <w:pPr>
              <w:jc w:val="center"/>
              <w:rPr>
                <w:rFonts w:ascii="宋体" w:hAnsi="宋体" w:cs="宋体"/>
                <w:color w:val="auto"/>
                <w:sz w:val="22"/>
                <w:highlight w:val="none"/>
              </w:rPr>
            </w:pPr>
            <w:r>
              <w:rPr>
                <w:rFonts w:hint="eastAsia" w:ascii="宋体" w:hAnsi="宋体" w:cs="宋体"/>
                <w:color w:val="auto"/>
                <w:sz w:val="22"/>
                <w:highlight w:val="none"/>
              </w:rPr>
              <w:t>拟投入的设备、工具等</w:t>
            </w:r>
          </w:p>
        </w:tc>
        <w:tc>
          <w:tcPr>
            <w:tcW w:w="769" w:type="dxa"/>
            <w:vAlign w:val="center"/>
          </w:tcPr>
          <w:p w14:paraId="434F475C">
            <w:pPr>
              <w:jc w:val="center"/>
              <w:rPr>
                <w:rFonts w:ascii="宋体" w:hAnsi="宋体" w:cs="宋体"/>
                <w:color w:val="auto"/>
                <w:sz w:val="22"/>
                <w:highlight w:val="none"/>
              </w:rPr>
            </w:pPr>
            <w:r>
              <w:rPr>
                <w:rFonts w:hint="eastAsia" w:ascii="宋体" w:hAnsi="宋体" w:cs="宋体"/>
                <w:color w:val="auto"/>
                <w:sz w:val="22"/>
                <w:highlight w:val="none"/>
              </w:rPr>
              <w:t>4分</w:t>
            </w:r>
          </w:p>
        </w:tc>
        <w:tc>
          <w:tcPr>
            <w:tcW w:w="5938" w:type="dxa"/>
            <w:vAlign w:val="center"/>
          </w:tcPr>
          <w:p w14:paraId="53715E60">
            <w:pPr>
              <w:jc w:val="left"/>
              <w:rPr>
                <w:rFonts w:ascii="宋体" w:hAnsi="宋体" w:cs="宋体"/>
                <w:color w:val="auto"/>
                <w:sz w:val="22"/>
                <w:highlight w:val="none"/>
              </w:rPr>
            </w:pPr>
            <w:r>
              <w:rPr>
                <w:rFonts w:hint="eastAsia" w:ascii="宋体" w:hAnsi="宋体" w:cs="宋体"/>
                <w:color w:val="auto"/>
                <w:sz w:val="22"/>
                <w:highlight w:val="none"/>
              </w:rPr>
              <w:t>根据本项目所能提供的机械化、智能化物业服务设备数量（具体设备应不少于本项目采购需求所要求的内容及数量）、功能、匹配度评分，提供具体材料明细及设备归属证明材料（评分范围：4,3,2,1,0）。</w:t>
            </w:r>
          </w:p>
        </w:tc>
      </w:tr>
      <w:tr w14:paraId="66C9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97" w:hRule="atLeast"/>
        </w:trPr>
        <w:tc>
          <w:tcPr>
            <w:tcW w:w="749" w:type="dxa"/>
            <w:vAlign w:val="center"/>
          </w:tcPr>
          <w:p w14:paraId="58F8E5A8">
            <w:pPr>
              <w:jc w:val="center"/>
              <w:rPr>
                <w:rFonts w:ascii="宋体" w:hAnsi="宋体" w:cs="宋体"/>
                <w:color w:val="auto"/>
                <w:sz w:val="22"/>
                <w:highlight w:val="none"/>
              </w:rPr>
            </w:pPr>
            <w:r>
              <w:rPr>
                <w:rFonts w:hint="eastAsia" w:ascii="宋体" w:hAnsi="宋体" w:cs="宋体"/>
                <w:color w:val="auto"/>
                <w:sz w:val="22"/>
                <w:highlight w:val="none"/>
              </w:rPr>
              <w:t>10</w:t>
            </w:r>
          </w:p>
        </w:tc>
        <w:tc>
          <w:tcPr>
            <w:tcW w:w="1401" w:type="dxa"/>
            <w:vAlign w:val="center"/>
          </w:tcPr>
          <w:p w14:paraId="5F8F4FEC">
            <w:pPr>
              <w:autoSpaceDE w:val="0"/>
              <w:adjustRightInd w:val="0"/>
              <w:snapToGrid w:val="0"/>
              <w:spacing w:line="360" w:lineRule="auto"/>
              <w:rPr>
                <w:rFonts w:ascii="宋体" w:hAnsi="宋体" w:cs="宋体"/>
                <w:color w:val="auto"/>
                <w:sz w:val="22"/>
                <w:highlight w:val="none"/>
              </w:rPr>
            </w:pPr>
            <w:r>
              <w:rPr>
                <w:rFonts w:hint="eastAsia" w:ascii="宋体" w:hAnsi="宋体" w:cs="宋体"/>
                <w:color w:val="auto"/>
                <w:sz w:val="22"/>
                <w:highlight w:val="none"/>
              </w:rPr>
              <w:t>现场陈述和答辩（5分钟，陈述内容不超3分钟）</w:t>
            </w:r>
          </w:p>
          <w:p w14:paraId="17F9EE2C">
            <w:pPr>
              <w:jc w:val="center"/>
              <w:rPr>
                <w:rFonts w:ascii="宋体" w:hAnsi="宋体" w:cs="宋体"/>
                <w:color w:val="auto"/>
                <w:sz w:val="22"/>
                <w:highlight w:val="none"/>
              </w:rPr>
            </w:pPr>
          </w:p>
        </w:tc>
        <w:tc>
          <w:tcPr>
            <w:tcW w:w="769" w:type="dxa"/>
            <w:vAlign w:val="center"/>
          </w:tcPr>
          <w:p w14:paraId="6A32D4DD">
            <w:pPr>
              <w:jc w:val="center"/>
              <w:rPr>
                <w:rFonts w:ascii="宋体" w:hAnsi="宋体" w:cs="宋体"/>
                <w:color w:val="auto"/>
                <w:sz w:val="22"/>
                <w:highlight w:val="none"/>
              </w:rPr>
            </w:pPr>
            <w:r>
              <w:rPr>
                <w:rFonts w:hint="eastAsia" w:ascii="宋体" w:hAnsi="宋体" w:cs="宋体"/>
                <w:color w:val="auto"/>
                <w:sz w:val="22"/>
                <w:highlight w:val="none"/>
              </w:rPr>
              <w:t>5分</w:t>
            </w:r>
          </w:p>
        </w:tc>
        <w:tc>
          <w:tcPr>
            <w:tcW w:w="5938" w:type="dxa"/>
            <w:vAlign w:val="center"/>
          </w:tcPr>
          <w:p w14:paraId="6BBCC756">
            <w:pPr>
              <w:rPr>
                <w:rFonts w:ascii="宋体" w:hAnsi="宋体" w:cs="宋体"/>
                <w:color w:val="auto"/>
                <w:sz w:val="22"/>
                <w:highlight w:val="none"/>
              </w:rPr>
            </w:pPr>
            <w:r>
              <w:rPr>
                <w:rFonts w:hint="eastAsia" w:ascii="宋体" w:hAnsi="宋体" w:cs="宋体"/>
                <w:color w:val="auto"/>
                <w:sz w:val="22"/>
                <w:highlight w:val="none"/>
              </w:rPr>
              <w:t>项目经理在评标现场陈述投标方案，并回答评标委员会提出的问题。根据现场陈述对项目的理解程度、与投标响应方案的一致性、方案的合理性等情况进行评分。（评分范围：5,4,3,2,1,0）</w:t>
            </w:r>
          </w:p>
          <w:p w14:paraId="3B1D1C0B">
            <w:pPr>
              <w:rPr>
                <w:rFonts w:ascii="宋体" w:hAnsi="宋体" w:cs="宋体"/>
                <w:color w:val="auto"/>
                <w:sz w:val="22"/>
                <w:highlight w:val="none"/>
              </w:rPr>
            </w:pPr>
            <w:r>
              <w:rPr>
                <w:rFonts w:hint="eastAsia" w:ascii="宋体" w:hAnsi="宋体" w:cs="宋体"/>
                <w:b w:val="0"/>
                <w:bCs w:val="0"/>
                <w:color w:val="auto"/>
                <w:kern w:val="0"/>
                <w:sz w:val="22"/>
                <w:highlight w:val="none"/>
              </w:rPr>
              <w:t>备注：</w:t>
            </w:r>
            <w:r>
              <w:rPr>
                <w:rFonts w:hint="eastAsia" w:ascii="宋体" w:hAnsi="宋体" w:cs="宋体"/>
                <w:b w:val="0"/>
                <w:bCs w:val="0"/>
                <w:color w:val="auto"/>
                <w:sz w:val="22"/>
                <w:highlight w:val="none"/>
              </w:rPr>
              <w:t>以上人员须提供在本单位2025年1月至今任意一个月的社保证明否则不得分。</w:t>
            </w:r>
          </w:p>
        </w:tc>
      </w:tr>
    </w:tbl>
    <w:p w14:paraId="72B8027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2.报价评分（20分）：</w:t>
      </w:r>
    </w:p>
    <w:p w14:paraId="18429FD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14:paraId="4EF9C4A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报价评分采用低价优先法计算，即满足招标文件要求且评审价格最低的为评标基准价，其价格分为满分。其他投标人的报价分按照下列公式计算：</w:t>
      </w:r>
    </w:p>
    <w:p w14:paraId="5EFA2F8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报价分=（评标基准价/评审价格）×20。</w:t>
      </w:r>
    </w:p>
    <w:p w14:paraId="3EFF423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619BF37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3D396891">
      <w:pPr>
        <w:spacing w:line="36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2.2</w:t>
      </w:r>
      <w:r>
        <w:rPr>
          <w:rFonts w:hint="eastAsia" w:ascii="宋体" w:hAnsi="宋体" w:cs="宋体"/>
          <w:color w:val="auto"/>
          <w:sz w:val="22"/>
          <w:highlight w:val="none"/>
        </w:rPr>
        <w:t>投标人的综合评分为“商务和技术分”和“报价分”的总计。</w:t>
      </w:r>
    </w:p>
    <w:sectPr>
      <w:headerReference r:id="rId4" w:type="default"/>
      <w:footerReference r:id="rId5" w:type="default"/>
      <w:pgSz w:w="11906" w:h="16838"/>
      <w:pgMar w:top="1440" w:right="1080" w:bottom="1440" w:left="108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宋体 ( 正文 )">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C2C30">
    <w:pPr>
      <w:pStyle w:val="19"/>
      <w:tabs>
        <w:tab w:val="clear" w:pos="4153"/>
        <w:tab w:val="clear" w:pos="8306"/>
      </w:tabs>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2130" cy="163195"/>
              <wp:effectExtent l="0" t="0" r="0" b="0"/>
              <wp:wrapNone/>
              <wp:docPr id="6" name="00008f"/>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wps:spPr>
                    <wps:txbx>
                      <w:txbxContent>
                        <w:p w14:paraId="3BEB6A7D">
                          <w:pP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r>
                            <w:rPr>
                              <w:rFonts w:hint="eastAsia"/>
                              <w:sz w:val="18"/>
                            </w:rPr>
                            <w:t xml:space="preserve"> 页</w:t>
                          </w:r>
                        </w:p>
                        <w:p w14:paraId="36A238F0"/>
                      </w:txbxContent>
                    </wps:txbx>
                    <wps:bodyPr wrap="none" lIns="0" tIns="0" rIns="0" bIns="0" upright="1">
                      <a:spAutoFit/>
                    </wps:bodyPr>
                  </wps:wsp>
                </a:graphicData>
              </a:graphic>
            </wp:anchor>
          </w:drawing>
        </mc:Choice>
        <mc:Fallback>
          <w:pict>
            <v:shape id="00008f" o:spid="_x0000_s1026" o:spt="202" type="#_x0000_t202" style="position:absolute;left:0pt;margin-top:0pt;height:12.85pt;width:41.9pt;mso-position-horizontal:center;mso-position-horizontal-relative:margin;mso-wrap-style:none;z-index:251663360;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4unF1QAAAAMBAAAPAAAAAAAAAAEAIAAAACIAAABkcnMvZG93bnJldi54&#10;bWxQSwECFAAUAAAACACHTuJAeQD/UcQBAACcAwAADgAAAAAAAAABACAAAAAkAQAAZHJzL2Uyb0Rv&#10;Yy54bWxQSwUGAAAAAAYABgBZAQAAWgUAAAAA&#10;">
              <v:fill on="f" focussize="0,0"/>
              <v:stroke on="f" weight="1.25pt"/>
              <v:imagedata o:title=""/>
              <o:lock v:ext="edit" aspectratio="f"/>
              <v:textbox inset="0mm,0mm,0mm,0mm" style="mso-fit-shape-to-text:t;">
                <w:txbxContent>
                  <w:p w14:paraId="3BEB6A7D">
                    <w:pP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r>
                      <w:rPr>
                        <w:rFonts w:hint="eastAsia"/>
                        <w:sz w:val="18"/>
                      </w:rPr>
                      <w:t xml:space="preserve"> 页</w:t>
                    </w:r>
                  </w:p>
                  <w:p w14:paraId="36A238F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90CF416">
      <w:pPr>
        <w:pStyle w:val="2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0010">
    <w:pPr>
      <w:pStyle w:val="21"/>
      <w:pBdr>
        <w:bottom w:val="none" w:color="000000" w:sz="0" w:space="1"/>
      </w:pBdr>
      <w:tabs>
        <w:tab w:val="clear" w:pos="4153"/>
        <w:tab w:val="clear" w:pos="8306"/>
      </w:tabs>
      <w:jc w:val="right"/>
    </w:pPr>
    <w:r>
      <w:rPr>
        <w:rFonts w:hint="eastAsia"/>
      </w:rPr>
      <w:t>浙江乐诚工程咨询有限公司招标文件</w:t>
    </w:r>
    <w:r>
      <w:rPr>
        <w:rFonts w:hint="eastAsia" w:ascii="Arial" w:hAnsi="宋体" w:cs="Arial"/>
        <w:b/>
        <w:szCs w:val="21"/>
      </w:rPr>
      <w:drawing>
        <wp:inline distT="0" distB="0" distL="114300" distR="114300">
          <wp:extent cx="381000" cy="3429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3810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35C1C"/>
    <w:multiLevelType w:val="singleLevel"/>
    <w:tmpl w:val="95135C1C"/>
    <w:lvl w:ilvl="0" w:tentative="0">
      <w:start w:val="1"/>
      <w:numFmt w:val="decimal"/>
      <w:lvlText w:val="%1."/>
      <w:lvlJc w:val="left"/>
      <w:pPr>
        <w:tabs>
          <w:tab w:val="left" w:pos="312"/>
        </w:tabs>
      </w:pPr>
    </w:lvl>
  </w:abstractNum>
  <w:abstractNum w:abstractNumId="1">
    <w:nsid w:val="9DEB1FD0"/>
    <w:multiLevelType w:val="singleLevel"/>
    <w:tmpl w:val="9DEB1FD0"/>
    <w:lvl w:ilvl="0" w:tentative="0">
      <w:start w:val="1"/>
      <w:numFmt w:val="decimal"/>
      <w:suff w:val="nothing"/>
      <w:lvlText w:val="%1．"/>
      <w:lvlJc w:val="left"/>
      <w:pPr>
        <w:ind w:left="0" w:firstLine="400"/>
      </w:pPr>
      <w:rPr>
        <w:rFonts w:hint="default"/>
      </w:rPr>
    </w:lvl>
  </w:abstractNum>
  <w:abstractNum w:abstractNumId="2">
    <w:nsid w:val="9F8E9749"/>
    <w:multiLevelType w:val="singleLevel"/>
    <w:tmpl w:val="9F8E9749"/>
    <w:lvl w:ilvl="0" w:tentative="0">
      <w:start w:val="1"/>
      <w:numFmt w:val="decimal"/>
      <w:suff w:val="nothing"/>
      <w:lvlText w:val="%1、"/>
      <w:lvlJc w:val="left"/>
    </w:lvl>
  </w:abstractNum>
  <w:abstractNum w:abstractNumId="3">
    <w:nsid w:val="B8850206"/>
    <w:multiLevelType w:val="multilevel"/>
    <w:tmpl w:val="B8850206"/>
    <w:lvl w:ilvl="0" w:tentative="0">
      <w:start w:val="1"/>
      <w:numFmt w:val="decimal"/>
      <w:lvlText w:val="%1."/>
      <w:lvlJc w:val="left"/>
      <w:pPr>
        <w:ind w:left="432" w:hanging="432"/>
      </w:pPr>
    </w:lvl>
    <w:lvl w:ilvl="1" w:tentative="0">
      <w:start w:val="1"/>
      <w:numFmt w:val="decimal"/>
      <w:pStyle w:val="5"/>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4">
    <w:nsid w:val="BF0AE4C3"/>
    <w:multiLevelType w:val="singleLevel"/>
    <w:tmpl w:val="BF0AE4C3"/>
    <w:lvl w:ilvl="0" w:tentative="0">
      <w:start w:val="1"/>
      <w:numFmt w:val="decimal"/>
      <w:suff w:val="nothing"/>
      <w:lvlText w:val="（%1）"/>
      <w:lvlJc w:val="left"/>
    </w:lvl>
  </w:abstractNum>
  <w:abstractNum w:abstractNumId="5">
    <w:nsid w:val="C8B16661"/>
    <w:multiLevelType w:val="singleLevel"/>
    <w:tmpl w:val="C8B16661"/>
    <w:lvl w:ilvl="0" w:tentative="0">
      <w:start w:val="1"/>
      <w:numFmt w:val="chineseCounting"/>
      <w:suff w:val="nothing"/>
      <w:lvlText w:val="%1、"/>
      <w:lvlJc w:val="left"/>
      <w:rPr>
        <w:rFonts w:hint="eastAsia"/>
      </w:rPr>
    </w:lvl>
  </w:abstractNum>
  <w:abstractNum w:abstractNumId="6">
    <w:nsid w:val="C961E177"/>
    <w:multiLevelType w:val="singleLevel"/>
    <w:tmpl w:val="C961E177"/>
    <w:lvl w:ilvl="0" w:tentative="0">
      <w:start w:val="3"/>
      <w:numFmt w:val="chineseCounting"/>
      <w:suff w:val="nothing"/>
      <w:lvlText w:val="（%1）"/>
      <w:lvlJc w:val="left"/>
      <w:rPr>
        <w:rFonts w:hint="eastAsia"/>
      </w:rPr>
    </w:lvl>
  </w:abstractNum>
  <w:abstractNum w:abstractNumId="7">
    <w:nsid w:val="CCE764D6"/>
    <w:multiLevelType w:val="singleLevel"/>
    <w:tmpl w:val="CCE764D6"/>
    <w:lvl w:ilvl="0" w:tentative="0">
      <w:start w:val="1"/>
      <w:numFmt w:val="decimal"/>
      <w:lvlText w:val="%1."/>
      <w:lvlJc w:val="left"/>
      <w:pPr>
        <w:tabs>
          <w:tab w:val="left" w:pos="312"/>
        </w:tabs>
      </w:pPr>
    </w:lvl>
  </w:abstractNum>
  <w:abstractNum w:abstractNumId="8">
    <w:nsid w:val="F975E834"/>
    <w:multiLevelType w:val="singleLevel"/>
    <w:tmpl w:val="F975E834"/>
    <w:lvl w:ilvl="0" w:tentative="0">
      <w:start w:val="1"/>
      <w:numFmt w:val="decimal"/>
      <w:suff w:val="nothing"/>
      <w:lvlText w:val="%1．"/>
      <w:lvlJc w:val="left"/>
      <w:pPr>
        <w:ind w:left="0" w:firstLine="400"/>
      </w:pPr>
      <w:rPr>
        <w:rFonts w:hint="default"/>
      </w:rPr>
    </w:lvl>
  </w:abstractNum>
  <w:abstractNum w:abstractNumId="9">
    <w:nsid w:val="FAA72A0A"/>
    <w:multiLevelType w:val="singleLevel"/>
    <w:tmpl w:val="FAA72A0A"/>
    <w:lvl w:ilvl="0" w:tentative="0">
      <w:start w:val="1"/>
      <w:numFmt w:val="decimal"/>
      <w:suff w:val="nothing"/>
      <w:lvlText w:val="%1、"/>
      <w:lvlJc w:val="left"/>
    </w:lvl>
  </w:abstractNum>
  <w:abstractNum w:abstractNumId="10">
    <w:nsid w:val="FD35904F"/>
    <w:multiLevelType w:val="singleLevel"/>
    <w:tmpl w:val="FD35904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1">
    <w:nsid w:val="00D80099"/>
    <w:multiLevelType w:val="multilevel"/>
    <w:tmpl w:val="00D800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21C584F"/>
    <w:multiLevelType w:val="singleLevel"/>
    <w:tmpl w:val="021C584F"/>
    <w:lvl w:ilvl="0" w:tentative="0">
      <w:start w:val="4"/>
      <w:numFmt w:val="chineseCounting"/>
      <w:lvlText w:val="%1."/>
      <w:lvlJc w:val="left"/>
      <w:pPr>
        <w:tabs>
          <w:tab w:val="left" w:pos="312"/>
        </w:tabs>
      </w:pPr>
      <w:rPr>
        <w:rFonts w:hint="eastAsia"/>
      </w:rPr>
    </w:lvl>
  </w:abstractNum>
  <w:abstractNum w:abstractNumId="13">
    <w:nsid w:val="050B16C5"/>
    <w:multiLevelType w:val="singleLevel"/>
    <w:tmpl w:val="050B16C5"/>
    <w:lvl w:ilvl="0" w:tentative="0">
      <w:start w:val="1"/>
      <w:numFmt w:val="decimal"/>
      <w:lvlText w:val="%1."/>
      <w:lvlJc w:val="left"/>
      <w:pPr>
        <w:tabs>
          <w:tab w:val="left" w:pos="312"/>
        </w:tabs>
      </w:pPr>
    </w:lvl>
  </w:abstractNum>
  <w:abstractNum w:abstractNumId="14">
    <w:nsid w:val="136C46C8"/>
    <w:multiLevelType w:val="singleLevel"/>
    <w:tmpl w:val="136C46C8"/>
    <w:lvl w:ilvl="0" w:tentative="0">
      <w:start w:val="1"/>
      <w:numFmt w:val="decimal"/>
      <w:lvlText w:val="%1."/>
      <w:lvlJc w:val="left"/>
      <w:pPr>
        <w:tabs>
          <w:tab w:val="left" w:pos="454"/>
        </w:tabs>
      </w:pPr>
    </w:lvl>
  </w:abstractNum>
  <w:abstractNum w:abstractNumId="15">
    <w:nsid w:val="24C674D6"/>
    <w:multiLevelType w:val="singleLevel"/>
    <w:tmpl w:val="24C674D6"/>
    <w:lvl w:ilvl="0" w:tentative="0">
      <w:start w:val="1"/>
      <w:numFmt w:val="decimal"/>
      <w:lvlText w:val="%1."/>
      <w:lvlJc w:val="left"/>
      <w:pPr>
        <w:tabs>
          <w:tab w:val="left" w:pos="312"/>
        </w:tabs>
      </w:pPr>
    </w:lvl>
  </w:abstractNum>
  <w:abstractNum w:abstractNumId="16">
    <w:nsid w:val="2D7ABF60"/>
    <w:multiLevelType w:val="singleLevel"/>
    <w:tmpl w:val="2D7ABF60"/>
    <w:lvl w:ilvl="0" w:tentative="0">
      <w:start w:val="1"/>
      <w:numFmt w:val="decimal"/>
      <w:lvlText w:val="(%1)"/>
      <w:lvlJc w:val="left"/>
      <w:pPr>
        <w:ind w:left="425" w:hanging="425"/>
      </w:pPr>
      <w:rPr>
        <w:rFonts w:hint="default"/>
      </w:rPr>
    </w:lvl>
  </w:abstractNum>
  <w:abstractNum w:abstractNumId="17">
    <w:nsid w:val="2E00521A"/>
    <w:multiLevelType w:val="singleLevel"/>
    <w:tmpl w:val="2E00521A"/>
    <w:lvl w:ilvl="0" w:tentative="0">
      <w:start w:val="1"/>
      <w:numFmt w:val="decimal"/>
      <w:lvlText w:val="(%1)"/>
      <w:lvlJc w:val="left"/>
      <w:pPr>
        <w:ind w:left="425" w:hanging="425"/>
      </w:pPr>
      <w:rPr>
        <w:rFonts w:hint="default"/>
      </w:rPr>
    </w:lvl>
  </w:abstractNum>
  <w:abstractNum w:abstractNumId="18">
    <w:nsid w:val="36D012F9"/>
    <w:multiLevelType w:val="singleLevel"/>
    <w:tmpl w:val="36D012F9"/>
    <w:lvl w:ilvl="0" w:tentative="0">
      <w:start w:val="1"/>
      <w:numFmt w:val="decimal"/>
      <w:lvlText w:val="%1)"/>
      <w:lvlJc w:val="left"/>
      <w:pPr>
        <w:ind w:left="425" w:hanging="425"/>
      </w:pPr>
      <w:rPr>
        <w:rFonts w:hint="default"/>
      </w:rPr>
    </w:lvl>
  </w:abstractNum>
  <w:abstractNum w:abstractNumId="19">
    <w:nsid w:val="3A4E547B"/>
    <w:multiLevelType w:val="multilevel"/>
    <w:tmpl w:val="3A4E54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403C8484"/>
    <w:multiLevelType w:val="singleLevel"/>
    <w:tmpl w:val="403C8484"/>
    <w:lvl w:ilvl="0" w:tentative="0">
      <w:start w:val="1"/>
      <w:numFmt w:val="decimal"/>
      <w:lvlText w:val="(%1)"/>
      <w:lvlJc w:val="left"/>
      <w:pPr>
        <w:ind w:left="425" w:hanging="425"/>
      </w:pPr>
      <w:rPr>
        <w:rFonts w:hint="default"/>
      </w:rPr>
    </w:lvl>
  </w:abstractNum>
  <w:abstractNum w:abstractNumId="21">
    <w:nsid w:val="46B95491"/>
    <w:multiLevelType w:val="singleLevel"/>
    <w:tmpl w:val="46B95491"/>
    <w:lvl w:ilvl="0" w:tentative="0">
      <w:start w:val="1"/>
      <w:numFmt w:val="decimal"/>
      <w:suff w:val="nothing"/>
      <w:lvlText w:val="%1．"/>
      <w:lvlJc w:val="left"/>
      <w:pPr>
        <w:ind w:left="0" w:firstLine="400"/>
      </w:pPr>
      <w:rPr>
        <w:rFonts w:hint="default"/>
      </w:rPr>
    </w:lvl>
  </w:abstractNum>
  <w:abstractNum w:abstractNumId="22">
    <w:nsid w:val="4BC7C0C3"/>
    <w:multiLevelType w:val="singleLevel"/>
    <w:tmpl w:val="4BC7C0C3"/>
    <w:lvl w:ilvl="0" w:tentative="0">
      <w:start w:val="1"/>
      <w:numFmt w:val="decimal"/>
      <w:suff w:val="nothing"/>
      <w:lvlText w:val="（%1）"/>
      <w:lvlJc w:val="left"/>
    </w:lvl>
  </w:abstractNum>
  <w:abstractNum w:abstractNumId="23">
    <w:nsid w:val="4C59000B"/>
    <w:multiLevelType w:val="singleLevel"/>
    <w:tmpl w:val="4C59000B"/>
    <w:lvl w:ilvl="0" w:tentative="0">
      <w:start w:val="1"/>
      <w:numFmt w:val="decimal"/>
      <w:suff w:val="nothing"/>
      <w:lvlText w:val="%1、"/>
      <w:lvlJc w:val="left"/>
    </w:lvl>
  </w:abstractNum>
  <w:abstractNum w:abstractNumId="24">
    <w:nsid w:val="534481B5"/>
    <w:multiLevelType w:val="singleLevel"/>
    <w:tmpl w:val="534481B5"/>
    <w:lvl w:ilvl="0" w:tentative="0">
      <w:start w:val="1"/>
      <w:numFmt w:val="decimal"/>
      <w:suff w:val="nothing"/>
      <w:lvlText w:val="%1．"/>
      <w:lvlJc w:val="left"/>
      <w:pPr>
        <w:ind w:left="0" w:firstLine="400"/>
      </w:pPr>
      <w:rPr>
        <w:rFonts w:hint="default"/>
      </w:rPr>
    </w:lvl>
  </w:abstractNum>
  <w:abstractNum w:abstractNumId="25">
    <w:nsid w:val="53AE5B11"/>
    <w:multiLevelType w:val="singleLevel"/>
    <w:tmpl w:val="53AE5B11"/>
    <w:lvl w:ilvl="0" w:tentative="0">
      <w:start w:val="1"/>
      <w:numFmt w:val="decimal"/>
      <w:lvlText w:val="(%1)"/>
      <w:lvlJc w:val="left"/>
      <w:pPr>
        <w:ind w:left="635" w:hanging="425"/>
      </w:pPr>
      <w:rPr>
        <w:rFonts w:hint="default"/>
      </w:rPr>
    </w:lvl>
  </w:abstractNum>
  <w:abstractNum w:abstractNumId="26">
    <w:nsid w:val="557FD3DA"/>
    <w:multiLevelType w:val="singleLevel"/>
    <w:tmpl w:val="557FD3DA"/>
    <w:lvl w:ilvl="0" w:tentative="0">
      <w:start w:val="3"/>
      <w:numFmt w:val="chineseCounting"/>
      <w:suff w:val="nothing"/>
      <w:lvlText w:val="%1、"/>
      <w:lvlJc w:val="left"/>
      <w:rPr>
        <w:rFonts w:cs="Times New Roman"/>
      </w:rPr>
    </w:lvl>
  </w:abstractNum>
  <w:abstractNum w:abstractNumId="27">
    <w:nsid w:val="56955574"/>
    <w:multiLevelType w:val="singleLevel"/>
    <w:tmpl w:val="56955574"/>
    <w:lvl w:ilvl="0" w:tentative="0">
      <w:start w:val="1"/>
      <w:numFmt w:val="decimal"/>
      <w:suff w:val="nothing"/>
      <w:lvlText w:val="%1）"/>
      <w:lvlJc w:val="left"/>
      <w:pPr>
        <w:tabs>
          <w:tab w:val="left" w:pos="0"/>
        </w:tabs>
        <w:ind w:left="190"/>
      </w:pPr>
    </w:lvl>
  </w:abstractNum>
  <w:abstractNum w:abstractNumId="28">
    <w:nsid w:val="59E0848A"/>
    <w:multiLevelType w:val="singleLevel"/>
    <w:tmpl w:val="59E0848A"/>
    <w:lvl w:ilvl="0" w:tentative="0">
      <w:start w:val="2"/>
      <w:numFmt w:val="decimal"/>
      <w:lvlText w:val="%1."/>
      <w:lvlJc w:val="left"/>
      <w:pPr>
        <w:tabs>
          <w:tab w:val="left" w:pos="312"/>
        </w:tabs>
      </w:pPr>
    </w:lvl>
  </w:abstractNum>
  <w:abstractNum w:abstractNumId="29">
    <w:nsid w:val="5C94629B"/>
    <w:multiLevelType w:val="singleLevel"/>
    <w:tmpl w:val="5C94629B"/>
    <w:lvl w:ilvl="0" w:tentative="0">
      <w:start w:val="1"/>
      <w:numFmt w:val="decimal"/>
      <w:suff w:val="nothing"/>
      <w:lvlText w:val="%1、"/>
      <w:lvlJc w:val="left"/>
      <w:pPr>
        <w:ind w:left="0" w:firstLine="0"/>
      </w:pPr>
      <w:rPr>
        <w:rFonts w:hint="default"/>
        <w:w w:val="100"/>
      </w:rPr>
    </w:lvl>
  </w:abstractNum>
  <w:abstractNum w:abstractNumId="30">
    <w:nsid w:val="5C94629C"/>
    <w:multiLevelType w:val="singleLevel"/>
    <w:tmpl w:val="5C94629C"/>
    <w:lvl w:ilvl="0" w:tentative="0">
      <w:start w:val="1"/>
      <w:numFmt w:val="decimal"/>
      <w:suff w:val="nothing"/>
      <w:lvlText w:val="%1、"/>
      <w:lvlJc w:val="left"/>
      <w:pPr>
        <w:ind w:left="0" w:firstLine="0"/>
      </w:pPr>
      <w:rPr>
        <w:rFonts w:hint="default"/>
        <w:w w:val="100"/>
      </w:rPr>
    </w:lvl>
  </w:abstractNum>
  <w:abstractNum w:abstractNumId="31">
    <w:nsid w:val="65742794"/>
    <w:multiLevelType w:val="singleLevel"/>
    <w:tmpl w:val="65742794"/>
    <w:lvl w:ilvl="0" w:tentative="0">
      <w:start w:val="1"/>
      <w:numFmt w:val="decimal"/>
      <w:lvlText w:val="(%1)"/>
      <w:lvlJc w:val="left"/>
      <w:pPr>
        <w:ind w:left="425" w:hanging="425"/>
      </w:pPr>
      <w:rPr>
        <w:rFonts w:hint="default"/>
      </w:rPr>
    </w:lvl>
  </w:abstractNum>
  <w:abstractNum w:abstractNumId="32">
    <w:nsid w:val="65FA45D3"/>
    <w:multiLevelType w:val="multilevel"/>
    <w:tmpl w:val="65FA45D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79DBFB09"/>
    <w:multiLevelType w:val="singleLevel"/>
    <w:tmpl w:val="79DBFB09"/>
    <w:lvl w:ilvl="0" w:tentative="0">
      <w:start w:val="1"/>
      <w:numFmt w:val="decimal"/>
      <w:lvlText w:val="(%1)"/>
      <w:lvlJc w:val="left"/>
      <w:pPr>
        <w:ind w:left="425" w:hanging="425"/>
      </w:pPr>
      <w:rPr>
        <w:rFonts w:hint="default"/>
      </w:rPr>
    </w:lvl>
  </w:abstractNum>
  <w:abstractNum w:abstractNumId="34">
    <w:nsid w:val="7BAB2CC5"/>
    <w:multiLevelType w:val="singleLevel"/>
    <w:tmpl w:val="7BAB2CC5"/>
    <w:lvl w:ilvl="0" w:tentative="0">
      <w:start w:val="1"/>
      <w:numFmt w:val="decimal"/>
      <w:lvlText w:val="%1."/>
      <w:lvlJc w:val="left"/>
      <w:pPr>
        <w:tabs>
          <w:tab w:val="left" w:pos="312"/>
        </w:tabs>
      </w:pPr>
    </w:lvl>
  </w:abstractNum>
  <w:num w:numId="1">
    <w:abstractNumId w:val="3"/>
  </w:num>
  <w:num w:numId="2">
    <w:abstractNumId w:val="27"/>
  </w:num>
  <w:num w:numId="3">
    <w:abstractNumId w:val="22"/>
  </w:num>
  <w:num w:numId="4">
    <w:abstractNumId w:val="2"/>
  </w:num>
  <w:num w:numId="5">
    <w:abstractNumId w:val="10"/>
  </w:num>
  <w:num w:numId="6">
    <w:abstractNumId w:val="23"/>
  </w:num>
  <w:num w:numId="7">
    <w:abstractNumId w:val="5"/>
  </w:num>
  <w:num w:numId="8">
    <w:abstractNumId w:val="26"/>
  </w:num>
  <w:num w:numId="9">
    <w:abstractNumId w:val="4"/>
  </w:num>
  <w:num w:numId="10">
    <w:abstractNumId w:val="12"/>
  </w:num>
  <w:num w:numId="11">
    <w:abstractNumId w:val="6"/>
  </w:num>
  <w:num w:numId="12">
    <w:abstractNumId w:val="32"/>
  </w:num>
  <w:num w:numId="13">
    <w:abstractNumId w:val="19"/>
  </w:num>
  <w:num w:numId="14">
    <w:abstractNumId w:val="11"/>
  </w:num>
  <w:num w:numId="15">
    <w:abstractNumId w:val="9"/>
  </w:num>
  <w:num w:numId="16">
    <w:abstractNumId w:val="21"/>
  </w:num>
  <w:num w:numId="17">
    <w:abstractNumId w:val="29"/>
  </w:num>
  <w:num w:numId="18">
    <w:abstractNumId w:val="30"/>
  </w:num>
  <w:num w:numId="19">
    <w:abstractNumId w:val="24"/>
  </w:num>
  <w:num w:numId="20">
    <w:abstractNumId w:val="15"/>
  </w:num>
  <w:num w:numId="21">
    <w:abstractNumId w:val="13"/>
  </w:num>
  <w:num w:numId="22">
    <w:abstractNumId w:val="14"/>
  </w:num>
  <w:num w:numId="23">
    <w:abstractNumId w:val="34"/>
  </w:num>
  <w:num w:numId="24">
    <w:abstractNumId w:val="18"/>
  </w:num>
  <w:num w:numId="25">
    <w:abstractNumId w:val="7"/>
  </w:num>
  <w:num w:numId="26">
    <w:abstractNumId w:val="0"/>
  </w:num>
  <w:num w:numId="27">
    <w:abstractNumId w:val="8"/>
  </w:num>
  <w:num w:numId="28">
    <w:abstractNumId w:val="1"/>
  </w:num>
  <w:num w:numId="29">
    <w:abstractNumId w:val="17"/>
  </w:num>
  <w:num w:numId="30">
    <w:abstractNumId w:val="28"/>
  </w:num>
  <w:num w:numId="31">
    <w:abstractNumId w:val="33"/>
  </w:num>
  <w:num w:numId="32">
    <w:abstractNumId w:val="25"/>
  </w:num>
  <w:num w:numId="33">
    <w:abstractNumId w:val="20"/>
  </w:num>
  <w:num w:numId="34">
    <w:abstractNumId w:val="1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revisionView w:markup="0"/>
  <w:trackRevisions w:val="1"/>
  <w:documentProtection w:enforcement="0"/>
  <w:defaultTabStop w:val="420"/>
  <w:noPunctuationKerning w:val="1"/>
  <w:characterSpacingControl w:val="compressPunctuation"/>
  <w:footnotePr>
    <w:footnote w:id="2"/>
    <w:footnote w:id="3"/>
  </w:foot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7D"/>
    <w:rsid w:val="00027653"/>
    <w:rsid w:val="000536FC"/>
    <w:rsid w:val="00071C79"/>
    <w:rsid w:val="00077A95"/>
    <w:rsid w:val="000943E2"/>
    <w:rsid w:val="000C01C7"/>
    <w:rsid w:val="000C747E"/>
    <w:rsid w:val="000F780D"/>
    <w:rsid w:val="0011281B"/>
    <w:rsid w:val="001154C9"/>
    <w:rsid w:val="00130836"/>
    <w:rsid w:val="0018366A"/>
    <w:rsid w:val="00200F4B"/>
    <w:rsid w:val="00217C46"/>
    <w:rsid w:val="002272DC"/>
    <w:rsid w:val="00245993"/>
    <w:rsid w:val="00250562"/>
    <w:rsid w:val="00255F57"/>
    <w:rsid w:val="00263E36"/>
    <w:rsid w:val="00284BF7"/>
    <w:rsid w:val="00290C13"/>
    <w:rsid w:val="00291F2C"/>
    <w:rsid w:val="002B2468"/>
    <w:rsid w:val="002E663B"/>
    <w:rsid w:val="0038110E"/>
    <w:rsid w:val="0038166C"/>
    <w:rsid w:val="003C3707"/>
    <w:rsid w:val="00461DD0"/>
    <w:rsid w:val="0046523B"/>
    <w:rsid w:val="00465E20"/>
    <w:rsid w:val="004A6B11"/>
    <w:rsid w:val="004C612C"/>
    <w:rsid w:val="005132FB"/>
    <w:rsid w:val="0052212C"/>
    <w:rsid w:val="0056582A"/>
    <w:rsid w:val="00597D72"/>
    <w:rsid w:val="00662E3F"/>
    <w:rsid w:val="00694098"/>
    <w:rsid w:val="006B0CA7"/>
    <w:rsid w:val="006C5FA0"/>
    <w:rsid w:val="006E0485"/>
    <w:rsid w:val="006F70DE"/>
    <w:rsid w:val="00700C3B"/>
    <w:rsid w:val="0070455A"/>
    <w:rsid w:val="00732244"/>
    <w:rsid w:val="007E4B07"/>
    <w:rsid w:val="007F61F2"/>
    <w:rsid w:val="007F792D"/>
    <w:rsid w:val="008257B3"/>
    <w:rsid w:val="00841A9F"/>
    <w:rsid w:val="00852F30"/>
    <w:rsid w:val="008754BD"/>
    <w:rsid w:val="00885DDF"/>
    <w:rsid w:val="00895374"/>
    <w:rsid w:val="008B1364"/>
    <w:rsid w:val="009004FF"/>
    <w:rsid w:val="00902C2A"/>
    <w:rsid w:val="00945F48"/>
    <w:rsid w:val="00982147"/>
    <w:rsid w:val="009A787C"/>
    <w:rsid w:val="009D5A93"/>
    <w:rsid w:val="009F019E"/>
    <w:rsid w:val="00A15B87"/>
    <w:rsid w:val="00B406C6"/>
    <w:rsid w:val="00B4632E"/>
    <w:rsid w:val="00B74F7D"/>
    <w:rsid w:val="00B87627"/>
    <w:rsid w:val="00BB185A"/>
    <w:rsid w:val="00BF230A"/>
    <w:rsid w:val="00C627EB"/>
    <w:rsid w:val="00C96A03"/>
    <w:rsid w:val="00CB1F88"/>
    <w:rsid w:val="00CB62BD"/>
    <w:rsid w:val="00CC049C"/>
    <w:rsid w:val="00D26CF4"/>
    <w:rsid w:val="00D37E24"/>
    <w:rsid w:val="00D7482E"/>
    <w:rsid w:val="00D81804"/>
    <w:rsid w:val="00DE4323"/>
    <w:rsid w:val="00E05491"/>
    <w:rsid w:val="00E730C5"/>
    <w:rsid w:val="00EE2F64"/>
    <w:rsid w:val="00EF071B"/>
    <w:rsid w:val="00F0778A"/>
    <w:rsid w:val="00F5642E"/>
    <w:rsid w:val="00F85D6A"/>
    <w:rsid w:val="00FA2726"/>
    <w:rsid w:val="010E6A0D"/>
    <w:rsid w:val="01121891"/>
    <w:rsid w:val="011D2710"/>
    <w:rsid w:val="01211AD4"/>
    <w:rsid w:val="015F66D0"/>
    <w:rsid w:val="01991215"/>
    <w:rsid w:val="021146F3"/>
    <w:rsid w:val="021D673F"/>
    <w:rsid w:val="021D6B88"/>
    <w:rsid w:val="022655F4"/>
    <w:rsid w:val="022907FB"/>
    <w:rsid w:val="023C4E17"/>
    <w:rsid w:val="023D0B8F"/>
    <w:rsid w:val="024442E8"/>
    <w:rsid w:val="02533F0F"/>
    <w:rsid w:val="029664CF"/>
    <w:rsid w:val="0297215F"/>
    <w:rsid w:val="02A36C44"/>
    <w:rsid w:val="02CB619B"/>
    <w:rsid w:val="02E62FD5"/>
    <w:rsid w:val="02E908FE"/>
    <w:rsid w:val="03494B0C"/>
    <w:rsid w:val="036B6BBE"/>
    <w:rsid w:val="03912F41"/>
    <w:rsid w:val="0402799B"/>
    <w:rsid w:val="044E2BE0"/>
    <w:rsid w:val="04604C2D"/>
    <w:rsid w:val="04823933"/>
    <w:rsid w:val="048C54B6"/>
    <w:rsid w:val="04A22F2C"/>
    <w:rsid w:val="04A24CDA"/>
    <w:rsid w:val="04A44EF6"/>
    <w:rsid w:val="04C9495C"/>
    <w:rsid w:val="04E13A54"/>
    <w:rsid w:val="04F01EE9"/>
    <w:rsid w:val="04F07245"/>
    <w:rsid w:val="05092FAB"/>
    <w:rsid w:val="050B6D23"/>
    <w:rsid w:val="056450C1"/>
    <w:rsid w:val="057C552B"/>
    <w:rsid w:val="058D24D1"/>
    <w:rsid w:val="059565ED"/>
    <w:rsid w:val="05C11AE4"/>
    <w:rsid w:val="05C57910"/>
    <w:rsid w:val="05EC26B0"/>
    <w:rsid w:val="05F9301F"/>
    <w:rsid w:val="062A142B"/>
    <w:rsid w:val="06500E91"/>
    <w:rsid w:val="06886898"/>
    <w:rsid w:val="06AC1E40"/>
    <w:rsid w:val="06E22DB2"/>
    <w:rsid w:val="071A324D"/>
    <w:rsid w:val="07481B68"/>
    <w:rsid w:val="074B1659"/>
    <w:rsid w:val="07500A1D"/>
    <w:rsid w:val="07632E46"/>
    <w:rsid w:val="076D5505"/>
    <w:rsid w:val="07A22BB8"/>
    <w:rsid w:val="07EC4BEA"/>
    <w:rsid w:val="081B102B"/>
    <w:rsid w:val="08444A26"/>
    <w:rsid w:val="087A0447"/>
    <w:rsid w:val="087D7F38"/>
    <w:rsid w:val="08A65EFA"/>
    <w:rsid w:val="08B56357"/>
    <w:rsid w:val="08EC29C7"/>
    <w:rsid w:val="09341002"/>
    <w:rsid w:val="09815806"/>
    <w:rsid w:val="09897863"/>
    <w:rsid w:val="09A13BBE"/>
    <w:rsid w:val="09B554AF"/>
    <w:rsid w:val="0A2E1677"/>
    <w:rsid w:val="0A391C3C"/>
    <w:rsid w:val="0A3D172D"/>
    <w:rsid w:val="0A7C6A37"/>
    <w:rsid w:val="0A7E0960"/>
    <w:rsid w:val="0A8511F3"/>
    <w:rsid w:val="0A8E1F88"/>
    <w:rsid w:val="0A96708F"/>
    <w:rsid w:val="0A981059"/>
    <w:rsid w:val="0AA04C3A"/>
    <w:rsid w:val="0ABA24B8"/>
    <w:rsid w:val="0ADF4EFB"/>
    <w:rsid w:val="0B100BEF"/>
    <w:rsid w:val="0B3B6E1E"/>
    <w:rsid w:val="0B3D750A"/>
    <w:rsid w:val="0B7B6709"/>
    <w:rsid w:val="0B9F3D21"/>
    <w:rsid w:val="0BB53545"/>
    <w:rsid w:val="0BD75BB1"/>
    <w:rsid w:val="0C006EB6"/>
    <w:rsid w:val="0C0B13B7"/>
    <w:rsid w:val="0C2A7A8F"/>
    <w:rsid w:val="0C3137AB"/>
    <w:rsid w:val="0C3721AC"/>
    <w:rsid w:val="0C436DA2"/>
    <w:rsid w:val="0C9B098C"/>
    <w:rsid w:val="0CB24EC7"/>
    <w:rsid w:val="0CB90E13"/>
    <w:rsid w:val="0CCD43BF"/>
    <w:rsid w:val="0CD35D82"/>
    <w:rsid w:val="0CE2480D"/>
    <w:rsid w:val="0CF54541"/>
    <w:rsid w:val="0D38442D"/>
    <w:rsid w:val="0D51323B"/>
    <w:rsid w:val="0D646FD0"/>
    <w:rsid w:val="0D6E7E4F"/>
    <w:rsid w:val="0D752DA7"/>
    <w:rsid w:val="0DB46662"/>
    <w:rsid w:val="0DD60059"/>
    <w:rsid w:val="0DE545B5"/>
    <w:rsid w:val="0DFD5905"/>
    <w:rsid w:val="0E122ED0"/>
    <w:rsid w:val="0E252E5C"/>
    <w:rsid w:val="0E3270CE"/>
    <w:rsid w:val="0E5301C1"/>
    <w:rsid w:val="0E6574A4"/>
    <w:rsid w:val="0E73709D"/>
    <w:rsid w:val="0E782FE1"/>
    <w:rsid w:val="0E8A6F0A"/>
    <w:rsid w:val="0E972F31"/>
    <w:rsid w:val="0F0F11BE"/>
    <w:rsid w:val="0F31382A"/>
    <w:rsid w:val="0F464F5F"/>
    <w:rsid w:val="0F603EC7"/>
    <w:rsid w:val="0F605750"/>
    <w:rsid w:val="0F6A2898"/>
    <w:rsid w:val="0F824086"/>
    <w:rsid w:val="0FA933C0"/>
    <w:rsid w:val="0FAD7C4C"/>
    <w:rsid w:val="0FC712FE"/>
    <w:rsid w:val="0FEF314C"/>
    <w:rsid w:val="1022461B"/>
    <w:rsid w:val="10282537"/>
    <w:rsid w:val="103435D2"/>
    <w:rsid w:val="10376C1E"/>
    <w:rsid w:val="104A7933"/>
    <w:rsid w:val="10531753"/>
    <w:rsid w:val="10594DE6"/>
    <w:rsid w:val="10645539"/>
    <w:rsid w:val="1094688B"/>
    <w:rsid w:val="10AA5642"/>
    <w:rsid w:val="10BD3DC6"/>
    <w:rsid w:val="10C138F3"/>
    <w:rsid w:val="11000D9F"/>
    <w:rsid w:val="111D5E14"/>
    <w:rsid w:val="1129708F"/>
    <w:rsid w:val="11333889"/>
    <w:rsid w:val="116A526D"/>
    <w:rsid w:val="117A14B8"/>
    <w:rsid w:val="117F087D"/>
    <w:rsid w:val="11A42091"/>
    <w:rsid w:val="11A7392F"/>
    <w:rsid w:val="11C8679C"/>
    <w:rsid w:val="11DD55A3"/>
    <w:rsid w:val="11FA7F03"/>
    <w:rsid w:val="12174F59"/>
    <w:rsid w:val="12326D4B"/>
    <w:rsid w:val="12687563"/>
    <w:rsid w:val="129D7210"/>
    <w:rsid w:val="12A644BF"/>
    <w:rsid w:val="12AA2E62"/>
    <w:rsid w:val="12BA7D08"/>
    <w:rsid w:val="12BC3000"/>
    <w:rsid w:val="12E017EF"/>
    <w:rsid w:val="12FD414F"/>
    <w:rsid w:val="13915467"/>
    <w:rsid w:val="13B16CE7"/>
    <w:rsid w:val="13D80FD4"/>
    <w:rsid w:val="141B23B3"/>
    <w:rsid w:val="14276FAA"/>
    <w:rsid w:val="14302302"/>
    <w:rsid w:val="144831A5"/>
    <w:rsid w:val="145359C0"/>
    <w:rsid w:val="14576279"/>
    <w:rsid w:val="14595FBE"/>
    <w:rsid w:val="14687E1D"/>
    <w:rsid w:val="14726477"/>
    <w:rsid w:val="14A41083"/>
    <w:rsid w:val="14A8633C"/>
    <w:rsid w:val="14B7314C"/>
    <w:rsid w:val="14C0248F"/>
    <w:rsid w:val="14D5632E"/>
    <w:rsid w:val="14DD16C8"/>
    <w:rsid w:val="14DF53CE"/>
    <w:rsid w:val="1511225E"/>
    <w:rsid w:val="151F00A6"/>
    <w:rsid w:val="153550F2"/>
    <w:rsid w:val="15453B8B"/>
    <w:rsid w:val="15521099"/>
    <w:rsid w:val="15643B91"/>
    <w:rsid w:val="156F29B6"/>
    <w:rsid w:val="158076D1"/>
    <w:rsid w:val="159A3ED7"/>
    <w:rsid w:val="15AE1060"/>
    <w:rsid w:val="15AF7257"/>
    <w:rsid w:val="15D373E9"/>
    <w:rsid w:val="15E02921"/>
    <w:rsid w:val="15E81AF2"/>
    <w:rsid w:val="1655763A"/>
    <w:rsid w:val="16AB2114"/>
    <w:rsid w:val="16BF171B"/>
    <w:rsid w:val="16CB4564"/>
    <w:rsid w:val="16F130D7"/>
    <w:rsid w:val="171E6442"/>
    <w:rsid w:val="172B6A88"/>
    <w:rsid w:val="173043C7"/>
    <w:rsid w:val="174560C4"/>
    <w:rsid w:val="17B9717A"/>
    <w:rsid w:val="17D14925"/>
    <w:rsid w:val="17E67B60"/>
    <w:rsid w:val="17F3167D"/>
    <w:rsid w:val="17FE3A45"/>
    <w:rsid w:val="180C789C"/>
    <w:rsid w:val="183A54FD"/>
    <w:rsid w:val="184665A9"/>
    <w:rsid w:val="18846779"/>
    <w:rsid w:val="18D07C10"/>
    <w:rsid w:val="18E63A9B"/>
    <w:rsid w:val="18EB67F8"/>
    <w:rsid w:val="18EE0096"/>
    <w:rsid w:val="190212E1"/>
    <w:rsid w:val="19322678"/>
    <w:rsid w:val="1934019F"/>
    <w:rsid w:val="194B54E8"/>
    <w:rsid w:val="194B7296"/>
    <w:rsid w:val="196E525E"/>
    <w:rsid w:val="199410E3"/>
    <w:rsid w:val="19D11E91"/>
    <w:rsid w:val="1A0A0EFF"/>
    <w:rsid w:val="1A407AF1"/>
    <w:rsid w:val="1A5B79AD"/>
    <w:rsid w:val="1A5C06DE"/>
    <w:rsid w:val="1A8E62B9"/>
    <w:rsid w:val="1ABD41C4"/>
    <w:rsid w:val="1B1C1DD7"/>
    <w:rsid w:val="1B4072CF"/>
    <w:rsid w:val="1B4B64D7"/>
    <w:rsid w:val="1B691582"/>
    <w:rsid w:val="1B972C67"/>
    <w:rsid w:val="1BDB2B53"/>
    <w:rsid w:val="1C061D2B"/>
    <w:rsid w:val="1C6E7E6B"/>
    <w:rsid w:val="1CC0714B"/>
    <w:rsid w:val="1CC23D13"/>
    <w:rsid w:val="1CD51C99"/>
    <w:rsid w:val="1CFB3913"/>
    <w:rsid w:val="1CFC0FD3"/>
    <w:rsid w:val="1D057D1A"/>
    <w:rsid w:val="1D3A7D4E"/>
    <w:rsid w:val="1D3C3AC6"/>
    <w:rsid w:val="1D5046B5"/>
    <w:rsid w:val="1D5C52A1"/>
    <w:rsid w:val="1D7E40DE"/>
    <w:rsid w:val="1D9A3137"/>
    <w:rsid w:val="1D9C637A"/>
    <w:rsid w:val="1D9D3DD4"/>
    <w:rsid w:val="1DB81AF1"/>
    <w:rsid w:val="1DDA6E3B"/>
    <w:rsid w:val="1DE303E5"/>
    <w:rsid w:val="1E280718"/>
    <w:rsid w:val="1E7F3DB3"/>
    <w:rsid w:val="1EAF2075"/>
    <w:rsid w:val="1ED65854"/>
    <w:rsid w:val="1EF664DE"/>
    <w:rsid w:val="1EFD19AE"/>
    <w:rsid w:val="1F136AA8"/>
    <w:rsid w:val="1F2C36C6"/>
    <w:rsid w:val="1F525822"/>
    <w:rsid w:val="1F615A66"/>
    <w:rsid w:val="1F9574BD"/>
    <w:rsid w:val="1F9951FF"/>
    <w:rsid w:val="1FF1373D"/>
    <w:rsid w:val="20201798"/>
    <w:rsid w:val="20286583"/>
    <w:rsid w:val="20366CA8"/>
    <w:rsid w:val="203E5DA7"/>
    <w:rsid w:val="204C6797"/>
    <w:rsid w:val="20AD0837"/>
    <w:rsid w:val="20C24BB5"/>
    <w:rsid w:val="20E24984"/>
    <w:rsid w:val="20EE2679"/>
    <w:rsid w:val="21311468"/>
    <w:rsid w:val="21486F07"/>
    <w:rsid w:val="21576FE0"/>
    <w:rsid w:val="215A06D2"/>
    <w:rsid w:val="215F7D83"/>
    <w:rsid w:val="21DA22DF"/>
    <w:rsid w:val="224B0307"/>
    <w:rsid w:val="22680EB9"/>
    <w:rsid w:val="226C0E5E"/>
    <w:rsid w:val="227B1286"/>
    <w:rsid w:val="22852C93"/>
    <w:rsid w:val="229B128E"/>
    <w:rsid w:val="22D630A1"/>
    <w:rsid w:val="231B23CF"/>
    <w:rsid w:val="23580F2E"/>
    <w:rsid w:val="23904EC8"/>
    <w:rsid w:val="23B5012E"/>
    <w:rsid w:val="23BD571E"/>
    <w:rsid w:val="24525F11"/>
    <w:rsid w:val="246E07D4"/>
    <w:rsid w:val="247E2C16"/>
    <w:rsid w:val="24972E09"/>
    <w:rsid w:val="24DF5359"/>
    <w:rsid w:val="25113A8A"/>
    <w:rsid w:val="252C0B23"/>
    <w:rsid w:val="25564E46"/>
    <w:rsid w:val="2559135A"/>
    <w:rsid w:val="255C5D21"/>
    <w:rsid w:val="25602E2F"/>
    <w:rsid w:val="257F6C45"/>
    <w:rsid w:val="25A36DFE"/>
    <w:rsid w:val="25C71BF1"/>
    <w:rsid w:val="25ED0053"/>
    <w:rsid w:val="26054BBA"/>
    <w:rsid w:val="263343BB"/>
    <w:rsid w:val="26591245"/>
    <w:rsid w:val="267960DC"/>
    <w:rsid w:val="26CF59AB"/>
    <w:rsid w:val="27233601"/>
    <w:rsid w:val="27871DE1"/>
    <w:rsid w:val="279F712B"/>
    <w:rsid w:val="27C74FE7"/>
    <w:rsid w:val="27CC3C98"/>
    <w:rsid w:val="27DC636E"/>
    <w:rsid w:val="27E965F8"/>
    <w:rsid w:val="280B47C0"/>
    <w:rsid w:val="280D3521"/>
    <w:rsid w:val="28212236"/>
    <w:rsid w:val="2835183D"/>
    <w:rsid w:val="289C0342"/>
    <w:rsid w:val="289D0964"/>
    <w:rsid w:val="28AC3977"/>
    <w:rsid w:val="28B74948"/>
    <w:rsid w:val="28BF180C"/>
    <w:rsid w:val="28E13773"/>
    <w:rsid w:val="28E514B5"/>
    <w:rsid w:val="291800E1"/>
    <w:rsid w:val="2918044D"/>
    <w:rsid w:val="291D237A"/>
    <w:rsid w:val="296028EA"/>
    <w:rsid w:val="29695805"/>
    <w:rsid w:val="298011DE"/>
    <w:rsid w:val="29CE35BD"/>
    <w:rsid w:val="29DD7123"/>
    <w:rsid w:val="2A015241"/>
    <w:rsid w:val="2A5F448B"/>
    <w:rsid w:val="2A65091E"/>
    <w:rsid w:val="2AA131BA"/>
    <w:rsid w:val="2ADC2444"/>
    <w:rsid w:val="2AE8528D"/>
    <w:rsid w:val="2B004385"/>
    <w:rsid w:val="2B163BA8"/>
    <w:rsid w:val="2B326196"/>
    <w:rsid w:val="2B33225E"/>
    <w:rsid w:val="2B3F3FF2"/>
    <w:rsid w:val="2B5D6206"/>
    <w:rsid w:val="2B604E23"/>
    <w:rsid w:val="2B73481F"/>
    <w:rsid w:val="2B852ADC"/>
    <w:rsid w:val="2B85488A"/>
    <w:rsid w:val="2B890924"/>
    <w:rsid w:val="2B8F74B6"/>
    <w:rsid w:val="2BAA2542"/>
    <w:rsid w:val="2BB92785"/>
    <w:rsid w:val="2BEA20AB"/>
    <w:rsid w:val="2BFD2672"/>
    <w:rsid w:val="2C251BC9"/>
    <w:rsid w:val="2C351E0C"/>
    <w:rsid w:val="2C447573"/>
    <w:rsid w:val="2C4E7372"/>
    <w:rsid w:val="2C6E3570"/>
    <w:rsid w:val="2C700ABD"/>
    <w:rsid w:val="2CBF201D"/>
    <w:rsid w:val="2CDD48D7"/>
    <w:rsid w:val="2CDE6947"/>
    <w:rsid w:val="2D0C274A"/>
    <w:rsid w:val="2D104627"/>
    <w:rsid w:val="2D12306E"/>
    <w:rsid w:val="2D23435A"/>
    <w:rsid w:val="2D3C366E"/>
    <w:rsid w:val="2D427551"/>
    <w:rsid w:val="2D430559"/>
    <w:rsid w:val="2D654973"/>
    <w:rsid w:val="2D6C3F53"/>
    <w:rsid w:val="2D6E3B3C"/>
    <w:rsid w:val="2D936870"/>
    <w:rsid w:val="2DA7717C"/>
    <w:rsid w:val="2E180404"/>
    <w:rsid w:val="2E2465DC"/>
    <w:rsid w:val="2E2959A0"/>
    <w:rsid w:val="2E3A6F4A"/>
    <w:rsid w:val="2E440A2C"/>
    <w:rsid w:val="2E450300"/>
    <w:rsid w:val="2E762EBB"/>
    <w:rsid w:val="2E81758A"/>
    <w:rsid w:val="2F176A47"/>
    <w:rsid w:val="2F5051AF"/>
    <w:rsid w:val="2F5876BD"/>
    <w:rsid w:val="2F5A7DDB"/>
    <w:rsid w:val="2F7E1D1C"/>
    <w:rsid w:val="2FBD0A96"/>
    <w:rsid w:val="2FF16E7B"/>
    <w:rsid w:val="2FF35CFB"/>
    <w:rsid w:val="30146F4B"/>
    <w:rsid w:val="30403475"/>
    <w:rsid w:val="309A2B85"/>
    <w:rsid w:val="30B40550"/>
    <w:rsid w:val="30BB2AFC"/>
    <w:rsid w:val="30DA187D"/>
    <w:rsid w:val="310875FE"/>
    <w:rsid w:val="310C5925"/>
    <w:rsid w:val="311973C0"/>
    <w:rsid w:val="313A4BD2"/>
    <w:rsid w:val="313D1BAD"/>
    <w:rsid w:val="31D420C7"/>
    <w:rsid w:val="31E60B34"/>
    <w:rsid w:val="323F1785"/>
    <w:rsid w:val="326C2300"/>
    <w:rsid w:val="326C67A3"/>
    <w:rsid w:val="326E7E26"/>
    <w:rsid w:val="3283252A"/>
    <w:rsid w:val="328533C1"/>
    <w:rsid w:val="32CC7242"/>
    <w:rsid w:val="32D06D32"/>
    <w:rsid w:val="32DF2AD1"/>
    <w:rsid w:val="32F3060F"/>
    <w:rsid w:val="32F81981"/>
    <w:rsid w:val="33121A69"/>
    <w:rsid w:val="33296443"/>
    <w:rsid w:val="3337290D"/>
    <w:rsid w:val="333A0650"/>
    <w:rsid w:val="3363498C"/>
    <w:rsid w:val="337F42B4"/>
    <w:rsid w:val="33A0171D"/>
    <w:rsid w:val="33AB32FB"/>
    <w:rsid w:val="33C148CD"/>
    <w:rsid w:val="33D309A5"/>
    <w:rsid w:val="33E40F52"/>
    <w:rsid w:val="34030A42"/>
    <w:rsid w:val="342718AB"/>
    <w:rsid w:val="344A6670"/>
    <w:rsid w:val="34861FA8"/>
    <w:rsid w:val="34A62A4B"/>
    <w:rsid w:val="34B14235"/>
    <w:rsid w:val="34CB5A03"/>
    <w:rsid w:val="34CD641D"/>
    <w:rsid w:val="350417E9"/>
    <w:rsid w:val="35066A3B"/>
    <w:rsid w:val="35092A59"/>
    <w:rsid w:val="3518490E"/>
    <w:rsid w:val="35FC14BD"/>
    <w:rsid w:val="36142C6A"/>
    <w:rsid w:val="363837FE"/>
    <w:rsid w:val="363E6589"/>
    <w:rsid w:val="366D69DB"/>
    <w:rsid w:val="36B626ED"/>
    <w:rsid w:val="36D1134D"/>
    <w:rsid w:val="36D114B6"/>
    <w:rsid w:val="36DE1D7F"/>
    <w:rsid w:val="36F84B2F"/>
    <w:rsid w:val="374358F8"/>
    <w:rsid w:val="374768A5"/>
    <w:rsid w:val="374862FB"/>
    <w:rsid w:val="374C4F01"/>
    <w:rsid w:val="374C55D7"/>
    <w:rsid w:val="37533A8E"/>
    <w:rsid w:val="37737C8C"/>
    <w:rsid w:val="377749E0"/>
    <w:rsid w:val="377D5F62"/>
    <w:rsid w:val="37B97D70"/>
    <w:rsid w:val="37C93D50"/>
    <w:rsid w:val="37FB2842"/>
    <w:rsid w:val="38060B00"/>
    <w:rsid w:val="380A32EF"/>
    <w:rsid w:val="3846284C"/>
    <w:rsid w:val="38703F0F"/>
    <w:rsid w:val="387C703E"/>
    <w:rsid w:val="38966328"/>
    <w:rsid w:val="38975BFC"/>
    <w:rsid w:val="38B7004D"/>
    <w:rsid w:val="38D7100D"/>
    <w:rsid w:val="38D94467"/>
    <w:rsid w:val="38F60B75"/>
    <w:rsid w:val="390A63CE"/>
    <w:rsid w:val="397440E8"/>
    <w:rsid w:val="3982065B"/>
    <w:rsid w:val="39830040"/>
    <w:rsid w:val="3986639D"/>
    <w:rsid w:val="39B03E4D"/>
    <w:rsid w:val="39C173D5"/>
    <w:rsid w:val="39DA0497"/>
    <w:rsid w:val="39E8122B"/>
    <w:rsid w:val="39F33306"/>
    <w:rsid w:val="3A2D4F0C"/>
    <w:rsid w:val="3A547980"/>
    <w:rsid w:val="3A687850"/>
    <w:rsid w:val="3A6A181A"/>
    <w:rsid w:val="3A7D604E"/>
    <w:rsid w:val="3A8D5509"/>
    <w:rsid w:val="3B5D4EDB"/>
    <w:rsid w:val="3B86281D"/>
    <w:rsid w:val="3B9B5A04"/>
    <w:rsid w:val="3BAB2A20"/>
    <w:rsid w:val="3BF750E1"/>
    <w:rsid w:val="3BFC2946"/>
    <w:rsid w:val="3C2D0D52"/>
    <w:rsid w:val="3C2E5D9B"/>
    <w:rsid w:val="3C862210"/>
    <w:rsid w:val="3C8841DA"/>
    <w:rsid w:val="3C9963E7"/>
    <w:rsid w:val="3CD218F9"/>
    <w:rsid w:val="3CD57416"/>
    <w:rsid w:val="3CFA586A"/>
    <w:rsid w:val="3D414375"/>
    <w:rsid w:val="3D932E36"/>
    <w:rsid w:val="3DA34609"/>
    <w:rsid w:val="3DC91ED4"/>
    <w:rsid w:val="3E0348CA"/>
    <w:rsid w:val="3E554590"/>
    <w:rsid w:val="3E725142"/>
    <w:rsid w:val="3E9C3F6D"/>
    <w:rsid w:val="3EB07A18"/>
    <w:rsid w:val="3EB219E2"/>
    <w:rsid w:val="3ECF60F0"/>
    <w:rsid w:val="3EE020AB"/>
    <w:rsid w:val="3EF913BF"/>
    <w:rsid w:val="3F040C81"/>
    <w:rsid w:val="3F082DDB"/>
    <w:rsid w:val="3F235AC2"/>
    <w:rsid w:val="3F402745"/>
    <w:rsid w:val="3F5C54AA"/>
    <w:rsid w:val="3F6031EC"/>
    <w:rsid w:val="3FC20AC2"/>
    <w:rsid w:val="3FE47979"/>
    <w:rsid w:val="3FE51C3F"/>
    <w:rsid w:val="401C5365"/>
    <w:rsid w:val="40210BCD"/>
    <w:rsid w:val="402E32EA"/>
    <w:rsid w:val="403C4C0B"/>
    <w:rsid w:val="404B79F8"/>
    <w:rsid w:val="40C31C84"/>
    <w:rsid w:val="410B57D2"/>
    <w:rsid w:val="41257D97"/>
    <w:rsid w:val="4128702C"/>
    <w:rsid w:val="412C1F7C"/>
    <w:rsid w:val="41577AA0"/>
    <w:rsid w:val="418F7DB9"/>
    <w:rsid w:val="42073DF3"/>
    <w:rsid w:val="421877CE"/>
    <w:rsid w:val="421F738E"/>
    <w:rsid w:val="424830B5"/>
    <w:rsid w:val="42AB6E74"/>
    <w:rsid w:val="42B158F5"/>
    <w:rsid w:val="42EB101F"/>
    <w:rsid w:val="42EE0B0F"/>
    <w:rsid w:val="42FA74B4"/>
    <w:rsid w:val="43106CD7"/>
    <w:rsid w:val="43395DA8"/>
    <w:rsid w:val="433A3D54"/>
    <w:rsid w:val="433E3844"/>
    <w:rsid w:val="43AE09CA"/>
    <w:rsid w:val="43B43B06"/>
    <w:rsid w:val="43C401ED"/>
    <w:rsid w:val="43E5088D"/>
    <w:rsid w:val="43F663FA"/>
    <w:rsid w:val="443B20A2"/>
    <w:rsid w:val="446A2417"/>
    <w:rsid w:val="449B61A4"/>
    <w:rsid w:val="45442A07"/>
    <w:rsid w:val="4549052D"/>
    <w:rsid w:val="454A2974"/>
    <w:rsid w:val="454B3FF6"/>
    <w:rsid w:val="45667082"/>
    <w:rsid w:val="457569C2"/>
    <w:rsid w:val="45D14777"/>
    <w:rsid w:val="461E53A0"/>
    <w:rsid w:val="46241B96"/>
    <w:rsid w:val="465739AD"/>
    <w:rsid w:val="466C5C51"/>
    <w:rsid w:val="46A43EC2"/>
    <w:rsid w:val="46A47554"/>
    <w:rsid w:val="46B46CDC"/>
    <w:rsid w:val="46EE10DD"/>
    <w:rsid w:val="472F1E22"/>
    <w:rsid w:val="473C453F"/>
    <w:rsid w:val="474D22A8"/>
    <w:rsid w:val="47502BC0"/>
    <w:rsid w:val="477F442B"/>
    <w:rsid w:val="479B74B7"/>
    <w:rsid w:val="47B16CDB"/>
    <w:rsid w:val="47BC567F"/>
    <w:rsid w:val="47E86474"/>
    <w:rsid w:val="47E966EF"/>
    <w:rsid w:val="47F210A1"/>
    <w:rsid w:val="48013092"/>
    <w:rsid w:val="48253225"/>
    <w:rsid w:val="4832149E"/>
    <w:rsid w:val="48724382"/>
    <w:rsid w:val="488B2E3C"/>
    <w:rsid w:val="489363E0"/>
    <w:rsid w:val="4896533E"/>
    <w:rsid w:val="48AC74A2"/>
    <w:rsid w:val="48C04785"/>
    <w:rsid w:val="48C04CFB"/>
    <w:rsid w:val="48CE11C6"/>
    <w:rsid w:val="4916491B"/>
    <w:rsid w:val="49331BA1"/>
    <w:rsid w:val="4968161B"/>
    <w:rsid w:val="49741536"/>
    <w:rsid w:val="497F0713"/>
    <w:rsid w:val="49A44BED"/>
    <w:rsid w:val="49DE7B2F"/>
    <w:rsid w:val="49E07403"/>
    <w:rsid w:val="49FA6CF3"/>
    <w:rsid w:val="4A5F0119"/>
    <w:rsid w:val="4A631581"/>
    <w:rsid w:val="4A653DAC"/>
    <w:rsid w:val="4A695ABE"/>
    <w:rsid w:val="4A9E2E1A"/>
    <w:rsid w:val="4AA20B5D"/>
    <w:rsid w:val="4AC21AA7"/>
    <w:rsid w:val="4ACD440C"/>
    <w:rsid w:val="4AF37616"/>
    <w:rsid w:val="4B4340EE"/>
    <w:rsid w:val="4B756B6E"/>
    <w:rsid w:val="4B9A7A86"/>
    <w:rsid w:val="4BAC3727"/>
    <w:rsid w:val="4BB44A5D"/>
    <w:rsid w:val="4BBC79FC"/>
    <w:rsid w:val="4C147838"/>
    <w:rsid w:val="4C567E51"/>
    <w:rsid w:val="4C7A0F49"/>
    <w:rsid w:val="4C98387D"/>
    <w:rsid w:val="4CA46E0E"/>
    <w:rsid w:val="4CA752CB"/>
    <w:rsid w:val="4CE52F83"/>
    <w:rsid w:val="4CE87639"/>
    <w:rsid w:val="4CEA0599"/>
    <w:rsid w:val="4DAE20A0"/>
    <w:rsid w:val="4DCD4142"/>
    <w:rsid w:val="4E1C712B"/>
    <w:rsid w:val="4E204980"/>
    <w:rsid w:val="4E661EA1"/>
    <w:rsid w:val="4E685C19"/>
    <w:rsid w:val="4E7D2F56"/>
    <w:rsid w:val="4EAD7AD0"/>
    <w:rsid w:val="4ECF5C98"/>
    <w:rsid w:val="4ECF7A46"/>
    <w:rsid w:val="4ED432AF"/>
    <w:rsid w:val="4EF83441"/>
    <w:rsid w:val="4F3302E1"/>
    <w:rsid w:val="4F40509A"/>
    <w:rsid w:val="4F4E12B3"/>
    <w:rsid w:val="4F543254"/>
    <w:rsid w:val="4F7B372A"/>
    <w:rsid w:val="4FC155E1"/>
    <w:rsid w:val="4FD277EE"/>
    <w:rsid w:val="50047BC4"/>
    <w:rsid w:val="500876B4"/>
    <w:rsid w:val="504E63E5"/>
    <w:rsid w:val="50546455"/>
    <w:rsid w:val="50C17863"/>
    <w:rsid w:val="50F639B0"/>
    <w:rsid w:val="51153963"/>
    <w:rsid w:val="51254295"/>
    <w:rsid w:val="512A5D2C"/>
    <w:rsid w:val="512C7C3B"/>
    <w:rsid w:val="51614DEC"/>
    <w:rsid w:val="517F5754"/>
    <w:rsid w:val="5183799A"/>
    <w:rsid w:val="51A736B9"/>
    <w:rsid w:val="51B573C7"/>
    <w:rsid w:val="51B7313F"/>
    <w:rsid w:val="51BD3CF3"/>
    <w:rsid w:val="51C13FBE"/>
    <w:rsid w:val="51CB2747"/>
    <w:rsid w:val="51E43809"/>
    <w:rsid w:val="5245699D"/>
    <w:rsid w:val="52655E19"/>
    <w:rsid w:val="52724976"/>
    <w:rsid w:val="528A6DCB"/>
    <w:rsid w:val="529A65BD"/>
    <w:rsid w:val="52CB1DA8"/>
    <w:rsid w:val="52E8648C"/>
    <w:rsid w:val="531E1DE7"/>
    <w:rsid w:val="53464EF5"/>
    <w:rsid w:val="534F73A8"/>
    <w:rsid w:val="535873CA"/>
    <w:rsid w:val="535D3873"/>
    <w:rsid w:val="53762566"/>
    <w:rsid w:val="538434F5"/>
    <w:rsid w:val="53874D93"/>
    <w:rsid w:val="53AE752F"/>
    <w:rsid w:val="54216091"/>
    <w:rsid w:val="542D7858"/>
    <w:rsid w:val="54354E9B"/>
    <w:rsid w:val="54AD25D8"/>
    <w:rsid w:val="54BE6593"/>
    <w:rsid w:val="54C567EE"/>
    <w:rsid w:val="54EF2BF0"/>
    <w:rsid w:val="550541C2"/>
    <w:rsid w:val="55125438"/>
    <w:rsid w:val="551268DF"/>
    <w:rsid w:val="551D59AF"/>
    <w:rsid w:val="55360C5E"/>
    <w:rsid w:val="555058C2"/>
    <w:rsid w:val="55935C72"/>
    <w:rsid w:val="55B062A2"/>
    <w:rsid w:val="55C4407D"/>
    <w:rsid w:val="55E26A22"/>
    <w:rsid w:val="560721BC"/>
    <w:rsid w:val="562E7748"/>
    <w:rsid w:val="56585DA5"/>
    <w:rsid w:val="565E627F"/>
    <w:rsid w:val="569972B8"/>
    <w:rsid w:val="56BC537F"/>
    <w:rsid w:val="56C105BC"/>
    <w:rsid w:val="56D227CA"/>
    <w:rsid w:val="570C15A3"/>
    <w:rsid w:val="571E77BD"/>
    <w:rsid w:val="57392849"/>
    <w:rsid w:val="57554542"/>
    <w:rsid w:val="57600001"/>
    <w:rsid w:val="57623B4D"/>
    <w:rsid w:val="577E4628"/>
    <w:rsid w:val="579B705F"/>
    <w:rsid w:val="57AE6D93"/>
    <w:rsid w:val="57DA6296"/>
    <w:rsid w:val="57DF259C"/>
    <w:rsid w:val="57FF010C"/>
    <w:rsid w:val="58104109"/>
    <w:rsid w:val="581F559B"/>
    <w:rsid w:val="58472D43"/>
    <w:rsid w:val="587F27ED"/>
    <w:rsid w:val="588A5652"/>
    <w:rsid w:val="58D16632"/>
    <w:rsid w:val="58F34F4A"/>
    <w:rsid w:val="592B7F6F"/>
    <w:rsid w:val="595A2602"/>
    <w:rsid w:val="596F29B3"/>
    <w:rsid w:val="597638E0"/>
    <w:rsid w:val="59A30FBC"/>
    <w:rsid w:val="59A87812"/>
    <w:rsid w:val="59CF33BB"/>
    <w:rsid w:val="59E52814"/>
    <w:rsid w:val="5A097BB7"/>
    <w:rsid w:val="5A1037AC"/>
    <w:rsid w:val="5A3D0B5E"/>
    <w:rsid w:val="5ADA7015"/>
    <w:rsid w:val="5ADC59C5"/>
    <w:rsid w:val="5AE12FDB"/>
    <w:rsid w:val="5AF6307E"/>
    <w:rsid w:val="5B321A89"/>
    <w:rsid w:val="5B4854D4"/>
    <w:rsid w:val="5B503C92"/>
    <w:rsid w:val="5B61236E"/>
    <w:rsid w:val="5B70435F"/>
    <w:rsid w:val="5BD41AA1"/>
    <w:rsid w:val="5BE03293"/>
    <w:rsid w:val="5BF501DE"/>
    <w:rsid w:val="5BFA2566"/>
    <w:rsid w:val="5C3B671B"/>
    <w:rsid w:val="5C471564"/>
    <w:rsid w:val="5C57704E"/>
    <w:rsid w:val="5C9F30C9"/>
    <w:rsid w:val="5CC52489"/>
    <w:rsid w:val="5CD63853"/>
    <w:rsid w:val="5CD807DE"/>
    <w:rsid w:val="5D0E2082"/>
    <w:rsid w:val="5D905257"/>
    <w:rsid w:val="5DAF116F"/>
    <w:rsid w:val="5DCD5AF2"/>
    <w:rsid w:val="5DF9688E"/>
    <w:rsid w:val="5DFE3BF7"/>
    <w:rsid w:val="5E0B6DF2"/>
    <w:rsid w:val="5E5227CD"/>
    <w:rsid w:val="5E6B7F0C"/>
    <w:rsid w:val="5E987859"/>
    <w:rsid w:val="5EB804F7"/>
    <w:rsid w:val="5F074FDA"/>
    <w:rsid w:val="5F076D88"/>
    <w:rsid w:val="5F0E3DC5"/>
    <w:rsid w:val="5F555A32"/>
    <w:rsid w:val="5F8C47F7"/>
    <w:rsid w:val="5FA10F8B"/>
    <w:rsid w:val="6037369D"/>
    <w:rsid w:val="60F11A9E"/>
    <w:rsid w:val="61073B4F"/>
    <w:rsid w:val="61253782"/>
    <w:rsid w:val="6129748A"/>
    <w:rsid w:val="613F5241"/>
    <w:rsid w:val="615A6B87"/>
    <w:rsid w:val="61D45648"/>
    <w:rsid w:val="61F100E2"/>
    <w:rsid w:val="61F41846"/>
    <w:rsid w:val="62057802"/>
    <w:rsid w:val="62744735"/>
    <w:rsid w:val="62AA45FB"/>
    <w:rsid w:val="62C32362"/>
    <w:rsid w:val="63350EBA"/>
    <w:rsid w:val="634475E8"/>
    <w:rsid w:val="6348179C"/>
    <w:rsid w:val="634B7B8C"/>
    <w:rsid w:val="635F3C96"/>
    <w:rsid w:val="638D06CA"/>
    <w:rsid w:val="63957059"/>
    <w:rsid w:val="63974B7F"/>
    <w:rsid w:val="639C03E7"/>
    <w:rsid w:val="63C86DC4"/>
    <w:rsid w:val="63E4504B"/>
    <w:rsid w:val="64047D3A"/>
    <w:rsid w:val="64122457"/>
    <w:rsid w:val="645514C1"/>
    <w:rsid w:val="645927EA"/>
    <w:rsid w:val="647C1FC7"/>
    <w:rsid w:val="6488301E"/>
    <w:rsid w:val="64990483"/>
    <w:rsid w:val="64991719"/>
    <w:rsid w:val="64B90B25"/>
    <w:rsid w:val="64EB2E0D"/>
    <w:rsid w:val="658729D1"/>
    <w:rsid w:val="65901886"/>
    <w:rsid w:val="65907AD8"/>
    <w:rsid w:val="65BF216B"/>
    <w:rsid w:val="66320B8F"/>
    <w:rsid w:val="664D3C1B"/>
    <w:rsid w:val="664D69E3"/>
    <w:rsid w:val="6656075B"/>
    <w:rsid w:val="66794A10"/>
    <w:rsid w:val="668A18C6"/>
    <w:rsid w:val="669435F8"/>
    <w:rsid w:val="66BD247B"/>
    <w:rsid w:val="66C11F13"/>
    <w:rsid w:val="66E96F94"/>
    <w:rsid w:val="670F0ED0"/>
    <w:rsid w:val="678F3DBF"/>
    <w:rsid w:val="68354966"/>
    <w:rsid w:val="683622FB"/>
    <w:rsid w:val="685A617B"/>
    <w:rsid w:val="685F7C35"/>
    <w:rsid w:val="6861446E"/>
    <w:rsid w:val="68614624"/>
    <w:rsid w:val="68625CD8"/>
    <w:rsid w:val="686B482C"/>
    <w:rsid w:val="687436E1"/>
    <w:rsid w:val="68A71363"/>
    <w:rsid w:val="68EB3277"/>
    <w:rsid w:val="694035C3"/>
    <w:rsid w:val="696A4AE4"/>
    <w:rsid w:val="69860466"/>
    <w:rsid w:val="698C2CAC"/>
    <w:rsid w:val="69AE49D0"/>
    <w:rsid w:val="69B83AA1"/>
    <w:rsid w:val="69D16911"/>
    <w:rsid w:val="69EF79FE"/>
    <w:rsid w:val="69F36887"/>
    <w:rsid w:val="6A093B18"/>
    <w:rsid w:val="6A1707C7"/>
    <w:rsid w:val="6A505F72"/>
    <w:rsid w:val="6A9B0F58"/>
    <w:rsid w:val="6AA33E09"/>
    <w:rsid w:val="6AC41FD2"/>
    <w:rsid w:val="6AC71974"/>
    <w:rsid w:val="6ACA3A8C"/>
    <w:rsid w:val="6AD71D05"/>
    <w:rsid w:val="6B2F38EF"/>
    <w:rsid w:val="6B3453A9"/>
    <w:rsid w:val="6B43383E"/>
    <w:rsid w:val="6B721BFD"/>
    <w:rsid w:val="6B730171"/>
    <w:rsid w:val="6B737C7F"/>
    <w:rsid w:val="6B81470D"/>
    <w:rsid w:val="6B8754D9"/>
    <w:rsid w:val="6BDF3567"/>
    <w:rsid w:val="6C262F44"/>
    <w:rsid w:val="6C5D448C"/>
    <w:rsid w:val="6C6D0B73"/>
    <w:rsid w:val="6C7D68DC"/>
    <w:rsid w:val="6C9B4C68"/>
    <w:rsid w:val="6CAE2F39"/>
    <w:rsid w:val="6CCF6B2C"/>
    <w:rsid w:val="6CE8644B"/>
    <w:rsid w:val="6D3C6797"/>
    <w:rsid w:val="6D5B2169"/>
    <w:rsid w:val="6D5F1962"/>
    <w:rsid w:val="6D6F2523"/>
    <w:rsid w:val="6D765805"/>
    <w:rsid w:val="6D874C0A"/>
    <w:rsid w:val="6DA63E09"/>
    <w:rsid w:val="6DAA54AF"/>
    <w:rsid w:val="6DB8732C"/>
    <w:rsid w:val="6DDE15FC"/>
    <w:rsid w:val="6DE52764"/>
    <w:rsid w:val="6E250FD9"/>
    <w:rsid w:val="6E2E7466"/>
    <w:rsid w:val="6E5D69A3"/>
    <w:rsid w:val="6E9817AB"/>
    <w:rsid w:val="6EB67355"/>
    <w:rsid w:val="6EC627BC"/>
    <w:rsid w:val="6EEC2F28"/>
    <w:rsid w:val="6F023CEF"/>
    <w:rsid w:val="6F1352D6"/>
    <w:rsid w:val="6F405DFC"/>
    <w:rsid w:val="6F4638FD"/>
    <w:rsid w:val="6F7246F2"/>
    <w:rsid w:val="6F800BBD"/>
    <w:rsid w:val="6F8C1A42"/>
    <w:rsid w:val="6F92142F"/>
    <w:rsid w:val="6FC74A0F"/>
    <w:rsid w:val="6FD131C7"/>
    <w:rsid w:val="70147557"/>
    <w:rsid w:val="70264182"/>
    <w:rsid w:val="70381498"/>
    <w:rsid w:val="705362D1"/>
    <w:rsid w:val="7060279C"/>
    <w:rsid w:val="70A43138"/>
    <w:rsid w:val="70A64653"/>
    <w:rsid w:val="70AE3508"/>
    <w:rsid w:val="70B249B8"/>
    <w:rsid w:val="7100471C"/>
    <w:rsid w:val="7124712B"/>
    <w:rsid w:val="713A659E"/>
    <w:rsid w:val="71440B37"/>
    <w:rsid w:val="71456753"/>
    <w:rsid w:val="715909A7"/>
    <w:rsid w:val="715B4FF6"/>
    <w:rsid w:val="71727196"/>
    <w:rsid w:val="71A1306D"/>
    <w:rsid w:val="71E5127F"/>
    <w:rsid w:val="71E60A7F"/>
    <w:rsid w:val="721750DD"/>
    <w:rsid w:val="722021E3"/>
    <w:rsid w:val="722E0AE7"/>
    <w:rsid w:val="7235504C"/>
    <w:rsid w:val="7238577F"/>
    <w:rsid w:val="729E2B48"/>
    <w:rsid w:val="72A42E14"/>
    <w:rsid w:val="72A5093A"/>
    <w:rsid w:val="72DA05E4"/>
    <w:rsid w:val="72E421C6"/>
    <w:rsid w:val="72F0391D"/>
    <w:rsid w:val="72FB2806"/>
    <w:rsid w:val="73394DEE"/>
    <w:rsid w:val="73740A39"/>
    <w:rsid w:val="737C169B"/>
    <w:rsid w:val="73857529"/>
    <w:rsid w:val="7399224D"/>
    <w:rsid w:val="739A7D73"/>
    <w:rsid w:val="73B14533"/>
    <w:rsid w:val="73CB43D1"/>
    <w:rsid w:val="73DA238F"/>
    <w:rsid w:val="73E56070"/>
    <w:rsid w:val="73EA2AA9"/>
    <w:rsid w:val="740C2DE4"/>
    <w:rsid w:val="741915E0"/>
    <w:rsid w:val="741E6BF6"/>
    <w:rsid w:val="74363F40"/>
    <w:rsid w:val="7441797E"/>
    <w:rsid w:val="744C0614"/>
    <w:rsid w:val="74546D86"/>
    <w:rsid w:val="74790A1C"/>
    <w:rsid w:val="74816EB6"/>
    <w:rsid w:val="74A97F50"/>
    <w:rsid w:val="74F977E5"/>
    <w:rsid w:val="75227685"/>
    <w:rsid w:val="7533222E"/>
    <w:rsid w:val="755C1784"/>
    <w:rsid w:val="75950E04"/>
    <w:rsid w:val="759E402E"/>
    <w:rsid w:val="75C03046"/>
    <w:rsid w:val="76482DFF"/>
    <w:rsid w:val="765C57B4"/>
    <w:rsid w:val="767825EE"/>
    <w:rsid w:val="76A76996"/>
    <w:rsid w:val="76C03F95"/>
    <w:rsid w:val="76D31F1A"/>
    <w:rsid w:val="76D37824"/>
    <w:rsid w:val="770A3923"/>
    <w:rsid w:val="77277B70"/>
    <w:rsid w:val="775546DD"/>
    <w:rsid w:val="776204D1"/>
    <w:rsid w:val="77790DEB"/>
    <w:rsid w:val="77FF18CB"/>
    <w:rsid w:val="78484242"/>
    <w:rsid w:val="7851759A"/>
    <w:rsid w:val="78520A76"/>
    <w:rsid w:val="786D5A56"/>
    <w:rsid w:val="78B13B95"/>
    <w:rsid w:val="78CE23CE"/>
    <w:rsid w:val="78F85C68"/>
    <w:rsid w:val="7921649F"/>
    <w:rsid w:val="797D2716"/>
    <w:rsid w:val="7A13262E"/>
    <w:rsid w:val="7A65732D"/>
    <w:rsid w:val="7A831561"/>
    <w:rsid w:val="7A8B7786"/>
    <w:rsid w:val="7A95565A"/>
    <w:rsid w:val="7A992B33"/>
    <w:rsid w:val="7AF03283"/>
    <w:rsid w:val="7B0B3F65"/>
    <w:rsid w:val="7B1B79EC"/>
    <w:rsid w:val="7B6969A9"/>
    <w:rsid w:val="7B740825"/>
    <w:rsid w:val="7B7E2BC5"/>
    <w:rsid w:val="7B890DF9"/>
    <w:rsid w:val="7B9A6B62"/>
    <w:rsid w:val="7B9D0BEA"/>
    <w:rsid w:val="7BAE260E"/>
    <w:rsid w:val="7C016BE2"/>
    <w:rsid w:val="7C0641F8"/>
    <w:rsid w:val="7C127041"/>
    <w:rsid w:val="7C3C2310"/>
    <w:rsid w:val="7C920C6D"/>
    <w:rsid w:val="7CA32047"/>
    <w:rsid w:val="7CEF7382"/>
    <w:rsid w:val="7CF16C56"/>
    <w:rsid w:val="7D380D29"/>
    <w:rsid w:val="7D782ED3"/>
    <w:rsid w:val="7D847ACA"/>
    <w:rsid w:val="7D8C575D"/>
    <w:rsid w:val="7D910439"/>
    <w:rsid w:val="7DB747ED"/>
    <w:rsid w:val="7DDE476A"/>
    <w:rsid w:val="7E121712"/>
    <w:rsid w:val="7E33504C"/>
    <w:rsid w:val="7E6B23A3"/>
    <w:rsid w:val="7E9975A5"/>
    <w:rsid w:val="7EAA7A04"/>
    <w:rsid w:val="7EEA1C22"/>
    <w:rsid w:val="7F13759B"/>
    <w:rsid w:val="7F160BF6"/>
    <w:rsid w:val="7F2257ED"/>
    <w:rsid w:val="7F5E61EB"/>
    <w:rsid w:val="7F8E2E82"/>
    <w:rsid w:val="7F947D6D"/>
    <w:rsid w:val="7FAE0E2E"/>
    <w:rsid w:val="7FB2339D"/>
    <w:rsid w:val="7FCA378E"/>
    <w:rsid w:val="7FD64829"/>
    <w:rsid w:val="7FDB599C"/>
    <w:rsid w:val="7FE5718F"/>
    <w:rsid w:val="7FEE1B73"/>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ind w:firstLine="420" w:firstLineChars="100"/>
      <w:jc w:val="left"/>
    </w:pPr>
    <w:rPr>
      <w:rFonts w:ascii="仿宋_GB2312"/>
      <w:b/>
      <w:kern w:val="0"/>
      <w:sz w:val="32"/>
      <w:szCs w:val="32"/>
    </w:rPr>
  </w:style>
  <w:style w:type="paragraph" w:styleId="3">
    <w:name w:val="Body Text"/>
    <w:basedOn w:val="1"/>
    <w:qFormat/>
    <w:uiPriority w:val="0"/>
    <w:pPr>
      <w:spacing w:after="120"/>
    </w:pPr>
  </w:style>
  <w:style w:type="paragraph" w:styleId="9">
    <w:name w:val="Normal Indent"/>
    <w:basedOn w:val="1"/>
    <w:qFormat/>
    <w:uiPriority w:val="0"/>
    <w:pPr>
      <w:spacing w:line="312" w:lineRule="atLeast"/>
      <w:ind w:firstLine="420"/>
    </w:pPr>
    <w:rPr>
      <w:rFonts w:ascii="宋体" w:hAnsi="Courier New"/>
      <w:kern w:val="0"/>
    </w:rPr>
  </w:style>
  <w:style w:type="paragraph" w:styleId="10">
    <w:name w:val="annotation text"/>
    <w:basedOn w:val="1"/>
    <w:link w:val="71"/>
    <w:qFormat/>
    <w:uiPriority w:val="0"/>
    <w:pPr>
      <w:jc w:val="left"/>
    </w:pPr>
  </w:style>
  <w:style w:type="paragraph" w:styleId="11">
    <w:name w:val="Body Text Indent"/>
    <w:basedOn w:val="1"/>
    <w:next w:val="1"/>
    <w:qFormat/>
    <w:uiPriority w:val="0"/>
    <w:pPr>
      <w:ind w:left="480" w:hanging="480" w:hangingChars="200"/>
    </w:pPr>
    <w:rPr>
      <w:sz w:val="24"/>
    </w:rPr>
  </w:style>
  <w:style w:type="paragraph" w:styleId="12">
    <w:name w:val="List 2"/>
    <w:basedOn w:val="1"/>
    <w:qFormat/>
    <w:uiPriority w:val="99"/>
    <w:pPr>
      <w:ind w:left="100" w:leftChars="200" w:hanging="200" w:hangingChars="200"/>
    </w:pPr>
    <w:rPr>
      <w:sz w:val="28"/>
      <w:szCs w:val="28"/>
    </w:rPr>
  </w:style>
  <w:style w:type="paragraph" w:styleId="13">
    <w:name w:val="Block Text"/>
    <w:basedOn w:val="1"/>
    <w:qFormat/>
    <w:uiPriority w:val="99"/>
    <w:pPr>
      <w:spacing w:after="120"/>
      <w:ind w:left="1440" w:leftChars="700" w:right="1440" w:rightChars="700"/>
    </w:pPr>
  </w:style>
  <w:style w:type="paragraph" w:styleId="14">
    <w:name w:val="Plain Text"/>
    <w:basedOn w:val="1"/>
    <w:link w:val="58"/>
    <w:qFormat/>
    <w:uiPriority w:val="0"/>
    <w:pPr>
      <w:widowControl/>
      <w:overflowPunct w:val="0"/>
      <w:autoSpaceDE w:val="0"/>
      <w:autoSpaceDN w:val="0"/>
      <w:jc w:val="lef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next w:val="17"/>
    <w:qFormat/>
    <w:uiPriority w:val="0"/>
    <w:pPr>
      <w:spacing w:line="300" w:lineRule="auto"/>
      <w:ind w:firstLine="480"/>
    </w:pPr>
    <w:rPr>
      <w:rFonts w:ascii="黑体" w:eastAsia="黑体"/>
    </w:rPr>
  </w:style>
  <w:style w:type="paragraph" w:customStyle="1" w:styleId="17">
    <w:name w:val="z正文"/>
    <w:basedOn w:val="14"/>
    <w:qFormat/>
    <w:uiPriority w:val="99"/>
    <w:pPr>
      <w:tabs>
        <w:tab w:val="left" w:pos="525"/>
      </w:tabs>
      <w:spacing w:line="360" w:lineRule="auto"/>
    </w:pPr>
    <w:rPr>
      <w:rFonts w:hAnsi="宋体"/>
      <w:szCs w:val="20"/>
    </w:rPr>
  </w:style>
  <w:style w:type="paragraph" w:styleId="18">
    <w:name w:val="Balloon Text"/>
    <w:basedOn w:val="1"/>
    <w:link w:val="50"/>
    <w:qFormat/>
    <w:uiPriority w:val="0"/>
    <w:rPr>
      <w:sz w:val="18"/>
      <w:szCs w:val="18"/>
    </w:rPr>
  </w:style>
  <w:style w:type="paragraph" w:styleId="19">
    <w:name w:val="footer"/>
    <w:basedOn w:val="1"/>
    <w:qFormat/>
    <w:uiPriority w:val="0"/>
    <w:pPr>
      <w:tabs>
        <w:tab w:val="center" w:pos="4153"/>
        <w:tab w:val="right" w:pos="8306"/>
      </w:tabs>
      <w:jc w:val="left"/>
    </w:pPr>
    <w:rPr>
      <w:sz w:val="18"/>
    </w:rPr>
  </w:style>
  <w:style w:type="paragraph" w:styleId="20">
    <w:name w:val="envelope return"/>
    <w:basedOn w:val="1"/>
    <w:qFormat/>
    <w:uiPriority w:val="0"/>
    <w:rPr>
      <w:rFonts w:ascii="Arial" w:hAnsi="Arial"/>
    </w:rPr>
  </w:style>
  <w:style w:type="paragraph" w:styleId="21">
    <w:name w:val="header"/>
    <w:basedOn w:val="1"/>
    <w:qFormat/>
    <w:uiPriority w:val="99"/>
    <w:pPr>
      <w:pBdr>
        <w:bottom w:val="single" w:color="000000" w:sz="6" w:space="1"/>
      </w:pBdr>
      <w:tabs>
        <w:tab w:val="center" w:pos="4153"/>
        <w:tab w:val="right" w:pos="8306"/>
      </w:tabs>
      <w:jc w:val="center"/>
    </w:pPr>
    <w:rPr>
      <w:sz w:val="18"/>
    </w:rPr>
  </w:style>
  <w:style w:type="paragraph" w:styleId="22">
    <w:name w:val="toc 1"/>
    <w:basedOn w:val="1"/>
    <w:next w:val="1"/>
    <w:qFormat/>
    <w:uiPriority w:val="39"/>
    <w:pPr>
      <w:tabs>
        <w:tab w:val="right" w:leader="middleDot" w:pos="8948"/>
      </w:tabs>
    </w:pPr>
    <w:rPr>
      <w:rFonts w:ascii="宋体" w:hAnsi="宋体"/>
      <w:b/>
      <w:bCs/>
      <w:caps/>
      <w:szCs w:val="21"/>
    </w:rPr>
  </w:style>
  <w:style w:type="paragraph" w:styleId="23">
    <w:name w:val="List"/>
    <w:basedOn w:val="1"/>
    <w:qFormat/>
    <w:uiPriority w:val="0"/>
    <w:pPr>
      <w:ind w:left="200" w:hanging="200" w:hangingChars="200"/>
    </w:pPr>
  </w:style>
  <w:style w:type="paragraph" w:styleId="24">
    <w:name w:val="footnote text"/>
    <w:basedOn w:val="1"/>
    <w:qFormat/>
    <w:uiPriority w:val="99"/>
    <w:pPr>
      <w:jc w:val="left"/>
    </w:pPr>
    <w:rPr>
      <w:sz w:val="18"/>
    </w:rPr>
  </w:style>
  <w:style w:type="paragraph" w:styleId="25">
    <w:name w:val="toc 2"/>
    <w:basedOn w:val="1"/>
    <w:next w:val="1"/>
    <w:qFormat/>
    <w:uiPriority w:val="39"/>
    <w:pPr>
      <w:tabs>
        <w:tab w:val="right" w:leader="dot" w:pos="8931"/>
      </w:tabs>
    </w:pPr>
    <w:rPr>
      <w:rFonts w:eastAsia="黑体"/>
      <w:smallCaps/>
      <w:szCs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0"/>
    <w:pPr>
      <w:spacing w:before="240" w:after="60" w:line="400" w:lineRule="exact"/>
      <w:ind w:firstLine="200" w:firstLineChars="200"/>
      <w:jc w:val="center"/>
      <w:outlineLvl w:val="0"/>
    </w:pPr>
    <w:rPr>
      <w:rFonts w:ascii="Cambria" w:hAnsi="Cambria"/>
      <w:b/>
      <w:bCs/>
      <w:sz w:val="32"/>
      <w:szCs w:val="32"/>
    </w:rPr>
  </w:style>
  <w:style w:type="paragraph" w:styleId="28">
    <w:name w:val="annotation subject"/>
    <w:basedOn w:val="10"/>
    <w:next w:val="10"/>
    <w:link w:val="67"/>
    <w:qFormat/>
    <w:uiPriority w:val="0"/>
    <w:rPr>
      <w:b/>
      <w:bCs/>
    </w:rPr>
  </w:style>
  <w:style w:type="paragraph" w:styleId="29">
    <w:name w:val="Body Text First Indent 2"/>
    <w:basedOn w:val="11"/>
    <w:next w:val="1"/>
    <w:unhideWhenUsed/>
    <w:qFormat/>
    <w:uiPriority w:val="99"/>
    <w:pPr>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qFormat/>
    <w:uiPriority w:val="0"/>
    <w:rPr>
      <w:rFonts w:ascii="Times New Roman" w:hAnsi="Times New Roman" w:eastAsia="宋体" w:cs="Times New Roman"/>
    </w:rPr>
  </w:style>
  <w:style w:type="character" w:styleId="35">
    <w:name w:val="Hyperlink"/>
    <w:basedOn w:val="32"/>
    <w:qFormat/>
    <w:uiPriority w:val="0"/>
  </w:style>
  <w:style w:type="character" w:styleId="36">
    <w:name w:val="annotation reference"/>
    <w:qFormat/>
    <w:uiPriority w:val="0"/>
    <w:rPr>
      <w:sz w:val="21"/>
      <w:szCs w:val="21"/>
    </w:rPr>
  </w:style>
  <w:style w:type="character" w:styleId="37">
    <w:name w:val="footnote reference"/>
    <w:qFormat/>
    <w:uiPriority w:val="99"/>
    <w:rPr>
      <w:rFonts w:cs="Times New Roman"/>
      <w:vertAlign w:val="superscript"/>
    </w:rPr>
  </w:style>
  <w:style w:type="character" w:styleId="38">
    <w:name w:val="HTML Sample"/>
    <w:basedOn w:val="32"/>
    <w:qFormat/>
    <w:uiPriority w:val="0"/>
    <w:rPr>
      <w:rFonts w:ascii="Courier New" w:hAnsi="Courier New"/>
    </w:rPr>
  </w:style>
  <w:style w:type="paragraph" w:customStyle="1" w:styleId="39">
    <w:name w:val="Normal Indent1"/>
    <w:basedOn w:val="1"/>
    <w:qFormat/>
    <w:uiPriority w:val="0"/>
    <w:pPr>
      <w:ind w:firstLine="420" w:firstLineChars="200"/>
    </w:pPr>
  </w:style>
  <w:style w:type="paragraph" w:customStyle="1" w:styleId="40">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41">
    <w:name w:val="默认段落字体 Para Char Char Char Char Char Char Char Char Char1 Char Char Char Char"/>
    <w:basedOn w:val="1"/>
    <w:qFormat/>
    <w:uiPriority w:val="99"/>
    <w:rPr>
      <w:rFonts w:ascii="Tahoma" w:hAnsi="Tahoma" w:cs="Tahoma"/>
      <w:sz w:val="24"/>
      <w:szCs w:val="24"/>
    </w:rPr>
  </w:style>
  <w:style w:type="paragraph" w:customStyle="1" w:styleId="42">
    <w:name w:val="样式1"/>
    <w:basedOn w:val="4"/>
    <w:qFormat/>
    <w:uiPriority w:val="0"/>
    <w:pPr>
      <w:tabs>
        <w:tab w:val="left" w:pos="425"/>
      </w:tabs>
      <w:spacing w:line="240" w:lineRule="auto"/>
      <w:jc w:val="center"/>
    </w:pPr>
    <w:rPr>
      <w:rFonts w:ascii="宋体" w:hAnsi="宋体"/>
      <w:sz w:val="21"/>
      <w:szCs w:val="36"/>
    </w:rPr>
  </w:style>
  <w:style w:type="paragraph" w:customStyle="1" w:styleId="43">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4">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表格文字"/>
    <w:basedOn w:val="1"/>
    <w:next w:val="3"/>
    <w:qFormat/>
    <w:uiPriority w:val="0"/>
    <w:pPr>
      <w:spacing w:line="420" w:lineRule="atLeast"/>
      <w:jc w:val="left"/>
    </w:pPr>
    <w:rPr>
      <w:kern w:val="0"/>
      <w:szCs w:val="24"/>
    </w:rPr>
  </w:style>
  <w:style w:type="paragraph" w:customStyle="1" w:styleId="46">
    <w:name w:val="正文1"/>
    <w:basedOn w:val="1"/>
    <w:qFormat/>
    <w:uiPriority w:val="0"/>
    <w:rPr>
      <w:rFonts w:ascii="宋体" w:hAnsi="宋体" w:cs="宋体"/>
    </w:rPr>
  </w:style>
  <w:style w:type="paragraph" w:customStyle="1" w:styleId="47">
    <w:name w:val="列出段落2"/>
    <w:basedOn w:val="1"/>
    <w:qFormat/>
    <w:uiPriority w:val="34"/>
    <w:pPr>
      <w:widowControl/>
      <w:ind w:firstLine="420" w:firstLineChars="200"/>
      <w:jc w:val="left"/>
    </w:pPr>
    <w:rPr>
      <w:rFonts w:eastAsia="微软雅黑"/>
      <w:szCs w:val="20"/>
    </w:rPr>
  </w:style>
  <w:style w:type="paragraph" w:customStyle="1" w:styleId="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
    <w:name w:val="批注框文本 字符"/>
    <w:link w:val="18"/>
    <w:qFormat/>
    <w:uiPriority w:val="0"/>
    <w:rPr>
      <w:kern w:val="2"/>
      <w:sz w:val="18"/>
      <w:szCs w:val="18"/>
    </w:rPr>
  </w:style>
  <w:style w:type="paragraph" w:customStyle="1" w:styleId="51">
    <w:name w:val="Normal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52">
    <w:name w:val="font91"/>
    <w:qFormat/>
    <w:uiPriority w:val="0"/>
    <w:rPr>
      <w:rFonts w:ascii="宋体 ( 正文 )" w:hAnsi="宋体 ( 正文 )" w:eastAsia="宋体 ( 正文 )" w:cs="宋体 ( 正文 )"/>
      <w:color w:val="FF0000"/>
      <w:sz w:val="22"/>
      <w:szCs w:val="22"/>
      <w:u w:val="none"/>
    </w:rPr>
  </w:style>
  <w:style w:type="paragraph" w:customStyle="1" w:styleId="53">
    <w:name w:val="纯文本2"/>
    <w:basedOn w:val="54"/>
    <w:qFormat/>
    <w:uiPriority w:val="0"/>
    <w:pPr>
      <w:widowControl/>
      <w:jc w:val="left"/>
    </w:pPr>
    <w:rPr>
      <w:rFonts w:ascii="宋体" w:hAnsi="Courier New"/>
    </w:rPr>
  </w:style>
  <w:style w:type="paragraph" w:customStyle="1" w:styleId="54">
    <w:name w:val="正文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NormalCharacter1"/>
    <w:semiHidden/>
    <w:qFormat/>
    <w:uiPriority w:val="0"/>
  </w:style>
  <w:style w:type="paragraph" w:customStyle="1" w:styleId="56">
    <w:name w:val="xl55"/>
    <w:basedOn w:val="1"/>
    <w:qFormat/>
    <w:uiPriority w:val="0"/>
    <w:pPr>
      <w:spacing w:before="100" w:beforeAutospacing="1" w:after="100" w:afterAutospacing="1"/>
      <w:jc w:val="center"/>
    </w:pPr>
    <w:rPr>
      <w:rFonts w:ascii="Arial Unicode MS" w:hAnsi="Arial Unicode MS"/>
      <w:sz w:val="24"/>
      <w:szCs w:val="24"/>
    </w:rPr>
  </w:style>
  <w:style w:type="character" w:customStyle="1" w:styleId="57">
    <w:name w:val="font41"/>
    <w:qFormat/>
    <w:uiPriority w:val="0"/>
    <w:rPr>
      <w:rFonts w:hint="eastAsia" w:ascii="微软雅黑" w:hAnsi="微软雅黑" w:eastAsia="微软雅黑" w:cs="微软雅黑"/>
      <w:color w:val="000000"/>
      <w:sz w:val="18"/>
      <w:szCs w:val="18"/>
      <w:u w:val="none"/>
    </w:rPr>
  </w:style>
  <w:style w:type="character" w:customStyle="1" w:styleId="58">
    <w:name w:val="纯文本 字符"/>
    <w:link w:val="14"/>
    <w:qFormat/>
    <w:uiPriority w:val="0"/>
    <w:rPr>
      <w:rFonts w:ascii="宋体" w:hAnsi="Courier New"/>
      <w:kern w:val="2"/>
      <w:sz w:val="24"/>
      <w:szCs w:val="22"/>
    </w:rPr>
  </w:style>
  <w:style w:type="paragraph" w:customStyle="1" w:styleId="59">
    <w:name w:val="Body text|3"/>
    <w:basedOn w:val="1"/>
    <w:qFormat/>
    <w:uiPriority w:val="0"/>
    <w:pPr>
      <w:spacing w:after="380"/>
      <w:jc w:val="center"/>
    </w:pPr>
    <w:rPr>
      <w:rFonts w:ascii="宋体" w:hAnsi="宋体" w:cs="宋体"/>
      <w:sz w:val="26"/>
      <w:szCs w:val="26"/>
      <w:lang w:val="zh-TW" w:eastAsia="zh-TW" w:bidi="zh-TW"/>
    </w:rPr>
  </w:style>
  <w:style w:type="paragraph" w:customStyle="1" w:styleId="60">
    <w:name w:val="列出段落1"/>
    <w:basedOn w:val="1"/>
    <w:qFormat/>
    <w:uiPriority w:val="99"/>
    <w:pPr>
      <w:ind w:firstLine="420" w:firstLineChars="200"/>
    </w:pPr>
  </w:style>
  <w:style w:type="paragraph" w:customStyle="1" w:styleId="61">
    <w:name w:val="修订1"/>
    <w:unhideWhenUsed/>
    <w:qFormat/>
    <w:uiPriority w:val="99"/>
    <w:rPr>
      <w:rFonts w:ascii="Calibri" w:hAnsi="Calibri" w:eastAsia="宋体" w:cs="Times New Roman"/>
      <w:kern w:val="2"/>
      <w:sz w:val="21"/>
      <w:szCs w:val="22"/>
      <w:lang w:val="en-US" w:eastAsia="zh-CN" w:bidi="ar-SA"/>
    </w:rPr>
  </w:style>
  <w:style w:type="character" w:customStyle="1" w:styleId="62">
    <w:name w:val="font11"/>
    <w:qFormat/>
    <w:uiPriority w:val="0"/>
    <w:rPr>
      <w:rFonts w:ascii="仿宋_GB2312" w:eastAsia="仿宋_GB2312" w:cs="仿宋_GB2312"/>
      <w:color w:val="000000"/>
      <w:sz w:val="24"/>
      <w:szCs w:val="24"/>
      <w:u w:val="none"/>
    </w:rPr>
  </w:style>
  <w:style w:type="paragraph" w:customStyle="1" w:styleId="63">
    <w:name w:val="列表段落1"/>
    <w:basedOn w:val="1"/>
    <w:qFormat/>
    <w:uiPriority w:val="99"/>
    <w:pPr>
      <w:ind w:firstLine="420" w:firstLineChars="200"/>
    </w:pPr>
  </w:style>
  <w:style w:type="paragraph" w:customStyle="1" w:styleId="64">
    <w:name w:val="Body text|1"/>
    <w:basedOn w:val="1"/>
    <w:qFormat/>
    <w:uiPriority w:val="0"/>
    <w:pPr>
      <w:spacing w:line="360" w:lineRule="auto"/>
      <w:ind w:firstLine="400"/>
    </w:pPr>
    <w:rPr>
      <w:rFonts w:ascii="宋体" w:hAnsi="宋体" w:cs="宋体"/>
      <w:sz w:val="22"/>
      <w:lang w:val="zh-TW" w:eastAsia="zh-TW" w:bidi="zh-TW"/>
    </w:rPr>
  </w:style>
  <w:style w:type="paragraph" w:customStyle="1" w:styleId="65">
    <w:name w:val="纯文本_0_0"/>
    <w:basedOn w:val="48"/>
    <w:qFormat/>
    <w:uiPriority w:val="0"/>
    <w:rPr>
      <w:rFonts w:ascii="宋体" w:hAnsi="Courier New"/>
      <w:szCs w:val="21"/>
    </w:rPr>
  </w:style>
  <w:style w:type="paragraph" w:customStyle="1" w:styleId="66">
    <w:name w:val="正文，段落，小四，22磅行距"/>
    <w:basedOn w:val="1"/>
    <w:qFormat/>
    <w:uiPriority w:val="0"/>
    <w:pPr>
      <w:spacing w:line="440" w:lineRule="exact"/>
      <w:ind w:firstLine="420"/>
    </w:pPr>
    <w:rPr>
      <w:kern w:val="0"/>
      <w:sz w:val="24"/>
      <w:szCs w:val="24"/>
    </w:rPr>
  </w:style>
  <w:style w:type="character" w:customStyle="1" w:styleId="67">
    <w:name w:val="批注主题 字符"/>
    <w:link w:val="28"/>
    <w:qFormat/>
    <w:uiPriority w:val="0"/>
    <w:rPr>
      <w:rFonts w:ascii="Times New Roman" w:hAnsi="Times New Roman" w:eastAsia="宋体" w:cs="Times New Roman"/>
      <w:kern w:val="2"/>
      <w:sz w:val="21"/>
      <w:szCs w:val="22"/>
    </w:rPr>
  </w:style>
  <w:style w:type="paragraph" w:customStyle="1" w:styleId="68">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69">
    <w:name w:val="font111"/>
    <w:qFormat/>
    <w:uiPriority w:val="0"/>
    <w:rPr>
      <w:rFonts w:hint="eastAsia" w:ascii="宋体" w:hAnsi="宋体" w:eastAsia="宋体" w:cs="宋体"/>
      <w:color w:val="000000"/>
      <w:sz w:val="22"/>
      <w:szCs w:val="22"/>
      <w:u w:val="none"/>
    </w:rPr>
  </w:style>
  <w:style w:type="paragraph" w:customStyle="1" w:styleId="70">
    <w:name w:val="列表段落11"/>
    <w:basedOn w:val="1"/>
    <w:qFormat/>
    <w:uiPriority w:val="34"/>
    <w:pPr>
      <w:widowControl/>
      <w:ind w:firstLine="420" w:firstLineChars="200"/>
      <w:jc w:val="left"/>
    </w:pPr>
    <w:rPr>
      <w:rFonts w:eastAsia="微软雅黑"/>
      <w:szCs w:val="20"/>
    </w:rPr>
  </w:style>
  <w:style w:type="character" w:customStyle="1" w:styleId="71">
    <w:name w:val="批注文字 字符"/>
    <w:link w:val="10"/>
    <w:qFormat/>
    <w:uiPriority w:val="0"/>
    <w:rPr>
      <w:rFonts w:ascii="Times New Roman" w:hAnsi="Times New Roman" w:eastAsia="宋体" w:cs="Times New Roman"/>
      <w:kern w:val="2"/>
      <w:sz w:val="21"/>
      <w:szCs w:val="22"/>
    </w:rPr>
  </w:style>
  <w:style w:type="paragraph" w:customStyle="1" w:styleId="72">
    <w:name w:val="首行缩进"/>
    <w:basedOn w:val="1"/>
    <w:qFormat/>
    <w:uiPriority w:val="0"/>
    <w:pPr>
      <w:spacing w:line="360" w:lineRule="auto"/>
      <w:ind w:firstLine="420"/>
    </w:pPr>
    <w:rPr>
      <w:rFonts w:cs="宋体"/>
      <w:szCs w:val="20"/>
    </w:rPr>
  </w:style>
  <w:style w:type="paragraph" w:customStyle="1" w:styleId="73">
    <w:name w:val="[Normal]"/>
    <w:qFormat/>
    <w:uiPriority w:val="99"/>
    <w:rPr>
      <w:rFonts w:ascii="宋体" w:hAnsi="宋体" w:eastAsia="宋体" w:cs="Times New Roman"/>
      <w:sz w:val="24"/>
      <w:szCs w:val="22"/>
      <w:lang w:val="zh-CN" w:eastAsia="zh-CN" w:bidi="ar-SA"/>
    </w:rPr>
  </w:style>
  <w:style w:type="character" w:customStyle="1" w:styleId="74">
    <w:name w:val="font12"/>
    <w:qFormat/>
    <w:uiPriority w:val="0"/>
    <w:rPr>
      <w:rFonts w:ascii="宋体 ( 正文 )" w:hAnsi="宋体 ( 正文 )" w:eastAsia="宋体 ( 正文 )" w:cs="宋体 ( 正文 )"/>
      <w:color w:val="000000"/>
      <w:sz w:val="22"/>
      <w:szCs w:val="22"/>
      <w:u w:val="none"/>
    </w:rPr>
  </w:style>
  <w:style w:type="paragraph" w:customStyle="1" w:styleId="75">
    <w:name w:val="偏离表"/>
    <w:basedOn w:val="1"/>
    <w:qFormat/>
    <w:uiPriority w:val="0"/>
    <w:pPr>
      <w:jc w:val="center"/>
    </w:pPr>
    <w:rPr>
      <w:sz w:val="18"/>
    </w:rPr>
  </w:style>
  <w:style w:type="character" w:customStyle="1" w:styleId="76">
    <w:name w:val="font121"/>
    <w:qFormat/>
    <w:uiPriority w:val="0"/>
    <w:rPr>
      <w:rFonts w:ascii="Calibri" w:hAnsi="Calibri" w:cs="Calibri"/>
      <w:color w:val="000000"/>
      <w:sz w:val="18"/>
      <w:szCs w:val="18"/>
      <w:u w:val="none"/>
    </w:rPr>
  </w:style>
  <w:style w:type="paragraph" w:customStyle="1" w:styleId="77">
    <w:name w:val="Plain Text1"/>
    <w:basedOn w:val="51"/>
    <w:qFormat/>
    <w:uiPriority w:val="99"/>
    <w:rPr>
      <w:rFonts w:hint="eastAsia" w:ascii="宋体" w:hAnsi="Courier New" w:eastAsia="楷体_GB2312"/>
      <w:sz w:val="28"/>
    </w:rPr>
  </w:style>
  <w:style w:type="paragraph" w:customStyle="1" w:styleId="78">
    <w:name w:val="正文2"/>
    <w:basedOn w:val="1"/>
    <w:qFormat/>
    <w:uiPriority w:val="0"/>
    <w:pPr>
      <w:spacing w:before="156" w:line="360" w:lineRule="auto"/>
      <w:ind w:firstLine="510" w:firstLineChars="200"/>
    </w:pPr>
    <w:rPr>
      <w:sz w:val="24"/>
      <w:szCs w:val="20"/>
    </w:rPr>
  </w:style>
  <w:style w:type="paragraph" w:customStyle="1" w:styleId="79">
    <w:name w:val="纯文本 New New"/>
    <w:basedOn w:val="1"/>
    <w:qFormat/>
    <w:uiPriority w:val="0"/>
    <w:pPr>
      <w:widowControl/>
      <w:overflowPunct w:val="0"/>
      <w:autoSpaceDE w:val="0"/>
      <w:autoSpaceDN w:val="0"/>
      <w:jc w:val="left"/>
    </w:pPr>
    <w:rPr>
      <w:rFonts w:ascii="宋体" w:hAnsi="Courier New"/>
    </w:rPr>
  </w:style>
  <w:style w:type="character" w:customStyle="1" w:styleId="80">
    <w:name w:val="font21"/>
    <w:qFormat/>
    <w:uiPriority w:val="0"/>
    <w:rPr>
      <w:rFonts w:hint="eastAsia" w:ascii="宋体" w:hAnsi="宋体" w:eastAsia="宋体" w:cs="宋体"/>
      <w:b/>
      <w:color w:val="000000"/>
      <w:sz w:val="22"/>
      <w:szCs w:val="22"/>
      <w:u w:val="none"/>
    </w:rPr>
  </w:style>
  <w:style w:type="character" w:customStyle="1" w:styleId="81">
    <w:name w:val="font31"/>
    <w:basedOn w:val="32"/>
    <w:qFormat/>
    <w:uiPriority w:val="0"/>
    <w:rPr>
      <w:rFonts w:hint="eastAsia" w:ascii="宋体" w:hAnsi="宋体" w:eastAsia="宋体" w:cs="宋体"/>
      <w:color w:val="0000FF"/>
      <w:sz w:val="20"/>
      <w:szCs w:val="20"/>
      <w:u w:val="none"/>
    </w:rPr>
  </w:style>
  <w:style w:type="paragraph" w:customStyle="1" w:styleId="82">
    <w:name w:val="修订2"/>
    <w:hidden/>
    <w:semiHidden/>
    <w:qFormat/>
    <w:uiPriority w:val="99"/>
    <w:rPr>
      <w:rFonts w:ascii="Calibri" w:hAnsi="Calibri" w:eastAsia="宋体" w:cs="Times New Roman"/>
      <w:kern w:val="2"/>
      <w:sz w:val="21"/>
      <w:szCs w:val="22"/>
      <w:lang w:val="en-US" w:eastAsia="zh-CN" w:bidi="ar-SA"/>
    </w:rPr>
  </w:style>
  <w:style w:type="paragraph" w:customStyle="1" w:styleId="83">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4">
    <w:name w:val="索引 11"/>
    <w:basedOn w:val="1"/>
    <w:next w:val="1"/>
    <w:qFormat/>
    <w:uiPriority w:val="99"/>
    <w:pPr>
      <w:spacing w:line="360" w:lineRule="auto"/>
    </w:pPr>
    <w:rPr>
      <w:rFonts w:ascii="仿宋_GB2312" w:eastAsia="仿宋_GB2312"/>
      <w:sz w:val="24"/>
      <w:szCs w:val="20"/>
    </w:rPr>
  </w:style>
  <w:style w:type="paragraph" w:customStyle="1" w:styleId="85">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86">
    <w:name w:val="纯文本1"/>
    <w:basedOn w:val="1"/>
    <w:autoRedefine/>
    <w:qFormat/>
    <w:uiPriority w:val="99"/>
    <w:pPr>
      <w:snapToGrid w:val="0"/>
      <w:jc w:val="left"/>
    </w:pPr>
    <w:rPr>
      <w:rFonts w:ascii="Century Gothic" w:hAnsi="楷体_GB2312" w:eastAsia="Times New Roman"/>
    </w:rPr>
  </w:style>
  <w:style w:type="paragraph" w:styleId="87">
    <w:name w:val="List Paragraph"/>
    <w:basedOn w:val="1"/>
    <w:qFormat/>
    <w:uiPriority w:val="0"/>
    <w:pPr>
      <w:ind w:firstLine="420" w:firstLineChars="200"/>
    </w:pPr>
  </w:style>
  <w:style w:type="paragraph" w:customStyle="1" w:styleId="88">
    <w:name w:val="纯文本3"/>
    <w:basedOn w:val="1"/>
    <w:qFormat/>
    <w:uiPriority w:val="0"/>
    <w:rPr>
      <w:rFonts w:ascii="宋体" w:hAnsi="Courier New"/>
      <w:kern w:val="0"/>
      <w:sz w:val="20"/>
      <w:szCs w:val="20"/>
    </w:rPr>
  </w:style>
  <w:style w:type="paragraph" w:customStyle="1" w:styleId="89">
    <w:name w:val="正文_0"/>
    <w:qFormat/>
    <w:uiPriority w:val="99"/>
    <w:rPr>
      <w:rFonts w:ascii="Times New Roman" w:hAnsi="Times New Roman" w:eastAsia="宋体" w:cs="Times New Roman"/>
      <w:sz w:val="21"/>
      <w:lang w:val="en-US" w:eastAsia="zh-CN" w:bidi="ar-SA"/>
    </w:rPr>
  </w:style>
  <w:style w:type="paragraph" w:customStyle="1" w:styleId="90">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Table Paragraph"/>
    <w:basedOn w:val="1"/>
    <w:qFormat/>
    <w:uiPriority w:val="0"/>
    <w:pPr>
      <w:jc w:val="left"/>
    </w:pPr>
    <w:rPr>
      <w:kern w:val="0"/>
      <w:sz w:val="22"/>
      <w:lang w:eastAsia="en-US"/>
    </w:rPr>
  </w:style>
  <w:style w:type="paragraph" w:customStyle="1" w:styleId="93">
    <w:name w:val="*正文"/>
    <w:basedOn w:val="1"/>
    <w:qFormat/>
    <w:uiPriority w:val="0"/>
    <w:pPr>
      <w:adjustRightInd w:val="0"/>
      <w:snapToGrid w:val="0"/>
      <w:spacing w:line="360" w:lineRule="auto"/>
      <w:ind w:firstLine="482"/>
      <w:jc w:val="left"/>
    </w:pPr>
    <w:rPr>
      <w:rFonts w:hint="eastAsia" w:ascii="宋体" w:hAnsi="宋体"/>
      <w:kern w:val="0"/>
      <w:sz w:val="24"/>
      <w:szCs w:val="20"/>
    </w:rPr>
  </w:style>
  <w:style w:type="paragraph" w:customStyle="1" w:styleId="94">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9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26720</Words>
  <Characters>28233</Characters>
  <Lines>606</Lines>
  <Paragraphs>170</Paragraphs>
  <TotalTime>17</TotalTime>
  <ScaleCrop>false</ScaleCrop>
  <LinksUpToDate>false</LinksUpToDate>
  <CharactersWithSpaces>28954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2025-06-15T15:46:00Z</dcterms:created>
  <dc:creator>MAXHUB</dc:creator>
  <cp:lastModifiedBy>博文</cp:lastModifiedBy>
  <cp:lastPrinted>2025-07-18T12:42:00Z</cp:lastPrinted>
  <dcterms:modified xsi:type="dcterms:W3CDTF">2025-07-18T13:33:45Z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eyJoZGlkIjoiODViMDI5YTZmZTMzNzBiMmViMzI1NzcxNjIwNDRhNGYiLCJ1c2VySWQiOiI4OTY0OTM2NzUifQ==</vt:lpwstr>
  </property>
  <property fmtid="{D5CDD505-2E9C-101B-9397-08002B2CF9AE}" pid="3" name="KSOProductBuildVer">
    <vt:lpwstr>2052-12.1.0.21915</vt:lpwstr>
  </property>
  <property fmtid="{D5CDD505-2E9C-101B-9397-08002B2CF9AE}" pid="4" name="ICV">
    <vt:lpwstr>5698D65681B542D4B15BBECCC30FBE3E_13</vt:lpwstr>
  </property>
</Properties>
</file>