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line="360" w:lineRule="auto"/>
        <w:ind w:firstLine="640"/>
        <w:jc w:val="center"/>
        <w:rPr>
          <w:rFonts w:hint="eastAsia" w:ascii="仿宋" w:hAnsi="仿宋" w:eastAsia="仿宋" w:cs="仿宋"/>
          <w:b/>
          <w:sz w:val="48"/>
          <w:szCs w:val="48"/>
        </w:rPr>
      </w:pPr>
    </w:p>
    <w:p>
      <w:pPr>
        <w:spacing w:line="360" w:lineRule="auto"/>
        <w:jc w:val="center"/>
        <w:rPr>
          <w:rFonts w:hint="eastAsia" w:ascii="仿宋" w:hAnsi="仿宋" w:eastAsia="仿宋" w:cs="仿宋"/>
          <w:b/>
          <w:sz w:val="52"/>
          <w:szCs w:val="52"/>
        </w:rPr>
      </w:pPr>
      <w:r>
        <w:rPr>
          <w:rFonts w:hint="eastAsia" w:ascii="仿宋" w:hAnsi="仿宋" w:eastAsia="仿宋" w:cs="仿宋"/>
          <w:b/>
          <w:sz w:val="52"/>
          <w:szCs w:val="52"/>
        </w:rPr>
        <w:t>浙江省学前教育高质量发展监测指标研制与监测培训</w:t>
      </w:r>
    </w:p>
    <w:p>
      <w:pPr>
        <w:spacing w:line="360" w:lineRule="auto"/>
        <w:jc w:val="center"/>
        <w:rPr>
          <w:rFonts w:hint="eastAsia" w:ascii="仿宋" w:hAnsi="仿宋" w:eastAsia="仿宋" w:cs="仿宋"/>
          <w:b/>
          <w:sz w:val="52"/>
          <w:szCs w:val="52"/>
        </w:rPr>
      </w:pPr>
    </w:p>
    <w:p>
      <w:pPr>
        <w:spacing w:line="360" w:lineRule="auto"/>
        <w:jc w:val="center"/>
        <w:rPr>
          <w:rFonts w:hint="eastAsia" w:ascii="仿宋" w:hAnsi="仿宋" w:eastAsia="仿宋" w:cs="仿宋"/>
          <w:b/>
          <w:sz w:val="52"/>
          <w:szCs w:val="52"/>
        </w:rPr>
      </w:pPr>
      <w:r>
        <w:rPr>
          <w:rFonts w:hint="eastAsia" w:ascii="仿宋" w:hAnsi="仿宋" w:eastAsia="仿宋" w:cs="仿宋"/>
          <w:b/>
          <w:sz w:val="52"/>
          <w:szCs w:val="52"/>
        </w:rPr>
        <w:t>单一来源采购文件</w:t>
      </w:r>
    </w:p>
    <w:p>
      <w:pPr>
        <w:rPr>
          <w:rFonts w:hint="eastAsia" w:ascii="仿宋" w:hAnsi="仿宋" w:eastAsia="仿宋" w:cs="仿宋"/>
        </w:rPr>
      </w:pPr>
    </w:p>
    <w:p>
      <w:pPr>
        <w:spacing w:line="480" w:lineRule="auto"/>
        <w:jc w:val="center"/>
        <w:rPr>
          <w:rFonts w:hint="eastAsia" w:ascii="仿宋" w:hAnsi="仿宋" w:eastAsia="仿宋" w:cs="仿宋"/>
          <w:snapToGrid w:val="0"/>
          <w:kern w:val="0"/>
          <w:sz w:val="30"/>
          <w:szCs w:val="30"/>
          <w:lang w:eastAsia="zh-CN"/>
        </w:rPr>
      </w:pPr>
      <w:bookmarkStart w:id="0" w:name="_Toc238836418"/>
      <w:r>
        <w:rPr>
          <w:rFonts w:hint="eastAsia" w:ascii="仿宋" w:hAnsi="仿宋" w:eastAsia="仿宋" w:cs="仿宋"/>
          <w:snapToGrid w:val="0"/>
          <w:kern w:val="0"/>
          <w:sz w:val="30"/>
          <w:szCs w:val="30"/>
        </w:rPr>
        <w:t>项目编号：</w:t>
      </w:r>
      <w:bookmarkEnd w:id="0"/>
      <w:r>
        <w:rPr>
          <w:rFonts w:hint="eastAsia" w:ascii="仿宋" w:hAnsi="仿宋" w:eastAsia="仿宋" w:cs="仿宋"/>
          <w:snapToGrid w:val="0"/>
          <w:kern w:val="0"/>
          <w:sz w:val="30"/>
          <w:szCs w:val="30"/>
          <w:lang w:eastAsia="zh-CN"/>
        </w:rPr>
        <w:t>ZJ-2440644</w:t>
      </w:r>
    </w:p>
    <w:p>
      <w:pPr>
        <w:adjustRightInd w:val="0"/>
        <w:spacing w:line="360" w:lineRule="auto"/>
        <w:rPr>
          <w:rFonts w:hint="eastAsia" w:ascii="仿宋" w:hAnsi="仿宋" w:eastAsia="仿宋" w:cs="仿宋"/>
          <w:b/>
          <w:snapToGrid w:val="0"/>
          <w:kern w:val="0"/>
          <w:sz w:val="28"/>
          <w:szCs w:val="20"/>
        </w:rPr>
      </w:pPr>
    </w:p>
    <w:p>
      <w:pPr>
        <w:adjustRightInd w:val="0"/>
        <w:spacing w:line="360" w:lineRule="auto"/>
        <w:rPr>
          <w:rFonts w:hint="eastAsia" w:ascii="仿宋" w:hAnsi="仿宋" w:eastAsia="仿宋" w:cs="仿宋"/>
          <w:b/>
          <w:snapToGrid w:val="0"/>
          <w:kern w:val="0"/>
          <w:sz w:val="28"/>
          <w:szCs w:val="20"/>
        </w:rPr>
      </w:pPr>
    </w:p>
    <w:p>
      <w:pPr>
        <w:pStyle w:val="21"/>
        <w:rPr>
          <w:rFonts w:hint="eastAsia" w:ascii="仿宋" w:hAnsi="仿宋" w:eastAsia="仿宋" w:cs="仿宋"/>
        </w:rPr>
      </w:pPr>
    </w:p>
    <w:p>
      <w:pPr>
        <w:pStyle w:val="46"/>
        <w:ind w:firstLine="480"/>
        <w:rPr>
          <w:rFonts w:hint="eastAsia" w:ascii="仿宋" w:hAnsi="仿宋" w:eastAsia="仿宋" w:cs="仿宋"/>
        </w:rPr>
      </w:pPr>
    </w:p>
    <w:p>
      <w:pPr>
        <w:rPr>
          <w:rFonts w:hint="eastAsia" w:ascii="仿宋" w:hAnsi="仿宋" w:eastAsia="仿宋" w:cs="仿宋"/>
        </w:rPr>
      </w:pPr>
    </w:p>
    <w:p>
      <w:pPr>
        <w:pStyle w:val="46"/>
        <w:ind w:firstLine="0" w:firstLineChars="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21"/>
        <w:rPr>
          <w:rFonts w:hint="eastAsia" w:ascii="仿宋" w:hAnsi="仿宋" w:eastAsia="仿宋" w:cs="仿宋"/>
        </w:rPr>
      </w:pPr>
    </w:p>
    <w:p>
      <w:pPr>
        <w:adjustRightInd w:val="0"/>
        <w:spacing w:line="360" w:lineRule="auto"/>
        <w:ind w:firstLine="1520" w:firstLineChars="473"/>
        <w:rPr>
          <w:rFonts w:hint="eastAsia" w:ascii="仿宋" w:hAnsi="仿宋" w:eastAsia="仿宋" w:cs="仿宋"/>
          <w:b/>
          <w:bCs/>
          <w:snapToGrid w:val="0"/>
          <w:kern w:val="0"/>
          <w:sz w:val="32"/>
          <w:szCs w:val="32"/>
        </w:rPr>
      </w:pPr>
      <w:bookmarkStart w:id="1" w:name="_Toc238836419"/>
      <w:r>
        <w:rPr>
          <w:rFonts w:hint="eastAsia" w:ascii="仿宋" w:hAnsi="仿宋" w:eastAsia="仿宋" w:cs="仿宋"/>
          <w:b/>
          <w:bCs/>
          <w:snapToGrid w:val="0"/>
          <w:kern w:val="0"/>
          <w:sz w:val="32"/>
          <w:szCs w:val="32"/>
        </w:rPr>
        <w:t>采   购   人：</w:t>
      </w:r>
      <w:bookmarkEnd w:id="1"/>
      <w:r>
        <w:rPr>
          <w:rFonts w:hint="eastAsia" w:ascii="仿宋" w:hAnsi="仿宋" w:eastAsia="仿宋" w:cs="仿宋"/>
          <w:b/>
          <w:bCs/>
          <w:snapToGrid w:val="0"/>
          <w:kern w:val="0"/>
          <w:sz w:val="32"/>
          <w:szCs w:val="32"/>
        </w:rPr>
        <w:t>浙江省教育考试院</w:t>
      </w:r>
    </w:p>
    <w:p>
      <w:pPr>
        <w:adjustRightInd w:val="0"/>
        <w:spacing w:line="480" w:lineRule="auto"/>
        <w:ind w:firstLine="1520" w:firstLineChars="473"/>
        <w:rPr>
          <w:rFonts w:hint="eastAsia" w:ascii="仿宋" w:hAnsi="仿宋" w:eastAsia="仿宋" w:cs="仿宋"/>
          <w:b/>
          <w:bCs/>
          <w:snapToGrid w:val="0"/>
          <w:kern w:val="0"/>
          <w:sz w:val="32"/>
          <w:szCs w:val="32"/>
        </w:rPr>
      </w:pPr>
      <w:bookmarkStart w:id="2" w:name="_Toc238836421"/>
      <w:r>
        <w:rPr>
          <w:rFonts w:hint="eastAsia" w:ascii="仿宋" w:hAnsi="仿宋" w:eastAsia="仿宋" w:cs="仿宋"/>
          <w:b/>
          <w:bCs/>
          <w:snapToGrid w:val="0"/>
          <w:kern w:val="0"/>
          <w:sz w:val="32"/>
          <w:szCs w:val="32"/>
        </w:rPr>
        <w:t>采购代理机构：</w:t>
      </w:r>
      <w:bookmarkEnd w:id="2"/>
      <w:r>
        <w:rPr>
          <w:rFonts w:hint="eastAsia" w:ascii="仿宋" w:hAnsi="仿宋" w:eastAsia="仿宋" w:cs="仿宋"/>
          <w:b/>
          <w:bCs/>
          <w:snapToGrid w:val="0"/>
          <w:kern w:val="0"/>
          <w:sz w:val="32"/>
          <w:szCs w:val="32"/>
        </w:rPr>
        <w:t>浙江国际招投标有限公司</w:t>
      </w:r>
    </w:p>
    <w:p>
      <w:pPr>
        <w:adjustRightInd w:val="0"/>
        <w:spacing w:line="480" w:lineRule="auto"/>
        <w:ind w:firstLine="1417" w:firstLineChars="504"/>
        <w:rPr>
          <w:rFonts w:hint="eastAsia" w:ascii="仿宋" w:hAnsi="仿宋" w:eastAsia="仿宋" w:cs="仿宋"/>
          <w:b/>
          <w:bCs/>
          <w:snapToGrid w:val="0"/>
          <w:kern w:val="0"/>
          <w:sz w:val="28"/>
          <w:szCs w:val="28"/>
        </w:rPr>
      </w:pPr>
    </w:p>
    <w:p>
      <w:pPr>
        <w:jc w:val="center"/>
        <w:rPr>
          <w:rFonts w:hint="eastAsia" w:ascii="仿宋" w:hAnsi="仿宋" w:eastAsia="仿宋" w:cs="仿宋"/>
          <w:b/>
          <w:bCs/>
          <w:snapToGrid w:val="0"/>
          <w:color w:val="000000" w:themeColor="text1"/>
          <w:kern w:val="0"/>
          <w:sz w:val="32"/>
          <w:szCs w:val="32"/>
          <w14:textFill>
            <w14:solidFill>
              <w14:schemeClr w14:val="tx1"/>
            </w14:solidFill>
          </w14:textFill>
        </w:rPr>
      </w:pPr>
      <w:bookmarkStart w:id="3" w:name="_Toc238836422"/>
      <w:r>
        <w:rPr>
          <w:rFonts w:hint="eastAsia" w:ascii="仿宋" w:hAnsi="仿宋" w:eastAsia="仿宋" w:cs="仿宋"/>
          <w:b/>
          <w:bCs/>
          <w:snapToGrid w:val="0"/>
          <w:color w:val="000000" w:themeColor="text1"/>
          <w:kern w:val="0"/>
          <w:sz w:val="32"/>
          <w:szCs w:val="32"/>
          <w14:textFill>
            <w14:solidFill>
              <w14:schemeClr w14:val="tx1"/>
            </w14:solidFill>
          </w14:textFill>
        </w:rPr>
        <w:t>二〇二四年</w:t>
      </w:r>
      <w:bookmarkEnd w:id="3"/>
      <w:r>
        <w:rPr>
          <w:rFonts w:hint="eastAsia" w:ascii="仿宋" w:hAnsi="仿宋" w:eastAsia="仿宋" w:cs="仿宋"/>
          <w:b/>
          <w:bCs/>
          <w:snapToGrid w:val="0"/>
          <w:color w:val="000000" w:themeColor="text1"/>
          <w:kern w:val="0"/>
          <w:sz w:val="32"/>
          <w:szCs w:val="32"/>
          <w14:textFill>
            <w14:solidFill>
              <w14:schemeClr w14:val="tx1"/>
            </w14:solidFill>
          </w14:textFill>
        </w:rPr>
        <w:t>三月</w:t>
      </w:r>
    </w:p>
    <w:p>
      <w:pPr>
        <w:rPr>
          <w:rFonts w:hint="eastAsia" w:ascii="仿宋" w:hAnsi="仿宋" w:eastAsia="仿宋" w:cs="仿宋"/>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992" w:gutter="0"/>
          <w:pgNumType w:start="1"/>
          <w:cols w:space="720" w:num="1"/>
          <w:titlePg/>
          <w:docGrid w:type="lines" w:linePitch="312" w:charSpace="0"/>
        </w:sectPr>
      </w:pPr>
    </w:p>
    <w:p>
      <w:pPr>
        <w:jc w:val="center"/>
        <w:rPr>
          <w:rFonts w:hint="eastAsia" w:ascii="仿宋" w:hAnsi="仿宋" w:eastAsia="仿宋" w:cs="仿宋"/>
          <w:b/>
          <w:sz w:val="28"/>
          <w:szCs w:val="28"/>
        </w:rPr>
      </w:pPr>
      <w:bookmarkStart w:id="4" w:name="_Toc454467865"/>
      <w:r>
        <w:rPr>
          <w:rFonts w:hint="eastAsia" w:ascii="仿宋" w:hAnsi="仿宋" w:eastAsia="仿宋" w:cs="仿宋"/>
          <w:b/>
          <w:sz w:val="28"/>
          <w:szCs w:val="28"/>
        </w:rPr>
        <w:t>目  录</w:t>
      </w:r>
    </w:p>
    <w:p>
      <w:pPr>
        <w:jc w:val="center"/>
        <w:rPr>
          <w:rFonts w:hint="eastAsia" w:ascii="仿宋" w:hAnsi="仿宋" w:eastAsia="仿宋" w:cs="仿宋"/>
          <w:b/>
          <w:sz w:val="28"/>
          <w:szCs w:val="28"/>
        </w:rPr>
      </w:pPr>
    </w:p>
    <w:p>
      <w:pPr>
        <w:pStyle w:val="34"/>
        <w:tabs>
          <w:tab w:val="right" w:leader="dot" w:pos="8730"/>
          <w:tab w:val="clear" w:pos="8720"/>
        </w:tabs>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szCs w:val="24"/>
        </w:rPr>
        <w:fldChar w:fldCharType="begin"/>
      </w:r>
      <w:r>
        <w:rPr>
          <w:rFonts w:hint="eastAsia" w:ascii="仿宋" w:hAnsi="仿宋" w:eastAsia="仿宋" w:cs="仿宋"/>
          <w:szCs w:val="24"/>
        </w:rPr>
        <w:instrText xml:space="preserve"> HYPERLINK \l _Toc31748 </w:instrText>
      </w:r>
      <w:r>
        <w:rPr>
          <w:rFonts w:hint="eastAsia" w:ascii="仿宋" w:hAnsi="仿宋" w:eastAsia="仿宋" w:cs="仿宋"/>
          <w:szCs w:val="24"/>
        </w:rPr>
        <w:fldChar w:fldCharType="separate"/>
      </w:r>
      <w:r>
        <w:rPr>
          <w:rFonts w:hint="eastAsia" w:ascii="仿宋" w:hAnsi="仿宋" w:eastAsia="仿宋" w:cs="仿宋"/>
          <w:szCs w:val="32"/>
        </w:rPr>
        <w:t>第一部分  邀请函</w:t>
      </w:r>
      <w:r>
        <w:tab/>
      </w:r>
      <w:r>
        <w:fldChar w:fldCharType="begin"/>
      </w:r>
      <w:r>
        <w:instrText xml:space="preserve"> PAGEREF _Toc31748 \h </w:instrText>
      </w:r>
      <w:r>
        <w:fldChar w:fldCharType="separate"/>
      </w:r>
      <w:r>
        <w:t>1</w:t>
      </w:r>
      <w:r>
        <w:fldChar w:fldCharType="end"/>
      </w:r>
      <w:r>
        <w:rPr>
          <w:rFonts w:hint="eastAsia" w:ascii="仿宋" w:hAnsi="仿宋" w:eastAsia="仿宋" w:cs="仿宋"/>
          <w:szCs w:val="24"/>
        </w:rPr>
        <w:fldChar w:fldCharType="end"/>
      </w:r>
    </w:p>
    <w:p>
      <w:pPr>
        <w:pStyle w:val="34"/>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_Toc25820 </w:instrText>
      </w:r>
      <w:r>
        <w:rPr>
          <w:rFonts w:hint="eastAsia" w:ascii="仿宋" w:hAnsi="仿宋" w:eastAsia="仿宋" w:cs="仿宋"/>
          <w:bCs/>
          <w:lang w:val="zh-CN"/>
        </w:rPr>
        <w:fldChar w:fldCharType="separate"/>
      </w:r>
      <w:r>
        <w:rPr>
          <w:rFonts w:hint="eastAsia" w:ascii="仿宋" w:hAnsi="仿宋" w:eastAsia="仿宋" w:cs="仿宋"/>
          <w:szCs w:val="30"/>
        </w:rPr>
        <w:t>第二部分  编制和提交采购响应文件须知</w:t>
      </w:r>
      <w:r>
        <w:tab/>
      </w:r>
      <w:r>
        <w:fldChar w:fldCharType="begin"/>
      </w:r>
      <w:r>
        <w:instrText xml:space="preserve"> PAGEREF _Toc25820 \h </w:instrText>
      </w:r>
      <w:r>
        <w:fldChar w:fldCharType="separate"/>
      </w:r>
      <w:r>
        <w:t>3</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_Toc18918 </w:instrText>
      </w:r>
      <w:r>
        <w:rPr>
          <w:rFonts w:hint="eastAsia" w:ascii="仿宋" w:hAnsi="仿宋" w:eastAsia="仿宋" w:cs="仿宋"/>
          <w:bCs/>
          <w:lang w:val="zh-CN"/>
        </w:rPr>
        <w:fldChar w:fldCharType="separate"/>
      </w:r>
      <w:r>
        <w:rPr>
          <w:rFonts w:hint="eastAsia" w:ascii="仿宋" w:hAnsi="仿宋" w:eastAsia="仿宋" w:cs="仿宋"/>
          <w:szCs w:val="24"/>
        </w:rPr>
        <w:t>一、总则</w:t>
      </w:r>
      <w:r>
        <w:tab/>
      </w:r>
      <w:r>
        <w:fldChar w:fldCharType="begin"/>
      </w:r>
      <w:r>
        <w:instrText xml:space="preserve"> PAGEREF _Toc18918 \h </w:instrText>
      </w:r>
      <w:r>
        <w:fldChar w:fldCharType="separate"/>
      </w:r>
      <w:r>
        <w:t>6</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_Toc3217 </w:instrText>
      </w:r>
      <w:r>
        <w:rPr>
          <w:rFonts w:hint="eastAsia" w:ascii="仿宋" w:hAnsi="仿宋" w:eastAsia="仿宋" w:cs="仿宋"/>
          <w:bCs/>
          <w:lang w:val="zh-CN"/>
        </w:rPr>
        <w:fldChar w:fldCharType="separate"/>
      </w:r>
      <w:r>
        <w:rPr>
          <w:rFonts w:hint="eastAsia" w:ascii="仿宋" w:hAnsi="仿宋" w:eastAsia="仿宋" w:cs="仿宋"/>
          <w:szCs w:val="24"/>
        </w:rPr>
        <w:t>二、采购文件</w:t>
      </w:r>
      <w:r>
        <w:tab/>
      </w:r>
      <w:r>
        <w:fldChar w:fldCharType="begin"/>
      </w:r>
      <w:r>
        <w:instrText xml:space="preserve"> PAGEREF _Toc3217 \h </w:instrText>
      </w:r>
      <w:r>
        <w:fldChar w:fldCharType="separate"/>
      </w:r>
      <w:r>
        <w:t>6</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_Toc24289 </w:instrText>
      </w:r>
      <w:r>
        <w:rPr>
          <w:rFonts w:hint="eastAsia" w:ascii="仿宋" w:hAnsi="仿宋" w:eastAsia="仿宋" w:cs="仿宋"/>
          <w:bCs/>
          <w:lang w:val="zh-CN"/>
        </w:rPr>
        <w:fldChar w:fldCharType="separate"/>
      </w:r>
      <w:r>
        <w:rPr>
          <w:rFonts w:hint="eastAsia" w:ascii="仿宋" w:hAnsi="仿宋" w:eastAsia="仿宋" w:cs="仿宋"/>
          <w:szCs w:val="24"/>
        </w:rPr>
        <w:t>三、响应文件的编制</w:t>
      </w:r>
      <w:r>
        <w:tab/>
      </w:r>
      <w:r>
        <w:fldChar w:fldCharType="begin"/>
      </w:r>
      <w:r>
        <w:instrText xml:space="preserve"> PAGEREF _Toc24289 \h </w:instrText>
      </w:r>
      <w:r>
        <w:fldChar w:fldCharType="separate"/>
      </w:r>
      <w:r>
        <w:t>7</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_Toc12780 </w:instrText>
      </w:r>
      <w:r>
        <w:rPr>
          <w:rFonts w:hint="eastAsia" w:ascii="仿宋" w:hAnsi="仿宋" w:eastAsia="仿宋" w:cs="仿宋"/>
          <w:bCs/>
          <w:lang w:val="zh-CN"/>
        </w:rPr>
        <w:fldChar w:fldCharType="separate"/>
      </w:r>
      <w:r>
        <w:rPr>
          <w:rFonts w:hint="eastAsia" w:ascii="仿宋" w:hAnsi="仿宋" w:eastAsia="仿宋" w:cs="仿宋"/>
          <w:szCs w:val="24"/>
        </w:rPr>
        <w:t>四、响应文件的递交</w:t>
      </w:r>
      <w:r>
        <w:tab/>
      </w:r>
      <w:r>
        <w:fldChar w:fldCharType="begin"/>
      </w:r>
      <w:r>
        <w:instrText xml:space="preserve"> PAGEREF _Toc12780 \h </w:instrText>
      </w:r>
      <w:r>
        <w:fldChar w:fldCharType="separate"/>
      </w:r>
      <w:r>
        <w:t>9</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_Toc20489 </w:instrText>
      </w:r>
      <w:r>
        <w:rPr>
          <w:rFonts w:hint="eastAsia" w:ascii="仿宋" w:hAnsi="仿宋" w:eastAsia="仿宋" w:cs="仿宋"/>
          <w:bCs/>
          <w:lang w:val="zh-CN"/>
        </w:rPr>
        <w:fldChar w:fldCharType="separate"/>
      </w:r>
      <w:r>
        <w:rPr>
          <w:rFonts w:hint="eastAsia" w:ascii="仿宋" w:hAnsi="仿宋" w:eastAsia="仿宋" w:cs="仿宋"/>
          <w:szCs w:val="24"/>
        </w:rPr>
        <w:t>五、单一来源协商</w:t>
      </w:r>
      <w:r>
        <w:tab/>
      </w:r>
      <w:r>
        <w:fldChar w:fldCharType="begin"/>
      </w:r>
      <w:r>
        <w:instrText xml:space="preserve"> PAGEREF _Toc20489 \h </w:instrText>
      </w:r>
      <w:r>
        <w:fldChar w:fldCharType="separate"/>
      </w:r>
      <w:r>
        <w:t>10</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_Toc4200 </w:instrText>
      </w:r>
      <w:r>
        <w:rPr>
          <w:rFonts w:hint="eastAsia" w:ascii="仿宋" w:hAnsi="仿宋" w:eastAsia="仿宋" w:cs="仿宋"/>
          <w:bCs/>
          <w:lang w:val="zh-CN"/>
        </w:rPr>
        <w:fldChar w:fldCharType="separate"/>
      </w:r>
      <w:r>
        <w:rPr>
          <w:rFonts w:hint="eastAsia" w:ascii="仿宋" w:hAnsi="仿宋" w:eastAsia="仿宋" w:cs="仿宋"/>
          <w:szCs w:val="24"/>
        </w:rPr>
        <w:t>六、定标</w:t>
      </w:r>
      <w:r>
        <w:tab/>
      </w:r>
      <w:r>
        <w:fldChar w:fldCharType="begin"/>
      </w:r>
      <w:r>
        <w:instrText xml:space="preserve"> PAGEREF _Toc4200 \h </w:instrText>
      </w:r>
      <w:r>
        <w:fldChar w:fldCharType="separate"/>
      </w:r>
      <w:r>
        <w:t>12</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_Toc7635 </w:instrText>
      </w:r>
      <w:r>
        <w:rPr>
          <w:rFonts w:hint="eastAsia" w:ascii="仿宋" w:hAnsi="仿宋" w:eastAsia="仿宋" w:cs="仿宋"/>
          <w:bCs/>
          <w:lang w:val="zh-CN"/>
        </w:rPr>
        <w:fldChar w:fldCharType="separate"/>
      </w:r>
      <w:r>
        <w:rPr>
          <w:rFonts w:hint="eastAsia" w:ascii="仿宋" w:hAnsi="仿宋" w:eastAsia="仿宋" w:cs="仿宋"/>
          <w:szCs w:val="24"/>
        </w:rPr>
        <w:t>七、合同签订及其他</w:t>
      </w:r>
      <w:r>
        <w:tab/>
      </w:r>
      <w:r>
        <w:fldChar w:fldCharType="begin"/>
      </w:r>
      <w:r>
        <w:instrText xml:space="preserve"> PAGEREF _Toc7635 \h </w:instrText>
      </w:r>
      <w:r>
        <w:fldChar w:fldCharType="separate"/>
      </w:r>
      <w:r>
        <w:t>13</w:t>
      </w:r>
      <w:r>
        <w:fldChar w:fldCharType="end"/>
      </w:r>
      <w:r>
        <w:rPr>
          <w:rFonts w:hint="eastAsia" w:ascii="仿宋" w:hAnsi="仿宋" w:eastAsia="仿宋" w:cs="仿宋"/>
          <w:bCs/>
          <w:lang w:val="zh-CN"/>
        </w:rPr>
        <w:fldChar w:fldCharType="end"/>
      </w:r>
    </w:p>
    <w:p>
      <w:pPr>
        <w:pStyle w:val="34"/>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_Toc28138 </w:instrText>
      </w:r>
      <w:r>
        <w:rPr>
          <w:rFonts w:hint="eastAsia" w:ascii="仿宋" w:hAnsi="仿宋" w:eastAsia="仿宋" w:cs="仿宋"/>
          <w:bCs/>
          <w:lang w:val="zh-CN"/>
        </w:rPr>
        <w:fldChar w:fldCharType="separate"/>
      </w:r>
      <w:r>
        <w:rPr>
          <w:rFonts w:hint="eastAsia" w:ascii="仿宋" w:hAnsi="仿宋" w:eastAsia="仿宋" w:cs="仿宋"/>
          <w:szCs w:val="30"/>
        </w:rPr>
        <w:t>第三部分 采购需求书</w:t>
      </w:r>
      <w:r>
        <w:tab/>
      </w:r>
      <w:r>
        <w:fldChar w:fldCharType="begin"/>
      </w:r>
      <w:r>
        <w:instrText xml:space="preserve"> PAGEREF _Toc28138 \h </w:instrText>
      </w:r>
      <w:r>
        <w:fldChar w:fldCharType="separate"/>
      </w:r>
      <w:r>
        <w:t>14</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_Toc10447 </w:instrText>
      </w:r>
      <w:r>
        <w:rPr>
          <w:rFonts w:hint="eastAsia" w:ascii="仿宋" w:hAnsi="仿宋" w:eastAsia="仿宋" w:cs="仿宋"/>
          <w:bCs/>
          <w:lang w:val="zh-CN"/>
        </w:rPr>
        <w:fldChar w:fldCharType="separate"/>
      </w:r>
      <w:r>
        <w:rPr>
          <w:rFonts w:hint="eastAsia" w:ascii="仿宋" w:hAnsi="仿宋" w:eastAsia="仿宋" w:cs="仿宋"/>
          <w:szCs w:val="28"/>
        </w:rPr>
        <w:t>一、项目概况</w:t>
      </w:r>
      <w:r>
        <w:tab/>
      </w:r>
      <w:r>
        <w:fldChar w:fldCharType="begin"/>
      </w:r>
      <w:r>
        <w:instrText xml:space="preserve"> PAGEREF _Toc10447 \h </w:instrText>
      </w:r>
      <w:r>
        <w:fldChar w:fldCharType="separate"/>
      </w:r>
      <w:r>
        <w:t>14</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_Toc13858 </w:instrText>
      </w:r>
      <w:r>
        <w:rPr>
          <w:rFonts w:hint="eastAsia" w:ascii="仿宋" w:hAnsi="仿宋" w:eastAsia="仿宋" w:cs="仿宋"/>
          <w:bCs/>
          <w:lang w:val="zh-CN"/>
        </w:rPr>
        <w:fldChar w:fldCharType="separate"/>
      </w:r>
      <w:r>
        <w:rPr>
          <w:rFonts w:hint="eastAsia" w:ascii="仿宋" w:hAnsi="仿宋" w:eastAsia="仿宋" w:cs="仿宋"/>
          <w:szCs w:val="28"/>
        </w:rPr>
        <w:t>二、项目服务周期及地点</w:t>
      </w:r>
      <w:r>
        <w:tab/>
      </w:r>
      <w:r>
        <w:fldChar w:fldCharType="begin"/>
      </w:r>
      <w:r>
        <w:instrText xml:space="preserve"> PAGEREF _Toc13858 \h </w:instrText>
      </w:r>
      <w:r>
        <w:fldChar w:fldCharType="separate"/>
      </w:r>
      <w:r>
        <w:t>14</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_Toc4435 </w:instrText>
      </w:r>
      <w:r>
        <w:rPr>
          <w:rFonts w:hint="eastAsia" w:ascii="仿宋" w:hAnsi="仿宋" w:eastAsia="仿宋" w:cs="仿宋"/>
          <w:bCs/>
          <w:lang w:val="zh-CN"/>
        </w:rPr>
        <w:fldChar w:fldCharType="separate"/>
      </w:r>
      <w:r>
        <w:rPr>
          <w:rFonts w:hint="eastAsia" w:ascii="仿宋" w:hAnsi="仿宋" w:eastAsia="仿宋" w:cs="仿宋"/>
          <w:szCs w:val="28"/>
        </w:rPr>
        <w:t>三、服务内容</w:t>
      </w:r>
      <w:r>
        <w:tab/>
      </w:r>
      <w:r>
        <w:fldChar w:fldCharType="begin"/>
      </w:r>
      <w:r>
        <w:instrText xml:space="preserve"> PAGEREF _Toc4435 \h </w:instrText>
      </w:r>
      <w:r>
        <w:fldChar w:fldCharType="separate"/>
      </w:r>
      <w:r>
        <w:t>14</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_Toc13523 </w:instrText>
      </w:r>
      <w:r>
        <w:rPr>
          <w:rFonts w:hint="eastAsia" w:ascii="仿宋" w:hAnsi="仿宋" w:eastAsia="仿宋" w:cs="仿宋"/>
          <w:bCs/>
          <w:lang w:val="zh-CN"/>
        </w:rPr>
        <w:fldChar w:fldCharType="separate"/>
      </w:r>
      <w:r>
        <w:rPr>
          <w:rFonts w:hint="eastAsia" w:ascii="仿宋" w:hAnsi="仿宋" w:eastAsia="仿宋" w:cs="仿宋"/>
          <w:szCs w:val="28"/>
        </w:rPr>
        <w:t>四、商务要求</w:t>
      </w:r>
      <w:r>
        <w:tab/>
      </w:r>
      <w:r>
        <w:fldChar w:fldCharType="begin"/>
      </w:r>
      <w:r>
        <w:instrText xml:space="preserve"> PAGEREF _Toc13523 \h </w:instrText>
      </w:r>
      <w:r>
        <w:fldChar w:fldCharType="separate"/>
      </w:r>
      <w:r>
        <w:t>14</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_Toc16779 </w:instrText>
      </w:r>
      <w:r>
        <w:rPr>
          <w:rFonts w:hint="eastAsia" w:ascii="仿宋" w:hAnsi="仿宋" w:eastAsia="仿宋" w:cs="仿宋"/>
          <w:bCs/>
          <w:lang w:val="zh-CN"/>
        </w:rPr>
        <w:fldChar w:fldCharType="separate"/>
      </w:r>
      <w:r>
        <w:rPr>
          <w:rFonts w:hint="eastAsia" w:ascii="仿宋" w:hAnsi="仿宋" w:eastAsia="仿宋" w:cs="仿宋"/>
          <w:szCs w:val="28"/>
        </w:rPr>
        <w:t>五、验收</w:t>
      </w:r>
      <w:r>
        <w:tab/>
      </w:r>
      <w:r>
        <w:fldChar w:fldCharType="begin"/>
      </w:r>
      <w:r>
        <w:instrText xml:space="preserve"> PAGEREF _Toc16779 \h </w:instrText>
      </w:r>
      <w:r>
        <w:fldChar w:fldCharType="separate"/>
      </w:r>
      <w:r>
        <w:t>15</w:t>
      </w:r>
      <w:r>
        <w:fldChar w:fldCharType="end"/>
      </w:r>
      <w:r>
        <w:rPr>
          <w:rFonts w:hint="eastAsia" w:ascii="仿宋" w:hAnsi="仿宋" w:eastAsia="仿宋" w:cs="仿宋"/>
          <w:bCs/>
          <w:lang w:val="zh-CN"/>
        </w:rPr>
        <w:fldChar w:fldCharType="end"/>
      </w:r>
    </w:p>
    <w:p>
      <w:pPr>
        <w:pStyle w:val="34"/>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_Toc12908 </w:instrText>
      </w:r>
      <w:r>
        <w:rPr>
          <w:rFonts w:hint="eastAsia" w:ascii="仿宋" w:hAnsi="仿宋" w:eastAsia="仿宋" w:cs="仿宋"/>
          <w:bCs/>
          <w:lang w:val="zh-CN"/>
        </w:rPr>
        <w:fldChar w:fldCharType="separate"/>
      </w:r>
      <w:r>
        <w:rPr>
          <w:rFonts w:hint="eastAsia" w:ascii="仿宋" w:hAnsi="仿宋" w:eastAsia="仿宋" w:cs="仿宋"/>
        </w:rPr>
        <w:t>第四部分 拟签订的合同文本</w:t>
      </w:r>
      <w:r>
        <w:tab/>
      </w:r>
      <w:r>
        <w:fldChar w:fldCharType="begin"/>
      </w:r>
      <w:r>
        <w:instrText xml:space="preserve"> PAGEREF _Toc12908 \h </w:instrText>
      </w:r>
      <w:r>
        <w:fldChar w:fldCharType="separate"/>
      </w:r>
      <w:r>
        <w:t>16</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_Toc25757 </w:instrText>
      </w:r>
      <w:r>
        <w:rPr>
          <w:rFonts w:hint="eastAsia" w:ascii="仿宋" w:hAnsi="仿宋" w:eastAsia="仿宋" w:cs="仿宋"/>
          <w:bCs/>
          <w:lang w:val="zh-CN"/>
        </w:rPr>
        <w:fldChar w:fldCharType="separate"/>
      </w:r>
      <w:r>
        <w:rPr>
          <w:rFonts w:hint="eastAsia" w:ascii="仿宋" w:hAnsi="仿宋" w:eastAsia="仿宋" w:cs="仿宋"/>
          <w:spacing w:val="-6"/>
          <w:szCs w:val="28"/>
        </w:rPr>
        <w:t>浙江省教育考试院采购合同</w:t>
      </w:r>
      <w:r>
        <w:tab/>
      </w:r>
      <w:r>
        <w:fldChar w:fldCharType="begin"/>
      </w:r>
      <w:r>
        <w:instrText xml:space="preserve"> PAGEREF _Toc25757 \h </w:instrText>
      </w:r>
      <w:r>
        <w:fldChar w:fldCharType="separate"/>
      </w:r>
      <w:r>
        <w:t>16</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_Toc8641 </w:instrText>
      </w:r>
      <w:r>
        <w:rPr>
          <w:rFonts w:hint="eastAsia" w:ascii="仿宋" w:hAnsi="仿宋" w:eastAsia="仿宋" w:cs="仿宋"/>
          <w:bCs/>
          <w:lang w:val="zh-CN"/>
        </w:rPr>
        <w:fldChar w:fldCharType="separate"/>
      </w:r>
      <w:r>
        <w:rPr>
          <w:rFonts w:hint="eastAsia" w:ascii="仿宋" w:hAnsi="仿宋" w:eastAsia="仿宋" w:cs="仿宋"/>
          <w:bCs w:val="0"/>
          <w:szCs w:val="22"/>
        </w:rPr>
        <w:t>一、</w:t>
      </w:r>
      <w:r>
        <w:rPr>
          <w:rFonts w:hint="eastAsia" w:ascii="仿宋" w:hAnsi="仿宋" w:eastAsia="仿宋" w:cs="仿宋"/>
          <w:szCs w:val="22"/>
        </w:rPr>
        <w:t>响应文件封面</w:t>
      </w:r>
      <w:r>
        <w:tab/>
      </w:r>
      <w:r>
        <w:fldChar w:fldCharType="begin"/>
      </w:r>
      <w:r>
        <w:instrText xml:space="preserve"> PAGEREF _Toc8641 \h </w:instrText>
      </w:r>
      <w:r>
        <w:fldChar w:fldCharType="separate"/>
      </w:r>
      <w:r>
        <w:t>21</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_Toc2204 </w:instrText>
      </w:r>
      <w:r>
        <w:rPr>
          <w:rFonts w:hint="eastAsia" w:ascii="仿宋" w:hAnsi="仿宋" w:eastAsia="仿宋" w:cs="仿宋"/>
          <w:bCs/>
          <w:lang w:val="zh-CN"/>
        </w:rPr>
        <w:fldChar w:fldCharType="separate"/>
      </w:r>
      <w:r>
        <w:rPr>
          <w:rFonts w:hint="eastAsia" w:ascii="仿宋" w:hAnsi="仿宋" w:eastAsia="仿宋" w:cs="仿宋"/>
          <w:szCs w:val="24"/>
        </w:rPr>
        <w:t>二、商务技术响应文件部分</w:t>
      </w:r>
      <w:r>
        <w:tab/>
      </w:r>
      <w:r>
        <w:fldChar w:fldCharType="begin"/>
      </w:r>
      <w:r>
        <w:instrText xml:space="preserve"> PAGEREF _Toc2204 \h </w:instrText>
      </w:r>
      <w:r>
        <w:fldChar w:fldCharType="separate"/>
      </w:r>
      <w:r>
        <w:t>22</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_Toc27872 </w:instrText>
      </w:r>
      <w:r>
        <w:rPr>
          <w:rFonts w:hint="eastAsia" w:ascii="仿宋" w:hAnsi="仿宋" w:eastAsia="仿宋" w:cs="仿宋"/>
          <w:bCs/>
          <w:lang w:val="zh-CN"/>
        </w:rPr>
        <w:fldChar w:fldCharType="separate"/>
      </w:r>
      <w:r>
        <w:rPr>
          <w:rFonts w:hint="eastAsia" w:ascii="仿宋" w:hAnsi="仿宋" w:eastAsia="仿宋" w:cs="仿宋"/>
        </w:rPr>
        <w:t>三</w:t>
      </w:r>
      <w:r>
        <w:rPr>
          <w:rFonts w:hint="eastAsia" w:ascii="仿宋" w:hAnsi="仿宋" w:eastAsia="仿宋" w:cs="仿宋"/>
          <w:bCs/>
          <w:szCs w:val="22"/>
        </w:rPr>
        <w:t>、资格响应</w:t>
      </w:r>
      <w:r>
        <w:rPr>
          <w:rFonts w:hint="eastAsia" w:ascii="仿宋" w:hAnsi="仿宋" w:eastAsia="仿宋" w:cs="仿宋"/>
          <w:szCs w:val="22"/>
        </w:rPr>
        <w:t>文件</w:t>
      </w:r>
      <w:r>
        <w:tab/>
      </w:r>
      <w:r>
        <w:fldChar w:fldCharType="begin"/>
      </w:r>
      <w:r>
        <w:instrText xml:space="preserve"> PAGEREF _Toc27872 \h </w:instrText>
      </w:r>
      <w:r>
        <w:fldChar w:fldCharType="separate"/>
      </w:r>
      <w:r>
        <w:t>29</w:t>
      </w:r>
      <w:r>
        <w:fldChar w:fldCharType="end"/>
      </w:r>
      <w:r>
        <w:rPr>
          <w:rFonts w:hint="eastAsia" w:ascii="仿宋" w:hAnsi="仿宋" w:eastAsia="仿宋" w:cs="仿宋"/>
          <w:bCs/>
          <w:lang w:val="zh-CN"/>
        </w:rPr>
        <w:fldChar w:fldCharType="end"/>
      </w:r>
    </w:p>
    <w:p>
      <w:pPr>
        <w:pStyle w:val="39"/>
        <w:tabs>
          <w:tab w:val="right" w:leader="dot" w:pos="8730"/>
          <w:tab w:val="clear" w:pos="8720"/>
        </w:tabs>
      </w:pPr>
      <w:r>
        <w:rPr>
          <w:rFonts w:hint="eastAsia" w:ascii="仿宋" w:hAnsi="仿宋" w:eastAsia="仿宋" w:cs="仿宋"/>
          <w:bCs/>
          <w:lang w:val="zh-CN"/>
        </w:rPr>
        <w:fldChar w:fldCharType="begin"/>
      </w:r>
      <w:r>
        <w:rPr>
          <w:rFonts w:hint="eastAsia" w:ascii="仿宋" w:hAnsi="仿宋" w:eastAsia="仿宋" w:cs="仿宋"/>
          <w:bCs/>
          <w:lang w:val="zh-CN"/>
        </w:rPr>
        <w:instrText xml:space="preserve"> HYPERLINK \l _Toc23175 </w:instrText>
      </w:r>
      <w:r>
        <w:rPr>
          <w:rFonts w:hint="eastAsia" w:ascii="仿宋" w:hAnsi="仿宋" w:eastAsia="仿宋" w:cs="仿宋"/>
          <w:bCs/>
          <w:lang w:val="zh-CN"/>
        </w:rPr>
        <w:fldChar w:fldCharType="separate"/>
      </w:r>
      <w:r>
        <w:rPr>
          <w:rFonts w:hint="eastAsia" w:ascii="仿宋" w:hAnsi="仿宋" w:eastAsia="仿宋" w:cs="仿宋"/>
          <w:bCs/>
          <w:szCs w:val="28"/>
        </w:rPr>
        <w:t>四、报价响应文件</w:t>
      </w:r>
      <w:r>
        <w:tab/>
      </w:r>
      <w:r>
        <w:fldChar w:fldCharType="begin"/>
      </w:r>
      <w:r>
        <w:instrText xml:space="preserve"> PAGEREF _Toc23175 \h </w:instrText>
      </w:r>
      <w:r>
        <w:fldChar w:fldCharType="separate"/>
      </w:r>
      <w:r>
        <w:t>30</w:t>
      </w:r>
      <w:r>
        <w:fldChar w:fldCharType="end"/>
      </w:r>
      <w:r>
        <w:rPr>
          <w:rFonts w:hint="eastAsia" w:ascii="仿宋" w:hAnsi="仿宋" w:eastAsia="仿宋" w:cs="仿宋"/>
          <w:bCs/>
          <w:lang w:val="zh-CN"/>
        </w:rPr>
        <w:fldChar w:fldCharType="end"/>
      </w:r>
    </w:p>
    <w:p>
      <w:pPr>
        <w:rPr>
          <w:rFonts w:hint="eastAsia" w:ascii="仿宋" w:hAnsi="仿宋" w:eastAsia="仿宋" w:cs="仿宋"/>
        </w:rPr>
      </w:pPr>
      <w:r>
        <w:rPr>
          <w:rFonts w:hint="eastAsia" w:ascii="仿宋" w:hAnsi="仿宋" w:eastAsia="仿宋" w:cs="仿宋"/>
          <w:bCs/>
          <w:lang w:val="zh-CN"/>
        </w:rPr>
        <w:fldChar w:fldCharType="end"/>
      </w:r>
    </w:p>
    <w:p>
      <w:pPr>
        <w:pStyle w:val="5"/>
        <w:jc w:val="center"/>
        <w:rPr>
          <w:rFonts w:hint="eastAsia" w:ascii="仿宋" w:hAnsi="仿宋" w:eastAsia="仿宋" w:cs="仿宋"/>
          <w:szCs w:val="32"/>
        </w:rPr>
        <w:sectPr>
          <w:headerReference r:id="rId9" w:type="first"/>
          <w:footerReference r:id="rId11" w:type="first"/>
          <w:footerReference r:id="rId10" w:type="default"/>
          <w:pgSz w:w="11906" w:h="16838"/>
          <w:pgMar w:top="1402" w:right="1588" w:bottom="1246" w:left="1588" w:header="851" w:footer="1064" w:gutter="0"/>
          <w:cols w:space="720" w:num="1"/>
          <w:titlePg/>
          <w:docGrid w:linePitch="312" w:charSpace="0"/>
        </w:sectPr>
      </w:pPr>
    </w:p>
    <w:p>
      <w:pPr>
        <w:pStyle w:val="5"/>
        <w:jc w:val="center"/>
        <w:rPr>
          <w:rFonts w:hint="eastAsia" w:ascii="仿宋" w:hAnsi="仿宋" w:eastAsia="仿宋" w:cs="仿宋"/>
          <w:sz w:val="24"/>
        </w:rPr>
      </w:pPr>
      <w:bookmarkStart w:id="5" w:name="_Toc31748"/>
      <w:r>
        <w:rPr>
          <w:rFonts w:hint="eastAsia" w:ascii="仿宋" w:hAnsi="仿宋" w:eastAsia="仿宋" w:cs="仿宋"/>
          <w:szCs w:val="32"/>
        </w:rPr>
        <w:t>第一部分  邀请函</w:t>
      </w:r>
      <w:bookmarkEnd w:id="4"/>
      <w:bookmarkEnd w:id="5"/>
    </w:p>
    <w:p>
      <w:pPr>
        <w:adjustRightInd w:val="0"/>
        <w:snapToGrid w:val="0"/>
        <w:spacing w:line="360" w:lineRule="auto"/>
        <w:rPr>
          <w:rFonts w:hint="eastAsia" w:ascii="仿宋" w:hAnsi="仿宋" w:eastAsia="仿宋" w:cs="仿宋"/>
          <w:b/>
          <w:bCs/>
          <w:sz w:val="24"/>
        </w:rPr>
      </w:pPr>
      <w:r>
        <w:rPr>
          <w:rFonts w:hint="eastAsia" w:ascii="仿宋" w:hAnsi="仿宋" w:eastAsia="仿宋" w:cs="仿宋"/>
          <w:b/>
          <w:bCs/>
          <w:sz w:val="24"/>
        </w:rPr>
        <w:t>浙江师范大学：</w:t>
      </w:r>
      <w:bookmarkStart w:id="112" w:name="_GoBack"/>
      <w:bookmarkEnd w:id="112"/>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浙江国际招投标有限公司（以下简称“采购代理机构”）受浙江省教育考试院（以下简称“采购人”）的委托，就“浙江省学前教育高质量发展监测指标研制与监测培训”进行单一来源采购。具体如下：</w:t>
      </w:r>
    </w:p>
    <w:p>
      <w:pPr>
        <w:pStyle w:val="27"/>
        <w:adjustRightInd w:val="0"/>
        <w:snapToGrid w:val="0"/>
        <w:spacing w:line="360" w:lineRule="auto"/>
        <w:ind w:firstLine="482" w:firstLineChars="200"/>
        <w:rPr>
          <w:rFonts w:hint="eastAsia" w:ascii="仿宋" w:hAnsi="仿宋" w:eastAsia="仿宋" w:cs="仿宋"/>
          <w:b/>
          <w:sz w:val="24"/>
          <w:szCs w:val="24"/>
          <w:lang w:eastAsia="zh-CN"/>
        </w:rPr>
      </w:pPr>
      <w:r>
        <w:rPr>
          <w:rFonts w:hint="eastAsia" w:ascii="仿宋" w:hAnsi="仿宋" w:eastAsia="仿宋" w:cs="仿宋"/>
          <w:b/>
          <w:sz w:val="24"/>
          <w:szCs w:val="24"/>
        </w:rPr>
        <w:t>一、项目编号：</w:t>
      </w:r>
      <w:r>
        <w:rPr>
          <w:rFonts w:hint="eastAsia" w:ascii="仿宋" w:hAnsi="仿宋" w:eastAsia="仿宋" w:cs="仿宋"/>
          <w:b/>
          <w:sz w:val="24"/>
          <w:szCs w:val="24"/>
          <w:lang w:eastAsia="zh-CN"/>
        </w:rPr>
        <w:t>ZJ-2440644</w:t>
      </w:r>
    </w:p>
    <w:p>
      <w:pPr>
        <w:adjustRightInd w:val="0"/>
        <w:snapToGrid w:val="0"/>
        <w:spacing w:line="360" w:lineRule="auto"/>
        <w:ind w:firstLine="482" w:firstLineChars="200"/>
        <w:rPr>
          <w:rFonts w:hint="eastAsia" w:ascii="仿宋" w:hAnsi="仿宋" w:eastAsia="仿宋" w:cs="仿宋"/>
          <w:sz w:val="24"/>
          <w:szCs w:val="21"/>
        </w:rPr>
      </w:pPr>
      <w:r>
        <w:rPr>
          <w:rFonts w:hint="eastAsia" w:ascii="仿宋" w:hAnsi="仿宋" w:eastAsia="仿宋" w:cs="仿宋"/>
          <w:b/>
          <w:sz w:val="24"/>
        </w:rPr>
        <w:t>二、项目名称：</w:t>
      </w:r>
      <w:r>
        <w:rPr>
          <w:rFonts w:hint="eastAsia" w:ascii="仿宋" w:hAnsi="仿宋" w:eastAsia="仿宋" w:cs="仿宋"/>
          <w:sz w:val="24"/>
        </w:rPr>
        <w:t>浙江省学前教育高质量发展监测指标研制与监测培训</w:t>
      </w:r>
    </w:p>
    <w:p>
      <w:pPr>
        <w:adjustRightInd w:val="0"/>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三、采购内容：</w:t>
      </w:r>
    </w:p>
    <w:tbl>
      <w:tblPr>
        <w:tblStyle w:val="47"/>
        <w:tblW w:w="9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700"/>
        <w:gridCol w:w="785"/>
        <w:gridCol w:w="715"/>
        <w:gridCol w:w="1188"/>
        <w:gridCol w:w="2530"/>
        <w:gridCol w:w="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9"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标项</w:t>
            </w:r>
          </w:p>
        </w:tc>
        <w:tc>
          <w:tcPr>
            <w:tcW w:w="2700"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标项内容</w:t>
            </w:r>
          </w:p>
        </w:tc>
        <w:tc>
          <w:tcPr>
            <w:tcW w:w="785" w:type="dxa"/>
            <w:vAlign w:val="center"/>
          </w:tcPr>
          <w:p>
            <w:pPr>
              <w:pStyle w:val="127"/>
              <w:rPr>
                <w:rFonts w:hint="eastAsia" w:ascii="仿宋" w:hAnsi="仿宋" w:eastAsia="仿宋" w:cs="仿宋"/>
                <w:sz w:val="24"/>
                <w:szCs w:val="24"/>
              </w:rPr>
            </w:pPr>
            <w:r>
              <w:rPr>
                <w:rFonts w:hint="eastAsia" w:ascii="仿宋" w:hAnsi="仿宋" w:eastAsia="仿宋" w:cs="仿宋"/>
                <w:sz w:val="24"/>
                <w:szCs w:val="24"/>
              </w:rPr>
              <w:t>数量</w:t>
            </w:r>
          </w:p>
        </w:tc>
        <w:tc>
          <w:tcPr>
            <w:tcW w:w="715" w:type="dxa"/>
            <w:vAlign w:val="center"/>
          </w:tcPr>
          <w:p>
            <w:pPr>
              <w:pStyle w:val="127"/>
              <w:rPr>
                <w:rFonts w:hint="eastAsia" w:ascii="仿宋" w:hAnsi="仿宋" w:eastAsia="仿宋" w:cs="仿宋"/>
                <w:sz w:val="24"/>
                <w:szCs w:val="24"/>
              </w:rPr>
            </w:pPr>
            <w:r>
              <w:rPr>
                <w:rFonts w:hint="eastAsia" w:ascii="仿宋" w:hAnsi="仿宋" w:eastAsia="仿宋" w:cs="仿宋"/>
                <w:sz w:val="24"/>
                <w:szCs w:val="24"/>
              </w:rPr>
              <w:t>单位</w:t>
            </w:r>
          </w:p>
        </w:tc>
        <w:tc>
          <w:tcPr>
            <w:tcW w:w="1188" w:type="dxa"/>
            <w:vAlign w:val="center"/>
          </w:tcPr>
          <w:p>
            <w:pPr>
              <w:pStyle w:val="21"/>
              <w:spacing w:line="240" w:lineRule="auto"/>
              <w:ind w:firstLine="0"/>
              <w:jc w:val="center"/>
              <w:rPr>
                <w:rFonts w:hint="eastAsia" w:ascii="仿宋" w:hAnsi="仿宋" w:eastAsia="仿宋" w:cs="仿宋"/>
                <w:szCs w:val="24"/>
              </w:rPr>
            </w:pPr>
            <w:r>
              <w:rPr>
                <w:rFonts w:hint="eastAsia" w:ascii="仿宋" w:hAnsi="仿宋" w:eastAsia="仿宋" w:cs="仿宋"/>
                <w:szCs w:val="24"/>
              </w:rPr>
              <w:t>预算金额</w:t>
            </w:r>
          </w:p>
          <w:p>
            <w:pPr>
              <w:pStyle w:val="21"/>
              <w:spacing w:line="240" w:lineRule="auto"/>
              <w:ind w:firstLine="0"/>
              <w:jc w:val="center"/>
              <w:rPr>
                <w:rFonts w:hint="eastAsia" w:ascii="仿宋" w:hAnsi="仿宋" w:eastAsia="仿宋" w:cs="仿宋"/>
                <w:szCs w:val="24"/>
              </w:rPr>
            </w:pPr>
            <w:r>
              <w:rPr>
                <w:rFonts w:hint="eastAsia" w:ascii="仿宋" w:hAnsi="仿宋" w:eastAsia="仿宋" w:cs="仿宋"/>
                <w:szCs w:val="24"/>
              </w:rPr>
              <w:t>（万元）</w:t>
            </w:r>
          </w:p>
        </w:tc>
        <w:tc>
          <w:tcPr>
            <w:tcW w:w="2530" w:type="dxa"/>
            <w:vAlign w:val="center"/>
          </w:tcPr>
          <w:p>
            <w:pPr>
              <w:pStyle w:val="21"/>
              <w:spacing w:line="240" w:lineRule="auto"/>
              <w:ind w:firstLine="0"/>
              <w:jc w:val="center"/>
              <w:rPr>
                <w:rFonts w:hint="eastAsia" w:ascii="仿宋" w:hAnsi="仿宋" w:eastAsia="仿宋" w:cs="仿宋"/>
                <w:szCs w:val="24"/>
              </w:rPr>
            </w:pPr>
            <w:r>
              <w:rPr>
                <w:rFonts w:hint="eastAsia" w:ascii="仿宋" w:hAnsi="仿宋" w:eastAsia="仿宋" w:cs="仿宋"/>
                <w:szCs w:val="24"/>
              </w:rPr>
              <w:t>简要技术要求、用途</w:t>
            </w:r>
          </w:p>
        </w:tc>
        <w:tc>
          <w:tcPr>
            <w:tcW w:w="468"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19"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1</w:t>
            </w:r>
          </w:p>
        </w:tc>
        <w:tc>
          <w:tcPr>
            <w:tcW w:w="2700"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浙江省学前教育高质量发展监测指标研制与监测培训</w:t>
            </w:r>
          </w:p>
        </w:tc>
        <w:tc>
          <w:tcPr>
            <w:tcW w:w="785"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1</w:t>
            </w:r>
          </w:p>
        </w:tc>
        <w:tc>
          <w:tcPr>
            <w:tcW w:w="715"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项</w:t>
            </w:r>
          </w:p>
        </w:tc>
        <w:tc>
          <w:tcPr>
            <w:tcW w:w="1188"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55.4</w:t>
            </w:r>
          </w:p>
        </w:tc>
        <w:tc>
          <w:tcPr>
            <w:tcW w:w="2530" w:type="dxa"/>
            <w:vAlign w:val="center"/>
          </w:tcPr>
          <w:p>
            <w:pPr>
              <w:pStyle w:val="127"/>
              <w:jc w:val="center"/>
              <w:rPr>
                <w:rFonts w:hint="eastAsia" w:ascii="仿宋" w:hAnsi="仿宋" w:eastAsia="仿宋" w:cs="仿宋"/>
                <w:sz w:val="24"/>
                <w:szCs w:val="24"/>
              </w:rPr>
            </w:pPr>
            <w:r>
              <w:rPr>
                <w:rFonts w:hint="eastAsia" w:ascii="仿宋" w:hAnsi="仿宋" w:eastAsia="仿宋" w:cs="仿宋"/>
                <w:sz w:val="24"/>
                <w:szCs w:val="24"/>
              </w:rPr>
              <w:t>浙江省学前教育高质量发展监测指标研制与监测培训，详见第三部分采购需求。</w:t>
            </w:r>
          </w:p>
        </w:tc>
        <w:tc>
          <w:tcPr>
            <w:tcW w:w="468" w:type="dxa"/>
            <w:vAlign w:val="center"/>
          </w:tcPr>
          <w:p>
            <w:pPr>
              <w:pStyle w:val="127"/>
              <w:jc w:val="center"/>
              <w:rPr>
                <w:rFonts w:hint="eastAsia" w:ascii="仿宋" w:hAnsi="仿宋" w:eastAsia="仿宋" w:cs="仿宋"/>
                <w:sz w:val="24"/>
                <w:szCs w:val="24"/>
              </w:rPr>
            </w:pPr>
          </w:p>
        </w:tc>
      </w:tr>
    </w:tbl>
    <w:p>
      <w:pPr>
        <w:pStyle w:val="27"/>
        <w:rPr>
          <w:rFonts w:hint="eastAsia" w:ascii="仿宋" w:hAnsi="仿宋" w:eastAsia="仿宋" w:cs="仿宋"/>
          <w:b/>
          <w:sz w:val="24"/>
        </w:rPr>
      </w:pPr>
    </w:p>
    <w:p>
      <w:pPr>
        <w:pStyle w:val="27"/>
        <w:adjustRightInd w:val="0"/>
        <w:snapToGrid w:val="0"/>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四、合格的供应商应具备的资格要求：</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2.落实政府采购政策需满足的资格要求：无。</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3.本项目的特定资格要求：本项目单一来源采购拟邀请单位。</w:t>
      </w:r>
    </w:p>
    <w:p>
      <w:pPr>
        <w:pStyle w:val="21"/>
        <w:ind w:firstLine="463" w:firstLineChars="192"/>
        <w:rPr>
          <w:rFonts w:hint="eastAsia" w:ascii="仿宋" w:hAnsi="仿宋" w:eastAsia="仿宋" w:cs="仿宋"/>
          <w:szCs w:val="24"/>
          <w:u w:val="single"/>
        </w:rPr>
      </w:pPr>
      <w:r>
        <w:rPr>
          <w:rFonts w:hint="eastAsia" w:ascii="仿宋" w:hAnsi="仿宋" w:eastAsia="仿宋" w:cs="仿宋"/>
          <w:b/>
          <w:szCs w:val="24"/>
        </w:rPr>
        <w:t>五、</w:t>
      </w:r>
      <w:r>
        <w:rPr>
          <w:rFonts w:hint="eastAsia" w:ascii="仿宋" w:hAnsi="仿宋" w:eastAsia="仿宋" w:cs="仿宋"/>
          <w:b/>
          <w:bCs/>
          <w:szCs w:val="24"/>
          <w:lang w:val="zh-CN"/>
        </w:rPr>
        <w:t>领取采购文件时间</w:t>
      </w:r>
      <w:r>
        <w:rPr>
          <w:rFonts w:hint="eastAsia" w:ascii="仿宋" w:hAnsi="仿宋" w:eastAsia="仿宋" w:cs="仿宋"/>
          <w:b/>
          <w:bCs/>
          <w:szCs w:val="24"/>
        </w:rPr>
        <w:t>:</w:t>
      </w:r>
      <w:r>
        <w:rPr>
          <w:rFonts w:hint="eastAsia" w:ascii="仿宋" w:hAnsi="仿宋" w:eastAsia="仿宋" w:cs="仿宋"/>
          <w:szCs w:val="24"/>
        </w:rPr>
        <w:t>应标邀请时间至应标截止时间，每天上午00:00至12:00，下午12:00至23:59（北京时间）。</w:t>
      </w:r>
    </w:p>
    <w:p>
      <w:pPr>
        <w:pStyle w:val="27"/>
        <w:spacing w:line="360" w:lineRule="auto"/>
        <w:ind w:firstLine="472" w:firstLineChars="196"/>
        <w:rPr>
          <w:rFonts w:hint="eastAsia" w:ascii="仿宋" w:hAnsi="仿宋" w:eastAsia="仿宋" w:cs="仿宋"/>
          <w:sz w:val="24"/>
          <w:szCs w:val="24"/>
        </w:rPr>
      </w:pPr>
      <w:r>
        <w:rPr>
          <w:rFonts w:hint="eastAsia" w:ascii="仿宋" w:hAnsi="仿宋" w:eastAsia="仿宋" w:cs="仿宋"/>
          <w:b/>
          <w:sz w:val="24"/>
          <w:szCs w:val="24"/>
        </w:rPr>
        <w:t>六、</w:t>
      </w:r>
      <w:r>
        <w:rPr>
          <w:rFonts w:hint="eastAsia" w:ascii="仿宋" w:hAnsi="仿宋" w:eastAsia="仿宋" w:cs="仿宋"/>
          <w:b/>
          <w:bCs/>
          <w:sz w:val="24"/>
          <w:szCs w:val="24"/>
          <w:lang w:val="zh-CN"/>
        </w:rPr>
        <w:t>领取</w:t>
      </w:r>
      <w:r>
        <w:rPr>
          <w:rFonts w:hint="eastAsia" w:ascii="仿宋" w:hAnsi="仿宋" w:eastAsia="仿宋" w:cs="仿宋"/>
          <w:b/>
          <w:sz w:val="24"/>
          <w:szCs w:val="24"/>
        </w:rPr>
        <w:t>采购文件地点：</w:t>
      </w:r>
      <w:r>
        <w:rPr>
          <w:rFonts w:hint="eastAsia" w:ascii="仿宋" w:hAnsi="仿宋" w:eastAsia="仿宋" w:cs="仿宋"/>
          <w:snapToGrid w:val="0"/>
          <w:kern w:val="28"/>
          <w:sz w:val="24"/>
          <w:szCs w:val="24"/>
        </w:rPr>
        <w:t>浙江政府采购网（https://zfcg.czt.zj.gov.cn）。</w:t>
      </w:r>
    </w:p>
    <w:p>
      <w:pPr>
        <w:pStyle w:val="7"/>
        <w:spacing w:line="360" w:lineRule="auto"/>
        <w:ind w:firstLine="472" w:firstLineChars="196"/>
        <w:rPr>
          <w:rFonts w:hint="eastAsia" w:ascii="仿宋" w:hAnsi="仿宋" w:eastAsia="仿宋" w:cs="仿宋"/>
          <w:sz w:val="24"/>
          <w:szCs w:val="24"/>
        </w:rPr>
      </w:pPr>
      <w:r>
        <w:rPr>
          <w:rFonts w:hint="eastAsia" w:ascii="仿宋" w:hAnsi="仿宋" w:eastAsia="仿宋" w:cs="仿宋"/>
          <w:b/>
          <w:sz w:val="24"/>
          <w:szCs w:val="24"/>
        </w:rPr>
        <w:t>七、上传应标文件截止时间与地点：</w:t>
      </w:r>
      <w:r>
        <w:rPr>
          <w:rFonts w:hint="eastAsia" w:ascii="仿宋" w:hAnsi="仿宋" w:eastAsia="仿宋" w:cs="仿宋"/>
          <w:sz w:val="24"/>
          <w:szCs w:val="36"/>
        </w:rPr>
        <w:t>2024年03月</w:t>
      </w:r>
      <w:r>
        <w:rPr>
          <w:rFonts w:hint="eastAsia" w:ascii="仿宋" w:hAnsi="仿宋" w:eastAsia="仿宋" w:cs="仿宋"/>
          <w:sz w:val="24"/>
          <w:szCs w:val="36"/>
          <w:lang w:val="en-US" w:eastAsia="zh-CN"/>
        </w:rPr>
        <w:t>29</w:t>
      </w:r>
      <w:r>
        <w:rPr>
          <w:rFonts w:hint="eastAsia" w:ascii="仿宋" w:hAnsi="仿宋" w:eastAsia="仿宋" w:cs="仿宋"/>
          <w:sz w:val="24"/>
          <w:szCs w:val="36"/>
        </w:rPr>
        <w:t>日</w:t>
      </w:r>
      <w:r>
        <w:rPr>
          <w:rFonts w:hint="eastAsia" w:ascii="仿宋" w:hAnsi="仿宋" w:eastAsia="仿宋" w:cs="仿宋"/>
          <w:sz w:val="24"/>
          <w:szCs w:val="24"/>
          <w:lang w:val="en-US" w:eastAsia="zh-CN"/>
        </w:rPr>
        <w:t>13</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0:00。上传地点：政府采购云平台（www.zcygov.cn）。</w:t>
      </w:r>
    </w:p>
    <w:p>
      <w:pPr>
        <w:pStyle w:val="7"/>
        <w:spacing w:line="360" w:lineRule="auto"/>
        <w:ind w:firstLine="482" w:firstLineChars="200"/>
        <w:rPr>
          <w:rFonts w:hint="eastAsia" w:ascii="仿宋" w:hAnsi="仿宋" w:eastAsia="仿宋" w:cs="仿宋"/>
          <w:sz w:val="24"/>
          <w:szCs w:val="24"/>
        </w:rPr>
      </w:pPr>
      <w:r>
        <w:rPr>
          <w:rFonts w:hint="eastAsia" w:ascii="仿宋" w:hAnsi="仿宋" w:eastAsia="仿宋" w:cs="仿宋"/>
          <w:b/>
          <w:sz w:val="24"/>
          <w:szCs w:val="24"/>
        </w:rPr>
        <w:t>八、协商开始时间与地点：</w:t>
      </w:r>
      <w:r>
        <w:rPr>
          <w:rFonts w:hint="eastAsia" w:ascii="仿宋" w:hAnsi="仿宋" w:eastAsia="仿宋" w:cs="仿宋"/>
          <w:sz w:val="24"/>
          <w:szCs w:val="36"/>
        </w:rPr>
        <w:t>2024年03月</w:t>
      </w:r>
      <w:r>
        <w:rPr>
          <w:rFonts w:hint="eastAsia" w:ascii="仿宋" w:hAnsi="仿宋" w:eastAsia="仿宋" w:cs="仿宋"/>
          <w:sz w:val="24"/>
          <w:szCs w:val="36"/>
          <w:lang w:val="en-US" w:eastAsia="zh-CN"/>
        </w:rPr>
        <w:t>29</w:t>
      </w:r>
      <w:r>
        <w:rPr>
          <w:rFonts w:hint="eastAsia" w:ascii="仿宋" w:hAnsi="仿宋" w:eastAsia="仿宋" w:cs="仿宋"/>
          <w:sz w:val="24"/>
          <w:szCs w:val="36"/>
        </w:rPr>
        <w:t>日</w:t>
      </w:r>
      <w:r>
        <w:rPr>
          <w:rFonts w:hint="eastAsia" w:ascii="仿宋" w:hAnsi="仿宋" w:eastAsia="仿宋" w:cs="仿宋"/>
          <w:sz w:val="24"/>
          <w:szCs w:val="36"/>
          <w:lang w:val="en-US" w:eastAsia="zh-CN"/>
        </w:rPr>
        <w:t>13</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0:00，地点：线上（请登录政采云投标客户端开标大厅）。</w:t>
      </w:r>
    </w:p>
    <w:p>
      <w:pPr>
        <w:widowControl/>
        <w:spacing w:line="360" w:lineRule="auto"/>
        <w:ind w:firstLine="482" w:firstLineChars="200"/>
        <w:rPr>
          <w:rFonts w:hint="eastAsia" w:ascii="仿宋" w:hAnsi="仿宋" w:eastAsia="仿宋" w:cs="仿宋"/>
          <w:color w:val="000000"/>
          <w:kern w:val="0"/>
          <w:sz w:val="24"/>
        </w:rPr>
      </w:pPr>
      <w:r>
        <w:rPr>
          <w:rFonts w:hint="eastAsia" w:ascii="仿宋" w:hAnsi="仿宋" w:eastAsia="仿宋" w:cs="仿宋"/>
          <w:b/>
          <w:bCs/>
          <w:color w:val="000000"/>
          <w:kern w:val="0"/>
          <w:sz w:val="24"/>
        </w:rPr>
        <w:t>九、对本次采购提出询问、质疑、投诉，请按以下方式联系。</w:t>
      </w:r>
      <w:r>
        <w:rPr>
          <w:rFonts w:hint="eastAsia" w:ascii="仿宋" w:hAnsi="仿宋" w:eastAsia="仿宋" w:cs="仿宋"/>
          <w:color w:val="000000"/>
          <w:kern w:val="0"/>
          <w:sz w:val="24"/>
        </w:rPr>
        <w:t>　　　　　　　　　　　　</w:t>
      </w:r>
    </w:p>
    <w:p>
      <w:pPr>
        <w:widowControl/>
        <w:adjustRightInd w:val="0"/>
        <w:snapToGrid w:val="0"/>
        <w:spacing w:line="360" w:lineRule="auto"/>
        <w:ind w:firstLine="482" w:firstLineChars="200"/>
        <w:jc w:val="left"/>
        <w:rPr>
          <w:rFonts w:hint="eastAsia" w:ascii="仿宋" w:hAnsi="仿宋" w:eastAsia="仿宋" w:cs="仿宋"/>
          <w:b/>
          <w:bCs/>
          <w:color w:val="000000"/>
          <w:sz w:val="24"/>
        </w:rPr>
      </w:pPr>
      <w:r>
        <w:rPr>
          <w:rFonts w:hint="eastAsia" w:ascii="仿宋" w:hAnsi="仿宋" w:eastAsia="仿宋" w:cs="仿宋"/>
          <w:b/>
          <w:bCs/>
          <w:color w:val="000000"/>
          <w:sz w:val="24"/>
        </w:rPr>
        <w:t>1.采购人信息</w:t>
      </w:r>
    </w:p>
    <w:p>
      <w:pPr>
        <w:widowControl/>
        <w:adjustRightInd w:val="0"/>
        <w:snapToGrid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名称：浙江省教育考试院</w:t>
      </w:r>
    </w:p>
    <w:p>
      <w:pPr>
        <w:widowControl/>
        <w:adjustRightInd w:val="0"/>
        <w:snapToGrid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地址：浙江省杭州市西湖区蔷薇弄6号</w:t>
      </w:r>
    </w:p>
    <w:p>
      <w:pPr>
        <w:widowControl/>
        <w:adjustRightInd w:val="0"/>
        <w:snapToGrid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项目联系人（询问）： 洪松舟</w:t>
      </w:r>
    </w:p>
    <w:p>
      <w:pPr>
        <w:widowControl/>
        <w:adjustRightInd w:val="0"/>
        <w:snapToGrid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联系电话（询问）：0571-88907557</w:t>
      </w:r>
    </w:p>
    <w:p>
      <w:pPr>
        <w:widowControl/>
        <w:adjustRightInd w:val="0"/>
        <w:snapToGrid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质疑联系人：李老师</w:t>
      </w:r>
    </w:p>
    <w:p>
      <w:pPr>
        <w:widowControl/>
        <w:adjustRightInd w:val="0"/>
        <w:snapToGrid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质疑联系方式：0571-88907626</w:t>
      </w:r>
    </w:p>
    <w:p>
      <w:pPr>
        <w:widowControl/>
        <w:adjustRightInd w:val="0"/>
        <w:snapToGrid w:val="0"/>
        <w:spacing w:line="360" w:lineRule="auto"/>
        <w:ind w:firstLine="482" w:firstLineChars="200"/>
        <w:jc w:val="left"/>
        <w:rPr>
          <w:rFonts w:hint="eastAsia" w:ascii="仿宋" w:hAnsi="仿宋" w:eastAsia="仿宋" w:cs="仿宋"/>
          <w:b/>
          <w:bCs/>
          <w:sz w:val="24"/>
        </w:rPr>
      </w:pPr>
      <w:r>
        <w:rPr>
          <w:rFonts w:hint="eastAsia" w:ascii="仿宋" w:hAnsi="仿宋" w:eastAsia="仿宋" w:cs="仿宋"/>
          <w:b/>
          <w:bCs/>
          <w:sz w:val="24"/>
        </w:rPr>
        <w:t>2.采购代理机构信息</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名称：浙江国际招投标有限公司</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地址：杭州市文三路90号东部软件园1号楼3楼</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传真：0571-884755411</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项目联系人（询问）：阮锦洋</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项目联系方式（询问）：0571-81061823</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质疑联系人：赵娟</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质疑联系方式：0571-81061819</w:t>
      </w:r>
    </w:p>
    <w:p>
      <w:pPr>
        <w:widowControl/>
        <w:adjustRightInd w:val="0"/>
        <w:snapToGrid w:val="0"/>
        <w:spacing w:line="360" w:lineRule="auto"/>
        <w:ind w:firstLine="482" w:firstLineChars="200"/>
        <w:jc w:val="left"/>
        <w:rPr>
          <w:rFonts w:hint="eastAsia" w:ascii="仿宋" w:hAnsi="仿宋" w:eastAsia="仿宋" w:cs="仿宋"/>
          <w:sz w:val="24"/>
        </w:rPr>
      </w:pPr>
      <w:r>
        <w:rPr>
          <w:rFonts w:hint="eastAsia" w:ascii="仿宋" w:hAnsi="仿宋" w:eastAsia="仿宋" w:cs="仿宋"/>
          <w:b/>
          <w:bCs/>
          <w:sz w:val="24"/>
        </w:rPr>
        <w:t>3.该项目由采购人处理采购争议。质疑环节，采购人委托采购代理机构处理的，可由采购代理机构答复。对质疑答复不满意的，向采购人内部设置的采购监督机构反映</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政策咨询：何一平、冯华，0571-87058424、87055741</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预算金额未达100万元的采购项目，由采购人处理采购争议。</w:t>
      </w:r>
    </w:p>
    <w:p>
      <w:pPr>
        <w:widowControl/>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w:t>
      </w:r>
      <w:r>
        <w:rPr>
          <w:rFonts w:hint="eastAsia" w:ascii="仿宋" w:hAnsi="仿宋" w:eastAsia="仿宋" w:cs="仿宋"/>
          <w:sz w:val="24"/>
          <w:lang w:val="en-US" w:eastAsia="zh-CN"/>
        </w:rPr>
        <w:t>95763</w:t>
      </w:r>
      <w:r>
        <w:rPr>
          <w:rFonts w:hint="eastAsia" w:ascii="仿宋" w:hAnsi="仿宋" w:eastAsia="仿宋" w:cs="仿宋"/>
          <w:sz w:val="24"/>
        </w:rPr>
        <w:t>获取热线服务帮助。</w:t>
      </w:r>
      <w:r>
        <w:rPr>
          <w:rFonts w:hint="eastAsia" w:ascii="仿宋" w:hAnsi="仿宋" w:eastAsia="仿宋" w:cs="仿宋"/>
          <w:sz w:val="24"/>
        </w:rPr>
        <w:br w:type="textWrapping"/>
      </w:r>
      <w:r>
        <w:rPr>
          <w:rFonts w:hint="eastAsia" w:ascii="仿宋" w:hAnsi="仿宋" w:eastAsia="仿宋" w:cs="仿宋"/>
          <w:sz w:val="24"/>
        </w:rPr>
        <w:t xml:space="preserve">    CA问题联系电话（人工）：汇信CA 400-888-4636；天谷CA 400-087-8198。</w:t>
      </w:r>
    </w:p>
    <w:p>
      <w:pPr>
        <w:widowControl/>
        <w:wordWrap w:val="0"/>
        <w:adjustRightInd w:val="0"/>
        <w:snapToGrid w:val="0"/>
        <w:spacing w:line="360" w:lineRule="auto"/>
        <w:ind w:right="420" w:firstLine="482" w:firstLineChars="200"/>
        <w:jc w:val="center"/>
        <w:rPr>
          <w:rFonts w:hint="eastAsia" w:ascii="仿宋" w:hAnsi="仿宋" w:eastAsia="仿宋" w:cs="仿宋"/>
          <w:b/>
          <w:sz w:val="24"/>
        </w:rPr>
        <w:sectPr>
          <w:pgSz w:w="11906" w:h="16838"/>
          <w:pgMar w:top="1402" w:right="1588" w:bottom="1246" w:left="1588" w:header="851" w:footer="1064" w:gutter="0"/>
          <w:pgNumType w:start="1"/>
          <w:cols w:space="720" w:num="1"/>
          <w:titlePg/>
          <w:docGrid w:linePitch="312" w:charSpace="0"/>
        </w:sectPr>
      </w:pPr>
    </w:p>
    <w:p>
      <w:pPr>
        <w:adjustRightInd w:val="0"/>
        <w:snapToGrid w:val="0"/>
        <w:spacing w:before="156" w:beforeLines="50" w:after="156" w:afterLines="50" w:line="360" w:lineRule="auto"/>
        <w:jc w:val="center"/>
        <w:outlineLvl w:val="0"/>
        <w:rPr>
          <w:rFonts w:hint="eastAsia" w:ascii="仿宋" w:hAnsi="仿宋" w:eastAsia="仿宋" w:cs="仿宋"/>
          <w:b/>
          <w:sz w:val="30"/>
          <w:szCs w:val="30"/>
        </w:rPr>
      </w:pPr>
      <w:bookmarkStart w:id="6" w:name="_Toc454467866"/>
      <w:bookmarkStart w:id="7" w:name="_Toc428884220"/>
      <w:r>
        <w:rPr>
          <w:rFonts w:hint="eastAsia" w:ascii="仿宋" w:hAnsi="仿宋" w:eastAsia="仿宋" w:cs="仿宋"/>
          <w:b/>
          <w:sz w:val="30"/>
          <w:szCs w:val="30"/>
        </w:rPr>
        <w:br w:type="page"/>
      </w:r>
      <w:bookmarkStart w:id="8" w:name="_Toc25820"/>
      <w:r>
        <w:rPr>
          <w:rFonts w:hint="eastAsia" w:ascii="仿宋" w:hAnsi="仿宋" w:eastAsia="仿宋" w:cs="仿宋"/>
          <w:b/>
          <w:sz w:val="30"/>
          <w:szCs w:val="30"/>
        </w:rPr>
        <w:t>第二部分  编制和提交采购响应文件须知</w:t>
      </w:r>
      <w:bookmarkEnd w:id="6"/>
      <w:bookmarkEnd w:id="7"/>
      <w:bookmarkEnd w:id="8"/>
    </w:p>
    <w:p>
      <w:pPr>
        <w:numPr>
          <w:ilvl w:val="0"/>
          <w:numId w:val="4"/>
        </w:numPr>
        <w:adjustRightInd w:val="0"/>
        <w:snapToGrid w:val="0"/>
        <w:spacing w:before="156" w:beforeLines="50" w:after="156" w:afterLines="50" w:line="360" w:lineRule="auto"/>
        <w:jc w:val="center"/>
        <w:outlineLvl w:val="0"/>
        <w:rPr>
          <w:rFonts w:hint="eastAsia" w:ascii="仿宋" w:hAnsi="仿宋" w:eastAsia="仿宋" w:cs="仿宋"/>
          <w:b/>
          <w:sz w:val="30"/>
          <w:szCs w:val="30"/>
        </w:rPr>
      </w:pPr>
      <w:bookmarkStart w:id="9" w:name="_Toc12669"/>
      <w:bookmarkStart w:id="10" w:name="_Toc13635"/>
      <w:bookmarkStart w:id="11" w:name="_Toc24780"/>
      <w:bookmarkStart w:id="12" w:name="_Toc15074"/>
      <w:bookmarkStart w:id="13" w:name="_Toc17271"/>
      <w:bookmarkStart w:id="14" w:name="_Toc454467867"/>
      <w:bookmarkStart w:id="15" w:name="_Toc428884221"/>
      <w:r>
        <w:rPr>
          <w:rFonts w:hint="eastAsia" w:ascii="仿宋" w:hAnsi="仿宋" w:eastAsia="仿宋" w:cs="仿宋"/>
          <w:b/>
          <w:sz w:val="30"/>
          <w:szCs w:val="30"/>
        </w:rPr>
        <w:t>前 附 表</w:t>
      </w:r>
      <w:bookmarkEnd w:id="9"/>
      <w:bookmarkEnd w:id="10"/>
      <w:bookmarkEnd w:id="11"/>
      <w:bookmarkEnd w:id="12"/>
      <w:bookmarkEnd w:id="13"/>
      <w:bookmarkEnd w:id="14"/>
      <w:bookmarkEnd w:id="15"/>
    </w:p>
    <w:tbl>
      <w:tblPr>
        <w:tblStyle w:val="47"/>
        <w:tblW w:w="9360"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33"/>
        <w:gridCol w:w="1390"/>
        <w:gridCol w:w="7237"/>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629" w:hRule="atLeast"/>
          <w:jc w:val="center"/>
        </w:trPr>
        <w:tc>
          <w:tcPr>
            <w:tcW w:w="733" w:type="dxa"/>
            <w:vAlign w:val="center"/>
          </w:tcPr>
          <w:p>
            <w:pPr>
              <w:adjustRightInd w:val="0"/>
              <w:jc w:val="center"/>
              <w:rPr>
                <w:rFonts w:hint="eastAsia" w:ascii="仿宋" w:hAnsi="仿宋" w:eastAsia="仿宋" w:cs="仿宋"/>
                <w:b/>
                <w:bCs/>
                <w:sz w:val="24"/>
              </w:rPr>
            </w:pPr>
            <w:bookmarkStart w:id="16" w:name="_Toc240450076"/>
            <w:bookmarkStart w:id="17" w:name="_Toc251566649"/>
            <w:r>
              <w:rPr>
                <w:rFonts w:hint="eastAsia" w:ascii="仿宋" w:hAnsi="仿宋" w:eastAsia="仿宋" w:cs="仿宋"/>
                <w:b/>
                <w:bCs/>
                <w:sz w:val="24"/>
              </w:rPr>
              <w:t>序号</w:t>
            </w:r>
          </w:p>
        </w:tc>
        <w:tc>
          <w:tcPr>
            <w:tcW w:w="1390" w:type="dxa"/>
            <w:vAlign w:val="center"/>
          </w:tcPr>
          <w:p>
            <w:pPr>
              <w:adjustRightInd w:val="0"/>
              <w:rPr>
                <w:rFonts w:hint="eastAsia" w:ascii="仿宋" w:hAnsi="仿宋" w:eastAsia="仿宋" w:cs="仿宋"/>
                <w:b/>
                <w:bCs/>
                <w:sz w:val="24"/>
              </w:rPr>
            </w:pPr>
            <w:r>
              <w:rPr>
                <w:rFonts w:hint="eastAsia" w:ascii="仿宋" w:hAnsi="仿宋" w:eastAsia="仿宋" w:cs="仿宋"/>
                <w:b/>
                <w:bCs/>
                <w:sz w:val="24"/>
              </w:rPr>
              <w:t>项   目</w:t>
            </w:r>
          </w:p>
        </w:tc>
        <w:tc>
          <w:tcPr>
            <w:tcW w:w="7237" w:type="dxa"/>
            <w:vAlign w:val="center"/>
          </w:tcPr>
          <w:p>
            <w:pPr>
              <w:adjustRightInd w:val="0"/>
              <w:jc w:val="center"/>
              <w:rPr>
                <w:rFonts w:hint="eastAsia" w:ascii="仿宋" w:hAnsi="仿宋" w:eastAsia="仿宋" w:cs="仿宋"/>
                <w:b/>
                <w:bCs/>
                <w:sz w:val="24"/>
              </w:rPr>
            </w:pPr>
            <w:r>
              <w:rPr>
                <w:rFonts w:hint="eastAsia" w:ascii="仿宋" w:hAnsi="仿宋" w:eastAsia="仿宋" w:cs="仿宋"/>
                <w:b/>
                <w:bCs/>
                <w:sz w:val="24"/>
              </w:rPr>
              <w:t>内       容</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1</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项目名称</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浙江省学前教育高质量发展监测指标研制与监测培训</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2</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项目编号</w:t>
            </w:r>
          </w:p>
        </w:tc>
        <w:tc>
          <w:tcPr>
            <w:tcW w:w="7237" w:type="dxa"/>
            <w:vAlign w:val="center"/>
          </w:tcPr>
          <w:p>
            <w:pPr>
              <w:adjustRightInd w:val="0"/>
              <w:rPr>
                <w:rFonts w:hint="eastAsia" w:ascii="仿宋" w:hAnsi="仿宋" w:eastAsia="仿宋" w:cs="仿宋"/>
                <w:sz w:val="24"/>
                <w:lang w:eastAsia="zh-CN"/>
              </w:rPr>
            </w:pPr>
            <w:r>
              <w:rPr>
                <w:rFonts w:hint="eastAsia" w:ascii="仿宋" w:hAnsi="仿宋" w:eastAsia="仿宋" w:cs="仿宋"/>
                <w:b/>
                <w:sz w:val="24"/>
                <w:lang w:eastAsia="zh-CN"/>
              </w:rPr>
              <w:t>ZJ-2440644</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3</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采购方式</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单一来源采购</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4</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采购内容</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kern w:val="0"/>
                <w:sz w:val="24"/>
              </w:rPr>
              <w:t>详见第三部分内容</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5</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项目地点</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采购人指定地点。</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6</w:t>
            </w:r>
          </w:p>
        </w:tc>
        <w:tc>
          <w:tcPr>
            <w:tcW w:w="1390" w:type="dxa"/>
            <w:vAlign w:val="center"/>
          </w:tcPr>
          <w:p>
            <w:pPr>
              <w:adjustRightInd w:val="0"/>
              <w:jc w:val="center"/>
              <w:rPr>
                <w:rFonts w:hint="eastAsia" w:ascii="仿宋" w:hAnsi="仿宋" w:eastAsia="仿宋" w:cs="仿宋"/>
              </w:rPr>
            </w:pPr>
            <w:r>
              <w:rPr>
                <w:rFonts w:hint="eastAsia" w:ascii="仿宋" w:hAnsi="仿宋" w:eastAsia="仿宋" w:cs="仿宋"/>
                <w:kern w:val="0"/>
                <w:sz w:val="24"/>
                <w:highlight w:val="none"/>
              </w:rPr>
              <w:t>服务期</w:t>
            </w:r>
          </w:p>
        </w:tc>
        <w:tc>
          <w:tcPr>
            <w:tcW w:w="7237" w:type="dxa"/>
            <w:vAlign w:val="center"/>
          </w:tcPr>
          <w:p>
            <w:pPr>
              <w:snapToGrid w:val="0"/>
              <w:spacing w:line="360" w:lineRule="auto"/>
              <w:rPr>
                <w:rFonts w:hint="eastAsia" w:ascii="仿宋" w:hAnsi="仿宋" w:eastAsia="仿宋" w:cs="仿宋"/>
                <w:kern w:val="0"/>
                <w:sz w:val="24"/>
                <w:szCs w:val="21"/>
              </w:rPr>
            </w:pPr>
            <w:r>
              <w:rPr>
                <w:rFonts w:hint="eastAsia" w:ascii="仿宋" w:hAnsi="仿宋" w:eastAsia="仿宋" w:cs="仿宋"/>
                <w:kern w:val="0"/>
                <w:sz w:val="24"/>
                <w:szCs w:val="21"/>
              </w:rPr>
              <w:t>2024年3月-2024年12月</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7</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资金来源</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财政资金</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8</w:t>
            </w:r>
          </w:p>
        </w:tc>
        <w:tc>
          <w:tcPr>
            <w:tcW w:w="1390" w:type="dxa"/>
            <w:vAlign w:val="center"/>
          </w:tcPr>
          <w:p>
            <w:pPr>
              <w:adjustRightInd w:val="0"/>
              <w:jc w:val="center"/>
              <w:rPr>
                <w:rFonts w:hint="eastAsia" w:ascii="仿宋" w:hAnsi="仿宋" w:eastAsia="仿宋" w:cs="仿宋"/>
                <w:b/>
                <w:bCs/>
                <w:sz w:val="24"/>
              </w:rPr>
            </w:pPr>
            <w:r>
              <w:rPr>
                <w:rFonts w:hint="eastAsia" w:ascii="仿宋" w:hAnsi="仿宋" w:eastAsia="仿宋" w:cs="仿宋"/>
                <w:b/>
                <w:bCs/>
                <w:sz w:val="24"/>
              </w:rPr>
              <w:t>采购预算</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详见第一部分内容。最终报价超过预算的应标无效。</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9</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应标保证金</w:t>
            </w:r>
          </w:p>
        </w:tc>
        <w:tc>
          <w:tcPr>
            <w:tcW w:w="7237" w:type="dxa"/>
            <w:vAlign w:val="center"/>
          </w:tcPr>
          <w:p>
            <w:pPr>
              <w:rPr>
                <w:rFonts w:hint="eastAsia" w:ascii="仿宋" w:hAnsi="仿宋" w:eastAsia="仿宋" w:cs="仿宋"/>
                <w:sz w:val="24"/>
              </w:rPr>
            </w:pPr>
            <w:r>
              <w:rPr>
                <w:rFonts w:hint="eastAsia" w:ascii="仿宋" w:hAnsi="仿宋" w:eastAsia="仿宋" w:cs="仿宋"/>
                <w:sz w:val="24"/>
              </w:rPr>
              <w:t>无</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165"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10</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响应文件形式</w:t>
            </w:r>
          </w:p>
        </w:tc>
        <w:tc>
          <w:tcPr>
            <w:tcW w:w="7237" w:type="dxa"/>
            <w:vAlign w:val="center"/>
          </w:tcPr>
          <w:p>
            <w:pPr>
              <w:rPr>
                <w:rFonts w:hint="eastAsia" w:ascii="仿宋" w:hAnsi="仿宋" w:eastAsia="仿宋" w:cs="仿宋"/>
                <w:sz w:val="24"/>
              </w:rPr>
            </w:pPr>
            <w:r>
              <w:rPr>
                <w:rFonts w:hint="eastAsia" w:ascii="仿宋" w:hAnsi="仿宋" w:eastAsia="仿宋" w:cs="仿宋"/>
                <w:sz w:val="24"/>
              </w:rPr>
              <w:t>电子响应文件包括“电子加密响应文件”和“备份响应文件”，在响应文件编制完成后同时生成；</w:t>
            </w:r>
          </w:p>
          <w:p>
            <w:pPr>
              <w:rPr>
                <w:rFonts w:hint="eastAsia" w:ascii="仿宋" w:hAnsi="仿宋" w:eastAsia="仿宋" w:cs="仿宋"/>
                <w:sz w:val="24"/>
              </w:rPr>
            </w:pPr>
            <w:r>
              <w:rPr>
                <w:rFonts w:hint="eastAsia" w:ascii="仿宋" w:hAnsi="仿宋" w:eastAsia="仿宋" w:cs="仿宋"/>
                <w:sz w:val="24"/>
              </w:rPr>
              <w:t>（1）“电子加密响应文件”是指通过“政采云电子交易客户端”完成响应文件编制后生成并加密的数据电文形式的响应文件。</w:t>
            </w:r>
          </w:p>
          <w:p>
            <w:pPr>
              <w:rPr>
                <w:rFonts w:hint="eastAsia" w:ascii="仿宋" w:hAnsi="仿宋" w:eastAsia="仿宋" w:cs="仿宋"/>
                <w:sz w:val="24"/>
              </w:rPr>
            </w:pPr>
            <w:r>
              <w:rPr>
                <w:rFonts w:hint="eastAsia" w:ascii="仿宋" w:hAnsi="仿宋" w:eastAsia="仿宋" w:cs="仿宋"/>
                <w:sz w:val="24"/>
              </w:rPr>
              <w:t>（2）“备份响应文件”是指与“电子加密响应文件”同时生成的数据电文形式的电子文件（备份响应文件，用于供应商解密异常时应急使用），其他方式编制的备份响应文件视为无效备份响应文件。</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11</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kern w:val="0"/>
                <w:sz w:val="24"/>
              </w:rPr>
              <w:t>响应文件份数</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一份电子加密标书（后缀格式为.jmbs），一份备份响应文件（后缀格式为.bfbs）（如有）</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244"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12</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资格审查方式</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资格后审。</w:t>
            </w:r>
          </w:p>
          <w:p>
            <w:pPr>
              <w:adjustRightInd w:val="0"/>
              <w:rPr>
                <w:rFonts w:hint="eastAsia" w:ascii="仿宋" w:hAnsi="仿宋" w:eastAsia="仿宋" w:cs="仿宋"/>
                <w:sz w:val="24"/>
              </w:rPr>
            </w:pPr>
            <w:r>
              <w:rPr>
                <w:rFonts w:hint="eastAsia" w:ascii="仿宋" w:hAnsi="仿宋" w:eastAsia="仿宋" w:cs="仿宋"/>
                <w:sz w:val="24"/>
              </w:rPr>
              <w:t>资格后审是指在开标后由资格审查小组根据采购文件的规定对供应商进行的资格审查，资格后审不合格的供应商，由资格审查小组对其应标作无效标处理。</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733" w:type="dxa"/>
            <w:vMerge w:val="restart"/>
            <w:vAlign w:val="center"/>
          </w:tcPr>
          <w:p>
            <w:pPr>
              <w:adjustRightInd w:val="0"/>
              <w:jc w:val="center"/>
              <w:rPr>
                <w:rFonts w:hint="eastAsia" w:ascii="仿宋" w:hAnsi="仿宋" w:eastAsia="仿宋" w:cs="仿宋"/>
                <w:sz w:val="24"/>
              </w:rPr>
            </w:pPr>
            <w:r>
              <w:rPr>
                <w:rFonts w:hint="eastAsia" w:ascii="仿宋" w:hAnsi="仿宋" w:eastAsia="仿宋" w:cs="仿宋"/>
                <w:kern w:val="0"/>
                <w:sz w:val="24"/>
              </w:rPr>
              <w:t>13</w:t>
            </w:r>
          </w:p>
        </w:tc>
        <w:tc>
          <w:tcPr>
            <w:tcW w:w="1390" w:type="dxa"/>
            <w:vMerge w:val="restart"/>
            <w:vAlign w:val="center"/>
          </w:tcPr>
          <w:p>
            <w:pPr>
              <w:jc w:val="center"/>
              <w:rPr>
                <w:rFonts w:hint="eastAsia" w:ascii="仿宋" w:hAnsi="仿宋" w:eastAsia="仿宋" w:cs="仿宋"/>
                <w:sz w:val="24"/>
              </w:rPr>
            </w:pPr>
            <w:r>
              <w:rPr>
                <w:rFonts w:hint="eastAsia" w:ascii="仿宋" w:hAnsi="仿宋" w:eastAsia="仿宋" w:cs="仿宋"/>
                <w:sz w:val="24"/>
              </w:rPr>
              <w:t>响应文件的上传和递交</w:t>
            </w:r>
          </w:p>
        </w:tc>
        <w:tc>
          <w:tcPr>
            <w:tcW w:w="7237" w:type="dxa"/>
            <w:vAlign w:val="center"/>
          </w:tcPr>
          <w:p>
            <w:pPr>
              <w:snapToGrid w:val="0"/>
              <w:rPr>
                <w:rFonts w:hint="eastAsia" w:ascii="仿宋" w:hAnsi="仿宋" w:eastAsia="仿宋" w:cs="仿宋"/>
                <w:sz w:val="24"/>
              </w:rPr>
            </w:pPr>
            <w:r>
              <w:rPr>
                <w:rFonts w:hint="eastAsia" w:ascii="仿宋" w:hAnsi="仿宋" w:eastAsia="仿宋" w:cs="仿宋"/>
                <w:sz w:val="24"/>
              </w:rPr>
              <w:t>1.电子加密响应文件：响应文件制作完成并生成加密标书，在应标截止时间前，供应商需将加密的响应文件上传至政采云平台，到达开标时间后30分钟内，在线解密响应文件。</w:t>
            </w:r>
          </w:p>
          <w:p>
            <w:pPr>
              <w:snapToGrid w:val="0"/>
              <w:rPr>
                <w:rFonts w:hint="eastAsia" w:ascii="仿宋" w:hAnsi="仿宋" w:eastAsia="仿宋" w:cs="仿宋"/>
                <w:b/>
                <w:bCs/>
                <w:sz w:val="24"/>
              </w:rPr>
            </w:pPr>
            <w:r>
              <w:rPr>
                <w:rFonts w:hint="eastAsia" w:ascii="仿宋" w:hAnsi="仿宋" w:eastAsia="仿宋" w:cs="仿宋"/>
                <w:b/>
                <w:bCs/>
                <w:sz w:val="24"/>
              </w:rPr>
              <w:t>a.供应商应未能截止时间前成功上传电子加密响应文件的应标无效。</w:t>
            </w:r>
          </w:p>
          <w:p>
            <w:pPr>
              <w:snapToGrid w:val="0"/>
              <w:rPr>
                <w:rFonts w:hint="eastAsia" w:ascii="仿宋" w:hAnsi="仿宋" w:eastAsia="仿宋" w:cs="仿宋"/>
                <w:snapToGrid w:val="0"/>
                <w:sz w:val="24"/>
              </w:rPr>
            </w:pPr>
            <w:r>
              <w:rPr>
                <w:rFonts w:hint="eastAsia" w:ascii="仿宋" w:hAnsi="仿宋" w:eastAsia="仿宋" w:cs="仿宋"/>
                <w:sz w:val="24"/>
              </w:rPr>
              <w:t>b.供应商成功上传电子加密响应文件后，可自行打印响应文件接收回执。</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733" w:type="dxa"/>
            <w:vMerge w:val="continue"/>
            <w:vAlign w:val="center"/>
          </w:tcPr>
          <w:p>
            <w:pPr>
              <w:adjustRightInd w:val="0"/>
              <w:jc w:val="center"/>
              <w:rPr>
                <w:rFonts w:hint="eastAsia" w:ascii="仿宋" w:hAnsi="仿宋" w:eastAsia="仿宋" w:cs="仿宋"/>
                <w:kern w:val="0"/>
                <w:sz w:val="24"/>
              </w:rPr>
            </w:pPr>
          </w:p>
        </w:tc>
        <w:tc>
          <w:tcPr>
            <w:tcW w:w="1390" w:type="dxa"/>
            <w:vMerge w:val="continue"/>
            <w:vAlign w:val="center"/>
          </w:tcPr>
          <w:p>
            <w:pPr>
              <w:adjustRightInd w:val="0"/>
              <w:jc w:val="center"/>
              <w:rPr>
                <w:rFonts w:hint="eastAsia" w:ascii="仿宋" w:hAnsi="仿宋" w:eastAsia="仿宋" w:cs="仿宋"/>
                <w:sz w:val="24"/>
              </w:rPr>
            </w:pPr>
          </w:p>
        </w:tc>
        <w:tc>
          <w:tcPr>
            <w:tcW w:w="7237" w:type="dxa"/>
            <w:vAlign w:val="center"/>
          </w:tcPr>
          <w:p>
            <w:pPr>
              <w:snapToGrid w:val="0"/>
              <w:rPr>
                <w:rFonts w:hint="eastAsia" w:ascii="仿宋" w:hAnsi="仿宋" w:eastAsia="仿宋" w:cs="仿宋"/>
                <w:sz w:val="24"/>
              </w:rPr>
            </w:pPr>
            <w:r>
              <w:rPr>
                <w:rFonts w:hint="eastAsia" w:ascii="仿宋" w:hAnsi="仿宋" w:eastAsia="仿宋" w:cs="仿宋"/>
                <w:sz w:val="24"/>
              </w:rPr>
              <w:t>2.备份响应文件：响应截止时间前，供应商可以将备份响应文件通过快递形式递交至采购代理机构，以便电子加密响应文件解密异常时应急使用（邮寄地址：杭州市文三路90号东部软件园1号楼3楼319室  接收人：阮锦洋  电话：0571-81061823）。</w:t>
            </w:r>
          </w:p>
          <w:p>
            <w:pPr>
              <w:snapToGrid w:val="0"/>
              <w:rPr>
                <w:rFonts w:hint="eastAsia" w:ascii="仿宋" w:hAnsi="仿宋" w:eastAsia="仿宋" w:cs="仿宋"/>
                <w:sz w:val="24"/>
              </w:rPr>
            </w:pPr>
            <w:r>
              <w:rPr>
                <w:rFonts w:hint="eastAsia" w:ascii="仿宋" w:hAnsi="仿宋" w:eastAsia="仿宋" w:cs="仿宋"/>
                <w:sz w:val="24"/>
              </w:rPr>
              <w:t>a.备份响应文件递交要求：供应商须将备份响应文件以光盘或U盘形式放在密封袋中，密封后并在密封袋上注明项目名称、供应商单位名称并加盖公章。未密封包装或者逾期邮寄送达的“备份响应文件”将不予接收。</w:t>
            </w:r>
          </w:p>
          <w:p>
            <w:pPr>
              <w:snapToGrid w:val="0"/>
              <w:rPr>
                <w:rFonts w:hint="eastAsia" w:ascii="仿宋" w:hAnsi="仿宋" w:eastAsia="仿宋" w:cs="仿宋"/>
                <w:b/>
                <w:bCs/>
                <w:snapToGrid w:val="0"/>
                <w:sz w:val="24"/>
              </w:rPr>
            </w:pPr>
            <w:r>
              <w:rPr>
                <w:rFonts w:hint="eastAsia" w:ascii="仿宋" w:hAnsi="仿宋" w:eastAsia="仿宋" w:cs="仿宋"/>
                <w:b/>
                <w:bCs/>
                <w:sz w:val="24"/>
              </w:rPr>
              <w:t>供应商仅提交备份响应文件的，应标无效。</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733" w:type="dxa"/>
            <w:vAlign w:val="center"/>
          </w:tcPr>
          <w:p>
            <w:pPr>
              <w:adjustRightInd w:val="0"/>
              <w:jc w:val="center"/>
              <w:rPr>
                <w:rFonts w:hint="eastAsia" w:ascii="仿宋" w:hAnsi="仿宋" w:eastAsia="仿宋" w:cs="仿宋"/>
                <w:kern w:val="0"/>
                <w:sz w:val="24"/>
              </w:rPr>
            </w:pPr>
            <w:r>
              <w:rPr>
                <w:rFonts w:hint="eastAsia" w:ascii="仿宋" w:hAnsi="仿宋" w:eastAsia="仿宋" w:cs="仿宋"/>
                <w:kern w:val="0"/>
                <w:sz w:val="24"/>
              </w:rPr>
              <w:t>14</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应标有效期</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应标截止日后</w:t>
            </w:r>
            <w:r>
              <w:rPr>
                <w:rFonts w:hint="eastAsia" w:ascii="仿宋" w:hAnsi="仿宋" w:eastAsia="仿宋" w:cs="仿宋"/>
                <w:b/>
                <w:bCs/>
                <w:sz w:val="24"/>
              </w:rPr>
              <w:t>90天</w:t>
            </w:r>
            <w:r>
              <w:rPr>
                <w:rFonts w:hint="eastAsia" w:ascii="仿宋" w:hAnsi="仿宋" w:eastAsia="仿宋" w:cs="仿宋"/>
                <w:sz w:val="24"/>
              </w:rPr>
              <w:t>内有效，不足有效期的，其应标视为无效标。</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733" w:type="dxa"/>
            <w:vAlign w:val="center"/>
          </w:tcPr>
          <w:p>
            <w:pPr>
              <w:adjustRightInd w:val="0"/>
              <w:jc w:val="center"/>
              <w:rPr>
                <w:rFonts w:hint="eastAsia" w:ascii="仿宋" w:hAnsi="仿宋" w:eastAsia="仿宋" w:cs="仿宋"/>
                <w:kern w:val="0"/>
                <w:sz w:val="24"/>
              </w:rPr>
            </w:pPr>
            <w:r>
              <w:rPr>
                <w:rFonts w:hint="eastAsia" w:ascii="仿宋" w:hAnsi="仿宋" w:eastAsia="仿宋" w:cs="仿宋"/>
                <w:kern w:val="0"/>
                <w:sz w:val="24"/>
              </w:rPr>
              <w:t>15</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履约保证金</w:t>
            </w:r>
          </w:p>
        </w:tc>
        <w:tc>
          <w:tcPr>
            <w:tcW w:w="7237" w:type="dxa"/>
            <w:vAlign w:val="center"/>
          </w:tcPr>
          <w:p>
            <w:pPr>
              <w:adjustRightInd w:val="0"/>
              <w:rPr>
                <w:rFonts w:hint="eastAsia" w:ascii="仿宋" w:hAnsi="仿宋" w:eastAsia="仿宋" w:cs="仿宋"/>
                <w:sz w:val="24"/>
              </w:rPr>
            </w:pPr>
            <w:r>
              <w:rPr>
                <w:rFonts w:hint="eastAsia" w:ascii="仿宋" w:hAnsi="仿宋" w:eastAsia="仿宋" w:cs="仿宋"/>
                <w:sz w:val="24"/>
              </w:rPr>
              <w:t>无</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733" w:type="dxa"/>
            <w:vAlign w:val="center"/>
          </w:tcPr>
          <w:p>
            <w:pPr>
              <w:adjustRightInd w:val="0"/>
              <w:jc w:val="center"/>
              <w:rPr>
                <w:rFonts w:hint="eastAsia" w:ascii="仿宋" w:hAnsi="仿宋" w:eastAsia="仿宋" w:cs="仿宋"/>
                <w:kern w:val="0"/>
                <w:sz w:val="24"/>
              </w:rPr>
            </w:pPr>
            <w:r>
              <w:rPr>
                <w:rFonts w:hint="eastAsia" w:ascii="仿宋" w:hAnsi="仿宋" w:eastAsia="仿宋" w:cs="仿宋"/>
                <w:kern w:val="0"/>
                <w:sz w:val="24"/>
              </w:rPr>
              <w:t>16</w:t>
            </w:r>
          </w:p>
        </w:tc>
        <w:tc>
          <w:tcPr>
            <w:tcW w:w="1390" w:type="dxa"/>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snapToGrid w:val="0"/>
                <w:kern w:val="0"/>
                <w:sz w:val="24"/>
              </w:rPr>
              <w:t>成交公告发布媒体</w:t>
            </w:r>
          </w:p>
        </w:tc>
        <w:tc>
          <w:tcPr>
            <w:tcW w:w="7237" w:type="dxa"/>
            <w:vAlign w:val="center"/>
          </w:tcPr>
          <w:p>
            <w:pPr>
              <w:pStyle w:val="27"/>
              <w:adjustRightInd w:val="0"/>
              <w:snapToGrid w:val="0"/>
              <w:rPr>
                <w:rFonts w:hint="eastAsia" w:ascii="仿宋" w:hAnsi="仿宋" w:eastAsia="仿宋" w:cs="仿宋"/>
                <w:kern w:val="0"/>
                <w:sz w:val="24"/>
                <w:szCs w:val="24"/>
              </w:rPr>
            </w:pPr>
            <w:r>
              <w:rPr>
                <w:rFonts w:hint="eastAsia" w:ascii="仿宋" w:hAnsi="仿宋" w:eastAsia="仿宋" w:cs="仿宋"/>
                <w:snapToGrid w:val="0"/>
                <w:kern w:val="0"/>
                <w:sz w:val="24"/>
                <w:szCs w:val="24"/>
              </w:rPr>
              <w:t>浙江政府采购网（</w:t>
            </w:r>
            <w:r>
              <w:rPr>
                <w:rFonts w:hint="eastAsia" w:ascii="仿宋" w:hAnsi="仿宋" w:eastAsia="仿宋" w:cs="仿宋"/>
              </w:rPr>
              <w:fldChar w:fldCharType="begin"/>
            </w:r>
            <w:r>
              <w:rPr>
                <w:rFonts w:hint="eastAsia" w:ascii="仿宋" w:hAnsi="仿宋" w:eastAsia="仿宋" w:cs="仿宋"/>
              </w:rPr>
              <w:instrText xml:space="preserve"> HYPERLINK "http://www.zjzfcg.gov.cn/new/" </w:instrText>
            </w:r>
            <w:r>
              <w:rPr>
                <w:rFonts w:hint="eastAsia" w:ascii="仿宋" w:hAnsi="仿宋" w:eastAsia="仿宋" w:cs="仿宋"/>
              </w:rPr>
              <w:fldChar w:fldCharType="separate"/>
            </w:r>
            <w:r>
              <w:rPr>
                <w:rFonts w:hint="eastAsia" w:ascii="仿宋" w:hAnsi="仿宋" w:eastAsia="仿宋" w:cs="仿宋"/>
                <w:snapToGrid w:val="0"/>
                <w:kern w:val="0"/>
                <w:sz w:val="24"/>
                <w:szCs w:val="24"/>
              </w:rPr>
              <w:t>http://www.zjzfcg.gov.cn</w:t>
            </w:r>
            <w:r>
              <w:rPr>
                <w:rFonts w:hint="eastAsia" w:ascii="仿宋" w:hAnsi="仿宋" w:eastAsia="仿宋" w:cs="仿宋"/>
                <w:snapToGrid w:val="0"/>
                <w:kern w:val="0"/>
                <w:sz w:val="24"/>
                <w:szCs w:val="24"/>
              </w:rPr>
              <w:fldChar w:fldCharType="end"/>
            </w:r>
            <w:r>
              <w:rPr>
                <w:rFonts w:hint="eastAsia" w:ascii="仿宋" w:hAnsi="仿宋" w:eastAsia="仿宋" w:cs="仿宋"/>
                <w:snapToGrid w:val="0"/>
                <w:kern w:val="0"/>
                <w:sz w:val="24"/>
                <w:szCs w:val="24"/>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083" w:hRule="atLeast"/>
          <w:jc w:val="center"/>
        </w:trPr>
        <w:tc>
          <w:tcPr>
            <w:tcW w:w="733" w:type="dxa"/>
            <w:vAlign w:val="center"/>
          </w:tcPr>
          <w:p>
            <w:pPr>
              <w:adjustRightInd w:val="0"/>
              <w:jc w:val="center"/>
              <w:rPr>
                <w:rFonts w:hint="eastAsia" w:ascii="仿宋" w:hAnsi="仿宋" w:eastAsia="仿宋" w:cs="仿宋"/>
                <w:kern w:val="0"/>
                <w:sz w:val="24"/>
              </w:rPr>
            </w:pPr>
            <w:r>
              <w:rPr>
                <w:rFonts w:hint="eastAsia" w:ascii="仿宋" w:hAnsi="仿宋" w:eastAsia="仿宋" w:cs="仿宋"/>
                <w:sz w:val="24"/>
              </w:rPr>
              <w:t>17</w:t>
            </w:r>
          </w:p>
        </w:tc>
        <w:tc>
          <w:tcPr>
            <w:tcW w:w="1390" w:type="dxa"/>
            <w:vAlign w:val="center"/>
          </w:tcPr>
          <w:p>
            <w:pPr>
              <w:snapToGrid w:val="0"/>
              <w:jc w:val="center"/>
              <w:rPr>
                <w:rFonts w:hint="eastAsia" w:ascii="仿宋" w:hAnsi="仿宋" w:eastAsia="仿宋" w:cs="仿宋"/>
                <w:kern w:val="0"/>
                <w:sz w:val="24"/>
              </w:rPr>
            </w:pPr>
            <w:r>
              <w:rPr>
                <w:rFonts w:hint="eastAsia" w:ascii="仿宋" w:hAnsi="仿宋" w:eastAsia="仿宋" w:cs="仿宋"/>
                <w:sz w:val="24"/>
              </w:rPr>
              <w:t>质疑</w:t>
            </w:r>
          </w:p>
        </w:tc>
        <w:tc>
          <w:tcPr>
            <w:tcW w:w="7237" w:type="dxa"/>
            <w:vAlign w:val="center"/>
          </w:tcPr>
          <w:p>
            <w:pPr>
              <w:jc w:val="left"/>
              <w:rPr>
                <w:rFonts w:hint="eastAsia" w:ascii="仿宋" w:hAnsi="仿宋" w:eastAsia="仿宋" w:cs="仿宋"/>
                <w:bCs/>
                <w:sz w:val="24"/>
              </w:rPr>
            </w:pPr>
            <w:r>
              <w:rPr>
                <w:rFonts w:hint="eastAsia" w:ascii="仿宋" w:hAnsi="仿宋" w:eastAsia="仿宋" w:cs="仿宋"/>
                <w:bCs/>
                <w:sz w:val="24"/>
              </w:rPr>
              <w:t>根据《中华人民共和国政府采购法》第五十二条、《中华人民共和国政府采购法实施条例》第五十三条、《浙江省政府采购供应商质疑处理办法》的规定：</w:t>
            </w:r>
          </w:p>
          <w:p>
            <w:pPr>
              <w:jc w:val="left"/>
              <w:rPr>
                <w:rFonts w:hint="eastAsia" w:ascii="仿宋" w:hAnsi="仿宋" w:eastAsia="仿宋" w:cs="仿宋"/>
                <w:bCs/>
                <w:sz w:val="24"/>
              </w:rPr>
            </w:pPr>
            <w:r>
              <w:rPr>
                <w:rFonts w:hint="eastAsia" w:ascii="仿宋" w:hAnsi="仿宋" w:eastAsia="仿宋" w:cs="仿宋"/>
                <w:bCs/>
                <w:sz w:val="24"/>
              </w:rPr>
              <w:t>供应商如认为采购文件使自身的合法权益受到损害的，应于自收到采购文件之日起七个工作日内且应标截止时间之前以书面形式向采购机构提出质疑；</w:t>
            </w:r>
          </w:p>
          <w:p>
            <w:pPr>
              <w:snapToGrid w:val="0"/>
              <w:rPr>
                <w:rFonts w:hint="eastAsia" w:ascii="仿宋" w:hAnsi="仿宋" w:eastAsia="仿宋" w:cs="仿宋"/>
                <w:bCs/>
                <w:sz w:val="24"/>
              </w:rPr>
            </w:pPr>
            <w:r>
              <w:rPr>
                <w:rFonts w:hint="eastAsia" w:ascii="仿宋" w:hAnsi="仿宋" w:eastAsia="仿宋" w:cs="仿宋"/>
                <w:bCs/>
                <w:sz w:val="24"/>
              </w:rPr>
              <w:t>供应商如认为采购过程使自身的合法权益受到损害的，应于各采购程序环节结束之日起七个工作日内以书面形式向采购机构提出质疑；</w:t>
            </w:r>
          </w:p>
          <w:p>
            <w:pPr>
              <w:snapToGrid w:val="0"/>
              <w:rPr>
                <w:rFonts w:hint="eastAsia" w:ascii="仿宋" w:hAnsi="仿宋" w:eastAsia="仿宋" w:cs="仿宋"/>
                <w:kern w:val="0"/>
                <w:sz w:val="24"/>
              </w:rPr>
            </w:pPr>
            <w:r>
              <w:rPr>
                <w:rFonts w:hint="eastAsia" w:ascii="仿宋" w:hAnsi="仿宋" w:eastAsia="仿宋" w:cs="仿宋"/>
                <w:bCs/>
                <w:sz w:val="24"/>
              </w:rPr>
              <w:t>供应商如认为中标结果使自身的合法权益受到损害的，应于成交结果公告期限届满之日起七个工作日内以书面形式向采购机构提出质疑</w:t>
            </w:r>
            <w:r>
              <w:rPr>
                <w:rFonts w:hint="eastAsia" w:ascii="仿宋" w:hAnsi="仿宋" w:eastAsia="仿宋" w:cs="仿宋"/>
                <w:bCs/>
                <w:snapToGrid w:val="0"/>
                <w:kern w:val="0"/>
                <w:sz w:val="24"/>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934"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18</w:t>
            </w:r>
          </w:p>
        </w:tc>
        <w:tc>
          <w:tcPr>
            <w:tcW w:w="1390" w:type="dxa"/>
            <w:vAlign w:val="center"/>
          </w:tcPr>
          <w:p>
            <w:pPr>
              <w:snapToGrid w:val="0"/>
              <w:jc w:val="center"/>
              <w:rPr>
                <w:rFonts w:hint="eastAsia" w:ascii="仿宋" w:hAnsi="仿宋" w:eastAsia="仿宋" w:cs="仿宋"/>
                <w:sz w:val="24"/>
              </w:rPr>
            </w:pPr>
            <w:r>
              <w:rPr>
                <w:rFonts w:hint="eastAsia" w:ascii="仿宋" w:hAnsi="仿宋" w:eastAsia="仿宋" w:cs="仿宋"/>
                <w:sz w:val="24"/>
              </w:rPr>
              <w:t>投诉</w:t>
            </w:r>
          </w:p>
        </w:tc>
        <w:tc>
          <w:tcPr>
            <w:tcW w:w="7237" w:type="dxa"/>
            <w:vAlign w:val="center"/>
          </w:tcPr>
          <w:p>
            <w:pPr>
              <w:snapToGrid w:val="0"/>
              <w:rPr>
                <w:rFonts w:hint="eastAsia" w:ascii="仿宋" w:hAnsi="仿宋" w:eastAsia="仿宋" w:cs="仿宋"/>
                <w:b/>
                <w:sz w:val="24"/>
              </w:rPr>
            </w:pPr>
            <w:r>
              <w:rPr>
                <w:rFonts w:hint="eastAsia" w:ascii="仿宋" w:hAnsi="仿宋" w:eastAsia="仿宋" w:cs="仿宋"/>
                <w:snapToGrid w:val="0"/>
                <w:kern w:val="0"/>
                <w:sz w:val="24"/>
              </w:rPr>
              <w:t>质疑供应商对采购人、采购代理机构的答复不满意或者采购人、采购代理机构未在规定的时间内作出答复的，可以在答复期满后15个工作日内向采购人所属预算级次的本级财政部门投诉。</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99" w:hRule="atLeast"/>
          <w:jc w:val="center"/>
        </w:trPr>
        <w:tc>
          <w:tcPr>
            <w:tcW w:w="733" w:type="dxa"/>
            <w:vAlign w:val="center"/>
          </w:tcPr>
          <w:p>
            <w:pPr>
              <w:adjustRightInd w:val="0"/>
              <w:jc w:val="center"/>
              <w:rPr>
                <w:rFonts w:hint="eastAsia" w:ascii="仿宋" w:hAnsi="仿宋" w:eastAsia="仿宋" w:cs="仿宋"/>
                <w:sz w:val="24"/>
              </w:rPr>
            </w:pPr>
            <w:r>
              <w:rPr>
                <w:rFonts w:hint="eastAsia" w:ascii="仿宋" w:hAnsi="仿宋" w:eastAsia="仿宋" w:cs="仿宋"/>
                <w:sz w:val="24"/>
              </w:rPr>
              <w:t>19</w:t>
            </w:r>
          </w:p>
        </w:tc>
        <w:tc>
          <w:tcPr>
            <w:tcW w:w="1390" w:type="dxa"/>
            <w:vAlign w:val="center"/>
          </w:tcPr>
          <w:p>
            <w:pPr>
              <w:adjustRightInd w:val="0"/>
              <w:jc w:val="center"/>
              <w:rPr>
                <w:rFonts w:hint="eastAsia" w:ascii="仿宋" w:hAnsi="仿宋" w:eastAsia="仿宋" w:cs="仿宋"/>
                <w:sz w:val="24"/>
              </w:rPr>
            </w:pPr>
            <w:r>
              <w:rPr>
                <w:rFonts w:hint="eastAsia" w:ascii="仿宋" w:hAnsi="仿宋" w:eastAsia="仿宋" w:cs="仿宋"/>
                <w:b/>
                <w:sz w:val="24"/>
              </w:rPr>
              <w:t>采购代理服务费</w:t>
            </w:r>
          </w:p>
        </w:tc>
        <w:tc>
          <w:tcPr>
            <w:tcW w:w="7237" w:type="dxa"/>
            <w:vAlign w:val="center"/>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本项目的采购代理费由成交供应商支付。计费标准：</w:t>
            </w:r>
          </w:p>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1.中标服务费以成交金额为计费基准，计费标准按原《计价格［2002］1980号》及《发改办价格［2003］857号》规定的服务类收费标准的八折，不足2000元的按2000元计取。</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288"/>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47" w:type="dxa"/>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中标金额</w:t>
                  </w:r>
                </w:p>
              </w:tc>
              <w:tc>
                <w:tcPr>
                  <w:tcW w:w="1288" w:type="dxa"/>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标准费率</w:t>
                  </w:r>
                </w:p>
              </w:tc>
              <w:tc>
                <w:tcPr>
                  <w:tcW w:w="1925" w:type="dxa"/>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八折费率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47" w:type="dxa"/>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≤100万元</w:t>
                  </w:r>
                </w:p>
              </w:tc>
              <w:tc>
                <w:tcPr>
                  <w:tcW w:w="1288" w:type="dxa"/>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1.5%</w:t>
                  </w:r>
                </w:p>
              </w:tc>
              <w:tc>
                <w:tcPr>
                  <w:tcW w:w="1925" w:type="dxa"/>
                  <w:vAlign w:val="center"/>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47" w:type="dxa"/>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100-500</w:t>
                  </w:r>
                </w:p>
              </w:tc>
              <w:tc>
                <w:tcPr>
                  <w:tcW w:w="1288" w:type="dxa"/>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0.8%</w:t>
                  </w:r>
                </w:p>
              </w:tc>
              <w:tc>
                <w:tcPr>
                  <w:tcW w:w="1925" w:type="dxa"/>
                  <w:vAlign w:val="center"/>
                </w:tcPr>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0.64%</w:t>
                  </w:r>
                </w:p>
              </w:tc>
            </w:tr>
          </w:tbl>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中标服务费收费按照差额定率累进法计取。</w:t>
            </w:r>
          </w:p>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2.结算方式及时间为：成交结果公告发出后5个工作日内，成交供应商按成交结果公告上的服务费金额缴纳至如下账号：</w:t>
            </w:r>
          </w:p>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（1）收 款 人：浙江国际招投标有限公司</w:t>
            </w:r>
          </w:p>
          <w:p>
            <w:pPr>
              <w:adjustRightInd w:val="0"/>
              <w:snapToGrid w:val="0"/>
              <w:spacing w:line="312" w:lineRule="auto"/>
              <w:rPr>
                <w:rFonts w:hint="eastAsia" w:ascii="仿宋" w:hAnsi="仿宋" w:eastAsia="仿宋" w:cs="仿宋"/>
                <w:snapToGrid w:val="0"/>
                <w:kern w:val="0"/>
                <w:sz w:val="24"/>
              </w:rPr>
            </w:pPr>
            <w:r>
              <w:rPr>
                <w:rFonts w:hint="eastAsia" w:ascii="仿宋" w:hAnsi="仿宋" w:eastAsia="仿宋" w:cs="仿宋"/>
                <w:snapToGrid w:val="0"/>
                <w:kern w:val="0"/>
                <w:sz w:val="24"/>
              </w:rPr>
              <w:t>（2）开户银行：中国工商银行杭州武林支行</w:t>
            </w:r>
          </w:p>
          <w:p>
            <w:pPr>
              <w:pStyle w:val="27"/>
              <w:rPr>
                <w:rFonts w:hint="eastAsia" w:ascii="仿宋" w:hAnsi="仿宋" w:eastAsia="仿宋" w:cs="仿宋"/>
                <w:sz w:val="24"/>
                <w:szCs w:val="24"/>
              </w:rPr>
            </w:pPr>
            <w:r>
              <w:rPr>
                <w:rFonts w:hint="eastAsia" w:ascii="仿宋" w:hAnsi="仿宋" w:eastAsia="仿宋" w:cs="仿宋"/>
                <w:snapToGrid w:val="0"/>
                <w:kern w:val="0"/>
                <w:sz w:val="24"/>
                <w:szCs w:val="24"/>
              </w:rPr>
              <w:t>（3）账    号：1202 0212 0990 6782 015</w:t>
            </w:r>
          </w:p>
        </w:tc>
      </w:tr>
    </w:tbl>
    <w:p>
      <w:pPr>
        <w:adjustRightInd w:val="0"/>
        <w:snapToGrid w:val="0"/>
        <w:spacing w:before="156" w:beforeLines="50" w:after="156" w:afterLines="50" w:line="360" w:lineRule="auto"/>
        <w:jc w:val="center"/>
        <w:outlineLvl w:val="0"/>
        <w:rPr>
          <w:rFonts w:hint="eastAsia" w:ascii="仿宋" w:hAnsi="仿宋" w:eastAsia="仿宋" w:cs="仿宋"/>
          <w:b/>
          <w:sz w:val="30"/>
          <w:szCs w:val="30"/>
        </w:rPr>
      </w:pPr>
      <w:r>
        <w:rPr>
          <w:rFonts w:hint="eastAsia" w:ascii="仿宋" w:hAnsi="仿宋" w:eastAsia="仿宋" w:cs="仿宋"/>
          <w:szCs w:val="21"/>
        </w:rPr>
        <w:br w:type="page"/>
      </w:r>
      <w:bookmarkStart w:id="18" w:name="_Toc28511"/>
      <w:bookmarkStart w:id="19" w:name="_Toc1926"/>
      <w:bookmarkStart w:id="20" w:name="_Toc428884222"/>
      <w:bookmarkStart w:id="21" w:name="_Toc11468"/>
      <w:bookmarkStart w:id="22" w:name="_Toc5940"/>
      <w:bookmarkStart w:id="23" w:name="_Toc30031"/>
      <w:bookmarkStart w:id="24" w:name="_Toc454467868"/>
      <w:r>
        <w:rPr>
          <w:rFonts w:hint="eastAsia" w:ascii="仿宋" w:hAnsi="仿宋" w:eastAsia="仿宋" w:cs="仿宋"/>
          <w:b/>
          <w:sz w:val="30"/>
          <w:szCs w:val="30"/>
        </w:rPr>
        <w:t>（二）应标须知</w:t>
      </w:r>
      <w:bookmarkEnd w:id="16"/>
      <w:bookmarkEnd w:id="17"/>
      <w:bookmarkEnd w:id="18"/>
      <w:bookmarkEnd w:id="19"/>
      <w:bookmarkEnd w:id="20"/>
      <w:bookmarkEnd w:id="21"/>
      <w:bookmarkEnd w:id="22"/>
      <w:bookmarkEnd w:id="23"/>
      <w:bookmarkEnd w:id="24"/>
    </w:p>
    <w:p>
      <w:pPr>
        <w:pStyle w:val="6"/>
        <w:spacing w:before="156" w:beforeLines="50" w:after="156" w:afterLines="50"/>
        <w:rPr>
          <w:rFonts w:hint="eastAsia" w:ascii="仿宋" w:hAnsi="仿宋" w:eastAsia="仿宋" w:cs="仿宋"/>
          <w:sz w:val="24"/>
          <w:szCs w:val="24"/>
        </w:rPr>
      </w:pPr>
      <w:bookmarkStart w:id="25" w:name="_Toc251566650"/>
      <w:bookmarkStart w:id="26" w:name="_Toc454467869"/>
      <w:bookmarkStart w:id="27" w:name="_Toc240450077"/>
      <w:bookmarkStart w:id="28" w:name="_Toc18918"/>
      <w:bookmarkStart w:id="29" w:name="_Toc428884223"/>
      <w:r>
        <w:rPr>
          <w:rFonts w:hint="eastAsia" w:ascii="仿宋" w:hAnsi="仿宋" w:eastAsia="仿宋" w:cs="仿宋"/>
          <w:sz w:val="24"/>
          <w:szCs w:val="24"/>
        </w:rPr>
        <w:t>一、总则</w:t>
      </w:r>
      <w:bookmarkEnd w:id="25"/>
      <w:bookmarkEnd w:id="26"/>
      <w:bookmarkEnd w:id="27"/>
      <w:bookmarkEnd w:id="28"/>
      <w:bookmarkEnd w:id="29"/>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本次采购工作是按照《中华人民共和国政府采购法》、《中华人民共和国政府采购法实施条例》等相关法律法规组织和实施，并由政府采购管理部门指导和监督。</w:t>
      </w:r>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1．适用范围</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1.1 本采购文件仅适用于本次采购项目。</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1.2 本项目采购方式为单一来源采购。</w:t>
      </w:r>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2．定义</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2.1 “采购人”系指浙江省教育考试院。</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2.2 “采购代理机构”系指浙江国际招投标有限公司。</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2.3 “供应商”系指响应本次采购，参加本次协商的供应商。</w:t>
      </w:r>
    </w:p>
    <w:p>
      <w:pPr>
        <w:adjustRightInd w:val="0"/>
        <w:snapToGrid w:val="0"/>
        <w:spacing w:line="360" w:lineRule="auto"/>
        <w:ind w:firstLine="480" w:firstLineChars="200"/>
        <w:rPr>
          <w:rFonts w:hint="eastAsia" w:ascii="仿宋" w:hAnsi="仿宋" w:eastAsia="仿宋" w:cs="仿宋"/>
          <w:snapToGrid w:val="0"/>
          <w:kern w:val="0"/>
          <w:szCs w:val="21"/>
        </w:rPr>
      </w:pPr>
      <w:r>
        <w:rPr>
          <w:rFonts w:hint="eastAsia" w:ascii="仿宋" w:hAnsi="仿宋" w:eastAsia="仿宋" w:cs="仿宋"/>
          <w:snapToGrid w:val="0"/>
          <w:kern w:val="0"/>
          <w:sz w:val="24"/>
        </w:rPr>
        <w:t>2.4“服务”系指采购文件或合同规定供应商须承担的服务。</w:t>
      </w:r>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3．合格的供应商</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3.1接受邀请并经采购小组审查资格通过的供应商。</w:t>
      </w:r>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4．相关说明</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4.1 应标费用</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供应商应承担其参加本次政府采购活动所涉及的一切费用，不管评审结果如何，采购人对这些费用不负任何责任。</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4.2 供应商在评审过程中提供任何虚假材料或从事其他违法活动的,其应标无效，并报监管部门查处</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4.3 供应商应仔细阅读采购文件的所有内容，按照采购文件的要求提交响应文件。响应文件应对采购文件的要求作出实质性响应，并对所提供的全部资料的真实性承担法律责任。</w:t>
      </w:r>
    </w:p>
    <w:p>
      <w:pPr>
        <w:pStyle w:val="6"/>
        <w:spacing w:before="156" w:beforeLines="50" w:after="156" w:afterLines="50"/>
        <w:rPr>
          <w:rFonts w:hint="eastAsia" w:ascii="仿宋" w:hAnsi="仿宋" w:eastAsia="仿宋" w:cs="仿宋"/>
          <w:sz w:val="24"/>
          <w:szCs w:val="24"/>
        </w:rPr>
      </w:pPr>
      <w:bookmarkStart w:id="30" w:name="_Toc251566651"/>
      <w:bookmarkStart w:id="31" w:name="_Toc240450078"/>
      <w:bookmarkStart w:id="32" w:name="_Toc428884224"/>
      <w:bookmarkStart w:id="33" w:name="_Toc3217"/>
      <w:bookmarkStart w:id="34" w:name="_Toc454467870"/>
      <w:r>
        <w:rPr>
          <w:rFonts w:hint="eastAsia" w:ascii="仿宋" w:hAnsi="仿宋" w:eastAsia="仿宋" w:cs="仿宋"/>
          <w:sz w:val="24"/>
          <w:szCs w:val="24"/>
        </w:rPr>
        <w:t>二、采购文件</w:t>
      </w:r>
      <w:bookmarkEnd w:id="30"/>
      <w:bookmarkEnd w:id="31"/>
      <w:bookmarkEnd w:id="32"/>
      <w:bookmarkEnd w:id="33"/>
      <w:bookmarkEnd w:id="34"/>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5．采购文件构成</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5.1 本采购文件包括目录所示内容及所有按本须知第6、7条发出的补充资料。</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5.2 除上述所列内容外，采购人和采购代理机构的任何工作人员对供应商所作的任何口头解释、介绍、答复，只能供供应商参考，对采购人、采购代理机构和供应商无任何约束力。</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5.3 采购文件是采购过程进行的有效依据，也是成交后签订合同的依据，对双方均具有约束力，凡不遵守采购文件规定或对采购文件的实质性内容不响应的，将可能被拒绝或以无效标处理。</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5.4 本采购文件由采购人或采购代理机构依据相关法律、法规、规章、省市规定及采购文件进行解释。</w:t>
      </w:r>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6．采购文件的澄清</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6.1供应商若有问题需要澄清，应于应标截止时间三个工作日前，以书面形式向采购代理机构提出，采购代理机构与采购人认为有必要回答的问题，将以书面解答形式通知供应商。</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6.2 不论采购代理机构向供应商发送的资料文件，还是供应商提出的问题，均采用书面形式，任何口头提问及答复一律无效。</w:t>
      </w:r>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7．采购文件的修改</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7.1从采购文件发出至应标截止日期，采购代理机构可能会以补充通知的方式修改采购文件。补充通知作为采购文件的组成部分，以书面形式发给采购文件的收受人。</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7.2 若有必要，采购代理机构将酌情延长递交响应文件的截止日期。</w:t>
      </w:r>
    </w:p>
    <w:p>
      <w:pPr>
        <w:pStyle w:val="6"/>
        <w:spacing w:before="156" w:beforeLines="50" w:after="156" w:afterLines="50"/>
        <w:rPr>
          <w:rFonts w:hint="eastAsia" w:ascii="仿宋" w:hAnsi="仿宋" w:eastAsia="仿宋" w:cs="仿宋"/>
          <w:sz w:val="24"/>
          <w:szCs w:val="24"/>
        </w:rPr>
      </w:pPr>
      <w:bookmarkStart w:id="35" w:name="_Toc251566652"/>
      <w:bookmarkStart w:id="36" w:name="_Toc24289"/>
      <w:bookmarkStart w:id="37" w:name="_Toc240450079"/>
      <w:bookmarkStart w:id="38" w:name="_Toc428884225"/>
      <w:bookmarkStart w:id="39" w:name="_Toc454467871"/>
      <w:r>
        <w:rPr>
          <w:rFonts w:hint="eastAsia" w:ascii="仿宋" w:hAnsi="仿宋" w:eastAsia="仿宋" w:cs="仿宋"/>
          <w:sz w:val="24"/>
          <w:szCs w:val="24"/>
        </w:rPr>
        <w:t>三、响应文件的编制</w:t>
      </w:r>
      <w:bookmarkEnd w:id="35"/>
      <w:bookmarkEnd w:id="36"/>
      <w:bookmarkEnd w:id="37"/>
      <w:bookmarkEnd w:id="38"/>
      <w:bookmarkEnd w:id="39"/>
    </w:p>
    <w:p>
      <w:pPr>
        <w:adjustRightInd w:val="0"/>
        <w:snapToGrid w:val="0"/>
        <w:spacing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供应商应认真阅读采购文件中所有的事项、格式、条款和技术要求等。如果供应商没有按照采购文件要求和规定编制响应文件及提交全部资料，或者没有对采购文件中各方面作出实质性响应，其风险应由供应商承担。</w:t>
      </w:r>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8．响应文件的语言及计量单位</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8.1响应文件及供应商与采购有关的来往通知、函件和文件均应使用中文。</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8.2 除采购文件另有规定外，响应文件所使用的计量单位，均须采用中华人民共和国法定计量单位，否则视同未响应。</w:t>
      </w:r>
    </w:p>
    <w:p>
      <w:pPr>
        <w:adjustRightInd w:val="0"/>
        <w:snapToGrid w:val="0"/>
        <w:spacing w:before="156" w:beforeLines="50" w:line="360" w:lineRule="auto"/>
        <w:ind w:firstLine="482" w:firstLineChars="200"/>
        <w:rPr>
          <w:rFonts w:hint="eastAsia" w:ascii="仿宋" w:hAnsi="仿宋" w:eastAsia="仿宋" w:cs="仿宋"/>
          <w:b/>
          <w:snapToGrid w:val="0"/>
          <w:kern w:val="0"/>
          <w:sz w:val="24"/>
        </w:rPr>
      </w:pPr>
      <w:r>
        <w:rPr>
          <w:rFonts w:hint="eastAsia" w:ascii="仿宋" w:hAnsi="仿宋" w:eastAsia="仿宋" w:cs="仿宋"/>
          <w:b/>
          <w:snapToGrid w:val="0"/>
          <w:kern w:val="0"/>
          <w:sz w:val="24"/>
        </w:rPr>
        <w:t>9．应标文件构成</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9.1 商务技术部分内容应包括以下内容：</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（1）应标响应函；</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0"/>
          <w:sz w:val="24"/>
        </w:rPr>
        <w:t>（2）法定代表人授权委托书，法定代表人及授权委托人的身份证(复印件)；</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（3）同类项目情况（须体现合同价格）</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（4）技术偏离表。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（5）技术响应表。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（6）服务方案。</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（7）拟派项目服务团队情况</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z w:val="24"/>
        </w:rPr>
        <w:t>（8）供应商认为需要提供的其它文件及资料。</w:t>
      </w:r>
    </w:p>
    <w:p>
      <w:pPr>
        <w:pStyle w:val="21"/>
        <w:rPr>
          <w:rFonts w:hint="eastAsia" w:ascii="仿宋" w:hAnsi="仿宋" w:eastAsia="仿宋" w:cs="仿宋"/>
          <w:szCs w:val="24"/>
        </w:rPr>
      </w:pPr>
      <w:r>
        <w:rPr>
          <w:rFonts w:hint="eastAsia" w:ascii="仿宋" w:hAnsi="仿宋" w:eastAsia="仿宋" w:cs="仿宋"/>
          <w:snapToGrid w:val="0"/>
          <w:kern w:val="0"/>
          <w:szCs w:val="24"/>
        </w:rPr>
        <w:t>9.2 资格文件</w:t>
      </w:r>
    </w:p>
    <w:p>
      <w:pPr>
        <w:tabs>
          <w:tab w:val="left" w:pos="840"/>
        </w:tabs>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①符合参加政府采购活动应当具备的一般条件的承诺函。（参考详见第五部分）</w:t>
      </w:r>
    </w:p>
    <w:p>
      <w:pPr>
        <w:tabs>
          <w:tab w:val="left" w:pos="840"/>
        </w:tabs>
        <w:adjustRightInd w:val="0"/>
        <w:snapToGrid w:val="0"/>
        <w:spacing w:line="360" w:lineRule="auto"/>
        <w:ind w:firstLine="480" w:firstLineChars="200"/>
        <w:jc w:val="left"/>
        <w:rPr>
          <w:rFonts w:hint="eastAsia" w:ascii="仿宋" w:hAnsi="仿宋" w:eastAsia="仿宋" w:cs="仿宋"/>
          <w:b/>
          <w:bCs/>
          <w:snapToGrid w:val="0"/>
          <w:kern w:val="0"/>
          <w:sz w:val="24"/>
        </w:rPr>
      </w:pPr>
      <w:r>
        <w:rPr>
          <w:rFonts w:hint="eastAsia" w:ascii="仿宋" w:hAnsi="仿宋" w:eastAsia="仿宋" w:cs="仿宋"/>
          <w:snapToGrid w:val="0"/>
          <w:kern w:val="0"/>
          <w:sz w:val="24"/>
        </w:rPr>
        <w:t>②落实政府采购政策需满足的资格要求；无</w:t>
      </w:r>
      <w:r>
        <w:rPr>
          <w:rFonts w:hint="eastAsia" w:ascii="仿宋" w:hAnsi="仿宋" w:eastAsia="仿宋" w:cs="仿宋"/>
          <w:b/>
          <w:bCs/>
          <w:snapToGrid w:val="0"/>
          <w:kern w:val="0"/>
          <w:sz w:val="24"/>
        </w:rPr>
        <w:t>。</w:t>
      </w:r>
    </w:p>
    <w:p>
      <w:pPr>
        <w:pStyle w:val="2"/>
        <w:ind w:firstLine="480" w:firstLineChars="200"/>
        <w:rPr>
          <w:rFonts w:hint="eastAsia" w:ascii="仿宋" w:hAnsi="仿宋" w:eastAsia="仿宋" w:cs="仿宋"/>
        </w:rPr>
      </w:pPr>
      <w:r>
        <w:rPr>
          <w:rFonts w:hint="eastAsia" w:ascii="仿宋" w:hAnsi="仿宋" w:eastAsia="仿宋" w:cs="仿宋"/>
          <w:snapToGrid w:val="0"/>
          <w:kern w:val="0"/>
          <w:sz w:val="24"/>
        </w:rPr>
        <w:t>③符合特定资格条件的有关证明材料：无</w:t>
      </w:r>
      <w:r>
        <w:rPr>
          <w:rFonts w:hint="eastAsia" w:ascii="仿宋" w:hAnsi="仿宋" w:eastAsia="仿宋" w:cs="仿宋"/>
          <w:b/>
          <w:bCs/>
          <w:snapToGrid w:val="0"/>
          <w:kern w:val="0"/>
          <w:sz w:val="24"/>
        </w:rPr>
        <w:t>。</w:t>
      </w:r>
    </w:p>
    <w:p>
      <w:pPr>
        <w:pStyle w:val="21"/>
        <w:snapToGrid w:val="0"/>
        <w:ind w:firstLine="482" w:firstLineChars="200"/>
        <w:rPr>
          <w:rFonts w:hint="eastAsia" w:ascii="仿宋" w:hAnsi="仿宋" w:eastAsia="仿宋" w:cs="仿宋"/>
          <w:b/>
          <w:bCs/>
          <w:snapToGrid w:val="0"/>
          <w:kern w:val="0"/>
          <w:szCs w:val="24"/>
        </w:rPr>
      </w:pPr>
      <w:r>
        <w:rPr>
          <w:rFonts w:hint="eastAsia" w:ascii="仿宋" w:hAnsi="仿宋" w:eastAsia="仿宋" w:cs="仿宋"/>
          <w:b/>
          <w:bCs/>
          <w:snapToGrid w:val="0"/>
          <w:kern w:val="0"/>
          <w:szCs w:val="24"/>
        </w:rPr>
        <w:t>9.3 报价文件</w:t>
      </w:r>
    </w:p>
    <w:p>
      <w:pPr>
        <w:pStyle w:val="46"/>
        <w:snapToGrid w:val="0"/>
        <w:ind w:firstLine="480"/>
        <w:rPr>
          <w:rFonts w:hint="eastAsia" w:ascii="仿宋" w:hAnsi="仿宋" w:eastAsia="仿宋" w:cs="仿宋"/>
          <w:spacing w:val="-6"/>
          <w:szCs w:val="24"/>
        </w:rPr>
      </w:pPr>
      <w:r>
        <w:rPr>
          <w:rFonts w:hint="eastAsia" w:ascii="仿宋" w:hAnsi="仿宋" w:eastAsia="仿宋" w:cs="仿宋"/>
          <w:szCs w:val="24"/>
        </w:rPr>
        <w:t>（1）应标价格一览表：</w:t>
      </w:r>
      <w:r>
        <w:rPr>
          <w:rFonts w:hint="eastAsia" w:ascii="仿宋" w:hAnsi="仿宋" w:eastAsia="仿宋" w:cs="仿宋"/>
          <w:spacing w:val="-6"/>
          <w:szCs w:val="24"/>
        </w:rPr>
        <w:t>分项报价内容应详细明确，能够说明采购项目的成本。</w:t>
      </w:r>
    </w:p>
    <w:p>
      <w:pPr>
        <w:pStyle w:val="46"/>
        <w:ind w:firstLine="480"/>
        <w:rPr>
          <w:rFonts w:hint="eastAsia" w:ascii="仿宋" w:hAnsi="仿宋" w:eastAsia="仿宋" w:cs="仿宋"/>
          <w:snapToGrid w:val="0"/>
          <w:kern w:val="0"/>
        </w:rPr>
      </w:pPr>
      <w:r>
        <w:rPr>
          <w:rFonts w:hint="eastAsia" w:ascii="仿宋" w:hAnsi="仿宋" w:eastAsia="仿宋" w:cs="仿宋"/>
          <w:szCs w:val="24"/>
        </w:rPr>
        <w:t>（2）中标服务费支付承诺书。</w:t>
      </w:r>
    </w:p>
    <w:p>
      <w:pPr>
        <w:pStyle w:val="21"/>
        <w:snapToGrid w:val="0"/>
        <w:ind w:firstLine="482" w:firstLineChars="200"/>
        <w:rPr>
          <w:rFonts w:hint="eastAsia" w:ascii="仿宋" w:hAnsi="仿宋" w:eastAsia="仿宋" w:cs="仿宋"/>
          <w:b/>
          <w:bCs/>
          <w:snapToGrid w:val="0"/>
          <w:kern w:val="0"/>
          <w:szCs w:val="24"/>
        </w:rPr>
      </w:pPr>
      <w:r>
        <w:rPr>
          <w:rFonts w:hint="eastAsia" w:ascii="仿宋" w:hAnsi="仿宋" w:eastAsia="仿宋" w:cs="仿宋"/>
          <w:b/>
          <w:bCs/>
          <w:snapToGrid w:val="0"/>
          <w:kern w:val="0"/>
          <w:szCs w:val="24"/>
        </w:rPr>
        <w:t>10．报价</w:t>
      </w:r>
    </w:p>
    <w:p>
      <w:pPr>
        <w:adjustRightInd w:val="0"/>
        <w:snapToGrid w:val="0"/>
        <w:spacing w:line="360" w:lineRule="auto"/>
        <w:ind w:firstLine="482" w:firstLineChars="200"/>
        <w:jc w:val="left"/>
        <w:rPr>
          <w:rFonts w:hint="eastAsia" w:ascii="仿宋" w:hAnsi="仿宋" w:eastAsia="仿宋" w:cs="仿宋"/>
          <w:b/>
          <w:snapToGrid w:val="0"/>
          <w:kern w:val="0"/>
          <w:sz w:val="24"/>
        </w:rPr>
      </w:pPr>
      <w:r>
        <w:rPr>
          <w:rFonts w:hint="eastAsia" w:ascii="仿宋" w:hAnsi="仿宋" w:eastAsia="仿宋" w:cs="仿宋"/>
          <w:b/>
          <w:snapToGrid w:val="0"/>
          <w:kern w:val="0"/>
          <w:sz w:val="24"/>
        </w:rPr>
        <w:t>10.1本次报价方式为总价包干（含税价），供应商报价应包含完成本项目整个服务期所需的一切人工费、售后服务、培训、住宿费、餐旅费、工具、设备、保险、交通、利润、税金（包含须由供应商承担的各种税费）等其它需供应商承担的费用及潜在可能涉及的一切费用。供应商应认真计算可能发生的各相关费用并计入报价内，不得出现选择性的报价。</w:t>
      </w:r>
    </w:p>
    <w:p>
      <w:pPr>
        <w:adjustRightInd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10.2供应商报价时可能涉及的因素：</w:t>
      </w:r>
    </w:p>
    <w:p>
      <w:pPr>
        <w:adjustRightInd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（1）采购代理服务费由成交供应商承担。</w:t>
      </w:r>
    </w:p>
    <w:p>
      <w:pPr>
        <w:pStyle w:val="21"/>
        <w:snapToGrid w:val="0"/>
        <w:spacing w:before="156" w:beforeLines="50"/>
        <w:ind w:firstLine="482" w:firstLineChars="200"/>
        <w:rPr>
          <w:rFonts w:hint="eastAsia" w:ascii="仿宋" w:hAnsi="仿宋" w:eastAsia="仿宋" w:cs="仿宋"/>
          <w:b/>
          <w:bCs/>
          <w:snapToGrid w:val="0"/>
          <w:kern w:val="0"/>
          <w:szCs w:val="24"/>
        </w:rPr>
      </w:pPr>
      <w:r>
        <w:rPr>
          <w:rFonts w:hint="eastAsia" w:ascii="仿宋" w:hAnsi="仿宋" w:eastAsia="仿宋" w:cs="仿宋"/>
          <w:b/>
          <w:bCs/>
          <w:snapToGrid w:val="0"/>
          <w:kern w:val="0"/>
          <w:szCs w:val="24"/>
        </w:rPr>
        <w:t>11．报价货币</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供应商用人民币报价。</w:t>
      </w:r>
    </w:p>
    <w:p>
      <w:pPr>
        <w:pStyle w:val="21"/>
        <w:numPr>
          <w:ilvl w:val="0"/>
          <w:numId w:val="5"/>
        </w:numPr>
        <w:snapToGrid w:val="0"/>
        <w:spacing w:before="156" w:beforeLines="50"/>
        <w:ind w:firstLine="482" w:firstLineChars="200"/>
        <w:rPr>
          <w:rFonts w:hint="eastAsia" w:ascii="仿宋" w:hAnsi="仿宋" w:eastAsia="仿宋" w:cs="仿宋"/>
          <w:b/>
          <w:bCs/>
          <w:snapToGrid w:val="0"/>
          <w:kern w:val="0"/>
          <w:szCs w:val="24"/>
        </w:rPr>
      </w:pPr>
      <w:r>
        <w:rPr>
          <w:rFonts w:hint="eastAsia" w:ascii="仿宋" w:hAnsi="仿宋" w:eastAsia="仿宋" w:cs="仿宋"/>
          <w:b/>
          <w:bCs/>
          <w:snapToGrid w:val="0"/>
          <w:kern w:val="0"/>
          <w:szCs w:val="24"/>
        </w:rPr>
        <w:t>应标保证金</w:t>
      </w:r>
    </w:p>
    <w:p>
      <w:pPr>
        <w:pStyle w:val="21"/>
        <w:snapToGrid w:val="0"/>
        <w:spacing w:before="156" w:beforeLines="50"/>
        <w:ind w:firstLine="480" w:firstLineChars="200"/>
        <w:rPr>
          <w:rFonts w:hint="eastAsia" w:ascii="仿宋" w:hAnsi="仿宋" w:eastAsia="仿宋" w:cs="仿宋"/>
          <w:szCs w:val="24"/>
        </w:rPr>
      </w:pPr>
      <w:r>
        <w:rPr>
          <w:rFonts w:hint="eastAsia" w:ascii="仿宋" w:hAnsi="仿宋" w:eastAsia="仿宋" w:cs="仿宋"/>
          <w:szCs w:val="24"/>
        </w:rPr>
        <w:t>无。</w:t>
      </w:r>
    </w:p>
    <w:p>
      <w:pPr>
        <w:pStyle w:val="21"/>
        <w:snapToGrid w:val="0"/>
        <w:spacing w:before="156" w:beforeLines="50"/>
        <w:ind w:firstLine="482" w:firstLineChars="200"/>
        <w:rPr>
          <w:rFonts w:hint="eastAsia" w:ascii="仿宋" w:hAnsi="仿宋" w:eastAsia="仿宋" w:cs="仿宋"/>
          <w:b/>
          <w:bCs/>
          <w:snapToGrid w:val="0"/>
          <w:kern w:val="0"/>
          <w:szCs w:val="24"/>
        </w:rPr>
      </w:pPr>
      <w:r>
        <w:rPr>
          <w:rFonts w:hint="eastAsia" w:ascii="仿宋" w:hAnsi="仿宋" w:eastAsia="仿宋" w:cs="仿宋"/>
          <w:b/>
          <w:bCs/>
          <w:snapToGrid w:val="0"/>
          <w:kern w:val="0"/>
          <w:szCs w:val="24"/>
        </w:rPr>
        <w:t>13．响应文件的式样和签署</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13.1 供应商通过“政采云”平台制作电子响应文件，响应文件制作详见“供应商-政府采购项目电子交易操作指南”。</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13.2 响应文件是电子响应文件，包括“电子加密响应文件”和“备份响应文件”，在响应文件编制完成后同时生成。</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（1）“电子加密响应文件”是指通过“政采云电子交易客户端”完成响应文件编制后生成并加密的数据电文形式的响应文件。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（2）“备份响应文件”是指与“电子加密响应文件”同时生成的数据电文形式的电子文件（备份响应文件，用于供应商响应文件解密异常时应急使用），其他方式编制的备份响应文件视为无效备份响应文件。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（3）一份电子加密标书（后缀格式为.jmbs），一份备份响应文件（后缀格式为.bfbs）</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z w:val="24"/>
        </w:rPr>
        <w:t>13.3</w:t>
      </w:r>
      <w:r>
        <w:rPr>
          <w:rFonts w:hint="eastAsia" w:ascii="仿宋" w:hAnsi="仿宋" w:eastAsia="仿宋" w:cs="仿宋"/>
          <w:b/>
          <w:bCs/>
          <w:sz w:val="24"/>
        </w:rPr>
        <w:t xml:space="preserve"> 响应文件中应标函、法定代表人授权委托函的格式、签字、盖章及内容均应符合采购文件格式要求。</w:t>
      </w:r>
    </w:p>
    <w:p>
      <w:pPr>
        <w:pStyle w:val="6"/>
        <w:spacing w:before="156" w:beforeLines="50" w:after="156" w:afterLines="50"/>
        <w:rPr>
          <w:rFonts w:hint="eastAsia" w:ascii="仿宋" w:hAnsi="仿宋" w:eastAsia="仿宋" w:cs="仿宋"/>
          <w:sz w:val="24"/>
          <w:szCs w:val="24"/>
        </w:rPr>
      </w:pPr>
      <w:bookmarkStart w:id="40" w:name="_Toc240450080"/>
      <w:bookmarkStart w:id="41" w:name="_Toc251566653"/>
      <w:bookmarkStart w:id="42" w:name="_Toc454467872"/>
      <w:bookmarkStart w:id="43" w:name="_Toc12780"/>
      <w:bookmarkStart w:id="44" w:name="_Toc428884226"/>
      <w:r>
        <w:rPr>
          <w:rFonts w:hint="eastAsia" w:ascii="仿宋" w:hAnsi="仿宋" w:eastAsia="仿宋" w:cs="仿宋"/>
          <w:sz w:val="24"/>
          <w:szCs w:val="24"/>
        </w:rPr>
        <w:t>四、响应文件的递交</w:t>
      </w:r>
      <w:bookmarkEnd w:id="40"/>
      <w:bookmarkEnd w:id="41"/>
      <w:bookmarkEnd w:id="42"/>
      <w:bookmarkEnd w:id="43"/>
      <w:bookmarkEnd w:id="44"/>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14．响应文件的递交</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14.1 电子加密响应文件：响应文件制作完成并生成加密标书，在响应截止时间前，供应商需将加密的响应文件上传至政采云平台，到达协商开始时间后，解密响应文件。</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a.供应商未能在响应截止时间前成功上传电子加密响应文件的应标无效。</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b.供应商成功上传电子加密响应文件后，可自行打印响应文件接收回执。</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14.2备份响应文件：供应商确保在响应截止时间前，将备份响应文件通过快递形式寄达采购代理机构处，以便标书解密异常时应急使用。</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a.备份响应文件递交要求：供应商须将备份响应文件以光盘或U盘形式放在密封袋中，密封后并在密封袋上注明项目名称、供应商名称并加盖公章。未密封包装或者逾期邮寄送达的“备份响应文件”将不予接收。</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b.供应商仅提交备份响应文件的，应标无效。</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15．应标截止期</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15.1 供应商应按前附表规定的时间、地点将响应文件上传至政采云平台。</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15.2 采购代理机构可以按本须知第7条规定以补充通知的方式，酌情延长递交响应文件的截止日期。在上述情况下，采购代理机构与供应商以前在应标截止期方面的全部权利、责任和义务，将适用于延长至新的应标截止期。</w:t>
      </w:r>
    </w:p>
    <w:p>
      <w:pPr>
        <w:adjustRightInd w:val="0"/>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16. 响应文件的修改</w:t>
      </w:r>
    </w:p>
    <w:p>
      <w:pPr>
        <w:adjustRightInd w:val="0"/>
        <w:snapToGrid w:val="0"/>
        <w:spacing w:line="360" w:lineRule="auto"/>
        <w:ind w:firstLine="480" w:firstLineChars="200"/>
        <w:rPr>
          <w:rFonts w:hint="eastAsia" w:ascii="仿宋" w:hAnsi="仿宋" w:eastAsia="仿宋" w:cs="仿宋"/>
          <w:snapToGrid w:val="0"/>
          <w:kern w:val="0"/>
          <w:sz w:val="24"/>
        </w:rPr>
      </w:pPr>
      <w:bookmarkStart w:id="45" w:name="_Toc428884227"/>
      <w:bookmarkStart w:id="46" w:name="_Toc251566654"/>
      <w:bookmarkStart w:id="47" w:name="_Toc240450081"/>
      <w:bookmarkStart w:id="48" w:name="_Toc454467873"/>
      <w:r>
        <w:rPr>
          <w:rFonts w:hint="eastAsia" w:ascii="仿宋" w:hAnsi="仿宋" w:eastAsia="仿宋" w:cs="仿宋"/>
          <w:snapToGrid w:val="0"/>
          <w:kern w:val="0"/>
          <w:sz w:val="24"/>
        </w:rPr>
        <w:t>16.1 供应商在递交响应文件后，在规定的应标截止时间前，可以补充、修改或者撤回电子交易文件。补充或者修改电子交易文件的，应当先行撤回原文件，补充、修改后重新传输递交。应标截止时间前未完成传输的，视为响应文件撤回，应标无效。</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16.2 在应标截止期之后，供应商不得对其上传的响应文件作任何修改。</w:t>
      </w:r>
    </w:p>
    <w:p>
      <w:pPr>
        <w:adjustRightInd w:val="0"/>
        <w:snapToGrid w:val="0"/>
        <w:spacing w:line="36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16.3 从应标截止期至响应有效期期满这段时间内，供应商不得撤回其应标文件。</w:t>
      </w:r>
    </w:p>
    <w:p>
      <w:pPr>
        <w:pStyle w:val="6"/>
        <w:spacing w:before="156" w:beforeLines="50" w:after="156" w:afterLines="50"/>
        <w:rPr>
          <w:rFonts w:hint="eastAsia" w:ascii="仿宋" w:hAnsi="仿宋" w:eastAsia="仿宋" w:cs="仿宋"/>
          <w:sz w:val="24"/>
          <w:szCs w:val="24"/>
        </w:rPr>
      </w:pPr>
      <w:bookmarkStart w:id="49" w:name="_Toc20489"/>
      <w:r>
        <w:rPr>
          <w:rFonts w:hint="eastAsia" w:ascii="仿宋" w:hAnsi="仿宋" w:eastAsia="仿宋" w:cs="仿宋"/>
          <w:sz w:val="24"/>
          <w:szCs w:val="24"/>
        </w:rPr>
        <w:t>五、</w:t>
      </w:r>
      <w:bookmarkEnd w:id="45"/>
      <w:bookmarkEnd w:id="46"/>
      <w:bookmarkEnd w:id="47"/>
      <w:r>
        <w:rPr>
          <w:rFonts w:hint="eastAsia" w:ascii="仿宋" w:hAnsi="仿宋" w:eastAsia="仿宋" w:cs="仿宋"/>
          <w:sz w:val="24"/>
          <w:szCs w:val="24"/>
        </w:rPr>
        <w:t>单一来源协商</w:t>
      </w:r>
      <w:bookmarkEnd w:id="48"/>
      <w:bookmarkEnd w:id="49"/>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17.开启响应文件</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应标截止时间到后，</w:t>
      </w:r>
      <w:r>
        <w:rPr>
          <w:rFonts w:hint="eastAsia" w:ascii="仿宋" w:hAnsi="仿宋" w:eastAsia="仿宋" w:cs="仿宋"/>
          <w:sz w:val="24"/>
        </w:rPr>
        <w:t>向供应商发出电子加密响应文件【开始解密】通知，由供应商按采购文件规定的时间内自行进行响应文件解密。供应商在规定的时间内无法完成已递交的“电子加密响应文件”解密的，如已按规定递交了备份响应文件的，将由采购组织机构按“政府采购云平台”操作规范将备份响应文件上传至“政府采购云平台”，上传成功后，“电子加密响应文件”自动失效。</w:t>
      </w:r>
    </w:p>
    <w:p>
      <w:pPr>
        <w:adjustRightInd w:val="0"/>
        <w:snapToGrid w:val="0"/>
        <w:spacing w:before="156" w:beforeLines="50" w:line="360" w:lineRule="auto"/>
        <w:ind w:firstLine="482" w:firstLineChars="200"/>
        <w:rPr>
          <w:rFonts w:hint="eastAsia" w:ascii="仿宋" w:hAnsi="仿宋" w:eastAsia="仿宋" w:cs="仿宋"/>
          <w:b/>
          <w:sz w:val="24"/>
        </w:rPr>
      </w:pPr>
      <w:bookmarkStart w:id="50" w:name="_Toc91899903"/>
      <w:r>
        <w:rPr>
          <w:rFonts w:hint="eastAsia" w:ascii="仿宋" w:hAnsi="仿宋" w:eastAsia="仿宋" w:cs="仿宋"/>
          <w:b/>
          <w:sz w:val="24"/>
        </w:rPr>
        <w:t>18. 评审组织</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采购代理机构依法组建采购小组，负责对响应文件进行审查、质询、评审和比较等。</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19. 评审原则</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19.1 竞争优选；</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19.2 坚持公开、公平、公正、科学合理的原则；</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19.3 价格合理，方案、产品先进可行；</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19.4 反对不正当竞争。</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19.5 采购小组接受政府采购监督管理部门的监督，并对评审意见及评标报告负责。</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20. 响应文件审查</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20.1响应文件资格性审查：采购小组依据法律法规和采购文件的规定，对响应文件中的资格证明等进行审查，以确定供应商是否具备应标资格。</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20.2响应文件符合性审查：采购小组依据采购文件的规定，从响应文件的有效性、完整性和对采购文件的响应程度进行审查，以确定是否对采购文件的实质性要求作出响应。</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20.3修正原则</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采购小组对响应文件的商务报价文件进行审核，对发现计算、书写等错误的，按以下原则进行修正：</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20.3.1大写金额与小写金额不一致的，以大写金额为准；</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20.3.2总价金额与按单价汇总金额不一致的，以单价金额计算结果为准；</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20.3.3单价金额小数点有明显错位的，应以总价为准，并修改单价；</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20.3.4以修正后的总价作为应标报价。</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21. 协商程序</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21.1 根据公开、公平、公正、诚信科学的原则，组织单一来源采购协商。</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21.2 具体工作流程：</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（1）采购小组讨论、通过评审工作流程和协商评审要点；</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（2）采购小组审阅采购文件和响应文件；</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（3）围绕协商评审要点采购小组与供应商进行协商；</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（4）采购文件有实质性变动的，采购小组将以书面形式通知供应商。</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22. 协商评审要点</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22.1 供应商资格条件；</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22.2 应标方案与需求的吻合程度；</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22.3 供应商报价的合理性；</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22.4 供应商从事同类项目的有关业绩；</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22.5 供应商提交的项目偏差情况；</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22.6 供应商实施方案的可行性；</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22.7 供应商提出的优惠条件和承诺；</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22.8 其他。</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23.评审</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23.1 最终报价。协商结束后，采购小组将要求供应商在规定时间内确定最终报价。</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23.2 评审</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采购小组将对供应商的应标方案、报价等方面进行谈判和综合评审，根据最终有效报价、技术方案、综合实力等情况，形成评标意见。</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24. 协商内容的保密</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24.1 应标截止时间后直到宣布成交结果止，凡属于审查、澄清、评价和比较应标的所有资料，都不应向供应商或与评标无关的其他人泄露。</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24.2 在响应文件的审查、澄清、评价和比较以及确定成交供应商过程中，供应商对采购代理机构和评标机构施加影响的任何行为，都将导致取消资格。</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25. 响应文件的澄清</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对响应文件中含义不明、表述不一致或有明显计算错误等内容，采购小组将发起在线询标澄清通知，对供应商进行询标，并要求供应商作书面澄清，作为响应文件的补充部分。</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26. 无效标</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响应文件有下列情况之一的，其响应文件作无效处理：</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（1）供应商不具备应标资格的；</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（2）最终应标报价超过采购预算的；</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（3）经采购小组审核，供应商所投内容不符合实质性采购要求的；</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（4）供应商拒绝按采购文件第20.3条修正原则对响应文件进行修改的；</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（5）供应商提供虚假材料应标的。</w:t>
      </w:r>
    </w:p>
    <w:bookmarkEnd w:id="50"/>
    <w:p>
      <w:pPr>
        <w:pStyle w:val="6"/>
        <w:spacing w:before="156" w:beforeLines="50" w:after="156" w:afterLines="50"/>
        <w:rPr>
          <w:rFonts w:hint="eastAsia" w:ascii="仿宋" w:hAnsi="仿宋" w:eastAsia="仿宋" w:cs="仿宋"/>
          <w:sz w:val="24"/>
          <w:szCs w:val="24"/>
        </w:rPr>
      </w:pPr>
      <w:bookmarkStart w:id="51" w:name="_Toc428884228"/>
      <w:bookmarkStart w:id="52" w:name="_Toc4200"/>
      <w:bookmarkStart w:id="53" w:name="_Toc454467874"/>
      <w:r>
        <w:rPr>
          <w:rFonts w:hint="eastAsia" w:ascii="仿宋" w:hAnsi="仿宋" w:eastAsia="仿宋" w:cs="仿宋"/>
          <w:sz w:val="24"/>
          <w:szCs w:val="24"/>
        </w:rPr>
        <w:t>六、定标</w:t>
      </w:r>
      <w:bookmarkEnd w:id="51"/>
      <w:bookmarkEnd w:id="52"/>
      <w:bookmarkEnd w:id="53"/>
    </w:p>
    <w:p>
      <w:pPr>
        <w:adjustRightInd w:val="0"/>
        <w:snapToGrid w:val="0"/>
        <w:spacing w:line="360" w:lineRule="auto"/>
        <w:ind w:firstLine="480" w:firstLineChars="200"/>
        <w:jc w:val="left"/>
        <w:rPr>
          <w:rFonts w:hint="eastAsia" w:ascii="仿宋" w:hAnsi="仿宋" w:eastAsia="仿宋" w:cs="仿宋"/>
          <w:snapToGrid w:val="0"/>
          <w:kern w:val="0"/>
          <w:sz w:val="24"/>
        </w:rPr>
      </w:pPr>
      <w:bookmarkStart w:id="54" w:name="_Hlt75236103"/>
      <w:bookmarkEnd w:id="54"/>
      <w:r>
        <w:rPr>
          <w:rFonts w:hint="eastAsia" w:ascii="仿宋" w:hAnsi="仿宋" w:eastAsia="仿宋" w:cs="仿宋"/>
          <w:snapToGrid w:val="0"/>
          <w:kern w:val="0"/>
          <w:sz w:val="24"/>
        </w:rPr>
        <w:t>采购小组将根据采购文件的规定，履行单一来源采购工作职责，以协商评审要点为标准，全面衡量供应商对采购文件的响应情况，并提出授标建议，最终确定成交供应商。</w:t>
      </w:r>
    </w:p>
    <w:p>
      <w:pPr>
        <w:pStyle w:val="6"/>
        <w:spacing w:before="156" w:beforeLines="50" w:after="156" w:afterLines="50"/>
        <w:rPr>
          <w:rFonts w:hint="eastAsia" w:ascii="仿宋" w:hAnsi="仿宋" w:eastAsia="仿宋" w:cs="仿宋"/>
          <w:sz w:val="24"/>
          <w:szCs w:val="24"/>
        </w:rPr>
      </w:pPr>
      <w:bookmarkStart w:id="55" w:name="_Toc454467875"/>
      <w:bookmarkStart w:id="56" w:name="_Toc7635"/>
      <w:bookmarkStart w:id="57" w:name="_Toc428884229"/>
      <w:r>
        <w:rPr>
          <w:rFonts w:hint="eastAsia" w:ascii="仿宋" w:hAnsi="仿宋" w:eastAsia="仿宋" w:cs="仿宋"/>
          <w:sz w:val="24"/>
          <w:szCs w:val="24"/>
        </w:rPr>
        <w:t>七、合同签订及其他</w:t>
      </w:r>
      <w:bookmarkEnd w:id="55"/>
      <w:bookmarkEnd w:id="56"/>
      <w:bookmarkEnd w:id="57"/>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27. 成交结果</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27.1 确定成交供应商后，采购代理机构将评审结果通知供应商，并向其签发成交通知书。在采购代理机构发出成交通知书前，成交供应商有违反有关法律法规和本项目要求行为的，则取消该供应商的成交资格，另行组织采购。</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27.2 供应商全部接受合同条件并签订合同后，成交通知书亦成为合同的组成部分。</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27.3 如成交供应商拒绝承担成交项目，或提出采购人不能接受的条件，致使合同无法签订，采购人将取消其成交资格，另行组织采购。</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27.4 如签订合同并生效后，供应商无故拒绝或延期，除按照合同条款处罚外，列入不良行为记录一次，并给予通报。</w:t>
      </w:r>
    </w:p>
    <w:p>
      <w:pPr>
        <w:adjustRightInd w:val="0"/>
        <w:snapToGrid w:val="0"/>
        <w:spacing w:before="156" w:beforeLines="50" w:line="360" w:lineRule="auto"/>
        <w:ind w:firstLine="482" w:firstLineChars="200"/>
        <w:rPr>
          <w:rFonts w:hint="eastAsia" w:ascii="仿宋" w:hAnsi="仿宋" w:eastAsia="仿宋" w:cs="仿宋"/>
          <w:b/>
          <w:sz w:val="24"/>
        </w:rPr>
      </w:pPr>
      <w:r>
        <w:rPr>
          <w:rFonts w:hint="eastAsia" w:ascii="仿宋" w:hAnsi="仿宋" w:eastAsia="仿宋" w:cs="仿宋"/>
          <w:b/>
          <w:sz w:val="24"/>
        </w:rPr>
        <w:t>28. 合同的签订</w:t>
      </w:r>
    </w:p>
    <w:p>
      <w:pPr>
        <w:adjustRightInd w:val="0"/>
        <w:snapToGrid w:val="0"/>
        <w:spacing w:line="360" w:lineRule="auto"/>
        <w:ind w:firstLine="480" w:firstLineChars="200"/>
        <w:jc w:val="left"/>
        <w:rPr>
          <w:rFonts w:hint="eastAsia" w:ascii="仿宋" w:hAnsi="仿宋" w:eastAsia="仿宋" w:cs="仿宋"/>
          <w:snapToGrid w:val="0"/>
          <w:kern w:val="0"/>
          <w:sz w:val="24"/>
        </w:rPr>
      </w:pPr>
      <w:r>
        <w:rPr>
          <w:rFonts w:hint="eastAsia" w:ascii="仿宋" w:hAnsi="仿宋" w:eastAsia="仿宋" w:cs="仿宋"/>
          <w:snapToGrid w:val="0"/>
          <w:kern w:val="0"/>
          <w:sz w:val="24"/>
        </w:rPr>
        <w:t>成交供应商在成交结果公告发出后30天内按规定的日期、时间、地点，由法定代表人或授权委托人与采购人代表签订合同，备案后生效。</w:t>
      </w:r>
    </w:p>
    <w:p>
      <w:pPr>
        <w:rPr>
          <w:rFonts w:hint="eastAsia" w:ascii="仿宋" w:hAnsi="仿宋" w:eastAsia="仿宋" w:cs="仿宋"/>
          <w:snapToGrid w:val="0"/>
          <w:kern w:val="0"/>
          <w:sz w:val="24"/>
        </w:rPr>
      </w:pPr>
      <w:r>
        <w:rPr>
          <w:rFonts w:hint="eastAsia" w:ascii="仿宋" w:hAnsi="仿宋" w:eastAsia="仿宋" w:cs="仿宋"/>
          <w:snapToGrid w:val="0"/>
          <w:kern w:val="0"/>
          <w:sz w:val="24"/>
        </w:rPr>
        <w:br w:type="page"/>
      </w:r>
    </w:p>
    <w:p>
      <w:pPr>
        <w:pStyle w:val="61"/>
        <w:ind w:left="2250" w:hanging="1200"/>
        <w:rPr>
          <w:rFonts w:hint="eastAsia" w:ascii="仿宋" w:hAnsi="仿宋" w:eastAsia="仿宋" w:cs="仿宋"/>
        </w:rPr>
        <w:sectPr>
          <w:type w:val="continuous"/>
          <w:pgSz w:w="11906" w:h="16838"/>
          <w:pgMar w:top="1440" w:right="1800" w:bottom="1440" w:left="1800" w:header="851" w:footer="992" w:gutter="0"/>
          <w:cols w:space="720" w:num="1"/>
          <w:docGrid w:type="lines" w:linePitch="312" w:charSpace="0"/>
        </w:sectPr>
      </w:pPr>
    </w:p>
    <w:p>
      <w:pPr>
        <w:numPr>
          <w:ilvl w:val="0"/>
          <w:numId w:val="6"/>
        </w:numPr>
        <w:adjustRightInd w:val="0"/>
        <w:snapToGrid w:val="0"/>
        <w:spacing w:before="120" w:beforeLines="50" w:after="120" w:afterLines="50" w:line="360" w:lineRule="auto"/>
        <w:jc w:val="center"/>
        <w:outlineLvl w:val="0"/>
        <w:rPr>
          <w:rFonts w:hint="eastAsia" w:ascii="仿宋" w:hAnsi="仿宋" w:eastAsia="仿宋" w:cs="仿宋"/>
          <w:b/>
          <w:sz w:val="30"/>
          <w:szCs w:val="30"/>
        </w:rPr>
      </w:pPr>
      <w:bookmarkStart w:id="58" w:name="_Toc428884230"/>
      <w:bookmarkStart w:id="59" w:name="_Toc454467876"/>
      <w:r>
        <w:rPr>
          <w:rFonts w:hint="eastAsia" w:ascii="仿宋" w:hAnsi="仿宋" w:eastAsia="仿宋" w:cs="仿宋"/>
          <w:b/>
          <w:sz w:val="30"/>
          <w:szCs w:val="30"/>
        </w:rPr>
        <w:t xml:space="preserve"> </w:t>
      </w:r>
      <w:bookmarkStart w:id="60" w:name="_Toc28138"/>
      <w:r>
        <w:rPr>
          <w:rFonts w:hint="eastAsia" w:ascii="仿宋" w:hAnsi="仿宋" w:eastAsia="仿宋" w:cs="仿宋"/>
          <w:b/>
          <w:sz w:val="30"/>
          <w:szCs w:val="30"/>
        </w:rPr>
        <w:t>采购需求</w:t>
      </w:r>
      <w:bookmarkEnd w:id="58"/>
      <w:bookmarkEnd w:id="59"/>
      <w:r>
        <w:rPr>
          <w:rFonts w:hint="eastAsia" w:ascii="仿宋" w:hAnsi="仿宋" w:eastAsia="仿宋" w:cs="仿宋"/>
          <w:b/>
          <w:sz w:val="30"/>
          <w:szCs w:val="30"/>
        </w:rPr>
        <w:t>书</w:t>
      </w:r>
      <w:bookmarkEnd w:id="60"/>
    </w:p>
    <w:p>
      <w:pPr>
        <w:pStyle w:val="6"/>
        <w:rPr>
          <w:rFonts w:hint="eastAsia" w:ascii="仿宋" w:hAnsi="仿宋" w:eastAsia="仿宋" w:cs="仿宋"/>
          <w:sz w:val="28"/>
          <w:szCs w:val="28"/>
        </w:rPr>
      </w:pPr>
      <w:bookmarkStart w:id="61" w:name="_Toc11664"/>
      <w:bookmarkStart w:id="62" w:name="_Toc23450"/>
      <w:bookmarkStart w:id="63" w:name="_Toc15331"/>
      <w:bookmarkStart w:id="64" w:name="_Toc10447"/>
      <w:bookmarkStart w:id="65" w:name="_Toc26777"/>
      <w:bookmarkStart w:id="66" w:name="_Toc249760797"/>
      <w:bookmarkStart w:id="67" w:name="_Toc454467944"/>
      <w:bookmarkStart w:id="68" w:name="_Toc251566668"/>
      <w:bookmarkStart w:id="69" w:name="_Toc234764855"/>
      <w:bookmarkStart w:id="70" w:name="_Toc428884242"/>
      <w:r>
        <w:rPr>
          <w:rFonts w:hint="eastAsia" w:ascii="仿宋" w:hAnsi="仿宋" w:eastAsia="仿宋" w:cs="仿宋"/>
          <w:sz w:val="28"/>
          <w:szCs w:val="28"/>
        </w:rPr>
        <w:t>一、</w:t>
      </w:r>
      <w:bookmarkEnd w:id="61"/>
      <w:r>
        <w:rPr>
          <w:rFonts w:hint="eastAsia" w:ascii="仿宋" w:hAnsi="仿宋" w:eastAsia="仿宋" w:cs="仿宋"/>
          <w:sz w:val="28"/>
          <w:szCs w:val="28"/>
        </w:rPr>
        <w:t>项目概况</w:t>
      </w:r>
      <w:bookmarkEnd w:id="62"/>
      <w:bookmarkEnd w:id="63"/>
      <w:bookmarkEnd w:id="64"/>
    </w:p>
    <w:p>
      <w:pPr>
        <w:pStyle w:val="265"/>
        <w:spacing w:line="360" w:lineRule="auto"/>
        <w:ind w:firstLine="480" w:firstLineChars="200"/>
        <w:outlineLvl w:val="9"/>
        <w:rPr>
          <w:rFonts w:hint="eastAsia" w:ascii="仿宋" w:hAnsi="仿宋" w:eastAsia="仿宋" w:cs="仿宋"/>
          <w:b/>
          <w:bCs/>
          <w:color w:val="auto"/>
          <w:kern w:val="2"/>
          <w:sz w:val="24"/>
        </w:rPr>
      </w:pPr>
      <w:bookmarkStart w:id="71" w:name="_Toc27862"/>
      <w:bookmarkStart w:id="72" w:name="_Toc11933"/>
      <w:bookmarkStart w:id="73" w:name="_Toc31251"/>
      <w:r>
        <w:rPr>
          <w:rFonts w:hint="eastAsia" w:ascii="仿宋" w:hAnsi="仿宋" w:eastAsia="仿宋" w:cs="仿宋"/>
          <w:b/>
          <w:bCs/>
          <w:color w:val="auto"/>
          <w:kern w:val="2"/>
          <w:sz w:val="24"/>
        </w:rPr>
        <w:t>1.项目总体要求</w:t>
      </w:r>
      <w:bookmarkEnd w:id="71"/>
      <w:bookmarkEnd w:id="72"/>
      <w:bookmarkEnd w:id="73"/>
    </w:p>
    <w:p>
      <w:pPr>
        <w:pStyle w:val="2"/>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本项目中需要组织学前教育质量监测指标的培训工作，对各地的学前教育督导评估人员进行培训。</w:t>
      </w:r>
    </w:p>
    <w:p>
      <w:pPr>
        <w:pStyle w:val="6"/>
        <w:rPr>
          <w:rFonts w:hint="eastAsia" w:ascii="仿宋" w:hAnsi="仿宋" w:eastAsia="仿宋" w:cs="仿宋"/>
          <w:sz w:val="28"/>
          <w:szCs w:val="28"/>
        </w:rPr>
      </w:pPr>
      <w:bookmarkStart w:id="74" w:name="_Toc13858"/>
      <w:bookmarkStart w:id="75" w:name="_Toc5899"/>
      <w:bookmarkStart w:id="76" w:name="_Toc31955"/>
      <w:bookmarkStart w:id="77" w:name="_Toc9049"/>
      <w:r>
        <w:rPr>
          <w:rFonts w:hint="eastAsia" w:ascii="仿宋" w:hAnsi="仿宋" w:eastAsia="仿宋" w:cs="仿宋"/>
          <w:sz w:val="28"/>
          <w:szCs w:val="28"/>
        </w:rPr>
        <w:t>二、项目服务周期及地点</w:t>
      </w:r>
      <w:bookmarkEnd w:id="74"/>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服务周期：2024年3月-2024年12月。</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服务地点：浙江省教育考试院。</w:t>
      </w:r>
    </w:p>
    <w:p>
      <w:pPr>
        <w:pStyle w:val="6"/>
        <w:rPr>
          <w:rFonts w:hint="eastAsia" w:ascii="仿宋" w:hAnsi="仿宋" w:eastAsia="仿宋" w:cs="仿宋"/>
          <w:sz w:val="28"/>
          <w:szCs w:val="28"/>
        </w:rPr>
      </w:pPr>
      <w:bookmarkStart w:id="78" w:name="_Toc4435"/>
      <w:r>
        <w:rPr>
          <w:rFonts w:hint="eastAsia" w:ascii="仿宋" w:hAnsi="仿宋" w:eastAsia="仿宋" w:cs="仿宋"/>
          <w:sz w:val="28"/>
          <w:szCs w:val="28"/>
        </w:rPr>
        <w:t>三、服务内容</w:t>
      </w:r>
      <w:bookmarkEnd w:id="78"/>
    </w:p>
    <w:bookmarkEnd w:id="75"/>
    <w:bookmarkEnd w:id="76"/>
    <w:bookmarkEnd w:id="77"/>
    <w:p>
      <w:pPr>
        <w:pStyle w:val="266"/>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bookmarkStart w:id="79" w:name="_Toc22642"/>
      <w:r>
        <w:rPr>
          <w:rFonts w:hint="eastAsia" w:ascii="仿宋" w:hAnsi="仿宋" w:eastAsia="仿宋" w:cs="仿宋"/>
          <w:b/>
          <w:sz w:val="24"/>
          <w:szCs w:val="24"/>
          <w:lang w:val="en-US" w:eastAsia="zh-CN"/>
        </w:rPr>
        <w:t>1.</w:t>
      </w:r>
      <w:r>
        <w:rPr>
          <w:rFonts w:hint="eastAsia" w:ascii="仿宋" w:hAnsi="仿宋" w:eastAsia="仿宋" w:cs="仿宋"/>
          <w:b/>
          <w:sz w:val="24"/>
          <w:szCs w:val="24"/>
        </w:rPr>
        <w:t>总需求</w:t>
      </w:r>
      <w:r>
        <w:rPr>
          <w:rFonts w:hint="eastAsia" w:ascii="仿宋" w:hAnsi="仿宋" w:eastAsia="仿宋" w:cs="仿宋"/>
          <w:sz w:val="24"/>
          <w:szCs w:val="24"/>
        </w:rPr>
        <w:t>：</w:t>
      </w:r>
      <w:r>
        <w:rPr>
          <w:rFonts w:hint="eastAsia" w:ascii="仿宋" w:hAnsi="仿宋" w:eastAsia="仿宋" w:cs="仿宋"/>
          <w:color w:val="000000"/>
          <w:sz w:val="24"/>
          <w:szCs w:val="24"/>
          <w:shd w:val="clear" w:color="auto" w:fill="FFFFFF"/>
        </w:rPr>
        <w:t>形成省学前教育高质量发展监测标准、监测指标</w:t>
      </w:r>
      <w:r>
        <w:rPr>
          <w:rFonts w:hint="eastAsia" w:ascii="仿宋" w:hAnsi="仿宋" w:eastAsia="仿宋" w:cs="仿宋"/>
          <w:color w:val="000000" w:themeColor="text1"/>
          <w:sz w:val="24"/>
          <w:szCs w:val="24"/>
          <w14:textFill>
            <w14:solidFill>
              <w14:schemeClr w14:val="tx1"/>
            </w14:solidFill>
          </w14:textFill>
        </w:rPr>
        <w:t>体系，确定基于指标体系的监测报告分析框架。基于监测指标体系开展全省各县（市、区）学前监测工作培训，进行理念引领和实践指导。</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cs="仿宋"/>
          <w:b/>
          <w:sz w:val="24"/>
          <w:szCs w:val="24"/>
        </w:rPr>
      </w:pPr>
      <w:r>
        <w:rPr>
          <w:rFonts w:hint="eastAsia" w:ascii="仿宋" w:hAnsi="仿宋" w:eastAsia="仿宋" w:cs="仿宋"/>
          <w:b/>
          <w:sz w:val="24"/>
          <w:szCs w:val="24"/>
          <w:lang w:val="en-US" w:eastAsia="zh-CN"/>
        </w:rPr>
        <w:t>2.</w:t>
      </w:r>
      <w:r>
        <w:rPr>
          <w:rFonts w:hint="eastAsia" w:ascii="仿宋" w:hAnsi="仿宋" w:eastAsia="仿宋" w:cs="仿宋"/>
          <w:b/>
          <w:sz w:val="24"/>
          <w:szCs w:val="24"/>
        </w:rPr>
        <w:t>具体需求：</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shd w:val="clear" w:color="auto" w:fill="FFFFFF"/>
          <w:lang w:eastAsia="zh-CN"/>
          <w14:textFill>
            <w14:solidFill>
              <w14:schemeClr w14:val="tx1"/>
            </w14:solidFill>
          </w14:textFill>
        </w:rPr>
        <w:t>（</w:t>
      </w:r>
      <w:r>
        <w:rPr>
          <w:rFonts w:hint="eastAsia" w:ascii="仿宋" w:hAnsi="仿宋" w:eastAsia="仿宋" w:cs="仿宋"/>
          <w:color w:val="000000" w:themeColor="text1"/>
          <w:sz w:val="24"/>
          <w:szCs w:val="24"/>
          <w:shd w:val="clear" w:color="auto" w:fill="FFFFFF"/>
          <w:lang w:val="en-US" w:eastAsia="zh-CN"/>
          <w14:textFill>
            <w14:solidFill>
              <w14:schemeClr w14:val="tx1"/>
            </w14:solidFill>
          </w14:textFill>
        </w:rPr>
        <w:t>1</w:t>
      </w:r>
      <w:r>
        <w:rPr>
          <w:rFonts w:hint="eastAsia" w:ascii="仿宋" w:hAnsi="仿宋" w:eastAsia="仿宋" w:cs="仿宋"/>
          <w:color w:val="000000" w:themeColor="text1"/>
          <w:sz w:val="24"/>
          <w:szCs w:val="24"/>
          <w:shd w:val="clear" w:color="auto" w:fill="FFFFFF"/>
          <w:lang w:eastAsia="zh-CN"/>
          <w14:textFill>
            <w14:solidFill>
              <w14:schemeClr w14:val="tx1"/>
            </w14:solidFill>
          </w14:textFill>
        </w:rPr>
        <w:t>）</w:t>
      </w:r>
      <w:r>
        <w:rPr>
          <w:rFonts w:hint="eastAsia" w:ascii="仿宋" w:hAnsi="仿宋" w:eastAsia="仿宋" w:cs="仿宋"/>
          <w:color w:val="000000" w:themeColor="text1"/>
          <w:sz w:val="24"/>
          <w:szCs w:val="24"/>
          <w:shd w:val="clear" w:color="auto" w:fill="FFFFFF"/>
          <w14:textFill>
            <w14:solidFill>
              <w14:schemeClr w14:val="tx1"/>
            </w14:solidFill>
          </w14:textFill>
        </w:rPr>
        <w:t>国内外学前教育高质量发展监测相关文献研究。</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shd w:val="clear" w:color="auto" w:fill="FFFFFF"/>
          <w14:textFill>
            <w14:solidFill>
              <w14:schemeClr w14:val="tx1"/>
            </w14:solidFill>
          </w14:textFill>
        </w:rPr>
        <w:t>学前教育高质量发展监测指标</w:t>
      </w:r>
      <w:r>
        <w:rPr>
          <w:rFonts w:hint="eastAsia" w:ascii="仿宋" w:hAnsi="仿宋" w:eastAsia="仿宋" w:cs="仿宋"/>
          <w:color w:val="000000" w:themeColor="text1"/>
          <w:sz w:val="24"/>
          <w:szCs w:val="24"/>
          <w14:textFill>
            <w14:solidFill>
              <w14:schemeClr w14:val="tx1"/>
            </w14:solidFill>
          </w14:textFill>
        </w:rPr>
        <w:t>体系研制。包括理论定义和操作定义。对二级指标、三级指标的细化呈现、关键指标梳理等开展指标研制。</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指标研讨与论证。研制过程中，开展多轮专家论证、社会群体意见征集等，形成学前教育高质量发展监测实施方案和监测指标体系。参与监测试点前测工作。</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监测报告模板的呈现研究。基于监测体系，撰写省和县级监测报告的呈现模板。</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sz w:val="24"/>
          <w:szCs w:val="24"/>
        </w:rPr>
        <w:t>为后续指标体系修正、个性化监测模块增加，提供智力支持并形成书面意见。</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cs="仿宋"/>
          <w:sz w:val="30"/>
          <w:szCs w:val="30"/>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w:t>
      </w:r>
      <w:r>
        <w:rPr>
          <w:rFonts w:hint="eastAsia" w:ascii="仿宋" w:hAnsi="仿宋" w:eastAsia="仿宋" w:cs="仿宋"/>
          <w:sz w:val="24"/>
          <w:szCs w:val="24"/>
        </w:rPr>
        <w:t>对全省各市、县（市、区）教育局学前监测工作开展人员培训，时间为3天。内容包括理念引领、指标解读、实践操作等。</w:t>
      </w:r>
    </w:p>
    <w:p>
      <w:pPr>
        <w:pStyle w:val="6"/>
        <w:rPr>
          <w:rFonts w:hint="eastAsia" w:ascii="仿宋" w:hAnsi="仿宋" w:eastAsia="仿宋" w:cs="仿宋"/>
          <w:sz w:val="28"/>
          <w:szCs w:val="28"/>
        </w:rPr>
      </w:pPr>
      <w:bookmarkStart w:id="80" w:name="_Toc13523"/>
      <w:r>
        <w:rPr>
          <w:rFonts w:hint="eastAsia" w:ascii="仿宋" w:hAnsi="仿宋" w:eastAsia="仿宋" w:cs="仿宋"/>
          <w:sz w:val="28"/>
          <w:szCs w:val="28"/>
        </w:rPr>
        <w:t>四、商务要求</w:t>
      </w:r>
      <w:bookmarkEnd w:id="80"/>
    </w:p>
    <w:tbl>
      <w:tblPr>
        <w:tblStyle w:val="47"/>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362"/>
        <w:gridCol w:w="6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85" w:type="dxa"/>
            <w:vAlign w:val="center"/>
          </w:tcPr>
          <w:p>
            <w:pPr>
              <w:snapToGrid w:val="0"/>
              <w:jc w:val="center"/>
              <w:rPr>
                <w:rFonts w:hint="eastAsia" w:ascii="仿宋" w:hAnsi="仿宋" w:eastAsia="仿宋" w:cs="仿宋"/>
                <w:b/>
                <w:sz w:val="24"/>
              </w:rPr>
            </w:pPr>
            <w:r>
              <w:rPr>
                <w:rFonts w:hint="eastAsia" w:ascii="仿宋" w:hAnsi="仿宋" w:eastAsia="仿宋" w:cs="仿宋"/>
                <w:b/>
                <w:sz w:val="24"/>
              </w:rPr>
              <w:t>序号</w:t>
            </w:r>
          </w:p>
        </w:tc>
        <w:tc>
          <w:tcPr>
            <w:tcW w:w="1362" w:type="dxa"/>
            <w:vAlign w:val="center"/>
          </w:tcPr>
          <w:p>
            <w:pPr>
              <w:snapToGrid w:val="0"/>
              <w:jc w:val="center"/>
              <w:rPr>
                <w:rFonts w:hint="eastAsia" w:ascii="仿宋" w:hAnsi="仿宋" w:eastAsia="仿宋" w:cs="仿宋"/>
                <w:b/>
                <w:sz w:val="24"/>
              </w:rPr>
            </w:pPr>
            <w:r>
              <w:rPr>
                <w:rFonts w:hint="eastAsia" w:ascii="仿宋" w:hAnsi="仿宋" w:eastAsia="仿宋" w:cs="仿宋"/>
                <w:b/>
                <w:sz w:val="24"/>
              </w:rPr>
              <w:t>内容</w:t>
            </w:r>
          </w:p>
        </w:tc>
        <w:tc>
          <w:tcPr>
            <w:tcW w:w="6673" w:type="dxa"/>
            <w:vAlign w:val="center"/>
          </w:tcPr>
          <w:p>
            <w:pPr>
              <w:snapToGrid w:val="0"/>
              <w:jc w:val="center"/>
              <w:rPr>
                <w:rFonts w:hint="eastAsia" w:ascii="仿宋" w:hAnsi="仿宋" w:eastAsia="仿宋" w:cs="仿宋"/>
                <w:b/>
                <w:sz w:val="24"/>
              </w:rPr>
            </w:pPr>
            <w:r>
              <w:rPr>
                <w:rFonts w:hint="eastAsia" w:ascii="仿宋" w:hAnsi="仿宋" w:eastAsia="仿宋" w:cs="仿宋"/>
                <w:b/>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85" w:type="dxa"/>
            <w:vAlign w:val="center"/>
          </w:tcPr>
          <w:p>
            <w:pPr>
              <w:snapToGrid w:val="0"/>
              <w:jc w:val="center"/>
              <w:rPr>
                <w:rFonts w:hint="eastAsia" w:ascii="仿宋" w:hAnsi="仿宋" w:eastAsia="仿宋" w:cs="仿宋"/>
                <w:sz w:val="24"/>
              </w:rPr>
            </w:pPr>
            <w:r>
              <w:rPr>
                <w:rFonts w:hint="eastAsia" w:ascii="仿宋" w:hAnsi="仿宋" w:eastAsia="仿宋" w:cs="仿宋"/>
                <w:sz w:val="24"/>
              </w:rPr>
              <w:t>1</w:t>
            </w:r>
          </w:p>
        </w:tc>
        <w:tc>
          <w:tcPr>
            <w:tcW w:w="1362" w:type="dxa"/>
            <w:vAlign w:val="center"/>
          </w:tcPr>
          <w:p>
            <w:pPr>
              <w:snapToGrid w:val="0"/>
              <w:jc w:val="center"/>
              <w:rPr>
                <w:rFonts w:hint="eastAsia" w:ascii="仿宋" w:hAnsi="仿宋" w:eastAsia="仿宋" w:cs="仿宋"/>
                <w:sz w:val="24"/>
              </w:rPr>
            </w:pPr>
            <w:r>
              <w:rPr>
                <w:rFonts w:hint="eastAsia" w:ascii="仿宋" w:hAnsi="仿宋" w:eastAsia="仿宋" w:cs="仿宋"/>
                <w:sz w:val="24"/>
              </w:rPr>
              <w:t>付款方式和支付条件</w:t>
            </w:r>
          </w:p>
        </w:tc>
        <w:tc>
          <w:tcPr>
            <w:tcW w:w="6673" w:type="dxa"/>
            <w:vAlign w:val="center"/>
          </w:tcPr>
          <w:p>
            <w:pPr>
              <w:snapToGrid w:val="0"/>
              <w:jc w:val="left"/>
              <w:rPr>
                <w:rFonts w:hint="eastAsia" w:ascii="仿宋" w:hAnsi="仿宋" w:eastAsia="仿宋" w:cs="仿宋"/>
                <w:sz w:val="24"/>
              </w:rPr>
            </w:pPr>
            <w:r>
              <w:rPr>
                <w:rFonts w:hint="eastAsia" w:ascii="仿宋" w:hAnsi="仿宋" w:eastAsia="仿宋" w:cs="仿宋"/>
                <w:sz w:val="24"/>
              </w:rPr>
              <w:t>第一次付款：合同生效并具备实施条件后7个工作日内支付合同总额的40%的预付款。（供应商明确表示无需预付款项的，无需支付）</w:t>
            </w:r>
          </w:p>
          <w:p>
            <w:pPr>
              <w:snapToGrid w:val="0"/>
              <w:jc w:val="left"/>
              <w:rPr>
                <w:rFonts w:hint="eastAsia" w:ascii="仿宋" w:hAnsi="仿宋" w:eastAsia="仿宋" w:cs="仿宋"/>
              </w:rPr>
            </w:pPr>
            <w:r>
              <w:rPr>
                <w:rFonts w:hint="eastAsia" w:ascii="仿宋" w:hAnsi="仿宋" w:eastAsia="仿宋" w:cs="仿宋"/>
                <w:sz w:val="24"/>
              </w:rPr>
              <w:t>第二次付款：按要求完成培训服务、由采购人组织验收通过后7个工作日内采购人向供应商支付剩余合同款。</w:t>
            </w:r>
          </w:p>
        </w:tc>
      </w:tr>
    </w:tbl>
    <w:p>
      <w:pPr>
        <w:rPr>
          <w:rFonts w:hint="eastAsia" w:ascii="仿宋" w:hAnsi="仿宋" w:eastAsia="仿宋" w:cs="仿宋"/>
        </w:rPr>
      </w:pPr>
    </w:p>
    <w:p>
      <w:pPr>
        <w:pStyle w:val="6"/>
        <w:rPr>
          <w:rFonts w:hint="eastAsia" w:ascii="仿宋" w:hAnsi="仿宋" w:eastAsia="仿宋" w:cs="仿宋"/>
          <w:sz w:val="28"/>
          <w:szCs w:val="28"/>
        </w:rPr>
      </w:pPr>
      <w:bookmarkStart w:id="81" w:name="_Toc16779"/>
      <w:r>
        <w:rPr>
          <w:rFonts w:hint="eastAsia" w:ascii="仿宋" w:hAnsi="仿宋" w:eastAsia="仿宋" w:cs="仿宋"/>
          <w:sz w:val="28"/>
          <w:szCs w:val="28"/>
        </w:rPr>
        <w:t>五、验收</w:t>
      </w:r>
      <w:bookmarkEnd w:id="81"/>
    </w:p>
    <w:p>
      <w:pPr>
        <w:pStyle w:val="2"/>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1.成交供应商在项目完成后进行内部自行验收，验收完成后向采购人提交正式申请验收报告。成交供应商应将项目执行过程及时记录、收集、整理，向采购人递交验收申请资料。验收合格后，验收报告经双方共同签字盖章确认。</w:t>
      </w:r>
    </w:p>
    <w:p>
      <w:pPr>
        <w:pStyle w:val="2"/>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2.验收内容：成交供应商实际完成的情况是否符合合同约定的服务内容。</w:t>
      </w:r>
    </w:p>
    <w:p>
      <w:pPr>
        <w:pStyle w:val="2"/>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3.验收标准：成交供应商已经按照合同约定的服务内容完成本项目。</w:t>
      </w:r>
    </w:p>
    <w:p>
      <w:pPr>
        <w:pStyle w:val="2"/>
        <w:spacing w:line="360" w:lineRule="auto"/>
        <w:ind w:firstLine="480" w:firstLineChars="200"/>
        <w:rPr>
          <w:rFonts w:hint="eastAsia" w:ascii="仿宋" w:hAnsi="仿宋" w:eastAsia="仿宋" w:cs="仿宋"/>
          <w:sz w:val="24"/>
          <w:szCs w:val="32"/>
        </w:rPr>
      </w:pPr>
      <w:r>
        <w:rPr>
          <w:rFonts w:hint="eastAsia" w:ascii="仿宋" w:hAnsi="仿宋" w:eastAsia="仿宋" w:cs="仿宋"/>
          <w:sz w:val="24"/>
          <w:szCs w:val="32"/>
        </w:rPr>
        <w:t>4.经验收后，成交供应商服务成果不合格的，采购人有权要求成交供应商进行整改，相关费用由成交供应商承担;如整改后仍不合格的，采购人有权解除合同，并要求成交供应商承担违约责任。</w:t>
      </w:r>
    </w:p>
    <w:p>
      <w:pPr>
        <w:rPr>
          <w:rFonts w:hint="eastAsia" w:ascii="仿宋" w:hAnsi="仿宋" w:eastAsia="仿宋" w:cs="仿宋"/>
          <w:sz w:val="24"/>
          <w:szCs w:val="32"/>
        </w:rPr>
      </w:pPr>
      <w:r>
        <w:rPr>
          <w:rFonts w:hint="eastAsia" w:ascii="仿宋" w:hAnsi="仿宋" w:eastAsia="仿宋" w:cs="仿宋"/>
          <w:sz w:val="24"/>
          <w:szCs w:val="32"/>
        </w:rPr>
        <w:br w:type="page"/>
      </w:r>
    </w:p>
    <w:p>
      <w:pPr>
        <w:pStyle w:val="3"/>
        <w:rPr>
          <w:rFonts w:hint="eastAsia"/>
        </w:rPr>
      </w:pPr>
    </w:p>
    <w:bookmarkEnd w:id="65"/>
    <w:bookmarkEnd w:id="79"/>
    <w:p>
      <w:pPr>
        <w:pStyle w:val="5"/>
        <w:spacing w:line="579" w:lineRule="auto"/>
        <w:jc w:val="center"/>
        <w:rPr>
          <w:rFonts w:hint="eastAsia" w:ascii="仿宋" w:hAnsi="仿宋" w:eastAsia="仿宋" w:cs="仿宋"/>
        </w:rPr>
      </w:pPr>
      <w:bookmarkStart w:id="82" w:name="_Toc12908"/>
      <w:bookmarkStart w:id="83" w:name="_Toc28139"/>
      <w:r>
        <w:rPr>
          <w:rFonts w:hint="eastAsia" w:ascii="仿宋" w:hAnsi="仿宋" w:eastAsia="仿宋" w:cs="仿宋"/>
        </w:rPr>
        <w:t>第四部分 拟签订的合同文本</w:t>
      </w:r>
      <w:bookmarkEnd w:id="82"/>
    </w:p>
    <w:p>
      <w:pPr>
        <w:adjustRightInd w:val="0"/>
        <w:spacing w:line="360" w:lineRule="auto"/>
        <w:ind w:firstLine="536" w:firstLineChars="200"/>
        <w:jc w:val="center"/>
        <w:outlineLvl w:val="1"/>
        <w:rPr>
          <w:rFonts w:hint="eastAsia" w:ascii="仿宋" w:hAnsi="仿宋" w:eastAsia="仿宋" w:cs="仿宋"/>
          <w:b/>
          <w:spacing w:val="-6"/>
          <w:sz w:val="28"/>
          <w:szCs w:val="28"/>
        </w:rPr>
      </w:pPr>
      <w:bookmarkStart w:id="84" w:name="_Toc25757"/>
      <w:bookmarkStart w:id="85" w:name="_Toc498286578"/>
      <w:r>
        <w:rPr>
          <w:rFonts w:hint="eastAsia" w:ascii="仿宋" w:hAnsi="仿宋" w:eastAsia="仿宋" w:cs="仿宋"/>
          <w:b/>
          <w:spacing w:val="-6"/>
          <w:sz w:val="28"/>
          <w:szCs w:val="28"/>
        </w:rPr>
        <w:t>浙江省教育考试院采购合同</w:t>
      </w:r>
      <w:bookmarkEnd w:id="84"/>
    </w:p>
    <w:p>
      <w:pPr>
        <w:tabs>
          <w:tab w:val="left" w:pos="540"/>
        </w:tabs>
        <w:adjustRightInd w:val="0"/>
        <w:snapToGrid w:val="0"/>
        <w:spacing w:line="360" w:lineRule="auto"/>
        <w:jc w:val="right"/>
        <w:rPr>
          <w:rFonts w:hint="eastAsia" w:ascii="仿宋" w:hAnsi="仿宋" w:eastAsia="仿宋" w:cs="仿宋"/>
          <w:b/>
          <w:sz w:val="24"/>
        </w:rPr>
      </w:pPr>
      <w:r>
        <w:rPr>
          <w:rFonts w:hint="eastAsia" w:ascii="仿宋" w:hAnsi="仿宋" w:eastAsia="仿宋" w:cs="仿宋"/>
          <w:b/>
          <w:sz w:val="24"/>
        </w:rPr>
        <w:t xml:space="preserve">   合同编号：</w:t>
      </w:r>
    </w:p>
    <w:p>
      <w:pPr>
        <w:tabs>
          <w:tab w:val="left" w:pos="540"/>
        </w:tabs>
        <w:adjustRightInd w:val="0"/>
        <w:snapToGrid w:val="0"/>
        <w:spacing w:line="360" w:lineRule="auto"/>
        <w:jc w:val="right"/>
        <w:rPr>
          <w:rFonts w:hint="eastAsia" w:ascii="仿宋" w:hAnsi="仿宋" w:eastAsia="仿宋" w:cs="仿宋"/>
          <w:b/>
          <w:sz w:val="24"/>
        </w:rPr>
      </w:pPr>
      <w:r>
        <w:rPr>
          <w:rFonts w:hint="eastAsia" w:ascii="仿宋" w:hAnsi="仿宋" w:eastAsia="仿宋" w:cs="仿宋"/>
          <w:b/>
          <w:sz w:val="24"/>
        </w:rPr>
        <w:t xml:space="preserve">   确认书号：</w:t>
      </w:r>
    </w:p>
    <w:p>
      <w:pPr>
        <w:adjustRightInd w:val="0"/>
        <w:snapToGrid w:val="0"/>
        <w:spacing w:before="120" w:after="120" w:line="360" w:lineRule="auto"/>
        <w:jc w:val="center"/>
        <w:rPr>
          <w:rFonts w:hint="eastAsia" w:ascii="仿宋" w:hAnsi="仿宋" w:eastAsia="仿宋" w:cs="仿宋"/>
          <w:b/>
          <w:sz w:val="24"/>
        </w:rPr>
      </w:pPr>
      <w:r>
        <w:rPr>
          <w:rFonts w:hint="eastAsia" w:ascii="仿宋" w:hAnsi="仿宋" w:eastAsia="仿宋" w:cs="仿宋"/>
          <w:sz w:val="24"/>
        </w:rPr>
        <w:t>（本合同为合同样稿，最终稿由双方协商后根据相关制度确定）</w:t>
      </w:r>
    </w:p>
    <w:p>
      <w:pPr>
        <w:adjustRightInd w:val="0"/>
        <w:snapToGrid w:val="0"/>
        <w:spacing w:line="360" w:lineRule="auto"/>
        <w:ind w:firstLine="480" w:firstLineChars="200"/>
        <w:rPr>
          <w:rFonts w:hint="eastAsia" w:ascii="仿宋" w:hAnsi="仿宋" w:eastAsia="仿宋" w:cs="仿宋"/>
          <w:b/>
          <w:bCs/>
          <w:sz w:val="24"/>
        </w:rPr>
      </w:pPr>
      <w:r>
        <w:rPr>
          <w:rFonts w:hint="eastAsia" w:ascii="仿宋" w:hAnsi="仿宋" w:eastAsia="仿宋" w:cs="仿宋"/>
          <w:b/>
          <w:bCs/>
          <w:sz w:val="24"/>
        </w:rPr>
        <w:t>甲方:浙江省教育考试院</w:t>
      </w:r>
    </w:p>
    <w:p>
      <w:pPr>
        <w:adjustRightInd w:val="0"/>
        <w:snapToGrid w:val="0"/>
        <w:spacing w:line="360" w:lineRule="auto"/>
        <w:ind w:firstLine="480" w:firstLineChars="200"/>
        <w:rPr>
          <w:rFonts w:hint="eastAsia" w:ascii="仿宋" w:hAnsi="仿宋" w:eastAsia="仿宋" w:cs="仿宋"/>
          <w:b/>
          <w:bCs/>
          <w:sz w:val="24"/>
        </w:rPr>
      </w:pPr>
      <w:r>
        <w:rPr>
          <w:rFonts w:hint="eastAsia" w:ascii="仿宋" w:hAnsi="仿宋" w:eastAsia="仿宋" w:cs="仿宋"/>
          <w:b/>
          <w:bCs/>
          <w:sz w:val="24"/>
        </w:rPr>
        <w:t>乙方:________________</w:t>
      </w:r>
    </w:p>
    <w:p>
      <w:pPr>
        <w:tabs>
          <w:tab w:val="left" w:pos="540"/>
        </w:tabs>
        <w:adjustRightInd w:val="0"/>
        <w:snapToGrid w:val="0"/>
        <w:spacing w:line="360" w:lineRule="auto"/>
        <w:ind w:firstLine="480" w:firstLineChars="200"/>
        <w:jc w:val="left"/>
        <w:rPr>
          <w:rFonts w:hint="eastAsia" w:ascii="仿宋" w:hAnsi="仿宋" w:eastAsia="仿宋" w:cs="仿宋"/>
          <w:b/>
          <w:sz w:val="24"/>
        </w:rPr>
      </w:pPr>
      <w:r>
        <w:rPr>
          <w:rFonts w:hint="eastAsia" w:ascii="仿宋" w:hAnsi="仿宋" w:eastAsia="仿宋" w:cs="仿宋"/>
          <w:b/>
          <w:sz w:val="24"/>
        </w:rPr>
        <w:t>甲、乙双方根据浙江国际招投标有限公司关于项目编号为</w:t>
      </w:r>
      <w:r>
        <w:rPr>
          <w:rFonts w:hint="eastAsia" w:ascii="仿宋" w:hAnsi="仿宋" w:eastAsia="仿宋" w:cs="仿宋"/>
          <w:b/>
          <w:sz w:val="24"/>
          <w:u w:val="single"/>
        </w:rPr>
        <w:t xml:space="preserve">            </w:t>
      </w:r>
      <w:r>
        <w:rPr>
          <w:rFonts w:hint="eastAsia" w:ascii="仿宋" w:hAnsi="仿宋" w:eastAsia="仿宋" w:cs="仿宋"/>
          <w:b/>
          <w:sz w:val="24"/>
        </w:rPr>
        <w:t>的（</w:t>
      </w:r>
      <w:r>
        <w:rPr>
          <w:rFonts w:hint="eastAsia" w:ascii="仿宋" w:hAnsi="仿宋" w:eastAsia="仿宋" w:cs="仿宋"/>
          <w:b/>
          <w:sz w:val="24"/>
          <w:u w:val="single"/>
        </w:rPr>
        <w:t xml:space="preserve">            </w:t>
      </w:r>
      <w:r>
        <w:rPr>
          <w:rFonts w:hint="eastAsia" w:ascii="仿宋" w:hAnsi="仿宋" w:eastAsia="仿宋" w:cs="仿宋"/>
          <w:b/>
          <w:sz w:val="24"/>
        </w:rPr>
        <w:t>项目）项目单一来源采购的结果，签署本合同。</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rPr>
        <w:t>一、合同文件组成及解释顺序</w:t>
      </w:r>
    </w:p>
    <w:p>
      <w:pPr>
        <w:tabs>
          <w:tab w:val="left" w:pos="360"/>
          <w:tab w:val="left" w:pos="540"/>
        </w:tabs>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组成合同的各项文件应相互解释，互为说明。除合同另有规定外，其优先顺序如下。</w:t>
      </w:r>
    </w:p>
    <w:p>
      <w:pPr>
        <w:tabs>
          <w:tab w:val="left" w:pos="540"/>
        </w:tabs>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1.合同补充协议书；</w:t>
      </w:r>
    </w:p>
    <w:p>
      <w:pPr>
        <w:tabs>
          <w:tab w:val="left" w:pos="540"/>
          <w:tab w:val="left" w:pos="840"/>
        </w:tabs>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2.本合同文本及附件；</w:t>
      </w:r>
    </w:p>
    <w:p>
      <w:pPr>
        <w:tabs>
          <w:tab w:val="left" w:pos="540"/>
          <w:tab w:val="left" w:pos="840"/>
        </w:tabs>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3.成交通知书；</w:t>
      </w:r>
    </w:p>
    <w:p>
      <w:pPr>
        <w:tabs>
          <w:tab w:val="left" w:pos="540"/>
          <w:tab w:val="left" w:pos="840"/>
        </w:tabs>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4.询标答复及承诺；</w:t>
      </w:r>
    </w:p>
    <w:p>
      <w:pPr>
        <w:tabs>
          <w:tab w:val="left" w:pos="540"/>
          <w:tab w:val="left" w:pos="840"/>
        </w:tabs>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5.响应文件及附件；</w:t>
      </w:r>
    </w:p>
    <w:p>
      <w:pPr>
        <w:tabs>
          <w:tab w:val="left" w:pos="540"/>
          <w:tab w:val="left" w:pos="840"/>
        </w:tabs>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6.采购补充文件；</w:t>
      </w:r>
    </w:p>
    <w:p>
      <w:pPr>
        <w:tabs>
          <w:tab w:val="left" w:pos="540"/>
          <w:tab w:val="left" w:pos="840"/>
        </w:tabs>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7.采购文件。</w:t>
      </w:r>
    </w:p>
    <w:p>
      <w:pPr>
        <w:adjustRightInd w:val="0"/>
        <w:snapToGrid w:val="0"/>
        <w:spacing w:line="360" w:lineRule="auto"/>
        <w:rPr>
          <w:rFonts w:hint="eastAsia" w:ascii="仿宋" w:hAnsi="仿宋" w:eastAsia="仿宋" w:cs="仿宋"/>
          <w:b/>
          <w:sz w:val="24"/>
        </w:rPr>
      </w:pPr>
      <w:bookmarkStart w:id="86" w:name="_Toc391883638"/>
      <w:bookmarkStart w:id="87" w:name="_Toc139621247"/>
      <w:bookmarkStart w:id="88" w:name="_Toc139621307"/>
      <w:bookmarkStart w:id="89" w:name="_Toc205610321"/>
      <w:bookmarkStart w:id="90" w:name="_Toc139881245"/>
      <w:bookmarkStart w:id="91" w:name="_Toc299912245"/>
      <w:bookmarkStart w:id="92" w:name="_Toc374095912"/>
      <w:bookmarkStart w:id="93" w:name="_Toc136511543"/>
      <w:bookmarkStart w:id="94" w:name="_Toc335302574"/>
      <w:bookmarkStart w:id="95" w:name="_Toc307304125"/>
      <w:bookmarkStart w:id="96" w:name="_Toc263776830"/>
      <w:bookmarkStart w:id="97" w:name="_Toc224873969"/>
      <w:bookmarkStart w:id="98" w:name="_Toc120437444"/>
      <w:r>
        <w:rPr>
          <w:rFonts w:hint="eastAsia" w:ascii="仿宋" w:hAnsi="仿宋" w:eastAsia="仿宋" w:cs="仿宋"/>
          <w:b/>
          <w:sz w:val="24"/>
        </w:rPr>
        <w:t>二、</w:t>
      </w:r>
      <w:bookmarkEnd w:id="86"/>
      <w:bookmarkEnd w:id="87"/>
      <w:bookmarkEnd w:id="88"/>
      <w:bookmarkEnd w:id="89"/>
      <w:bookmarkEnd w:id="90"/>
      <w:bookmarkEnd w:id="91"/>
      <w:bookmarkEnd w:id="92"/>
      <w:bookmarkEnd w:id="93"/>
      <w:bookmarkEnd w:id="94"/>
      <w:bookmarkEnd w:id="95"/>
      <w:bookmarkEnd w:id="96"/>
      <w:bookmarkEnd w:id="97"/>
      <w:r>
        <w:rPr>
          <w:rFonts w:hint="eastAsia" w:ascii="仿宋" w:hAnsi="仿宋" w:eastAsia="仿宋" w:cs="仿宋"/>
          <w:b/>
          <w:sz w:val="24"/>
        </w:rPr>
        <w:t>服务内容：</w:t>
      </w:r>
    </w:p>
    <w:bookmarkEnd w:id="98"/>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
          <w:bCs w:val="0"/>
          <w:sz w:val="24"/>
        </w:rPr>
        <w:t>1.总需求：</w:t>
      </w:r>
      <w:r>
        <w:rPr>
          <w:rFonts w:hint="eastAsia" w:ascii="仿宋" w:hAnsi="仿宋" w:eastAsia="仿宋" w:cs="仿宋"/>
          <w:bCs/>
          <w:sz w:val="24"/>
        </w:rPr>
        <w:t>形成省学前教育高质量发展监测标准、监测指标体系，确定基于指标体系的监测报告分析框架。基于监测指标体系开展全省各县（市、区）学前监测工作培训，进行理念引领和实践指导。</w:t>
      </w:r>
    </w:p>
    <w:p>
      <w:pPr>
        <w:adjustRightInd w:val="0"/>
        <w:snapToGrid w:val="0"/>
        <w:spacing w:line="360" w:lineRule="auto"/>
        <w:ind w:firstLine="480" w:firstLineChars="200"/>
        <w:rPr>
          <w:rFonts w:hint="eastAsia" w:ascii="仿宋" w:hAnsi="仿宋" w:eastAsia="仿宋" w:cs="仿宋"/>
          <w:b/>
          <w:bCs w:val="0"/>
          <w:sz w:val="24"/>
        </w:rPr>
      </w:pPr>
      <w:r>
        <w:rPr>
          <w:rFonts w:hint="eastAsia" w:ascii="仿宋" w:hAnsi="仿宋" w:eastAsia="仿宋" w:cs="仿宋"/>
          <w:b/>
          <w:bCs w:val="0"/>
          <w:sz w:val="24"/>
        </w:rPr>
        <w:t>2.具体需求：</w:t>
      </w:r>
    </w:p>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（1）国内外学前教育高质量发展监测相关文献研究。</w:t>
      </w:r>
    </w:p>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（2）学前教育高质量发展监测指标体系研制。包括理论定义和操作定义。对二级指标、三级指标的细化呈现、关键指标梳理等开展指标研制。</w:t>
      </w:r>
    </w:p>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（3）指标研讨与论证。研制过程中，开展多轮专家论证、社会群体意见征集等，形成学前教育高质量发展监测实施方案和监测指标体系。参与监测试点前测工作。</w:t>
      </w:r>
    </w:p>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（4）监测报告模板的呈现研究。基于监测体系，撰写省和县级监测报告的呈现模板。</w:t>
      </w:r>
    </w:p>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（5）为后续指标体系修正、个性化监测模块增加，提供智力支持并形成书面意见。</w:t>
      </w:r>
    </w:p>
    <w:p>
      <w:pPr>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（6）对全省各市、县（市、区）教育局学前监测工作开展人员培训，时间为3天。内容包括理念引领、指标解读、实践操作等。</w:t>
      </w:r>
    </w:p>
    <w:p>
      <w:pPr>
        <w:tabs>
          <w:tab w:val="left" w:pos="540"/>
        </w:tabs>
        <w:adjustRightInd w:val="0"/>
        <w:snapToGrid w:val="0"/>
        <w:spacing w:line="360" w:lineRule="auto"/>
        <w:rPr>
          <w:rFonts w:hint="eastAsia" w:ascii="仿宋" w:hAnsi="仿宋" w:eastAsia="仿宋" w:cs="仿宋"/>
          <w:bCs/>
          <w:sz w:val="24"/>
        </w:rPr>
      </w:pPr>
      <w:bookmarkStart w:id="99" w:name="_Toc120437455"/>
      <w:r>
        <w:rPr>
          <w:rFonts w:hint="eastAsia" w:ascii="仿宋" w:hAnsi="仿宋" w:eastAsia="仿宋" w:cs="仿宋"/>
          <w:b/>
          <w:sz w:val="24"/>
        </w:rPr>
        <w:t>三、服务期：2024年3月-2024年12月</w:t>
      </w:r>
      <w:r>
        <w:rPr>
          <w:rFonts w:hint="eastAsia" w:ascii="仿宋" w:hAnsi="仿宋" w:eastAsia="仿宋" w:cs="仿宋"/>
          <w:bCs/>
          <w:sz w:val="24"/>
        </w:rPr>
        <w:t>。</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rPr>
        <w:t>四、履约保证金</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无。</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rPr>
        <w:t>五、费用及支付方式（暂定）</w:t>
      </w:r>
    </w:p>
    <w:p>
      <w:pPr>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1.本项目为固定合同总价，合同总金额为￥</w:t>
      </w:r>
      <w:r>
        <w:rPr>
          <w:rFonts w:hint="eastAsia" w:ascii="仿宋" w:hAnsi="仿宋" w:eastAsia="仿宋" w:cs="仿宋"/>
          <w:sz w:val="24"/>
          <w:u w:val="single"/>
        </w:rPr>
        <w:t xml:space="preserve">      </w:t>
      </w:r>
      <w:r>
        <w:rPr>
          <w:rFonts w:hint="eastAsia" w:ascii="仿宋" w:hAnsi="仿宋" w:eastAsia="仿宋" w:cs="仿宋"/>
          <w:sz w:val="24"/>
        </w:rPr>
        <w:t>元（大写：______元整）（</w:t>
      </w:r>
      <w:r>
        <w:rPr>
          <w:rFonts w:hint="eastAsia" w:ascii="仿宋" w:hAnsi="仿宋" w:eastAsia="仿宋" w:cs="仿宋"/>
          <w:sz w:val="24"/>
          <w:lang w:eastAsia="zh-Hans"/>
        </w:rPr>
        <w:t>含税）该费用已包含完成项目所需的一切费用</w:t>
      </w:r>
      <w:r>
        <w:rPr>
          <w:rFonts w:hint="eastAsia" w:ascii="仿宋" w:hAnsi="仿宋" w:eastAsia="仿宋" w:cs="仿宋"/>
          <w:sz w:val="24"/>
        </w:rPr>
        <w:t>。</w:t>
      </w:r>
    </w:p>
    <w:p>
      <w:pPr>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2.分两次支付，</w:t>
      </w:r>
      <w:bookmarkEnd w:id="99"/>
    </w:p>
    <w:p>
      <w:pPr>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第一次付款：合同生效并具备实施条件后7个工作日内支付合同总额的40%，计￥</w:t>
      </w:r>
      <w:r>
        <w:rPr>
          <w:rFonts w:hint="eastAsia" w:ascii="仿宋" w:hAnsi="仿宋" w:eastAsia="仿宋" w:cs="仿宋"/>
          <w:sz w:val="24"/>
          <w:u w:val="single"/>
        </w:rPr>
        <w:t xml:space="preserve">      </w:t>
      </w:r>
      <w:r>
        <w:rPr>
          <w:rFonts w:hint="eastAsia" w:ascii="仿宋" w:hAnsi="仿宋" w:eastAsia="仿宋" w:cs="仿宋"/>
          <w:sz w:val="24"/>
        </w:rPr>
        <w:t>元（大写：______元整）。（供应商明确表示无需预付款项的，无需支付）</w:t>
      </w:r>
    </w:p>
    <w:p>
      <w:pPr>
        <w:adjustRightInd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第二次付款：按要求完成培训服务后由甲方组织验收通过后7个工作日内甲方向乙方支付剩余合同款，计￥</w:t>
      </w:r>
      <w:r>
        <w:rPr>
          <w:rFonts w:hint="eastAsia" w:ascii="仿宋" w:hAnsi="仿宋" w:eastAsia="仿宋" w:cs="仿宋"/>
          <w:sz w:val="24"/>
          <w:u w:val="single"/>
        </w:rPr>
        <w:t xml:space="preserve">      </w:t>
      </w:r>
      <w:r>
        <w:rPr>
          <w:rFonts w:hint="eastAsia" w:ascii="仿宋" w:hAnsi="仿宋" w:eastAsia="仿宋" w:cs="仿宋"/>
          <w:sz w:val="24"/>
        </w:rPr>
        <w:t>元（大写：______元整）</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rPr>
        <w:t>六、项目实施</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乙方根据甲方要求制定并完善项目实施计划，经甲方同意后方可实施。乙方应按计划分阶段逐步抓好项目落实，实施过程中所涉及的方案及成果等均应根据甲方要求修改完善直至甲方满意为止。建立项目管理台帐，落实专人定期进行督促指导，确保项目按时、按标准完成。</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2．乙方的项目实施活动须接受甲方的指导与监督，对甲方提出的合理意见须积极采纳，乙方在项目实施过程中如涉及项目组成员更换或流程调整等须及时向甲方报送并审核，甲方认可后方可调整。</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3.项目成员一经甲方确定后，未经甲方许可不得擅自更换及调动现有项目成员。服务期内，如存在人员无法胜任或有违规违纪等现象的，甲方有权要求乙方更换项目成员直至满意为止。</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4.违反上述约定的，每次扣款5000元，甲方有权在乙方的合同款中直接扣除。</w:t>
      </w:r>
    </w:p>
    <w:p>
      <w:pPr>
        <w:widowControl/>
        <w:tabs>
          <w:tab w:val="left" w:pos="540"/>
        </w:tabs>
        <w:adjustRightInd w:val="0"/>
        <w:snapToGrid w:val="0"/>
        <w:spacing w:line="360" w:lineRule="auto"/>
        <w:jc w:val="left"/>
        <w:rPr>
          <w:rFonts w:hint="eastAsia" w:ascii="仿宋" w:hAnsi="仿宋" w:eastAsia="仿宋" w:cs="仿宋"/>
          <w:b/>
          <w:sz w:val="24"/>
        </w:rPr>
      </w:pPr>
      <w:r>
        <w:rPr>
          <w:rFonts w:hint="eastAsia" w:ascii="仿宋" w:hAnsi="仿宋" w:eastAsia="仿宋" w:cs="仿宋"/>
          <w:b/>
          <w:sz w:val="24"/>
        </w:rPr>
        <w:t>七、验收</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1.验收主体：浙江省教育考试院。</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2.甲方在乙方提供服务的过程中，有权不定期对服务内容和质量进行考核。乙方应当配合进行。</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3.验收程序：乙方向甲方提出申请验收，甲方组织履约验收。乙方应将项目执行过程及时记录、收集、整理，向甲方递交验收申请资料。</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4.验收内容：乙方实际完成的情况是否符合采购文件要求和乙方在响应文件中的商务、技术承诺。</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5.验收标准：乙方已经按采购文件要求和乙方在响应文件中的商务、技术承诺完成项目执行。</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经验收后，乙方服务成果不合格的（或未通过评审的），甲方有权要求乙方进行整改，相关费用由乙方承担；如整改后仍不合格的，甲方有权解除合同，并可以拒绝支付未支付的款项，乙方已经收取的款项应退还给甲方。</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rPr>
        <w:t>八、双方的权利与义务</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1.甲方的权利与义务</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（1）甲方有权了解掌握并监督项目工作进度。</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（2）甲方有按期支付合同价款的义务。</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（3）甲方有提出合理意见及建议的权利。</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（4）甲方有权对乙方进行考核。</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（5）合同履行过程中，如有必要，甲方负责协调乙方与其他相关部门和单位的关系。</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2.乙方的权利与义务</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（1）乙方可要求甲方按本合同的规定按时足额支付项目经费。</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（2）乙方在履行合同过程中，不得将项目转包给第三人。</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（3）乙方应如实向甲方汇报项目进展情况。</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（4）乙方应按合同的约定按时、按标准完成项目任务。</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（5）对甲方提出的合理意见和建议有采纳的义务。</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（6）乙方应在项目的执行过程中应遵守法律法规、浙江省教育考试院相关规章制度。</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（7）乙方不得以甲方名义或在甲方所在办公楼开展任何形式的营利性经营活动。</w:t>
      </w:r>
    </w:p>
    <w:p>
      <w:pPr>
        <w:autoSpaceDE w:val="0"/>
        <w:autoSpaceDN w:val="0"/>
        <w:adjustRightInd w:val="0"/>
        <w:snapToGrid w:val="0"/>
        <w:spacing w:line="360" w:lineRule="auto"/>
        <w:ind w:firstLine="480" w:firstLineChars="200"/>
        <w:rPr>
          <w:rFonts w:hint="eastAsia" w:ascii="仿宋" w:hAnsi="仿宋" w:eastAsia="仿宋" w:cs="仿宋"/>
        </w:rPr>
      </w:pPr>
      <w:r>
        <w:rPr>
          <w:rFonts w:hint="eastAsia" w:ascii="仿宋" w:hAnsi="仿宋" w:eastAsia="仿宋" w:cs="仿宋"/>
          <w:sz w:val="24"/>
        </w:rPr>
        <w:t>（8）项目涉及的所有文字、照片、视频等资料版权归甲方所有，未经甲方书面同意，乙方不得使用或保留。</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（9）乙方将本合同范围的部分服务分包给他人供应时，应提前告知甲方并经甲方同意。</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rPr>
        <w:t>九、知识产权及保密协定</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1.乙方</w:t>
      </w:r>
      <w:r>
        <w:rPr>
          <w:rFonts w:hint="eastAsia" w:ascii="仿宋" w:hAnsi="仿宋" w:eastAsia="仿宋" w:cs="仿宋"/>
          <w:sz w:val="24"/>
          <w:lang w:eastAsia="zh-Hans"/>
        </w:rPr>
        <w:t>承诺</w:t>
      </w:r>
      <w:r>
        <w:rPr>
          <w:rFonts w:hint="eastAsia" w:ascii="仿宋" w:hAnsi="仿宋" w:eastAsia="仿宋" w:cs="仿宋"/>
          <w:sz w:val="24"/>
        </w:rPr>
        <w:t>项目中</w:t>
      </w:r>
      <w:r>
        <w:rPr>
          <w:rFonts w:hint="eastAsia" w:ascii="仿宋" w:hAnsi="仿宋" w:eastAsia="仿宋" w:cs="仿宋"/>
          <w:sz w:val="24"/>
          <w:lang w:eastAsia="zh-Hans"/>
        </w:rPr>
        <w:t>涉及的</w:t>
      </w:r>
      <w:r>
        <w:rPr>
          <w:rFonts w:hint="eastAsia" w:ascii="仿宋" w:hAnsi="仿宋" w:eastAsia="仿宋" w:cs="仿宋"/>
          <w:sz w:val="24"/>
        </w:rPr>
        <w:t>所有文字、照片、视频、</w:t>
      </w:r>
      <w:r>
        <w:rPr>
          <w:rFonts w:hint="eastAsia" w:ascii="仿宋" w:hAnsi="仿宋" w:eastAsia="仿宋" w:cs="仿宋"/>
          <w:sz w:val="24"/>
          <w:lang w:eastAsia="zh-Hans"/>
        </w:rPr>
        <w:t>动画、效果、画面、音乐、配音等</w:t>
      </w:r>
      <w:r>
        <w:rPr>
          <w:rFonts w:hint="eastAsia" w:ascii="仿宋" w:hAnsi="仿宋" w:eastAsia="仿宋" w:cs="仿宋"/>
          <w:sz w:val="24"/>
        </w:rPr>
        <w:t>资料及服务内容</w:t>
      </w:r>
      <w:r>
        <w:rPr>
          <w:rFonts w:hint="eastAsia" w:ascii="仿宋" w:hAnsi="仿宋" w:eastAsia="仿宋" w:cs="仿宋"/>
          <w:sz w:val="24"/>
          <w:lang w:eastAsia="zh-Hans"/>
        </w:rPr>
        <w:t>，未侵犯他人</w:t>
      </w:r>
      <w:r>
        <w:rPr>
          <w:rFonts w:hint="eastAsia" w:ascii="仿宋" w:hAnsi="仿宋" w:eastAsia="仿宋" w:cs="仿宋"/>
          <w:sz w:val="24"/>
        </w:rPr>
        <w:t>知识产权和相关权益</w:t>
      </w:r>
      <w:r>
        <w:rPr>
          <w:rFonts w:hint="eastAsia" w:ascii="仿宋" w:hAnsi="仿宋" w:eastAsia="仿宋" w:cs="仿宋"/>
          <w:sz w:val="24"/>
          <w:lang w:eastAsia="zh-Hans"/>
        </w:rPr>
        <w:t>，否则因此产生的一切法律后果以及责任由</w:t>
      </w:r>
      <w:r>
        <w:rPr>
          <w:rFonts w:hint="eastAsia" w:ascii="仿宋" w:hAnsi="仿宋" w:eastAsia="仿宋" w:cs="仿宋"/>
          <w:sz w:val="24"/>
        </w:rPr>
        <w:t>乙方</w:t>
      </w:r>
      <w:r>
        <w:rPr>
          <w:rFonts w:hint="eastAsia" w:ascii="仿宋" w:hAnsi="仿宋" w:eastAsia="仿宋" w:cs="仿宋"/>
          <w:sz w:val="24"/>
          <w:lang w:eastAsia="zh-Hans"/>
        </w:rPr>
        <w:t>承担</w:t>
      </w:r>
      <w:r>
        <w:rPr>
          <w:rFonts w:hint="eastAsia" w:ascii="仿宋" w:hAnsi="仿宋" w:eastAsia="仿宋" w:cs="仿宋"/>
          <w:sz w:val="24"/>
        </w:rPr>
        <w:t>。</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2.乙方服务过程中所产生的所有资料的知识产权均归属于甲方。未经甲方书面同意，乙方不得擅自使用、保留，否则甲方将追究乙方的法律责任。</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3.协议双方应对项目方案、报价、文件、资料履行保密责任，不得泄露给任意第三方，如一方违反此约定，违约方应向另一方支付合同总额20%的违约金。</w:t>
      </w:r>
    </w:p>
    <w:p>
      <w:pPr>
        <w:widowControl/>
        <w:adjustRightInd w:val="0"/>
        <w:spacing w:line="360" w:lineRule="auto"/>
        <w:ind w:firstLine="480" w:firstLineChars="200"/>
        <w:jc w:val="left"/>
        <w:rPr>
          <w:rFonts w:hint="eastAsia" w:ascii="仿宋" w:hAnsi="仿宋" w:eastAsia="仿宋" w:cs="仿宋"/>
          <w:sz w:val="20"/>
          <w:szCs w:val="20"/>
        </w:rPr>
      </w:pPr>
      <w:r>
        <w:rPr>
          <w:rFonts w:hint="eastAsia" w:ascii="仿宋" w:hAnsi="仿宋" w:eastAsia="仿宋" w:cs="仿宋"/>
          <w:sz w:val="24"/>
        </w:rPr>
        <w:t>4.本条规定自本合同生效之日起即应履行，并且不受本合同届满、提前终止或本合同中其他条款的无效或履行完毕等情形的影响。</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rPr>
        <w:t>十、违约责任</w:t>
      </w:r>
    </w:p>
    <w:p>
      <w:pPr>
        <w:autoSpaceDE w:val="0"/>
        <w:autoSpaceDN w:val="0"/>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1.乙方未按时完成项目或项目质量出现问题，甲方将根据验收结果报告不予拨付尾款，并做延长服务期限或返还相应款项等处理。</w:t>
      </w:r>
    </w:p>
    <w:p>
      <w:pPr>
        <w:autoSpaceDE w:val="0"/>
        <w:autoSpaceDN w:val="0"/>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2.乙方服务内容应保证不侵犯他人的知识产权和其他合法权益，如出现被其他人追究责任，则</w:t>
      </w:r>
      <w:r>
        <w:rPr>
          <w:rFonts w:hint="eastAsia" w:ascii="仿宋" w:hAnsi="仿宋" w:eastAsia="仿宋" w:cs="仿宋"/>
          <w:bCs/>
          <w:sz w:val="24"/>
          <w:lang w:eastAsia="zh-Hans"/>
        </w:rPr>
        <w:t>由乙方</w:t>
      </w:r>
      <w:r>
        <w:rPr>
          <w:rFonts w:hint="eastAsia" w:ascii="仿宋" w:hAnsi="仿宋" w:eastAsia="仿宋" w:cs="仿宋"/>
          <w:bCs/>
          <w:sz w:val="24"/>
        </w:rPr>
        <w:t>负责处理，</w:t>
      </w:r>
      <w:r>
        <w:rPr>
          <w:rFonts w:hint="eastAsia" w:ascii="仿宋" w:hAnsi="仿宋" w:eastAsia="仿宋" w:cs="仿宋"/>
          <w:bCs/>
          <w:sz w:val="24"/>
          <w:lang w:eastAsia="zh-Hans"/>
        </w:rPr>
        <w:t>由乙方</w:t>
      </w:r>
      <w:r>
        <w:rPr>
          <w:rFonts w:hint="eastAsia" w:ascii="仿宋" w:hAnsi="仿宋" w:eastAsia="仿宋" w:cs="仿宋"/>
          <w:bCs/>
          <w:sz w:val="24"/>
        </w:rPr>
        <w:t>承担所有责任。</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lang w:eastAsia="zh-Hans"/>
        </w:rPr>
        <w:t>十一</w:t>
      </w:r>
      <w:r>
        <w:rPr>
          <w:rFonts w:hint="eastAsia" w:ascii="仿宋" w:hAnsi="仿宋" w:eastAsia="仿宋" w:cs="仿宋"/>
          <w:b/>
          <w:sz w:val="24"/>
        </w:rPr>
        <w:t>、未尽事宜的解决方法</w:t>
      </w:r>
    </w:p>
    <w:p>
      <w:pPr>
        <w:autoSpaceDE w:val="0"/>
        <w:autoSpaceDN w:val="0"/>
        <w:adjustRightInd w:val="0"/>
        <w:snapToGrid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凡涉及本协议或因执行本协议而发生的一切争执，应通过友好协商解决。如果双方无法协商解决，双方同意提交甲方所在地诉讼，由此产生的律师费、诉讼费、诉讼保全担保责任保险费用、公证费、差旅费等均由败诉方承担。</w:t>
      </w:r>
    </w:p>
    <w:p>
      <w:pPr>
        <w:tabs>
          <w:tab w:val="left" w:pos="540"/>
        </w:tabs>
        <w:adjustRightInd w:val="0"/>
        <w:snapToGrid w:val="0"/>
        <w:spacing w:line="360" w:lineRule="auto"/>
        <w:rPr>
          <w:rFonts w:hint="eastAsia" w:ascii="仿宋" w:hAnsi="仿宋" w:eastAsia="仿宋" w:cs="仿宋"/>
          <w:b/>
          <w:sz w:val="24"/>
          <w:lang w:eastAsia="zh-Hans"/>
        </w:rPr>
      </w:pPr>
      <w:r>
        <w:rPr>
          <w:rFonts w:hint="eastAsia" w:ascii="仿宋" w:hAnsi="仿宋" w:eastAsia="仿宋" w:cs="仿宋"/>
          <w:b/>
          <w:sz w:val="24"/>
        </w:rPr>
        <w:t>十</w:t>
      </w:r>
      <w:r>
        <w:rPr>
          <w:rFonts w:hint="eastAsia" w:ascii="仿宋" w:hAnsi="仿宋" w:eastAsia="仿宋" w:cs="仿宋"/>
          <w:b/>
          <w:sz w:val="24"/>
          <w:lang w:eastAsia="zh-Hans"/>
        </w:rPr>
        <w:t>二、 通知和送达</w:t>
      </w:r>
    </w:p>
    <w:p>
      <w:pPr>
        <w:autoSpaceDE w:val="0"/>
        <w:autoSpaceDN w:val="0"/>
        <w:adjustRightInd w:val="0"/>
        <w:snapToGrid w:val="0"/>
        <w:spacing w:line="360" w:lineRule="auto"/>
        <w:ind w:firstLine="480" w:firstLineChars="200"/>
        <w:rPr>
          <w:rFonts w:hint="eastAsia" w:ascii="仿宋" w:hAnsi="仿宋" w:eastAsia="仿宋" w:cs="仿宋"/>
          <w:bCs/>
          <w:sz w:val="24"/>
          <w:lang w:eastAsia="zh-Hans"/>
        </w:rPr>
      </w:pPr>
      <w:r>
        <w:rPr>
          <w:rFonts w:hint="eastAsia" w:ascii="仿宋" w:hAnsi="仿宋" w:eastAsia="仿宋" w:cs="仿宋"/>
          <w:bCs/>
          <w:sz w:val="24"/>
          <w:lang w:eastAsia="zh-Hans"/>
        </w:rPr>
        <w:t>1.与本合同有关的任何通知，应于以书面方式送达本合同尾页双方载明的联系方式。书面形式包括但不限于：快递、邮件、电子邮件、微信、短信。上述通知应被视为在下列时间送达：以快递或专人发送，在收件人签收之日或拒收之日；以挂号邮件发出，在发出之日起第7个工作日；以电子邮件发出，在电子邮件进入收件方电子邮箱服务器之日；以短信、微信发出的，在发出之日。</w:t>
      </w:r>
    </w:p>
    <w:p>
      <w:pPr>
        <w:autoSpaceDE w:val="0"/>
        <w:autoSpaceDN w:val="0"/>
        <w:adjustRightInd w:val="0"/>
        <w:snapToGrid w:val="0"/>
        <w:spacing w:line="360" w:lineRule="auto"/>
        <w:ind w:firstLine="480" w:firstLineChars="200"/>
        <w:rPr>
          <w:rFonts w:hint="eastAsia" w:ascii="仿宋" w:hAnsi="仿宋" w:eastAsia="仿宋" w:cs="仿宋"/>
          <w:bCs/>
          <w:sz w:val="24"/>
          <w:lang w:eastAsia="zh-Hans"/>
        </w:rPr>
      </w:pPr>
      <w:r>
        <w:rPr>
          <w:rFonts w:hint="eastAsia" w:ascii="仿宋" w:hAnsi="仿宋" w:eastAsia="仿宋" w:cs="仿宋"/>
          <w:bCs/>
          <w:sz w:val="24"/>
          <w:lang w:eastAsia="zh-Hans"/>
        </w:rPr>
        <w:t>2.本合同尾页如未确定各方的通讯地址的,自然人以其身份证记载的地址为其确定的通讯地址；法人以其工商登记注册的地址为其确定的通讯地址。如未书面通知变更的,有关文书送达前述地址即视为送达。</w:t>
      </w:r>
    </w:p>
    <w:p>
      <w:pPr>
        <w:autoSpaceDE w:val="0"/>
        <w:autoSpaceDN w:val="0"/>
        <w:adjustRightInd w:val="0"/>
        <w:snapToGrid w:val="0"/>
        <w:spacing w:line="360" w:lineRule="auto"/>
        <w:ind w:firstLine="480" w:firstLineChars="200"/>
        <w:rPr>
          <w:rFonts w:hint="eastAsia" w:ascii="仿宋" w:hAnsi="仿宋" w:eastAsia="仿宋" w:cs="仿宋"/>
          <w:bCs/>
          <w:sz w:val="24"/>
          <w:lang w:eastAsia="zh-Hans"/>
        </w:rPr>
      </w:pPr>
      <w:r>
        <w:rPr>
          <w:rFonts w:hint="eastAsia" w:ascii="仿宋" w:hAnsi="仿宋" w:eastAsia="仿宋" w:cs="仿宋"/>
          <w:bCs/>
          <w:sz w:val="24"/>
          <w:lang w:eastAsia="zh-Hans"/>
        </w:rPr>
        <w:t>3.任何一方指定的通讯地址发生变动的，应提前3日以书面形式通知其他方，否则视为其指定的通讯地址未发生变动。因一方未及时发出变更通知导致的法律后果，由该方自行全部承担。</w:t>
      </w:r>
    </w:p>
    <w:p>
      <w:pPr>
        <w:autoSpaceDE w:val="0"/>
        <w:autoSpaceDN w:val="0"/>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bCs/>
          <w:sz w:val="24"/>
          <w:lang w:eastAsia="zh-Hans"/>
        </w:rPr>
        <w:t>4.各方应当及时签收其他方送达至通讯地址的来往信函。拒不签收的，由此导致的后果均由拒绝接收一方承担。</w:t>
      </w:r>
    </w:p>
    <w:p>
      <w:pPr>
        <w:tabs>
          <w:tab w:val="left" w:pos="540"/>
        </w:tabs>
        <w:adjustRightInd w:val="0"/>
        <w:snapToGrid w:val="0"/>
        <w:spacing w:line="360" w:lineRule="auto"/>
        <w:rPr>
          <w:rFonts w:hint="eastAsia" w:ascii="仿宋" w:hAnsi="仿宋" w:eastAsia="仿宋" w:cs="仿宋"/>
          <w:b/>
          <w:sz w:val="24"/>
        </w:rPr>
      </w:pPr>
      <w:r>
        <w:rPr>
          <w:rFonts w:hint="eastAsia" w:ascii="仿宋" w:hAnsi="仿宋" w:eastAsia="仿宋" w:cs="仿宋"/>
          <w:b/>
          <w:sz w:val="24"/>
        </w:rPr>
        <w:t>十</w:t>
      </w:r>
      <w:r>
        <w:rPr>
          <w:rFonts w:hint="eastAsia" w:ascii="仿宋" w:hAnsi="仿宋" w:eastAsia="仿宋" w:cs="仿宋"/>
          <w:b/>
          <w:sz w:val="24"/>
          <w:lang w:eastAsia="zh-Hans"/>
        </w:rPr>
        <w:t>三</w:t>
      </w:r>
      <w:r>
        <w:rPr>
          <w:rFonts w:hint="eastAsia" w:ascii="仿宋" w:hAnsi="仿宋" w:eastAsia="仿宋" w:cs="仿宋"/>
          <w:b/>
          <w:sz w:val="24"/>
        </w:rPr>
        <w:t>、其它</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1、本合同未尽事宜，双方应本着友好协商的精神，根据国家的有关法律、法规、规定和项目实际情况对合同条款进行补充或修改。</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2、采购文件（编号：   ）、响应文件及评标过程中形成的文字资料、询标纪要均作为本合同的组成部分，具有同等效力。</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3、本合同一式</w:t>
      </w:r>
      <w:r>
        <w:rPr>
          <w:rFonts w:hint="eastAsia" w:ascii="仿宋" w:hAnsi="仿宋" w:eastAsia="仿宋" w:cs="仿宋"/>
          <w:sz w:val="24"/>
          <w:u w:val="single"/>
        </w:rPr>
        <w:t xml:space="preserve">    </w:t>
      </w:r>
      <w:r>
        <w:rPr>
          <w:rFonts w:hint="eastAsia" w:ascii="仿宋" w:hAnsi="仿宋" w:eastAsia="仿宋" w:cs="仿宋"/>
          <w:sz w:val="24"/>
        </w:rPr>
        <w:t>份，甲方执</w:t>
      </w:r>
      <w:r>
        <w:rPr>
          <w:rFonts w:hint="eastAsia" w:ascii="仿宋" w:hAnsi="仿宋" w:eastAsia="仿宋" w:cs="仿宋"/>
          <w:sz w:val="24"/>
          <w:u w:val="single"/>
        </w:rPr>
        <w:t xml:space="preserve">    </w:t>
      </w:r>
      <w:r>
        <w:rPr>
          <w:rFonts w:hint="eastAsia" w:ascii="仿宋" w:hAnsi="仿宋" w:eastAsia="仿宋" w:cs="仿宋"/>
          <w:sz w:val="24"/>
        </w:rPr>
        <w:t>份，乙方执</w:t>
      </w:r>
      <w:r>
        <w:rPr>
          <w:rFonts w:hint="eastAsia" w:ascii="仿宋" w:hAnsi="仿宋" w:eastAsia="仿宋" w:cs="仿宋"/>
          <w:sz w:val="24"/>
          <w:u w:val="single"/>
        </w:rPr>
        <w:t xml:space="preserve">    </w:t>
      </w:r>
      <w:r>
        <w:rPr>
          <w:rFonts w:hint="eastAsia" w:ascii="仿宋" w:hAnsi="仿宋" w:eastAsia="仿宋" w:cs="仿宋"/>
          <w:sz w:val="24"/>
        </w:rPr>
        <w:t>份，鉴证方执__份。</w:t>
      </w:r>
    </w:p>
    <w:p>
      <w:pPr>
        <w:tabs>
          <w:tab w:val="left" w:pos="540"/>
        </w:tabs>
        <w:adjustRightInd w:val="0"/>
        <w:spacing w:line="500" w:lineRule="exact"/>
        <w:rPr>
          <w:rFonts w:hint="eastAsia" w:ascii="仿宋" w:hAnsi="仿宋" w:eastAsia="仿宋" w:cs="仿宋"/>
          <w:b/>
          <w:sz w:val="24"/>
          <w:u w:val="single"/>
        </w:rPr>
      </w:pPr>
      <w:r>
        <w:rPr>
          <w:rFonts w:hint="eastAsia" w:ascii="仿宋" w:hAnsi="仿宋" w:eastAsia="仿宋" w:cs="仿宋"/>
          <w:b/>
          <w:sz w:val="24"/>
        </w:rPr>
        <w:t>十四、本合同签订地点：</w:t>
      </w:r>
      <w:r>
        <w:rPr>
          <w:rFonts w:hint="eastAsia" w:ascii="仿宋" w:hAnsi="仿宋" w:eastAsia="仿宋" w:cs="仿宋"/>
          <w:b/>
          <w:sz w:val="24"/>
          <w:u w:val="single"/>
        </w:rPr>
        <w:t xml:space="preserve">                  </w:t>
      </w:r>
    </w:p>
    <w:p>
      <w:pPr>
        <w:autoSpaceDE w:val="0"/>
        <w:autoSpaceDN w:val="0"/>
        <w:adjustRightInd w:val="0"/>
        <w:spacing w:line="360" w:lineRule="auto"/>
        <w:ind w:firstLine="420"/>
        <w:rPr>
          <w:rFonts w:hint="eastAsia" w:ascii="仿宋" w:hAnsi="仿宋" w:eastAsia="仿宋" w:cs="仿宋"/>
          <w:sz w:val="24"/>
          <w:szCs w:val="20"/>
        </w:rPr>
      </w:pPr>
    </w:p>
    <w:p>
      <w:pPr>
        <w:adjustRightInd w:val="0"/>
        <w:ind w:firstLine="630" w:firstLineChars="300"/>
        <w:rPr>
          <w:rFonts w:hint="eastAsia" w:ascii="仿宋" w:hAnsi="仿宋" w:eastAsia="仿宋" w:cs="仿宋"/>
        </w:rPr>
      </w:pPr>
      <w:r>
        <w:rPr>
          <w:rFonts w:hint="eastAsia" w:ascii="仿宋" w:hAnsi="仿宋" w:eastAsia="仿宋" w:cs="仿宋"/>
        </w:rPr>
        <w:t>（以下无正文）</w:t>
      </w:r>
    </w:p>
    <w:p>
      <w:pPr>
        <w:tabs>
          <w:tab w:val="left" w:pos="540"/>
        </w:tabs>
        <w:adjustRightInd w:val="0"/>
        <w:spacing w:line="500" w:lineRule="exact"/>
        <w:rPr>
          <w:rFonts w:hint="eastAsia" w:ascii="仿宋" w:hAnsi="仿宋" w:eastAsia="仿宋" w:cs="仿宋"/>
          <w:sz w:val="24"/>
          <w:u w:val="single"/>
        </w:rPr>
      </w:pP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 xml:space="preserve">甲方（盖章）：                          乙方（盖章）： </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法定代表或授权代表（签章）：            法定代表或授权代表（签章）：</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单位地址：                             单位地址：</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开户银行：                             开户银行：</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账    号：                             账    号：</w:t>
      </w:r>
    </w:p>
    <w:p>
      <w:pPr>
        <w:autoSpaceDE w:val="0"/>
        <w:autoSpaceDN w:val="0"/>
        <w:adjustRightInd w:val="0"/>
        <w:spacing w:line="360" w:lineRule="auto"/>
        <w:jc w:val="left"/>
        <w:rPr>
          <w:rFonts w:hint="eastAsia" w:ascii="仿宋" w:hAnsi="仿宋" w:eastAsia="仿宋" w:cs="仿宋"/>
          <w:sz w:val="24"/>
        </w:rPr>
      </w:pPr>
      <w:r>
        <w:rPr>
          <w:rFonts w:hint="eastAsia" w:ascii="仿宋" w:hAnsi="仿宋" w:eastAsia="仿宋" w:cs="仿宋"/>
          <w:sz w:val="24"/>
        </w:rPr>
        <w:t>电    话：                             电    话：</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合同签订日期：</w:t>
      </w:r>
    </w:p>
    <w:p>
      <w:pPr>
        <w:autoSpaceDE w:val="0"/>
        <w:autoSpaceDN w:val="0"/>
        <w:adjustRightInd w:val="0"/>
        <w:spacing w:line="360" w:lineRule="auto"/>
        <w:ind w:firstLine="420"/>
        <w:rPr>
          <w:rFonts w:hint="eastAsia" w:ascii="仿宋" w:hAnsi="仿宋" w:eastAsia="仿宋" w:cs="仿宋"/>
          <w:sz w:val="24"/>
          <w:lang w:val="zh-CN"/>
        </w:rPr>
      </w:pPr>
    </w:p>
    <w:p>
      <w:pPr>
        <w:adjustRightInd w:val="0"/>
        <w:rPr>
          <w:rFonts w:hint="eastAsia" w:ascii="仿宋" w:hAnsi="仿宋" w:eastAsia="仿宋" w:cs="仿宋"/>
        </w:rPr>
      </w:pPr>
    </w:p>
    <w:p>
      <w:pPr>
        <w:autoSpaceDE w:val="0"/>
        <w:autoSpaceDN w:val="0"/>
        <w:adjustRightInd w:val="0"/>
        <w:spacing w:line="360" w:lineRule="auto"/>
        <w:rPr>
          <w:rFonts w:hint="eastAsia" w:ascii="仿宋" w:hAnsi="仿宋" w:eastAsia="仿宋" w:cs="仿宋"/>
          <w:sz w:val="24"/>
        </w:rPr>
      </w:pPr>
      <w:r>
        <w:rPr>
          <w:rFonts w:hint="eastAsia" w:ascii="仿宋" w:hAnsi="仿宋" w:eastAsia="仿宋" w:cs="仿宋"/>
          <w:sz w:val="24"/>
        </w:rPr>
        <w:t>鉴证方：浙江国际招投标有限公司</w:t>
      </w:r>
    </w:p>
    <w:p>
      <w:pPr>
        <w:autoSpaceDE w:val="0"/>
        <w:autoSpaceDN w:val="0"/>
        <w:adjustRightInd w:val="0"/>
        <w:spacing w:line="360" w:lineRule="auto"/>
        <w:rPr>
          <w:rFonts w:hint="eastAsia" w:ascii="仿宋" w:hAnsi="仿宋" w:eastAsia="仿宋" w:cs="仿宋"/>
          <w:sz w:val="24"/>
        </w:rPr>
      </w:pPr>
      <w:r>
        <w:rPr>
          <w:rFonts w:hint="eastAsia" w:ascii="仿宋" w:hAnsi="仿宋" w:eastAsia="仿宋" w:cs="仿宋"/>
          <w:sz w:val="24"/>
        </w:rPr>
        <w:t>授权代表（签名）：</w:t>
      </w:r>
    </w:p>
    <w:p>
      <w:pPr>
        <w:autoSpaceDE w:val="0"/>
        <w:autoSpaceDN w:val="0"/>
        <w:adjustRightInd w:val="0"/>
        <w:spacing w:line="360" w:lineRule="auto"/>
        <w:rPr>
          <w:rFonts w:hint="eastAsia" w:ascii="仿宋" w:hAnsi="仿宋" w:eastAsia="仿宋" w:cs="仿宋"/>
          <w:sz w:val="24"/>
        </w:rPr>
      </w:pPr>
      <w:r>
        <w:rPr>
          <w:rFonts w:hint="eastAsia" w:ascii="仿宋" w:hAnsi="仿宋" w:eastAsia="仿宋" w:cs="仿宋"/>
          <w:sz w:val="24"/>
        </w:rPr>
        <w:t>地址：杭州市文三路90号东部软件园1号楼3楼</w:t>
      </w:r>
    </w:p>
    <w:p>
      <w:pPr>
        <w:autoSpaceDE w:val="0"/>
        <w:autoSpaceDN w:val="0"/>
        <w:adjustRightInd w:val="0"/>
        <w:spacing w:line="360" w:lineRule="auto"/>
        <w:rPr>
          <w:rFonts w:hint="eastAsia" w:ascii="仿宋" w:hAnsi="仿宋" w:eastAsia="仿宋" w:cs="仿宋"/>
          <w:sz w:val="24"/>
        </w:rPr>
      </w:pPr>
      <w:r>
        <w:rPr>
          <w:rFonts w:hint="eastAsia" w:ascii="仿宋" w:hAnsi="仿宋" w:eastAsia="仿宋" w:cs="仿宋"/>
          <w:sz w:val="24"/>
        </w:rPr>
        <w:t>电话：0571-81061819</w:t>
      </w:r>
    </w:p>
    <w:p>
      <w:pPr>
        <w:autoSpaceDE w:val="0"/>
        <w:autoSpaceDN w:val="0"/>
        <w:adjustRightInd w:val="0"/>
        <w:spacing w:line="360" w:lineRule="auto"/>
        <w:rPr>
          <w:rFonts w:hint="eastAsia" w:ascii="仿宋" w:hAnsi="仿宋" w:eastAsia="仿宋" w:cs="仿宋"/>
          <w:sz w:val="24"/>
          <w:szCs w:val="20"/>
        </w:rPr>
      </w:pPr>
      <w:r>
        <w:rPr>
          <w:rFonts w:hint="eastAsia" w:ascii="仿宋" w:hAnsi="仿宋" w:eastAsia="仿宋" w:cs="仿宋"/>
          <w:sz w:val="24"/>
        </w:rPr>
        <w:t>鉴证日期：</w:t>
      </w:r>
    </w:p>
    <w:p>
      <w:pPr>
        <w:adjustRightInd w:val="0"/>
        <w:rPr>
          <w:rFonts w:hint="eastAsia" w:ascii="仿宋" w:hAnsi="仿宋" w:eastAsia="仿宋" w:cs="仿宋"/>
          <w:snapToGrid w:val="0"/>
          <w:sz w:val="30"/>
          <w:szCs w:val="30"/>
        </w:rPr>
      </w:pPr>
      <w:r>
        <w:rPr>
          <w:rFonts w:hint="eastAsia" w:ascii="仿宋" w:hAnsi="仿宋" w:eastAsia="仿宋" w:cs="仿宋"/>
          <w:snapToGrid w:val="0"/>
          <w:sz w:val="30"/>
          <w:szCs w:val="30"/>
        </w:rPr>
        <w:br w:type="page"/>
      </w:r>
    </w:p>
    <w:bookmarkEnd w:id="66"/>
    <w:bookmarkEnd w:id="67"/>
    <w:bookmarkEnd w:id="68"/>
    <w:bookmarkEnd w:id="69"/>
    <w:bookmarkEnd w:id="70"/>
    <w:bookmarkEnd w:id="83"/>
    <w:bookmarkEnd w:id="85"/>
    <w:p>
      <w:pPr>
        <w:jc w:val="center"/>
        <w:rPr>
          <w:rFonts w:hint="eastAsia" w:ascii="仿宋" w:hAnsi="仿宋" w:eastAsia="仿宋" w:cs="仿宋"/>
          <w:b/>
          <w:bCs/>
          <w:sz w:val="32"/>
          <w:szCs w:val="32"/>
        </w:rPr>
      </w:pPr>
      <w:bookmarkStart w:id="100" w:name="_Toc27603"/>
      <w:r>
        <w:rPr>
          <w:rFonts w:hint="eastAsia" w:ascii="仿宋" w:hAnsi="仿宋" w:eastAsia="仿宋" w:cs="仿宋"/>
          <w:b/>
          <w:bCs/>
          <w:sz w:val="32"/>
          <w:szCs w:val="32"/>
        </w:rPr>
        <w:t>第五部分 响应文件格式</w:t>
      </w:r>
      <w:bookmarkEnd w:id="100"/>
    </w:p>
    <w:p>
      <w:pPr>
        <w:pStyle w:val="6"/>
        <w:spacing w:before="156" w:beforeLines="50"/>
        <w:rPr>
          <w:rFonts w:hint="eastAsia" w:ascii="仿宋" w:hAnsi="仿宋" w:eastAsia="仿宋" w:cs="仿宋"/>
          <w:sz w:val="22"/>
          <w:szCs w:val="22"/>
        </w:rPr>
      </w:pPr>
      <w:bookmarkStart w:id="101" w:name="_Toc18185"/>
      <w:bookmarkStart w:id="102" w:name="_Toc8641"/>
      <w:r>
        <w:rPr>
          <w:rFonts w:hint="eastAsia" w:ascii="仿宋" w:hAnsi="仿宋" w:eastAsia="仿宋" w:cs="仿宋"/>
          <w:b w:val="0"/>
          <w:bCs w:val="0"/>
          <w:sz w:val="22"/>
          <w:szCs w:val="22"/>
        </w:rPr>
        <w:t>一、</w:t>
      </w:r>
      <w:r>
        <w:rPr>
          <w:rFonts w:hint="eastAsia" w:ascii="仿宋" w:hAnsi="仿宋" w:eastAsia="仿宋" w:cs="仿宋"/>
          <w:sz w:val="22"/>
          <w:szCs w:val="22"/>
        </w:rPr>
        <w:t>响应文件封面</w:t>
      </w:r>
      <w:bookmarkEnd w:id="101"/>
      <w:bookmarkEnd w:id="102"/>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浙江省学前教育高质量发展监测指标研制与监测培训</w:t>
      </w: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52"/>
          <w:szCs w:val="52"/>
        </w:rPr>
      </w:pPr>
    </w:p>
    <w:p>
      <w:pPr>
        <w:pStyle w:val="21"/>
        <w:rPr>
          <w:rFonts w:hint="eastAsia" w:ascii="仿宋" w:hAnsi="仿宋" w:eastAsia="仿宋" w:cs="仿宋"/>
        </w:rPr>
      </w:pPr>
    </w:p>
    <w:p>
      <w:pPr>
        <w:spacing w:after="120"/>
        <w:jc w:val="center"/>
        <w:rPr>
          <w:rFonts w:hint="eastAsia" w:ascii="仿宋" w:hAnsi="仿宋" w:eastAsia="仿宋" w:cs="仿宋"/>
          <w:b/>
          <w:sz w:val="52"/>
          <w:szCs w:val="52"/>
        </w:rPr>
      </w:pPr>
      <w:r>
        <w:rPr>
          <w:rFonts w:hint="eastAsia" w:ascii="仿宋" w:hAnsi="仿宋" w:eastAsia="仿宋" w:cs="仿宋"/>
          <w:b/>
          <w:sz w:val="52"/>
          <w:szCs w:val="52"/>
        </w:rPr>
        <w:t>响  应 文 件</w:t>
      </w:r>
    </w:p>
    <w:p>
      <w:pPr>
        <w:spacing w:after="120"/>
        <w:jc w:val="center"/>
        <w:rPr>
          <w:rFonts w:hint="eastAsia" w:ascii="仿宋" w:hAnsi="仿宋" w:eastAsia="仿宋" w:cs="仿宋"/>
          <w:b/>
          <w:sz w:val="24"/>
        </w:rPr>
      </w:pPr>
    </w:p>
    <w:p>
      <w:pPr>
        <w:spacing w:after="120"/>
        <w:jc w:val="center"/>
        <w:rPr>
          <w:rFonts w:hint="eastAsia" w:ascii="仿宋" w:hAnsi="仿宋" w:eastAsia="仿宋" w:cs="仿宋"/>
          <w:b/>
          <w:sz w:val="24"/>
        </w:rPr>
      </w:pPr>
    </w:p>
    <w:p>
      <w:pPr>
        <w:spacing w:after="120"/>
        <w:jc w:val="center"/>
        <w:rPr>
          <w:rFonts w:hint="eastAsia" w:ascii="仿宋" w:hAnsi="仿宋" w:eastAsia="仿宋" w:cs="仿宋"/>
          <w:b/>
          <w:sz w:val="24"/>
        </w:rPr>
      </w:pPr>
    </w:p>
    <w:p>
      <w:pPr>
        <w:spacing w:after="120"/>
        <w:jc w:val="center"/>
        <w:rPr>
          <w:rFonts w:hint="eastAsia" w:ascii="仿宋" w:hAnsi="仿宋" w:eastAsia="仿宋" w:cs="仿宋"/>
          <w:b/>
          <w:sz w:val="24"/>
        </w:rPr>
      </w:pPr>
    </w:p>
    <w:p>
      <w:pPr>
        <w:spacing w:after="120"/>
        <w:jc w:val="center"/>
        <w:rPr>
          <w:rFonts w:hint="eastAsia" w:ascii="仿宋" w:hAnsi="仿宋" w:eastAsia="仿宋" w:cs="仿宋"/>
          <w:b/>
          <w:sz w:val="24"/>
        </w:rPr>
      </w:pPr>
    </w:p>
    <w:p>
      <w:pPr>
        <w:spacing w:after="120"/>
        <w:jc w:val="center"/>
        <w:rPr>
          <w:rFonts w:hint="eastAsia" w:ascii="仿宋" w:hAnsi="仿宋" w:eastAsia="仿宋" w:cs="仿宋"/>
          <w:b/>
          <w:sz w:val="24"/>
        </w:rPr>
      </w:pPr>
    </w:p>
    <w:p>
      <w:pPr>
        <w:spacing w:after="120"/>
        <w:jc w:val="center"/>
        <w:rPr>
          <w:rFonts w:hint="eastAsia" w:ascii="仿宋" w:hAnsi="仿宋" w:eastAsia="仿宋" w:cs="仿宋"/>
          <w:b/>
          <w:sz w:val="24"/>
        </w:rPr>
      </w:pPr>
    </w:p>
    <w:p>
      <w:pPr>
        <w:spacing w:after="120"/>
        <w:jc w:val="center"/>
        <w:rPr>
          <w:rFonts w:hint="eastAsia" w:ascii="仿宋" w:hAnsi="仿宋" w:eastAsia="仿宋" w:cs="仿宋"/>
          <w:b/>
          <w:sz w:val="24"/>
        </w:rPr>
      </w:pPr>
    </w:p>
    <w:p>
      <w:pPr>
        <w:spacing w:after="120"/>
        <w:jc w:val="center"/>
        <w:rPr>
          <w:rFonts w:hint="eastAsia" w:ascii="仿宋" w:hAnsi="仿宋" w:eastAsia="仿宋" w:cs="仿宋"/>
          <w:b/>
          <w:sz w:val="24"/>
        </w:rPr>
      </w:pPr>
    </w:p>
    <w:p>
      <w:pPr>
        <w:pStyle w:val="21"/>
        <w:rPr>
          <w:rFonts w:hint="eastAsia" w:ascii="仿宋" w:hAnsi="仿宋" w:eastAsia="仿宋" w:cs="仿宋"/>
        </w:rPr>
      </w:pPr>
    </w:p>
    <w:p>
      <w:pPr>
        <w:spacing w:after="120"/>
        <w:jc w:val="center"/>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w:t>
      </w:r>
      <w:r>
        <w:rPr>
          <w:rFonts w:hint="eastAsia" w:ascii="仿宋" w:hAnsi="仿宋" w:eastAsia="仿宋" w:cs="仿宋"/>
          <w:sz w:val="24"/>
        </w:rPr>
        <w:t>（盖公章或电子签章）</w:t>
      </w:r>
    </w:p>
    <w:p>
      <w:pPr>
        <w:spacing w:after="120"/>
        <w:ind w:firstLine="210"/>
        <w:jc w:val="center"/>
        <w:rPr>
          <w:rFonts w:hint="eastAsia" w:ascii="仿宋" w:hAnsi="仿宋" w:eastAsia="仿宋" w:cs="仿宋"/>
          <w:sz w:val="24"/>
          <w:u w:val="single"/>
        </w:rPr>
      </w:pPr>
    </w:p>
    <w:p>
      <w:pPr>
        <w:spacing w:after="120"/>
        <w:ind w:firstLine="210"/>
        <w:jc w:val="center"/>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ind w:firstLine="210"/>
        <w:jc w:val="center"/>
        <w:rPr>
          <w:rFonts w:hint="eastAsia" w:ascii="仿宋" w:hAnsi="仿宋" w:eastAsia="仿宋" w:cs="仿宋"/>
          <w:sz w:val="24"/>
        </w:rPr>
      </w:pPr>
    </w:p>
    <w:p>
      <w:pPr>
        <w:pStyle w:val="6"/>
        <w:spacing w:before="156" w:beforeLines="50"/>
        <w:rPr>
          <w:rFonts w:hint="eastAsia" w:ascii="仿宋" w:hAnsi="仿宋" w:eastAsia="仿宋" w:cs="仿宋"/>
          <w:sz w:val="24"/>
          <w:szCs w:val="24"/>
        </w:rPr>
      </w:pPr>
      <w:r>
        <w:rPr>
          <w:rFonts w:hint="eastAsia" w:ascii="仿宋" w:hAnsi="仿宋" w:eastAsia="仿宋" w:cs="仿宋"/>
        </w:rPr>
        <w:br w:type="page"/>
      </w:r>
      <w:bookmarkStart w:id="103" w:name="_Toc4119"/>
      <w:bookmarkStart w:id="104" w:name="_Toc2204"/>
      <w:r>
        <w:rPr>
          <w:rFonts w:hint="eastAsia" w:ascii="仿宋" w:hAnsi="仿宋" w:eastAsia="仿宋" w:cs="仿宋"/>
          <w:sz w:val="24"/>
          <w:szCs w:val="24"/>
        </w:rPr>
        <w:t>二、商务技术响应文件部分</w:t>
      </w:r>
      <w:bookmarkEnd w:id="103"/>
      <w:bookmarkEnd w:id="104"/>
    </w:p>
    <w:p>
      <w:pPr>
        <w:autoSpaceDE w:val="0"/>
        <w:autoSpaceDN w:val="0"/>
        <w:adjustRightInd w:val="0"/>
        <w:spacing w:line="360" w:lineRule="auto"/>
        <w:rPr>
          <w:rFonts w:hint="eastAsia" w:ascii="仿宋" w:hAnsi="仿宋" w:eastAsia="仿宋" w:cs="仿宋"/>
          <w:b/>
          <w:bCs/>
          <w:sz w:val="24"/>
        </w:rPr>
      </w:pPr>
      <w:r>
        <w:rPr>
          <w:rFonts w:hint="eastAsia" w:ascii="仿宋" w:hAnsi="仿宋" w:eastAsia="仿宋" w:cs="仿宋"/>
          <w:b/>
          <w:bCs/>
          <w:sz w:val="24"/>
        </w:rPr>
        <w:t>1、 应标响应函</w:t>
      </w:r>
    </w:p>
    <w:p>
      <w:pPr>
        <w:pStyle w:val="27"/>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应标响应函</w:t>
      </w:r>
    </w:p>
    <w:p>
      <w:pPr>
        <w:pStyle w:val="27"/>
        <w:spacing w:line="360" w:lineRule="auto"/>
        <w:rPr>
          <w:rFonts w:hint="eastAsia" w:ascii="仿宋" w:hAnsi="仿宋" w:eastAsia="仿宋" w:cs="仿宋"/>
          <w:sz w:val="28"/>
          <w:szCs w:val="28"/>
          <w:u w:val="single"/>
        </w:rPr>
      </w:pPr>
      <w:r>
        <w:rPr>
          <w:rFonts w:hint="eastAsia" w:ascii="仿宋" w:hAnsi="仿宋" w:eastAsia="仿宋" w:cs="仿宋"/>
          <w:sz w:val="24"/>
          <w:szCs w:val="24"/>
          <w:u w:val="single"/>
        </w:rPr>
        <w:t>浙江省教育考试院</w:t>
      </w:r>
      <w:r>
        <w:rPr>
          <w:rFonts w:hint="eastAsia" w:ascii="仿宋" w:hAnsi="仿宋" w:eastAsia="仿宋" w:cs="仿宋"/>
          <w:sz w:val="24"/>
          <w:szCs w:val="24"/>
        </w:rPr>
        <w:t>：</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(供应商全称)授权</w:t>
      </w:r>
      <w:r>
        <w:rPr>
          <w:rFonts w:hint="eastAsia" w:ascii="仿宋" w:hAnsi="仿宋" w:eastAsia="仿宋" w:cs="仿宋"/>
          <w:sz w:val="24"/>
          <w:szCs w:val="24"/>
          <w:u w:val="single"/>
        </w:rPr>
        <w:t xml:space="preserve">        </w:t>
      </w:r>
      <w:r>
        <w:rPr>
          <w:rFonts w:hint="eastAsia" w:ascii="仿宋" w:hAnsi="仿宋" w:eastAsia="仿宋" w:cs="仿宋"/>
          <w:sz w:val="24"/>
          <w:szCs w:val="24"/>
        </w:rPr>
        <w:t>(全权代表姓名)__________(职务、职称)为全权代表，参加贵方组织的</w:t>
      </w:r>
      <w:r>
        <w:rPr>
          <w:rFonts w:hint="eastAsia" w:ascii="仿宋" w:hAnsi="仿宋" w:eastAsia="仿宋" w:cs="仿宋"/>
          <w:sz w:val="24"/>
          <w:szCs w:val="24"/>
          <w:u w:val="single"/>
        </w:rPr>
        <w:t>浙江省学前教育高质量发展监测指标研制与监测培训项目</w:t>
      </w:r>
      <w:r>
        <w:rPr>
          <w:rFonts w:hint="eastAsia" w:ascii="仿宋" w:hAnsi="仿宋" w:eastAsia="仿宋" w:cs="仿宋"/>
          <w:sz w:val="24"/>
          <w:szCs w:val="24"/>
        </w:rPr>
        <w:t>（项目编号：</w:t>
      </w:r>
      <w:r>
        <w:rPr>
          <w:rFonts w:hint="eastAsia" w:ascii="仿宋" w:hAnsi="仿宋" w:eastAsia="仿宋" w:cs="仿宋"/>
          <w:sz w:val="24"/>
          <w:szCs w:val="24"/>
          <w:u w:val="single"/>
          <w:lang w:eastAsia="zh-CN"/>
        </w:rPr>
        <w:t>ZJ-2440644</w:t>
      </w:r>
      <w:r>
        <w:rPr>
          <w:rFonts w:hint="eastAsia" w:ascii="仿宋" w:hAnsi="仿宋" w:eastAsia="仿宋" w:cs="仿宋"/>
          <w:sz w:val="24"/>
          <w:szCs w:val="24"/>
        </w:rPr>
        <w:t>）的有关活动，并对此项目进行应标。为此：</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1、我方同意在供应商编制和提交采购响应文件的截止日期起遵守本响应文件中的承诺且在应标有效期满之前均具有约束力。</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2、我方承诺已经具备采购文件中规定的供应商应当具备的条件；</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3、提供编制和提交响应文件须知规定的全部响应文件，包括一份电子加密标书（后缀格式为.jmbs），一份备份响应文件（后缀格式为.bfbs）。具体内容为：</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(1)编制和提交响应文件须知要求供应商提交的全部文件；</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(2)按采购文件要求提供的服务的应标报价，详见报价一览表；</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(3)保证忠实地执行双方所签订的合同，并承担合同规定的责任和义务；</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(4)保证遵守采购文件中的其他有关规定。</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4、我方愿意向贵方提供任何与该项应标有关的数据、情况和技术资料。若贵方需要，我方愿意提供我方作出的一切承诺的证明材料。</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5、我方已详细审核全部采购文件，包括采购文件修改书(如果有)、参考资料及有关附件，确认无误。</w:t>
      </w:r>
    </w:p>
    <w:p>
      <w:pPr>
        <w:pStyle w:val="27"/>
        <w:spacing w:line="360" w:lineRule="auto"/>
        <w:ind w:firstLine="480" w:firstLineChars="200"/>
        <w:rPr>
          <w:rFonts w:hint="eastAsia" w:ascii="仿宋" w:hAnsi="仿宋" w:eastAsia="仿宋" w:cs="仿宋"/>
          <w:sz w:val="24"/>
          <w:szCs w:val="24"/>
        </w:rPr>
      </w:pPr>
    </w:p>
    <w:p>
      <w:pPr>
        <w:pStyle w:val="27"/>
        <w:spacing w:line="360" w:lineRule="auto"/>
        <w:ind w:firstLine="480" w:firstLineChars="200"/>
        <w:rPr>
          <w:rFonts w:hint="eastAsia" w:ascii="仿宋" w:hAnsi="仿宋" w:eastAsia="仿宋" w:cs="仿宋"/>
          <w:sz w:val="24"/>
          <w:szCs w:val="24"/>
        </w:rPr>
      </w:pP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供应商（盖公章或电子签章）：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联系地址：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27"/>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邮政编码：</w:t>
      </w:r>
      <w:r>
        <w:rPr>
          <w:rFonts w:hint="eastAsia" w:ascii="仿宋" w:hAnsi="仿宋" w:eastAsia="仿宋" w:cs="仿宋"/>
          <w:sz w:val="24"/>
          <w:szCs w:val="24"/>
          <w:u w:val="single"/>
        </w:rPr>
        <w:t xml:space="preserve">                     </w:t>
      </w:r>
      <w:r>
        <w:rPr>
          <w:rFonts w:hint="eastAsia" w:ascii="仿宋" w:hAnsi="仿宋" w:eastAsia="仿宋" w:cs="仿宋"/>
          <w:sz w:val="24"/>
          <w:szCs w:val="24"/>
        </w:rPr>
        <w:t>传真号码</w:t>
      </w:r>
      <w:r>
        <w:rPr>
          <w:rFonts w:hint="eastAsia" w:ascii="仿宋" w:hAnsi="仿宋" w:eastAsia="仿宋" w:cs="仿宋"/>
          <w:sz w:val="24"/>
          <w:szCs w:val="24"/>
          <w:u w:val="single"/>
        </w:rPr>
        <w:t xml:space="preserve">：                     </w:t>
      </w:r>
    </w:p>
    <w:p>
      <w:pPr>
        <w:pStyle w:val="27"/>
        <w:spacing w:line="360" w:lineRule="auto"/>
        <w:jc w:val="center"/>
        <w:rPr>
          <w:rFonts w:hint="eastAsia"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autoSpaceDE w:val="0"/>
        <w:autoSpaceDN w:val="0"/>
        <w:adjustRightInd w:val="0"/>
        <w:spacing w:line="360" w:lineRule="auto"/>
        <w:rPr>
          <w:rFonts w:hint="eastAsia" w:ascii="仿宋" w:hAnsi="仿宋" w:eastAsia="仿宋" w:cs="仿宋"/>
          <w:sz w:val="24"/>
        </w:rPr>
      </w:pPr>
      <w:r>
        <w:rPr>
          <w:rFonts w:hint="eastAsia" w:ascii="仿宋" w:hAnsi="仿宋" w:eastAsia="仿宋" w:cs="仿宋"/>
          <w:sz w:val="24"/>
        </w:rPr>
        <w:br w:type="page"/>
      </w:r>
      <w:r>
        <w:rPr>
          <w:rFonts w:hint="eastAsia" w:ascii="仿宋" w:hAnsi="仿宋" w:eastAsia="仿宋" w:cs="仿宋"/>
          <w:b/>
          <w:bCs/>
          <w:sz w:val="24"/>
        </w:rPr>
        <w:t>2、</w:t>
      </w:r>
      <w:r>
        <w:rPr>
          <w:rFonts w:hint="eastAsia" w:ascii="仿宋" w:hAnsi="仿宋" w:eastAsia="仿宋" w:cs="仿宋"/>
          <w:b/>
          <w:sz w:val="24"/>
        </w:rPr>
        <w:t>法定代表人授权委托书</w:t>
      </w:r>
    </w:p>
    <w:p>
      <w:pPr>
        <w:rPr>
          <w:rFonts w:hint="eastAsia" w:ascii="仿宋" w:hAnsi="仿宋" w:eastAsia="仿宋" w:cs="仿宋"/>
          <w:b/>
          <w:snapToGrid w:val="0"/>
          <w:kern w:val="0"/>
          <w:sz w:val="24"/>
        </w:rPr>
      </w:pPr>
      <w:r>
        <w:rPr>
          <w:rFonts w:hint="eastAsia" w:ascii="仿宋" w:hAnsi="仿宋" w:eastAsia="仿宋" w:cs="仿宋"/>
          <w:b/>
          <w:snapToGrid w:val="0"/>
          <w:kern w:val="0"/>
          <w:sz w:val="24"/>
        </w:rPr>
        <w:t>附件2.1.1</w:t>
      </w:r>
    </w:p>
    <w:p>
      <w:pPr>
        <w:adjustRightInd w:val="0"/>
        <w:spacing w:line="360" w:lineRule="auto"/>
        <w:jc w:val="center"/>
        <w:rPr>
          <w:rFonts w:hint="eastAsia" w:ascii="仿宋" w:hAnsi="仿宋" w:eastAsia="仿宋" w:cs="仿宋"/>
          <w:b/>
          <w:snapToGrid w:val="0"/>
          <w:kern w:val="0"/>
          <w:sz w:val="28"/>
          <w:szCs w:val="28"/>
        </w:rPr>
      </w:pPr>
      <w:r>
        <w:rPr>
          <w:rFonts w:hint="eastAsia" w:ascii="仿宋" w:hAnsi="仿宋" w:eastAsia="仿宋" w:cs="仿宋"/>
          <w:b/>
          <w:bCs/>
          <w:snapToGrid w:val="0"/>
          <w:kern w:val="0"/>
          <w:sz w:val="28"/>
          <w:szCs w:val="28"/>
        </w:rPr>
        <w:t>法定代表人授权委托书</w:t>
      </w:r>
    </w:p>
    <w:p>
      <w:pPr>
        <w:adjustRightInd w:val="0"/>
        <w:spacing w:line="360" w:lineRule="auto"/>
        <w:jc w:val="left"/>
        <w:rPr>
          <w:rFonts w:hint="eastAsia" w:ascii="仿宋" w:hAnsi="仿宋" w:eastAsia="仿宋" w:cs="仿宋"/>
          <w:b/>
          <w:snapToGrid w:val="0"/>
          <w:kern w:val="0"/>
          <w:sz w:val="32"/>
          <w:szCs w:val="20"/>
        </w:rPr>
      </w:pPr>
    </w:p>
    <w:p>
      <w:pPr>
        <w:adjustRightInd w:val="0"/>
        <w:spacing w:line="480" w:lineRule="auto"/>
        <w:ind w:left="4" w:firstLine="520" w:firstLineChars="217"/>
        <w:rPr>
          <w:rFonts w:hint="eastAsia" w:ascii="仿宋" w:hAnsi="仿宋" w:eastAsia="仿宋" w:cs="仿宋"/>
          <w:snapToGrid w:val="0"/>
          <w:kern w:val="0"/>
          <w:sz w:val="24"/>
        </w:rPr>
      </w:pPr>
      <w:r>
        <w:rPr>
          <w:rFonts w:hint="eastAsia" w:ascii="仿宋" w:hAnsi="仿宋" w:eastAsia="仿宋" w:cs="仿宋"/>
          <w:snapToGrid w:val="0"/>
          <w:kern w:val="0"/>
          <w:sz w:val="24"/>
        </w:rPr>
        <w:t>我______（姓名）系_______（供应商名称）的法定代表人，现授权委托_________（姓名、身份证号）为我公司授权代表，以本公司的名义参加</w:t>
      </w:r>
      <w:r>
        <w:rPr>
          <w:rFonts w:hint="eastAsia" w:ascii="仿宋" w:hAnsi="仿宋" w:eastAsia="仿宋" w:cs="仿宋"/>
          <w:snapToGrid w:val="0"/>
          <w:kern w:val="0"/>
          <w:sz w:val="24"/>
          <w:u w:val="single"/>
        </w:rPr>
        <w:t xml:space="preserve">  浙江省教育考试院</w:t>
      </w:r>
      <w:r>
        <w:rPr>
          <w:rFonts w:hint="eastAsia" w:ascii="仿宋" w:hAnsi="仿宋" w:eastAsia="仿宋" w:cs="仿宋"/>
          <w:snapToGrid w:val="0"/>
          <w:kern w:val="0"/>
          <w:sz w:val="24"/>
        </w:rPr>
        <w:t>的</w:t>
      </w:r>
      <w:r>
        <w:rPr>
          <w:rFonts w:hint="eastAsia" w:ascii="仿宋" w:hAnsi="仿宋" w:eastAsia="仿宋" w:cs="仿宋"/>
          <w:snapToGrid w:val="0"/>
          <w:kern w:val="0"/>
          <w:sz w:val="24"/>
          <w:u w:val="single"/>
        </w:rPr>
        <w:t xml:space="preserve"> 浙江省学前教育高质量发展监测指标研制与监测培训 </w:t>
      </w:r>
      <w:r>
        <w:rPr>
          <w:rFonts w:hint="eastAsia" w:ascii="仿宋" w:hAnsi="仿宋" w:eastAsia="仿宋" w:cs="仿宋"/>
          <w:snapToGrid w:val="0"/>
          <w:kern w:val="0"/>
          <w:sz w:val="24"/>
        </w:rPr>
        <w:t>项目的应标活动。授权代表在开标、评标、合同谈判过程中所签署的一切文件和处理与之有关的一切事务，我均予以承认。</w:t>
      </w:r>
    </w:p>
    <w:p>
      <w:pPr>
        <w:adjustRightInd w:val="0"/>
        <w:spacing w:line="480" w:lineRule="auto"/>
        <w:ind w:firstLine="480" w:firstLineChars="200"/>
        <w:rPr>
          <w:rFonts w:hint="eastAsia" w:ascii="仿宋" w:hAnsi="仿宋" w:eastAsia="仿宋" w:cs="仿宋"/>
          <w:snapToGrid w:val="0"/>
          <w:kern w:val="0"/>
          <w:sz w:val="24"/>
        </w:rPr>
      </w:pPr>
      <w:r>
        <w:rPr>
          <w:rFonts w:hint="eastAsia" w:ascii="仿宋" w:hAnsi="仿宋" w:eastAsia="仿宋" w:cs="仿宋"/>
          <w:snapToGrid w:val="0"/>
          <w:kern w:val="0"/>
          <w:sz w:val="24"/>
        </w:rPr>
        <w:t>授权代表无权转委托。特此委托。</w:t>
      </w:r>
    </w:p>
    <w:p>
      <w:pPr>
        <w:spacing w:line="360" w:lineRule="auto"/>
        <w:ind w:right="1800"/>
        <w:jc w:val="right"/>
        <w:rPr>
          <w:rFonts w:hint="eastAsia" w:ascii="仿宋" w:hAnsi="仿宋" w:eastAsia="仿宋" w:cs="仿宋"/>
          <w:snapToGrid w:val="0"/>
          <w:kern w:val="0"/>
          <w:sz w:val="24"/>
        </w:rPr>
      </w:pPr>
      <w:r>
        <w:rPr>
          <w:rFonts w:hint="eastAsia" w:ascii="仿宋" w:hAnsi="仿宋" w:eastAsia="仿宋" w:cs="仿宋"/>
          <w:snapToGrid w:val="0"/>
          <w:kern w:val="0"/>
          <w:sz w:val="24"/>
        </w:rPr>
        <w:t>供应商：（</w:t>
      </w:r>
      <w:r>
        <w:rPr>
          <w:rFonts w:hint="eastAsia" w:ascii="仿宋" w:hAnsi="仿宋" w:eastAsia="仿宋" w:cs="仿宋"/>
          <w:sz w:val="24"/>
        </w:rPr>
        <w:t>盖公章或电子签章</w:t>
      </w:r>
      <w:r>
        <w:rPr>
          <w:rFonts w:hint="eastAsia" w:ascii="仿宋" w:hAnsi="仿宋" w:eastAsia="仿宋" w:cs="仿宋"/>
          <w:snapToGrid w:val="0"/>
          <w:kern w:val="0"/>
          <w:sz w:val="24"/>
        </w:rPr>
        <w:t>）</w:t>
      </w:r>
    </w:p>
    <w:p>
      <w:pPr>
        <w:autoSpaceDE w:val="0"/>
        <w:autoSpaceDN w:val="0"/>
        <w:adjustRightInd w:val="0"/>
        <w:spacing w:line="360" w:lineRule="auto"/>
        <w:ind w:right="420"/>
        <w:jc w:val="center"/>
        <w:rPr>
          <w:rFonts w:hint="eastAsia" w:ascii="仿宋" w:hAnsi="仿宋" w:eastAsia="仿宋" w:cs="仿宋"/>
          <w:snapToGrid w:val="0"/>
          <w:kern w:val="0"/>
          <w:sz w:val="24"/>
        </w:rPr>
      </w:pPr>
    </w:p>
    <w:p>
      <w:pPr>
        <w:autoSpaceDE w:val="0"/>
        <w:autoSpaceDN w:val="0"/>
        <w:adjustRightInd w:val="0"/>
        <w:spacing w:line="360" w:lineRule="auto"/>
        <w:ind w:right="420"/>
        <w:jc w:val="center"/>
        <w:rPr>
          <w:rFonts w:hint="eastAsia" w:ascii="仿宋" w:hAnsi="仿宋" w:eastAsia="仿宋" w:cs="仿宋"/>
          <w:snapToGrid w:val="0"/>
          <w:kern w:val="0"/>
          <w:sz w:val="24"/>
        </w:rPr>
      </w:pPr>
      <w:r>
        <w:rPr>
          <w:rFonts w:hint="eastAsia" w:ascii="仿宋" w:hAnsi="仿宋" w:eastAsia="仿宋" w:cs="仿宋"/>
          <w:snapToGrid w:val="0"/>
          <w:kern w:val="0"/>
          <w:sz w:val="24"/>
        </w:rPr>
        <w:t xml:space="preserve">            法定代表人身份证号码：</w:t>
      </w:r>
    </w:p>
    <w:p>
      <w:pPr>
        <w:autoSpaceDE w:val="0"/>
        <w:autoSpaceDN w:val="0"/>
        <w:adjustRightInd w:val="0"/>
        <w:spacing w:line="360" w:lineRule="auto"/>
        <w:ind w:right="420"/>
        <w:rPr>
          <w:rFonts w:hint="eastAsia" w:ascii="仿宋" w:hAnsi="仿宋" w:eastAsia="仿宋" w:cs="仿宋"/>
          <w:snapToGrid w:val="0"/>
          <w:kern w:val="0"/>
          <w:sz w:val="24"/>
        </w:rPr>
      </w:pPr>
    </w:p>
    <w:p>
      <w:pPr>
        <w:autoSpaceDE w:val="0"/>
        <w:autoSpaceDN w:val="0"/>
        <w:adjustRightInd w:val="0"/>
        <w:spacing w:line="360" w:lineRule="auto"/>
        <w:ind w:right="420"/>
        <w:jc w:val="center"/>
        <w:rPr>
          <w:rFonts w:hint="eastAsia" w:ascii="仿宋" w:hAnsi="仿宋" w:eastAsia="仿宋" w:cs="仿宋"/>
          <w:snapToGrid w:val="0"/>
          <w:kern w:val="0"/>
          <w:sz w:val="24"/>
        </w:rPr>
      </w:pPr>
      <w:r>
        <w:rPr>
          <w:rFonts w:hint="eastAsia" w:ascii="仿宋" w:hAnsi="仿宋" w:eastAsia="仿宋" w:cs="仿宋"/>
          <w:snapToGrid w:val="0"/>
          <w:kern w:val="0"/>
          <w:sz w:val="24"/>
        </w:rPr>
        <w:t>年  月   日</w:t>
      </w:r>
    </w:p>
    <w:p>
      <w:pPr>
        <w:pStyle w:val="27"/>
        <w:spacing w:line="360" w:lineRule="auto"/>
        <w:rPr>
          <w:rFonts w:hint="eastAsia" w:ascii="仿宋" w:hAnsi="仿宋" w:eastAsia="仿宋" w:cs="仿宋"/>
          <w:sz w:val="24"/>
          <w:szCs w:val="24"/>
        </w:rPr>
      </w:pPr>
      <w:r>
        <w:rPr>
          <w:rFonts w:hint="eastAsia" w:ascii="仿宋" w:hAnsi="仿宋" w:eastAsia="仿宋" w:cs="仿宋"/>
          <w:snapToGrid w:val="0"/>
          <w:kern w:val="0"/>
          <w:sz w:val="24"/>
          <w:szCs w:val="24"/>
        </w:rPr>
        <w:t>后附法定代表人、法定代表人授权代表的身份证复印件。</w:t>
      </w:r>
    </w:p>
    <w:p>
      <w:pPr>
        <w:widowControl/>
        <w:adjustRightInd w:val="0"/>
        <w:snapToGrid w:val="0"/>
        <w:spacing w:line="360" w:lineRule="auto"/>
        <w:jc w:val="left"/>
        <w:rPr>
          <w:rFonts w:hint="eastAsia" w:ascii="仿宋" w:hAnsi="仿宋" w:eastAsia="仿宋" w:cs="仿宋"/>
        </w:rPr>
      </w:pPr>
      <w:r>
        <w:rPr>
          <w:rFonts w:hint="eastAsia" w:ascii="仿宋" w:hAnsi="仿宋" w:eastAsia="仿宋" w:cs="仿宋"/>
          <w:bCs/>
          <w:szCs w:val="21"/>
        </w:rPr>
        <w:br w:type="page"/>
      </w:r>
    </w:p>
    <w:p>
      <w:pPr>
        <w:adjustRightInd w:val="0"/>
        <w:spacing w:line="360" w:lineRule="auto"/>
        <w:rPr>
          <w:rFonts w:hint="eastAsia" w:ascii="仿宋" w:hAnsi="仿宋" w:eastAsia="仿宋" w:cs="仿宋"/>
          <w:b/>
          <w:bCs/>
          <w:sz w:val="24"/>
        </w:rPr>
      </w:pPr>
      <w:r>
        <w:rPr>
          <w:rFonts w:hint="eastAsia" w:ascii="仿宋" w:hAnsi="仿宋" w:eastAsia="仿宋" w:cs="仿宋"/>
          <w:b/>
          <w:bCs/>
          <w:sz w:val="24"/>
        </w:rPr>
        <w:t>3、同类项目情况（须体现合同价格）</w:t>
      </w:r>
    </w:p>
    <w:p>
      <w:pPr>
        <w:jc w:val="center"/>
        <w:rPr>
          <w:rFonts w:hint="eastAsia" w:ascii="仿宋" w:hAnsi="仿宋" w:eastAsia="仿宋" w:cs="仿宋"/>
          <w:b/>
          <w:bCs/>
          <w:sz w:val="36"/>
          <w:szCs w:val="36"/>
        </w:rPr>
      </w:pPr>
      <w:r>
        <w:rPr>
          <w:rFonts w:hint="eastAsia" w:ascii="仿宋" w:hAnsi="仿宋" w:eastAsia="仿宋" w:cs="仿宋"/>
          <w:b/>
          <w:bCs/>
          <w:sz w:val="36"/>
          <w:szCs w:val="36"/>
        </w:rPr>
        <w:t>同类项目情况</w:t>
      </w:r>
    </w:p>
    <w:tbl>
      <w:tblPr>
        <w:tblStyle w:val="47"/>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344"/>
        <w:gridCol w:w="1549"/>
        <w:gridCol w:w="1545"/>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1" w:type="dxa"/>
            <w:vAlign w:val="center"/>
          </w:tcPr>
          <w:p>
            <w:pPr>
              <w:jc w:val="center"/>
              <w:rPr>
                <w:rFonts w:hint="eastAsia" w:ascii="仿宋" w:hAnsi="仿宋" w:eastAsia="仿宋" w:cs="仿宋"/>
                <w:b/>
                <w:szCs w:val="21"/>
              </w:rPr>
            </w:pPr>
            <w:r>
              <w:rPr>
                <w:rFonts w:hint="eastAsia" w:ascii="仿宋" w:hAnsi="仿宋" w:eastAsia="仿宋" w:cs="仿宋"/>
                <w:b/>
                <w:szCs w:val="21"/>
              </w:rPr>
              <w:t>序 号</w:t>
            </w:r>
          </w:p>
        </w:tc>
        <w:tc>
          <w:tcPr>
            <w:tcW w:w="2344" w:type="dxa"/>
            <w:vAlign w:val="center"/>
          </w:tcPr>
          <w:p>
            <w:pPr>
              <w:jc w:val="center"/>
              <w:rPr>
                <w:rFonts w:hint="eastAsia" w:ascii="仿宋" w:hAnsi="仿宋" w:eastAsia="仿宋" w:cs="仿宋"/>
                <w:b/>
                <w:szCs w:val="21"/>
              </w:rPr>
            </w:pPr>
            <w:r>
              <w:rPr>
                <w:rFonts w:hint="eastAsia" w:ascii="仿宋" w:hAnsi="仿宋" w:eastAsia="仿宋" w:cs="仿宋"/>
                <w:b/>
                <w:szCs w:val="21"/>
              </w:rPr>
              <w:t>项目名称</w:t>
            </w:r>
          </w:p>
        </w:tc>
        <w:tc>
          <w:tcPr>
            <w:tcW w:w="1549" w:type="dxa"/>
            <w:vAlign w:val="center"/>
          </w:tcPr>
          <w:p>
            <w:pPr>
              <w:jc w:val="center"/>
              <w:rPr>
                <w:rFonts w:hint="eastAsia" w:ascii="仿宋" w:hAnsi="仿宋" w:eastAsia="仿宋" w:cs="仿宋"/>
                <w:b/>
                <w:szCs w:val="21"/>
              </w:rPr>
            </w:pPr>
            <w:r>
              <w:rPr>
                <w:rFonts w:hint="eastAsia" w:ascii="仿宋" w:hAnsi="仿宋" w:eastAsia="仿宋" w:cs="仿宋"/>
                <w:b/>
                <w:szCs w:val="21"/>
              </w:rPr>
              <w:t>合同金额</w:t>
            </w:r>
          </w:p>
        </w:tc>
        <w:tc>
          <w:tcPr>
            <w:tcW w:w="1545" w:type="dxa"/>
            <w:vAlign w:val="center"/>
          </w:tcPr>
          <w:p>
            <w:pPr>
              <w:jc w:val="center"/>
              <w:rPr>
                <w:rFonts w:hint="eastAsia" w:ascii="仿宋" w:hAnsi="仿宋" w:eastAsia="仿宋" w:cs="仿宋"/>
                <w:b/>
                <w:szCs w:val="21"/>
              </w:rPr>
            </w:pPr>
            <w:r>
              <w:rPr>
                <w:rFonts w:hint="eastAsia" w:ascii="仿宋" w:hAnsi="仿宋" w:eastAsia="仿宋" w:cs="仿宋"/>
                <w:b/>
                <w:szCs w:val="21"/>
              </w:rPr>
              <w:t>合同甲方名称</w:t>
            </w:r>
          </w:p>
        </w:tc>
        <w:tc>
          <w:tcPr>
            <w:tcW w:w="2597" w:type="dxa"/>
            <w:vAlign w:val="center"/>
          </w:tcPr>
          <w:p>
            <w:pPr>
              <w:jc w:val="center"/>
              <w:rPr>
                <w:rFonts w:hint="eastAsia" w:ascii="仿宋" w:hAnsi="仿宋" w:eastAsia="仿宋" w:cs="仿宋"/>
                <w:b/>
                <w:szCs w:val="21"/>
              </w:rPr>
            </w:pPr>
            <w:r>
              <w:rPr>
                <w:rFonts w:hint="eastAsia" w:ascii="仿宋" w:hAnsi="仿宋" w:eastAsia="仿宋" w:cs="仿宋"/>
                <w:b/>
                <w:szCs w:val="21"/>
              </w:rPr>
              <w:t>合同内容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rPr>
                <w:rFonts w:hint="eastAsia" w:ascii="仿宋" w:hAnsi="仿宋" w:eastAsia="仿宋" w:cs="仿宋"/>
                <w:szCs w:val="21"/>
              </w:rPr>
            </w:pPr>
          </w:p>
        </w:tc>
        <w:tc>
          <w:tcPr>
            <w:tcW w:w="2344" w:type="dxa"/>
            <w:vAlign w:val="center"/>
          </w:tcPr>
          <w:p>
            <w:pPr>
              <w:rPr>
                <w:rFonts w:hint="eastAsia" w:ascii="仿宋" w:hAnsi="仿宋" w:eastAsia="仿宋" w:cs="仿宋"/>
                <w:szCs w:val="21"/>
              </w:rPr>
            </w:pPr>
          </w:p>
        </w:tc>
        <w:tc>
          <w:tcPr>
            <w:tcW w:w="1549" w:type="dxa"/>
            <w:vAlign w:val="center"/>
          </w:tcPr>
          <w:p>
            <w:pPr>
              <w:rPr>
                <w:rFonts w:hint="eastAsia" w:ascii="仿宋" w:hAnsi="仿宋" w:eastAsia="仿宋" w:cs="仿宋"/>
                <w:szCs w:val="21"/>
              </w:rPr>
            </w:pPr>
          </w:p>
        </w:tc>
        <w:tc>
          <w:tcPr>
            <w:tcW w:w="1545" w:type="dxa"/>
            <w:vAlign w:val="center"/>
          </w:tcPr>
          <w:p>
            <w:pPr>
              <w:rPr>
                <w:rFonts w:hint="eastAsia" w:ascii="仿宋" w:hAnsi="仿宋" w:eastAsia="仿宋" w:cs="仿宋"/>
                <w:szCs w:val="21"/>
              </w:rPr>
            </w:pPr>
          </w:p>
        </w:tc>
        <w:tc>
          <w:tcPr>
            <w:tcW w:w="2597"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rPr>
                <w:rFonts w:hint="eastAsia" w:ascii="仿宋" w:hAnsi="仿宋" w:eastAsia="仿宋" w:cs="仿宋"/>
                <w:szCs w:val="21"/>
              </w:rPr>
            </w:pPr>
          </w:p>
        </w:tc>
        <w:tc>
          <w:tcPr>
            <w:tcW w:w="2344" w:type="dxa"/>
            <w:vAlign w:val="center"/>
          </w:tcPr>
          <w:p>
            <w:pPr>
              <w:rPr>
                <w:rFonts w:hint="eastAsia" w:ascii="仿宋" w:hAnsi="仿宋" w:eastAsia="仿宋" w:cs="仿宋"/>
                <w:szCs w:val="21"/>
              </w:rPr>
            </w:pPr>
          </w:p>
        </w:tc>
        <w:tc>
          <w:tcPr>
            <w:tcW w:w="1549" w:type="dxa"/>
            <w:vAlign w:val="center"/>
          </w:tcPr>
          <w:p>
            <w:pPr>
              <w:rPr>
                <w:rFonts w:hint="eastAsia" w:ascii="仿宋" w:hAnsi="仿宋" w:eastAsia="仿宋" w:cs="仿宋"/>
                <w:szCs w:val="21"/>
              </w:rPr>
            </w:pPr>
          </w:p>
        </w:tc>
        <w:tc>
          <w:tcPr>
            <w:tcW w:w="1545" w:type="dxa"/>
            <w:vAlign w:val="center"/>
          </w:tcPr>
          <w:p>
            <w:pPr>
              <w:rPr>
                <w:rFonts w:hint="eastAsia" w:ascii="仿宋" w:hAnsi="仿宋" w:eastAsia="仿宋" w:cs="仿宋"/>
                <w:szCs w:val="21"/>
              </w:rPr>
            </w:pPr>
          </w:p>
        </w:tc>
        <w:tc>
          <w:tcPr>
            <w:tcW w:w="2597"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rPr>
                <w:rFonts w:hint="eastAsia" w:ascii="仿宋" w:hAnsi="仿宋" w:eastAsia="仿宋" w:cs="仿宋"/>
                <w:szCs w:val="21"/>
              </w:rPr>
            </w:pPr>
          </w:p>
        </w:tc>
        <w:tc>
          <w:tcPr>
            <w:tcW w:w="2344" w:type="dxa"/>
            <w:vAlign w:val="center"/>
          </w:tcPr>
          <w:p>
            <w:pPr>
              <w:rPr>
                <w:rFonts w:hint="eastAsia" w:ascii="仿宋" w:hAnsi="仿宋" w:eastAsia="仿宋" w:cs="仿宋"/>
                <w:szCs w:val="21"/>
              </w:rPr>
            </w:pPr>
          </w:p>
        </w:tc>
        <w:tc>
          <w:tcPr>
            <w:tcW w:w="1549" w:type="dxa"/>
            <w:vAlign w:val="center"/>
          </w:tcPr>
          <w:p>
            <w:pPr>
              <w:rPr>
                <w:rFonts w:hint="eastAsia" w:ascii="仿宋" w:hAnsi="仿宋" w:eastAsia="仿宋" w:cs="仿宋"/>
                <w:szCs w:val="21"/>
              </w:rPr>
            </w:pPr>
          </w:p>
        </w:tc>
        <w:tc>
          <w:tcPr>
            <w:tcW w:w="1545" w:type="dxa"/>
            <w:vAlign w:val="center"/>
          </w:tcPr>
          <w:p>
            <w:pPr>
              <w:rPr>
                <w:rFonts w:hint="eastAsia" w:ascii="仿宋" w:hAnsi="仿宋" w:eastAsia="仿宋" w:cs="仿宋"/>
                <w:szCs w:val="21"/>
              </w:rPr>
            </w:pPr>
          </w:p>
        </w:tc>
        <w:tc>
          <w:tcPr>
            <w:tcW w:w="2597"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rPr>
                <w:rFonts w:hint="eastAsia" w:ascii="仿宋" w:hAnsi="仿宋" w:eastAsia="仿宋" w:cs="仿宋"/>
                <w:szCs w:val="21"/>
              </w:rPr>
            </w:pPr>
          </w:p>
        </w:tc>
        <w:tc>
          <w:tcPr>
            <w:tcW w:w="2344" w:type="dxa"/>
            <w:vAlign w:val="center"/>
          </w:tcPr>
          <w:p>
            <w:pPr>
              <w:rPr>
                <w:rFonts w:hint="eastAsia" w:ascii="仿宋" w:hAnsi="仿宋" w:eastAsia="仿宋" w:cs="仿宋"/>
                <w:szCs w:val="21"/>
              </w:rPr>
            </w:pPr>
          </w:p>
        </w:tc>
        <w:tc>
          <w:tcPr>
            <w:tcW w:w="1549" w:type="dxa"/>
            <w:vAlign w:val="center"/>
          </w:tcPr>
          <w:p>
            <w:pPr>
              <w:rPr>
                <w:rFonts w:hint="eastAsia" w:ascii="仿宋" w:hAnsi="仿宋" w:eastAsia="仿宋" w:cs="仿宋"/>
                <w:szCs w:val="21"/>
              </w:rPr>
            </w:pPr>
          </w:p>
        </w:tc>
        <w:tc>
          <w:tcPr>
            <w:tcW w:w="1545" w:type="dxa"/>
            <w:vAlign w:val="center"/>
          </w:tcPr>
          <w:p>
            <w:pPr>
              <w:rPr>
                <w:rFonts w:hint="eastAsia" w:ascii="仿宋" w:hAnsi="仿宋" w:eastAsia="仿宋" w:cs="仿宋"/>
                <w:szCs w:val="21"/>
              </w:rPr>
            </w:pPr>
          </w:p>
        </w:tc>
        <w:tc>
          <w:tcPr>
            <w:tcW w:w="2597"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rPr>
                <w:rFonts w:hint="eastAsia" w:ascii="仿宋" w:hAnsi="仿宋" w:eastAsia="仿宋" w:cs="仿宋"/>
                <w:szCs w:val="21"/>
              </w:rPr>
            </w:pPr>
          </w:p>
        </w:tc>
        <w:tc>
          <w:tcPr>
            <w:tcW w:w="2344" w:type="dxa"/>
            <w:vAlign w:val="center"/>
          </w:tcPr>
          <w:p>
            <w:pPr>
              <w:rPr>
                <w:rFonts w:hint="eastAsia" w:ascii="仿宋" w:hAnsi="仿宋" w:eastAsia="仿宋" w:cs="仿宋"/>
                <w:szCs w:val="21"/>
              </w:rPr>
            </w:pPr>
          </w:p>
        </w:tc>
        <w:tc>
          <w:tcPr>
            <w:tcW w:w="1549" w:type="dxa"/>
            <w:vAlign w:val="center"/>
          </w:tcPr>
          <w:p>
            <w:pPr>
              <w:rPr>
                <w:rFonts w:hint="eastAsia" w:ascii="仿宋" w:hAnsi="仿宋" w:eastAsia="仿宋" w:cs="仿宋"/>
                <w:szCs w:val="21"/>
              </w:rPr>
            </w:pPr>
          </w:p>
        </w:tc>
        <w:tc>
          <w:tcPr>
            <w:tcW w:w="1545" w:type="dxa"/>
            <w:vAlign w:val="center"/>
          </w:tcPr>
          <w:p>
            <w:pPr>
              <w:rPr>
                <w:rFonts w:hint="eastAsia" w:ascii="仿宋" w:hAnsi="仿宋" w:eastAsia="仿宋" w:cs="仿宋"/>
                <w:szCs w:val="21"/>
              </w:rPr>
            </w:pPr>
          </w:p>
        </w:tc>
        <w:tc>
          <w:tcPr>
            <w:tcW w:w="2597"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rPr>
                <w:rFonts w:hint="eastAsia" w:ascii="仿宋" w:hAnsi="仿宋" w:eastAsia="仿宋" w:cs="仿宋"/>
                <w:szCs w:val="21"/>
              </w:rPr>
            </w:pPr>
          </w:p>
        </w:tc>
        <w:tc>
          <w:tcPr>
            <w:tcW w:w="2344" w:type="dxa"/>
            <w:vAlign w:val="center"/>
          </w:tcPr>
          <w:p>
            <w:pPr>
              <w:rPr>
                <w:rFonts w:hint="eastAsia" w:ascii="仿宋" w:hAnsi="仿宋" w:eastAsia="仿宋" w:cs="仿宋"/>
                <w:szCs w:val="21"/>
              </w:rPr>
            </w:pPr>
          </w:p>
        </w:tc>
        <w:tc>
          <w:tcPr>
            <w:tcW w:w="1549" w:type="dxa"/>
            <w:vAlign w:val="center"/>
          </w:tcPr>
          <w:p>
            <w:pPr>
              <w:rPr>
                <w:rFonts w:hint="eastAsia" w:ascii="仿宋" w:hAnsi="仿宋" w:eastAsia="仿宋" w:cs="仿宋"/>
                <w:szCs w:val="21"/>
              </w:rPr>
            </w:pPr>
          </w:p>
        </w:tc>
        <w:tc>
          <w:tcPr>
            <w:tcW w:w="1545" w:type="dxa"/>
            <w:vAlign w:val="center"/>
          </w:tcPr>
          <w:p>
            <w:pPr>
              <w:rPr>
                <w:rFonts w:hint="eastAsia" w:ascii="仿宋" w:hAnsi="仿宋" w:eastAsia="仿宋" w:cs="仿宋"/>
                <w:szCs w:val="21"/>
              </w:rPr>
            </w:pPr>
          </w:p>
        </w:tc>
        <w:tc>
          <w:tcPr>
            <w:tcW w:w="2597"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rPr>
                <w:rFonts w:hint="eastAsia" w:ascii="仿宋" w:hAnsi="仿宋" w:eastAsia="仿宋" w:cs="仿宋"/>
                <w:szCs w:val="21"/>
              </w:rPr>
            </w:pPr>
          </w:p>
        </w:tc>
        <w:tc>
          <w:tcPr>
            <w:tcW w:w="2344" w:type="dxa"/>
            <w:vAlign w:val="center"/>
          </w:tcPr>
          <w:p>
            <w:pPr>
              <w:rPr>
                <w:rFonts w:hint="eastAsia" w:ascii="仿宋" w:hAnsi="仿宋" w:eastAsia="仿宋" w:cs="仿宋"/>
                <w:szCs w:val="21"/>
              </w:rPr>
            </w:pPr>
          </w:p>
        </w:tc>
        <w:tc>
          <w:tcPr>
            <w:tcW w:w="1549" w:type="dxa"/>
            <w:vAlign w:val="center"/>
          </w:tcPr>
          <w:p>
            <w:pPr>
              <w:rPr>
                <w:rFonts w:hint="eastAsia" w:ascii="仿宋" w:hAnsi="仿宋" w:eastAsia="仿宋" w:cs="仿宋"/>
                <w:szCs w:val="21"/>
              </w:rPr>
            </w:pPr>
          </w:p>
        </w:tc>
        <w:tc>
          <w:tcPr>
            <w:tcW w:w="1545" w:type="dxa"/>
            <w:vAlign w:val="center"/>
          </w:tcPr>
          <w:p>
            <w:pPr>
              <w:rPr>
                <w:rFonts w:hint="eastAsia" w:ascii="仿宋" w:hAnsi="仿宋" w:eastAsia="仿宋" w:cs="仿宋"/>
                <w:szCs w:val="21"/>
              </w:rPr>
            </w:pPr>
          </w:p>
        </w:tc>
        <w:tc>
          <w:tcPr>
            <w:tcW w:w="2597" w:type="dxa"/>
            <w:vAlign w:val="center"/>
          </w:tcPr>
          <w:p>
            <w:pP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rPr>
                <w:rFonts w:hint="eastAsia" w:ascii="仿宋" w:hAnsi="仿宋" w:eastAsia="仿宋" w:cs="仿宋"/>
                <w:szCs w:val="21"/>
              </w:rPr>
            </w:pPr>
          </w:p>
        </w:tc>
        <w:tc>
          <w:tcPr>
            <w:tcW w:w="2344" w:type="dxa"/>
            <w:vAlign w:val="center"/>
          </w:tcPr>
          <w:p>
            <w:pPr>
              <w:rPr>
                <w:rFonts w:hint="eastAsia" w:ascii="仿宋" w:hAnsi="仿宋" w:eastAsia="仿宋" w:cs="仿宋"/>
                <w:szCs w:val="21"/>
              </w:rPr>
            </w:pPr>
          </w:p>
        </w:tc>
        <w:tc>
          <w:tcPr>
            <w:tcW w:w="1549" w:type="dxa"/>
            <w:vAlign w:val="center"/>
          </w:tcPr>
          <w:p>
            <w:pPr>
              <w:rPr>
                <w:rFonts w:hint="eastAsia" w:ascii="仿宋" w:hAnsi="仿宋" w:eastAsia="仿宋" w:cs="仿宋"/>
                <w:szCs w:val="21"/>
              </w:rPr>
            </w:pPr>
          </w:p>
        </w:tc>
        <w:tc>
          <w:tcPr>
            <w:tcW w:w="1545" w:type="dxa"/>
            <w:vAlign w:val="center"/>
          </w:tcPr>
          <w:p>
            <w:pPr>
              <w:rPr>
                <w:rFonts w:hint="eastAsia" w:ascii="仿宋" w:hAnsi="仿宋" w:eastAsia="仿宋" w:cs="仿宋"/>
                <w:szCs w:val="21"/>
              </w:rPr>
            </w:pPr>
          </w:p>
        </w:tc>
        <w:tc>
          <w:tcPr>
            <w:tcW w:w="2597" w:type="dxa"/>
            <w:vAlign w:val="center"/>
          </w:tcPr>
          <w:p>
            <w:pPr>
              <w:rPr>
                <w:rFonts w:hint="eastAsia" w:ascii="仿宋" w:hAnsi="仿宋" w:eastAsia="仿宋" w:cs="仿宋"/>
                <w:szCs w:val="21"/>
              </w:rPr>
            </w:pPr>
          </w:p>
        </w:tc>
      </w:tr>
    </w:tbl>
    <w:p>
      <w:pPr>
        <w:rPr>
          <w:rFonts w:hint="eastAsia" w:ascii="仿宋" w:hAnsi="仿宋" w:eastAsia="仿宋" w:cs="仿宋"/>
        </w:rPr>
      </w:pPr>
    </w:p>
    <w:p>
      <w:pPr>
        <w:adjustRightInd w:val="0"/>
        <w:snapToGrid w:val="0"/>
        <w:spacing w:line="360" w:lineRule="auto"/>
        <w:ind w:firstLine="4158" w:firstLineChars="1980"/>
        <w:rPr>
          <w:rFonts w:hint="eastAsia" w:ascii="仿宋" w:hAnsi="仿宋" w:eastAsia="仿宋" w:cs="仿宋"/>
          <w:szCs w:val="21"/>
        </w:rPr>
      </w:pPr>
    </w:p>
    <w:p>
      <w:pPr>
        <w:spacing w:line="360" w:lineRule="auto"/>
        <w:ind w:firstLine="5670" w:firstLineChars="2700"/>
        <w:jc w:val="left"/>
        <w:rPr>
          <w:rFonts w:hint="eastAsia" w:ascii="仿宋" w:hAnsi="仿宋" w:eastAsia="仿宋" w:cs="仿宋"/>
          <w:szCs w:val="21"/>
        </w:rPr>
      </w:pPr>
      <w:r>
        <w:rPr>
          <w:rFonts w:hint="eastAsia" w:ascii="仿宋" w:hAnsi="仿宋" w:eastAsia="仿宋" w:cs="仿宋"/>
          <w:szCs w:val="21"/>
        </w:rPr>
        <w:t>供应商(盖电子公章)：</w:t>
      </w:r>
    </w:p>
    <w:p>
      <w:pPr>
        <w:pStyle w:val="2"/>
        <w:wordWrap w:val="0"/>
        <w:jc w:val="right"/>
        <w:rPr>
          <w:rFonts w:hint="eastAsia" w:ascii="仿宋" w:hAnsi="仿宋" w:eastAsia="仿宋" w:cs="仿宋"/>
        </w:rPr>
      </w:pPr>
      <w:r>
        <w:rPr>
          <w:rFonts w:hint="eastAsia" w:ascii="仿宋" w:hAnsi="仿宋" w:eastAsia="仿宋" w:cs="仿宋"/>
          <w:szCs w:val="21"/>
        </w:rPr>
        <w:t xml:space="preserve">日期：                </w:t>
      </w:r>
    </w:p>
    <w:p>
      <w:pPr>
        <w:pStyle w:val="21"/>
        <w:rPr>
          <w:rFonts w:hint="eastAsia" w:ascii="仿宋" w:hAnsi="仿宋" w:eastAsia="仿宋" w:cs="仿宋"/>
        </w:rPr>
      </w:pPr>
    </w:p>
    <w:p>
      <w:pPr>
        <w:rPr>
          <w:rFonts w:hint="eastAsia" w:ascii="仿宋" w:hAnsi="仿宋" w:eastAsia="仿宋" w:cs="仿宋"/>
          <w:b/>
          <w:bCs/>
          <w:szCs w:val="21"/>
        </w:rPr>
      </w:pPr>
      <w:r>
        <w:rPr>
          <w:rFonts w:hint="eastAsia" w:ascii="仿宋" w:hAnsi="仿宋" w:eastAsia="仿宋" w:cs="仿宋"/>
          <w:b/>
          <w:bCs/>
          <w:szCs w:val="21"/>
        </w:rPr>
        <w:br w:type="page"/>
      </w:r>
    </w:p>
    <w:p>
      <w:pPr>
        <w:adjustRightInd w:val="0"/>
        <w:spacing w:line="360" w:lineRule="auto"/>
        <w:rPr>
          <w:rFonts w:hint="eastAsia" w:ascii="仿宋" w:hAnsi="仿宋" w:eastAsia="仿宋" w:cs="仿宋"/>
          <w:b/>
          <w:bCs/>
          <w:szCs w:val="21"/>
        </w:rPr>
      </w:pPr>
      <w:r>
        <w:rPr>
          <w:rFonts w:hint="eastAsia" w:ascii="仿宋" w:hAnsi="仿宋" w:eastAsia="仿宋" w:cs="仿宋"/>
          <w:b/>
          <w:bCs/>
          <w:szCs w:val="21"/>
        </w:rPr>
        <w:t>4、技术偏离表</w:t>
      </w:r>
    </w:p>
    <w:p>
      <w:pPr>
        <w:adjustRightInd w:val="0"/>
        <w:spacing w:line="360" w:lineRule="auto"/>
        <w:ind w:firstLine="435"/>
        <w:jc w:val="center"/>
        <w:rPr>
          <w:rFonts w:hint="eastAsia" w:ascii="仿宋" w:hAnsi="仿宋" w:eastAsia="仿宋" w:cs="仿宋"/>
          <w:sz w:val="18"/>
          <w:szCs w:val="18"/>
        </w:rPr>
      </w:pPr>
      <w:r>
        <w:rPr>
          <w:rFonts w:hint="eastAsia" w:ascii="仿宋" w:hAnsi="仿宋" w:eastAsia="仿宋" w:cs="仿宋"/>
          <w:b/>
          <w:bCs/>
          <w:sz w:val="28"/>
          <w:szCs w:val="28"/>
        </w:rPr>
        <w:t>技术偏离表</w:t>
      </w:r>
      <w:r>
        <w:rPr>
          <w:rFonts w:hint="eastAsia" w:ascii="仿宋" w:hAnsi="仿宋" w:eastAsia="仿宋" w:cs="仿宋"/>
          <w:sz w:val="18"/>
          <w:szCs w:val="18"/>
        </w:rPr>
        <w:t xml:space="preserve"> </w:t>
      </w:r>
    </w:p>
    <w:tbl>
      <w:tblPr>
        <w:tblStyle w:val="47"/>
        <w:tblW w:w="7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641"/>
        <w:gridCol w:w="1871"/>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21" w:type="dxa"/>
            <w:vAlign w:val="center"/>
          </w:tcPr>
          <w:p>
            <w:pPr>
              <w:adjustRightInd w:val="0"/>
              <w:jc w:val="center"/>
              <w:rPr>
                <w:rFonts w:hint="eastAsia" w:ascii="仿宋" w:hAnsi="仿宋" w:eastAsia="仿宋" w:cs="仿宋"/>
                <w:kern w:val="0"/>
                <w:szCs w:val="21"/>
              </w:rPr>
            </w:pPr>
            <w:r>
              <w:rPr>
                <w:rFonts w:hint="eastAsia" w:ascii="仿宋" w:hAnsi="仿宋" w:eastAsia="仿宋" w:cs="仿宋"/>
                <w:kern w:val="0"/>
                <w:szCs w:val="21"/>
              </w:rPr>
              <w:t>序 号</w:t>
            </w:r>
          </w:p>
        </w:tc>
        <w:tc>
          <w:tcPr>
            <w:tcW w:w="2641" w:type="dxa"/>
            <w:vAlign w:val="center"/>
          </w:tcPr>
          <w:p>
            <w:pPr>
              <w:adjustRightInd w:val="0"/>
              <w:jc w:val="center"/>
              <w:rPr>
                <w:rFonts w:hint="eastAsia" w:ascii="仿宋" w:hAnsi="仿宋" w:eastAsia="仿宋" w:cs="仿宋"/>
                <w:kern w:val="0"/>
                <w:szCs w:val="21"/>
              </w:rPr>
            </w:pPr>
            <w:r>
              <w:rPr>
                <w:rFonts w:hint="eastAsia" w:ascii="仿宋" w:hAnsi="仿宋" w:eastAsia="仿宋" w:cs="仿宋"/>
                <w:kern w:val="0"/>
                <w:szCs w:val="21"/>
              </w:rPr>
              <w:t>采购文件技术</w:t>
            </w:r>
          </w:p>
          <w:p>
            <w:pPr>
              <w:adjustRightInd w:val="0"/>
              <w:jc w:val="center"/>
              <w:rPr>
                <w:rFonts w:hint="eastAsia" w:ascii="仿宋" w:hAnsi="仿宋" w:eastAsia="仿宋" w:cs="仿宋"/>
                <w:kern w:val="0"/>
                <w:szCs w:val="21"/>
              </w:rPr>
            </w:pPr>
            <w:r>
              <w:rPr>
                <w:rFonts w:hint="eastAsia" w:ascii="仿宋" w:hAnsi="仿宋" w:eastAsia="仿宋" w:cs="仿宋"/>
                <w:kern w:val="0"/>
                <w:szCs w:val="21"/>
              </w:rPr>
              <w:t>规范要求</w:t>
            </w:r>
          </w:p>
        </w:tc>
        <w:tc>
          <w:tcPr>
            <w:tcW w:w="1871" w:type="dxa"/>
            <w:vAlign w:val="center"/>
          </w:tcPr>
          <w:p>
            <w:pPr>
              <w:widowControl/>
              <w:adjustRightInd w:val="0"/>
              <w:jc w:val="center"/>
              <w:rPr>
                <w:rFonts w:hint="eastAsia" w:ascii="仿宋" w:hAnsi="仿宋" w:eastAsia="仿宋" w:cs="仿宋"/>
                <w:kern w:val="0"/>
                <w:szCs w:val="21"/>
              </w:rPr>
            </w:pPr>
            <w:r>
              <w:rPr>
                <w:rFonts w:hint="eastAsia" w:ascii="仿宋" w:hAnsi="仿宋" w:eastAsia="仿宋" w:cs="仿宋"/>
                <w:kern w:val="0"/>
                <w:szCs w:val="21"/>
              </w:rPr>
              <w:t>响应情况</w:t>
            </w:r>
          </w:p>
        </w:tc>
        <w:tc>
          <w:tcPr>
            <w:tcW w:w="2044" w:type="dxa"/>
            <w:vAlign w:val="center"/>
          </w:tcPr>
          <w:p>
            <w:pPr>
              <w:adjustRightInd w:val="0"/>
              <w:jc w:val="center"/>
              <w:rPr>
                <w:rFonts w:hint="eastAsia" w:ascii="仿宋" w:hAnsi="仿宋" w:eastAsia="仿宋" w:cs="仿宋"/>
                <w:kern w:val="0"/>
                <w:szCs w:val="21"/>
              </w:rPr>
            </w:pPr>
            <w:r>
              <w:rPr>
                <w:rFonts w:hint="eastAsia" w:ascii="仿宋" w:hAnsi="仿宋" w:eastAsia="仿宋" w:cs="仿宋"/>
                <w:kern w:val="0"/>
                <w:szCs w:val="21"/>
              </w:rPr>
              <w:t>备注</w:t>
            </w:r>
          </w:p>
          <w:p>
            <w:pPr>
              <w:adjustRightInd w:val="0"/>
              <w:jc w:val="center"/>
              <w:rPr>
                <w:rFonts w:hint="eastAsia" w:ascii="仿宋" w:hAnsi="仿宋" w:eastAsia="仿宋" w:cs="仿宋"/>
                <w:kern w:val="0"/>
                <w:szCs w:val="21"/>
              </w:rPr>
            </w:pPr>
            <w:r>
              <w:rPr>
                <w:rFonts w:hint="eastAsia" w:ascii="仿宋" w:hAnsi="仿宋" w:eastAsia="仿宋" w:cs="仿宋"/>
                <w:kern w:val="0"/>
                <w:szCs w:val="21"/>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vAlign w:val="center"/>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vAlign w:val="center"/>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vAlign w:val="center"/>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vAlign w:val="center"/>
          </w:tcPr>
          <w:p>
            <w:pPr>
              <w:adjustRightInd w:val="0"/>
              <w:spacing w:line="360" w:lineRule="auto"/>
              <w:jc w:val="center"/>
              <w:rPr>
                <w:rFonts w:hint="eastAsia" w:ascii="仿宋" w:hAnsi="仿宋" w:eastAsia="仿宋" w:cs="仿宋"/>
                <w:sz w:val="24"/>
              </w:rPr>
            </w:pPr>
          </w:p>
        </w:tc>
        <w:tc>
          <w:tcPr>
            <w:tcW w:w="1871" w:type="dxa"/>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tcPr>
          <w:p>
            <w:pPr>
              <w:adjustRightInd w:val="0"/>
              <w:spacing w:line="360" w:lineRule="auto"/>
              <w:jc w:val="center"/>
              <w:rPr>
                <w:rFonts w:hint="eastAsia" w:ascii="仿宋" w:hAnsi="仿宋" w:eastAsia="仿宋" w:cs="仿宋"/>
                <w:sz w:val="24"/>
              </w:rPr>
            </w:pPr>
          </w:p>
        </w:tc>
        <w:tc>
          <w:tcPr>
            <w:tcW w:w="1871" w:type="dxa"/>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21" w:type="dxa"/>
          </w:tcPr>
          <w:p>
            <w:pPr>
              <w:adjustRightInd w:val="0"/>
              <w:spacing w:line="360" w:lineRule="auto"/>
              <w:ind w:firstLine="435"/>
              <w:rPr>
                <w:rFonts w:hint="eastAsia" w:ascii="仿宋" w:hAnsi="仿宋" w:eastAsia="仿宋" w:cs="仿宋"/>
                <w:sz w:val="24"/>
              </w:rPr>
            </w:pPr>
          </w:p>
        </w:tc>
        <w:tc>
          <w:tcPr>
            <w:tcW w:w="2641" w:type="dxa"/>
          </w:tcPr>
          <w:p>
            <w:pPr>
              <w:adjustRightInd w:val="0"/>
              <w:spacing w:line="360" w:lineRule="auto"/>
              <w:jc w:val="center"/>
              <w:rPr>
                <w:rFonts w:hint="eastAsia" w:ascii="仿宋" w:hAnsi="仿宋" w:eastAsia="仿宋" w:cs="仿宋"/>
                <w:sz w:val="24"/>
              </w:rPr>
            </w:pPr>
          </w:p>
        </w:tc>
        <w:tc>
          <w:tcPr>
            <w:tcW w:w="1871" w:type="dxa"/>
          </w:tcPr>
          <w:p>
            <w:pPr>
              <w:adjustRightInd w:val="0"/>
              <w:spacing w:line="360" w:lineRule="auto"/>
              <w:jc w:val="center"/>
              <w:rPr>
                <w:rFonts w:hint="eastAsia" w:ascii="仿宋" w:hAnsi="仿宋" w:eastAsia="仿宋" w:cs="仿宋"/>
                <w:sz w:val="24"/>
              </w:rPr>
            </w:pPr>
          </w:p>
        </w:tc>
        <w:tc>
          <w:tcPr>
            <w:tcW w:w="2044" w:type="dxa"/>
          </w:tcPr>
          <w:p>
            <w:pPr>
              <w:adjustRightInd w:val="0"/>
              <w:spacing w:line="360" w:lineRule="auto"/>
              <w:rPr>
                <w:rFonts w:hint="eastAsia" w:ascii="仿宋" w:hAnsi="仿宋" w:eastAsia="仿宋" w:cs="仿宋"/>
                <w:sz w:val="24"/>
              </w:rPr>
            </w:pPr>
          </w:p>
        </w:tc>
      </w:tr>
    </w:tbl>
    <w:p>
      <w:pPr>
        <w:spacing w:line="360" w:lineRule="auto"/>
        <w:jc w:val="left"/>
        <w:rPr>
          <w:rFonts w:hint="eastAsia" w:ascii="仿宋" w:hAnsi="仿宋" w:eastAsia="仿宋" w:cs="仿宋"/>
          <w:szCs w:val="21"/>
        </w:rPr>
      </w:pPr>
      <w:r>
        <w:rPr>
          <w:rFonts w:hint="eastAsia" w:ascii="仿宋" w:hAnsi="仿宋" w:eastAsia="仿宋" w:cs="仿宋"/>
          <w:szCs w:val="21"/>
        </w:rPr>
        <w:t>注意：供应商若不填写，视作响应采购文件要求。</w:t>
      </w:r>
    </w:p>
    <w:p>
      <w:pPr>
        <w:adjustRightInd w:val="0"/>
        <w:spacing w:line="360" w:lineRule="auto"/>
        <w:ind w:firstLine="5670" w:firstLineChars="2700"/>
        <w:rPr>
          <w:rFonts w:hint="eastAsia" w:ascii="仿宋" w:hAnsi="仿宋" w:eastAsia="仿宋" w:cs="仿宋"/>
          <w:sz w:val="24"/>
        </w:rPr>
      </w:pPr>
      <w:r>
        <w:rPr>
          <w:rFonts w:hint="eastAsia" w:ascii="仿宋" w:hAnsi="仿宋" w:eastAsia="仿宋" w:cs="仿宋"/>
          <w:b/>
          <w:bCs/>
          <w:szCs w:val="21"/>
        </w:rPr>
        <w:t xml:space="preserve"> </w:t>
      </w:r>
      <w:r>
        <w:rPr>
          <w:rFonts w:hint="eastAsia" w:ascii="仿宋" w:hAnsi="仿宋" w:eastAsia="仿宋" w:cs="仿宋"/>
          <w:sz w:val="24"/>
        </w:rPr>
        <w:t xml:space="preserve"> </w:t>
      </w:r>
    </w:p>
    <w:p>
      <w:pPr>
        <w:adjustRightInd w:val="0"/>
        <w:ind w:firstLine="4158" w:firstLineChars="1980"/>
        <w:rPr>
          <w:rFonts w:hint="eastAsia" w:ascii="仿宋" w:hAnsi="仿宋" w:eastAsia="仿宋" w:cs="仿宋"/>
          <w:szCs w:val="21"/>
        </w:rPr>
      </w:pPr>
      <w:r>
        <w:rPr>
          <w:rFonts w:hint="eastAsia" w:ascii="仿宋" w:hAnsi="仿宋" w:eastAsia="仿宋" w:cs="仿宋"/>
          <w:szCs w:val="21"/>
        </w:rPr>
        <w:t>供应商(盖公章)</w:t>
      </w:r>
    </w:p>
    <w:p>
      <w:pPr>
        <w:adjustRightInd w:val="0"/>
        <w:ind w:firstLine="4158" w:firstLineChars="1980"/>
        <w:rPr>
          <w:rFonts w:hint="eastAsia" w:ascii="仿宋" w:hAnsi="仿宋" w:eastAsia="仿宋" w:cs="仿宋"/>
          <w:szCs w:val="21"/>
        </w:rPr>
      </w:pPr>
      <w:r>
        <w:rPr>
          <w:rFonts w:hint="eastAsia" w:ascii="仿宋" w:hAnsi="仿宋" w:eastAsia="仿宋" w:cs="仿宋"/>
          <w:szCs w:val="21"/>
        </w:rPr>
        <w:t xml:space="preserve"> </w:t>
      </w:r>
    </w:p>
    <w:p>
      <w:pPr>
        <w:spacing w:line="360" w:lineRule="atLeast"/>
        <w:ind w:firstLine="4200" w:firstLineChars="2000"/>
        <w:rPr>
          <w:rFonts w:hint="eastAsia" w:ascii="仿宋" w:hAnsi="仿宋" w:eastAsia="仿宋" w:cs="仿宋"/>
          <w:sz w:val="24"/>
        </w:rPr>
      </w:pPr>
      <w:r>
        <w:rPr>
          <w:rFonts w:hint="eastAsia" w:ascii="仿宋" w:hAnsi="仿宋" w:eastAsia="仿宋" w:cs="仿宋"/>
          <w:szCs w:val="21"/>
        </w:rPr>
        <w:t>日  期：</w:t>
      </w:r>
    </w:p>
    <w:p>
      <w:pPr>
        <w:widowControl/>
        <w:jc w:val="left"/>
        <w:rPr>
          <w:rFonts w:hint="eastAsia" w:ascii="仿宋" w:hAnsi="仿宋" w:eastAsia="仿宋" w:cs="仿宋"/>
          <w:b/>
          <w:bCs/>
          <w:sz w:val="24"/>
        </w:rPr>
        <w:sectPr>
          <w:footerReference r:id="rId12" w:type="default"/>
          <w:pgSz w:w="11906" w:h="16838"/>
          <w:pgMar w:top="1247" w:right="1644" w:bottom="1247" w:left="1644" w:header="720" w:footer="720" w:gutter="0"/>
          <w:cols w:space="720" w:num="1"/>
          <w:docGrid w:type="linesAndChars" w:linePitch="312" w:charSpace="0"/>
        </w:sectPr>
      </w:pPr>
    </w:p>
    <w:p>
      <w:pPr>
        <w:spacing w:line="360" w:lineRule="atLeast"/>
        <w:rPr>
          <w:rFonts w:hint="eastAsia" w:ascii="仿宋" w:hAnsi="仿宋" w:eastAsia="仿宋" w:cs="仿宋"/>
          <w:b/>
          <w:bCs/>
          <w:szCs w:val="21"/>
        </w:rPr>
      </w:pPr>
      <w:r>
        <w:rPr>
          <w:rFonts w:hint="eastAsia" w:ascii="仿宋" w:hAnsi="仿宋" w:eastAsia="仿宋" w:cs="仿宋"/>
          <w:b/>
          <w:bCs/>
          <w:szCs w:val="21"/>
        </w:rPr>
        <w:t>5、技术响应表</w:t>
      </w:r>
    </w:p>
    <w:p>
      <w:pPr>
        <w:adjustRightInd w:val="0"/>
        <w:snapToGrid w:val="0"/>
        <w:spacing w:line="396" w:lineRule="auto"/>
        <w:jc w:val="center"/>
        <w:rPr>
          <w:rFonts w:hint="eastAsia" w:ascii="仿宋" w:hAnsi="仿宋" w:eastAsia="仿宋" w:cs="仿宋"/>
          <w:b/>
          <w:bCs/>
          <w:sz w:val="24"/>
        </w:rPr>
      </w:pPr>
      <w:r>
        <w:rPr>
          <w:rFonts w:hint="eastAsia" w:ascii="仿宋" w:hAnsi="仿宋" w:eastAsia="仿宋" w:cs="仿宋"/>
          <w:b/>
          <w:bCs/>
          <w:sz w:val="24"/>
        </w:rPr>
        <w:t>技术响应表</w:t>
      </w:r>
    </w:p>
    <w:tbl>
      <w:tblPr>
        <w:tblStyle w:val="47"/>
        <w:tblW w:w="8468" w:type="dxa"/>
        <w:tblInd w:w="0" w:type="dxa"/>
        <w:tblLayout w:type="fixed"/>
        <w:tblCellMar>
          <w:top w:w="0" w:type="dxa"/>
          <w:left w:w="108" w:type="dxa"/>
          <w:bottom w:w="0" w:type="dxa"/>
          <w:right w:w="108" w:type="dxa"/>
        </w:tblCellMar>
      </w:tblPr>
      <w:tblGrid>
        <w:gridCol w:w="648"/>
        <w:gridCol w:w="3600"/>
        <w:gridCol w:w="4220"/>
      </w:tblGrid>
      <w:tr>
        <w:tblPrEx>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序号</w:t>
            </w: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采购文件技术要求</w:t>
            </w:r>
          </w:p>
        </w:tc>
        <w:tc>
          <w:tcPr>
            <w:tcW w:w="4220" w:type="dxa"/>
            <w:tcBorders>
              <w:top w:val="single" w:color="auto" w:sz="4" w:space="0"/>
              <w:left w:val="nil"/>
              <w:bottom w:val="nil"/>
              <w:right w:val="single" w:color="auto" w:sz="4" w:space="0"/>
            </w:tcBorders>
            <w:vAlign w:val="center"/>
          </w:tcPr>
          <w:p>
            <w:pPr>
              <w:adjustRightInd w:val="0"/>
              <w:spacing w:line="360" w:lineRule="auto"/>
              <w:jc w:val="center"/>
              <w:rPr>
                <w:rFonts w:hint="eastAsia" w:ascii="仿宋" w:hAnsi="仿宋" w:eastAsia="仿宋" w:cs="仿宋"/>
                <w:szCs w:val="21"/>
              </w:rPr>
            </w:pPr>
            <w:r>
              <w:rPr>
                <w:rFonts w:hint="eastAsia" w:ascii="仿宋" w:hAnsi="仿宋" w:eastAsia="仿宋" w:cs="仿宋"/>
                <w:szCs w:val="21"/>
              </w:rPr>
              <w:t>响应情况</w:t>
            </w:r>
          </w:p>
        </w:tc>
      </w:tr>
      <w:tr>
        <w:tblPrEx>
          <w:tblCellMar>
            <w:top w:w="0" w:type="dxa"/>
            <w:left w:w="108" w:type="dxa"/>
            <w:bottom w:w="0" w:type="dxa"/>
            <w:right w:w="108" w:type="dxa"/>
          </w:tblCellMar>
        </w:tblPrEx>
        <w:trPr>
          <w:cantSplit/>
          <w:trHeight w:val="360"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360"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210"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74"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74"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trHeight w:val="223"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cantSplit/>
          <w:trHeight w:val="405"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hint="eastAsia" w:ascii="仿宋" w:hAnsi="仿宋" w:eastAsia="仿宋" w:cs="仿宋"/>
                <w:szCs w:val="21"/>
              </w:rPr>
            </w:pPr>
          </w:p>
        </w:tc>
      </w:tr>
      <w:tr>
        <w:tblPrEx>
          <w:tblCellMar>
            <w:top w:w="0" w:type="dxa"/>
            <w:left w:w="108" w:type="dxa"/>
            <w:bottom w:w="0" w:type="dxa"/>
            <w:right w:w="108" w:type="dxa"/>
          </w:tblCellMar>
        </w:tblPrEx>
        <w:trPr>
          <w:cantSplit/>
          <w:trHeight w:val="405"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ind w:firstLine="1890" w:firstLineChars="900"/>
              <w:rPr>
                <w:rFonts w:hint="eastAsia" w:ascii="仿宋" w:hAnsi="仿宋" w:eastAsia="仿宋" w:cs="仿宋"/>
                <w:szCs w:val="21"/>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r>
        <w:tblPrEx>
          <w:tblCellMar>
            <w:top w:w="0" w:type="dxa"/>
            <w:left w:w="108" w:type="dxa"/>
            <w:bottom w:w="0" w:type="dxa"/>
            <w:right w:w="108" w:type="dxa"/>
          </w:tblCellMar>
        </w:tblPrEx>
        <w:trPr>
          <w:trHeight w:val="77" w:hRule="atLeast"/>
        </w:trPr>
        <w:tc>
          <w:tcPr>
            <w:tcW w:w="648" w:type="dxa"/>
            <w:tcBorders>
              <w:top w:val="single" w:color="auto" w:sz="4" w:space="0"/>
              <w:left w:val="single" w:color="auto" w:sz="4" w:space="0"/>
              <w:bottom w:val="single" w:color="auto" w:sz="4" w:space="0"/>
              <w:right w:val="single" w:color="auto" w:sz="4" w:space="0"/>
            </w:tcBorders>
            <w:vAlign w:val="center"/>
          </w:tcPr>
          <w:p>
            <w:pPr>
              <w:numPr>
                <w:ilvl w:val="0"/>
                <w:numId w:val="7"/>
              </w:numPr>
              <w:adjustRightInd w:val="0"/>
              <w:spacing w:line="360" w:lineRule="auto"/>
              <w:jc w:val="center"/>
              <w:rPr>
                <w:rFonts w:hint="eastAsia" w:ascii="仿宋" w:hAnsi="仿宋" w:eastAsia="仿宋" w:cs="仿宋"/>
                <w:szCs w:val="21"/>
              </w:rPr>
            </w:pPr>
          </w:p>
        </w:tc>
        <w:tc>
          <w:tcPr>
            <w:tcW w:w="360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c>
          <w:tcPr>
            <w:tcW w:w="4220" w:type="dxa"/>
            <w:tcBorders>
              <w:top w:val="single" w:color="auto" w:sz="4" w:space="0"/>
              <w:left w:val="nil"/>
              <w:bottom w:val="single" w:color="auto" w:sz="4" w:space="0"/>
              <w:right w:val="single" w:color="auto" w:sz="4" w:space="0"/>
            </w:tcBorders>
            <w:vAlign w:val="center"/>
          </w:tcPr>
          <w:p>
            <w:pPr>
              <w:adjustRightInd w:val="0"/>
              <w:spacing w:line="360" w:lineRule="auto"/>
              <w:jc w:val="center"/>
              <w:rPr>
                <w:rFonts w:hint="eastAsia" w:ascii="仿宋" w:hAnsi="仿宋" w:eastAsia="仿宋" w:cs="仿宋"/>
                <w:szCs w:val="21"/>
              </w:rPr>
            </w:pPr>
          </w:p>
        </w:tc>
      </w:tr>
    </w:tbl>
    <w:p>
      <w:pPr>
        <w:rPr>
          <w:rFonts w:hint="eastAsia" w:ascii="仿宋" w:hAnsi="仿宋" w:eastAsia="仿宋" w:cs="仿宋"/>
          <w:szCs w:val="21"/>
        </w:rPr>
      </w:pPr>
      <w:r>
        <w:rPr>
          <w:rFonts w:hint="eastAsia" w:ascii="仿宋" w:hAnsi="仿宋" w:eastAsia="仿宋" w:cs="仿宋"/>
          <w:szCs w:val="21"/>
        </w:rPr>
        <w:t xml:space="preserve"> </w:t>
      </w:r>
    </w:p>
    <w:p>
      <w:pPr>
        <w:rPr>
          <w:rFonts w:hint="eastAsia" w:ascii="仿宋" w:hAnsi="仿宋" w:eastAsia="仿宋" w:cs="仿宋"/>
        </w:rPr>
      </w:pPr>
      <w:r>
        <w:rPr>
          <w:rFonts w:hint="eastAsia" w:ascii="仿宋" w:hAnsi="仿宋" w:eastAsia="仿宋" w:cs="仿宋"/>
        </w:rPr>
        <w:br w:type="page"/>
      </w:r>
    </w:p>
    <w:p>
      <w:pPr>
        <w:rPr>
          <w:rFonts w:hint="eastAsia" w:ascii="仿宋" w:hAnsi="仿宋" w:eastAsia="仿宋" w:cs="仿宋"/>
          <w:sz w:val="24"/>
          <w:szCs w:val="32"/>
        </w:rPr>
      </w:pPr>
      <w:bookmarkStart w:id="105" w:name="_Toc14417"/>
      <w:r>
        <w:rPr>
          <w:rFonts w:hint="eastAsia" w:ascii="仿宋" w:hAnsi="仿宋" w:eastAsia="仿宋" w:cs="仿宋"/>
          <w:sz w:val="24"/>
          <w:szCs w:val="32"/>
        </w:rPr>
        <w:t>6、服务方案</w:t>
      </w:r>
      <w:bookmarkEnd w:id="105"/>
    </w:p>
    <w:p>
      <w:pPr>
        <w:jc w:val="center"/>
        <w:rPr>
          <w:rFonts w:hint="eastAsia" w:ascii="仿宋" w:hAnsi="仿宋" w:eastAsia="仿宋" w:cs="仿宋"/>
          <w:sz w:val="24"/>
          <w:szCs w:val="32"/>
        </w:rPr>
      </w:pPr>
      <w:bookmarkStart w:id="106" w:name="_Toc15137"/>
      <w:r>
        <w:rPr>
          <w:rFonts w:hint="eastAsia" w:ascii="仿宋" w:hAnsi="仿宋" w:eastAsia="仿宋" w:cs="仿宋"/>
          <w:sz w:val="24"/>
          <w:szCs w:val="32"/>
        </w:rPr>
        <w:t>内容自拟</w:t>
      </w:r>
      <w:bookmarkEnd w:id="106"/>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rPr>
          <w:rFonts w:hint="eastAsia" w:ascii="仿宋" w:hAnsi="仿宋" w:eastAsia="仿宋" w:cs="仿宋"/>
          <w:sz w:val="22"/>
          <w:szCs w:val="28"/>
        </w:rPr>
      </w:pPr>
      <w:bookmarkStart w:id="107" w:name="_Toc28453"/>
      <w:r>
        <w:rPr>
          <w:rFonts w:hint="eastAsia" w:ascii="仿宋" w:hAnsi="仿宋" w:eastAsia="仿宋" w:cs="仿宋"/>
          <w:sz w:val="22"/>
          <w:szCs w:val="28"/>
        </w:rPr>
        <w:t>7、拟派项目服务团队情况</w:t>
      </w:r>
      <w:bookmarkEnd w:id="107"/>
    </w:p>
    <w:p>
      <w:pPr>
        <w:widowControl/>
        <w:wordWrap w:val="0"/>
        <w:adjustRightInd w:val="0"/>
        <w:snapToGrid w:val="0"/>
        <w:spacing w:line="360" w:lineRule="auto"/>
        <w:ind w:right="420"/>
        <w:outlineLvl w:val="1"/>
        <w:rPr>
          <w:rStyle w:val="58"/>
          <w:rFonts w:hint="eastAsia" w:ascii="仿宋" w:hAnsi="仿宋" w:eastAsia="仿宋" w:cs="仿宋"/>
          <w:sz w:val="22"/>
          <w:szCs w:val="22"/>
        </w:rPr>
      </w:pPr>
      <w:r>
        <w:rPr>
          <w:rFonts w:hint="eastAsia" w:ascii="仿宋" w:hAnsi="仿宋" w:eastAsia="仿宋" w:cs="仿宋"/>
        </w:rPr>
        <w:br w:type="page"/>
      </w:r>
      <w:bookmarkStart w:id="108" w:name="_Toc27872"/>
      <w:bookmarkStart w:id="109" w:name="_Toc20719"/>
      <w:r>
        <w:rPr>
          <w:rFonts w:hint="eastAsia" w:ascii="仿宋" w:hAnsi="仿宋" w:eastAsia="仿宋" w:cs="仿宋"/>
        </w:rPr>
        <w:t>三</w:t>
      </w:r>
      <w:r>
        <w:rPr>
          <w:rFonts w:hint="eastAsia" w:ascii="仿宋" w:hAnsi="仿宋" w:eastAsia="仿宋" w:cs="仿宋"/>
          <w:b/>
          <w:bCs/>
          <w:sz w:val="22"/>
          <w:szCs w:val="22"/>
        </w:rPr>
        <w:t>、资格响应</w:t>
      </w:r>
      <w:r>
        <w:rPr>
          <w:rStyle w:val="58"/>
          <w:rFonts w:hint="eastAsia" w:ascii="仿宋" w:hAnsi="仿宋" w:eastAsia="仿宋" w:cs="仿宋"/>
          <w:sz w:val="22"/>
          <w:szCs w:val="22"/>
        </w:rPr>
        <w:t>文件</w:t>
      </w:r>
      <w:bookmarkEnd w:id="108"/>
      <w:bookmarkEnd w:id="109"/>
    </w:p>
    <w:p>
      <w:pPr>
        <w:pStyle w:val="42"/>
        <w:tabs>
          <w:tab w:val="left" w:pos="312"/>
        </w:tabs>
        <w:adjustRightInd w:val="0"/>
        <w:snapToGrid w:val="0"/>
        <w:spacing w:before="0" w:beforeAutospacing="0" w:after="0" w:afterAutospacing="0" w:line="360" w:lineRule="auto"/>
        <w:rPr>
          <w:rFonts w:hint="eastAsia" w:ascii="仿宋" w:hAnsi="仿宋" w:eastAsia="仿宋" w:cs="仿宋"/>
          <w:b/>
          <w:bCs/>
          <w:sz w:val="24"/>
          <w:szCs w:val="24"/>
        </w:rPr>
      </w:pPr>
      <w:r>
        <w:rPr>
          <w:rFonts w:hint="eastAsia" w:ascii="仿宋" w:hAnsi="仿宋" w:eastAsia="仿宋" w:cs="仿宋"/>
          <w:b/>
          <w:bCs/>
          <w:sz w:val="24"/>
          <w:szCs w:val="24"/>
        </w:rPr>
        <w:t>1、供应商符合政府采购资格条件的《承诺函》（参考格式如下）</w:t>
      </w:r>
    </w:p>
    <w:p>
      <w:pPr>
        <w:snapToGrid w:val="0"/>
        <w:spacing w:line="360" w:lineRule="auto"/>
        <w:jc w:val="center"/>
        <w:rPr>
          <w:rFonts w:hint="eastAsia" w:ascii="仿宋" w:hAnsi="仿宋" w:eastAsia="仿宋" w:cs="仿宋"/>
          <w:b/>
          <w:bCs/>
          <w:sz w:val="24"/>
        </w:rPr>
      </w:pPr>
      <w:r>
        <w:rPr>
          <w:rFonts w:hint="eastAsia" w:ascii="仿宋" w:hAnsi="仿宋" w:eastAsia="仿宋" w:cs="仿宋"/>
          <w:b/>
          <w:bCs/>
          <w:sz w:val="24"/>
        </w:rPr>
        <w:t>承诺函</w:t>
      </w:r>
    </w:p>
    <w:p>
      <w:pPr>
        <w:spacing w:line="480" w:lineRule="auto"/>
        <w:rPr>
          <w:rFonts w:hint="eastAsia" w:ascii="仿宋" w:hAnsi="仿宋" w:eastAsia="仿宋" w:cs="仿宋"/>
          <w:b/>
          <w:bCs/>
          <w:sz w:val="24"/>
        </w:rPr>
      </w:pPr>
      <w:r>
        <w:rPr>
          <w:rFonts w:hint="eastAsia" w:ascii="仿宋" w:hAnsi="仿宋" w:eastAsia="仿宋" w:cs="仿宋"/>
          <w:sz w:val="24"/>
          <w:u w:val="single"/>
        </w:rPr>
        <w:t>浙江省教育考试院：</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我方参与</w:t>
      </w:r>
      <w:r>
        <w:rPr>
          <w:rFonts w:hint="eastAsia" w:ascii="仿宋" w:hAnsi="仿宋" w:eastAsia="仿宋" w:cs="仿宋"/>
          <w:b/>
          <w:bCs/>
          <w:sz w:val="24"/>
          <w:szCs w:val="24"/>
          <w:u w:val="single"/>
        </w:rPr>
        <w:t>浙江省学前教育高质量发展监测指标研制与监测培训</w:t>
      </w:r>
      <w:r>
        <w:rPr>
          <w:rFonts w:hint="eastAsia" w:ascii="仿宋" w:hAnsi="仿宋" w:eastAsia="仿宋" w:cs="仿宋"/>
          <w:b/>
          <w:bCs/>
          <w:sz w:val="24"/>
          <w:szCs w:val="24"/>
        </w:rPr>
        <w:t>【项目编号：  】政府采购活动，郑重承诺：</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（一）具备《中华人民共和国政府采购法》第二十二条第一款规定的条件：</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1、具有独立承担民事责任的能力；</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2、具有良好的商业信誉和健全的财务会计制度； </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3、具有履行合同所必需的设备和专业技术能力；</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4、有依法缴纳税收和社会保障资金的良好记录；</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5、参加政府采购活动前三年内，在经营活动中没有重大违法记录；</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6、具有法律、行政法规规定的其他条件。</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（二）未被信用中国（www.creditchina.gov.cn)、中国政府采购网（www.ccgp.gov.cn）列入失信被执行人、重大税收违法案件当事人名单、政府采购严重违法失信行为记录名单。</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（三）不存在以下情况：</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1、单位负责人为同一人或者存在直接控股、管理关系的不同供应商参加同一合同项下的政府采购活动的；</w:t>
      </w:r>
    </w:p>
    <w:p>
      <w:pPr>
        <w:pStyle w:val="42"/>
        <w:spacing w:before="0" w:beforeAutospacing="0" w:after="0" w:afterAutospacing="0" w:line="48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2、为采购项目提供整体设计、规范编制或者项目管理、监理、检测等服务后再参加该采购项目的其他采购活动的。</w:t>
      </w:r>
    </w:p>
    <w:p>
      <w:pPr>
        <w:snapToGrid w:val="0"/>
        <w:spacing w:line="360" w:lineRule="auto"/>
        <w:rPr>
          <w:rFonts w:hint="eastAsia" w:ascii="仿宋" w:hAnsi="仿宋" w:eastAsia="仿宋" w:cs="仿宋"/>
          <w:sz w:val="24"/>
        </w:rPr>
      </w:pPr>
      <w:r>
        <w:rPr>
          <w:rFonts w:hint="eastAsia" w:ascii="仿宋" w:hAnsi="仿宋" w:eastAsia="仿宋" w:cs="仿宋"/>
          <w:sz w:val="24"/>
        </w:rPr>
        <w:t>供应商全称（盖公章或电子签章）：</w:t>
      </w:r>
      <w:r>
        <w:rPr>
          <w:rFonts w:hint="eastAsia" w:ascii="仿宋" w:hAnsi="仿宋" w:eastAsia="仿宋" w:cs="仿宋"/>
          <w:spacing w:val="20"/>
          <w:sz w:val="24"/>
        </w:rPr>
        <w:t xml:space="preserve">日期：  </w:t>
      </w:r>
      <w:r>
        <w:rPr>
          <w:rFonts w:hint="eastAsia" w:ascii="仿宋" w:hAnsi="仿宋" w:eastAsia="仿宋" w:cs="仿宋"/>
          <w:sz w:val="24"/>
        </w:rPr>
        <w:t>年  月  日</w:t>
      </w:r>
    </w:p>
    <w:p>
      <w:pPr>
        <w:snapToGrid w:val="0"/>
        <w:spacing w:line="360" w:lineRule="auto"/>
        <w:rPr>
          <w:rFonts w:hint="eastAsia" w:ascii="仿宋" w:hAnsi="仿宋" w:eastAsia="仿宋" w:cs="仿宋"/>
          <w:b/>
          <w:bCs/>
          <w:sz w:val="24"/>
        </w:rPr>
      </w:pPr>
    </w:p>
    <w:p>
      <w:pPr>
        <w:snapToGrid w:val="0"/>
        <w:spacing w:line="360" w:lineRule="auto"/>
        <w:rPr>
          <w:rFonts w:hint="eastAsia" w:ascii="仿宋" w:hAnsi="仿宋" w:eastAsia="仿宋" w:cs="仿宋"/>
          <w:b/>
          <w:bCs/>
          <w:sz w:val="24"/>
        </w:rPr>
      </w:pPr>
    </w:p>
    <w:p>
      <w:pPr>
        <w:rPr>
          <w:rFonts w:hint="eastAsia" w:ascii="仿宋" w:hAnsi="仿宋" w:eastAsia="仿宋" w:cs="仿宋"/>
          <w:b/>
          <w:bCs/>
          <w:sz w:val="24"/>
        </w:rPr>
      </w:pPr>
      <w:r>
        <w:rPr>
          <w:rFonts w:hint="eastAsia" w:ascii="仿宋" w:hAnsi="仿宋" w:eastAsia="仿宋" w:cs="仿宋"/>
          <w:b/>
          <w:bCs/>
          <w:sz w:val="24"/>
        </w:rPr>
        <w:br w:type="page"/>
      </w:r>
    </w:p>
    <w:p>
      <w:pPr>
        <w:pStyle w:val="2"/>
        <w:outlineLvl w:val="1"/>
        <w:rPr>
          <w:rFonts w:hint="eastAsia" w:ascii="仿宋" w:hAnsi="仿宋" w:eastAsia="仿宋" w:cs="仿宋"/>
          <w:b/>
          <w:bCs/>
          <w:sz w:val="22"/>
          <w:szCs w:val="28"/>
        </w:rPr>
      </w:pPr>
      <w:bookmarkStart w:id="110" w:name="_Toc23175"/>
      <w:r>
        <w:rPr>
          <w:rFonts w:hint="eastAsia" w:ascii="仿宋" w:hAnsi="仿宋" w:eastAsia="仿宋" w:cs="仿宋"/>
          <w:b/>
          <w:bCs/>
          <w:sz w:val="22"/>
          <w:szCs w:val="28"/>
        </w:rPr>
        <w:t>四、报价响应文件</w:t>
      </w:r>
      <w:bookmarkEnd w:id="110"/>
    </w:p>
    <w:p>
      <w:pPr>
        <w:autoSpaceDE w:val="0"/>
        <w:autoSpaceDN w:val="0"/>
        <w:adjustRightInd w:val="0"/>
        <w:spacing w:line="360" w:lineRule="auto"/>
        <w:rPr>
          <w:rFonts w:hint="eastAsia" w:ascii="仿宋" w:hAnsi="仿宋" w:eastAsia="仿宋" w:cs="仿宋"/>
          <w:b/>
          <w:bCs/>
          <w:szCs w:val="21"/>
        </w:rPr>
      </w:pPr>
      <w:r>
        <w:rPr>
          <w:rFonts w:hint="eastAsia" w:ascii="仿宋" w:hAnsi="仿宋" w:eastAsia="仿宋" w:cs="仿宋"/>
          <w:b/>
          <w:bCs/>
          <w:sz w:val="24"/>
        </w:rPr>
        <w:t>1、应标价格一览表</w:t>
      </w:r>
    </w:p>
    <w:p>
      <w:pPr>
        <w:adjustRightInd w:val="0"/>
        <w:spacing w:line="360" w:lineRule="auto"/>
        <w:jc w:val="center"/>
        <w:rPr>
          <w:rFonts w:hint="eastAsia" w:ascii="仿宋" w:hAnsi="仿宋" w:eastAsia="仿宋" w:cs="仿宋"/>
          <w:b/>
          <w:sz w:val="24"/>
        </w:rPr>
      </w:pPr>
      <w:r>
        <w:rPr>
          <w:rFonts w:hint="eastAsia" w:ascii="仿宋" w:hAnsi="仿宋" w:eastAsia="仿宋" w:cs="仿宋"/>
          <w:b/>
          <w:sz w:val="24"/>
        </w:rPr>
        <w:t>应标价格一览表</w:t>
      </w:r>
    </w:p>
    <w:p>
      <w:pPr>
        <w:rPr>
          <w:rFonts w:hint="eastAsia" w:ascii="仿宋" w:hAnsi="仿宋" w:eastAsia="仿宋" w:cs="仿宋"/>
          <w:sz w:val="24"/>
        </w:rPr>
      </w:pPr>
      <w:r>
        <w:rPr>
          <w:rFonts w:hint="eastAsia" w:ascii="仿宋" w:hAnsi="仿宋" w:eastAsia="仿宋" w:cs="仿宋"/>
          <w:sz w:val="24"/>
        </w:rPr>
        <w:t xml:space="preserve">项目名称：浙江省学前教育高质量发展监测指标研制与监测培训   </w:t>
      </w:r>
    </w:p>
    <w:p>
      <w:pPr>
        <w:rPr>
          <w:rFonts w:hint="eastAsia" w:ascii="仿宋" w:hAnsi="仿宋" w:eastAsia="仿宋" w:cs="仿宋"/>
          <w:sz w:val="24"/>
          <w:lang w:eastAsia="zh-CN"/>
        </w:rPr>
      </w:pPr>
      <w:r>
        <w:rPr>
          <w:rFonts w:hint="eastAsia" w:ascii="仿宋" w:hAnsi="仿宋" w:eastAsia="仿宋" w:cs="仿宋"/>
          <w:sz w:val="24"/>
        </w:rPr>
        <w:t>项目编号：</w:t>
      </w:r>
      <w:r>
        <w:rPr>
          <w:rFonts w:hint="eastAsia" w:ascii="仿宋" w:hAnsi="仿宋" w:eastAsia="仿宋" w:cs="仿宋"/>
          <w:sz w:val="24"/>
          <w:lang w:eastAsia="zh-CN"/>
        </w:rPr>
        <w:t>ZJ-2440644</w:t>
      </w:r>
    </w:p>
    <w:p>
      <w:pPr>
        <w:rPr>
          <w:rFonts w:hint="eastAsia" w:ascii="仿宋" w:hAnsi="仿宋" w:eastAsia="仿宋" w:cs="仿宋"/>
          <w:sz w:val="24"/>
        </w:rPr>
      </w:pPr>
    </w:p>
    <w:p>
      <w:pPr>
        <w:jc w:val="right"/>
        <w:rPr>
          <w:rFonts w:hint="eastAsia" w:ascii="仿宋" w:hAnsi="仿宋" w:eastAsia="仿宋" w:cs="仿宋"/>
          <w:snapToGrid w:val="0"/>
          <w:kern w:val="0"/>
          <w:szCs w:val="21"/>
        </w:rPr>
      </w:pPr>
      <w:r>
        <w:rPr>
          <w:rFonts w:hint="eastAsia" w:ascii="仿宋" w:hAnsi="仿宋" w:eastAsia="仿宋" w:cs="仿宋"/>
          <w:sz w:val="24"/>
        </w:rPr>
        <w:t xml:space="preserve"> 元人民币</w:t>
      </w:r>
      <w:r>
        <w:rPr>
          <w:rFonts w:hint="eastAsia" w:ascii="仿宋" w:hAnsi="仿宋" w:eastAsia="仿宋" w:cs="仿宋"/>
          <w:snapToGrid w:val="0"/>
          <w:kern w:val="0"/>
          <w:szCs w:val="21"/>
        </w:rPr>
        <w:t xml:space="preserve">  </w:t>
      </w:r>
    </w:p>
    <w:tbl>
      <w:tblPr>
        <w:tblStyle w:val="47"/>
        <w:tblW w:w="878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032"/>
        <w:gridCol w:w="958"/>
        <w:gridCol w:w="957"/>
        <w:gridCol w:w="1974"/>
        <w:gridCol w:w="21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r>
              <w:rPr>
                <w:rFonts w:hint="eastAsia" w:ascii="仿宋" w:hAnsi="仿宋" w:eastAsia="仿宋" w:cs="仿宋"/>
                <w:color w:val="000000"/>
                <w:spacing w:val="-6"/>
                <w:sz w:val="24"/>
              </w:rPr>
              <w:t>序号</w:t>
            </w: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r>
              <w:rPr>
                <w:rFonts w:hint="eastAsia" w:ascii="仿宋" w:hAnsi="仿宋" w:eastAsia="仿宋" w:cs="仿宋"/>
                <w:color w:val="000000"/>
                <w:spacing w:val="-6"/>
                <w:sz w:val="24"/>
              </w:rPr>
              <w:t>服务名称</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r>
              <w:rPr>
                <w:rFonts w:hint="eastAsia" w:ascii="仿宋" w:hAnsi="仿宋" w:eastAsia="仿宋" w:cs="仿宋"/>
                <w:color w:val="000000"/>
                <w:spacing w:val="-6"/>
                <w:sz w:val="24"/>
              </w:rPr>
              <w:t>数量</w:t>
            </w:r>
          </w:p>
        </w:tc>
        <w:tc>
          <w:tcPr>
            <w:tcW w:w="957"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r>
              <w:rPr>
                <w:rFonts w:hint="eastAsia" w:ascii="仿宋" w:hAnsi="仿宋" w:eastAsia="仿宋" w:cs="仿宋"/>
                <w:color w:val="000000"/>
                <w:spacing w:val="-6"/>
                <w:sz w:val="24"/>
              </w:rPr>
              <w:t>单位</w:t>
            </w:r>
          </w:p>
        </w:tc>
        <w:tc>
          <w:tcPr>
            <w:tcW w:w="197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r>
              <w:rPr>
                <w:rFonts w:hint="eastAsia" w:ascii="仿宋" w:hAnsi="仿宋" w:eastAsia="仿宋" w:cs="仿宋"/>
                <w:color w:val="000000"/>
                <w:spacing w:val="-6"/>
                <w:sz w:val="24"/>
              </w:rPr>
              <w:t>单价</w:t>
            </w:r>
          </w:p>
        </w:tc>
        <w:tc>
          <w:tcPr>
            <w:tcW w:w="215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r>
              <w:rPr>
                <w:rFonts w:hint="eastAsia" w:ascii="仿宋" w:hAnsi="仿宋" w:eastAsia="仿宋" w:cs="仿宋"/>
                <w:color w:val="000000"/>
                <w:spacing w:val="-6"/>
                <w:sz w:val="24"/>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197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215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197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215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957"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1974"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c>
          <w:tcPr>
            <w:tcW w:w="2159"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hint="eastAsia" w:ascii="仿宋" w:hAnsi="仿宋" w:eastAsia="仿宋" w:cs="仿宋"/>
                <w:color w:val="000000"/>
                <w:spacing w:val="-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789"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left"/>
              <w:rPr>
                <w:rFonts w:hint="eastAsia" w:ascii="仿宋" w:hAnsi="仿宋" w:eastAsia="仿宋" w:cs="仿宋"/>
                <w:color w:val="000000"/>
                <w:spacing w:val="-6"/>
                <w:sz w:val="24"/>
              </w:rPr>
            </w:pPr>
            <w:r>
              <w:rPr>
                <w:rFonts w:hint="eastAsia" w:ascii="仿宋" w:hAnsi="仿宋" w:eastAsia="仿宋" w:cs="仿宋"/>
                <w:color w:val="000000"/>
                <w:spacing w:val="-6"/>
                <w:sz w:val="24"/>
              </w:rPr>
              <w:t xml:space="preserve">应标总价： </w:t>
            </w:r>
          </w:p>
        </w:tc>
      </w:tr>
    </w:tbl>
    <w:p>
      <w:pPr>
        <w:tabs>
          <w:tab w:val="left" w:pos="1418"/>
        </w:tabs>
        <w:spacing w:line="360" w:lineRule="auto"/>
        <w:rPr>
          <w:rFonts w:hint="eastAsia" w:ascii="仿宋" w:hAnsi="仿宋" w:eastAsia="仿宋" w:cs="仿宋"/>
          <w:spacing w:val="-6"/>
          <w:sz w:val="24"/>
          <w:u w:val="single"/>
        </w:rPr>
      </w:pPr>
    </w:p>
    <w:p>
      <w:pPr>
        <w:tabs>
          <w:tab w:val="left" w:pos="1418"/>
        </w:tabs>
        <w:spacing w:line="360" w:lineRule="auto"/>
        <w:rPr>
          <w:rFonts w:hint="eastAsia" w:ascii="仿宋" w:hAnsi="仿宋" w:eastAsia="仿宋" w:cs="仿宋"/>
          <w:spacing w:val="-6"/>
          <w:sz w:val="24"/>
        </w:rPr>
      </w:pPr>
      <w:r>
        <w:rPr>
          <w:rFonts w:hint="eastAsia" w:ascii="仿宋" w:hAnsi="仿宋" w:eastAsia="仿宋" w:cs="仿宋"/>
          <w:spacing w:val="-6"/>
          <w:sz w:val="24"/>
        </w:rPr>
        <w:t>说明：分项报价内容应详细明确，能够说明采购项目的成本。</w:t>
      </w:r>
    </w:p>
    <w:p>
      <w:pPr>
        <w:spacing w:after="120"/>
        <w:rPr>
          <w:rFonts w:hint="eastAsia" w:ascii="仿宋" w:hAnsi="仿宋" w:eastAsia="仿宋" w:cs="仿宋"/>
          <w:szCs w:val="21"/>
        </w:rPr>
      </w:pPr>
    </w:p>
    <w:p>
      <w:pPr>
        <w:adjustRightInd w:val="0"/>
        <w:spacing w:line="360" w:lineRule="auto"/>
        <w:rPr>
          <w:rFonts w:hint="eastAsia" w:ascii="仿宋" w:hAnsi="仿宋" w:eastAsia="仿宋" w:cs="仿宋"/>
          <w:sz w:val="24"/>
        </w:rPr>
      </w:pPr>
    </w:p>
    <w:p>
      <w:pPr>
        <w:adjustRightInd w:val="0"/>
        <w:spacing w:line="360" w:lineRule="auto"/>
        <w:ind w:firstLine="480" w:firstLineChars="200"/>
        <w:rPr>
          <w:rFonts w:hint="eastAsia" w:ascii="仿宋" w:hAnsi="仿宋" w:eastAsia="仿宋" w:cs="仿宋"/>
          <w:sz w:val="24"/>
        </w:rPr>
      </w:pPr>
    </w:p>
    <w:p>
      <w:pPr>
        <w:adjustRightInd w:val="0"/>
        <w:spacing w:line="360" w:lineRule="auto"/>
        <w:ind w:firstLine="5160" w:firstLineChars="2150"/>
        <w:rPr>
          <w:rFonts w:hint="eastAsia" w:ascii="仿宋" w:hAnsi="仿宋" w:eastAsia="仿宋" w:cs="仿宋"/>
          <w:sz w:val="24"/>
        </w:rPr>
      </w:pPr>
      <w:r>
        <w:rPr>
          <w:rFonts w:hint="eastAsia" w:ascii="仿宋" w:hAnsi="仿宋" w:eastAsia="仿宋" w:cs="仿宋"/>
          <w:sz w:val="24"/>
        </w:rPr>
        <w:t>供应商(盖公章或电子签章)</w:t>
      </w:r>
    </w:p>
    <w:p>
      <w:pPr>
        <w:adjustRightInd w:val="0"/>
        <w:spacing w:line="360" w:lineRule="auto"/>
        <w:rPr>
          <w:rFonts w:hint="eastAsia" w:ascii="仿宋" w:hAnsi="仿宋" w:eastAsia="仿宋" w:cs="仿宋"/>
          <w:sz w:val="24"/>
        </w:rPr>
      </w:pPr>
      <w:r>
        <w:rPr>
          <w:rFonts w:hint="eastAsia" w:ascii="仿宋" w:hAnsi="仿宋" w:eastAsia="仿宋" w:cs="仿宋"/>
          <w:sz w:val="24"/>
        </w:rPr>
        <w:t xml:space="preserve">                                 </w:t>
      </w:r>
    </w:p>
    <w:p>
      <w:pPr>
        <w:pStyle w:val="27"/>
        <w:spacing w:line="420" w:lineRule="exact"/>
        <w:ind w:firstLine="5160" w:firstLineChars="2150"/>
        <w:rPr>
          <w:rFonts w:hint="eastAsia" w:ascii="仿宋" w:hAnsi="仿宋" w:eastAsia="仿宋" w:cs="仿宋"/>
          <w:sz w:val="24"/>
          <w:szCs w:val="24"/>
        </w:rPr>
      </w:pPr>
      <w:r>
        <w:rPr>
          <w:rFonts w:hint="eastAsia" w:ascii="仿宋" w:hAnsi="仿宋" w:eastAsia="仿宋" w:cs="仿宋"/>
          <w:sz w:val="24"/>
          <w:szCs w:val="24"/>
        </w:rPr>
        <w:t>日期：</w:t>
      </w:r>
    </w:p>
    <w:p>
      <w:pPr>
        <w:jc w:val="right"/>
        <w:rPr>
          <w:rFonts w:hint="eastAsia" w:ascii="仿宋" w:hAnsi="仿宋" w:eastAsia="仿宋" w:cs="仿宋"/>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rPr>
        <w:br w:type="page"/>
      </w:r>
      <w:bookmarkStart w:id="111" w:name="_Toc8503_WPSOffice_Level1"/>
      <w:r>
        <w:rPr>
          <w:rFonts w:hint="eastAsia" w:ascii="仿宋" w:hAnsi="仿宋" w:eastAsia="仿宋" w:cs="仿宋"/>
          <w:sz w:val="24"/>
        </w:rPr>
        <w:t>2、中标服务费支付承诺书</w:t>
      </w:r>
    </w:p>
    <w:p>
      <w:pPr>
        <w:widowControl/>
        <w:spacing w:line="360" w:lineRule="auto"/>
        <w:ind w:firstLine="120" w:firstLineChars="50"/>
        <w:jc w:val="left"/>
        <w:rPr>
          <w:rFonts w:hint="eastAsia" w:ascii="仿宋" w:hAnsi="仿宋" w:eastAsia="仿宋" w:cs="仿宋"/>
          <w:b/>
          <w:sz w:val="24"/>
        </w:rPr>
      </w:pPr>
    </w:p>
    <w:p>
      <w:pPr>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rPr>
        <w:t>中标服务费支付承诺书</w:t>
      </w:r>
    </w:p>
    <w:p>
      <w:pPr>
        <w:spacing w:line="600" w:lineRule="auto"/>
        <w:jc w:val="center"/>
        <w:rPr>
          <w:rFonts w:hint="eastAsia" w:ascii="仿宋" w:hAnsi="仿宋" w:eastAsia="仿宋" w:cs="仿宋"/>
          <w:b/>
          <w:sz w:val="28"/>
          <w:szCs w:val="28"/>
        </w:rPr>
      </w:pPr>
    </w:p>
    <w:p>
      <w:pPr>
        <w:rPr>
          <w:rFonts w:hint="eastAsia" w:ascii="仿宋" w:hAnsi="仿宋" w:eastAsia="仿宋" w:cs="仿宋"/>
          <w:u w:val="single"/>
        </w:rPr>
      </w:pPr>
      <w:r>
        <w:rPr>
          <w:rFonts w:hint="eastAsia" w:ascii="仿宋" w:hAnsi="仿宋" w:eastAsia="仿宋" w:cs="仿宋"/>
          <w:b/>
          <w:bCs/>
          <w:sz w:val="28"/>
          <w:szCs w:val="36"/>
        </w:rPr>
        <w:t>浙江国际招投标有限公司：</w:t>
      </w:r>
    </w:p>
    <w:p>
      <w:pPr>
        <w:rPr>
          <w:rFonts w:hint="eastAsia" w:ascii="仿宋" w:hAnsi="仿宋" w:eastAsia="仿宋" w:cs="仿宋"/>
        </w:rPr>
      </w:pPr>
    </w:p>
    <w:p>
      <w:pPr>
        <w:spacing w:line="360" w:lineRule="auto"/>
        <w:ind w:firstLine="480" w:firstLineChars="200"/>
        <w:rPr>
          <w:rFonts w:hint="eastAsia" w:ascii="仿宋" w:hAnsi="仿宋" w:eastAsia="仿宋" w:cs="仿宋"/>
          <w:sz w:val="24"/>
          <w:szCs w:val="32"/>
        </w:rPr>
      </w:pPr>
    </w:p>
    <w:p>
      <w:pPr>
        <w:spacing w:line="360" w:lineRule="auto"/>
        <w:ind w:firstLine="480" w:firstLineChars="200"/>
        <w:rPr>
          <w:rFonts w:hint="eastAsia" w:ascii="仿宋" w:hAnsi="仿宋" w:eastAsia="仿宋" w:cs="仿宋"/>
        </w:rPr>
      </w:pPr>
      <w:r>
        <w:rPr>
          <w:rFonts w:hint="eastAsia" w:ascii="仿宋" w:hAnsi="仿宋" w:eastAsia="仿宋" w:cs="仿宋"/>
          <w:sz w:val="24"/>
          <w:szCs w:val="32"/>
        </w:rPr>
        <w:t>本单位在此承诺：如在本项目成交，成交结果公告发布之日起5个工作日之内，向贵公司按采购文件约定支付成交服务费。</w:t>
      </w:r>
    </w:p>
    <w:p>
      <w:pPr>
        <w:snapToGrid w:val="0"/>
        <w:spacing w:line="480" w:lineRule="auto"/>
        <w:ind w:firstLine="420" w:firstLineChars="200"/>
        <w:rPr>
          <w:rFonts w:hint="eastAsia" w:ascii="仿宋" w:hAnsi="仿宋" w:eastAsia="仿宋" w:cs="仿宋"/>
        </w:rPr>
      </w:pPr>
    </w:p>
    <w:p>
      <w:pPr>
        <w:snapToGrid w:val="0"/>
        <w:spacing w:line="480" w:lineRule="auto"/>
        <w:ind w:firstLine="420" w:firstLineChars="200"/>
        <w:rPr>
          <w:rFonts w:hint="eastAsia" w:ascii="仿宋" w:hAnsi="仿宋" w:eastAsia="仿宋" w:cs="仿宋"/>
        </w:rPr>
      </w:pPr>
    </w:p>
    <w:p>
      <w:pPr>
        <w:spacing w:line="360" w:lineRule="auto"/>
        <w:rPr>
          <w:rFonts w:hint="eastAsia" w:ascii="仿宋" w:hAnsi="仿宋" w:eastAsia="仿宋" w:cs="仿宋"/>
        </w:rPr>
      </w:pPr>
    </w:p>
    <w:p>
      <w:pPr>
        <w:spacing w:line="360" w:lineRule="auto"/>
        <w:ind w:right="-874" w:rightChars="-416" w:firstLine="5280" w:firstLineChars="2200"/>
        <w:rPr>
          <w:rFonts w:hint="eastAsia" w:ascii="仿宋" w:hAnsi="仿宋" w:eastAsia="仿宋" w:cs="仿宋"/>
          <w:kern w:val="0"/>
          <w:sz w:val="24"/>
        </w:rPr>
      </w:pPr>
      <w:r>
        <w:rPr>
          <w:rFonts w:hint="eastAsia" w:ascii="仿宋" w:hAnsi="仿宋" w:eastAsia="仿宋" w:cs="仿宋"/>
          <w:kern w:val="0"/>
          <w:sz w:val="24"/>
        </w:rPr>
        <w:t>供</w:t>
      </w:r>
      <w:r>
        <w:rPr>
          <w:rFonts w:hint="eastAsia" w:ascii="仿宋" w:hAnsi="仿宋" w:eastAsia="仿宋" w:cs="仿宋"/>
          <w:kern w:val="0"/>
          <w:sz w:val="24"/>
          <w:lang w:val="zh-CN"/>
        </w:rPr>
        <w:t>应商</w:t>
      </w:r>
      <w:r>
        <w:rPr>
          <w:rFonts w:hint="eastAsia" w:ascii="仿宋" w:hAnsi="仿宋" w:eastAsia="仿宋" w:cs="仿宋"/>
          <w:sz w:val="24"/>
        </w:rPr>
        <w:t>(盖公章或电子签章)</w:t>
      </w:r>
      <w:r>
        <w:rPr>
          <w:rFonts w:hint="eastAsia" w:ascii="仿宋" w:hAnsi="仿宋" w:eastAsia="仿宋" w:cs="仿宋"/>
          <w:kern w:val="0"/>
          <w:sz w:val="24"/>
          <w:lang w:val="zh-CN"/>
        </w:rPr>
        <w:t>：</w:t>
      </w:r>
    </w:p>
    <w:p>
      <w:pPr>
        <w:rPr>
          <w:rFonts w:hint="eastAsia" w:ascii="仿宋" w:hAnsi="仿宋" w:eastAsia="仿宋" w:cs="仿宋"/>
        </w:rPr>
      </w:pPr>
      <w:r>
        <w:rPr>
          <w:rFonts w:hint="eastAsia" w:ascii="仿宋" w:hAnsi="仿宋" w:eastAsia="仿宋" w:cs="仿宋"/>
          <w:kern w:val="0"/>
          <w:sz w:val="24"/>
          <w:lang w:val="zh-CN"/>
        </w:rPr>
        <w:t xml:space="preserve">                                            日期：    年  月   日</w:t>
      </w:r>
    </w:p>
    <w:p>
      <w:pPr>
        <w:pStyle w:val="2"/>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sz w:val="24"/>
        </w:rPr>
      </w:pPr>
    </w:p>
    <w:p>
      <w:pPr>
        <w:autoSpaceDE w:val="0"/>
        <w:autoSpaceDN w:val="0"/>
        <w:adjustRightInd w:val="0"/>
        <w:snapToGrid w:val="0"/>
        <w:spacing w:line="360" w:lineRule="auto"/>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br w:type="page"/>
      </w:r>
    </w:p>
    <w:p>
      <w:pPr>
        <w:autoSpaceDE w:val="0"/>
        <w:autoSpaceDN w:val="0"/>
        <w:adjustRightInd w:val="0"/>
        <w:snapToGrid w:val="0"/>
        <w:spacing w:line="360" w:lineRule="auto"/>
        <w:rPr>
          <w:rFonts w:hint="eastAsia" w:ascii="仿宋" w:hAnsi="仿宋" w:eastAsia="仿宋" w:cs="仿宋"/>
        </w:rPr>
      </w:pPr>
      <w:r>
        <w:rPr>
          <w:rFonts w:hint="eastAsia" w:ascii="仿宋" w:hAnsi="仿宋" w:eastAsia="仿宋" w:cs="仿宋"/>
          <w:sz w:val="24"/>
        </w:rPr>
        <w:t>3、中标服务费结算信息表</w:t>
      </w:r>
    </w:p>
    <w:p>
      <w:pPr>
        <w:autoSpaceDE w:val="0"/>
        <w:autoSpaceDN w:val="0"/>
        <w:adjustRightInd w:val="0"/>
        <w:snapToGrid w:val="0"/>
        <w:spacing w:line="360" w:lineRule="auto"/>
        <w:jc w:val="center"/>
        <w:rPr>
          <w:rFonts w:hint="eastAsia" w:ascii="仿宋" w:hAnsi="仿宋" w:eastAsia="仿宋" w:cs="仿宋"/>
          <w:b/>
          <w:bCs/>
          <w:snapToGrid w:val="0"/>
          <w:kern w:val="0"/>
          <w:sz w:val="32"/>
          <w:szCs w:val="32"/>
        </w:rPr>
      </w:pPr>
      <w:r>
        <w:rPr>
          <w:rFonts w:hint="eastAsia" w:ascii="仿宋" w:hAnsi="仿宋" w:eastAsia="仿宋" w:cs="仿宋"/>
          <w:b/>
          <w:bCs/>
          <w:snapToGrid w:val="0"/>
          <w:kern w:val="0"/>
          <w:sz w:val="32"/>
          <w:szCs w:val="32"/>
        </w:rPr>
        <w:t>中标服务费结算信息表</w:t>
      </w:r>
      <w:bookmarkEnd w:id="111"/>
    </w:p>
    <w:tbl>
      <w:tblPr>
        <w:tblStyle w:val="4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adjustRightInd w:val="0"/>
              <w:snapToGrid w:val="0"/>
              <w:spacing w:line="360" w:lineRule="auto"/>
              <w:jc w:val="center"/>
              <w:rPr>
                <w:rFonts w:hint="eastAsia" w:ascii="仿宋" w:hAnsi="仿宋" w:eastAsia="仿宋" w:cs="仿宋"/>
                <w:bCs/>
                <w:snapToGrid w:val="0"/>
                <w:kern w:val="0"/>
                <w:sz w:val="24"/>
              </w:rPr>
            </w:pPr>
            <w:r>
              <w:rPr>
                <w:rFonts w:hint="eastAsia" w:ascii="仿宋" w:hAnsi="仿宋" w:eastAsia="仿宋" w:cs="仿宋"/>
                <w:bCs/>
                <w:snapToGrid w:val="0"/>
                <w:kern w:val="0"/>
                <w:sz w:val="24"/>
              </w:rPr>
              <w:t>供应商名称</w:t>
            </w:r>
          </w:p>
        </w:tc>
        <w:tc>
          <w:tcPr>
            <w:tcW w:w="5598" w:type="dxa"/>
          </w:tcPr>
          <w:p>
            <w:pPr>
              <w:autoSpaceDE w:val="0"/>
              <w:autoSpaceDN w:val="0"/>
              <w:adjustRightInd w:val="0"/>
              <w:snapToGrid w:val="0"/>
              <w:spacing w:line="360" w:lineRule="auto"/>
              <w:rPr>
                <w:rFonts w:hint="eastAsia" w:ascii="仿宋" w:hAnsi="仿宋" w:eastAsia="仿宋" w:cs="仿宋"/>
                <w:b/>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348" w:type="dxa"/>
            <w:vAlign w:val="center"/>
          </w:tcPr>
          <w:p>
            <w:pPr>
              <w:autoSpaceDE w:val="0"/>
              <w:autoSpaceDN w:val="0"/>
              <w:adjustRightInd w:val="0"/>
              <w:snapToGrid w:val="0"/>
              <w:spacing w:line="360" w:lineRule="auto"/>
              <w:jc w:val="center"/>
              <w:rPr>
                <w:rFonts w:hint="eastAsia" w:ascii="仿宋" w:hAnsi="仿宋" w:eastAsia="仿宋" w:cs="仿宋"/>
                <w:bCs/>
                <w:snapToGrid w:val="0"/>
                <w:kern w:val="0"/>
                <w:sz w:val="24"/>
              </w:rPr>
            </w:pPr>
            <w:r>
              <w:rPr>
                <w:rFonts w:hint="eastAsia" w:ascii="仿宋" w:hAnsi="仿宋" w:eastAsia="仿宋" w:cs="仿宋"/>
                <w:bCs/>
                <w:snapToGrid w:val="0"/>
                <w:kern w:val="0"/>
                <w:sz w:val="24"/>
              </w:rPr>
              <w:t>项目编号</w:t>
            </w:r>
          </w:p>
        </w:tc>
        <w:tc>
          <w:tcPr>
            <w:tcW w:w="5598" w:type="dxa"/>
          </w:tcPr>
          <w:p>
            <w:pPr>
              <w:autoSpaceDE w:val="0"/>
              <w:autoSpaceDN w:val="0"/>
              <w:adjustRightInd w:val="0"/>
              <w:snapToGrid w:val="0"/>
              <w:spacing w:line="360" w:lineRule="auto"/>
              <w:rPr>
                <w:rFonts w:hint="eastAsia" w:ascii="仿宋" w:hAnsi="仿宋" w:eastAsia="仿宋" w:cs="仿宋"/>
                <w:b/>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adjustRightInd w:val="0"/>
              <w:snapToGrid w:val="0"/>
              <w:spacing w:line="360" w:lineRule="auto"/>
              <w:jc w:val="center"/>
              <w:rPr>
                <w:rFonts w:hint="eastAsia" w:ascii="仿宋" w:hAnsi="仿宋" w:eastAsia="仿宋" w:cs="仿宋"/>
                <w:bCs/>
                <w:snapToGrid w:val="0"/>
                <w:kern w:val="0"/>
                <w:sz w:val="24"/>
              </w:rPr>
            </w:pPr>
            <w:r>
              <w:rPr>
                <w:rFonts w:hint="eastAsia" w:ascii="仿宋" w:hAnsi="仿宋" w:eastAsia="仿宋" w:cs="仿宋"/>
                <w:bCs/>
                <w:snapToGrid w:val="0"/>
                <w:kern w:val="0"/>
                <w:sz w:val="24"/>
              </w:rPr>
              <w:t>若中标，中标服务费发票类型</w:t>
            </w:r>
          </w:p>
        </w:tc>
        <w:tc>
          <w:tcPr>
            <w:tcW w:w="5598" w:type="dxa"/>
          </w:tcPr>
          <w:p>
            <w:pPr>
              <w:autoSpaceDE w:val="0"/>
              <w:autoSpaceDN w:val="0"/>
              <w:adjustRightInd w:val="0"/>
              <w:snapToGrid w:val="0"/>
              <w:spacing w:line="360" w:lineRule="auto"/>
              <w:rPr>
                <w:rFonts w:hint="eastAsia" w:ascii="仿宋" w:hAnsi="仿宋" w:eastAsia="仿宋" w:cs="仿宋"/>
                <w:bCs/>
                <w:snapToGrid w:val="0"/>
                <w:kern w:val="0"/>
                <w:sz w:val="24"/>
              </w:rPr>
            </w:pPr>
            <w:r>
              <w:rPr>
                <w:rFonts w:hint="eastAsia" w:ascii="仿宋" w:hAnsi="仿宋" w:eastAsia="仿宋" w:cs="仿宋"/>
                <w:bCs/>
                <w:snapToGrid w:val="0"/>
                <w:kern w:val="0"/>
                <w:sz w:val="24"/>
              </w:rPr>
              <w:t>（）增值税普通发票</w:t>
            </w:r>
          </w:p>
          <w:p>
            <w:pPr>
              <w:autoSpaceDE w:val="0"/>
              <w:autoSpaceDN w:val="0"/>
              <w:adjustRightInd w:val="0"/>
              <w:snapToGrid w:val="0"/>
              <w:spacing w:line="360" w:lineRule="auto"/>
              <w:rPr>
                <w:rFonts w:hint="eastAsia" w:ascii="仿宋" w:hAnsi="仿宋" w:eastAsia="仿宋" w:cs="仿宋"/>
                <w:bCs/>
                <w:snapToGrid w:val="0"/>
                <w:kern w:val="0"/>
                <w:sz w:val="24"/>
              </w:rPr>
            </w:pPr>
            <w:r>
              <w:rPr>
                <w:rFonts w:hint="eastAsia" w:ascii="仿宋" w:hAnsi="仿宋" w:eastAsia="仿宋" w:cs="仿宋"/>
                <w:bCs/>
                <w:snapToGrid w:val="0"/>
                <w:kern w:val="0"/>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adjustRightInd w:val="0"/>
              <w:snapToGrid w:val="0"/>
              <w:spacing w:line="360" w:lineRule="auto"/>
              <w:jc w:val="center"/>
              <w:rPr>
                <w:rFonts w:hint="eastAsia" w:ascii="仿宋" w:hAnsi="仿宋" w:eastAsia="仿宋" w:cs="仿宋"/>
                <w:bCs/>
                <w:snapToGrid w:val="0"/>
                <w:kern w:val="0"/>
                <w:sz w:val="24"/>
              </w:rPr>
            </w:pPr>
            <w:r>
              <w:rPr>
                <w:rFonts w:hint="eastAsia" w:ascii="仿宋" w:hAnsi="仿宋" w:eastAsia="仿宋" w:cs="仿宋"/>
                <w:bCs/>
                <w:snapToGrid w:val="0"/>
                <w:kern w:val="0"/>
                <w:sz w:val="24"/>
              </w:rPr>
              <w:t>开票信息</w:t>
            </w:r>
          </w:p>
          <w:p>
            <w:pPr>
              <w:autoSpaceDE w:val="0"/>
              <w:autoSpaceDN w:val="0"/>
              <w:adjustRightInd w:val="0"/>
              <w:snapToGrid w:val="0"/>
              <w:spacing w:line="360" w:lineRule="auto"/>
              <w:jc w:val="center"/>
              <w:rPr>
                <w:rFonts w:hint="eastAsia" w:ascii="仿宋" w:hAnsi="仿宋" w:eastAsia="仿宋" w:cs="仿宋"/>
                <w:bCs/>
                <w:snapToGrid w:val="0"/>
                <w:kern w:val="0"/>
                <w:sz w:val="24"/>
              </w:rPr>
            </w:pPr>
            <w:r>
              <w:rPr>
                <w:rFonts w:hint="eastAsia" w:ascii="仿宋" w:hAnsi="仿宋" w:eastAsia="仿宋" w:cs="仿宋"/>
                <w:bCs/>
                <w:snapToGrid w:val="0"/>
                <w:kern w:val="0"/>
                <w:sz w:val="24"/>
              </w:rPr>
              <w:t>（普通发票只需要提供纳税识别号，专用发票需要财务确认过的开票信息）</w:t>
            </w:r>
          </w:p>
        </w:tc>
        <w:tc>
          <w:tcPr>
            <w:tcW w:w="5598" w:type="dxa"/>
          </w:tcPr>
          <w:p>
            <w:pPr>
              <w:autoSpaceDE w:val="0"/>
              <w:autoSpaceDN w:val="0"/>
              <w:adjustRightInd w:val="0"/>
              <w:snapToGrid w:val="0"/>
              <w:spacing w:line="360" w:lineRule="auto"/>
              <w:rPr>
                <w:rFonts w:hint="eastAsia" w:ascii="仿宋" w:hAnsi="仿宋" w:eastAsia="仿宋" w:cs="仿宋"/>
                <w:b/>
                <w:bCs/>
                <w:snapToGrid w:val="0"/>
                <w:kern w:val="0"/>
                <w:sz w:val="24"/>
              </w:rPr>
            </w:pPr>
            <w:r>
              <w:rPr>
                <w:rFonts w:hint="eastAsia" w:ascii="仿宋" w:hAnsi="仿宋" w:eastAsia="仿宋" w:cs="仿宋"/>
                <w:b/>
                <w:bCs/>
                <w:snapToGrid w:val="0"/>
                <w:kern w:val="0"/>
                <w:sz w:val="24"/>
              </w:rPr>
              <w:t>纳税识别号：</w:t>
            </w:r>
          </w:p>
          <w:p>
            <w:pPr>
              <w:autoSpaceDE w:val="0"/>
              <w:autoSpaceDN w:val="0"/>
              <w:adjustRightInd w:val="0"/>
              <w:snapToGrid w:val="0"/>
              <w:spacing w:line="360" w:lineRule="auto"/>
              <w:rPr>
                <w:rFonts w:hint="eastAsia" w:ascii="仿宋" w:hAnsi="仿宋" w:eastAsia="仿宋" w:cs="仿宋"/>
                <w:b/>
                <w:bCs/>
                <w:snapToGrid w:val="0"/>
                <w:kern w:val="0"/>
                <w:sz w:val="24"/>
              </w:rPr>
            </w:pPr>
            <w:r>
              <w:rPr>
                <w:rFonts w:hint="eastAsia" w:ascii="仿宋" w:hAnsi="仿宋" w:eastAsia="仿宋" w:cs="仿宋"/>
                <w:b/>
                <w:bCs/>
                <w:snapToGrid w:val="0"/>
                <w:kern w:val="0"/>
                <w:sz w:val="24"/>
              </w:rPr>
              <w:t>（税务部门备案的）地址：</w:t>
            </w:r>
          </w:p>
          <w:p>
            <w:pPr>
              <w:autoSpaceDE w:val="0"/>
              <w:autoSpaceDN w:val="0"/>
              <w:adjustRightInd w:val="0"/>
              <w:snapToGrid w:val="0"/>
              <w:spacing w:line="360" w:lineRule="auto"/>
              <w:rPr>
                <w:rFonts w:hint="eastAsia" w:ascii="仿宋" w:hAnsi="仿宋" w:eastAsia="仿宋" w:cs="仿宋"/>
                <w:b/>
                <w:bCs/>
                <w:snapToGrid w:val="0"/>
                <w:kern w:val="0"/>
                <w:sz w:val="24"/>
              </w:rPr>
            </w:pPr>
            <w:r>
              <w:rPr>
                <w:rFonts w:hint="eastAsia" w:ascii="仿宋" w:hAnsi="仿宋" w:eastAsia="仿宋" w:cs="仿宋"/>
                <w:b/>
                <w:bCs/>
                <w:snapToGrid w:val="0"/>
                <w:kern w:val="0"/>
                <w:sz w:val="24"/>
              </w:rPr>
              <w:t>（税务部门备案的）电话：</w:t>
            </w:r>
          </w:p>
          <w:p>
            <w:pPr>
              <w:autoSpaceDE w:val="0"/>
              <w:autoSpaceDN w:val="0"/>
              <w:adjustRightInd w:val="0"/>
              <w:snapToGrid w:val="0"/>
              <w:spacing w:line="360" w:lineRule="auto"/>
              <w:rPr>
                <w:rFonts w:hint="eastAsia" w:ascii="仿宋" w:hAnsi="仿宋" w:eastAsia="仿宋" w:cs="仿宋"/>
                <w:b/>
                <w:bCs/>
                <w:snapToGrid w:val="0"/>
                <w:kern w:val="0"/>
                <w:sz w:val="24"/>
              </w:rPr>
            </w:pPr>
            <w:r>
              <w:rPr>
                <w:rFonts w:hint="eastAsia" w:ascii="仿宋" w:hAnsi="仿宋" w:eastAsia="仿宋" w:cs="仿宋"/>
                <w:b/>
                <w:bCs/>
                <w:snapToGrid w:val="0"/>
                <w:kern w:val="0"/>
                <w:sz w:val="24"/>
              </w:rPr>
              <w:t>开户行：</w:t>
            </w:r>
          </w:p>
          <w:p>
            <w:pPr>
              <w:autoSpaceDE w:val="0"/>
              <w:autoSpaceDN w:val="0"/>
              <w:adjustRightInd w:val="0"/>
              <w:snapToGrid w:val="0"/>
              <w:spacing w:line="360" w:lineRule="auto"/>
              <w:rPr>
                <w:rFonts w:hint="eastAsia" w:ascii="仿宋" w:hAnsi="仿宋" w:eastAsia="仿宋" w:cs="仿宋"/>
                <w:b/>
                <w:bCs/>
                <w:snapToGrid w:val="0"/>
                <w:kern w:val="0"/>
                <w:sz w:val="24"/>
              </w:rPr>
            </w:pPr>
            <w:r>
              <w:rPr>
                <w:rFonts w:hint="eastAsia" w:ascii="仿宋" w:hAnsi="仿宋" w:eastAsia="仿宋" w:cs="仿宋"/>
                <w:b/>
                <w:bCs/>
                <w:snapToGrid w:val="0"/>
                <w:kern w:val="0"/>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adjustRightInd w:val="0"/>
              <w:snapToGrid w:val="0"/>
              <w:spacing w:line="360" w:lineRule="auto"/>
              <w:rPr>
                <w:rFonts w:hint="eastAsia" w:ascii="仿宋" w:hAnsi="仿宋" w:eastAsia="仿宋" w:cs="仿宋"/>
                <w:bCs/>
                <w:snapToGrid w:val="0"/>
                <w:kern w:val="0"/>
                <w:sz w:val="24"/>
              </w:rPr>
            </w:pPr>
            <w:r>
              <w:rPr>
                <w:rFonts w:hint="eastAsia" w:ascii="仿宋" w:hAnsi="仿宋" w:eastAsia="仿宋" w:cs="仿宋"/>
                <w:bCs/>
                <w:snapToGrid w:val="0"/>
                <w:kern w:val="0"/>
                <w:sz w:val="24"/>
              </w:rPr>
              <w:t>若中标，</w:t>
            </w:r>
            <w:r>
              <w:rPr>
                <w:rFonts w:hint="eastAsia" w:ascii="仿宋" w:hAnsi="仿宋" w:eastAsia="仿宋" w:cs="仿宋"/>
                <w:bCs/>
                <w:snapToGrid w:val="0"/>
                <w:kern w:val="0"/>
                <w:sz w:val="24"/>
                <w:lang w:eastAsia="zh-CN"/>
              </w:rPr>
              <w:t>成交通知书</w:t>
            </w:r>
            <w:r>
              <w:rPr>
                <w:rFonts w:hint="eastAsia" w:ascii="仿宋" w:hAnsi="仿宋" w:eastAsia="仿宋" w:cs="仿宋"/>
                <w:bCs/>
                <w:snapToGrid w:val="0"/>
                <w:kern w:val="0"/>
                <w:sz w:val="24"/>
              </w:rPr>
              <w:t>快递接收地址、联系人、电话</w:t>
            </w:r>
          </w:p>
        </w:tc>
        <w:tc>
          <w:tcPr>
            <w:tcW w:w="5598" w:type="dxa"/>
          </w:tcPr>
          <w:p>
            <w:pPr>
              <w:autoSpaceDE w:val="0"/>
              <w:autoSpaceDN w:val="0"/>
              <w:adjustRightInd w:val="0"/>
              <w:snapToGrid w:val="0"/>
              <w:spacing w:line="360" w:lineRule="auto"/>
              <w:rPr>
                <w:rFonts w:hint="eastAsia" w:ascii="仿宋" w:hAnsi="仿宋" w:eastAsia="仿宋" w:cs="仿宋"/>
                <w:b/>
                <w:bCs/>
                <w:snapToGrid w:val="0"/>
                <w:kern w:val="0"/>
                <w:sz w:val="24"/>
              </w:rPr>
            </w:pPr>
            <w:r>
              <w:rPr>
                <w:rFonts w:hint="eastAsia" w:ascii="仿宋" w:hAnsi="仿宋" w:eastAsia="仿宋" w:cs="仿宋"/>
                <w:b/>
                <w:bCs/>
                <w:snapToGrid w:val="0"/>
                <w:kern w:val="0"/>
                <w:sz w:val="24"/>
              </w:rPr>
              <w:t>地址：</w:t>
            </w:r>
          </w:p>
          <w:p>
            <w:pPr>
              <w:autoSpaceDE w:val="0"/>
              <w:autoSpaceDN w:val="0"/>
              <w:adjustRightInd w:val="0"/>
              <w:snapToGrid w:val="0"/>
              <w:spacing w:line="360" w:lineRule="auto"/>
              <w:rPr>
                <w:rFonts w:hint="eastAsia" w:ascii="仿宋" w:hAnsi="仿宋" w:eastAsia="仿宋" w:cs="仿宋"/>
                <w:b/>
                <w:bCs/>
                <w:snapToGrid w:val="0"/>
                <w:kern w:val="0"/>
                <w:sz w:val="24"/>
              </w:rPr>
            </w:pPr>
            <w:r>
              <w:rPr>
                <w:rFonts w:hint="eastAsia" w:ascii="仿宋" w:hAnsi="仿宋" w:eastAsia="仿宋" w:cs="仿宋"/>
                <w:b/>
                <w:bCs/>
                <w:snapToGrid w:val="0"/>
                <w:kern w:val="0"/>
                <w:sz w:val="24"/>
              </w:rPr>
              <w:t>收件人：</w:t>
            </w:r>
          </w:p>
          <w:p>
            <w:pPr>
              <w:autoSpaceDE w:val="0"/>
              <w:autoSpaceDN w:val="0"/>
              <w:adjustRightInd w:val="0"/>
              <w:snapToGrid w:val="0"/>
              <w:spacing w:line="360" w:lineRule="auto"/>
              <w:rPr>
                <w:rFonts w:hint="eastAsia" w:ascii="仿宋" w:hAnsi="仿宋" w:eastAsia="仿宋" w:cs="仿宋"/>
                <w:b/>
                <w:bCs/>
                <w:snapToGrid w:val="0"/>
                <w:kern w:val="0"/>
                <w:sz w:val="24"/>
              </w:rPr>
            </w:pPr>
            <w:r>
              <w:rPr>
                <w:rFonts w:hint="eastAsia" w:ascii="仿宋" w:hAnsi="仿宋" w:eastAsia="仿宋" w:cs="仿宋"/>
                <w:b/>
                <w:bCs/>
                <w:snapToGrid w:val="0"/>
                <w:kern w:val="0"/>
                <w:sz w:val="24"/>
              </w:rPr>
              <w:t>电话：</w:t>
            </w:r>
          </w:p>
        </w:tc>
      </w:tr>
    </w:tbl>
    <w:p>
      <w:pPr>
        <w:autoSpaceDE w:val="0"/>
        <w:autoSpaceDN w:val="0"/>
        <w:adjustRightInd w:val="0"/>
        <w:snapToGrid w:val="0"/>
        <w:spacing w:line="360" w:lineRule="auto"/>
        <w:rPr>
          <w:rFonts w:hint="eastAsia" w:ascii="仿宋" w:hAnsi="仿宋" w:eastAsia="仿宋" w:cs="仿宋"/>
          <w:b/>
          <w:bCs/>
          <w:snapToGrid w:val="0"/>
          <w:kern w:val="0"/>
          <w:szCs w:val="21"/>
        </w:rPr>
      </w:pPr>
    </w:p>
    <w:p>
      <w:pPr>
        <w:widowControl/>
        <w:adjustRightInd w:val="0"/>
        <w:snapToGrid w:val="0"/>
        <w:spacing w:line="360" w:lineRule="auto"/>
        <w:jc w:val="left"/>
        <w:rPr>
          <w:rFonts w:hint="eastAsia" w:ascii="仿宋" w:hAnsi="仿宋" w:eastAsia="仿宋" w:cs="仿宋"/>
        </w:rPr>
      </w:pPr>
      <w:r>
        <w:rPr>
          <w:rFonts w:hint="eastAsia" w:ascii="仿宋" w:hAnsi="仿宋" w:eastAsia="仿宋" w:cs="仿宋"/>
          <w:b/>
          <w:bCs/>
          <w:kern w:val="0"/>
          <w:sz w:val="24"/>
        </w:rPr>
        <w:t>请将此表填好后仔细核对，务必准确。 填完后发送至laoyaomm@126.com。邮件名称请注明单位名称。</w:t>
      </w:r>
    </w:p>
    <w:p>
      <w:pPr>
        <w:pStyle w:val="45"/>
        <w:ind w:firstLine="210"/>
        <w:rPr>
          <w:rFonts w:hint="eastAsia" w:ascii="仿宋" w:hAnsi="仿宋" w:eastAsia="仿宋" w:cs="仿宋"/>
        </w:rPr>
      </w:pPr>
    </w:p>
    <w:p>
      <w:pPr>
        <w:tabs>
          <w:tab w:val="left" w:pos="4860"/>
        </w:tabs>
        <w:snapToGrid w:val="0"/>
        <w:spacing w:line="360" w:lineRule="auto"/>
        <w:ind w:right="1560"/>
        <w:rPr>
          <w:rFonts w:hint="eastAsia" w:ascii="仿宋" w:hAnsi="仿宋" w:eastAsia="仿宋" w:cs="仿宋"/>
          <w:sz w:val="24"/>
        </w:rPr>
      </w:pPr>
    </w:p>
    <w:sectPr>
      <w:pgSz w:w="11906" w:h="16838"/>
      <w:pgMar w:top="1402" w:right="1588" w:bottom="1246" w:left="1588" w:header="851" w:footer="10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eastAsia="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2"/>
                            <w:jc w:val="center"/>
                          </w:pPr>
                          <w:r>
                            <w:fldChar w:fldCharType="begin"/>
                          </w:r>
                          <w:r>
                            <w:rPr>
                              <w:rStyle w:val="53"/>
                            </w:rPr>
                            <w:instrText xml:space="preserve"> PAGE </w:instrText>
                          </w:r>
                          <w:r>
                            <w:fldChar w:fldCharType="separate"/>
                          </w:r>
                          <w:r>
                            <w:rPr>
                              <w:rStyle w:val="53"/>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32"/>
                      <w:jc w:val="center"/>
                    </w:pPr>
                    <w:r>
                      <w:fldChar w:fldCharType="begin"/>
                    </w:r>
                    <w:r>
                      <w:rPr>
                        <w:rStyle w:val="53"/>
                      </w:rPr>
                      <w:instrText xml:space="preserve"> PAGE </w:instrText>
                    </w:r>
                    <w:r>
                      <w:fldChar w:fldCharType="separate"/>
                    </w:r>
                    <w:r>
                      <w:rPr>
                        <w:rStyle w:val="53"/>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rPr>
        <w:rStyle w:val="53"/>
      </w:rPr>
      <w:instrText xml:space="preserve"> PAGE </w:instrText>
    </w:r>
    <w:r>
      <w:fldChar w:fldCharType="separate"/>
    </w:r>
    <w:r>
      <w:rPr>
        <w:rStyle w:val="53"/>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eastAsia="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2"/>
                            <w:jc w:val="center"/>
                          </w:pPr>
                          <w:r>
                            <w:fldChar w:fldCharType="begin"/>
                          </w:r>
                          <w:r>
                            <w:rPr>
                              <w:rStyle w:val="53"/>
                            </w:rPr>
                            <w:instrText xml:space="preserve"> PAGE </w:instrText>
                          </w:r>
                          <w:r>
                            <w:fldChar w:fldCharType="separate"/>
                          </w:r>
                          <w:r>
                            <w:rPr>
                              <w:rStyle w:val="53"/>
                            </w:rPr>
                            <w:t>8</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PO8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kjMnLD345fu3y49fl59f2a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WPO80BAACnAwAADgAAAAAAAAABACAAAAAeAQAAZHJzL2Uy&#10;b0RvYy54bWxQSwUGAAAAAAYABgBZAQAAXQUAAAAA&#10;">
              <v:fill on="f" focussize="0,0"/>
              <v:stroke on="f"/>
              <v:imagedata o:title=""/>
              <o:lock v:ext="edit" aspectratio="f"/>
              <v:textbox inset="0mm,0mm,0mm,0mm" style="mso-fit-shape-to-text:t;">
                <w:txbxContent>
                  <w:p>
                    <w:pPr>
                      <w:pStyle w:val="32"/>
                      <w:jc w:val="center"/>
                    </w:pPr>
                    <w:r>
                      <w:fldChar w:fldCharType="begin"/>
                    </w:r>
                    <w:r>
                      <w:rPr>
                        <w:rStyle w:val="53"/>
                      </w:rPr>
                      <w:instrText xml:space="preserve"> PAGE </w:instrText>
                    </w:r>
                    <w:r>
                      <w:fldChar w:fldCharType="separate"/>
                    </w:r>
                    <w:r>
                      <w:rPr>
                        <w:rStyle w:val="53"/>
                      </w:rP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2"/>
                            <w:jc w:val="center"/>
                          </w:pPr>
                          <w:r>
                            <w:fldChar w:fldCharType="begin"/>
                          </w:r>
                          <w:r>
                            <w:rPr>
                              <w:rStyle w:val="53"/>
                            </w:rPr>
                            <w:instrText xml:space="preserve"> PAGE </w:instrText>
                          </w:r>
                          <w:r>
                            <w:fldChar w:fldCharType="separate"/>
                          </w:r>
                          <w:r>
                            <w:rPr>
                              <w:rStyle w:val="53"/>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32"/>
                      <w:jc w:val="center"/>
                    </w:pPr>
                    <w:r>
                      <w:fldChar w:fldCharType="begin"/>
                    </w:r>
                    <w:r>
                      <w:rPr>
                        <w:rStyle w:val="53"/>
                      </w:rPr>
                      <w:instrText xml:space="preserve"> PAGE </w:instrText>
                    </w:r>
                    <w:r>
                      <w:fldChar w:fldCharType="separate"/>
                    </w:r>
                    <w:r>
                      <w:rPr>
                        <w:rStyle w:val="53"/>
                      </w:rP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left" w:pos="900"/>
        <w:tab w:val="clear" w:pos="4153"/>
        <w:tab w:val="clear" w:pos="8306"/>
      </w:tabs>
      <w:jc w:val="center"/>
    </w:pPr>
    <w:r>
      <w:fldChar w:fldCharType="begin"/>
    </w:r>
    <w:r>
      <w:rPr>
        <w:rStyle w:val="53"/>
      </w:rPr>
      <w:instrText xml:space="preserve"> PAGE </w:instrText>
    </w:r>
    <w:r>
      <w:fldChar w:fldCharType="separate"/>
    </w:r>
    <w:r>
      <w:rPr>
        <w:rStyle w:val="53"/>
      </w:rPr>
      <w:t>19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single" w:color="auto" w:sz="4" w:space="1"/>
      </w:pBdr>
    </w:pPr>
    <w:r>
      <w:rPr>
        <w:rFonts w:hint="eastAsia"/>
      </w:rPr>
      <w:t>浙江省学前教育高质量发展监测指标研制与监测培训单一来源采购文件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single" w:color="auto" w:sz="4" w:space="1"/>
      </w:pBdr>
    </w:pPr>
    <w:r>
      <w:rPr>
        <w:rFonts w:hint="eastAsia"/>
      </w:rPr>
      <w:t>浙江省学前教育高质量发展监测指标研制与监测培训单一来源采购文件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30495"/>
    <w:multiLevelType w:val="singleLevel"/>
    <w:tmpl w:val="85E30495"/>
    <w:lvl w:ilvl="0" w:tentative="0">
      <w:start w:val="1"/>
      <w:numFmt w:val="bullet"/>
      <w:pStyle w:val="24"/>
      <w:lvlText w:val=""/>
      <w:lvlJc w:val="left"/>
      <w:pPr>
        <w:tabs>
          <w:tab w:val="left" w:pos="780"/>
        </w:tabs>
        <w:ind w:left="780" w:hanging="360"/>
      </w:pPr>
      <w:rPr>
        <w:rFonts w:hint="default" w:ascii="Wingdings" w:hAnsi="Wingdings"/>
      </w:rPr>
    </w:lvl>
  </w:abstractNum>
  <w:abstractNum w:abstractNumId="1">
    <w:nsid w:val="2271F9C5"/>
    <w:multiLevelType w:val="singleLevel"/>
    <w:tmpl w:val="2271F9C5"/>
    <w:lvl w:ilvl="0" w:tentative="0">
      <w:start w:val="3"/>
      <w:numFmt w:val="chineseCounting"/>
      <w:suff w:val="space"/>
      <w:lvlText w:val="第%1部分"/>
      <w:lvlJc w:val="left"/>
      <w:rPr>
        <w:rFonts w:hint="eastAsia"/>
      </w:rPr>
    </w:lvl>
  </w:abstractNum>
  <w:abstractNum w:abstractNumId="2">
    <w:nsid w:val="33B306ED"/>
    <w:multiLevelType w:val="multilevel"/>
    <w:tmpl w:val="33B306ED"/>
    <w:lvl w:ilvl="0" w:tentative="0">
      <w:start w:val="1"/>
      <w:numFmt w:val="decimal"/>
      <w:lvlText w:val="%1"/>
      <w:lvlJc w:val="left"/>
      <w:pPr>
        <w:tabs>
          <w:tab w:val="left" w:pos="600"/>
        </w:tabs>
        <w:ind w:left="600" w:hanging="420"/>
      </w:pPr>
      <w:rPr>
        <w:rFonts w:hint="eastAsia" w:ascii="宋体" w:hAnsi="宋体" w:eastAsia="宋体"/>
        <w:sz w:val="24"/>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
    <w:nsid w:val="58F6070A"/>
    <w:multiLevelType w:val="singleLevel"/>
    <w:tmpl w:val="58F6070A"/>
    <w:lvl w:ilvl="0" w:tentative="0">
      <w:start w:val="1"/>
      <w:numFmt w:val="chineseCounting"/>
      <w:suff w:val="nothing"/>
      <w:lvlText w:val="（%1）"/>
      <w:lvlJc w:val="left"/>
    </w:lvl>
  </w:abstractNum>
  <w:abstractNum w:abstractNumId="4">
    <w:nsid w:val="590838AC"/>
    <w:multiLevelType w:val="singleLevel"/>
    <w:tmpl w:val="590838AC"/>
    <w:lvl w:ilvl="0" w:tentative="0">
      <w:start w:val="1"/>
      <w:numFmt w:val="decimal"/>
      <w:pStyle w:val="16"/>
      <w:lvlText w:val="%1."/>
      <w:lvlJc w:val="left"/>
      <w:pPr>
        <w:tabs>
          <w:tab w:val="left" w:pos="780"/>
        </w:tabs>
        <w:ind w:left="780" w:hanging="360"/>
      </w:pPr>
    </w:lvl>
  </w:abstractNum>
  <w:abstractNum w:abstractNumId="5">
    <w:nsid w:val="6AB33E92"/>
    <w:multiLevelType w:val="singleLevel"/>
    <w:tmpl w:val="6AB33E92"/>
    <w:lvl w:ilvl="0" w:tentative="0">
      <w:start w:val="12"/>
      <w:numFmt w:val="decimal"/>
      <w:suff w:val="nothing"/>
      <w:lvlText w:val="%1．"/>
      <w:lvlJc w:val="left"/>
    </w:lvl>
  </w:abstractNum>
  <w:abstractNum w:abstractNumId="6">
    <w:nsid w:val="71383A9B"/>
    <w:multiLevelType w:val="multilevel"/>
    <w:tmpl w:val="71383A9B"/>
    <w:lvl w:ilvl="0" w:tentative="0">
      <w:start w:val="1"/>
      <w:numFmt w:val="chineseCountingThousand"/>
      <w:pStyle w:val="147"/>
      <w:suff w:val="nothing"/>
      <w:lvlText w:val="设备%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Y2VjMmZkMDFlMDE2ZGVmZWI2MzI4YTU2NzgxMGMifQ=="/>
    <w:docVar w:name="KSO_WPS_MARK_KEY" w:val="93ff7b7a-ed96-4b62-b64c-1f53963df21b"/>
  </w:docVars>
  <w:rsids>
    <w:rsidRoot w:val="00907D99"/>
    <w:rsid w:val="00000421"/>
    <w:rsid w:val="000011A1"/>
    <w:rsid w:val="00002E0A"/>
    <w:rsid w:val="00005C6A"/>
    <w:rsid w:val="0000681A"/>
    <w:rsid w:val="00007BED"/>
    <w:rsid w:val="0001005F"/>
    <w:rsid w:val="00010AC8"/>
    <w:rsid w:val="000113D5"/>
    <w:rsid w:val="0001142C"/>
    <w:rsid w:val="00013622"/>
    <w:rsid w:val="000143B8"/>
    <w:rsid w:val="00015079"/>
    <w:rsid w:val="000155D1"/>
    <w:rsid w:val="000160A5"/>
    <w:rsid w:val="000204B0"/>
    <w:rsid w:val="00020DF1"/>
    <w:rsid w:val="00021969"/>
    <w:rsid w:val="0002273F"/>
    <w:rsid w:val="000302C6"/>
    <w:rsid w:val="00030F6F"/>
    <w:rsid w:val="00033653"/>
    <w:rsid w:val="0003399C"/>
    <w:rsid w:val="00033EC1"/>
    <w:rsid w:val="00034260"/>
    <w:rsid w:val="0004071C"/>
    <w:rsid w:val="000412DB"/>
    <w:rsid w:val="0004294C"/>
    <w:rsid w:val="00043989"/>
    <w:rsid w:val="0004629C"/>
    <w:rsid w:val="00046B4C"/>
    <w:rsid w:val="00051C75"/>
    <w:rsid w:val="0005324C"/>
    <w:rsid w:val="00054A9A"/>
    <w:rsid w:val="00054B98"/>
    <w:rsid w:val="000555E0"/>
    <w:rsid w:val="00057C91"/>
    <w:rsid w:val="00060087"/>
    <w:rsid w:val="000602FC"/>
    <w:rsid w:val="0006073D"/>
    <w:rsid w:val="00060A2A"/>
    <w:rsid w:val="00063B99"/>
    <w:rsid w:val="00065640"/>
    <w:rsid w:val="00065705"/>
    <w:rsid w:val="0006716F"/>
    <w:rsid w:val="00067DA7"/>
    <w:rsid w:val="000711F0"/>
    <w:rsid w:val="000716E2"/>
    <w:rsid w:val="000735A6"/>
    <w:rsid w:val="0007366C"/>
    <w:rsid w:val="00074982"/>
    <w:rsid w:val="0007582A"/>
    <w:rsid w:val="00080074"/>
    <w:rsid w:val="00087B07"/>
    <w:rsid w:val="00090345"/>
    <w:rsid w:val="00092185"/>
    <w:rsid w:val="00092F0C"/>
    <w:rsid w:val="000933FA"/>
    <w:rsid w:val="00094F37"/>
    <w:rsid w:val="00096E0B"/>
    <w:rsid w:val="00097D46"/>
    <w:rsid w:val="000A5F0B"/>
    <w:rsid w:val="000A7FE5"/>
    <w:rsid w:val="000B27C3"/>
    <w:rsid w:val="000B4834"/>
    <w:rsid w:val="000B55B4"/>
    <w:rsid w:val="000B5953"/>
    <w:rsid w:val="000C0287"/>
    <w:rsid w:val="000C104F"/>
    <w:rsid w:val="000C1BD1"/>
    <w:rsid w:val="000C22A9"/>
    <w:rsid w:val="000C30AE"/>
    <w:rsid w:val="000C5413"/>
    <w:rsid w:val="000C55C4"/>
    <w:rsid w:val="000C6E92"/>
    <w:rsid w:val="000C72D3"/>
    <w:rsid w:val="000D0CE2"/>
    <w:rsid w:val="000D258F"/>
    <w:rsid w:val="000D3383"/>
    <w:rsid w:val="000D4E95"/>
    <w:rsid w:val="000D7596"/>
    <w:rsid w:val="000E1117"/>
    <w:rsid w:val="000E165C"/>
    <w:rsid w:val="000E1F5F"/>
    <w:rsid w:val="000E2761"/>
    <w:rsid w:val="000E536D"/>
    <w:rsid w:val="000E7F57"/>
    <w:rsid w:val="000F0D96"/>
    <w:rsid w:val="000F1E4F"/>
    <w:rsid w:val="000F2382"/>
    <w:rsid w:val="000F42DF"/>
    <w:rsid w:val="000F4463"/>
    <w:rsid w:val="000F5CCC"/>
    <w:rsid w:val="000F7FEC"/>
    <w:rsid w:val="00100DC4"/>
    <w:rsid w:val="0010108B"/>
    <w:rsid w:val="00101EFA"/>
    <w:rsid w:val="0010418E"/>
    <w:rsid w:val="001053C7"/>
    <w:rsid w:val="00105A92"/>
    <w:rsid w:val="0011120C"/>
    <w:rsid w:val="001114D0"/>
    <w:rsid w:val="0011271D"/>
    <w:rsid w:val="0011398B"/>
    <w:rsid w:val="00116F05"/>
    <w:rsid w:val="001209AE"/>
    <w:rsid w:val="00120AC6"/>
    <w:rsid w:val="00121843"/>
    <w:rsid w:val="00121E58"/>
    <w:rsid w:val="00121FB4"/>
    <w:rsid w:val="001223EC"/>
    <w:rsid w:val="001228B5"/>
    <w:rsid w:val="00123C40"/>
    <w:rsid w:val="0012493B"/>
    <w:rsid w:val="00125E2B"/>
    <w:rsid w:val="0012706C"/>
    <w:rsid w:val="00131525"/>
    <w:rsid w:val="001318B4"/>
    <w:rsid w:val="001410F2"/>
    <w:rsid w:val="0014251D"/>
    <w:rsid w:val="00143AA3"/>
    <w:rsid w:val="00145DDE"/>
    <w:rsid w:val="001468AF"/>
    <w:rsid w:val="0014788C"/>
    <w:rsid w:val="00150E75"/>
    <w:rsid w:val="001512B9"/>
    <w:rsid w:val="0015161D"/>
    <w:rsid w:val="00151947"/>
    <w:rsid w:val="00151C89"/>
    <w:rsid w:val="0015230F"/>
    <w:rsid w:val="00152938"/>
    <w:rsid w:val="00152B0E"/>
    <w:rsid w:val="00152D06"/>
    <w:rsid w:val="001548C1"/>
    <w:rsid w:val="00155013"/>
    <w:rsid w:val="00155D10"/>
    <w:rsid w:val="00156E28"/>
    <w:rsid w:val="001639A0"/>
    <w:rsid w:val="00164C26"/>
    <w:rsid w:val="00165086"/>
    <w:rsid w:val="001665AF"/>
    <w:rsid w:val="001702F6"/>
    <w:rsid w:val="0017313F"/>
    <w:rsid w:val="0017384F"/>
    <w:rsid w:val="0017491E"/>
    <w:rsid w:val="00176942"/>
    <w:rsid w:val="00176E11"/>
    <w:rsid w:val="0017724B"/>
    <w:rsid w:val="00177677"/>
    <w:rsid w:val="00177709"/>
    <w:rsid w:val="001820F6"/>
    <w:rsid w:val="00182707"/>
    <w:rsid w:val="001841AE"/>
    <w:rsid w:val="001903BA"/>
    <w:rsid w:val="00190D99"/>
    <w:rsid w:val="001910CE"/>
    <w:rsid w:val="00191CC7"/>
    <w:rsid w:val="00194430"/>
    <w:rsid w:val="0019562A"/>
    <w:rsid w:val="0019790B"/>
    <w:rsid w:val="001A0AC5"/>
    <w:rsid w:val="001A3A94"/>
    <w:rsid w:val="001A7C65"/>
    <w:rsid w:val="001A7D58"/>
    <w:rsid w:val="001B00B6"/>
    <w:rsid w:val="001B0DFF"/>
    <w:rsid w:val="001B0FF0"/>
    <w:rsid w:val="001B1F6F"/>
    <w:rsid w:val="001B2CDC"/>
    <w:rsid w:val="001B2F6B"/>
    <w:rsid w:val="001B5592"/>
    <w:rsid w:val="001B7A1A"/>
    <w:rsid w:val="001C0687"/>
    <w:rsid w:val="001C1492"/>
    <w:rsid w:val="001C296B"/>
    <w:rsid w:val="001C7D22"/>
    <w:rsid w:val="001D0DF3"/>
    <w:rsid w:val="001D34C5"/>
    <w:rsid w:val="001D37A9"/>
    <w:rsid w:val="001D4900"/>
    <w:rsid w:val="001D743E"/>
    <w:rsid w:val="001E3BED"/>
    <w:rsid w:val="001E3F83"/>
    <w:rsid w:val="001E40DE"/>
    <w:rsid w:val="001E6398"/>
    <w:rsid w:val="001E6656"/>
    <w:rsid w:val="001E7AFA"/>
    <w:rsid w:val="001F0AF5"/>
    <w:rsid w:val="001F1713"/>
    <w:rsid w:val="001F1ECB"/>
    <w:rsid w:val="001F219A"/>
    <w:rsid w:val="001F2F8E"/>
    <w:rsid w:val="001F4A68"/>
    <w:rsid w:val="001F4DCC"/>
    <w:rsid w:val="001F62D3"/>
    <w:rsid w:val="001F6F9E"/>
    <w:rsid w:val="0020028B"/>
    <w:rsid w:val="00201E40"/>
    <w:rsid w:val="00204607"/>
    <w:rsid w:val="00204A2D"/>
    <w:rsid w:val="00204D29"/>
    <w:rsid w:val="002051BB"/>
    <w:rsid w:val="002075CE"/>
    <w:rsid w:val="0021214E"/>
    <w:rsid w:val="00213FA3"/>
    <w:rsid w:val="002143E3"/>
    <w:rsid w:val="002153A6"/>
    <w:rsid w:val="002153EF"/>
    <w:rsid w:val="00215AA4"/>
    <w:rsid w:val="00215E0A"/>
    <w:rsid w:val="0021682D"/>
    <w:rsid w:val="00217714"/>
    <w:rsid w:val="002205D0"/>
    <w:rsid w:val="00220DBD"/>
    <w:rsid w:val="0022384B"/>
    <w:rsid w:val="00223C4F"/>
    <w:rsid w:val="00225CA1"/>
    <w:rsid w:val="00227484"/>
    <w:rsid w:val="00230E58"/>
    <w:rsid w:val="00243218"/>
    <w:rsid w:val="002505C8"/>
    <w:rsid w:val="00253E16"/>
    <w:rsid w:val="00257B48"/>
    <w:rsid w:val="002629C1"/>
    <w:rsid w:val="00264B96"/>
    <w:rsid w:val="00266346"/>
    <w:rsid w:val="00266EFD"/>
    <w:rsid w:val="00267696"/>
    <w:rsid w:val="00270495"/>
    <w:rsid w:val="00273300"/>
    <w:rsid w:val="002750FB"/>
    <w:rsid w:val="00282E5B"/>
    <w:rsid w:val="00284594"/>
    <w:rsid w:val="00286433"/>
    <w:rsid w:val="00287253"/>
    <w:rsid w:val="00293722"/>
    <w:rsid w:val="00296CDA"/>
    <w:rsid w:val="0029717B"/>
    <w:rsid w:val="002A05FE"/>
    <w:rsid w:val="002A19AD"/>
    <w:rsid w:val="002A3B6A"/>
    <w:rsid w:val="002A6D27"/>
    <w:rsid w:val="002A75BE"/>
    <w:rsid w:val="002A7F4A"/>
    <w:rsid w:val="002B03B0"/>
    <w:rsid w:val="002B4A02"/>
    <w:rsid w:val="002C0554"/>
    <w:rsid w:val="002C4E4A"/>
    <w:rsid w:val="002C6AA8"/>
    <w:rsid w:val="002C7130"/>
    <w:rsid w:val="002C71CD"/>
    <w:rsid w:val="002D1528"/>
    <w:rsid w:val="002D42E3"/>
    <w:rsid w:val="002D6A4E"/>
    <w:rsid w:val="002E21BE"/>
    <w:rsid w:val="002E469C"/>
    <w:rsid w:val="002E477E"/>
    <w:rsid w:val="002E49B0"/>
    <w:rsid w:val="002E6263"/>
    <w:rsid w:val="002E71F7"/>
    <w:rsid w:val="002F0A54"/>
    <w:rsid w:val="002F0FE7"/>
    <w:rsid w:val="002F743C"/>
    <w:rsid w:val="0030085C"/>
    <w:rsid w:val="00300AF5"/>
    <w:rsid w:val="00302B7A"/>
    <w:rsid w:val="003037B1"/>
    <w:rsid w:val="00303953"/>
    <w:rsid w:val="003051ED"/>
    <w:rsid w:val="003102F1"/>
    <w:rsid w:val="0031071A"/>
    <w:rsid w:val="0031164D"/>
    <w:rsid w:val="00312B66"/>
    <w:rsid w:val="00316F5A"/>
    <w:rsid w:val="003178CA"/>
    <w:rsid w:val="00321660"/>
    <w:rsid w:val="003231E7"/>
    <w:rsid w:val="0032327D"/>
    <w:rsid w:val="00324C90"/>
    <w:rsid w:val="00326EC1"/>
    <w:rsid w:val="00330D71"/>
    <w:rsid w:val="00334017"/>
    <w:rsid w:val="00335488"/>
    <w:rsid w:val="0033600F"/>
    <w:rsid w:val="00340827"/>
    <w:rsid w:val="003416C3"/>
    <w:rsid w:val="003420A7"/>
    <w:rsid w:val="00342B29"/>
    <w:rsid w:val="00344080"/>
    <w:rsid w:val="00346AA4"/>
    <w:rsid w:val="003511C7"/>
    <w:rsid w:val="00351B46"/>
    <w:rsid w:val="00354236"/>
    <w:rsid w:val="00355B4A"/>
    <w:rsid w:val="00361733"/>
    <w:rsid w:val="00362225"/>
    <w:rsid w:val="00363127"/>
    <w:rsid w:val="00363A7B"/>
    <w:rsid w:val="00364BCC"/>
    <w:rsid w:val="00371271"/>
    <w:rsid w:val="00371DE7"/>
    <w:rsid w:val="00373DC2"/>
    <w:rsid w:val="003740CF"/>
    <w:rsid w:val="00376ED6"/>
    <w:rsid w:val="00380DAE"/>
    <w:rsid w:val="00382A36"/>
    <w:rsid w:val="00383DDD"/>
    <w:rsid w:val="00384387"/>
    <w:rsid w:val="00386D3F"/>
    <w:rsid w:val="00387EB7"/>
    <w:rsid w:val="0039001C"/>
    <w:rsid w:val="00390A7F"/>
    <w:rsid w:val="00390C58"/>
    <w:rsid w:val="00391CCB"/>
    <w:rsid w:val="003923D7"/>
    <w:rsid w:val="00392505"/>
    <w:rsid w:val="003930A1"/>
    <w:rsid w:val="00393BED"/>
    <w:rsid w:val="00394B59"/>
    <w:rsid w:val="003951C7"/>
    <w:rsid w:val="003956B0"/>
    <w:rsid w:val="003970DD"/>
    <w:rsid w:val="003A0ADF"/>
    <w:rsid w:val="003A0BB3"/>
    <w:rsid w:val="003A1EC7"/>
    <w:rsid w:val="003A4ECC"/>
    <w:rsid w:val="003A7BD7"/>
    <w:rsid w:val="003B004C"/>
    <w:rsid w:val="003B17A0"/>
    <w:rsid w:val="003B34C4"/>
    <w:rsid w:val="003B34DC"/>
    <w:rsid w:val="003B5380"/>
    <w:rsid w:val="003B5A51"/>
    <w:rsid w:val="003B7198"/>
    <w:rsid w:val="003B7E59"/>
    <w:rsid w:val="003C0593"/>
    <w:rsid w:val="003C1E8C"/>
    <w:rsid w:val="003C28A0"/>
    <w:rsid w:val="003C299B"/>
    <w:rsid w:val="003C2AE8"/>
    <w:rsid w:val="003C6849"/>
    <w:rsid w:val="003C7CE6"/>
    <w:rsid w:val="003D045E"/>
    <w:rsid w:val="003D0A0C"/>
    <w:rsid w:val="003D68D2"/>
    <w:rsid w:val="003D6B45"/>
    <w:rsid w:val="003D73B0"/>
    <w:rsid w:val="003E1C09"/>
    <w:rsid w:val="003E52EA"/>
    <w:rsid w:val="003E5618"/>
    <w:rsid w:val="003E5C0E"/>
    <w:rsid w:val="003E6231"/>
    <w:rsid w:val="003E6763"/>
    <w:rsid w:val="003E74D5"/>
    <w:rsid w:val="003F123B"/>
    <w:rsid w:val="003F1F1D"/>
    <w:rsid w:val="003F2AD6"/>
    <w:rsid w:val="003F3A78"/>
    <w:rsid w:val="003F465D"/>
    <w:rsid w:val="003F5D12"/>
    <w:rsid w:val="003F69A7"/>
    <w:rsid w:val="003F6C6D"/>
    <w:rsid w:val="00400A47"/>
    <w:rsid w:val="00402AEA"/>
    <w:rsid w:val="00403E50"/>
    <w:rsid w:val="00404363"/>
    <w:rsid w:val="00407723"/>
    <w:rsid w:val="00410744"/>
    <w:rsid w:val="00411626"/>
    <w:rsid w:val="00413FF7"/>
    <w:rsid w:val="00414B6C"/>
    <w:rsid w:val="00422F49"/>
    <w:rsid w:val="00424C62"/>
    <w:rsid w:val="0042693C"/>
    <w:rsid w:val="0042728D"/>
    <w:rsid w:val="00427DC3"/>
    <w:rsid w:val="00430D8B"/>
    <w:rsid w:val="0043298D"/>
    <w:rsid w:val="00437383"/>
    <w:rsid w:val="00440881"/>
    <w:rsid w:val="00441C74"/>
    <w:rsid w:val="00443D09"/>
    <w:rsid w:val="00444640"/>
    <w:rsid w:val="00444A95"/>
    <w:rsid w:val="00446E51"/>
    <w:rsid w:val="00447247"/>
    <w:rsid w:val="00447A7E"/>
    <w:rsid w:val="00452390"/>
    <w:rsid w:val="004546D9"/>
    <w:rsid w:val="00454FC0"/>
    <w:rsid w:val="00456934"/>
    <w:rsid w:val="00461A17"/>
    <w:rsid w:val="00461EA0"/>
    <w:rsid w:val="0046201F"/>
    <w:rsid w:val="00463715"/>
    <w:rsid w:val="00463EB7"/>
    <w:rsid w:val="004644BC"/>
    <w:rsid w:val="00464E3F"/>
    <w:rsid w:val="00470EDD"/>
    <w:rsid w:val="00471DAE"/>
    <w:rsid w:val="00471EA4"/>
    <w:rsid w:val="00474912"/>
    <w:rsid w:val="00474E02"/>
    <w:rsid w:val="00474E1B"/>
    <w:rsid w:val="00475C23"/>
    <w:rsid w:val="0047663D"/>
    <w:rsid w:val="004775A9"/>
    <w:rsid w:val="004804D0"/>
    <w:rsid w:val="00481DC8"/>
    <w:rsid w:val="00482902"/>
    <w:rsid w:val="00482D89"/>
    <w:rsid w:val="00487855"/>
    <w:rsid w:val="00487E90"/>
    <w:rsid w:val="004926CB"/>
    <w:rsid w:val="00492E1A"/>
    <w:rsid w:val="00493D74"/>
    <w:rsid w:val="0049451D"/>
    <w:rsid w:val="004963C7"/>
    <w:rsid w:val="004A050A"/>
    <w:rsid w:val="004A0F83"/>
    <w:rsid w:val="004A2A9F"/>
    <w:rsid w:val="004A7CC0"/>
    <w:rsid w:val="004B009E"/>
    <w:rsid w:val="004B3A9B"/>
    <w:rsid w:val="004B3FD8"/>
    <w:rsid w:val="004B4BD3"/>
    <w:rsid w:val="004B7FA5"/>
    <w:rsid w:val="004C0AEC"/>
    <w:rsid w:val="004C5BB0"/>
    <w:rsid w:val="004D0930"/>
    <w:rsid w:val="004D1A8B"/>
    <w:rsid w:val="004D1C3F"/>
    <w:rsid w:val="004D4B8F"/>
    <w:rsid w:val="004D67DC"/>
    <w:rsid w:val="004E0013"/>
    <w:rsid w:val="004E17BA"/>
    <w:rsid w:val="004E1E2F"/>
    <w:rsid w:val="004E2CF3"/>
    <w:rsid w:val="004E3339"/>
    <w:rsid w:val="004E5EAA"/>
    <w:rsid w:val="004E6C04"/>
    <w:rsid w:val="004E76FC"/>
    <w:rsid w:val="004E782A"/>
    <w:rsid w:val="004F08FA"/>
    <w:rsid w:val="004F3332"/>
    <w:rsid w:val="004F4D4F"/>
    <w:rsid w:val="004F4D5E"/>
    <w:rsid w:val="004F612B"/>
    <w:rsid w:val="004F6973"/>
    <w:rsid w:val="004F7D4F"/>
    <w:rsid w:val="00500740"/>
    <w:rsid w:val="0050180E"/>
    <w:rsid w:val="00501E89"/>
    <w:rsid w:val="0050359B"/>
    <w:rsid w:val="00503880"/>
    <w:rsid w:val="0051319F"/>
    <w:rsid w:val="00514ACE"/>
    <w:rsid w:val="00515157"/>
    <w:rsid w:val="00515388"/>
    <w:rsid w:val="005173EA"/>
    <w:rsid w:val="00517F7D"/>
    <w:rsid w:val="00520C93"/>
    <w:rsid w:val="00522F81"/>
    <w:rsid w:val="0052472D"/>
    <w:rsid w:val="00527269"/>
    <w:rsid w:val="00530819"/>
    <w:rsid w:val="00530856"/>
    <w:rsid w:val="00530C25"/>
    <w:rsid w:val="00536D30"/>
    <w:rsid w:val="00537D61"/>
    <w:rsid w:val="00545C6A"/>
    <w:rsid w:val="00546F9A"/>
    <w:rsid w:val="00547C3E"/>
    <w:rsid w:val="00547F5D"/>
    <w:rsid w:val="0055030B"/>
    <w:rsid w:val="00550A5B"/>
    <w:rsid w:val="00552C5C"/>
    <w:rsid w:val="005530F4"/>
    <w:rsid w:val="00556091"/>
    <w:rsid w:val="005565CC"/>
    <w:rsid w:val="00561336"/>
    <w:rsid w:val="00562E9A"/>
    <w:rsid w:val="00563144"/>
    <w:rsid w:val="005634F0"/>
    <w:rsid w:val="0056447C"/>
    <w:rsid w:val="00565E4A"/>
    <w:rsid w:val="00570A7A"/>
    <w:rsid w:val="00570D81"/>
    <w:rsid w:val="00571283"/>
    <w:rsid w:val="00575C19"/>
    <w:rsid w:val="00576BBC"/>
    <w:rsid w:val="005829D7"/>
    <w:rsid w:val="00582ABC"/>
    <w:rsid w:val="005877A4"/>
    <w:rsid w:val="005916BB"/>
    <w:rsid w:val="0059287D"/>
    <w:rsid w:val="00593E2A"/>
    <w:rsid w:val="005950DA"/>
    <w:rsid w:val="00597E58"/>
    <w:rsid w:val="005A13CC"/>
    <w:rsid w:val="005A29EE"/>
    <w:rsid w:val="005A4DC8"/>
    <w:rsid w:val="005A5488"/>
    <w:rsid w:val="005A5E41"/>
    <w:rsid w:val="005A6A89"/>
    <w:rsid w:val="005A7208"/>
    <w:rsid w:val="005B0A1C"/>
    <w:rsid w:val="005B1584"/>
    <w:rsid w:val="005B222D"/>
    <w:rsid w:val="005B239C"/>
    <w:rsid w:val="005B25D2"/>
    <w:rsid w:val="005B2724"/>
    <w:rsid w:val="005B4C7A"/>
    <w:rsid w:val="005B6F98"/>
    <w:rsid w:val="005B711E"/>
    <w:rsid w:val="005B716D"/>
    <w:rsid w:val="005B7A53"/>
    <w:rsid w:val="005C1012"/>
    <w:rsid w:val="005C2267"/>
    <w:rsid w:val="005C258A"/>
    <w:rsid w:val="005C389F"/>
    <w:rsid w:val="005C4930"/>
    <w:rsid w:val="005C67E8"/>
    <w:rsid w:val="005C6BB8"/>
    <w:rsid w:val="005C6E1C"/>
    <w:rsid w:val="005D0B12"/>
    <w:rsid w:val="005D3561"/>
    <w:rsid w:val="005D4603"/>
    <w:rsid w:val="005D494F"/>
    <w:rsid w:val="005D4963"/>
    <w:rsid w:val="005D53A0"/>
    <w:rsid w:val="005D5A9E"/>
    <w:rsid w:val="005D6163"/>
    <w:rsid w:val="005D63AA"/>
    <w:rsid w:val="005D75BC"/>
    <w:rsid w:val="005E08A9"/>
    <w:rsid w:val="005E298F"/>
    <w:rsid w:val="005E349D"/>
    <w:rsid w:val="005E5F6A"/>
    <w:rsid w:val="005E6A4A"/>
    <w:rsid w:val="005F27B0"/>
    <w:rsid w:val="005F5C8B"/>
    <w:rsid w:val="005F782F"/>
    <w:rsid w:val="00600F0A"/>
    <w:rsid w:val="006029B6"/>
    <w:rsid w:val="006051BB"/>
    <w:rsid w:val="00607E1E"/>
    <w:rsid w:val="00610C05"/>
    <w:rsid w:val="00613029"/>
    <w:rsid w:val="0061357E"/>
    <w:rsid w:val="00614ED3"/>
    <w:rsid w:val="006152CC"/>
    <w:rsid w:val="006201CC"/>
    <w:rsid w:val="00621B51"/>
    <w:rsid w:val="006258A2"/>
    <w:rsid w:val="00625D82"/>
    <w:rsid w:val="00625D95"/>
    <w:rsid w:val="00633EE6"/>
    <w:rsid w:val="00634736"/>
    <w:rsid w:val="00636143"/>
    <w:rsid w:val="006370C5"/>
    <w:rsid w:val="0064250C"/>
    <w:rsid w:val="00643607"/>
    <w:rsid w:val="00646745"/>
    <w:rsid w:val="00646AB9"/>
    <w:rsid w:val="006501E3"/>
    <w:rsid w:val="00650267"/>
    <w:rsid w:val="00650567"/>
    <w:rsid w:val="00650A5B"/>
    <w:rsid w:val="0065385E"/>
    <w:rsid w:val="00653860"/>
    <w:rsid w:val="00656E86"/>
    <w:rsid w:val="0065722E"/>
    <w:rsid w:val="00657421"/>
    <w:rsid w:val="0065752D"/>
    <w:rsid w:val="00657AAF"/>
    <w:rsid w:val="00660C87"/>
    <w:rsid w:val="0066174F"/>
    <w:rsid w:val="00665BAD"/>
    <w:rsid w:val="00667086"/>
    <w:rsid w:val="006707AD"/>
    <w:rsid w:val="00670E72"/>
    <w:rsid w:val="00671C9D"/>
    <w:rsid w:val="00673D8A"/>
    <w:rsid w:val="00673E3E"/>
    <w:rsid w:val="00674CC7"/>
    <w:rsid w:val="00674D78"/>
    <w:rsid w:val="00676B4D"/>
    <w:rsid w:val="006814CD"/>
    <w:rsid w:val="00682673"/>
    <w:rsid w:val="006836D3"/>
    <w:rsid w:val="00686778"/>
    <w:rsid w:val="006876BE"/>
    <w:rsid w:val="00687A29"/>
    <w:rsid w:val="00690BB7"/>
    <w:rsid w:val="006910F6"/>
    <w:rsid w:val="0069155B"/>
    <w:rsid w:val="006927CC"/>
    <w:rsid w:val="00695534"/>
    <w:rsid w:val="006A06DE"/>
    <w:rsid w:val="006A1730"/>
    <w:rsid w:val="006A1E25"/>
    <w:rsid w:val="006A1FFE"/>
    <w:rsid w:val="006A36C2"/>
    <w:rsid w:val="006A4E6E"/>
    <w:rsid w:val="006A5703"/>
    <w:rsid w:val="006A5DD3"/>
    <w:rsid w:val="006B0C15"/>
    <w:rsid w:val="006B36A9"/>
    <w:rsid w:val="006B3E25"/>
    <w:rsid w:val="006B44D5"/>
    <w:rsid w:val="006B48B3"/>
    <w:rsid w:val="006B5269"/>
    <w:rsid w:val="006B793C"/>
    <w:rsid w:val="006B7D29"/>
    <w:rsid w:val="006B7EDD"/>
    <w:rsid w:val="006C1D09"/>
    <w:rsid w:val="006C2208"/>
    <w:rsid w:val="006C3420"/>
    <w:rsid w:val="006C7A6D"/>
    <w:rsid w:val="006D0B9F"/>
    <w:rsid w:val="006D0BA8"/>
    <w:rsid w:val="006D4100"/>
    <w:rsid w:val="006D4A6C"/>
    <w:rsid w:val="006D5A2B"/>
    <w:rsid w:val="006D5ED3"/>
    <w:rsid w:val="006E0377"/>
    <w:rsid w:val="006E04F8"/>
    <w:rsid w:val="006E0F54"/>
    <w:rsid w:val="006E27A3"/>
    <w:rsid w:val="006E282C"/>
    <w:rsid w:val="006E38F9"/>
    <w:rsid w:val="006F3A46"/>
    <w:rsid w:val="006F5866"/>
    <w:rsid w:val="006F6641"/>
    <w:rsid w:val="006F6F56"/>
    <w:rsid w:val="007028CA"/>
    <w:rsid w:val="0070393F"/>
    <w:rsid w:val="007049CD"/>
    <w:rsid w:val="00706909"/>
    <w:rsid w:val="007069BD"/>
    <w:rsid w:val="007117FC"/>
    <w:rsid w:val="00713036"/>
    <w:rsid w:val="0071331D"/>
    <w:rsid w:val="0071357E"/>
    <w:rsid w:val="0071485E"/>
    <w:rsid w:val="007148A9"/>
    <w:rsid w:val="00715509"/>
    <w:rsid w:val="00716EA0"/>
    <w:rsid w:val="00717C20"/>
    <w:rsid w:val="007205CA"/>
    <w:rsid w:val="00720D1A"/>
    <w:rsid w:val="007216C0"/>
    <w:rsid w:val="00721F96"/>
    <w:rsid w:val="00725B17"/>
    <w:rsid w:val="00725DE3"/>
    <w:rsid w:val="0072639A"/>
    <w:rsid w:val="0072649D"/>
    <w:rsid w:val="007316EA"/>
    <w:rsid w:val="007319AA"/>
    <w:rsid w:val="00733827"/>
    <w:rsid w:val="00733AB6"/>
    <w:rsid w:val="00735E8D"/>
    <w:rsid w:val="007372C1"/>
    <w:rsid w:val="00740C09"/>
    <w:rsid w:val="007437CB"/>
    <w:rsid w:val="0074430E"/>
    <w:rsid w:val="0074487D"/>
    <w:rsid w:val="00745CB1"/>
    <w:rsid w:val="00747939"/>
    <w:rsid w:val="00751343"/>
    <w:rsid w:val="0075194C"/>
    <w:rsid w:val="0075295B"/>
    <w:rsid w:val="00754F34"/>
    <w:rsid w:val="00755E56"/>
    <w:rsid w:val="00756031"/>
    <w:rsid w:val="00756698"/>
    <w:rsid w:val="0075733A"/>
    <w:rsid w:val="0076050E"/>
    <w:rsid w:val="00761941"/>
    <w:rsid w:val="00762569"/>
    <w:rsid w:val="00763009"/>
    <w:rsid w:val="00763E35"/>
    <w:rsid w:val="00763FBF"/>
    <w:rsid w:val="00766A96"/>
    <w:rsid w:val="00770076"/>
    <w:rsid w:val="0077187A"/>
    <w:rsid w:val="00772B86"/>
    <w:rsid w:val="0077331C"/>
    <w:rsid w:val="0077379D"/>
    <w:rsid w:val="007749AA"/>
    <w:rsid w:val="00782CA8"/>
    <w:rsid w:val="00786A9C"/>
    <w:rsid w:val="007870A5"/>
    <w:rsid w:val="00787399"/>
    <w:rsid w:val="00790378"/>
    <w:rsid w:val="0079103D"/>
    <w:rsid w:val="00792B6D"/>
    <w:rsid w:val="00793EBB"/>
    <w:rsid w:val="00794848"/>
    <w:rsid w:val="00795417"/>
    <w:rsid w:val="007967A0"/>
    <w:rsid w:val="007A1C18"/>
    <w:rsid w:val="007A20B9"/>
    <w:rsid w:val="007A24ED"/>
    <w:rsid w:val="007A2A74"/>
    <w:rsid w:val="007A2A78"/>
    <w:rsid w:val="007A3355"/>
    <w:rsid w:val="007A38B2"/>
    <w:rsid w:val="007A398F"/>
    <w:rsid w:val="007A3D76"/>
    <w:rsid w:val="007A40D4"/>
    <w:rsid w:val="007A5C42"/>
    <w:rsid w:val="007B0226"/>
    <w:rsid w:val="007B37FC"/>
    <w:rsid w:val="007B7A7A"/>
    <w:rsid w:val="007B7FC8"/>
    <w:rsid w:val="007C0D43"/>
    <w:rsid w:val="007C23D5"/>
    <w:rsid w:val="007C2E6E"/>
    <w:rsid w:val="007C5AB6"/>
    <w:rsid w:val="007D037D"/>
    <w:rsid w:val="007D07FB"/>
    <w:rsid w:val="007D0BA5"/>
    <w:rsid w:val="007D1590"/>
    <w:rsid w:val="007D2F08"/>
    <w:rsid w:val="007D4C6A"/>
    <w:rsid w:val="007D538E"/>
    <w:rsid w:val="007D6982"/>
    <w:rsid w:val="007E07C1"/>
    <w:rsid w:val="007E0F81"/>
    <w:rsid w:val="007E1F13"/>
    <w:rsid w:val="007E2599"/>
    <w:rsid w:val="007E3571"/>
    <w:rsid w:val="007E39C7"/>
    <w:rsid w:val="007E495F"/>
    <w:rsid w:val="007E4CA5"/>
    <w:rsid w:val="007E5343"/>
    <w:rsid w:val="007F6616"/>
    <w:rsid w:val="0080228D"/>
    <w:rsid w:val="00804CFD"/>
    <w:rsid w:val="00805B89"/>
    <w:rsid w:val="008102F1"/>
    <w:rsid w:val="008107F2"/>
    <w:rsid w:val="00811A29"/>
    <w:rsid w:val="00811AB6"/>
    <w:rsid w:val="00812B8F"/>
    <w:rsid w:val="00812BFA"/>
    <w:rsid w:val="00812F66"/>
    <w:rsid w:val="00813D7A"/>
    <w:rsid w:val="0081540B"/>
    <w:rsid w:val="00817D95"/>
    <w:rsid w:val="0082073A"/>
    <w:rsid w:val="00820A8B"/>
    <w:rsid w:val="00824B9A"/>
    <w:rsid w:val="008257E3"/>
    <w:rsid w:val="00830A16"/>
    <w:rsid w:val="00836347"/>
    <w:rsid w:val="00836392"/>
    <w:rsid w:val="00836C54"/>
    <w:rsid w:val="00837A1C"/>
    <w:rsid w:val="0084027C"/>
    <w:rsid w:val="00840F87"/>
    <w:rsid w:val="008415E7"/>
    <w:rsid w:val="00841866"/>
    <w:rsid w:val="00842832"/>
    <w:rsid w:val="00844DF9"/>
    <w:rsid w:val="00844EDA"/>
    <w:rsid w:val="00845C4E"/>
    <w:rsid w:val="00847CAE"/>
    <w:rsid w:val="008531C7"/>
    <w:rsid w:val="00853884"/>
    <w:rsid w:val="008538CC"/>
    <w:rsid w:val="00853D16"/>
    <w:rsid w:val="00855068"/>
    <w:rsid w:val="00855A49"/>
    <w:rsid w:val="00856B74"/>
    <w:rsid w:val="00857003"/>
    <w:rsid w:val="00861CB8"/>
    <w:rsid w:val="00862036"/>
    <w:rsid w:val="00865620"/>
    <w:rsid w:val="00867942"/>
    <w:rsid w:val="0087030F"/>
    <w:rsid w:val="0087102C"/>
    <w:rsid w:val="00873BCE"/>
    <w:rsid w:val="0088004B"/>
    <w:rsid w:val="008814CD"/>
    <w:rsid w:val="00882441"/>
    <w:rsid w:val="0088280B"/>
    <w:rsid w:val="00882942"/>
    <w:rsid w:val="00882B89"/>
    <w:rsid w:val="00882F02"/>
    <w:rsid w:val="00882F6A"/>
    <w:rsid w:val="00882FC0"/>
    <w:rsid w:val="008849CC"/>
    <w:rsid w:val="00885F71"/>
    <w:rsid w:val="0088770C"/>
    <w:rsid w:val="0089278C"/>
    <w:rsid w:val="008944A6"/>
    <w:rsid w:val="00894827"/>
    <w:rsid w:val="00895100"/>
    <w:rsid w:val="00896064"/>
    <w:rsid w:val="008A042B"/>
    <w:rsid w:val="008A5B2F"/>
    <w:rsid w:val="008B00A9"/>
    <w:rsid w:val="008B05E0"/>
    <w:rsid w:val="008B33ED"/>
    <w:rsid w:val="008B4005"/>
    <w:rsid w:val="008B4445"/>
    <w:rsid w:val="008B655B"/>
    <w:rsid w:val="008B6BF6"/>
    <w:rsid w:val="008C1487"/>
    <w:rsid w:val="008C1CB0"/>
    <w:rsid w:val="008C2325"/>
    <w:rsid w:val="008C32CF"/>
    <w:rsid w:val="008C60F7"/>
    <w:rsid w:val="008C6D48"/>
    <w:rsid w:val="008C6DBA"/>
    <w:rsid w:val="008D1164"/>
    <w:rsid w:val="008D2103"/>
    <w:rsid w:val="008D21D6"/>
    <w:rsid w:val="008D5B19"/>
    <w:rsid w:val="008D7AE1"/>
    <w:rsid w:val="008E0389"/>
    <w:rsid w:val="008E59C7"/>
    <w:rsid w:val="008E6705"/>
    <w:rsid w:val="008E6F00"/>
    <w:rsid w:val="008F3A34"/>
    <w:rsid w:val="008F40F2"/>
    <w:rsid w:val="008F4F95"/>
    <w:rsid w:val="008F5545"/>
    <w:rsid w:val="00902558"/>
    <w:rsid w:val="00902A2A"/>
    <w:rsid w:val="00904A56"/>
    <w:rsid w:val="00904F63"/>
    <w:rsid w:val="00906023"/>
    <w:rsid w:val="00907D99"/>
    <w:rsid w:val="009135CA"/>
    <w:rsid w:val="0091528A"/>
    <w:rsid w:val="00915950"/>
    <w:rsid w:val="00921F44"/>
    <w:rsid w:val="0092259C"/>
    <w:rsid w:val="00922ACB"/>
    <w:rsid w:val="00922C38"/>
    <w:rsid w:val="009233F8"/>
    <w:rsid w:val="00924611"/>
    <w:rsid w:val="0093037B"/>
    <w:rsid w:val="00930CD2"/>
    <w:rsid w:val="00933183"/>
    <w:rsid w:val="00933265"/>
    <w:rsid w:val="00935B7F"/>
    <w:rsid w:val="00940DC2"/>
    <w:rsid w:val="00943281"/>
    <w:rsid w:val="009437C2"/>
    <w:rsid w:val="00943DF3"/>
    <w:rsid w:val="009463C5"/>
    <w:rsid w:val="00946665"/>
    <w:rsid w:val="0095146A"/>
    <w:rsid w:val="00951739"/>
    <w:rsid w:val="00951B91"/>
    <w:rsid w:val="00952EF4"/>
    <w:rsid w:val="0095457D"/>
    <w:rsid w:val="0095605D"/>
    <w:rsid w:val="009561D2"/>
    <w:rsid w:val="00957B95"/>
    <w:rsid w:val="00960613"/>
    <w:rsid w:val="00961FBB"/>
    <w:rsid w:val="00962BFE"/>
    <w:rsid w:val="00963B6E"/>
    <w:rsid w:val="00964905"/>
    <w:rsid w:val="00964BB8"/>
    <w:rsid w:val="0096504E"/>
    <w:rsid w:val="00965699"/>
    <w:rsid w:val="00967782"/>
    <w:rsid w:val="0097188F"/>
    <w:rsid w:val="00974A1D"/>
    <w:rsid w:val="00975CF6"/>
    <w:rsid w:val="00983D92"/>
    <w:rsid w:val="00983FA2"/>
    <w:rsid w:val="00986346"/>
    <w:rsid w:val="00991E2E"/>
    <w:rsid w:val="00991EAF"/>
    <w:rsid w:val="009926B5"/>
    <w:rsid w:val="009942FA"/>
    <w:rsid w:val="00994CB5"/>
    <w:rsid w:val="00996D72"/>
    <w:rsid w:val="00997445"/>
    <w:rsid w:val="009A1AEF"/>
    <w:rsid w:val="009A2B7F"/>
    <w:rsid w:val="009A35B2"/>
    <w:rsid w:val="009A4A84"/>
    <w:rsid w:val="009A591B"/>
    <w:rsid w:val="009A6E44"/>
    <w:rsid w:val="009A7742"/>
    <w:rsid w:val="009B11BD"/>
    <w:rsid w:val="009B18DD"/>
    <w:rsid w:val="009B649B"/>
    <w:rsid w:val="009B66F2"/>
    <w:rsid w:val="009B6D6E"/>
    <w:rsid w:val="009B70C0"/>
    <w:rsid w:val="009B7EA3"/>
    <w:rsid w:val="009C0390"/>
    <w:rsid w:val="009C1936"/>
    <w:rsid w:val="009C2D5B"/>
    <w:rsid w:val="009C35ED"/>
    <w:rsid w:val="009C49AD"/>
    <w:rsid w:val="009C4A02"/>
    <w:rsid w:val="009C605F"/>
    <w:rsid w:val="009C732B"/>
    <w:rsid w:val="009C74A4"/>
    <w:rsid w:val="009D0ED8"/>
    <w:rsid w:val="009D1856"/>
    <w:rsid w:val="009D36D1"/>
    <w:rsid w:val="009D6F33"/>
    <w:rsid w:val="009D70AB"/>
    <w:rsid w:val="009D79B9"/>
    <w:rsid w:val="009E001D"/>
    <w:rsid w:val="009E0BFF"/>
    <w:rsid w:val="009E101F"/>
    <w:rsid w:val="009E16B9"/>
    <w:rsid w:val="009E1838"/>
    <w:rsid w:val="009E1AB9"/>
    <w:rsid w:val="009E30C4"/>
    <w:rsid w:val="009E6CAE"/>
    <w:rsid w:val="009F000C"/>
    <w:rsid w:val="009F0668"/>
    <w:rsid w:val="009F1408"/>
    <w:rsid w:val="009F26D8"/>
    <w:rsid w:val="009F2E23"/>
    <w:rsid w:val="009F3C64"/>
    <w:rsid w:val="009F4090"/>
    <w:rsid w:val="009F5454"/>
    <w:rsid w:val="009F5CC2"/>
    <w:rsid w:val="009F7CF2"/>
    <w:rsid w:val="00A00F8A"/>
    <w:rsid w:val="00A01F5A"/>
    <w:rsid w:val="00A05211"/>
    <w:rsid w:val="00A06717"/>
    <w:rsid w:val="00A116B2"/>
    <w:rsid w:val="00A12459"/>
    <w:rsid w:val="00A129A5"/>
    <w:rsid w:val="00A12E7C"/>
    <w:rsid w:val="00A13CB0"/>
    <w:rsid w:val="00A13E34"/>
    <w:rsid w:val="00A169D8"/>
    <w:rsid w:val="00A2234F"/>
    <w:rsid w:val="00A2367C"/>
    <w:rsid w:val="00A24B15"/>
    <w:rsid w:val="00A24BBB"/>
    <w:rsid w:val="00A279DC"/>
    <w:rsid w:val="00A32F67"/>
    <w:rsid w:val="00A33EE6"/>
    <w:rsid w:val="00A372DC"/>
    <w:rsid w:val="00A37F38"/>
    <w:rsid w:val="00A4047A"/>
    <w:rsid w:val="00A4131D"/>
    <w:rsid w:val="00A426D4"/>
    <w:rsid w:val="00A4493E"/>
    <w:rsid w:val="00A46358"/>
    <w:rsid w:val="00A47771"/>
    <w:rsid w:val="00A51331"/>
    <w:rsid w:val="00A52F50"/>
    <w:rsid w:val="00A54822"/>
    <w:rsid w:val="00A5792E"/>
    <w:rsid w:val="00A57C89"/>
    <w:rsid w:val="00A60CC4"/>
    <w:rsid w:val="00A612B2"/>
    <w:rsid w:val="00A633D0"/>
    <w:rsid w:val="00A634F1"/>
    <w:rsid w:val="00A63DF4"/>
    <w:rsid w:val="00A66AAC"/>
    <w:rsid w:val="00A67EEA"/>
    <w:rsid w:val="00A701B6"/>
    <w:rsid w:val="00A7113B"/>
    <w:rsid w:val="00A730A3"/>
    <w:rsid w:val="00A76999"/>
    <w:rsid w:val="00A774B2"/>
    <w:rsid w:val="00A805A0"/>
    <w:rsid w:val="00A866E7"/>
    <w:rsid w:val="00A872D0"/>
    <w:rsid w:val="00A93C71"/>
    <w:rsid w:val="00A94C6C"/>
    <w:rsid w:val="00A9585B"/>
    <w:rsid w:val="00A95A88"/>
    <w:rsid w:val="00A9743B"/>
    <w:rsid w:val="00AA0329"/>
    <w:rsid w:val="00AA06FE"/>
    <w:rsid w:val="00AA3E57"/>
    <w:rsid w:val="00AA4196"/>
    <w:rsid w:val="00AA5FCD"/>
    <w:rsid w:val="00AA62F4"/>
    <w:rsid w:val="00AA6A87"/>
    <w:rsid w:val="00AA6DC1"/>
    <w:rsid w:val="00AA7F71"/>
    <w:rsid w:val="00AB00D2"/>
    <w:rsid w:val="00AB1976"/>
    <w:rsid w:val="00AB30A5"/>
    <w:rsid w:val="00AB38CF"/>
    <w:rsid w:val="00AB4FF4"/>
    <w:rsid w:val="00AB794B"/>
    <w:rsid w:val="00AC1A8F"/>
    <w:rsid w:val="00AC3CEB"/>
    <w:rsid w:val="00AC651C"/>
    <w:rsid w:val="00AC68DF"/>
    <w:rsid w:val="00AD063D"/>
    <w:rsid w:val="00AD0A68"/>
    <w:rsid w:val="00AD389F"/>
    <w:rsid w:val="00AD487F"/>
    <w:rsid w:val="00AD4D23"/>
    <w:rsid w:val="00AD558A"/>
    <w:rsid w:val="00AD5D91"/>
    <w:rsid w:val="00AD6A4F"/>
    <w:rsid w:val="00AD6F98"/>
    <w:rsid w:val="00AE12E7"/>
    <w:rsid w:val="00AE3C20"/>
    <w:rsid w:val="00AE4CE2"/>
    <w:rsid w:val="00AE5AE7"/>
    <w:rsid w:val="00AE6E2C"/>
    <w:rsid w:val="00AF05E0"/>
    <w:rsid w:val="00AF1752"/>
    <w:rsid w:val="00AF39F2"/>
    <w:rsid w:val="00AF4479"/>
    <w:rsid w:val="00AF6666"/>
    <w:rsid w:val="00B0000D"/>
    <w:rsid w:val="00B009E1"/>
    <w:rsid w:val="00B02232"/>
    <w:rsid w:val="00B031A7"/>
    <w:rsid w:val="00B035F1"/>
    <w:rsid w:val="00B058C6"/>
    <w:rsid w:val="00B06C13"/>
    <w:rsid w:val="00B071A4"/>
    <w:rsid w:val="00B07C6A"/>
    <w:rsid w:val="00B10D77"/>
    <w:rsid w:val="00B12255"/>
    <w:rsid w:val="00B14608"/>
    <w:rsid w:val="00B228CF"/>
    <w:rsid w:val="00B26305"/>
    <w:rsid w:val="00B30FA7"/>
    <w:rsid w:val="00B3677F"/>
    <w:rsid w:val="00B36852"/>
    <w:rsid w:val="00B36B6B"/>
    <w:rsid w:val="00B40135"/>
    <w:rsid w:val="00B410D1"/>
    <w:rsid w:val="00B41BBB"/>
    <w:rsid w:val="00B47E62"/>
    <w:rsid w:val="00B47E80"/>
    <w:rsid w:val="00B5029A"/>
    <w:rsid w:val="00B50C88"/>
    <w:rsid w:val="00B51C53"/>
    <w:rsid w:val="00B51EF6"/>
    <w:rsid w:val="00B52690"/>
    <w:rsid w:val="00B540E5"/>
    <w:rsid w:val="00B5443F"/>
    <w:rsid w:val="00B54C7A"/>
    <w:rsid w:val="00B54F62"/>
    <w:rsid w:val="00B561ED"/>
    <w:rsid w:val="00B56EC0"/>
    <w:rsid w:val="00B60569"/>
    <w:rsid w:val="00B62971"/>
    <w:rsid w:val="00B62C3C"/>
    <w:rsid w:val="00B65172"/>
    <w:rsid w:val="00B750BD"/>
    <w:rsid w:val="00B75228"/>
    <w:rsid w:val="00B76919"/>
    <w:rsid w:val="00B76C57"/>
    <w:rsid w:val="00B770B7"/>
    <w:rsid w:val="00B828AC"/>
    <w:rsid w:val="00B82DF2"/>
    <w:rsid w:val="00B83608"/>
    <w:rsid w:val="00B838F0"/>
    <w:rsid w:val="00B8396D"/>
    <w:rsid w:val="00B87F5F"/>
    <w:rsid w:val="00B90B73"/>
    <w:rsid w:val="00B940F8"/>
    <w:rsid w:val="00B969AA"/>
    <w:rsid w:val="00BA159C"/>
    <w:rsid w:val="00BA4F12"/>
    <w:rsid w:val="00BA69C8"/>
    <w:rsid w:val="00BB00B2"/>
    <w:rsid w:val="00BB0D9C"/>
    <w:rsid w:val="00BB0E91"/>
    <w:rsid w:val="00BB1724"/>
    <w:rsid w:val="00BB172F"/>
    <w:rsid w:val="00BB4B7D"/>
    <w:rsid w:val="00BB542E"/>
    <w:rsid w:val="00BB745B"/>
    <w:rsid w:val="00BB77CB"/>
    <w:rsid w:val="00BB7AC7"/>
    <w:rsid w:val="00BC0084"/>
    <w:rsid w:val="00BC17FC"/>
    <w:rsid w:val="00BC22A4"/>
    <w:rsid w:val="00BC2E2E"/>
    <w:rsid w:val="00BC3BB6"/>
    <w:rsid w:val="00BC7ECA"/>
    <w:rsid w:val="00BD1BF2"/>
    <w:rsid w:val="00BD392C"/>
    <w:rsid w:val="00BD4E32"/>
    <w:rsid w:val="00BD6B8D"/>
    <w:rsid w:val="00BD7C9D"/>
    <w:rsid w:val="00BD7E0A"/>
    <w:rsid w:val="00BE1315"/>
    <w:rsid w:val="00BE1B67"/>
    <w:rsid w:val="00BE2537"/>
    <w:rsid w:val="00BE2E7A"/>
    <w:rsid w:val="00BE7269"/>
    <w:rsid w:val="00BE7F8F"/>
    <w:rsid w:val="00BF1272"/>
    <w:rsid w:val="00BF654A"/>
    <w:rsid w:val="00BF77AA"/>
    <w:rsid w:val="00C01CF3"/>
    <w:rsid w:val="00C02F2C"/>
    <w:rsid w:val="00C0777D"/>
    <w:rsid w:val="00C117EF"/>
    <w:rsid w:val="00C175F2"/>
    <w:rsid w:val="00C23A61"/>
    <w:rsid w:val="00C2503E"/>
    <w:rsid w:val="00C26E94"/>
    <w:rsid w:val="00C27660"/>
    <w:rsid w:val="00C27F05"/>
    <w:rsid w:val="00C30609"/>
    <w:rsid w:val="00C30710"/>
    <w:rsid w:val="00C3242A"/>
    <w:rsid w:val="00C3251B"/>
    <w:rsid w:val="00C34AAC"/>
    <w:rsid w:val="00C34ECE"/>
    <w:rsid w:val="00C359EC"/>
    <w:rsid w:val="00C36EDE"/>
    <w:rsid w:val="00C45AEC"/>
    <w:rsid w:val="00C51CC6"/>
    <w:rsid w:val="00C522EF"/>
    <w:rsid w:val="00C52D75"/>
    <w:rsid w:val="00C53F07"/>
    <w:rsid w:val="00C56119"/>
    <w:rsid w:val="00C5685C"/>
    <w:rsid w:val="00C5755C"/>
    <w:rsid w:val="00C57B2D"/>
    <w:rsid w:val="00C60103"/>
    <w:rsid w:val="00C615C8"/>
    <w:rsid w:val="00C619C7"/>
    <w:rsid w:val="00C635CF"/>
    <w:rsid w:val="00C63FB5"/>
    <w:rsid w:val="00C651F1"/>
    <w:rsid w:val="00C65270"/>
    <w:rsid w:val="00C66E06"/>
    <w:rsid w:val="00C7149C"/>
    <w:rsid w:val="00C7362A"/>
    <w:rsid w:val="00C74185"/>
    <w:rsid w:val="00C75139"/>
    <w:rsid w:val="00C80FD2"/>
    <w:rsid w:val="00C81087"/>
    <w:rsid w:val="00C814E7"/>
    <w:rsid w:val="00C81D0A"/>
    <w:rsid w:val="00C84351"/>
    <w:rsid w:val="00C84D48"/>
    <w:rsid w:val="00C8592B"/>
    <w:rsid w:val="00C90489"/>
    <w:rsid w:val="00C92215"/>
    <w:rsid w:val="00C92699"/>
    <w:rsid w:val="00C92BD4"/>
    <w:rsid w:val="00C959C1"/>
    <w:rsid w:val="00C97AF8"/>
    <w:rsid w:val="00CA137F"/>
    <w:rsid w:val="00CA1773"/>
    <w:rsid w:val="00CA1B48"/>
    <w:rsid w:val="00CA3698"/>
    <w:rsid w:val="00CA5F03"/>
    <w:rsid w:val="00CA6354"/>
    <w:rsid w:val="00CB1F05"/>
    <w:rsid w:val="00CB2878"/>
    <w:rsid w:val="00CB5858"/>
    <w:rsid w:val="00CC12BB"/>
    <w:rsid w:val="00CC1A77"/>
    <w:rsid w:val="00CC1DC5"/>
    <w:rsid w:val="00CC30EF"/>
    <w:rsid w:val="00CC5335"/>
    <w:rsid w:val="00CC6F65"/>
    <w:rsid w:val="00CD1239"/>
    <w:rsid w:val="00CD2333"/>
    <w:rsid w:val="00CD277D"/>
    <w:rsid w:val="00CD2A47"/>
    <w:rsid w:val="00CD3639"/>
    <w:rsid w:val="00CD3A9D"/>
    <w:rsid w:val="00CD4892"/>
    <w:rsid w:val="00CD5D43"/>
    <w:rsid w:val="00CD62DF"/>
    <w:rsid w:val="00CD63D9"/>
    <w:rsid w:val="00CD6BC9"/>
    <w:rsid w:val="00CD779E"/>
    <w:rsid w:val="00CE07CE"/>
    <w:rsid w:val="00CE213D"/>
    <w:rsid w:val="00CE3FAC"/>
    <w:rsid w:val="00CF37DB"/>
    <w:rsid w:val="00CF4AAC"/>
    <w:rsid w:val="00CF70A9"/>
    <w:rsid w:val="00CF7561"/>
    <w:rsid w:val="00D0162A"/>
    <w:rsid w:val="00D05312"/>
    <w:rsid w:val="00D1101B"/>
    <w:rsid w:val="00D1532A"/>
    <w:rsid w:val="00D168C9"/>
    <w:rsid w:val="00D1761B"/>
    <w:rsid w:val="00D17D67"/>
    <w:rsid w:val="00D17F37"/>
    <w:rsid w:val="00D20091"/>
    <w:rsid w:val="00D2070C"/>
    <w:rsid w:val="00D22027"/>
    <w:rsid w:val="00D227F3"/>
    <w:rsid w:val="00D23599"/>
    <w:rsid w:val="00D23BFA"/>
    <w:rsid w:val="00D25BD7"/>
    <w:rsid w:val="00D26395"/>
    <w:rsid w:val="00D26431"/>
    <w:rsid w:val="00D26461"/>
    <w:rsid w:val="00D265E3"/>
    <w:rsid w:val="00D305F3"/>
    <w:rsid w:val="00D30707"/>
    <w:rsid w:val="00D35CD9"/>
    <w:rsid w:val="00D36334"/>
    <w:rsid w:val="00D3722D"/>
    <w:rsid w:val="00D376E5"/>
    <w:rsid w:val="00D416E4"/>
    <w:rsid w:val="00D435FA"/>
    <w:rsid w:val="00D450DE"/>
    <w:rsid w:val="00D454AE"/>
    <w:rsid w:val="00D46197"/>
    <w:rsid w:val="00D51FE3"/>
    <w:rsid w:val="00D53723"/>
    <w:rsid w:val="00D5421D"/>
    <w:rsid w:val="00D56738"/>
    <w:rsid w:val="00D60DFC"/>
    <w:rsid w:val="00D670F5"/>
    <w:rsid w:val="00D67A47"/>
    <w:rsid w:val="00D738E2"/>
    <w:rsid w:val="00D74716"/>
    <w:rsid w:val="00D7558D"/>
    <w:rsid w:val="00D7595A"/>
    <w:rsid w:val="00D7741E"/>
    <w:rsid w:val="00D81BAF"/>
    <w:rsid w:val="00D8353E"/>
    <w:rsid w:val="00D8492A"/>
    <w:rsid w:val="00D84C06"/>
    <w:rsid w:val="00D86A27"/>
    <w:rsid w:val="00D90B3D"/>
    <w:rsid w:val="00D911F7"/>
    <w:rsid w:val="00D9126F"/>
    <w:rsid w:val="00D92B63"/>
    <w:rsid w:val="00DA00F2"/>
    <w:rsid w:val="00DA01CD"/>
    <w:rsid w:val="00DA04F4"/>
    <w:rsid w:val="00DA23F9"/>
    <w:rsid w:val="00DA2FBF"/>
    <w:rsid w:val="00DA302B"/>
    <w:rsid w:val="00DA3713"/>
    <w:rsid w:val="00DA776A"/>
    <w:rsid w:val="00DA7A5D"/>
    <w:rsid w:val="00DB20F7"/>
    <w:rsid w:val="00DB28C7"/>
    <w:rsid w:val="00DB3AD1"/>
    <w:rsid w:val="00DB40A0"/>
    <w:rsid w:val="00DB4C37"/>
    <w:rsid w:val="00DB504E"/>
    <w:rsid w:val="00DB5CD1"/>
    <w:rsid w:val="00DB6DFA"/>
    <w:rsid w:val="00DB7192"/>
    <w:rsid w:val="00DB7DF8"/>
    <w:rsid w:val="00DC07D6"/>
    <w:rsid w:val="00DC1518"/>
    <w:rsid w:val="00DC2122"/>
    <w:rsid w:val="00DC3C8F"/>
    <w:rsid w:val="00DC68EA"/>
    <w:rsid w:val="00DC6CBC"/>
    <w:rsid w:val="00DD407B"/>
    <w:rsid w:val="00DE085E"/>
    <w:rsid w:val="00DE1268"/>
    <w:rsid w:val="00DE1A49"/>
    <w:rsid w:val="00DE2238"/>
    <w:rsid w:val="00DE57A7"/>
    <w:rsid w:val="00DE7984"/>
    <w:rsid w:val="00DF066B"/>
    <w:rsid w:val="00DF3BD6"/>
    <w:rsid w:val="00DF6FDA"/>
    <w:rsid w:val="00E007D6"/>
    <w:rsid w:val="00E00BC7"/>
    <w:rsid w:val="00E00ED7"/>
    <w:rsid w:val="00E01B34"/>
    <w:rsid w:val="00E01CCF"/>
    <w:rsid w:val="00E0285F"/>
    <w:rsid w:val="00E03E8F"/>
    <w:rsid w:val="00E04A45"/>
    <w:rsid w:val="00E125B6"/>
    <w:rsid w:val="00E1274F"/>
    <w:rsid w:val="00E12F24"/>
    <w:rsid w:val="00E13866"/>
    <w:rsid w:val="00E138C0"/>
    <w:rsid w:val="00E15F76"/>
    <w:rsid w:val="00E15FD5"/>
    <w:rsid w:val="00E2231E"/>
    <w:rsid w:val="00E2246B"/>
    <w:rsid w:val="00E2378C"/>
    <w:rsid w:val="00E260A8"/>
    <w:rsid w:val="00E26E34"/>
    <w:rsid w:val="00E27276"/>
    <w:rsid w:val="00E27C28"/>
    <w:rsid w:val="00E3076F"/>
    <w:rsid w:val="00E30845"/>
    <w:rsid w:val="00E318F6"/>
    <w:rsid w:val="00E31C6B"/>
    <w:rsid w:val="00E3209D"/>
    <w:rsid w:val="00E342DF"/>
    <w:rsid w:val="00E34432"/>
    <w:rsid w:val="00E37FE2"/>
    <w:rsid w:val="00E4135D"/>
    <w:rsid w:val="00E42D60"/>
    <w:rsid w:val="00E43DDA"/>
    <w:rsid w:val="00E44325"/>
    <w:rsid w:val="00E45233"/>
    <w:rsid w:val="00E455E9"/>
    <w:rsid w:val="00E472D9"/>
    <w:rsid w:val="00E551C3"/>
    <w:rsid w:val="00E564BA"/>
    <w:rsid w:val="00E569FA"/>
    <w:rsid w:val="00E56B26"/>
    <w:rsid w:val="00E601F2"/>
    <w:rsid w:val="00E6162A"/>
    <w:rsid w:val="00E61965"/>
    <w:rsid w:val="00E623DB"/>
    <w:rsid w:val="00E62EDE"/>
    <w:rsid w:val="00E63651"/>
    <w:rsid w:val="00E63866"/>
    <w:rsid w:val="00E64DD8"/>
    <w:rsid w:val="00E6516E"/>
    <w:rsid w:val="00E6611B"/>
    <w:rsid w:val="00E668C9"/>
    <w:rsid w:val="00E66D87"/>
    <w:rsid w:val="00E67675"/>
    <w:rsid w:val="00E70989"/>
    <w:rsid w:val="00E71634"/>
    <w:rsid w:val="00E74B58"/>
    <w:rsid w:val="00E75957"/>
    <w:rsid w:val="00E831EB"/>
    <w:rsid w:val="00E83909"/>
    <w:rsid w:val="00E839D1"/>
    <w:rsid w:val="00E85B15"/>
    <w:rsid w:val="00E86298"/>
    <w:rsid w:val="00E86402"/>
    <w:rsid w:val="00E86A0D"/>
    <w:rsid w:val="00E932F5"/>
    <w:rsid w:val="00E94164"/>
    <w:rsid w:val="00E970E6"/>
    <w:rsid w:val="00E97A90"/>
    <w:rsid w:val="00EA0DFB"/>
    <w:rsid w:val="00EA1D39"/>
    <w:rsid w:val="00EA3BF5"/>
    <w:rsid w:val="00EA6753"/>
    <w:rsid w:val="00EA6C04"/>
    <w:rsid w:val="00EA7183"/>
    <w:rsid w:val="00EA7682"/>
    <w:rsid w:val="00EA7EC6"/>
    <w:rsid w:val="00EB0414"/>
    <w:rsid w:val="00EB0793"/>
    <w:rsid w:val="00EB1426"/>
    <w:rsid w:val="00EB15CD"/>
    <w:rsid w:val="00EB1855"/>
    <w:rsid w:val="00EB1C0E"/>
    <w:rsid w:val="00EB2842"/>
    <w:rsid w:val="00EB331B"/>
    <w:rsid w:val="00EB41CD"/>
    <w:rsid w:val="00EC3087"/>
    <w:rsid w:val="00EC4225"/>
    <w:rsid w:val="00EC4E46"/>
    <w:rsid w:val="00EC5F83"/>
    <w:rsid w:val="00ED03AE"/>
    <w:rsid w:val="00ED43C0"/>
    <w:rsid w:val="00EE02F0"/>
    <w:rsid w:val="00EE30B3"/>
    <w:rsid w:val="00EE46CD"/>
    <w:rsid w:val="00EE4907"/>
    <w:rsid w:val="00EE5D8F"/>
    <w:rsid w:val="00EE6029"/>
    <w:rsid w:val="00EF1ECF"/>
    <w:rsid w:val="00EF4264"/>
    <w:rsid w:val="00EF4952"/>
    <w:rsid w:val="00EF4CB3"/>
    <w:rsid w:val="00F005F5"/>
    <w:rsid w:val="00F050CC"/>
    <w:rsid w:val="00F05A51"/>
    <w:rsid w:val="00F07C88"/>
    <w:rsid w:val="00F14775"/>
    <w:rsid w:val="00F16462"/>
    <w:rsid w:val="00F2055A"/>
    <w:rsid w:val="00F206AD"/>
    <w:rsid w:val="00F24153"/>
    <w:rsid w:val="00F31E81"/>
    <w:rsid w:val="00F34348"/>
    <w:rsid w:val="00F378B4"/>
    <w:rsid w:val="00F431B9"/>
    <w:rsid w:val="00F4778B"/>
    <w:rsid w:val="00F50328"/>
    <w:rsid w:val="00F5245C"/>
    <w:rsid w:val="00F52A54"/>
    <w:rsid w:val="00F52DCF"/>
    <w:rsid w:val="00F53708"/>
    <w:rsid w:val="00F54F33"/>
    <w:rsid w:val="00F55452"/>
    <w:rsid w:val="00F56164"/>
    <w:rsid w:val="00F57EBA"/>
    <w:rsid w:val="00F60B1C"/>
    <w:rsid w:val="00F62BDD"/>
    <w:rsid w:val="00F65631"/>
    <w:rsid w:val="00F671AE"/>
    <w:rsid w:val="00F67AEF"/>
    <w:rsid w:val="00F71AF3"/>
    <w:rsid w:val="00F737AD"/>
    <w:rsid w:val="00F76D29"/>
    <w:rsid w:val="00F77530"/>
    <w:rsid w:val="00F77E29"/>
    <w:rsid w:val="00F81D61"/>
    <w:rsid w:val="00F8399C"/>
    <w:rsid w:val="00F847D8"/>
    <w:rsid w:val="00F84809"/>
    <w:rsid w:val="00F84E76"/>
    <w:rsid w:val="00F853FE"/>
    <w:rsid w:val="00F86C4D"/>
    <w:rsid w:val="00F86CA2"/>
    <w:rsid w:val="00F922C2"/>
    <w:rsid w:val="00F94592"/>
    <w:rsid w:val="00F94A9F"/>
    <w:rsid w:val="00F959A4"/>
    <w:rsid w:val="00FA0694"/>
    <w:rsid w:val="00FA157C"/>
    <w:rsid w:val="00FA2E24"/>
    <w:rsid w:val="00FA3EC4"/>
    <w:rsid w:val="00FA5443"/>
    <w:rsid w:val="00FA5FC9"/>
    <w:rsid w:val="00FA7286"/>
    <w:rsid w:val="00FA790A"/>
    <w:rsid w:val="00FA7F71"/>
    <w:rsid w:val="00FB0D77"/>
    <w:rsid w:val="00FB0F74"/>
    <w:rsid w:val="00FB144F"/>
    <w:rsid w:val="00FB2F58"/>
    <w:rsid w:val="00FB39C9"/>
    <w:rsid w:val="00FB424C"/>
    <w:rsid w:val="00FB4520"/>
    <w:rsid w:val="00FC0239"/>
    <w:rsid w:val="00FC1410"/>
    <w:rsid w:val="00FC42C9"/>
    <w:rsid w:val="00FC6616"/>
    <w:rsid w:val="00FC7294"/>
    <w:rsid w:val="00FC74FB"/>
    <w:rsid w:val="00FD028B"/>
    <w:rsid w:val="00FD05C5"/>
    <w:rsid w:val="00FD2574"/>
    <w:rsid w:val="00FD31FB"/>
    <w:rsid w:val="00FD648B"/>
    <w:rsid w:val="00FD64B4"/>
    <w:rsid w:val="00FD6FFA"/>
    <w:rsid w:val="00FE0B2C"/>
    <w:rsid w:val="00FE4757"/>
    <w:rsid w:val="00FE5EE9"/>
    <w:rsid w:val="00FE753B"/>
    <w:rsid w:val="00FE7B94"/>
    <w:rsid w:val="00FF0DB3"/>
    <w:rsid w:val="00FF5F4E"/>
    <w:rsid w:val="00FF7FAC"/>
    <w:rsid w:val="011473B7"/>
    <w:rsid w:val="01170C55"/>
    <w:rsid w:val="011D6A06"/>
    <w:rsid w:val="012313A8"/>
    <w:rsid w:val="013C690E"/>
    <w:rsid w:val="014B08FF"/>
    <w:rsid w:val="01633E9B"/>
    <w:rsid w:val="01635C49"/>
    <w:rsid w:val="0167398B"/>
    <w:rsid w:val="016A5229"/>
    <w:rsid w:val="016F0A91"/>
    <w:rsid w:val="01826A17"/>
    <w:rsid w:val="01891B53"/>
    <w:rsid w:val="018A1427"/>
    <w:rsid w:val="018E53BB"/>
    <w:rsid w:val="01AA7D1B"/>
    <w:rsid w:val="01BC1B05"/>
    <w:rsid w:val="01CE0603"/>
    <w:rsid w:val="01D32DCE"/>
    <w:rsid w:val="01D6304F"/>
    <w:rsid w:val="01E07299"/>
    <w:rsid w:val="01F40F97"/>
    <w:rsid w:val="01F80A87"/>
    <w:rsid w:val="02225B04"/>
    <w:rsid w:val="022A49B8"/>
    <w:rsid w:val="02477802"/>
    <w:rsid w:val="025B2DC4"/>
    <w:rsid w:val="026737D7"/>
    <w:rsid w:val="02685C0C"/>
    <w:rsid w:val="026B74AB"/>
    <w:rsid w:val="027018DE"/>
    <w:rsid w:val="02713A6D"/>
    <w:rsid w:val="028D7421"/>
    <w:rsid w:val="02936A01"/>
    <w:rsid w:val="029E162E"/>
    <w:rsid w:val="02A76009"/>
    <w:rsid w:val="02BC0CD3"/>
    <w:rsid w:val="02C648C8"/>
    <w:rsid w:val="02DC3F04"/>
    <w:rsid w:val="02DD1A2B"/>
    <w:rsid w:val="02F0175E"/>
    <w:rsid w:val="02F76F90"/>
    <w:rsid w:val="03435D32"/>
    <w:rsid w:val="035E700F"/>
    <w:rsid w:val="036D7252"/>
    <w:rsid w:val="03791753"/>
    <w:rsid w:val="03920A67"/>
    <w:rsid w:val="03B44E81"/>
    <w:rsid w:val="03B95FF4"/>
    <w:rsid w:val="03BD3D36"/>
    <w:rsid w:val="03C07382"/>
    <w:rsid w:val="03FC7D27"/>
    <w:rsid w:val="04115E30"/>
    <w:rsid w:val="04207E21"/>
    <w:rsid w:val="04414945"/>
    <w:rsid w:val="04531FA4"/>
    <w:rsid w:val="04732647"/>
    <w:rsid w:val="047F2D99"/>
    <w:rsid w:val="048E122E"/>
    <w:rsid w:val="049C7DEF"/>
    <w:rsid w:val="04A450D2"/>
    <w:rsid w:val="04AB3B8E"/>
    <w:rsid w:val="04C05950"/>
    <w:rsid w:val="04C17856"/>
    <w:rsid w:val="04D07A99"/>
    <w:rsid w:val="04DC3F43"/>
    <w:rsid w:val="04E90B5B"/>
    <w:rsid w:val="0526590B"/>
    <w:rsid w:val="053B7608"/>
    <w:rsid w:val="054F4E62"/>
    <w:rsid w:val="05551D4C"/>
    <w:rsid w:val="056C251A"/>
    <w:rsid w:val="05A01219"/>
    <w:rsid w:val="05AF76AE"/>
    <w:rsid w:val="05B20F4D"/>
    <w:rsid w:val="05B67FE7"/>
    <w:rsid w:val="05C53977"/>
    <w:rsid w:val="05C84C14"/>
    <w:rsid w:val="05CC0260"/>
    <w:rsid w:val="05E11832"/>
    <w:rsid w:val="05E51322"/>
    <w:rsid w:val="05F11A75"/>
    <w:rsid w:val="05F76376"/>
    <w:rsid w:val="060F2843"/>
    <w:rsid w:val="06300026"/>
    <w:rsid w:val="06383B48"/>
    <w:rsid w:val="0664493D"/>
    <w:rsid w:val="066A1827"/>
    <w:rsid w:val="06744454"/>
    <w:rsid w:val="0696261C"/>
    <w:rsid w:val="06AD62E4"/>
    <w:rsid w:val="06B24E34"/>
    <w:rsid w:val="06CB49BC"/>
    <w:rsid w:val="06FF4665"/>
    <w:rsid w:val="07027CB2"/>
    <w:rsid w:val="071437ED"/>
    <w:rsid w:val="072B61AB"/>
    <w:rsid w:val="073755A1"/>
    <w:rsid w:val="073E518E"/>
    <w:rsid w:val="07441979"/>
    <w:rsid w:val="0757624F"/>
    <w:rsid w:val="075C3866"/>
    <w:rsid w:val="075F6EB2"/>
    <w:rsid w:val="0763258A"/>
    <w:rsid w:val="07852DBD"/>
    <w:rsid w:val="07A33243"/>
    <w:rsid w:val="07B90AB9"/>
    <w:rsid w:val="07CC09EB"/>
    <w:rsid w:val="07CD0FFE"/>
    <w:rsid w:val="07F46FEF"/>
    <w:rsid w:val="0808579C"/>
    <w:rsid w:val="08283748"/>
    <w:rsid w:val="08387E2F"/>
    <w:rsid w:val="0854453D"/>
    <w:rsid w:val="085B58CB"/>
    <w:rsid w:val="08626C5A"/>
    <w:rsid w:val="087150EF"/>
    <w:rsid w:val="08A70B11"/>
    <w:rsid w:val="08AA0601"/>
    <w:rsid w:val="08AF79C5"/>
    <w:rsid w:val="08D4742C"/>
    <w:rsid w:val="08DB07BA"/>
    <w:rsid w:val="08E65ADD"/>
    <w:rsid w:val="08EE04EE"/>
    <w:rsid w:val="08EE4992"/>
    <w:rsid w:val="090715AF"/>
    <w:rsid w:val="090C4E18"/>
    <w:rsid w:val="092B34F0"/>
    <w:rsid w:val="09363890"/>
    <w:rsid w:val="09376339"/>
    <w:rsid w:val="093E76C7"/>
    <w:rsid w:val="095F13EB"/>
    <w:rsid w:val="097035F9"/>
    <w:rsid w:val="09772BD9"/>
    <w:rsid w:val="098B3F8E"/>
    <w:rsid w:val="098F7F23"/>
    <w:rsid w:val="099E0166"/>
    <w:rsid w:val="09A60DC8"/>
    <w:rsid w:val="09AF4121"/>
    <w:rsid w:val="09D21BBD"/>
    <w:rsid w:val="09DC2A3C"/>
    <w:rsid w:val="09F2225F"/>
    <w:rsid w:val="0A0C1573"/>
    <w:rsid w:val="0A1B17B6"/>
    <w:rsid w:val="0A231873"/>
    <w:rsid w:val="0A3D797F"/>
    <w:rsid w:val="0A481E7F"/>
    <w:rsid w:val="0A650C83"/>
    <w:rsid w:val="0A652A31"/>
    <w:rsid w:val="0A740EC6"/>
    <w:rsid w:val="0A8235E3"/>
    <w:rsid w:val="0A93759F"/>
    <w:rsid w:val="0AA7304A"/>
    <w:rsid w:val="0AC91212"/>
    <w:rsid w:val="0ACC4CCC"/>
    <w:rsid w:val="0AE93662"/>
    <w:rsid w:val="0AF03DF6"/>
    <w:rsid w:val="0AF53DB5"/>
    <w:rsid w:val="0B022976"/>
    <w:rsid w:val="0B183F48"/>
    <w:rsid w:val="0B212DFC"/>
    <w:rsid w:val="0B24469B"/>
    <w:rsid w:val="0B275F39"/>
    <w:rsid w:val="0B2B3C7B"/>
    <w:rsid w:val="0B50723E"/>
    <w:rsid w:val="0B674587"/>
    <w:rsid w:val="0B952F5E"/>
    <w:rsid w:val="0BA15CEB"/>
    <w:rsid w:val="0BB53545"/>
    <w:rsid w:val="0BCD6AE0"/>
    <w:rsid w:val="0BD31C1D"/>
    <w:rsid w:val="0BDC31C7"/>
    <w:rsid w:val="0BE04A65"/>
    <w:rsid w:val="0BEB340A"/>
    <w:rsid w:val="0BF00A21"/>
    <w:rsid w:val="0C0D15D3"/>
    <w:rsid w:val="0C142961"/>
    <w:rsid w:val="0C1666D9"/>
    <w:rsid w:val="0C197DE5"/>
    <w:rsid w:val="0C264442"/>
    <w:rsid w:val="0C281F69"/>
    <w:rsid w:val="0C37664F"/>
    <w:rsid w:val="0C61547A"/>
    <w:rsid w:val="0C692CAD"/>
    <w:rsid w:val="0C8353F1"/>
    <w:rsid w:val="0CAC2B9A"/>
    <w:rsid w:val="0CAE6912"/>
    <w:rsid w:val="0CCF4ADA"/>
    <w:rsid w:val="0CDF4D1D"/>
    <w:rsid w:val="0CE00A95"/>
    <w:rsid w:val="0CF2573C"/>
    <w:rsid w:val="0CF54541"/>
    <w:rsid w:val="0CFE2CC9"/>
    <w:rsid w:val="0D0F4ED6"/>
    <w:rsid w:val="0D102767"/>
    <w:rsid w:val="0D1424ED"/>
    <w:rsid w:val="0D1B1ACD"/>
    <w:rsid w:val="0D1B387B"/>
    <w:rsid w:val="0D1F15BD"/>
    <w:rsid w:val="0D241B28"/>
    <w:rsid w:val="0D2766C4"/>
    <w:rsid w:val="0D3B3F1D"/>
    <w:rsid w:val="0D5A25F6"/>
    <w:rsid w:val="0D613984"/>
    <w:rsid w:val="0D7116ED"/>
    <w:rsid w:val="0D774F56"/>
    <w:rsid w:val="0D921D8F"/>
    <w:rsid w:val="0D927FE1"/>
    <w:rsid w:val="0DAB2E51"/>
    <w:rsid w:val="0DAD4E1B"/>
    <w:rsid w:val="0DB53CD0"/>
    <w:rsid w:val="0DBA7538"/>
    <w:rsid w:val="0DED16BC"/>
    <w:rsid w:val="0DF540CC"/>
    <w:rsid w:val="0DF90060"/>
    <w:rsid w:val="0E1529C0"/>
    <w:rsid w:val="0E252C04"/>
    <w:rsid w:val="0E462B7A"/>
    <w:rsid w:val="0E56100F"/>
    <w:rsid w:val="0E772D33"/>
    <w:rsid w:val="0E975183"/>
    <w:rsid w:val="0EA0672E"/>
    <w:rsid w:val="0EA237CF"/>
    <w:rsid w:val="0EB14497"/>
    <w:rsid w:val="0EC341CA"/>
    <w:rsid w:val="0EDB32C2"/>
    <w:rsid w:val="0EEE7499"/>
    <w:rsid w:val="0EF16F8A"/>
    <w:rsid w:val="0F046CBD"/>
    <w:rsid w:val="0F052A35"/>
    <w:rsid w:val="0F24110D"/>
    <w:rsid w:val="0F2F1860"/>
    <w:rsid w:val="0F314527"/>
    <w:rsid w:val="0F40581B"/>
    <w:rsid w:val="0F587009"/>
    <w:rsid w:val="0F692FC4"/>
    <w:rsid w:val="0F7F6343"/>
    <w:rsid w:val="0F955B67"/>
    <w:rsid w:val="0FA61B22"/>
    <w:rsid w:val="0FA97864"/>
    <w:rsid w:val="0FBD0C1A"/>
    <w:rsid w:val="0FBE5394"/>
    <w:rsid w:val="0FDC3796"/>
    <w:rsid w:val="0FEA6F4F"/>
    <w:rsid w:val="0FFA3C1C"/>
    <w:rsid w:val="0FFF56D6"/>
    <w:rsid w:val="101747CE"/>
    <w:rsid w:val="1037079D"/>
    <w:rsid w:val="103C2486"/>
    <w:rsid w:val="10401F77"/>
    <w:rsid w:val="10563548"/>
    <w:rsid w:val="1074577C"/>
    <w:rsid w:val="108654B0"/>
    <w:rsid w:val="109202F8"/>
    <w:rsid w:val="109220A6"/>
    <w:rsid w:val="109A0F5B"/>
    <w:rsid w:val="109B71AD"/>
    <w:rsid w:val="10A2678D"/>
    <w:rsid w:val="10A83678"/>
    <w:rsid w:val="10AD283F"/>
    <w:rsid w:val="10C55FD8"/>
    <w:rsid w:val="10D64689"/>
    <w:rsid w:val="10DD5A17"/>
    <w:rsid w:val="10F93ED3"/>
    <w:rsid w:val="11001706"/>
    <w:rsid w:val="110C00AB"/>
    <w:rsid w:val="112A6783"/>
    <w:rsid w:val="113A4C18"/>
    <w:rsid w:val="113E5D8A"/>
    <w:rsid w:val="115F749E"/>
    <w:rsid w:val="116972AB"/>
    <w:rsid w:val="11733C86"/>
    <w:rsid w:val="1178129C"/>
    <w:rsid w:val="11945BA5"/>
    <w:rsid w:val="11B61DC5"/>
    <w:rsid w:val="11BD13A5"/>
    <w:rsid w:val="11D72467"/>
    <w:rsid w:val="11DC5CCF"/>
    <w:rsid w:val="11ED1C8A"/>
    <w:rsid w:val="121D3BF2"/>
    <w:rsid w:val="122356AC"/>
    <w:rsid w:val="12241424"/>
    <w:rsid w:val="122B630F"/>
    <w:rsid w:val="12394ECF"/>
    <w:rsid w:val="123A47A4"/>
    <w:rsid w:val="126637EB"/>
    <w:rsid w:val="12744159"/>
    <w:rsid w:val="127759F8"/>
    <w:rsid w:val="127C6B6A"/>
    <w:rsid w:val="12A762DD"/>
    <w:rsid w:val="12E56E05"/>
    <w:rsid w:val="12F17558"/>
    <w:rsid w:val="12FC2E1D"/>
    <w:rsid w:val="13272F7A"/>
    <w:rsid w:val="132F1E2E"/>
    <w:rsid w:val="134F26C3"/>
    <w:rsid w:val="13622204"/>
    <w:rsid w:val="13645F7C"/>
    <w:rsid w:val="13806B2E"/>
    <w:rsid w:val="138C54D3"/>
    <w:rsid w:val="138C7281"/>
    <w:rsid w:val="13936861"/>
    <w:rsid w:val="13954387"/>
    <w:rsid w:val="13CE7899"/>
    <w:rsid w:val="13DD7ADC"/>
    <w:rsid w:val="13E939FC"/>
    <w:rsid w:val="13F35552"/>
    <w:rsid w:val="1404150D"/>
    <w:rsid w:val="14092680"/>
    <w:rsid w:val="14343A10"/>
    <w:rsid w:val="143F60A1"/>
    <w:rsid w:val="1448764C"/>
    <w:rsid w:val="145A2EDB"/>
    <w:rsid w:val="14724FAA"/>
    <w:rsid w:val="149503B7"/>
    <w:rsid w:val="14A3624C"/>
    <w:rsid w:val="14B720DC"/>
    <w:rsid w:val="14BE790E"/>
    <w:rsid w:val="14C52A4A"/>
    <w:rsid w:val="14D56A06"/>
    <w:rsid w:val="14F055ED"/>
    <w:rsid w:val="14F43330"/>
    <w:rsid w:val="14FB56DC"/>
    <w:rsid w:val="150115A9"/>
    <w:rsid w:val="150177FB"/>
    <w:rsid w:val="15155054"/>
    <w:rsid w:val="15233B2D"/>
    <w:rsid w:val="153367BE"/>
    <w:rsid w:val="153E0A4F"/>
    <w:rsid w:val="15581B10"/>
    <w:rsid w:val="157D1577"/>
    <w:rsid w:val="157E709D"/>
    <w:rsid w:val="15853F88"/>
    <w:rsid w:val="158E6D82"/>
    <w:rsid w:val="15910B7E"/>
    <w:rsid w:val="15AE7982"/>
    <w:rsid w:val="15BF56EC"/>
    <w:rsid w:val="15CA22E2"/>
    <w:rsid w:val="15D94A81"/>
    <w:rsid w:val="15E213DA"/>
    <w:rsid w:val="16133C89"/>
    <w:rsid w:val="161F618A"/>
    <w:rsid w:val="163065E9"/>
    <w:rsid w:val="163360DA"/>
    <w:rsid w:val="163360F1"/>
    <w:rsid w:val="165A3666"/>
    <w:rsid w:val="167364D6"/>
    <w:rsid w:val="167E55A7"/>
    <w:rsid w:val="167F131F"/>
    <w:rsid w:val="167F4AB6"/>
    <w:rsid w:val="16832BBD"/>
    <w:rsid w:val="16A3500D"/>
    <w:rsid w:val="16AF39B2"/>
    <w:rsid w:val="16C62AAA"/>
    <w:rsid w:val="16D57D22"/>
    <w:rsid w:val="170907EF"/>
    <w:rsid w:val="170F4451"/>
    <w:rsid w:val="1711679D"/>
    <w:rsid w:val="17123BAE"/>
    <w:rsid w:val="1720665E"/>
    <w:rsid w:val="173E696C"/>
    <w:rsid w:val="175B1444"/>
    <w:rsid w:val="176531A5"/>
    <w:rsid w:val="176667F0"/>
    <w:rsid w:val="176B4DC1"/>
    <w:rsid w:val="177249E0"/>
    <w:rsid w:val="1774587F"/>
    <w:rsid w:val="17854713"/>
    <w:rsid w:val="178F10EE"/>
    <w:rsid w:val="17935082"/>
    <w:rsid w:val="179C380B"/>
    <w:rsid w:val="17B84AE8"/>
    <w:rsid w:val="17D11706"/>
    <w:rsid w:val="17EA27C8"/>
    <w:rsid w:val="17EB6C6C"/>
    <w:rsid w:val="17F20F8E"/>
    <w:rsid w:val="17F92A0B"/>
    <w:rsid w:val="1820443C"/>
    <w:rsid w:val="1876405C"/>
    <w:rsid w:val="187F1162"/>
    <w:rsid w:val="18805FEF"/>
    <w:rsid w:val="18A1557C"/>
    <w:rsid w:val="18B76B4E"/>
    <w:rsid w:val="190F698A"/>
    <w:rsid w:val="191543D9"/>
    <w:rsid w:val="19282976"/>
    <w:rsid w:val="192A37C4"/>
    <w:rsid w:val="194E2F8E"/>
    <w:rsid w:val="195919B3"/>
    <w:rsid w:val="195A0DBF"/>
    <w:rsid w:val="19622F5E"/>
    <w:rsid w:val="197131A1"/>
    <w:rsid w:val="198C7FDB"/>
    <w:rsid w:val="1997072D"/>
    <w:rsid w:val="19A370D2"/>
    <w:rsid w:val="19AB6BE9"/>
    <w:rsid w:val="19AC5F87"/>
    <w:rsid w:val="19C86B39"/>
    <w:rsid w:val="19D21766"/>
    <w:rsid w:val="19E35721"/>
    <w:rsid w:val="1A1D6E85"/>
    <w:rsid w:val="1A2A15A2"/>
    <w:rsid w:val="1A2B2BB0"/>
    <w:rsid w:val="1A310B82"/>
    <w:rsid w:val="1A366379"/>
    <w:rsid w:val="1A5B175B"/>
    <w:rsid w:val="1A5F2FF9"/>
    <w:rsid w:val="1A8B0292"/>
    <w:rsid w:val="1A8F169D"/>
    <w:rsid w:val="1A911621"/>
    <w:rsid w:val="1AD11A1D"/>
    <w:rsid w:val="1AD339E7"/>
    <w:rsid w:val="1AE6196C"/>
    <w:rsid w:val="1AF000F5"/>
    <w:rsid w:val="1AF51BB0"/>
    <w:rsid w:val="1AF5395E"/>
    <w:rsid w:val="1B0B3181"/>
    <w:rsid w:val="1B1B6984"/>
    <w:rsid w:val="1B26620D"/>
    <w:rsid w:val="1B326960"/>
    <w:rsid w:val="1B395F40"/>
    <w:rsid w:val="1B3A5814"/>
    <w:rsid w:val="1B5508A0"/>
    <w:rsid w:val="1B59213E"/>
    <w:rsid w:val="1B5A1A13"/>
    <w:rsid w:val="1B5B387D"/>
    <w:rsid w:val="1B666609"/>
    <w:rsid w:val="1B7A3E63"/>
    <w:rsid w:val="1B7F1479"/>
    <w:rsid w:val="1B9118D8"/>
    <w:rsid w:val="1BA23AE5"/>
    <w:rsid w:val="1BA333BA"/>
    <w:rsid w:val="1BB43819"/>
    <w:rsid w:val="1BB92BDD"/>
    <w:rsid w:val="1BC05D1A"/>
    <w:rsid w:val="1BDB2922"/>
    <w:rsid w:val="1BFB3B62"/>
    <w:rsid w:val="1C016113"/>
    <w:rsid w:val="1C2564C4"/>
    <w:rsid w:val="1C2F4C4D"/>
    <w:rsid w:val="1C324211"/>
    <w:rsid w:val="1C330BE1"/>
    <w:rsid w:val="1C47468D"/>
    <w:rsid w:val="1C6C5EA1"/>
    <w:rsid w:val="1C6C7C4F"/>
    <w:rsid w:val="1C7865F4"/>
    <w:rsid w:val="1C840636"/>
    <w:rsid w:val="1C8C6544"/>
    <w:rsid w:val="1CA4563B"/>
    <w:rsid w:val="1CB25FAA"/>
    <w:rsid w:val="1CB82E95"/>
    <w:rsid w:val="1CBE0187"/>
    <w:rsid w:val="1CC96E50"/>
    <w:rsid w:val="1CF739BD"/>
    <w:rsid w:val="1CF814E3"/>
    <w:rsid w:val="1CFA525B"/>
    <w:rsid w:val="1CFC5477"/>
    <w:rsid w:val="1D063C00"/>
    <w:rsid w:val="1D1316E8"/>
    <w:rsid w:val="1D33205D"/>
    <w:rsid w:val="1D392227"/>
    <w:rsid w:val="1D605CE6"/>
    <w:rsid w:val="1D682B0D"/>
    <w:rsid w:val="1D743260"/>
    <w:rsid w:val="1D774AFE"/>
    <w:rsid w:val="1D7E5E8C"/>
    <w:rsid w:val="1D882867"/>
    <w:rsid w:val="1D8D4321"/>
    <w:rsid w:val="1D9751A0"/>
    <w:rsid w:val="1DC67833"/>
    <w:rsid w:val="1DCF493A"/>
    <w:rsid w:val="1DDE2DCF"/>
    <w:rsid w:val="1DE55F0B"/>
    <w:rsid w:val="1DE81558"/>
    <w:rsid w:val="1DF3687A"/>
    <w:rsid w:val="1E01086B"/>
    <w:rsid w:val="1E0565AE"/>
    <w:rsid w:val="1E116D00"/>
    <w:rsid w:val="1E2A7DC2"/>
    <w:rsid w:val="1E566E09"/>
    <w:rsid w:val="1E71154D"/>
    <w:rsid w:val="1E764DB5"/>
    <w:rsid w:val="1E7932C3"/>
    <w:rsid w:val="1E8A260F"/>
    <w:rsid w:val="1E933BB9"/>
    <w:rsid w:val="1E9D0594"/>
    <w:rsid w:val="1EA01E32"/>
    <w:rsid w:val="1EBB6C6C"/>
    <w:rsid w:val="1ECD0C31"/>
    <w:rsid w:val="1EDB2E6A"/>
    <w:rsid w:val="1EED151B"/>
    <w:rsid w:val="1EFA59E6"/>
    <w:rsid w:val="1F06438B"/>
    <w:rsid w:val="1F0979D8"/>
    <w:rsid w:val="1F220A99"/>
    <w:rsid w:val="1F282554"/>
    <w:rsid w:val="1F29007A"/>
    <w:rsid w:val="1F2D7B6A"/>
    <w:rsid w:val="1F3D3B25"/>
    <w:rsid w:val="1F4153C3"/>
    <w:rsid w:val="1F436F19"/>
    <w:rsid w:val="1F4629DA"/>
    <w:rsid w:val="1F572E39"/>
    <w:rsid w:val="1F5F584A"/>
    <w:rsid w:val="1F6B41EE"/>
    <w:rsid w:val="1F6E1F30"/>
    <w:rsid w:val="1F784B5D"/>
    <w:rsid w:val="1F813A12"/>
    <w:rsid w:val="1F8235CD"/>
    <w:rsid w:val="1F830AA6"/>
    <w:rsid w:val="1F883EBC"/>
    <w:rsid w:val="1F9279CD"/>
    <w:rsid w:val="1FC41B50"/>
    <w:rsid w:val="1FE21D0D"/>
    <w:rsid w:val="1FEA4683"/>
    <w:rsid w:val="1FEB532F"/>
    <w:rsid w:val="2011123A"/>
    <w:rsid w:val="20166850"/>
    <w:rsid w:val="2020322B"/>
    <w:rsid w:val="202A40A9"/>
    <w:rsid w:val="20394EBB"/>
    <w:rsid w:val="203C5B8B"/>
    <w:rsid w:val="203E5DA7"/>
    <w:rsid w:val="20577CC1"/>
    <w:rsid w:val="20623843"/>
    <w:rsid w:val="2091237A"/>
    <w:rsid w:val="20943C19"/>
    <w:rsid w:val="209D2ACD"/>
    <w:rsid w:val="209E05F3"/>
    <w:rsid w:val="20A200E4"/>
    <w:rsid w:val="20B87907"/>
    <w:rsid w:val="20BD6CCC"/>
    <w:rsid w:val="20E424AA"/>
    <w:rsid w:val="20EC6430"/>
    <w:rsid w:val="20F52909"/>
    <w:rsid w:val="21022930"/>
    <w:rsid w:val="210466A8"/>
    <w:rsid w:val="21050673"/>
    <w:rsid w:val="218477E9"/>
    <w:rsid w:val="21937A2C"/>
    <w:rsid w:val="219A700D"/>
    <w:rsid w:val="21A47E8B"/>
    <w:rsid w:val="21B804ED"/>
    <w:rsid w:val="21BE0F4D"/>
    <w:rsid w:val="21E2253A"/>
    <w:rsid w:val="221C2118"/>
    <w:rsid w:val="221F7512"/>
    <w:rsid w:val="22327245"/>
    <w:rsid w:val="223A7EC8"/>
    <w:rsid w:val="225673D8"/>
    <w:rsid w:val="22645B7F"/>
    <w:rsid w:val="22673393"/>
    <w:rsid w:val="22765384"/>
    <w:rsid w:val="22771867"/>
    <w:rsid w:val="22925F36"/>
    <w:rsid w:val="22B61181"/>
    <w:rsid w:val="22D64075"/>
    <w:rsid w:val="22D71DD3"/>
    <w:rsid w:val="22DB168B"/>
    <w:rsid w:val="22E36792"/>
    <w:rsid w:val="22EE13BE"/>
    <w:rsid w:val="22F41D87"/>
    <w:rsid w:val="2302130E"/>
    <w:rsid w:val="23052164"/>
    <w:rsid w:val="2308455E"/>
    <w:rsid w:val="230865AC"/>
    <w:rsid w:val="23101532"/>
    <w:rsid w:val="23360FB7"/>
    <w:rsid w:val="23641680"/>
    <w:rsid w:val="237062CD"/>
    <w:rsid w:val="237A58B8"/>
    <w:rsid w:val="238B4E5F"/>
    <w:rsid w:val="2398619C"/>
    <w:rsid w:val="23B51EDC"/>
    <w:rsid w:val="23B559F4"/>
    <w:rsid w:val="23BC14BC"/>
    <w:rsid w:val="23CB5BA3"/>
    <w:rsid w:val="23D26F32"/>
    <w:rsid w:val="23D762F6"/>
    <w:rsid w:val="23D902C0"/>
    <w:rsid w:val="23EE3640"/>
    <w:rsid w:val="24107A5A"/>
    <w:rsid w:val="241C1F5B"/>
    <w:rsid w:val="243670D7"/>
    <w:rsid w:val="243E6375"/>
    <w:rsid w:val="243F38C6"/>
    <w:rsid w:val="244871F4"/>
    <w:rsid w:val="247753E3"/>
    <w:rsid w:val="247A65A7"/>
    <w:rsid w:val="248A6FC4"/>
    <w:rsid w:val="2492221D"/>
    <w:rsid w:val="24A02B8C"/>
    <w:rsid w:val="24C148B0"/>
    <w:rsid w:val="24C60B2C"/>
    <w:rsid w:val="24DE1906"/>
    <w:rsid w:val="24F04793"/>
    <w:rsid w:val="25007ACF"/>
    <w:rsid w:val="250A26FB"/>
    <w:rsid w:val="25357778"/>
    <w:rsid w:val="253640F6"/>
    <w:rsid w:val="2536704D"/>
    <w:rsid w:val="25461489"/>
    <w:rsid w:val="257B0F03"/>
    <w:rsid w:val="25867FD4"/>
    <w:rsid w:val="25932F7A"/>
    <w:rsid w:val="259A494A"/>
    <w:rsid w:val="25AB17E9"/>
    <w:rsid w:val="25C112C7"/>
    <w:rsid w:val="25FC794C"/>
    <w:rsid w:val="2604714B"/>
    <w:rsid w:val="260B04D9"/>
    <w:rsid w:val="26154EB4"/>
    <w:rsid w:val="26217CFD"/>
    <w:rsid w:val="262E41C8"/>
    <w:rsid w:val="26487C94"/>
    <w:rsid w:val="26720558"/>
    <w:rsid w:val="26753BF8"/>
    <w:rsid w:val="267C13D7"/>
    <w:rsid w:val="268D0EEE"/>
    <w:rsid w:val="26964247"/>
    <w:rsid w:val="26991FDA"/>
    <w:rsid w:val="269B7AAF"/>
    <w:rsid w:val="26E50D2A"/>
    <w:rsid w:val="26F45411"/>
    <w:rsid w:val="271B5E8A"/>
    <w:rsid w:val="272E0923"/>
    <w:rsid w:val="273870AC"/>
    <w:rsid w:val="273916EB"/>
    <w:rsid w:val="27541A0C"/>
    <w:rsid w:val="27624780"/>
    <w:rsid w:val="27764078"/>
    <w:rsid w:val="277773B2"/>
    <w:rsid w:val="277C2603"/>
    <w:rsid w:val="27907C7F"/>
    <w:rsid w:val="27983FEE"/>
    <w:rsid w:val="279B588D"/>
    <w:rsid w:val="279C17B8"/>
    <w:rsid w:val="279D33B3"/>
    <w:rsid w:val="279F537D"/>
    <w:rsid w:val="27A40BE5"/>
    <w:rsid w:val="27A74232"/>
    <w:rsid w:val="27B01338"/>
    <w:rsid w:val="27C052F3"/>
    <w:rsid w:val="27D35027"/>
    <w:rsid w:val="27E2170E"/>
    <w:rsid w:val="27EE3C0E"/>
    <w:rsid w:val="27FC27CF"/>
    <w:rsid w:val="280C22E7"/>
    <w:rsid w:val="281003AD"/>
    <w:rsid w:val="281A4A03"/>
    <w:rsid w:val="2835183D"/>
    <w:rsid w:val="2853662C"/>
    <w:rsid w:val="285E6FE6"/>
    <w:rsid w:val="287F0D0A"/>
    <w:rsid w:val="28884063"/>
    <w:rsid w:val="28926C90"/>
    <w:rsid w:val="289E5635"/>
    <w:rsid w:val="28AF7842"/>
    <w:rsid w:val="28B210E0"/>
    <w:rsid w:val="28B42D8F"/>
    <w:rsid w:val="28CC67CE"/>
    <w:rsid w:val="28F605E4"/>
    <w:rsid w:val="2903588C"/>
    <w:rsid w:val="29051210"/>
    <w:rsid w:val="290B259E"/>
    <w:rsid w:val="2920429C"/>
    <w:rsid w:val="29622B06"/>
    <w:rsid w:val="296F6FD1"/>
    <w:rsid w:val="29787C34"/>
    <w:rsid w:val="29834F41"/>
    <w:rsid w:val="298703C3"/>
    <w:rsid w:val="298E56A9"/>
    <w:rsid w:val="29954C89"/>
    <w:rsid w:val="299D769A"/>
    <w:rsid w:val="299E3412"/>
    <w:rsid w:val="29B33362"/>
    <w:rsid w:val="29BA46F0"/>
    <w:rsid w:val="29C15A7E"/>
    <w:rsid w:val="29DA269C"/>
    <w:rsid w:val="29F86FC6"/>
    <w:rsid w:val="2A043BBD"/>
    <w:rsid w:val="2A261D85"/>
    <w:rsid w:val="2A377AEF"/>
    <w:rsid w:val="2A3D0E7D"/>
    <w:rsid w:val="2A554419"/>
    <w:rsid w:val="2A601914"/>
    <w:rsid w:val="2A6C4115"/>
    <w:rsid w:val="2AC11AAE"/>
    <w:rsid w:val="2ACB6489"/>
    <w:rsid w:val="2ACD2201"/>
    <w:rsid w:val="2AD510B6"/>
    <w:rsid w:val="2AD73080"/>
    <w:rsid w:val="2AF57A6B"/>
    <w:rsid w:val="2B146082"/>
    <w:rsid w:val="2B2067D5"/>
    <w:rsid w:val="2B2B4740"/>
    <w:rsid w:val="2B2F07C6"/>
    <w:rsid w:val="2B312790"/>
    <w:rsid w:val="2B3D7387"/>
    <w:rsid w:val="2B3E30FF"/>
    <w:rsid w:val="2B465B0F"/>
    <w:rsid w:val="2B481888"/>
    <w:rsid w:val="2B51698E"/>
    <w:rsid w:val="2B616913"/>
    <w:rsid w:val="2B844FB6"/>
    <w:rsid w:val="2BAC62BA"/>
    <w:rsid w:val="2BAC6AC7"/>
    <w:rsid w:val="2BBF5FEE"/>
    <w:rsid w:val="2BD575BF"/>
    <w:rsid w:val="2BDA2E28"/>
    <w:rsid w:val="2BDD6474"/>
    <w:rsid w:val="2BEF61A7"/>
    <w:rsid w:val="2C163734"/>
    <w:rsid w:val="2C191BBE"/>
    <w:rsid w:val="2C1C51EE"/>
    <w:rsid w:val="2C31056E"/>
    <w:rsid w:val="2C33078A"/>
    <w:rsid w:val="2C344885"/>
    <w:rsid w:val="2C5A3F68"/>
    <w:rsid w:val="2C673F8F"/>
    <w:rsid w:val="2C714E0E"/>
    <w:rsid w:val="2C82701B"/>
    <w:rsid w:val="2C894183"/>
    <w:rsid w:val="2C8E776E"/>
    <w:rsid w:val="2C90798A"/>
    <w:rsid w:val="2CAE1BBE"/>
    <w:rsid w:val="2CB82A3D"/>
    <w:rsid w:val="2CBA7988"/>
    <w:rsid w:val="2CCF04B2"/>
    <w:rsid w:val="2CD46F03"/>
    <w:rsid w:val="2CD51841"/>
    <w:rsid w:val="2CDA29B3"/>
    <w:rsid w:val="2CFC6DCE"/>
    <w:rsid w:val="2D0068BE"/>
    <w:rsid w:val="2D144117"/>
    <w:rsid w:val="2D214A86"/>
    <w:rsid w:val="2D2665E3"/>
    <w:rsid w:val="2D284C61"/>
    <w:rsid w:val="2D391DD0"/>
    <w:rsid w:val="2D426ED6"/>
    <w:rsid w:val="2D502C75"/>
    <w:rsid w:val="2D55028C"/>
    <w:rsid w:val="2D6329A9"/>
    <w:rsid w:val="2D6A3D37"/>
    <w:rsid w:val="2D880661"/>
    <w:rsid w:val="2DAF2092"/>
    <w:rsid w:val="2DAF5E40"/>
    <w:rsid w:val="2DC378EB"/>
    <w:rsid w:val="2DC518B5"/>
    <w:rsid w:val="2DDD6BFF"/>
    <w:rsid w:val="2DDF42D4"/>
    <w:rsid w:val="2DED6716"/>
    <w:rsid w:val="2DF67CC1"/>
    <w:rsid w:val="2DF950BB"/>
    <w:rsid w:val="2E0221C2"/>
    <w:rsid w:val="2E053A60"/>
    <w:rsid w:val="2E1B7727"/>
    <w:rsid w:val="2E220AB6"/>
    <w:rsid w:val="2E312AA7"/>
    <w:rsid w:val="2E3507E9"/>
    <w:rsid w:val="2E3A195C"/>
    <w:rsid w:val="2E3C1B78"/>
    <w:rsid w:val="2E474078"/>
    <w:rsid w:val="2E4A5402"/>
    <w:rsid w:val="2E4B3B69"/>
    <w:rsid w:val="2E864E16"/>
    <w:rsid w:val="2E905A1F"/>
    <w:rsid w:val="2E9279E9"/>
    <w:rsid w:val="2EB215F5"/>
    <w:rsid w:val="2ED95618"/>
    <w:rsid w:val="2EDF69A7"/>
    <w:rsid w:val="2EFE6E2D"/>
    <w:rsid w:val="2F0B32F8"/>
    <w:rsid w:val="2F1321AD"/>
    <w:rsid w:val="2F1A353B"/>
    <w:rsid w:val="2F1F0B51"/>
    <w:rsid w:val="2F261EE0"/>
    <w:rsid w:val="2F566C69"/>
    <w:rsid w:val="2F57653D"/>
    <w:rsid w:val="2F6D3FB3"/>
    <w:rsid w:val="2FA06136"/>
    <w:rsid w:val="2FC00586"/>
    <w:rsid w:val="2FCA6D0F"/>
    <w:rsid w:val="2FD44032"/>
    <w:rsid w:val="2FD45DE0"/>
    <w:rsid w:val="2FDB716E"/>
    <w:rsid w:val="2FF67B04"/>
    <w:rsid w:val="2FF975F4"/>
    <w:rsid w:val="2FFF10AF"/>
    <w:rsid w:val="3002294D"/>
    <w:rsid w:val="302208F9"/>
    <w:rsid w:val="30275F10"/>
    <w:rsid w:val="30281C88"/>
    <w:rsid w:val="302F1268"/>
    <w:rsid w:val="3062519A"/>
    <w:rsid w:val="306F78B6"/>
    <w:rsid w:val="30872E52"/>
    <w:rsid w:val="30980BBB"/>
    <w:rsid w:val="30A30130"/>
    <w:rsid w:val="30AD0B0B"/>
    <w:rsid w:val="30AD0FC8"/>
    <w:rsid w:val="30BF25EC"/>
    <w:rsid w:val="30C145B6"/>
    <w:rsid w:val="30C70721"/>
    <w:rsid w:val="30D04600"/>
    <w:rsid w:val="30DF6158"/>
    <w:rsid w:val="30ED7159"/>
    <w:rsid w:val="310426F5"/>
    <w:rsid w:val="310D77FB"/>
    <w:rsid w:val="31126BC0"/>
    <w:rsid w:val="31140B8A"/>
    <w:rsid w:val="3115220C"/>
    <w:rsid w:val="311F752F"/>
    <w:rsid w:val="31327262"/>
    <w:rsid w:val="313A7EC4"/>
    <w:rsid w:val="3143321D"/>
    <w:rsid w:val="31615451"/>
    <w:rsid w:val="317258B0"/>
    <w:rsid w:val="31801BE4"/>
    <w:rsid w:val="31943A79"/>
    <w:rsid w:val="31CB6D6E"/>
    <w:rsid w:val="31D71BB7"/>
    <w:rsid w:val="31DB5204"/>
    <w:rsid w:val="31EA3699"/>
    <w:rsid w:val="31EF5153"/>
    <w:rsid w:val="31F167D5"/>
    <w:rsid w:val="32036508"/>
    <w:rsid w:val="320C1861"/>
    <w:rsid w:val="321167B5"/>
    <w:rsid w:val="321B7DA6"/>
    <w:rsid w:val="32230959"/>
    <w:rsid w:val="32286157"/>
    <w:rsid w:val="322C5A5F"/>
    <w:rsid w:val="322C7712"/>
    <w:rsid w:val="323A4620"/>
    <w:rsid w:val="325356E2"/>
    <w:rsid w:val="325D030E"/>
    <w:rsid w:val="32607DFF"/>
    <w:rsid w:val="32667388"/>
    <w:rsid w:val="327B69E7"/>
    <w:rsid w:val="32821B23"/>
    <w:rsid w:val="32A9127E"/>
    <w:rsid w:val="32B71583"/>
    <w:rsid w:val="32BB6DE3"/>
    <w:rsid w:val="32C418C8"/>
    <w:rsid w:val="32C83B69"/>
    <w:rsid w:val="32C959A4"/>
    <w:rsid w:val="32DA195F"/>
    <w:rsid w:val="33134E71"/>
    <w:rsid w:val="3317670F"/>
    <w:rsid w:val="33233306"/>
    <w:rsid w:val="33274478"/>
    <w:rsid w:val="333F7A14"/>
    <w:rsid w:val="334D0383"/>
    <w:rsid w:val="334E41C9"/>
    <w:rsid w:val="3350720A"/>
    <w:rsid w:val="335C4122"/>
    <w:rsid w:val="336E20A7"/>
    <w:rsid w:val="337376BE"/>
    <w:rsid w:val="337542DB"/>
    <w:rsid w:val="33792F26"/>
    <w:rsid w:val="33865643"/>
    <w:rsid w:val="3390201E"/>
    <w:rsid w:val="3394560F"/>
    <w:rsid w:val="33A7542A"/>
    <w:rsid w:val="33B72DA0"/>
    <w:rsid w:val="33C10429"/>
    <w:rsid w:val="33C53FEC"/>
    <w:rsid w:val="33D22636"/>
    <w:rsid w:val="33DB773D"/>
    <w:rsid w:val="33DD4DE6"/>
    <w:rsid w:val="33DE6A1F"/>
    <w:rsid w:val="33E67E90"/>
    <w:rsid w:val="33F350BF"/>
    <w:rsid w:val="33FC5905"/>
    <w:rsid w:val="34052A0C"/>
    <w:rsid w:val="340F5638"/>
    <w:rsid w:val="342A06C4"/>
    <w:rsid w:val="343B01DB"/>
    <w:rsid w:val="34480B4A"/>
    <w:rsid w:val="345D45F6"/>
    <w:rsid w:val="3462466A"/>
    <w:rsid w:val="346911EC"/>
    <w:rsid w:val="3473353D"/>
    <w:rsid w:val="347B062E"/>
    <w:rsid w:val="34831B82"/>
    <w:rsid w:val="34A51AF9"/>
    <w:rsid w:val="34C957E7"/>
    <w:rsid w:val="34E40873"/>
    <w:rsid w:val="34EF5B8A"/>
    <w:rsid w:val="352E1AEE"/>
    <w:rsid w:val="35415CC5"/>
    <w:rsid w:val="35531555"/>
    <w:rsid w:val="35592B5C"/>
    <w:rsid w:val="35690D78"/>
    <w:rsid w:val="356B689E"/>
    <w:rsid w:val="356D6ABA"/>
    <w:rsid w:val="356F6D12"/>
    <w:rsid w:val="358B5193"/>
    <w:rsid w:val="35973E3A"/>
    <w:rsid w:val="35A3072E"/>
    <w:rsid w:val="35BA7826"/>
    <w:rsid w:val="35BF6BEA"/>
    <w:rsid w:val="35D07049"/>
    <w:rsid w:val="35DC779C"/>
    <w:rsid w:val="35DE52C2"/>
    <w:rsid w:val="35E14BB6"/>
    <w:rsid w:val="35EF5721"/>
    <w:rsid w:val="35EF74CF"/>
    <w:rsid w:val="35F5260C"/>
    <w:rsid w:val="35FC1BEC"/>
    <w:rsid w:val="360F7B72"/>
    <w:rsid w:val="36211653"/>
    <w:rsid w:val="36363350"/>
    <w:rsid w:val="364C7323"/>
    <w:rsid w:val="36500183"/>
    <w:rsid w:val="365437D6"/>
    <w:rsid w:val="365612FD"/>
    <w:rsid w:val="365657A0"/>
    <w:rsid w:val="36734A4D"/>
    <w:rsid w:val="3684230E"/>
    <w:rsid w:val="36A007CA"/>
    <w:rsid w:val="36A93B22"/>
    <w:rsid w:val="36B44275"/>
    <w:rsid w:val="36C4095C"/>
    <w:rsid w:val="36CA1CEB"/>
    <w:rsid w:val="36FD3E6E"/>
    <w:rsid w:val="37076A9B"/>
    <w:rsid w:val="370C5E5F"/>
    <w:rsid w:val="371866E8"/>
    <w:rsid w:val="371B60A2"/>
    <w:rsid w:val="3724764D"/>
    <w:rsid w:val="373158C6"/>
    <w:rsid w:val="37337890"/>
    <w:rsid w:val="37386C54"/>
    <w:rsid w:val="374D37D7"/>
    <w:rsid w:val="37560780"/>
    <w:rsid w:val="375D66BB"/>
    <w:rsid w:val="376E6B76"/>
    <w:rsid w:val="377C1237"/>
    <w:rsid w:val="37991DE9"/>
    <w:rsid w:val="379F6CD3"/>
    <w:rsid w:val="37A20571"/>
    <w:rsid w:val="37B3452D"/>
    <w:rsid w:val="37C404E8"/>
    <w:rsid w:val="37CB1876"/>
    <w:rsid w:val="37E1109A"/>
    <w:rsid w:val="382A0C93"/>
    <w:rsid w:val="382F62A9"/>
    <w:rsid w:val="38303DCF"/>
    <w:rsid w:val="38367638"/>
    <w:rsid w:val="38591578"/>
    <w:rsid w:val="38673C95"/>
    <w:rsid w:val="387719FE"/>
    <w:rsid w:val="38910D12"/>
    <w:rsid w:val="38B92017"/>
    <w:rsid w:val="38B95B73"/>
    <w:rsid w:val="38C5276A"/>
    <w:rsid w:val="38CD161E"/>
    <w:rsid w:val="38E27A60"/>
    <w:rsid w:val="38E76B84"/>
    <w:rsid w:val="38F82B3F"/>
    <w:rsid w:val="38F92A28"/>
    <w:rsid w:val="390A63CE"/>
    <w:rsid w:val="390E5EBF"/>
    <w:rsid w:val="39581830"/>
    <w:rsid w:val="395A06A9"/>
    <w:rsid w:val="3962445C"/>
    <w:rsid w:val="39641F82"/>
    <w:rsid w:val="396F26D5"/>
    <w:rsid w:val="3971644D"/>
    <w:rsid w:val="397E3A98"/>
    <w:rsid w:val="39847293"/>
    <w:rsid w:val="39B60304"/>
    <w:rsid w:val="39CD5D7A"/>
    <w:rsid w:val="39D07618"/>
    <w:rsid w:val="39DF5AAD"/>
    <w:rsid w:val="39F02820"/>
    <w:rsid w:val="39FF3A59"/>
    <w:rsid w:val="3A004FB1"/>
    <w:rsid w:val="3A0C64C2"/>
    <w:rsid w:val="3A175247"/>
    <w:rsid w:val="3A2406E3"/>
    <w:rsid w:val="3A2D4870"/>
    <w:rsid w:val="3A414316"/>
    <w:rsid w:val="3A5C0EAC"/>
    <w:rsid w:val="3A63223A"/>
    <w:rsid w:val="3A654204"/>
    <w:rsid w:val="3A706705"/>
    <w:rsid w:val="3A79380C"/>
    <w:rsid w:val="3A83017C"/>
    <w:rsid w:val="3A920D71"/>
    <w:rsid w:val="3A9B5E78"/>
    <w:rsid w:val="3AA12D62"/>
    <w:rsid w:val="3AB240E0"/>
    <w:rsid w:val="3AB94550"/>
    <w:rsid w:val="3AB962FE"/>
    <w:rsid w:val="3ABB2076"/>
    <w:rsid w:val="3ABE56C2"/>
    <w:rsid w:val="3AC07A8B"/>
    <w:rsid w:val="3AD3623B"/>
    <w:rsid w:val="3AD3639A"/>
    <w:rsid w:val="3AD44EE6"/>
    <w:rsid w:val="3AE80991"/>
    <w:rsid w:val="3AF85078"/>
    <w:rsid w:val="3B057795"/>
    <w:rsid w:val="3B196D9D"/>
    <w:rsid w:val="3B1B2B15"/>
    <w:rsid w:val="3B2319C9"/>
    <w:rsid w:val="3B2A71FC"/>
    <w:rsid w:val="3B5F50F7"/>
    <w:rsid w:val="3B620744"/>
    <w:rsid w:val="3B677B08"/>
    <w:rsid w:val="3B847DCB"/>
    <w:rsid w:val="3BAA174F"/>
    <w:rsid w:val="3BC211E2"/>
    <w:rsid w:val="3BCB62E9"/>
    <w:rsid w:val="3BD3519D"/>
    <w:rsid w:val="3BDA652C"/>
    <w:rsid w:val="3BDC6748"/>
    <w:rsid w:val="3BE9676F"/>
    <w:rsid w:val="3BED295E"/>
    <w:rsid w:val="3BF35840"/>
    <w:rsid w:val="3C076314"/>
    <w:rsid w:val="3C123F18"/>
    <w:rsid w:val="3C243C4B"/>
    <w:rsid w:val="3C410359"/>
    <w:rsid w:val="3C4147FD"/>
    <w:rsid w:val="3C4D4F50"/>
    <w:rsid w:val="3C6B09A4"/>
    <w:rsid w:val="3C8B17A0"/>
    <w:rsid w:val="3CA37266"/>
    <w:rsid w:val="3CAA4150"/>
    <w:rsid w:val="3CB15FCA"/>
    <w:rsid w:val="3CB72D11"/>
    <w:rsid w:val="3CD1792F"/>
    <w:rsid w:val="3CD83D46"/>
    <w:rsid w:val="3CDC4526"/>
    <w:rsid w:val="3CE27D8E"/>
    <w:rsid w:val="3CEF24AB"/>
    <w:rsid w:val="3CF00D98"/>
    <w:rsid w:val="3CF5471C"/>
    <w:rsid w:val="3D023F8C"/>
    <w:rsid w:val="3D09356D"/>
    <w:rsid w:val="3D1141CF"/>
    <w:rsid w:val="3D2B5D85"/>
    <w:rsid w:val="3D3305EA"/>
    <w:rsid w:val="3D363C36"/>
    <w:rsid w:val="3D4867A6"/>
    <w:rsid w:val="3D491BBB"/>
    <w:rsid w:val="3D495DFC"/>
    <w:rsid w:val="3D516CC2"/>
    <w:rsid w:val="3D5642D8"/>
    <w:rsid w:val="3D644D0C"/>
    <w:rsid w:val="3D7D1865"/>
    <w:rsid w:val="3D8B21D4"/>
    <w:rsid w:val="3DA74B34"/>
    <w:rsid w:val="3DAE7C70"/>
    <w:rsid w:val="3DE47B36"/>
    <w:rsid w:val="3DEB4A20"/>
    <w:rsid w:val="3DED0A58"/>
    <w:rsid w:val="3E09134A"/>
    <w:rsid w:val="3E0D0E3B"/>
    <w:rsid w:val="3E2317E2"/>
    <w:rsid w:val="3E367ECA"/>
    <w:rsid w:val="3E5E1696"/>
    <w:rsid w:val="3E6E73FF"/>
    <w:rsid w:val="3E726EF0"/>
    <w:rsid w:val="3E7A3FF6"/>
    <w:rsid w:val="3E834C59"/>
    <w:rsid w:val="3E854E75"/>
    <w:rsid w:val="3E8B1D5F"/>
    <w:rsid w:val="3E8D1F7B"/>
    <w:rsid w:val="3E9230EE"/>
    <w:rsid w:val="3EAA48DB"/>
    <w:rsid w:val="3EAB2402"/>
    <w:rsid w:val="3EAD617A"/>
    <w:rsid w:val="3EB412B6"/>
    <w:rsid w:val="3EC15781"/>
    <w:rsid w:val="3ECA2888"/>
    <w:rsid w:val="3ECD64F8"/>
    <w:rsid w:val="3ED100BA"/>
    <w:rsid w:val="3EE14075"/>
    <w:rsid w:val="3EE85404"/>
    <w:rsid w:val="3F0833B0"/>
    <w:rsid w:val="3F0F2990"/>
    <w:rsid w:val="3F2006FA"/>
    <w:rsid w:val="3F4C7741"/>
    <w:rsid w:val="3F4D5267"/>
    <w:rsid w:val="3F4E170B"/>
    <w:rsid w:val="3F515362"/>
    <w:rsid w:val="3F632CDC"/>
    <w:rsid w:val="3F6A5E19"/>
    <w:rsid w:val="3F9E5AC2"/>
    <w:rsid w:val="3F9F1F66"/>
    <w:rsid w:val="3FE1257F"/>
    <w:rsid w:val="401C35B7"/>
    <w:rsid w:val="401C5365"/>
    <w:rsid w:val="4022565B"/>
    <w:rsid w:val="40356427"/>
    <w:rsid w:val="4037219F"/>
    <w:rsid w:val="404B544A"/>
    <w:rsid w:val="40526FD9"/>
    <w:rsid w:val="40556AC9"/>
    <w:rsid w:val="4084115C"/>
    <w:rsid w:val="408D1DBF"/>
    <w:rsid w:val="4090365D"/>
    <w:rsid w:val="409C64A6"/>
    <w:rsid w:val="40A4535A"/>
    <w:rsid w:val="40A62E81"/>
    <w:rsid w:val="40AB493B"/>
    <w:rsid w:val="40C90153"/>
    <w:rsid w:val="40F260C6"/>
    <w:rsid w:val="41055DF9"/>
    <w:rsid w:val="41126768"/>
    <w:rsid w:val="412C782A"/>
    <w:rsid w:val="4142704D"/>
    <w:rsid w:val="414C1C7A"/>
    <w:rsid w:val="414C3A28"/>
    <w:rsid w:val="41586871"/>
    <w:rsid w:val="415E19AD"/>
    <w:rsid w:val="4164023B"/>
    <w:rsid w:val="416C231C"/>
    <w:rsid w:val="418C658D"/>
    <w:rsid w:val="41923405"/>
    <w:rsid w:val="41B31CF9"/>
    <w:rsid w:val="41BE244C"/>
    <w:rsid w:val="41DD28D2"/>
    <w:rsid w:val="41E77BF5"/>
    <w:rsid w:val="41E81277"/>
    <w:rsid w:val="41FB7E20"/>
    <w:rsid w:val="420B5DF7"/>
    <w:rsid w:val="42334BE8"/>
    <w:rsid w:val="423A5F76"/>
    <w:rsid w:val="4242543E"/>
    <w:rsid w:val="4255690C"/>
    <w:rsid w:val="4262727B"/>
    <w:rsid w:val="427B191F"/>
    <w:rsid w:val="42C41CE4"/>
    <w:rsid w:val="42D53EF1"/>
    <w:rsid w:val="42F06635"/>
    <w:rsid w:val="43081BD1"/>
    <w:rsid w:val="430976F7"/>
    <w:rsid w:val="430F11B1"/>
    <w:rsid w:val="431E00DC"/>
    <w:rsid w:val="432433DF"/>
    <w:rsid w:val="43301127"/>
    <w:rsid w:val="43346E69"/>
    <w:rsid w:val="43430E5B"/>
    <w:rsid w:val="43472492"/>
    <w:rsid w:val="434A3F97"/>
    <w:rsid w:val="4359067E"/>
    <w:rsid w:val="436D237B"/>
    <w:rsid w:val="43762FDE"/>
    <w:rsid w:val="437E00E5"/>
    <w:rsid w:val="43813731"/>
    <w:rsid w:val="43853221"/>
    <w:rsid w:val="438576C5"/>
    <w:rsid w:val="43860D47"/>
    <w:rsid w:val="439416B6"/>
    <w:rsid w:val="439B47F3"/>
    <w:rsid w:val="439D67BD"/>
    <w:rsid w:val="43B01405"/>
    <w:rsid w:val="43B458B4"/>
    <w:rsid w:val="43C71A8C"/>
    <w:rsid w:val="43CD6976"/>
    <w:rsid w:val="43D441A9"/>
    <w:rsid w:val="440A7BCA"/>
    <w:rsid w:val="4416031D"/>
    <w:rsid w:val="44330ECF"/>
    <w:rsid w:val="443F5AC6"/>
    <w:rsid w:val="4484172B"/>
    <w:rsid w:val="4496320C"/>
    <w:rsid w:val="449D27EC"/>
    <w:rsid w:val="44A771C7"/>
    <w:rsid w:val="44C61D43"/>
    <w:rsid w:val="44CB1108"/>
    <w:rsid w:val="44E73A68"/>
    <w:rsid w:val="4504286C"/>
    <w:rsid w:val="450F36EA"/>
    <w:rsid w:val="45252F0E"/>
    <w:rsid w:val="4528589D"/>
    <w:rsid w:val="452D1DC2"/>
    <w:rsid w:val="453018B3"/>
    <w:rsid w:val="4545710C"/>
    <w:rsid w:val="454A062F"/>
    <w:rsid w:val="454F1D39"/>
    <w:rsid w:val="455410FD"/>
    <w:rsid w:val="455455A1"/>
    <w:rsid w:val="4570425C"/>
    <w:rsid w:val="45717F01"/>
    <w:rsid w:val="45AA51C1"/>
    <w:rsid w:val="45DE4E6B"/>
    <w:rsid w:val="45F13B3D"/>
    <w:rsid w:val="460F3276"/>
    <w:rsid w:val="462A00B0"/>
    <w:rsid w:val="462F27B3"/>
    <w:rsid w:val="46332F47"/>
    <w:rsid w:val="464D6216"/>
    <w:rsid w:val="46565349"/>
    <w:rsid w:val="46582E6F"/>
    <w:rsid w:val="465B106F"/>
    <w:rsid w:val="465B64BB"/>
    <w:rsid w:val="466C06C8"/>
    <w:rsid w:val="467001B9"/>
    <w:rsid w:val="467C79AE"/>
    <w:rsid w:val="469118F1"/>
    <w:rsid w:val="469320F9"/>
    <w:rsid w:val="46A13E00"/>
    <w:rsid w:val="46A41C10"/>
    <w:rsid w:val="46AC6D17"/>
    <w:rsid w:val="46C40504"/>
    <w:rsid w:val="46EE10DD"/>
    <w:rsid w:val="46EE40D7"/>
    <w:rsid w:val="47237441"/>
    <w:rsid w:val="47376F28"/>
    <w:rsid w:val="4746716B"/>
    <w:rsid w:val="47523D62"/>
    <w:rsid w:val="47590C4D"/>
    <w:rsid w:val="475A49C5"/>
    <w:rsid w:val="475E2707"/>
    <w:rsid w:val="47637D1D"/>
    <w:rsid w:val="477535AD"/>
    <w:rsid w:val="4791488A"/>
    <w:rsid w:val="479223B1"/>
    <w:rsid w:val="4792415F"/>
    <w:rsid w:val="47925F0D"/>
    <w:rsid w:val="479B1265"/>
    <w:rsid w:val="479C4FDD"/>
    <w:rsid w:val="47A3011A"/>
    <w:rsid w:val="47B47AEC"/>
    <w:rsid w:val="47B642F1"/>
    <w:rsid w:val="47BB36B5"/>
    <w:rsid w:val="47C06F1E"/>
    <w:rsid w:val="47C87B80"/>
    <w:rsid w:val="47D6229D"/>
    <w:rsid w:val="48030BB8"/>
    <w:rsid w:val="48166B3E"/>
    <w:rsid w:val="4853664F"/>
    <w:rsid w:val="486A6E89"/>
    <w:rsid w:val="4871646A"/>
    <w:rsid w:val="487A3570"/>
    <w:rsid w:val="48A04659"/>
    <w:rsid w:val="48A41B09"/>
    <w:rsid w:val="48C04CFB"/>
    <w:rsid w:val="48E7258B"/>
    <w:rsid w:val="48F14EB5"/>
    <w:rsid w:val="49262DB0"/>
    <w:rsid w:val="494F64C8"/>
    <w:rsid w:val="49583186"/>
    <w:rsid w:val="49647D7D"/>
    <w:rsid w:val="496E6505"/>
    <w:rsid w:val="497B10A1"/>
    <w:rsid w:val="498521CD"/>
    <w:rsid w:val="498A77E3"/>
    <w:rsid w:val="498E6BA8"/>
    <w:rsid w:val="499C7517"/>
    <w:rsid w:val="49A168DB"/>
    <w:rsid w:val="49BA799D"/>
    <w:rsid w:val="49CD76D0"/>
    <w:rsid w:val="49EF3AEA"/>
    <w:rsid w:val="49F17862"/>
    <w:rsid w:val="49F20EE5"/>
    <w:rsid w:val="4A062BE2"/>
    <w:rsid w:val="4A17094B"/>
    <w:rsid w:val="4A317C5F"/>
    <w:rsid w:val="4A407EA2"/>
    <w:rsid w:val="4A421E6C"/>
    <w:rsid w:val="4A4F27DB"/>
    <w:rsid w:val="4A5676C5"/>
    <w:rsid w:val="4A5D0A54"/>
    <w:rsid w:val="4A871F75"/>
    <w:rsid w:val="4A934476"/>
    <w:rsid w:val="4AA3190E"/>
    <w:rsid w:val="4AA541A9"/>
    <w:rsid w:val="4ABD5996"/>
    <w:rsid w:val="4ACC3E2B"/>
    <w:rsid w:val="4AD0206A"/>
    <w:rsid w:val="4AD30D16"/>
    <w:rsid w:val="4AD351BA"/>
    <w:rsid w:val="4AE9678B"/>
    <w:rsid w:val="4B137364"/>
    <w:rsid w:val="4B182BCD"/>
    <w:rsid w:val="4B2652EA"/>
    <w:rsid w:val="4B2B6DA4"/>
    <w:rsid w:val="4B3774F7"/>
    <w:rsid w:val="4B443F6F"/>
    <w:rsid w:val="4B517E8D"/>
    <w:rsid w:val="4B756271"/>
    <w:rsid w:val="4B7D6C87"/>
    <w:rsid w:val="4B810772"/>
    <w:rsid w:val="4B9C37FE"/>
    <w:rsid w:val="4BBD5522"/>
    <w:rsid w:val="4BD27220"/>
    <w:rsid w:val="4BDC3BFA"/>
    <w:rsid w:val="4BE8259F"/>
    <w:rsid w:val="4BFB49C8"/>
    <w:rsid w:val="4BFF5B3B"/>
    <w:rsid w:val="4C043151"/>
    <w:rsid w:val="4C046D9A"/>
    <w:rsid w:val="4C147838"/>
    <w:rsid w:val="4C194E4E"/>
    <w:rsid w:val="4C1A4723"/>
    <w:rsid w:val="4C1E2465"/>
    <w:rsid w:val="4C3C5FB0"/>
    <w:rsid w:val="4C4A5008"/>
    <w:rsid w:val="4C4D4AF8"/>
    <w:rsid w:val="4C5D11DF"/>
    <w:rsid w:val="4C6065D9"/>
    <w:rsid w:val="4C650094"/>
    <w:rsid w:val="4C665306"/>
    <w:rsid w:val="4C673E0C"/>
    <w:rsid w:val="4C6C1A56"/>
    <w:rsid w:val="4CA9264A"/>
    <w:rsid w:val="4CAE29F3"/>
    <w:rsid w:val="4CC21042"/>
    <w:rsid w:val="4CD55219"/>
    <w:rsid w:val="4CE77A7D"/>
    <w:rsid w:val="4CEE62DB"/>
    <w:rsid w:val="4CF5766A"/>
    <w:rsid w:val="4D094EC3"/>
    <w:rsid w:val="4D43533B"/>
    <w:rsid w:val="4D551EB6"/>
    <w:rsid w:val="4D583754"/>
    <w:rsid w:val="4D622825"/>
    <w:rsid w:val="4D7C38E7"/>
    <w:rsid w:val="4D922B7A"/>
    <w:rsid w:val="4D92310A"/>
    <w:rsid w:val="4D946F07"/>
    <w:rsid w:val="4D9549A9"/>
    <w:rsid w:val="4DAB3A5D"/>
    <w:rsid w:val="4DB43081"/>
    <w:rsid w:val="4DB56DF9"/>
    <w:rsid w:val="4DBE5CAD"/>
    <w:rsid w:val="4DC4703C"/>
    <w:rsid w:val="4DE33966"/>
    <w:rsid w:val="4DF73F48"/>
    <w:rsid w:val="4E015B9A"/>
    <w:rsid w:val="4E031912"/>
    <w:rsid w:val="4E125FF9"/>
    <w:rsid w:val="4E162C13"/>
    <w:rsid w:val="4E1E674C"/>
    <w:rsid w:val="4E2836EC"/>
    <w:rsid w:val="4E2D698F"/>
    <w:rsid w:val="4E3B5550"/>
    <w:rsid w:val="4E3C3076"/>
    <w:rsid w:val="4E5D2098"/>
    <w:rsid w:val="4E616639"/>
    <w:rsid w:val="4E652EDD"/>
    <w:rsid w:val="4E6F1E47"/>
    <w:rsid w:val="4E760336"/>
    <w:rsid w:val="4E791BD4"/>
    <w:rsid w:val="4E7E543D"/>
    <w:rsid w:val="4EB726FD"/>
    <w:rsid w:val="4ED9236E"/>
    <w:rsid w:val="4EED611E"/>
    <w:rsid w:val="4F005E52"/>
    <w:rsid w:val="4F2A1121"/>
    <w:rsid w:val="4F3124AF"/>
    <w:rsid w:val="4F336227"/>
    <w:rsid w:val="4F343D4D"/>
    <w:rsid w:val="4F365D17"/>
    <w:rsid w:val="4F3E1617"/>
    <w:rsid w:val="4F504B3D"/>
    <w:rsid w:val="4F8113B1"/>
    <w:rsid w:val="4F9842DC"/>
    <w:rsid w:val="4F9A34F0"/>
    <w:rsid w:val="4FA669F9"/>
    <w:rsid w:val="4FAC7D88"/>
    <w:rsid w:val="4FB07878"/>
    <w:rsid w:val="4FBA06F6"/>
    <w:rsid w:val="4FBC0DBE"/>
    <w:rsid w:val="4FD81FCB"/>
    <w:rsid w:val="4FE439C5"/>
    <w:rsid w:val="4FF736F9"/>
    <w:rsid w:val="4FFA4F97"/>
    <w:rsid w:val="4FFE4A87"/>
    <w:rsid w:val="500F0A42"/>
    <w:rsid w:val="50137E07"/>
    <w:rsid w:val="502D711A"/>
    <w:rsid w:val="504F54ED"/>
    <w:rsid w:val="506316D8"/>
    <w:rsid w:val="50724B2D"/>
    <w:rsid w:val="50783C60"/>
    <w:rsid w:val="508B5BEF"/>
    <w:rsid w:val="50A97E6D"/>
    <w:rsid w:val="50B52C6C"/>
    <w:rsid w:val="50BB4726"/>
    <w:rsid w:val="50C555A5"/>
    <w:rsid w:val="50D91050"/>
    <w:rsid w:val="50E023DF"/>
    <w:rsid w:val="50E84DEF"/>
    <w:rsid w:val="50F10148"/>
    <w:rsid w:val="510734C7"/>
    <w:rsid w:val="5107796B"/>
    <w:rsid w:val="510A2FB8"/>
    <w:rsid w:val="510A745C"/>
    <w:rsid w:val="510D4856"/>
    <w:rsid w:val="510F05CE"/>
    <w:rsid w:val="51114346"/>
    <w:rsid w:val="51232C83"/>
    <w:rsid w:val="51271DBC"/>
    <w:rsid w:val="51402E7D"/>
    <w:rsid w:val="516528E4"/>
    <w:rsid w:val="51732270"/>
    <w:rsid w:val="51735001"/>
    <w:rsid w:val="517A638F"/>
    <w:rsid w:val="519042BA"/>
    <w:rsid w:val="51B86EB8"/>
    <w:rsid w:val="51DF2696"/>
    <w:rsid w:val="51E14F17"/>
    <w:rsid w:val="51E952C3"/>
    <w:rsid w:val="51FB0B52"/>
    <w:rsid w:val="52007E97"/>
    <w:rsid w:val="521A1920"/>
    <w:rsid w:val="522D3402"/>
    <w:rsid w:val="523C3645"/>
    <w:rsid w:val="52410C5B"/>
    <w:rsid w:val="524443EF"/>
    <w:rsid w:val="52500E9E"/>
    <w:rsid w:val="52753C95"/>
    <w:rsid w:val="528C45CC"/>
    <w:rsid w:val="528C65E8"/>
    <w:rsid w:val="5292555D"/>
    <w:rsid w:val="529A036B"/>
    <w:rsid w:val="52AF02BB"/>
    <w:rsid w:val="52AF3E17"/>
    <w:rsid w:val="52B30BA8"/>
    <w:rsid w:val="52BC4786"/>
    <w:rsid w:val="52C33D66"/>
    <w:rsid w:val="52D23FA9"/>
    <w:rsid w:val="52D63A99"/>
    <w:rsid w:val="52F71CEB"/>
    <w:rsid w:val="52F7544A"/>
    <w:rsid w:val="530C63A3"/>
    <w:rsid w:val="532760A3"/>
    <w:rsid w:val="534C78B7"/>
    <w:rsid w:val="5354676C"/>
    <w:rsid w:val="53566988"/>
    <w:rsid w:val="53620E89"/>
    <w:rsid w:val="53654E1D"/>
    <w:rsid w:val="536A2433"/>
    <w:rsid w:val="5373753A"/>
    <w:rsid w:val="538C5F06"/>
    <w:rsid w:val="5394125E"/>
    <w:rsid w:val="53AF7E46"/>
    <w:rsid w:val="53D77AC9"/>
    <w:rsid w:val="53DD0E57"/>
    <w:rsid w:val="53F65A75"/>
    <w:rsid w:val="5415239F"/>
    <w:rsid w:val="541C54DC"/>
    <w:rsid w:val="543C5B7E"/>
    <w:rsid w:val="54547DDA"/>
    <w:rsid w:val="545573C2"/>
    <w:rsid w:val="54A86D6F"/>
    <w:rsid w:val="54C47921"/>
    <w:rsid w:val="54CB6F02"/>
    <w:rsid w:val="54D538DD"/>
    <w:rsid w:val="54E67898"/>
    <w:rsid w:val="54E84B9A"/>
    <w:rsid w:val="550146D2"/>
    <w:rsid w:val="5507618C"/>
    <w:rsid w:val="550F3292"/>
    <w:rsid w:val="551F1C27"/>
    <w:rsid w:val="55366A71"/>
    <w:rsid w:val="55374E4D"/>
    <w:rsid w:val="554967A4"/>
    <w:rsid w:val="556F788D"/>
    <w:rsid w:val="55823A64"/>
    <w:rsid w:val="55A0723D"/>
    <w:rsid w:val="55AF73F3"/>
    <w:rsid w:val="55B17EA6"/>
    <w:rsid w:val="55B300C2"/>
    <w:rsid w:val="55BD2CEE"/>
    <w:rsid w:val="55E4027B"/>
    <w:rsid w:val="55EE2EA8"/>
    <w:rsid w:val="55F935FB"/>
    <w:rsid w:val="56044479"/>
    <w:rsid w:val="561346BC"/>
    <w:rsid w:val="56156687"/>
    <w:rsid w:val="561A1EEF"/>
    <w:rsid w:val="562C577E"/>
    <w:rsid w:val="5630526E"/>
    <w:rsid w:val="563169FE"/>
    <w:rsid w:val="56334D5F"/>
    <w:rsid w:val="56343E36"/>
    <w:rsid w:val="564F0AF6"/>
    <w:rsid w:val="566462AD"/>
    <w:rsid w:val="568A7075"/>
    <w:rsid w:val="568B06F7"/>
    <w:rsid w:val="568D030E"/>
    <w:rsid w:val="56A1616C"/>
    <w:rsid w:val="56B9638B"/>
    <w:rsid w:val="56C67981"/>
    <w:rsid w:val="56CB143B"/>
    <w:rsid w:val="56F049FE"/>
    <w:rsid w:val="56F269C8"/>
    <w:rsid w:val="570861EB"/>
    <w:rsid w:val="571C57F3"/>
    <w:rsid w:val="575817A3"/>
    <w:rsid w:val="576176AA"/>
    <w:rsid w:val="576A0C54"/>
    <w:rsid w:val="57827D4C"/>
    <w:rsid w:val="57934D51"/>
    <w:rsid w:val="579F6C1A"/>
    <w:rsid w:val="57A35F14"/>
    <w:rsid w:val="57C245EC"/>
    <w:rsid w:val="57CC0FC7"/>
    <w:rsid w:val="57D27DD2"/>
    <w:rsid w:val="57D52571"/>
    <w:rsid w:val="57E722A5"/>
    <w:rsid w:val="580B5F93"/>
    <w:rsid w:val="580C1D0B"/>
    <w:rsid w:val="580E7831"/>
    <w:rsid w:val="58164938"/>
    <w:rsid w:val="581F559B"/>
    <w:rsid w:val="58535244"/>
    <w:rsid w:val="585F008D"/>
    <w:rsid w:val="58647451"/>
    <w:rsid w:val="587358E6"/>
    <w:rsid w:val="589C6BEB"/>
    <w:rsid w:val="589E6E07"/>
    <w:rsid w:val="58A65CBC"/>
    <w:rsid w:val="58B23912"/>
    <w:rsid w:val="58B71C77"/>
    <w:rsid w:val="58B75CC9"/>
    <w:rsid w:val="58BF6D7E"/>
    <w:rsid w:val="58D42829"/>
    <w:rsid w:val="58D77C23"/>
    <w:rsid w:val="58F033DB"/>
    <w:rsid w:val="58FD3402"/>
    <w:rsid w:val="59205A6E"/>
    <w:rsid w:val="59254E33"/>
    <w:rsid w:val="593A6BC7"/>
    <w:rsid w:val="593C217C"/>
    <w:rsid w:val="594352B9"/>
    <w:rsid w:val="595B6AA6"/>
    <w:rsid w:val="59633BAD"/>
    <w:rsid w:val="5963595B"/>
    <w:rsid w:val="59742395"/>
    <w:rsid w:val="597E4984"/>
    <w:rsid w:val="59945B14"/>
    <w:rsid w:val="59975605"/>
    <w:rsid w:val="59BC2D25"/>
    <w:rsid w:val="59BE7035"/>
    <w:rsid w:val="59D2663D"/>
    <w:rsid w:val="59E00526"/>
    <w:rsid w:val="59E051FD"/>
    <w:rsid w:val="59FA50F8"/>
    <w:rsid w:val="59FB3DE5"/>
    <w:rsid w:val="5A163930"/>
    <w:rsid w:val="5A1F5E1C"/>
    <w:rsid w:val="5A2570B4"/>
    <w:rsid w:val="5A3115B5"/>
    <w:rsid w:val="5A3D43FE"/>
    <w:rsid w:val="5A455061"/>
    <w:rsid w:val="5A4E660B"/>
    <w:rsid w:val="5A67147B"/>
    <w:rsid w:val="5A6A73B9"/>
    <w:rsid w:val="5A731BCE"/>
    <w:rsid w:val="5A736072"/>
    <w:rsid w:val="5AB346C0"/>
    <w:rsid w:val="5ABC7078"/>
    <w:rsid w:val="5ABD109B"/>
    <w:rsid w:val="5AC32B55"/>
    <w:rsid w:val="5AC93EE4"/>
    <w:rsid w:val="5ACD39D4"/>
    <w:rsid w:val="5ADF54B5"/>
    <w:rsid w:val="5AE8436A"/>
    <w:rsid w:val="5AFA51B2"/>
    <w:rsid w:val="5B05292B"/>
    <w:rsid w:val="5B1C4013"/>
    <w:rsid w:val="5B1F58B2"/>
    <w:rsid w:val="5B215ACE"/>
    <w:rsid w:val="5B4878F2"/>
    <w:rsid w:val="5B5163B3"/>
    <w:rsid w:val="5B5639C9"/>
    <w:rsid w:val="5B6339F0"/>
    <w:rsid w:val="5B871DD5"/>
    <w:rsid w:val="5B8B2F47"/>
    <w:rsid w:val="5B90055D"/>
    <w:rsid w:val="5B962018"/>
    <w:rsid w:val="5B965D7C"/>
    <w:rsid w:val="5B9825E8"/>
    <w:rsid w:val="5B9B5880"/>
    <w:rsid w:val="5B9E2C7A"/>
    <w:rsid w:val="5BA069F2"/>
    <w:rsid w:val="5BAA5AC3"/>
    <w:rsid w:val="5BB73D3C"/>
    <w:rsid w:val="5BB97AB4"/>
    <w:rsid w:val="5BC36B85"/>
    <w:rsid w:val="5BD762EA"/>
    <w:rsid w:val="5BF63C0C"/>
    <w:rsid w:val="5C1D0043"/>
    <w:rsid w:val="5C2313D1"/>
    <w:rsid w:val="5C252B00"/>
    <w:rsid w:val="5C2A6C04"/>
    <w:rsid w:val="5C390BF5"/>
    <w:rsid w:val="5C537F09"/>
    <w:rsid w:val="5C606182"/>
    <w:rsid w:val="5C732359"/>
    <w:rsid w:val="5C951968"/>
    <w:rsid w:val="5C9B365E"/>
    <w:rsid w:val="5CA70254"/>
    <w:rsid w:val="5CB169DD"/>
    <w:rsid w:val="5CC606DB"/>
    <w:rsid w:val="5CC901CB"/>
    <w:rsid w:val="5CDB3A5A"/>
    <w:rsid w:val="5CF76AE6"/>
    <w:rsid w:val="5D072AA1"/>
    <w:rsid w:val="5D0B2591"/>
    <w:rsid w:val="5D211DB5"/>
    <w:rsid w:val="5D284EF1"/>
    <w:rsid w:val="5D2D075A"/>
    <w:rsid w:val="5D706898"/>
    <w:rsid w:val="5D9407D9"/>
    <w:rsid w:val="5D942587"/>
    <w:rsid w:val="5DA87DE0"/>
    <w:rsid w:val="5DC0337C"/>
    <w:rsid w:val="5DC866D4"/>
    <w:rsid w:val="5DCF7A63"/>
    <w:rsid w:val="5DF50B4C"/>
    <w:rsid w:val="5E0314BA"/>
    <w:rsid w:val="5E084D23"/>
    <w:rsid w:val="5E192A8C"/>
    <w:rsid w:val="5E2002BE"/>
    <w:rsid w:val="5E2E29DB"/>
    <w:rsid w:val="5E343D6A"/>
    <w:rsid w:val="5E4044BD"/>
    <w:rsid w:val="5E48511F"/>
    <w:rsid w:val="5E766130"/>
    <w:rsid w:val="5EE50BC0"/>
    <w:rsid w:val="5EEB267A"/>
    <w:rsid w:val="5EF37781"/>
    <w:rsid w:val="5EFD23AE"/>
    <w:rsid w:val="5F047298"/>
    <w:rsid w:val="5F06384A"/>
    <w:rsid w:val="5F074FDA"/>
    <w:rsid w:val="5F1F2324"/>
    <w:rsid w:val="5F49114F"/>
    <w:rsid w:val="5F4C0C3F"/>
    <w:rsid w:val="5F4E6765"/>
    <w:rsid w:val="5F6146EB"/>
    <w:rsid w:val="5F6D308F"/>
    <w:rsid w:val="5F7C32D2"/>
    <w:rsid w:val="5F824661"/>
    <w:rsid w:val="5F893C41"/>
    <w:rsid w:val="5F904FD0"/>
    <w:rsid w:val="5F9F3465"/>
    <w:rsid w:val="5FC609F2"/>
    <w:rsid w:val="5FED2422"/>
    <w:rsid w:val="5FF13CC0"/>
    <w:rsid w:val="5FF53085"/>
    <w:rsid w:val="60025ECE"/>
    <w:rsid w:val="600C0AFA"/>
    <w:rsid w:val="601259E5"/>
    <w:rsid w:val="602816AC"/>
    <w:rsid w:val="604F6C39"/>
    <w:rsid w:val="605129B1"/>
    <w:rsid w:val="60597AB8"/>
    <w:rsid w:val="606F4BE5"/>
    <w:rsid w:val="6074044E"/>
    <w:rsid w:val="60762418"/>
    <w:rsid w:val="6089214B"/>
    <w:rsid w:val="608F6005"/>
    <w:rsid w:val="60AA3E6F"/>
    <w:rsid w:val="60AC408B"/>
    <w:rsid w:val="60AE0BA8"/>
    <w:rsid w:val="60AE7E03"/>
    <w:rsid w:val="60BA67A8"/>
    <w:rsid w:val="60C5514D"/>
    <w:rsid w:val="60CB69BE"/>
    <w:rsid w:val="60D333C6"/>
    <w:rsid w:val="60E6759D"/>
    <w:rsid w:val="60EC092C"/>
    <w:rsid w:val="60F15F42"/>
    <w:rsid w:val="61016185"/>
    <w:rsid w:val="610B7004"/>
    <w:rsid w:val="611B6B1B"/>
    <w:rsid w:val="614B5652"/>
    <w:rsid w:val="61572249"/>
    <w:rsid w:val="616D43CA"/>
    <w:rsid w:val="617D3332"/>
    <w:rsid w:val="61826B9A"/>
    <w:rsid w:val="61880654"/>
    <w:rsid w:val="61981990"/>
    <w:rsid w:val="61986546"/>
    <w:rsid w:val="619A0388"/>
    <w:rsid w:val="61B267C2"/>
    <w:rsid w:val="61DC274E"/>
    <w:rsid w:val="61F255EF"/>
    <w:rsid w:val="61FC06FB"/>
    <w:rsid w:val="62165C60"/>
    <w:rsid w:val="62237389"/>
    <w:rsid w:val="623460E6"/>
    <w:rsid w:val="62350EFC"/>
    <w:rsid w:val="62500A46"/>
    <w:rsid w:val="627E55B4"/>
    <w:rsid w:val="6287090C"/>
    <w:rsid w:val="6299063F"/>
    <w:rsid w:val="62BE1E54"/>
    <w:rsid w:val="62C3746A"/>
    <w:rsid w:val="62C531E2"/>
    <w:rsid w:val="62E0626E"/>
    <w:rsid w:val="62EC4C13"/>
    <w:rsid w:val="62FB30A8"/>
    <w:rsid w:val="63021D41"/>
    <w:rsid w:val="631C3153"/>
    <w:rsid w:val="632C14B3"/>
    <w:rsid w:val="63312626"/>
    <w:rsid w:val="6370314E"/>
    <w:rsid w:val="63715118"/>
    <w:rsid w:val="63892462"/>
    <w:rsid w:val="63894210"/>
    <w:rsid w:val="638D1F52"/>
    <w:rsid w:val="63911317"/>
    <w:rsid w:val="63C94F54"/>
    <w:rsid w:val="63D77671"/>
    <w:rsid w:val="63E91153"/>
    <w:rsid w:val="63F716E5"/>
    <w:rsid w:val="63F83144"/>
    <w:rsid w:val="63F975E8"/>
    <w:rsid w:val="641A755E"/>
    <w:rsid w:val="64243F39"/>
    <w:rsid w:val="643B1AE6"/>
    <w:rsid w:val="64561CFB"/>
    <w:rsid w:val="646E4DA3"/>
    <w:rsid w:val="647749B0"/>
    <w:rsid w:val="647C085E"/>
    <w:rsid w:val="648F40C4"/>
    <w:rsid w:val="64B21544"/>
    <w:rsid w:val="64B61035"/>
    <w:rsid w:val="64C37BF6"/>
    <w:rsid w:val="64C71494"/>
    <w:rsid w:val="64C92984"/>
    <w:rsid w:val="64D37E39"/>
    <w:rsid w:val="64D50F94"/>
    <w:rsid w:val="64F658D5"/>
    <w:rsid w:val="65206DF6"/>
    <w:rsid w:val="653528A1"/>
    <w:rsid w:val="654E74BF"/>
    <w:rsid w:val="65674A25"/>
    <w:rsid w:val="656767D3"/>
    <w:rsid w:val="65705687"/>
    <w:rsid w:val="659770B8"/>
    <w:rsid w:val="6598698C"/>
    <w:rsid w:val="65A73073"/>
    <w:rsid w:val="65DF6369"/>
    <w:rsid w:val="65F421A1"/>
    <w:rsid w:val="65F55B8D"/>
    <w:rsid w:val="66083B12"/>
    <w:rsid w:val="660C375D"/>
    <w:rsid w:val="66250271"/>
    <w:rsid w:val="662A7F2C"/>
    <w:rsid w:val="662B7800"/>
    <w:rsid w:val="664D59C9"/>
    <w:rsid w:val="665C20B0"/>
    <w:rsid w:val="666B5E4F"/>
    <w:rsid w:val="66763171"/>
    <w:rsid w:val="66882EA5"/>
    <w:rsid w:val="66887ED0"/>
    <w:rsid w:val="6694184A"/>
    <w:rsid w:val="66AA4A20"/>
    <w:rsid w:val="66C37A39"/>
    <w:rsid w:val="66C537B1"/>
    <w:rsid w:val="66CD5D79"/>
    <w:rsid w:val="66E856F1"/>
    <w:rsid w:val="66F127F8"/>
    <w:rsid w:val="670267B3"/>
    <w:rsid w:val="6703077D"/>
    <w:rsid w:val="6703252B"/>
    <w:rsid w:val="67095D94"/>
    <w:rsid w:val="67106D03"/>
    <w:rsid w:val="67256946"/>
    <w:rsid w:val="672668B2"/>
    <w:rsid w:val="672D101A"/>
    <w:rsid w:val="672F50CE"/>
    <w:rsid w:val="6741689D"/>
    <w:rsid w:val="674520EC"/>
    <w:rsid w:val="67672ABA"/>
    <w:rsid w:val="677E6942"/>
    <w:rsid w:val="67851192"/>
    <w:rsid w:val="67980EC5"/>
    <w:rsid w:val="679B2764"/>
    <w:rsid w:val="67A254F4"/>
    <w:rsid w:val="67A41618"/>
    <w:rsid w:val="67A45ABC"/>
    <w:rsid w:val="67DD0FCE"/>
    <w:rsid w:val="67E22141"/>
    <w:rsid w:val="68024591"/>
    <w:rsid w:val="68030A35"/>
    <w:rsid w:val="68246BFD"/>
    <w:rsid w:val="683010FE"/>
    <w:rsid w:val="6841155D"/>
    <w:rsid w:val="685A43CD"/>
    <w:rsid w:val="685C0145"/>
    <w:rsid w:val="686F52CB"/>
    <w:rsid w:val="6881195A"/>
    <w:rsid w:val="68921DB9"/>
    <w:rsid w:val="6894168D"/>
    <w:rsid w:val="68A319EA"/>
    <w:rsid w:val="68A613C0"/>
    <w:rsid w:val="68DE6DAC"/>
    <w:rsid w:val="68E63858"/>
    <w:rsid w:val="68E65C61"/>
    <w:rsid w:val="68FE2FAA"/>
    <w:rsid w:val="69034A64"/>
    <w:rsid w:val="690507DD"/>
    <w:rsid w:val="690C1B6B"/>
    <w:rsid w:val="691427CE"/>
    <w:rsid w:val="691C1682"/>
    <w:rsid w:val="692F5C2C"/>
    <w:rsid w:val="695D23C7"/>
    <w:rsid w:val="69801C11"/>
    <w:rsid w:val="6987462A"/>
    <w:rsid w:val="69964E32"/>
    <w:rsid w:val="699E02E9"/>
    <w:rsid w:val="69AE677E"/>
    <w:rsid w:val="69B264BB"/>
    <w:rsid w:val="69C45FA2"/>
    <w:rsid w:val="69DB153D"/>
    <w:rsid w:val="69E707DF"/>
    <w:rsid w:val="69E91EAC"/>
    <w:rsid w:val="69FF6FDA"/>
    <w:rsid w:val="6A062CD7"/>
    <w:rsid w:val="6A114F5F"/>
    <w:rsid w:val="6A1F58CE"/>
    <w:rsid w:val="6A2829D5"/>
    <w:rsid w:val="6A694D9B"/>
    <w:rsid w:val="6A7554EE"/>
    <w:rsid w:val="6A841BD5"/>
    <w:rsid w:val="6A8614A9"/>
    <w:rsid w:val="6A892D47"/>
    <w:rsid w:val="6A8B6AC0"/>
    <w:rsid w:val="6A8D47F8"/>
    <w:rsid w:val="6A955B90"/>
    <w:rsid w:val="6A9C6F1F"/>
    <w:rsid w:val="6AA302AD"/>
    <w:rsid w:val="6AA95198"/>
    <w:rsid w:val="6AAD2EDA"/>
    <w:rsid w:val="6ABA73A5"/>
    <w:rsid w:val="6ACE4BFE"/>
    <w:rsid w:val="6AD761A9"/>
    <w:rsid w:val="6ADB7A47"/>
    <w:rsid w:val="6B0479CA"/>
    <w:rsid w:val="6B0B7C00"/>
    <w:rsid w:val="6B0F149F"/>
    <w:rsid w:val="6B105217"/>
    <w:rsid w:val="6B161463"/>
    <w:rsid w:val="6B1C3BBC"/>
    <w:rsid w:val="6B2036AC"/>
    <w:rsid w:val="6B2A277C"/>
    <w:rsid w:val="6B39651C"/>
    <w:rsid w:val="6B43383E"/>
    <w:rsid w:val="6B5941AB"/>
    <w:rsid w:val="6B6705CD"/>
    <w:rsid w:val="6B8C6F93"/>
    <w:rsid w:val="6B9876E6"/>
    <w:rsid w:val="6BC02799"/>
    <w:rsid w:val="6BD3071E"/>
    <w:rsid w:val="6BE04BE9"/>
    <w:rsid w:val="6BE24E05"/>
    <w:rsid w:val="6BF1329A"/>
    <w:rsid w:val="6BFB5EC7"/>
    <w:rsid w:val="6BFD39ED"/>
    <w:rsid w:val="6C0C363E"/>
    <w:rsid w:val="6C0E5BFA"/>
    <w:rsid w:val="6C164AAF"/>
    <w:rsid w:val="6C16685D"/>
    <w:rsid w:val="6C1F3963"/>
    <w:rsid w:val="6C4B4758"/>
    <w:rsid w:val="6C652500"/>
    <w:rsid w:val="6C6C46CF"/>
    <w:rsid w:val="6C755C79"/>
    <w:rsid w:val="6C787517"/>
    <w:rsid w:val="6C8E0AE9"/>
    <w:rsid w:val="6C90660F"/>
    <w:rsid w:val="6C9205D9"/>
    <w:rsid w:val="6C9C6D62"/>
    <w:rsid w:val="6CAB169B"/>
    <w:rsid w:val="6CC96B8C"/>
    <w:rsid w:val="6CDD4ECA"/>
    <w:rsid w:val="6CDF186C"/>
    <w:rsid w:val="6D0B3EE8"/>
    <w:rsid w:val="6D0B4852"/>
    <w:rsid w:val="6D1159A2"/>
    <w:rsid w:val="6D11628A"/>
    <w:rsid w:val="6D2F407A"/>
    <w:rsid w:val="6D3A0D36"/>
    <w:rsid w:val="6D404907"/>
    <w:rsid w:val="6D513FF0"/>
    <w:rsid w:val="6D543AE1"/>
    <w:rsid w:val="6D6535F8"/>
    <w:rsid w:val="6D6B3E4C"/>
    <w:rsid w:val="6D7E46BA"/>
    <w:rsid w:val="6D8F68C7"/>
    <w:rsid w:val="6DC42A14"/>
    <w:rsid w:val="6DC9627D"/>
    <w:rsid w:val="6DCB5537"/>
    <w:rsid w:val="6DDB1B0C"/>
    <w:rsid w:val="6E2B2A93"/>
    <w:rsid w:val="6E5673E4"/>
    <w:rsid w:val="6E6715F2"/>
    <w:rsid w:val="6E7629E8"/>
    <w:rsid w:val="6E7A1CD3"/>
    <w:rsid w:val="6E7D0E15"/>
    <w:rsid w:val="6E9335C8"/>
    <w:rsid w:val="6E95615F"/>
    <w:rsid w:val="6E9D3265"/>
    <w:rsid w:val="6EB32A89"/>
    <w:rsid w:val="6EBD1212"/>
    <w:rsid w:val="6EBF31DC"/>
    <w:rsid w:val="6ECE341F"/>
    <w:rsid w:val="6ED0402A"/>
    <w:rsid w:val="6EE13152"/>
    <w:rsid w:val="6EE75DD4"/>
    <w:rsid w:val="6EE90259"/>
    <w:rsid w:val="6EF03395"/>
    <w:rsid w:val="6F062BB9"/>
    <w:rsid w:val="6F2D6397"/>
    <w:rsid w:val="6F4D6A39"/>
    <w:rsid w:val="6F502086"/>
    <w:rsid w:val="6F541B76"/>
    <w:rsid w:val="6F543924"/>
    <w:rsid w:val="6F6B6EC0"/>
    <w:rsid w:val="6F863CF9"/>
    <w:rsid w:val="6FAB3935"/>
    <w:rsid w:val="6FD20CED"/>
    <w:rsid w:val="6FF62C2D"/>
    <w:rsid w:val="7000585A"/>
    <w:rsid w:val="70125039"/>
    <w:rsid w:val="702E0619"/>
    <w:rsid w:val="70335C2F"/>
    <w:rsid w:val="703668BC"/>
    <w:rsid w:val="70381498"/>
    <w:rsid w:val="70453BB5"/>
    <w:rsid w:val="70473489"/>
    <w:rsid w:val="704D6FDF"/>
    <w:rsid w:val="70545BA6"/>
    <w:rsid w:val="70657DB3"/>
    <w:rsid w:val="70741DA4"/>
    <w:rsid w:val="709A3F00"/>
    <w:rsid w:val="70AA70F1"/>
    <w:rsid w:val="70B01068"/>
    <w:rsid w:val="70C745CA"/>
    <w:rsid w:val="70D76EBD"/>
    <w:rsid w:val="70E4517B"/>
    <w:rsid w:val="711E32B9"/>
    <w:rsid w:val="71237A52"/>
    <w:rsid w:val="712D08D1"/>
    <w:rsid w:val="713003C1"/>
    <w:rsid w:val="71327C95"/>
    <w:rsid w:val="71361540"/>
    <w:rsid w:val="71412050"/>
    <w:rsid w:val="714B0D57"/>
    <w:rsid w:val="71500A63"/>
    <w:rsid w:val="71502BC1"/>
    <w:rsid w:val="71551BD5"/>
    <w:rsid w:val="71724535"/>
    <w:rsid w:val="717604C9"/>
    <w:rsid w:val="717C7162"/>
    <w:rsid w:val="71922E29"/>
    <w:rsid w:val="71A566B9"/>
    <w:rsid w:val="71AA1F21"/>
    <w:rsid w:val="71AB5C99"/>
    <w:rsid w:val="71C034F3"/>
    <w:rsid w:val="71CD20B4"/>
    <w:rsid w:val="71CF7BDA"/>
    <w:rsid w:val="71D92806"/>
    <w:rsid w:val="71EA67C2"/>
    <w:rsid w:val="71F338F4"/>
    <w:rsid w:val="71FD60DE"/>
    <w:rsid w:val="72001B41"/>
    <w:rsid w:val="72541844"/>
    <w:rsid w:val="7258197D"/>
    <w:rsid w:val="726447C6"/>
    <w:rsid w:val="72795526"/>
    <w:rsid w:val="727D3192"/>
    <w:rsid w:val="729C569D"/>
    <w:rsid w:val="72A53AD1"/>
    <w:rsid w:val="72B75A3E"/>
    <w:rsid w:val="72C139C6"/>
    <w:rsid w:val="72DD6326"/>
    <w:rsid w:val="72E529EE"/>
    <w:rsid w:val="72ED084F"/>
    <w:rsid w:val="72ED47BB"/>
    <w:rsid w:val="732142EA"/>
    <w:rsid w:val="73294FD8"/>
    <w:rsid w:val="732B2149"/>
    <w:rsid w:val="7338355D"/>
    <w:rsid w:val="735743C5"/>
    <w:rsid w:val="735F0AE9"/>
    <w:rsid w:val="73795B7C"/>
    <w:rsid w:val="737F118B"/>
    <w:rsid w:val="739369E5"/>
    <w:rsid w:val="7399224D"/>
    <w:rsid w:val="739C7F8F"/>
    <w:rsid w:val="73A3131E"/>
    <w:rsid w:val="73A62BBC"/>
    <w:rsid w:val="73AA445A"/>
    <w:rsid w:val="73B452D9"/>
    <w:rsid w:val="73B54BAD"/>
    <w:rsid w:val="73BC418E"/>
    <w:rsid w:val="73BE0F55"/>
    <w:rsid w:val="73C44DF0"/>
    <w:rsid w:val="73D43285"/>
    <w:rsid w:val="73E060CE"/>
    <w:rsid w:val="74051691"/>
    <w:rsid w:val="7419513C"/>
    <w:rsid w:val="741E6BF6"/>
    <w:rsid w:val="74363F40"/>
    <w:rsid w:val="74365CEE"/>
    <w:rsid w:val="743B5996"/>
    <w:rsid w:val="74424693"/>
    <w:rsid w:val="744C2918"/>
    <w:rsid w:val="74535F81"/>
    <w:rsid w:val="745D771F"/>
    <w:rsid w:val="745E6304"/>
    <w:rsid w:val="745E6FF3"/>
    <w:rsid w:val="74686506"/>
    <w:rsid w:val="74844CAB"/>
    <w:rsid w:val="74850A24"/>
    <w:rsid w:val="749D3FBF"/>
    <w:rsid w:val="749F7D37"/>
    <w:rsid w:val="74A54E21"/>
    <w:rsid w:val="74B65081"/>
    <w:rsid w:val="74BD1F6B"/>
    <w:rsid w:val="74BE7A92"/>
    <w:rsid w:val="74C01A5C"/>
    <w:rsid w:val="74CB28DA"/>
    <w:rsid w:val="74DD09F0"/>
    <w:rsid w:val="74E74BD4"/>
    <w:rsid w:val="74EC2851"/>
    <w:rsid w:val="74F5106F"/>
    <w:rsid w:val="74FA42B6"/>
    <w:rsid w:val="74FD05BA"/>
    <w:rsid w:val="74FF4332"/>
    <w:rsid w:val="751029E3"/>
    <w:rsid w:val="7521074C"/>
    <w:rsid w:val="7521699E"/>
    <w:rsid w:val="75273889"/>
    <w:rsid w:val="753B10E2"/>
    <w:rsid w:val="75472AE0"/>
    <w:rsid w:val="754D0412"/>
    <w:rsid w:val="757A4300"/>
    <w:rsid w:val="757B5B2B"/>
    <w:rsid w:val="75B6450C"/>
    <w:rsid w:val="75C1156A"/>
    <w:rsid w:val="75CE1F56"/>
    <w:rsid w:val="75E55DBE"/>
    <w:rsid w:val="75E8126A"/>
    <w:rsid w:val="75F25C45"/>
    <w:rsid w:val="75FE283B"/>
    <w:rsid w:val="76050C77"/>
    <w:rsid w:val="760A7432"/>
    <w:rsid w:val="762F50EB"/>
    <w:rsid w:val="763C6AE8"/>
    <w:rsid w:val="76515061"/>
    <w:rsid w:val="76524935"/>
    <w:rsid w:val="765608C9"/>
    <w:rsid w:val="765B5EE0"/>
    <w:rsid w:val="766C59F7"/>
    <w:rsid w:val="766F3739"/>
    <w:rsid w:val="767825EE"/>
    <w:rsid w:val="76870A83"/>
    <w:rsid w:val="768C7E47"/>
    <w:rsid w:val="76A827A7"/>
    <w:rsid w:val="76AD7DBE"/>
    <w:rsid w:val="76AF7FDA"/>
    <w:rsid w:val="76B37ACA"/>
    <w:rsid w:val="76B80C3C"/>
    <w:rsid w:val="76D8308D"/>
    <w:rsid w:val="76DB492B"/>
    <w:rsid w:val="76E45ED5"/>
    <w:rsid w:val="76E61C4D"/>
    <w:rsid w:val="771F6F0D"/>
    <w:rsid w:val="77563CD7"/>
    <w:rsid w:val="77642B72"/>
    <w:rsid w:val="776963DA"/>
    <w:rsid w:val="777F79AC"/>
    <w:rsid w:val="77822FF8"/>
    <w:rsid w:val="779A2A38"/>
    <w:rsid w:val="77A850A4"/>
    <w:rsid w:val="77B21B30"/>
    <w:rsid w:val="77B237BD"/>
    <w:rsid w:val="77C8720A"/>
    <w:rsid w:val="77E31CE9"/>
    <w:rsid w:val="77E51F05"/>
    <w:rsid w:val="77ED700C"/>
    <w:rsid w:val="77F803F1"/>
    <w:rsid w:val="77FA34D6"/>
    <w:rsid w:val="78280044"/>
    <w:rsid w:val="78340796"/>
    <w:rsid w:val="783562BD"/>
    <w:rsid w:val="783B1B25"/>
    <w:rsid w:val="784004A1"/>
    <w:rsid w:val="784A620C"/>
    <w:rsid w:val="785B21C7"/>
    <w:rsid w:val="786C7F30"/>
    <w:rsid w:val="78715547"/>
    <w:rsid w:val="787D213D"/>
    <w:rsid w:val="78830686"/>
    <w:rsid w:val="788D434B"/>
    <w:rsid w:val="789C633C"/>
    <w:rsid w:val="78B418D7"/>
    <w:rsid w:val="78C31B1A"/>
    <w:rsid w:val="78D67AA0"/>
    <w:rsid w:val="78E201F2"/>
    <w:rsid w:val="78E21FA1"/>
    <w:rsid w:val="78FB5758"/>
    <w:rsid w:val="78FF6FF6"/>
    <w:rsid w:val="792C76C0"/>
    <w:rsid w:val="79330A4E"/>
    <w:rsid w:val="79336CA0"/>
    <w:rsid w:val="79390F5A"/>
    <w:rsid w:val="79396F6C"/>
    <w:rsid w:val="793B5B55"/>
    <w:rsid w:val="793F5645"/>
    <w:rsid w:val="79437E8F"/>
    <w:rsid w:val="797177C8"/>
    <w:rsid w:val="79775CD1"/>
    <w:rsid w:val="798474FC"/>
    <w:rsid w:val="79921C19"/>
    <w:rsid w:val="79FC4A0C"/>
    <w:rsid w:val="7A2111EE"/>
    <w:rsid w:val="7A232871"/>
    <w:rsid w:val="7A2A00A3"/>
    <w:rsid w:val="7A440A39"/>
    <w:rsid w:val="7A4F18B8"/>
    <w:rsid w:val="7A5549F4"/>
    <w:rsid w:val="7A590988"/>
    <w:rsid w:val="7A5E5F9F"/>
    <w:rsid w:val="7A6510DB"/>
    <w:rsid w:val="7A6C06BC"/>
    <w:rsid w:val="7A8D23E0"/>
    <w:rsid w:val="7A8F43AA"/>
    <w:rsid w:val="7AC34054"/>
    <w:rsid w:val="7AFC5127"/>
    <w:rsid w:val="7B000E04"/>
    <w:rsid w:val="7B09415C"/>
    <w:rsid w:val="7B193C74"/>
    <w:rsid w:val="7B1B3E90"/>
    <w:rsid w:val="7B607AF4"/>
    <w:rsid w:val="7B6770D5"/>
    <w:rsid w:val="7B694BFB"/>
    <w:rsid w:val="7B6A2721"/>
    <w:rsid w:val="7B7610C6"/>
    <w:rsid w:val="7B767318"/>
    <w:rsid w:val="7B826934"/>
    <w:rsid w:val="7B892BA7"/>
    <w:rsid w:val="7BA67BFD"/>
    <w:rsid w:val="7BBE3A19"/>
    <w:rsid w:val="7BC462D5"/>
    <w:rsid w:val="7BD665E8"/>
    <w:rsid w:val="7BD858DD"/>
    <w:rsid w:val="7BDA33A9"/>
    <w:rsid w:val="7BE35E1C"/>
    <w:rsid w:val="7BEB3862"/>
    <w:rsid w:val="7BF5023D"/>
    <w:rsid w:val="7BFC5A6F"/>
    <w:rsid w:val="7C0466D2"/>
    <w:rsid w:val="7C1C1C6D"/>
    <w:rsid w:val="7C444D20"/>
    <w:rsid w:val="7C5331B5"/>
    <w:rsid w:val="7C5533D1"/>
    <w:rsid w:val="7C5E4034"/>
    <w:rsid w:val="7C63164A"/>
    <w:rsid w:val="7C694787"/>
    <w:rsid w:val="7C815F74"/>
    <w:rsid w:val="7C8617DD"/>
    <w:rsid w:val="7C865339"/>
    <w:rsid w:val="7CBC51FE"/>
    <w:rsid w:val="7CCC5441"/>
    <w:rsid w:val="7CCE6A29"/>
    <w:rsid w:val="7CFA15D3"/>
    <w:rsid w:val="7CFC55FB"/>
    <w:rsid w:val="7D0050EB"/>
    <w:rsid w:val="7D0C1CE2"/>
    <w:rsid w:val="7D1172F8"/>
    <w:rsid w:val="7D126BCC"/>
    <w:rsid w:val="7D272678"/>
    <w:rsid w:val="7D364FB1"/>
    <w:rsid w:val="7D366D5F"/>
    <w:rsid w:val="7D5D42EC"/>
    <w:rsid w:val="7D6513F2"/>
    <w:rsid w:val="7D6C6EAE"/>
    <w:rsid w:val="7D7004C3"/>
    <w:rsid w:val="7D755AD9"/>
    <w:rsid w:val="7D773EB3"/>
    <w:rsid w:val="7D80622C"/>
    <w:rsid w:val="7DB67EA0"/>
    <w:rsid w:val="7DBD122E"/>
    <w:rsid w:val="7DBD18B8"/>
    <w:rsid w:val="7DBE44EA"/>
    <w:rsid w:val="7DDA254E"/>
    <w:rsid w:val="7DEC38C1"/>
    <w:rsid w:val="7DF21C4C"/>
    <w:rsid w:val="7E074257"/>
    <w:rsid w:val="7E0A25D0"/>
    <w:rsid w:val="7E0E55E6"/>
    <w:rsid w:val="7E10135E"/>
    <w:rsid w:val="7E21356B"/>
    <w:rsid w:val="7E327526"/>
    <w:rsid w:val="7E4159BB"/>
    <w:rsid w:val="7E5F5E41"/>
    <w:rsid w:val="7E635932"/>
    <w:rsid w:val="7E926217"/>
    <w:rsid w:val="7EA30424"/>
    <w:rsid w:val="7EB848CB"/>
    <w:rsid w:val="7EBC7712"/>
    <w:rsid w:val="7ECB797B"/>
    <w:rsid w:val="7EEC1DCB"/>
    <w:rsid w:val="7EEF5417"/>
    <w:rsid w:val="7EFB1E05"/>
    <w:rsid w:val="7EFD7931"/>
    <w:rsid w:val="7F1E6E78"/>
    <w:rsid w:val="7F2F1CB8"/>
    <w:rsid w:val="7F2F7F0A"/>
    <w:rsid w:val="7F3411E7"/>
    <w:rsid w:val="7F3B240A"/>
    <w:rsid w:val="7F516506"/>
    <w:rsid w:val="7F54171E"/>
    <w:rsid w:val="7F6000C3"/>
    <w:rsid w:val="7F62208D"/>
    <w:rsid w:val="7F6E0A32"/>
    <w:rsid w:val="7F9164CE"/>
    <w:rsid w:val="7F953117"/>
    <w:rsid w:val="7F9E2999"/>
    <w:rsid w:val="7FAB3A34"/>
    <w:rsid w:val="7FAC50B6"/>
    <w:rsid w:val="7FBD3767"/>
    <w:rsid w:val="7FC20D7E"/>
    <w:rsid w:val="7FD12D6F"/>
    <w:rsid w:val="7FEA5D82"/>
    <w:rsid w:val="A7FB5ACC"/>
    <w:rsid w:val="ADEFCAC1"/>
    <w:rsid w:val="EEFB925E"/>
    <w:rsid w:val="FFEF8F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4"/>
    <w:qFormat/>
    <w:uiPriority w:val="0"/>
    <w:pPr>
      <w:keepNext/>
      <w:keepLines/>
      <w:spacing w:line="578" w:lineRule="auto"/>
      <w:outlineLvl w:val="0"/>
    </w:pPr>
    <w:rPr>
      <w:b/>
      <w:bCs/>
      <w:kern w:val="44"/>
      <w:sz w:val="32"/>
      <w:szCs w:val="44"/>
    </w:rPr>
  </w:style>
  <w:style w:type="paragraph" w:styleId="6">
    <w:name w:val="heading 2"/>
    <w:basedOn w:val="1"/>
    <w:next w:val="7"/>
    <w:link w:val="62"/>
    <w:qFormat/>
    <w:uiPriority w:val="0"/>
    <w:pPr>
      <w:keepNext/>
      <w:keepLines/>
      <w:adjustRightInd w:val="0"/>
      <w:snapToGrid w:val="0"/>
      <w:spacing w:line="360" w:lineRule="auto"/>
      <w:jc w:val="left"/>
      <w:outlineLvl w:val="1"/>
    </w:pPr>
    <w:rPr>
      <w:rFonts w:ascii="黑体" w:hAnsi="黑体" w:eastAsia="楷体"/>
      <w:b/>
      <w:bCs/>
      <w:sz w:val="32"/>
      <w:szCs w:val="32"/>
    </w:rPr>
  </w:style>
  <w:style w:type="paragraph" w:styleId="8">
    <w:name w:val="heading 3"/>
    <w:basedOn w:val="1"/>
    <w:next w:val="1"/>
    <w:link w:val="59"/>
    <w:qFormat/>
    <w:uiPriority w:val="0"/>
    <w:pPr>
      <w:keepNext/>
      <w:keepLines/>
      <w:spacing w:before="260" w:after="260" w:line="416" w:lineRule="auto"/>
      <w:outlineLvl w:val="2"/>
    </w:pPr>
    <w:rPr>
      <w:rFonts w:ascii="Arial" w:hAnsi="Arial" w:cs="Arial"/>
      <w:b/>
      <w:bCs/>
      <w:sz w:val="32"/>
      <w:szCs w:val="32"/>
    </w:rPr>
  </w:style>
  <w:style w:type="paragraph" w:styleId="9">
    <w:name w:val="heading 4"/>
    <w:basedOn w:val="1"/>
    <w:next w:val="1"/>
    <w:qFormat/>
    <w:uiPriority w:val="0"/>
    <w:pPr>
      <w:keepNext/>
      <w:widowControl/>
      <w:jc w:val="center"/>
      <w:outlineLvl w:val="3"/>
    </w:pPr>
    <w:rPr>
      <w:rFonts w:ascii="MS Sans Serif" w:hAnsi="仿宋_GB2312" w:eastAsia="MS Sans Serif"/>
      <w:snapToGrid w:val="0"/>
      <w:kern w:val="0"/>
      <w:sz w:val="24"/>
      <w:szCs w:val="20"/>
    </w:rPr>
  </w:style>
  <w:style w:type="paragraph" w:styleId="10">
    <w:name w:val="heading 5"/>
    <w:basedOn w:val="1"/>
    <w:next w:val="1"/>
    <w:qFormat/>
    <w:uiPriority w:val="0"/>
    <w:pPr>
      <w:widowControl/>
      <w:spacing w:before="240" w:after="60"/>
      <w:jc w:val="left"/>
      <w:outlineLvl w:val="4"/>
    </w:pPr>
    <w:rPr>
      <w:rFonts w:ascii="MS Sans Serif" w:eastAsia="MS Sans Serif"/>
      <w:kern w:val="0"/>
      <w:sz w:val="24"/>
      <w:szCs w:val="20"/>
    </w:rPr>
  </w:style>
  <w:style w:type="paragraph" w:styleId="11">
    <w:name w:val="heading 6"/>
    <w:basedOn w:val="1"/>
    <w:next w:val="7"/>
    <w:qFormat/>
    <w:uiPriority w:val="0"/>
    <w:pPr>
      <w:keepNext/>
      <w:keepLines/>
      <w:spacing w:before="240" w:after="64" w:line="320" w:lineRule="auto"/>
      <w:outlineLvl w:val="5"/>
    </w:pPr>
    <w:rPr>
      <w:rFonts w:ascii="黑体" w:hAnsi="黑体" w:eastAsia="楷体"/>
      <w:b/>
      <w:sz w:val="24"/>
      <w:szCs w:val="20"/>
    </w:rPr>
  </w:style>
  <w:style w:type="paragraph" w:styleId="12">
    <w:name w:val="heading 7"/>
    <w:basedOn w:val="1"/>
    <w:next w:val="7"/>
    <w:qFormat/>
    <w:uiPriority w:val="0"/>
    <w:pPr>
      <w:keepNext/>
      <w:keepLines/>
      <w:spacing w:before="240" w:after="64" w:line="320" w:lineRule="auto"/>
      <w:outlineLvl w:val="6"/>
    </w:pPr>
    <w:rPr>
      <w:b/>
      <w:sz w:val="24"/>
      <w:szCs w:val="20"/>
    </w:rPr>
  </w:style>
  <w:style w:type="paragraph" w:styleId="13">
    <w:name w:val="heading 8"/>
    <w:basedOn w:val="1"/>
    <w:next w:val="7"/>
    <w:qFormat/>
    <w:uiPriority w:val="0"/>
    <w:pPr>
      <w:keepNext/>
      <w:keepLines/>
      <w:spacing w:before="240" w:after="64" w:line="320" w:lineRule="auto"/>
      <w:outlineLvl w:val="7"/>
    </w:pPr>
    <w:rPr>
      <w:rFonts w:ascii="黑体" w:hAnsi="黑体" w:eastAsia="楷体"/>
      <w:sz w:val="24"/>
      <w:szCs w:val="20"/>
    </w:rPr>
  </w:style>
  <w:style w:type="paragraph" w:styleId="14">
    <w:name w:val="heading 9"/>
    <w:basedOn w:val="1"/>
    <w:next w:val="7"/>
    <w:qFormat/>
    <w:uiPriority w:val="0"/>
    <w:pPr>
      <w:keepNext/>
      <w:keepLines/>
      <w:spacing w:before="240" w:after="64" w:line="320" w:lineRule="auto"/>
      <w:outlineLvl w:val="8"/>
    </w:pPr>
    <w:rPr>
      <w:rFonts w:ascii="黑体" w:hAnsi="黑体" w:eastAsia="楷体"/>
      <w:szCs w:val="20"/>
    </w:rPr>
  </w:style>
  <w:style w:type="character" w:default="1" w:styleId="51">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next w:val="4"/>
    <w:qFormat/>
    <w:uiPriority w:val="0"/>
    <w:pPr>
      <w:widowControl w:val="0"/>
      <w:autoSpaceDE w:val="0"/>
      <w:autoSpaceDN w:val="0"/>
      <w:adjustRightInd w:val="0"/>
    </w:pPr>
    <w:rPr>
      <w:rFonts w:ascii="楷体" w:hAnsi="Times New Roman" w:eastAsia="楷体" w:cs="Times New Roman"/>
      <w:color w:val="000000"/>
      <w:sz w:val="24"/>
      <w:szCs w:val="24"/>
      <w:lang w:val="en-US" w:eastAsia="zh-CN" w:bidi="ar-SA"/>
    </w:rPr>
  </w:style>
  <w:style w:type="paragraph" w:customStyle="1" w:styleId="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7">
    <w:name w:val="Normal Indent"/>
    <w:basedOn w:val="1"/>
    <w:next w:val="1"/>
    <w:link w:val="65"/>
    <w:qFormat/>
    <w:uiPriority w:val="0"/>
    <w:pPr>
      <w:widowControl/>
      <w:ind w:firstLine="420"/>
      <w:jc w:val="left"/>
    </w:pPr>
    <w:rPr>
      <w:rFonts w:ascii="Arial" w:hAnsi="Arial" w:cs="Arial"/>
      <w:kern w:val="0"/>
      <w:sz w:val="20"/>
      <w:szCs w:val="20"/>
    </w:rPr>
  </w:style>
  <w:style w:type="paragraph" w:styleId="15">
    <w:name w:val="toc 7"/>
    <w:basedOn w:val="1"/>
    <w:next w:val="1"/>
    <w:semiHidden/>
    <w:qFormat/>
    <w:uiPriority w:val="0"/>
    <w:pPr>
      <w:ind w:left="1260"/>
      <w:jc w:val="left"/>
    </w:pPr>
    <w:rPr>
      <w:sz w:val="18"/>
      <w:szCs w:val="18"/>
    </w:rPr>
  </w:style>
  <w:style w:type="paragraph" w:styleId="16">
    <w:name w:val="List Number 2"/>
    <w:basedOn w:val="1"/>
    <w:qFormat/>
    <w:uiPriority w:val="0"/>
    <w:pPr>
      <w:numPr>
        <w:ilvl w:val="0"/>
        <w:numId w:val="1"/>
      </w:numPr>
    </w:pPr>
  </w:style>
  <w:style w:type="paragraph" w:styleId="17">
    <w:name w:val="List Number"/>
    <w:basedOn w:val="1"/>
    <w:qFormat/>
    <w:uiPriority w:val="0"/>
    <w:pPr>
      <w:widowControl/>
      <w:tabs>
        <w:tab w:val="left" w:pos="420"/>
        <w:tab w:val="left" w:pos="454"/>
      </w:tabs>
      <w:spacing w:afterLines="50"/>
      <w:ind w:left="454" w:hanging="284"/>
      <w:jc w:val="left"/>
    </w:pPr>
    <w:rPr>
      <w:kern w:val="0"/>
      <w:sz w:val="24"/>
      <w:szCs w:val="20"/>
    </w:rPr>
  </w:style>
  <w:style w:type="paragraph" w:styleId="18">
    <w:name w:val="caption"/>
    <w:basedOn w:val="1"/>
    <w:next w:val="1"/>
    <w:qFormat/>
    <w:uiPriority w:val="0"/>
    <w:rPr>
      <w:rFonts w:ascii="黑体" w:hAnsi="黑体" w:eastAsia="楷体" w:cs="黑体"/>
      <w:sz w:val="20"/>
      <w:szCs w:val="20"/>
    </w:rPr>
  </w:style>
  <w:style w:type="paragraph" w:styleId="19">
    <w:name w:val="Document Map"/>
    <w:basedOn w:val="1"/>
    <w:semiHidden/>
    <w:qFormat/>
    <w:uiPriority w:val="0"/>
    <w:pPr>
      <w:shd w:val="clear" w:color="auto" w:fill="000080"/>
    </w:pPr>
  </w:style>
  <w:style w:type="paragraph" w:styleId="20">
    <w:name w:val="annotation text"/>
    <w:basedOn w:val="1"/>
    <w:link w:val="66"/>
    <w:semiHidden/>
    <w:qFormat/>
    <w:uiPriority w:val="0"/>
    <w:pPr>
      <w:jc w:val="left"/>
    </w:pPr>
  </w:style>
  <w:style w:type="paragraph" w:styleId="21">
    <w:name w:val="Body Text Indent"/>
    <w:basedOn w:val="1"/>
    <w:next w:val="1"/>
    <w:link w:val="67"/>
    <w:qFormat/>
    <w:uiPriority w:val="0"/>
    <w:pPr>
      <w:adjustRightInd w:val="0"/>
      <w:spacing w:line="360" w:lineRule="auto"/>
      <w:ind w:firstLine="490"/>
      <w:jc w:val="left"/>
    </w:pPr>
    <w:rPr>
      <w:rFonts w:ascii="Century Gothic" w:hAnsi="Century Gothic" w:eastAsia="Century Gothic"/>
      <w:sz w:val="24"/>
      <w:szCs w:val="20"/>
    </w:rPr>
  </w:style>
  <w:style w:type="paragraph" w:styleId="22">
    <w:name w:val="List Number 3"/>
    <w:basedOn w:val="1"/>
    <w:qFormat/>
    <w:uiPriority w:val="0"/>
    <w:pPr>
      <w:widowControl/>
      <w:tabs>
        <w:tab w:val="left" w:pos="482"/>
        <w:tab w:val="left" w:pos="1157"/>
      </w:tabs>
      <w:spacing w:afterLines="50"/>
      <w:ind w:left="482" w:hanging="340"/>
      <w:jc w:val="left"/>
    </w:pPr>
    <w:rPr>
      <w:kern w:val="0"/>
      <w:sz w:val="24"/>
      <w:szCs w:val="20"/>
    </w:rPr>
  </w:style>
  <w:style w:type="paragraph" w:styleId="23">
    <w:name w:val="Block Text"/>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styleId="24">
    <w:name w:val="List Bullet 2"/>
    <w:basedOn w:val="1"/>
    <w:qFormat/>
    <w:uiPriority w:val="0"/>
    <w:pPr>
      <w:numPr>
        <w:ilvl w:val="0"/>
        <w:numId w:val="2"/>
      </w:numPr>
    </w:pPr>
  </w:style>
  <w:style w:type="paragraph" w:styleId="25">
    <w:name w:val="toc 5"/>
    <w:basedOn w:val="1"/>
    <w:next w:val="1"/>
    <w:semiHidden/>
    <w:qFormat/>
    <w:uiPriority w:val="0"/>
    <w:pPr>
      <w:ind w:left="840"/>
      <w:jc w:val="left"/>
    </w:pPr>
    <w:rPr>
      <w:sz w:val="18"/>
      <w:szCs w:val="18"/>
    </w:rPr>
  </w:style>
  <w:style w:type="paragraph" w:styleId="26">
    <w:name w:val="toc 3"/>
    <w:basedOn w:val="1"/>
    <w:next w:val="1"/>
    <w:semiHidden/>
    <w:qFormat/>
    <w:uiPriority w:val="0"/>
    <w:pPr>
      <w:ind w:left="420"/>
      <w:jc w:val="left"/>
    </w:pPr>
    <w:rPr>
      <w:i/>
      <w:iCs/>
      <w:sz w:val="20"/>
      <w:szCs w:val="20"/>
    </w:rPr>
  </w:style>
  <w:style w:type="paragraph" w:styleId="27">
    <w:name w:val="Plain Text"/>
    <w:basedOn w:val="1"/>
    <w:link w:val="68"/>
    <w:qFormat/>
    <w:uiPriority w:val="0"/>
    <w:rPr>
      <w:rFonts w:ascii="Century Gothic" w:hAnsi="楷体_GB2312" w:eastAsia="Century Gothic" w:cs="楷体_GB2312"/>
      <w:szCs w:val="21"/>
    </w:rPr>
  </w:style>
  <w:style w:type="paragraph" w:styleId="28">
    <w:name w:val="toc 8"/>
    <w:basedOn w:val="1"/>
    <w:next w:val="1"/>
    <w:semiHidden/>
    <w:qFormat/>
    <w:uiPriority w:val="0"/>
    <w:pPr>
      <w:ind w:left="1470"/>
      <w:jc w:val="left"/>
    </w:pPr>
    <w:rPr>
      <w:sz w:val="18"/>
      <w:szCs w:val="18"/>
    </w:rPr>
  </w:style>
  <w:style w:type="paragraph" w:styleId="29">
    <w:name w:val="Date"/>
    <w:basedOn w:val="1"/>
    <w:next w:val="1"/>
    <w:link w:val="69"/>
    <w:qFormat/>
    <w:uiPriority w:val="0"/>
    <w:pPr>
      <w:ind w:left="100" w:leftChars="2500"/>
    </w:pPr>
  </w:style>
  <w:style w:type="paragraph" w:styleId="30">
    <w:name w:val="Body Text Indent 2"/>
    <w:basedOn w:val="1"/>
    <w:qFormat/>
    <w:uiPriority w:val="0"/>
    <w:pPr>
      <w:adjustRightInd w:val="0"/>
      <w:spacing w:line="360" w:lineRule="auto"/>
      <w:ind w:firstLine="504" w:firstLineChars="210"/>
      <w:jc w:val="left"/>
    </w:pPr>
    <w:rPr>
      <w:rFonts w:hint="eastAsia" w:ascii="Century Gothic" w:hAnsi="Century Gothic"/>
      <w:sz w:val="24"/>
      <w:szCs w:val="20"/>
    </w:rPr>
  </w:style>
  <w:style w:type="paragraph" w:styleId="31">
    <w:name w:val="Balloon Text"/>
    <w:basedOn w:val="1"/>
    <w:link w:val="70"/>
    <w:semiHidden/>
    <w:qFormat/>
    <w:uiPriority w:val="0"/>
    <w:rPr>
      <w:sz w:val="18"/>
      <w:szCs w:val="18"/>
    </w:rPr>
  </w:style>
  <w:style w:type="paragraph" w:styleId="32">
    <w:name w:val="footer"/>
    <w:basedOn w:val="1"/>
    <w:link w:val="71"/>
    <w:qFormat/>
    <w:uiPriority w:val="99"/>
    <w:pPr>
      <w:tabs>
        <w:tab w:val="center" w:pos="4153"/>
        <w:tab w:val="right" w:pos="8306"/>
      </w:tabs>
      <w:adjustRightInd w:val="0"/>
      <w:jc w:val="left"/>
    </w:pPr>
    <w:rPr>
      <w:rFonts w:eastAsia="Century Gothic"/>
      <w:sz w:val="18"/>
      <w:szCs w:val="20"/>
    </w:rPr>
  </w:style>
  <w:style w:type="paragraph" w:styleId="33">
    <w:name w:val="header"/>
    <w:basedOn w:val="1"/>
    <w:link w:val="72"/>
    <w:qFormat/>
    <w:uiPriority w:val="0"/>
    <w:pPr>
      <w:pBdr>
        <w:bottom w:val="single" w:color="auto" w:sz="6" w:space="1"/>
      </w:pBdr>
      <w:tabs>
        <w:tab w:val="center" w:pos="4153"/>
        <w:tab w:val="right" w:pos="8306"/>
      </w:tabs>
      <w:adjustRightInd w:val="0"/>
      <w:jc w:val="center"/>
    </w:pPr>
    <w:rPr>
      <w:sz w:val="18"/>
      <w:szCs w:val="20"/>
    </w:rPr>
  </w:style>
  <w:style w:type="paragraph" w:styleId="34">
    <w:name w:val="toc 1"/>
    <w:basedOn w:val="1"/>
    <w:next w:val="1"/>
    <w:qFormat/>
    <w:uiPriority w:val="39"/>
    <w:pPr>
      <w:tabs>
        <w:tab w:val="right" w:leader="dot" w:pos="8720"/>
      </w:tabs>
      <w:spacing w:before="120" w:after="120"/>
      <w:jc w:val="left"/>
    </w:pPr>
    <w:rPr>
      <w:rFonts w:ascii="Century Gothic" w:hAnsi="Century Gothic"/>
      <w:bCs/>
      <w:caps/>
      <w:sz w:val="20"/>
      <w:szCs w:val="20"/>
    </w:rPr>
  </w:style>
  <w:style w:type="paragraph" w:styleId="35">
    <w:name w:val="toc 4"/>
    <w:basedOn w:val="1"/>
    <w:next w:val="1"/>
    <w:semiHidden/>
    <w:qFormat/>
    <w:uiPriority w:val="0"/>
    <w:pPr>
      <w:ind w:left="630"/>
      <w:jc w:val="left"/>
    </w:pPr>
    <w:rPr>
      <w:sz w:val="18"/>
      <w:szCs w:val="18"/>
    </w:rPr>
  </w:style>
  <w:style w:type="paragraph" w:styleId="36">
    <w:name w:val="toc 6"/>
    <w:basedOn w:val="1"/>
    <w:next w:val="1"/>
    <w:semiHidden/>
    <w:qFormat/>
    <w:uiPriority w:val="0"/>
    <w:pPr>
      <w:ind w:left="1050"/>
      <w:jc w:val="left"/>
    </w:pPr>
    <w:rPr>
      <w:sz w:val="18"/>
      <w:szCs w:val="18"/>
    </w:rPr>
  </w:style>
  <w:style w:type="paragraph" w:styleId="37">
    <w:name w:val="List 5"/>
    <w:basedOn w:val="1"/>
    <w:qFormat/>
    <w:uiPriority w:val="0"/>
    <w:pPr>
      <w:ind w:left="100" w:leftChars="800" w:hanging="200" w:hangingChars="200"/>
    </w:pPr>
    <w:rPr>
      <w:szCs w:val="20"/>
    </w:rPr>
  </w:style>
  <w:style w:type="paragraph" w:styleId="38">
    <w:name w:val="Body Text Indent 3"/>
    <w:basedOn w:val="1"/>
    <w:link w:val="73"/>
    <w:qFormat/>
    <w:uiPriority w:val="0"/>
    <w:pPr>
      <w:spacing w:after="120"/>
      <w:ind w:left="420" w:leftChars="200"/>
    </w:pPr>
    <w:rPr>
      <w:sz w:val="16"/>
      <w:szCs w:val="16"/>
    </w:rPr>
  </w:style>
  <w:style w:type="paragraph" w:styleId="39">
    <w:name w:val="toc 2"/>
    <w:basedOn w:val="1"/>
    <w:next w:val="1"/>
    <w:qFormat/>
    <w:uiPriority w:val="39"/>
    <w:pPr>
      <w:tabs>
        <w:tab w:val="right" w:leader="dot" w:pos="8720"/>
      </w:tabs>
      <w:adjustRightInd w:val="0"/>
      <w:snapToGrid w:val="0"/>
      <w:jc w:val="left"/>
    </w:pPr>
    <w:rPr>
      <w:smallCaps/>
      <w:sz w:val="20"/>
      <w:szCs w:val="20"/>
    </w:rPr>
  </w:style>
  <w:style w:type="paragraph" w:styleId="40">
    <w:name w:val="toc 9"/>
    <w:basedOn w:val="1"/>
    <w:next w:val="1"/>
    <w:semiHidden/>
    <w:qFormat/>
    <w:uiPriority w:val="0"/>
    <w:pPr>
      <w:ind w:left="1680"/>
      <w:jc w:val="left"/>
    </w:pPr>
    <w:rPr>
      <w:sz w:val="18"/>
      <w:szCs w:val="18"/>
    </w:rPr>
  </w:style>
  <w:style w:type="paragraph" w:styleId="41">
    <w:name w:val="Body Text 2"/>
    <w:basedOn w:val="1"/>
    <w:qFormat/>
    <w:uiPriority w:val="0"/>
    <w:rPr>
      <w:sz w:val="24"/>
    </w:rPr>
  </w:style>
  <w:style w:type="paragraph" w:styleId="42">
    <w:name w:val="Normal (Web)"/>
    <w:basedOn w:val="1"/>
    <w:qFormat/>
    <w:uiPriority w:val="0"/>
    <w:pPr>
      <w:widowControl/>
      <w:shd w:val="clear" w:color="auto" w:fill="FFFFFF"/>
      <w:spacing w:before="100" w:beforeAutospacing="1" w:after="100" w:afterAutospacing="1"/>
      <w:jc w:val="left"/>
    </w:pPr>
    <w:rPr>
      <w:rFonts w:ascii="Century Gothic" w:hAnsi="Century Gothic"/>
      <w:kern w:val="0"/>
      <w:sz w:val="18"/>
      <w:szCs w:val="18"/>
    </w:rPr>
  </w:style>
  <w:style w:type="paragraph" w:styleId="43">
    <w:name w:val="Title"/>
    <w:basedOn w:val="1"/>
    <w:link w:val="74"/>
    <w:qFormat/>
    <w:uiPriority w:val="0"/>
    <w:pPr>
      <w:tabs>
        <w:tab w:val="left" w:pos="1200"/>
      </w:tabs>
      <w:spacing w:afterLines="200"/>
      <w:ind w:left="1440" w:hanging="720"/>
      <w:jc w:val="center"/>
    </w:pPr>
    <w:rPr>
      <w:rFonts w:ascii="Arial" w:hAnsi="Arial" w:cs="Arial"/>
      <w:b/>
      <w:bCs/>
      <w:spacing w:val="60"/>
      <w:sz w:val="32"/>
    </w:rPr>
  </w:style>
  <w:style w:type="paragraph" w:styleId="44">
    <w:name w:val="annotation subject"/>
    <w:basedOn w:val="20"/>
    <w:next w:val="20"/>
    <w:link w:val="75"/>
    <w:semiHidden/>
    <w:qFormat/>
    <w:uiPriority w:val="0"/>
    <w:rPr>
      <w:b/>
      <w:bCs/>
    </w:rPr>
  </w:style>
  <w:style w:type="paragraph" w:styleId="45">
    <w:name w:val="Body Text First Indent"/>
    <w:basedOn w:val="2"/>
    <w:next w:val="1"/>
    <w:qFormat/>
    <w:uiPriority w:val="0"/>
    <w:pPr>
      <w:ind w:firstLine="420" w:firstLineChars="100"/>
    </w:pPr>
    <w:rPr>
      <w:szCs w:val="20"/>
    </w:rPr>
  </w:style>
  <w:style w:type="paragraph" w:styleId="46">
    <w:name w:val="Body Text First Indent 2"/>
    <w:basedOn w:val="21"/>
    <w:next w:val="1"/>
    <w:unhideWhenUsed/>
    <w:qFormat/>
    <w:uiPriority w:val="99"/>
    <w:pPr>
      <w:ind w:firstLine="420" w:firstLineChars="200"/>
    </w:p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9">
    <w:name w:val="Table Elegant"/>
    <w:basedOn w:val="47"/>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0">
    <w:name w:val="Table Professional"/>
    <w:basedOn w:val="47"/>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52">
    <w:name w:val="Strong"/>
    <w:basedOn w:val="51"/>
    <w:qFormat/>
    <w:uiPriority w:val="0"/>
    <w:rPr>
      <w:b/>
    </w:rPr>
  </w:style>
  <w:style w:type="character" w:styleId="53">
    <w:name w:val="page number"/>
    <w:qFormat/>
    <w:uiPriority w:val="0"/>
  </w:style>
  <w:style w:type="character" w:styleId="54">
    <w:name w:val="FollowedHyperlink"/>
    <w:qFormat/>
    <w:uiPriority w:val="0"/>
    <w:rPr>
      <w:color w:val="800080"/>
      <w:u w:val="none"/>
    </w:rPr>
  </w:style>
  <w:style w:type="character" w:styleId="55">
    <w:name w:val="Emphasis"/>
    <w:qFormat/>
    <w:uiPriority w:val="0"/>
  </w:style>
  <w:style w:type="character" w:styleId="56">
    <w:name w:val="Hyperlink"/>
    <w:qFormat/>
    <w:uiPriority w:val="0"/>
    <w:rPr>
      <w:color w:val="0000FF"/>
      <w:u w:val="none"/>
    </w:rPr>
  </w:style>
  <w:style w:type="character" w:styleId="57">
    <w:name w:val="annotation reference"/>
    <w:semiHidden/>
    <w:qFormat/>
    <w:uiPriority w:val="0"/>
    <w:rPr>
      <w:sz w:val="21"/>
      <w:szCs w:val="21"/>
    </w:rPr>
  </w:style>
  <w:style w:type="character" w:customStyle="1" w:styleId="58">
    <w:name w:val="标题 2 字符"/>
    <w:qFormat/>
    <w:uiPriority w:val="0"/>
    <w:rPr>
      <w:rFonts w:hint="eastAsia" w:ascii="黑体" w:hAnsi="黑体" w:eastAsia="楷体"/>
      <w:b/>
      <w:bCs/>
      <w:sz w:val="24"/>
      <w:szCs w:val="32"/>
    </w:rPr>
  </w:style>
  <w:style w:type="character" w:customStyle="1" w:styleId="59">
    <w:name w:val="标题 3 Char"/>
    <w:link w:val="8"/>
    <w:qFormat/>
    <w:uiPriority w:val="0"/>
    <w:rPr>
      <w:rFonts w:ascii="Arial" w:hAnsi="Arial" w:eastAsia="宋体" w:cs="Arial"/>
      <w:b/>
      <w:bCs/>
      <w:kern w:val="2"/>
      <w:sz w:val="32"/>
      <w:szCs w:val="32"/>
      <w:lang w:val="en-US" w:eastAsia="zh-CN" w:bidi="ar-SA"/>
    </w:rPr>
  </w:style>
  <w:style w:type="paragraph" w:styleId="60">
    <w:name w:val="List Paragraph"/>
    <w:basedOn w:val="1"/>
    <w:next w:val="1"/>
    <w:link w:val="91"/>
    <w:qFormat/>
    <w:uiPriority w:val="0"/>
    <w:pPr>
      <w:ind w:firstLine="420" w:firstLineChars="200"/>
    </w:pPr>
    <w:rPr>
      <w:szCs w:val="22"/>
    </w:rPr>
  </w:style>
  <w:style w:type="paragraph" w:customStyle="1" w:styleId="61">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character" w:customStyle="1" w:styleId="62">
    <w:name w:val="标题 2 Char"/>
    <w:link w:val="6"/>
    <w:qFormat/>
    <w:locked/>
    <w:uiPriority w:val="0"/>
    <w:rPr>
      <w:rFonts w:ascii="黑体" w:hAnsi="黑体" w:eastAsia="楷体"/>
      <w:b/>
      <w:bCs/>
      <w:kern w:val="2"/>
      <w:sz w:val="32"/>
      <w:szCs w:val="32"/>
    </w:rPr>
  </w:style>
  <w:style w:type="character" w:customStyle="1" w:styleId="63">
    <w:name w:val="标题 1 Char"/>
    <w:qFormat/>
    <w:uiPriority w:val="0"/>
    <w:rPr>
      <w:rFonts w:eastAsia="黑体"/>
      <w:b/>
      <w:bCs/>
      <w:snapToGrid w:val="0"/>
      <w:kern w:val="44"/>
      <w:sz w:val="36"/>
      <w:szCs w:val="44"/>
      <w:lang w:val="en-US" w:eastAsia="zh-CN" w:bidi="ar-SA"/>
    </w:rPr>
  </w:style>
  <w:style w:type="character" w:customStyle="1" w:styleId="64">
    <w:name w:val="标题 1 Char2"/>
    <w:link w:val="5"/>
    <w:qFormat/>
    <w:uiPriority w:val="0"/>
    <w:rPr>
      <w:rFonts w:ascii="Times New Roman" w:hAnsi="Times New Roman" w:eastAsia="宋体"/>
      <w:b/>
      <w:bCs/>
      <w:kern w:val="44"/>
      <w:sz w:val="32"/>
      <w:szCs w:val="44"/>
      <w:lang w:val="en-US" w:eastAsia="zh-CN" w:bidi="ar-SA"/>
    </w:rPr>
  </w:style>
  <w:style w:type="character" w:customStyle="1" w:styleId="65">
    <w:name w:val="正文缩进 Char"/>
    <w:link w:val="7"/>
    <w:qFormat/>
    <w:uiPriority w:val="0"/>
    <w:rPr>
      <w:rFonts w:ascii="Arial" w:hAnsi="Arial" w:eastAsia="宋体" w:cs="Arial"/>
      <w:lang w:val="en-US" w:eastAsia="zh-CN" w:bidi="ar-SA"/>
    </w:rPr>
  </w:style>
  <w:style w:type="character" w:customStyle="1" w:styleId="66">
    <w:name w:val="批注文字 Char1"/>
    <w:link w:val="20"/>
    <w:semiHidden/>
    <w:qFormat/>
    <w:locked/>
    <w:uiPriority w:val="0"/>
    <w:rPr>
      <w:kern w:val="2"/>
      <w:sz w:val="21"/>
      <w:szCs w:val="24"/>
    </w:rPr>
  </w:style>
  <w:style w:type="character" w:customStyle="1" w:styleId="67">
    <w:name w:val="正文文本缩进 Char"/>
    <w:link w:val="21"/>
    <w:semiHidden/>
    <w:qFormat/>
    <w:uiPriority w:val="0"/>
    <w:rPr>
      <w:rFonts w:ascii="Century Gothic" w:hAnsi="Century Gothic" w:eastAsia="Century Gothic"/>
      <w:kern w:val="2"/>
      <w:sz w:val="24"/>
      <w:lang w:val="en-US" w:eastAsia="zh-CN" w:bidi="ar-SA"/>
    </w:rPr>
  </w:style>
  <w:style w:type="character" w:customStyle="1" w:styleId="68">
    <w:name w:val="纯文本 Char"/>
    <w:link w:val="27"/>
    <w:qFormat/>
    <w:uiPriority w:val="0"/>
    <w:rPr>
      <w:rFonts w:ascii="Century Gothic" w:hAnsi="楷体_GB2312" w:eastAsia="Century Gothic" w:cs="楷体_GB2312"/>
      <w:kern w:val="2"/>
      <w:sz w:val="21"/>
      <w:szCs w:val="21"/>
      <w:lang w:val="en-US" w:eastAsia="zh-CN" w:bidi="ar-SA"/>
    </w:rPr>
  </w:style>
  <w:style w:type="character" w:customStyle="1" w:styleId="69">
    <w:name w:val="日期 Char"/>
    <w:link w:val="29"/>
    <w:qFormat/>
    <w:locked/>
    <w:uiPriority w:val="0"/>
    <w:rPr>
      <w:kern w:val="2"/>
      <w:sz w:val="21"/>
      <w:szCs w:val="24"/>
    </w:rPr>
  </w:style>
  <w:style w:type="character" w:customStyle="1" w:styleId="70">
    <w:name w:val="批注框文本 Char"/>
    <w:link w:val="31"/>
    <w:semiHidden/>
    <w:qFormat/>
    <w:locked/>
    <w:uiPriority w:val="0"/>
    <w:rPr>
      <w:kern w:val="2"/>
      <w:sz w:val="18"/>
      <w:szCs w:val="18"/>
    </w:rPr>
  </w:style>
  <w:style w:type="character" w:customStyle="1" w:styleId="71">
    <w:name w:val="页脚 Char"/>
    <w:link w:val="32"/>
    <w:qFormat/>
    <w:uiPriority w:val="99"/>
    <w:rPr>
      <w:rFonts w:eastAsia="Century Gothic"/>
      <w:kern w:val="2"/>
      <w:sz w:val="18"/>
      <w:lang w:val="en-US" w:eastAsia="zh-CN" w:bidi="ar-SA"/>
    </w:rPr>
  </w:style>
  <w:style w:type="character" w:customStyle="1" w:styleId="72">
    <w:name w:val="页眉 Char1"/>
    <w:link w:val="33"/>
    <w:qFormat/>
    <w:locked/>
    <w:uiPriority w:val="0"/>
    <w:rPr>
      <w:kern w:val="2"/>
      <w:sz w:val="18"/>
    </w:rPr>
  </w:style>
  <w:style w:type="character" w:customStyle="1" w:styleId="73">
    <w:name w:val="正文文本缩进 3 Char"/>
    <w:link w:val="38"/>
    <w:qFormat/>
    <w:locked/>
    <w:uiPriority w:val="0"/>
    <w:rPr>
      <w:kern w:val="2"/>
      <w:sz w:val="16"/>
      <w:szCs w:val="16"/>
    </w:rPr>
  </w:style>
  <w:style w:type="character" w:customStyle="1" w:styleId="74">
    <w:name w:val="标题 Char"/>
    <w:link w:val="43"/>
    <w:qFormat/>
    <w:uiPriority w:val="0"/>
    <w:rPr>
      <w:rFonts w:ascii="Arial" w:hAnsi="Arial" w:eastAsia="宋体" w:cs="Arial"/>
      <w:b/>
      <w:bCs/>
      <w:spacing w:val="60"/>
      <w:kern w:val="2"/>
      <w:sz w:val="32"/>
      <w:szCs w:val="24"/>
      <w:lang w:val="en-US" w:eastAsia="zh-CN" w:bidi="ar-SA"/>
    </w:rPr>
  </w:style>
  <w:style w:type="character" w:customStyle="1" w:styleId="75">
    <w:name w:val="批注主题 Char"/>
    <w:link w:val="44"/>
    <w:semiHidden/>
    <w:qFormat/>
    <w:locked/>
    <w:uiPriority w:val="0"/>
    <w:rPr>
      <w:b/>
      <w:bCs/>
      <w:kern w:val="2"/>
      <w:sz w:val="21"/>
      <w:szCs w:val="24"/>
    </w:rPr>
  </w:style>
  <w:style w:type="character" w:customStyle="1" w:styleId="76">
    <w:name w:val="Plain Text Char"/>
    <w:semiHidden/>
    <w:qFormat/>
    <w:locked/>
    <w:uiPriority w:val="0"/>
    <w:rPr>
      <w:rFonts w:ascii="宋体" w:hAnsi="Courier New"/>
      <w:sz w:val="21"/>
    </w:rPr>
  </w:style>
  <w:style w:type="character" w:customStyle="1" w:styleId="77">
    <w:name w:val="10"/>
    <w:qFormat/>
    <w:uiPriority w:val="0"/>
    <w:rPr>
      <w:rFonts w:hint="default" w:ascii="Times New Roman" w:hAnsi="Times New Roman" w:cs="Times New Roman"/>
    </w:rPr>
  </w:style>
  <w:style w:type="character" w:customStyle="1" w:styleId="78">
    <w:name w:val="正文文本缩进 3 Char1"/>
    <w:semiHidden/>
    <w:qFormat/>
    <w:uiPriority w:val="0"/>
    <w:rPr>
      <w:rFonts w:cs="Times New Roman"/>
      <w:sz w:val="16"/>
      <w:szCs w:val="16"/>
    </w:rPr>
  </w:style>
  <w:style w:type="character" w:customStyle="1" w:styleId="79">
    <w:name w:val="a0"/>
    <w:qFormat/>
    <w:uiPriority w:val="0"/>
  </w:style>
  <w:style w:type="character" w:customStyle="1" w:styleId="80">
    <w:name w:val="15"/>
    <w:qFormat/>
    <w:uiPriority w:val="0"/>
    <w:rPr>
      <w:rFonts w:hint="default" w:ascii="Times New Roman" w:hAnsi="Times New Roman" w:cs="Times New Roman"/>
      <w:sz w:val="20"/>
      <w:szCs w:val="20"/>
    </w:rPr>
  </w:style>
  <w:style w:type="character" w:customStyle="1" w:styleId="81">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82">
    <w:name w:val="页码1"/>
    <w:qFormat/>
    <w:uiPriority w:val="0"/>
    <w:rPr>
      <w:sz w:val="20"/>
      <w:szCs w:val="20"/>
    </w:rPr>
  </w:style>
  <w:style w:type="character" w:customStyle="1" w:styleId="83">
    <w:name w:val="zbggmain style9"/>
    <w:qFormat/>
    <w:uiPriority w:val="0"/>
    <w:rPr>
      <w:rFonts w:ascii="Courier New" w:eastAsia="Courier New"/>
      <w:b/>
      <w:kern w:val="2"/>
      <w:sz w:val="32"/>
      <w:szCs w:val="32"/>
      <w:lang w:val="en-US" w:eastAsia="zh-CN" w:bidi="ar-SA"/>
    </w:rPr>
  </w:style>
  <w:style w:type="character" w:customStyle="1" w:styleId="84">
    <w:name w:val="Char Char5"/>
    <w:qFormat/>
    <w:uiPriority w:val="0"/>
    <w:rPr>
      <w:rFonts w:ascii="Century Gothic" w:hAnsi="楷体_GB2312" w:eastAsia="Times New Roman"/>
      <w:kern w:val="2"/>
      <w:sz w:val="21"/>
      <w:lang w:val="en-US" w:eastAsia="zh-CN"/>
    </w:rPr>
  </w:style>
  <w:style w:type="character" w:customStyle="1" w:styleId="85">
    <w:name w:val="页脚 Char1"/>
    <w:qFormat/>
    <w:locked/>
    <w:uiPriority w:val="0"/>
    <w:rPr>
      <w:rFonts w:ascii="Times New Roman" w:hAnsi="Times New Roman"/>
      <w:sz w:val="18"/>
    </w:rPr>
  </w:style>
  <w:style w:type="character" w:customStyle="1" w:styleId="86">
    <w:name w:val="正文文本 2 Char"/>
    <w:link w:val="87"/>
    <w:qFormat/>
    <w:uiPriority w:val="0"/>
    <w:rPr>
      <w:rFonts w:ascii="Century Gothic" w:hAnsi="Century Gothic" w:eastAsia="宋体" w:cs="Arial"/>
      <w:kern w:val="2"/>
      <w:sz w:val="24"/>
      <w:lang w:val="en-US" w:eastAsia="zh-CN" w:bidi="ar-SA"/>
    </w:rPr>
  </w:style>
  <w:style w:type="paragraph" w:customStyle="1" w:styleId="87">
    <w:name w:val="正文文本 21"/>
    <w:basedOn w:val="1"/>
    <w:link w:val="86"/>
    <w:qFormat/>
    <w:uiPriority w:val="0"/>
    <w:pPr>
      <w:adjustRightInd w:val="0"/>
      <w:spacing w:line="300" w:lineRule="auto"/>
      <w:jc w:val="center"/>
    </w:pPr>
    <w:rPr>
      <w:rFonts w:ascii="Century Gothic" w:hAnsi="Century Gothic" w:cs="Arial"/>
      <w:sz w:val="24"/>
      <w:szCs w:val="20"/>
    </w:rPr>
  </w:style>
  <w:style w:type="character" w:customStyle="1" w:styleId="88">
    <w:name w:val="日期 Char1"/>
    <w:semiHidden/>
    <w:qFormat/>
    <w:uiPriority w:val="0"/>
    <w:rPr>
      <w:rFonts w:ascii="Times New Roman" w:hAnsi="Times New Roman" w:eastAsia="宋体" w:cs="Times New Roman"/>
      <w:sz w:val="24"/>
      <w:szCs w:val="24"/>
    </w:rPr>
  </w:style>
  <w:style w:type="character" w:customStyle="1" w:styleId="89">
    <w:name w:val="Char Char7"/>
    <w:semiHidden/>
    <w:qFormat/>
    <w:uiPriority w:val="0"/>
    <w:rPr>
      <w:rFonts w:ascii="Century Gothic" w:hAnsi="Century Gothic" w:eastAsia="Century Gothic"/>
      <w:kern w:val="2"/>
      <w:sz w:val="24"/>
      <w:lang w:val="en-US" w:eastAsia="zh-CN" w:bidi="ar-SA"/>
    </w:rPr>
  </w:style>
  <w:style w:type="character" w:customStyle="1" w:styleId="90">
    <w:name w:val="页脚 Char2"/>
    <w:semiHidden/>
    <w:qFormat/>
    <w:uiPriority w:val="0"/>
    <w:rPr>
      <w:rFonts w:ascii="Times New Roman" w:hAnsi="Times New Roman" w:eastAsia="宋体" w:cs="Times New Roman"/>
      <w:sz w:val="18"/>
      <w:szCs w:val="18"/>
    </w:rPr>
  </w:style>
  <w:style w:type="character" w:customStyle="1" w:styleId="91">
    <w:name w:val="列出段落 Char"/>
    <w:link w:val="60"/>
    <w:qFormat/>
    <w:uiPriority w:val="0"/>
    <w:rPr>
      <w:rFonts w:ascii="Calibri" w:hAnsi="Calibri" w:eastAsia="宋体"/>
      <w:kern w:val="2"/>
      <w:sz w:val="21"/>
      <w:szCs w:val="22"/>
      <w:lang w:val="en-US" w:eastAsia="zh-CN" w:bidi="ar-SA"/>
    </w:rPr>
  </w:style>
  <w:style w:type="character" w:customStyle="1" w:styleId="92">
    <w:name w:val="Char Char12"/>
    <w:qFormat/>
    <w:uiPriority w:val="0"/>
    <w:rPr>
      <w:rFonts w:ascii="Century Gothic" w:hAnsi="楷体_GB2312" w:eastAsia="Century Gothic" w:cs="楷体_GB2312"/>
      <w:kern w:val="2"/>
      <w:sz w:val="21"/>
      <w:szCs w:val="21"/>
      <w:lang w:val="en-US" w:eastAsia="zh-CN" w:bidi="ar-SA"/>
    </w:rPr>
  </w:style>
  <w:style w:type="character" w:customStyle="1" w:styleId="93">
    <w:name w:val="Char Char Char"/>
    <w:qFormat/>
    <w:uiPriority w:val="0"/>
    <w:rPr>
      <w:rFonts w:ascii="Courier New" w:eastAsia="Courier New"/>
      <w:color w:val="FF0000"/>
      <w:kern w:val="2"/>
      <w:sz w:val="24"/>
      <w:szCs w:val="24"/>
      <w:u w:val="single"/>
      <w:lang w:val="en-US" w:eastAsia="zh-CN" w:bidi="ar-SA"/>
    </w:rPr>
  </w:style>
  <w:style w:type="character" w:customStyle="1" w:styleId="94">
    <w:name w:val="Char Char"/>
    <w:qFormat/>
    <w:uiPriority w:val="0"/>
    <w:rPr>
      <w:rFonts w:ascii="Courier New" w:eastAsia="Courier New"/>
      <w:color w:val="FF0000"/>
      <w:kern w:val="2"/>
      <w:sz w:val="24"/>
      <w:szCs w:val="24"/>
      <w:u w:val="single"/>
      <w:lang w:val="en-US" w:eastAsia="zh-CN" w:bidi="ar-SA"/>
    </w:rPr>
  </w:style>
  <w:style w:type="character" w:customStyle="1" w:styleId="95">
    <w:name w:val="phone"/>
    <w:qFormat/>
    <w:uiPriority w:val="0"/>
    <w:rPr>
      <w:color w:val="FF8833"/>
      <w:sz w:val="18"/>
      <w:szCs w:val="18"/>
    </w:rPr>
  </w:style>
  <w:style w:type="character" w:customStyle="1" w:styleId="96">
    <w:name w:val="样式 小四"/>
    <w:qFormat/>
    <w:uiPriority w:val="0"/>
    <w:rPr>
      <w:rFonts w:eastAsia="宋体"/>
      <w:sz w:val="24"/>
    </w:rPr>
  </w:style>
  <w:style w:type="character" w:customStyle="1" w:styleId="97">
    <w:name w:val="页眉 Char2"/>
    <w:semiHidden/>
    <w:qFormat/>
    <w:uiPriority w:val="0"/>
    <w:rPr>
      <w:rFonts w:ascii="Times New Roman" w:hAnsi="Times New Roman" w:eastAsia="宋体" w:cs="Times New Roman"/>
      <w:sz w:val="18"/>
      <w:szCs w:val="18"/>
    </w:rPr>
  </w:style>
  <w:style w:type="character" w:customStyle="1" w:styleId="98">
    <w:name w:val="Comment Subject Char"/>
    <w:link w:val="99"/>
    <w:qFormat/>
    <w:uiPriority w:val="0"/>
    <w:rPr>
      <w:rFonts w:eastAsia="宋体"/>
      <w:b/>
      <w:bCs/>
      <w:lang w:val="en-US" w:eastAsia="zh-CN" w:bidi="ar-SA"/>
    </w:rPr>
  </w:style>
  <w:style w:type="paragraph" w:customStyle="1" w:styleId="99">
    <w:name w:val="批注主题1"/>
    <w:basedOn w:val="20"/>
    <w:next w:val="20"/>
    <w:link w:val="98"/>
    <w:qFormat/>
    <w:uiPriority w:val="0"/>
    <w:pPr>
      <w:adjustRightInd w:val="0"/>
      <w:spacing w:line="360" w:lineRule="atLeast"/>
      <w:textAlignment w:val="baseline"/>
    </w:pPr>
    <w:rPr>
      <w:b/>
      <w:bCs/>
      <w:kern w:val="0"/>
      <w:sz w:val="20"/>
      <w:szCs w:val="20"/>
    </w:rPr>
  </w:style>
  <w:style w:type="character" w:customStyle="1" w:styleId="100">
    <w:name w:val="批注框文本 Char1"/>
    <w:semiHidden/>
    <w:qFormat/>
    <w:uiPriority w:val="0"/>
    <w:rPr>
      <w:rFonts w:ascii="Times New Roman" w:hAnsi="Times New Roman" w:eastAsia="宋体" w:cs="Times New Roman"/>
      <w:sz w:val="18"/>
      <w:szCs w:val="18"/>
    </w:rPr>
  </w:style>
  <w:style w:type="character" w:customStyle="1" w:styleId="101">
    <w:name w:val="tpc_content1"/>
    <w:qFormat/>
    <w:uiPriority w:val="0"/>
    <w:rPr>
      <w:sz w:val="20"/>
      <w:szCs w:val="20"/>
    </w:rPr>
  </w:style>
  <w:style w:type="character" w:customStyle="1" w:styleId="102">
    <w:name w:val="zbggtop11 style5"/>
    <w:qFormat/>
    <w:uiPriority w:val="0"/>
  </w:style>
  <w:style w:type="character" w:customStyle="1" w:styleId="103">
    <w:name w:val="样式1 Char"/>
    <w:link w:val="104"/>
    <w:qFormat/>
    <w:locked/>
    <w:uiPriority w:val="0"/>
    <w:rPr>
      <w:sz w:val="24"/>
      <w:szCs w:val="24"/>
    </w:rPr>
  </w:style>
  <w:style w:type="paragraph" w:customStyle="1" w:styleId="104">
    <w:name w:val="样式1"/>
    <w:basedOn w:val="1"/>
    <w:link w:val="103"/>
    <w:qFormat/>
    <w:uiPriority w:val="0"/>
    <w:pPr>
      <w:spacing w:line="360" w:lineRule="exact"/>
      <w:ind w:firstLine="200" w:firstLineChars="200"/>
    </w:pPr>
    <w:rPr>
      <w:kern w:val="0"/>
      <w:sz w:val="24"/>
    </w:rPr>
  </w:style>
  <w:style w:type="character" w:customStyle="1" w:styleId="105">
    <w:name w:val="批注主题 Char1"/>
    <w:semiHidden/>
    <w:qFormat/>
    <w:uiPriority w:val="0"/>
    <w:rPr>
      <w:b/>
      <w:bCs/>
      <w:kern w:val="2"/>
      <w:sz w:val="21"/>
      <w:szCs w:val="24"/>
    </w:rPr>
  </w:style>
  <w:style w:type="character" w:customStyle="1" w:styleId="106">
    <w:name w:val="正文 1.5 倍行距 Char Char"/>
    <w:link w:val="107"/>
    <w:qFormat/>
    <w:uiPriority w:val="0"/>
    <w:rPr>
      <w:rFonts w:eastAsia="宋体"/>
      <w:sz w:val="24"/>
      <w:lang w:bidi="ar-SA"/>
    </w:rPr>
  </w:style>
  <w:style w:type="paragraph" w:customStyle="1" w:styleId="107">
    <w:name w:val="正文 1.5 倍行距"/>
    <w:basedOn w:val="1"/>
    <w:link w:val="106"/>
    <w:qFormat/>
    <w:uiPriority w:val="0"/>
    <w:pPr>
      <w:autoSpaceDE w:val="0"/>
      <w:autoSpaceDN w:val="0"/>
      <w:adjustRightInd w:val="0"/>
      <w:spacing w:line="360" w:lineRule="auto"/>
      <w:ind w:firstLine="480" w:firstLineChars="200"/>
      <w:textAlignment w:val="baseline"/>
    </w:pPr>
    <w:rPr>
      <w:kern w:val="0"/>
      <w:sz w:val="24"/>
      <w:szCs w:val="20"/>
    </w:rPr>
  </w:style>
  <w:style w:type="character" w:customStyle="1" w:styleId="108">
    <w:name w:val="Date Char Char"/>
    <w:link w:val="109"/>
    <w:qFormat/>
    <w:uiPriority w:val="0"/>
    <w:rPr>
      <w:rFonts w:eastAsia="宋体"/>
      <w:lang w:val="en-US" w:eastAsia="zh-CN" w:bidi="ar-SA"/>
    </w:rPr>
  </w:style>
  <w:style w:type="paragraph" w:customStyle="1" w:styleId="109">
    <w:name w:val="日期1"/>
    <w:basedOn w:val="1"/>
    <w:next w:val="1"/>
    <w:link w:val="108"/>
    <w:qFormat/>
    <w:uiPriority w:val="0"/>
    <w:pPr>
      <w:adjustRightInd w:val="0"/>
      <w:spacing w:line="360" w:lineRule="atLeast"/>
      <w:ind w:left="100" w:leftChars="2500"/>
      <w:textAlignment w:val="baseline"/>
    </w:pPr>
    <w:rPr>
      <w:kern w:val="0"/>
      <w:sz w:val="20"/>
      <w:szCs w:val="20"/>
    </w:rPr>
  </w:style>
  <w:style w:type="character" w:customStyle="1" w:styleId="110">
    <w:name w:val="number"/>
    <w:qFormat/>
    <w:uiPriority w:val="0"/>
    <w:rPr>
      <w:color w:val="FF8833"/>
      <w:sz w:val="18"/>
      <w:szCs w:val="18"/>
    </w:rPr>
  </w:style>
  <w:style w:type="character" w:customStyle="1" w:styleId="111">
    <w:name w:val="Body Text Indent Char Char"/>
    <w:link w:val="112"/>
    <w:qFormat/>
    <w:uiPriority w:val="0"/>
    <w:rPr>
      <w:lang w:bidi="ar-SA"/>
    </w:rPr>
  </w:style>
  <w:style w:type="paragraph" w:customStyle="1" w:styleId="112">
    <w:name w:val="正文文本缩进1"/>
    <w:basedOn w:val="1"/>
    <w:link w:val="111"/>
    <w:qFormat/>
    <w:uiPriority w:val="0"/>
    <w:pPr>
      <w:spacing w:after="120"/>
      <w:ind w:left="420" w:leftChars="200"/>
    </w:pPr>
    <w:rPr>
      <w:kern w:val="0"/>
      <w:sz w:val="20"/>
      <w:szCs w:val="20"/>
    </w:rPr>
  </w:style>
  <w:style w:type="character" w:customStyle="1" w:styleId="113">
    <w:name w:val="纯文本 Char1"/>
    <w:semiHidden/>
    <w:qFormat/>
    <w:uiPriority w:val="0"/>
    <w:rPr>
      <w:rFonts w:ascii="宋体" w:hAnsi="Courier New" w:eastAsia="宋体" w:cs="Courier New"/>
      <w:sz w:val="21"/>
      <w:szCs w:val="21"/>
    </w:rPr>
  </w:style>
  <w:style w:type="character" w:customStyle="1" w:styleId="114">
    <w:name w:val="style1"/>
    <w:qFormat/>
    <w:uiPriority w:val="0"/>
  </w:style>
  <w:style w:type="character" w:customStyle="1" w:styleId="115">
    <w:name w:val="proollist"/>
    <w:qFormat/>
    <w:uiPriority w:val="0"/>
  </w:style>
  <w:style w:type="character" w:customStyle="1" w:styleId="116">
    <w:name w:val="Comment Text Char"/>
    <w:qFormat/>
    <w:uiPriority w:val="0"/>
    <w:rPr>
      <w:rFonts w:eastAsia="宋体"/>
      <w:lang w:val="en-US" w:eastAsia="zh-CN" w:bidi="ar-SA"/>
    </w:rPr>
  </w:style>
  <w:style w:type="character" w:customStyle="1" w:styleId="117">
    <w:name w:val="批注文字 Char"/>
    <w:semiHidden/>
    <w:qFormat/>
    <w:locked/>
    <w:uiPriority w:val="0"/>
    <w:rPr>
      <w:rFonts w:ascii="Times New Roman" w:hAnsi="Times New Roman"/>
      <w:sz w:val="24"/>
    </w:rPr>
  </w:style>
  <w:style w:type="character" w:customStyle="1" w:styleId="118">
    <w:name w:val="beforeinfotext"/>
    <w:qFormat/>
    <w:uiPriority w:val="0"/>
    <w:rPr>
      <w:color w:val="666666"/>
    </w:rPr>
  </w:style>
  <w:style w:type="character" w:customStyle="1" w:styleId="119">
    <w:name w:val="标题 1 Char1"/>
    <w:qFormat/>
    <w:uiPriority w:val="0"/>
    <w:rPr>
      <w:b/>
      <w:bCs/>
      <w:kern w:val="44"/>
      <w:sz w:val="30"/>
      <w:szCs w:val="44"/>
    </w:rPr>
  </w:style>
  <w:style w:type="character" w:customStyle="1" w:styleId="120">
    <w:name w:val="Body Text Indent 3 Char"/>
    <w:semiHidden/>
    <w:qFormat/>
    <w:locked/>
    <w:uiPriority w:val="0"/>
    <w:rPr>
      <w:rFonts w:ascii="Times New Roman" w:hAnsi="Times New Roman"/>
      <w:sz w:val="16"/>
    </w:rPr>
  </w:style>
  <w:style w:type="character" w:customStyle="1" w:styleId="121">
    <w:name w:val="16"/>
    <w:qFormat/>
    <w:uiPriority w:val="0"/>
    <w:rPr>
      <w:rFonts w:hint="default" w:ascii="Times New Roman" w:hAnsi="Times New Roman" w:cs="Times New Roman"/>
      <w:color w:val="0000FF"/>
      <w:u w:val="single"/>
    </w:rPr>
  </w:style>
  <w:style w:type="character" w:customStyle="1" w:styleId="122">
    <w:name w:val="正文2 Char"/>
    <w:link w:val="123"/>
    <w:qFormat/>
    <w:uiPriority w:val="0"/>
    <w:rPr>
      <w:rFonts w:eastAsia="宋体"/>
      <w:kern w:val="2"/>
      <w:sz w:val="24"/>
      <w:lang w:val="en-US" w:eastAsia="zh-CN" w:bidi="ar-SA"/>
    </w:rPr>
  </w:style>
  <w:style w:type="paragraph" w:customStyle="1" w:styleId="123">
    <w:name w:val="正文2"/>
    <w:basedOn w:val="1"/>
    <w:link w:val="122"/>
    <w:qFormat/>
    <w:uiPriority w:val="0"/>
    <w:pPr>
      <w:spacing w:before="156" w:line="360" w:lineRule="auto"/>
      <w:ind w:firstLine="510" w:firstLineChars="200"/>
    </w:pPr>
    <w:rPr>
      <w:sz w:val="24"/>
      <w:szCs w:val="20"/>
    </w:rPr>
  </w:style>
  <w:style w:type="character" w:customStyle="1" w:styleId="124">
    <w:name w:val="bulletintext1"/>
    <w:qFormat/>
    <w:uiPriority w:val="0"/>
    <w:rPr>
      <w:color w:val="000000"/>
      <w:sz w:val="18"/>
    </w:rPr>
  </w:style>
  <w:style w:type="character" w:customStyle="1" w:styleId="125">
    <w:name w:val="页眉 Char"/>
    <w:qFormat/>
    <w:uiPriority w:val="99"/>
    <w:rPr>
      <w:rFonts w:ascii="Arial" w:hAnsi="Arial" w:eastAsia="宋体"/>
      <w:kern w:val="2"/>
      <w:sz w:val="18"/>
      <w:lang w:val="en-US" w:eastAsia="zh-CN"/>
    </w:rPr>
  </w:style>
  <w:style w:type="character" w:customStyle="1" w:styleId="126">
    <w:name w:val="Plain Text Char Char"/>
    <w:link w:val="127"/>
    <w:qFormat/>
    <w:uiPriority w:val="0"/>
    <w:rPr>
      <w:rFonts w:ascii="宋体" w:hAnsi="Courier New"/>
      <w:sz w:val="21"/>
      <w:szCs w:val="21"/>
      <w:lang w:bidi="ar-SA"/>
    </w:rPr>
  </w:style>
  <w:style w:type="paragraph" w:customStyle="1" w:styleId="127">
    <w:name w:val="纯文本1"/>
    <w:basedOn w:val="128"/>
    <w:link w:val="126"/>
    <w:qFormat/>
    <w:uiPriority w:val="0"/>
    <w:rPr>
      <w:rFonts w:hint="default" w:ascii="宋体" w:hAnsi="Courier New"/>
      <w:kern w:val="0"/>
      <w:szCs w:val="21"/>
    </w:rPr>
  </w:style>
  <w:style w:type="paragraph" w:customStyle="1" w:styleId="128">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29">
    <w:name w:val="Char Char21"/>
    <w:qFormat/>
    <w:uiPriority w:val="0"/>
    <w:rPr>
      <w:rFonts w:eastAsia="Century Gothic"/>
      <w:b/>
      <w:bCs/>
      <w:kern w:val="44"/>
      <w:sz w:val="32"/>
      <w:szCs w:val="44"/>
      <w:lang w:val="en-US" w:eastAsia="zh-CN" w:bidi="ar-SA"/>
    </w:rPr>
  </w:style>
  <w:style w:type="character" w:customStyle="1" w:styleId="130">
    <w:name w:val="stclosebtn"/>
    <w:qFormat/>
    <w:uiPriority w:val="0"/>
  </w:style>
  <w:style w:type="character" w:customStyle="1" w:styleId="131">
    <w:name w:val="Document Map Char Char"/>
    <w:link w:val="132"/>
    <w:qFormat/>
    <w:uiPriority w:val="0"/>
    <w:rPr>
      <w:sz w:val="2"/>
      <w:szCs w:val="2"/>
      <w:lang w:bidi="ar-SA"/>
    </w:rPr>
  </w:style>
  <w:style w:type="paragraph" w:customStyle="1" w:styleId="132">
    <w:name w:val="文档结构图1"/>
    <w:basedOn w:val="1"/>
    <w:link w:val="131"/>
    <w:qFormat/>
    <w:uiPriority w:val="0"/>
    <w:pPr>
      <w:shd w:val="clear" w:color="auto" w:fill="000080"/>
      <w:adjustRightInd w:val="0"/>
      <w:spacing w:line="360" w:lineRule="atLeast"/>
      <w:textAlignment w:val="baseline"/>
    </w:pPr>
    <w:rPr>
      <w:kern w:val="0"/>
      <w:sz w:val="2"/>
      <w:szCs w:val="2"/>
    </w:rPr>
  </w:style>
  <w:style w:type="paragraph" w:customStyle="1" w:styleId="13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3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3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18"/>
      <w:szCs w:val="18"/>
    </w:rPr>
  </w:style>
  <w:style w:type="paragraph" w:customStyle="1" w:styleId="13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8">
    <w:name w:val="标书标题4"/>
    <w:basedOn w:val="9"/>
    <w:qFormat/>
    <w:uiPriority w:val="0"/>
    <w:pPr>
      <w:widowControl w:val="0"/>
      <w:adjustRightInd w:val="0"/>
      <w:snapToGrid w:val="0"/>
      <w:spacing w:line="300" w:lineRule="auto"/>
      <w:jc w:val="both"/>
    </w:pPr>
    <w:rPr>
      <w:rFonts w:eastAsia="Courier New"/>
      <w:b/>
      <w:snapToGrid/>
      <w:color w:val="000000"/>
      <w:sz w:val="28"/>
      <w:szCs w:val="32"/>
    </w:rPr>
  </w:style>
  <w:style w:type="paragraph" w:customStyle="1" w:styleId="13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0">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41">
    <w:name w:val="xl1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18"/>
      <w:szCs w:val="18"/>
    </w:rPr>
  </w:style>
  <w:style w:type="paragraph" w:customStyle="1" w:styleId="143">
    <w:name w:val="节"/>
    <w:basedOn w:val="6"/>
    <w:qFormat/>
    <w:uiPriority w:val="0"/>
    <w:pPr>
      <w:adjustRightInd/>
      <w:spacing w:before="160" w:after="160" w:line="720" w:lineRule="exact"/>
      <w:jc w:val="center"/>
    </w:pPr>
    <w:rPr>
      <w:rFonts w:ascii="Arial" w:hAnsi="Arial"/>
      <w:b w:val="0"/>
      <w:color w:val="000000"/>
      <w:spacing w:val="14"/>
      <w:kern w:val="24"/>
      <w:sz w:val="28"/>
      <w:szCs w:val="20"/>
    </w:rPr>
  </w:style>
  <w:style w:type="paragraph" w:customStyle="1" w:styleId="14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18"/>
      <w:szCs w:val="18"/>
    </w:rPr>
  </w:style>
  <w:style w:type="paragraph" w:customStyle="1" w:styleId="145">
    <w:name w:val="正文段"/>
    <w:basedOn w:val="1"/>
    <w:qFormat/>
    <w:uiPriority w:val="0"/>
    <w:pPr>
      <w:widowControl/>
      <w:snapToGrid w:val="0"/>
      <w:spacing w:afterLines="50"/>
      <w:ind w:firstLine="200" w:firstLineChars="200"/>
    </w:pPr>
    <w:rPr>
      <w:kern w:val="0"/>
      <w:sz w:val="24"/>
      <w:szCs w:val="20"/>
    </w:rPr>
  </w:style>
  <w:style w:type="paragraph" w:customStyle="1" w:styleId="146">
    <w:name w:val="Char"/>
    <w:basedOn w:val="1"/>
    <w:qFormat/>
    <w:uiPriority w:val="0"/>
  </w:style>
  <w:style w:type="paragraph" w:customStyle="1" w:styleId="147">
    <w:name w:val="Char1 Char Char Char Char Char1 Char Char Char Char Char Char1 Char"/>
    <w:basedOn w:val="1"/>
    <w:qFormat/>
    <w:uiPriority w:val="0"/>
    <w:pPr>
      <w:numPr>
        <w:ilvl w:val="0"/>
        <w:numId w:val="3"/>
      </w:numPr>
    </w:pPr>
    <w:rPr>
      <w:sz w:val="24"/>
    </w:rPr>
  </w:style>
  <w:style w:type="paragraph" w:customStyle="1" w:styleId="148">
    <w:name w:val="title11"/>
    <w:basedOn w:val="1"/>
    <w:qFormat/>
    <w:uiPriority w:val="0"/>
    <w:pPr>
      <w:spacing w:before="150"/>
      <w:jc w:val="left"/>
    </w:pPr>
    <w:rPr>
      <w:b/>
      <w:kern w:val="0"/>
    </w:rPr>
  </w:style>
  <w:style w:type="paragraph" w:customStyle="1" w:styleId="14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51">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15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5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18"/>
      <w:szCs w:val="18"/>
    </w:rPr>
  </w:style>
  <w:style w:type="paragraph" w:customStyle="1" w:styleId="154">
    <w:name w:val="List Paragraph1"/>
    <w:basedOn w:val="1"/>
    <w:qFormat/>
    <w:uiPriority w:val="0"/>
    <w:pPr>
      <w:ind w:firstLine="420" w:firstLineChars="200"/>
    </w:pPr>
  </w:style>
  <w:style w:type="paragraph" w:customStyle="1" w:styleId="155">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5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5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15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9">
    <w:name w:val="xl27"/>
    <w:basedOn w:val="1"/>
    <w:qFormat/>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160">
    <w:name w:val="列出段落1"/>
    <w:basedOn w:val="1"/>
    <w:qFormat/>
    <w:uiPriority w:val="0"/>
    <w:pPr>
      <w:ind w:firstLine="420" w:firstLineChars="200"/>
    </w:pPr>
    <w:rPr>
      <w:rFonts w:ascii="Calibri" w:hAnsi="Calibri"/>
      <w:szCs w:val="22"/>
    </w:rPr>
  </w:style>
  <w:style w:type="paragraph" w:customStyle="1" w:styleId="161">
    <w:name w:val="Body Text 21"/>
    <w:basedOn w:val="1"/>
    <w:qFormat/>
    <w:uiPriority w:val="0"/>
    <w:pPr>
      <w:adjustRightInd w:val="0"/>
      <w:spacing w:line="300" w:lineRule="auto"/>
      <w:jc w:val="center"/>
    </w:pPr>
    <w:rPr>
      <w:rFonts w:ascii="Century Gothic" w:hAnsi="Century Gothic"/>
      <w:sz w:val="24"/>
      <w:szCs w:val="20"/>
    </w:rPr>
  </w:style>
  <w:style w:type="paragraph" w:customStyle="1" w:styleId="162">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63">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6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6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18"/>
      <w:szCs w:val="18"/>
    </w:rPr>
  </w:style>
  <w:style w:type="paragraph" w:customStyle="1" w:styleId="167">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68">
    <w:name w:val="TOC 标题1"/>
    <w:basedOn w:val="5"/>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16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17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7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7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3">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18"/>
      <w:szCs w:val="18"/>
    </w:rPr>
  </w:style>
  <w:style w:type="paragraph" w:customStyle="1" w:styleId="17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宋体" w:hAnsi="宋体" w:cs="宋体"/>
      <w:b/>
      <w:bCs/>
      <w:kern w:val="0"/>
      <w:sz w:val="18"/>
      <w:szCs w:val="18"/>
    </w:rPr>
  </w:style>
  <w:style w:type="paragraph" w:customStyle="1" w:styleId="17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76">
    <w:name w:val="xl120"/>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17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17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18"/>
      <w:szCs w:val="18"/>
    </w:rPr>
  </w:style>
  <w:style w:type="paragraph" w:customStyle="1" w:styleId="180">
    <w:name w:val="title1"/>
    <w:basedOn w:val="1"/>
    <w:qFormat/>
    <w:uiPriority w:val="0"/>
    <w:pPr>
      <w:spacing w:before="150"/>
      <w:jc w:val="left"/>
    </w:pPr>
    <w:rPr>
      <w:b/>
      <w:kern w:val="0"/>
    </w:rPr>
  </w:style>
  <w:style w:type="paragraph" w:customStyle="1" w:styleId="181">
    <w:name w:val="标书标题3"/>
    <w:basedOn w:val="8"/>
    <w:qFormat/>
    <w:uiPriority w:val="0"/>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182">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83">
    <w:name w:val="font1"/>
    <w:basedOn w:val="1"/>
    <w:qFormat/>
    <w:uiPriority w:val="0"/>
    <w:pPr>
      <w:widowControl/>
      <w:spacing w:before="100" w:beforeAutospacing="1" w:after="100" w:afterAutospacing="1"/>
      <w:jc w:val="left"/>
    </w:pPr>
    <w:rPr>
      <w:rFonts w:ascii="Century Gothic" w:hAnsi="Century Gothic"/>
      <w:kern w:val="0"/>
      <w:sz w:val="24"/>
      <w:szCs w:val="20"/>
    </w:rPr>
  </w:style>
  <w:style w:type="paragraph" w:customStyle="1" w:styleId="184">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85">
    <w:name w:val="p20"/>
    <w:basedOn w:val="1"/>
    <w:qFormat/>
    <w:uiPriority w:val="0"/>
    <w:pPr>
      <w:widowControl/>
      <w:ind w:firstLine="420"/>
    </w:pPr>
    <w:rPr>
      <w:rFonts w:ascii="Calibri" w:hAnsi="Calibri" w:cs="宋体"/>
      <w:kern w:val="0"/>
      <w:szCs w:val="21"/>
    </w:rPr>
  </w:style>
  <w:style w:type="paragraph" w:customStyle="1" w:styleId="18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7">
    <w:name w:val="xl12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18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8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191">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2">
    <w:name w:val="Char11"/>
    <w:basedOn w:val="1"/>
    <w:qFormat/>
    <w:uiPriority w:val="0"/>
    <w:rPr>
      <w:rFonts w:ascii="Courier New" w:eastAsia="Courier New"/>
      <w:b/>
      <w:sz w:val="32"/>
      <w:szCs w:val="32"/>
    </w:rPr>
  </w:style>
  <w:style w:type="paragraph" w:customStyle="1" w:styleId="19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94">
    <w:name w:val="正文文字格式"/>
    <w:basedOn w:val="1"/>
    <w:qFormat/>
    <w:uiPriority w:val="0"/>
    <w:pPr>
      <w:spacing w:line="460" w:lineRule="exact"/>
      <w:ind w:firstLine="505"/>
      <w:jc w:val="left"/>
    </w:pPr>
    <w:rPr>
      <w:rFonts w:ascii="Century Gothic"/>
      <w:kern w:val="24"/>
      <w:sz w:val="24"/>
      <w:szCs w:val="20"/>
    </w:rPr>
  </w:style>
  <w:style w:type="paragraph" w:customStyle="1" w:styleId="1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18"/>
      <w:szCs w:val="18"/>
    </w:rPr>
  </w:style>
  <w:style w:type="paragraph" w:customStyle="1" w:styleId="196">
    <w:name w:val="标书标题2"/>
    <w:basedOn w:val="6"/>
    <w:qFormat/>
    <w:uiPriority w:val="0"/>
    <w:pPr>
      <w:keepLines w:val="0"/>
      <w:widowControl/>
      <w:tabs>
        <w:tab w:val="left" w:pos="1320"/>
      </w:tabs>
      <w:spacing w:beforeLines="50" w:after="60" w:line="300" w:lineRule="auto"/>
      <w:ind w:left="1320" w:hanging="420"/>
      <w:jc w:val="both"/>
    </w:pPr>
    <w:rPr>
      <w:rFonts w:eastAsia="Courier New"/>
      <w:color w:val="000000"/>
      <w:kern w:val="0"/>
      <w:sz w:val="28"/>
      <w:szCs w:val="20"/>
    </w:rPr>
  </w:style>
  <w:style w:type="paragraph" w:customStyle="1" w:styleId="197">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9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9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1">
    <w:name w:val="Char Char1 Char Char Char Char Char Char"/>
    <w:basedOn w:val="1"/>
    <w:qFormat/>
    <w:uiPriority w:val="0"/>
    <w:pPr>
      <w:widowControl/>
      <w:spacing w:after="160" w:line="240" w:lineRule="exact"/>
      <w:jc w:val="left"/>
    </w:pPr>
    <w:rPr>
      <w:rFonts w:ascii="宋体" w:hAnsi="宋体" w:cs="宋体"/>
      <w:kern w:val="0"/>
      <w:szCs w:val="20"/>
    </w:rPr>
  </w:style>
  <w:style w:type="paragraph" w:customStyle="1" w:styleId="20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03">
    <w:name w:val="标题6"/>
    <w:basedOn w:val="1"/>
    <w:next w:val="5"/>
    <w:qFormat/>
    <w:uiPriority w:val="0"/>
    <w:pPr>
      <w:widowControl/>
      <w:snapToGrid w:val="0"/>
      <w:spacing w:beforeLines="50" w:afterLines="50" w:line="520" w:lineRule="atLeast"/>
      <w:ind w:firstLine="200" w:firstLineChars="200"/>
    </w:pPr>
    <w:rPr>
      <w:b/>
      <w:sz w:val="24"/>
    </w:rPr>
  </w:style>
  <w:style w:type="paragraph" w:customStyle="1" w:styleId="204">
    <w:name w:val="小节"/>
    <w:basedOn w:val="8"/>
    <w:qFormat/>
    <w:uiPriority w:val="0"/>
    <w:pPr>
      <w:spacing w:before="200" w:after="200" w:line="560" w:lineRule="exact"/>
      <w:jc w:val="left"/>
    </w:pPr>
    <w:rPr>
      <w:rFonts w:ascii="Century Gothic" w:hAnsi="Century Gothic"/>
      <w:bCs w:val="0"/>
      <w:color w:val="000000"/>
      <w:spacing w:val="10"/>
      <w:kern w:val="24"/>
      <w:sz w:val="28"/>
    </w:rPr>
  </w:style>
  <w:style w:type="paragraph" w:customStyle="1" w:styleId="205">
    <w:name w:val="Table Paragraph"/>
    <w:basedOn w:val="1"/>
    <w:qFormat/>
    <w:uiPriority w:val="1"/>
    <w:rPr>
      <w:rFonts w:ascii="宋体" w:hAnsi="宋体" w:cs="宋体"/>
      <w:lang w:val="zh-CN" w:bidi="zh-CN"/>
    </w:rPr>
  </w:style>
  <w:style w:type="paragraph" w:customStyle="1" w:styleId="206">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7">
    <w:name w:val="font6"/>
    <w:basedOn w:val="1"/>
    <w:qFormat/>
    <w:uiPriority w:val="0"/>
    <w:pPr>
      <w:widowControl/>
      <w:spacing w:before="100" w:beforeAutospacing="1" w:after="100" w:afterAutospacing="1"/>
      <w:jc w:val="left"/>
    </w:pPr>
    <w:rPr>
      <w:kern w:val="0"/>
      <w:sz w:val="18"/>
      <w:szCs w:val="18"/>
    </w:rPr>
  </w:style>
  <w:style w:type="paragraph" w:customStyle="1" w:styleId="20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20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20"/>
      <w:szCs w:val="20"/>
    </w:rPr>
  </w:style>
  <w:style w:type="paragraph" w:customStyle="1" w:styleId="21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1">
    <w:name w:val="Char Char26"/>
    <w:basedOn w:val="1"/>
    <w:qFormat/>
    <w:uiPriority w:val="0"/>
    <w:pPr>
      <w:adjustRightInd w:val="0"/>
    </w:pPr>
    <w:rPr>
      <w:rFonts w:ascii="仿宋_GB2312" w:eastAsia="仿宋_GB2312"/>
      <w:b/>
      <w:sz w:val="32"/>
      <w:szCs w:val="32"/>
    </w:rPr>
  </w:style>
  <w:style w:type="paragraph" w:customStyle="1" w:styleId="21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214">
    <w:name w:val="表头"/>
    <w:basedOn w:val="1"/>
    <w:qFormat/>
    <w:uiPriority w:val="0"/>
    <w:pPr>
      <w:adjustRightInd w:val="0"/>
      <w:spacing w:before="60" w:after="60" w:line="420" w:lineRule="atLeast"/>
      <w:jc w:val="left"/>
      <w:textAlignment w:val="baseline"/>
    </w:pPr>
    <w:rPr>
      <w:rFonts w:ascii="黑体" w:eastAsia="黑体"/>
      <w:b/>
      <w:kern w:val="0"/>
      <w:szCs w:val="20"/>
    </w:rPr>
  </w:style>
  <w:style w:type="paragraph" w:customStyle="1" w:styleId="21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21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1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18">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19">
    <w:name w:val="样式3"/>
    <w:basedOn w:val="27"/>
    <w:qFormat/>
    <w:uiPriority w:val="0"/>
    <w:pPr>
      <w:adjustRightInd w:val="0"/>
      <w:spacing w:line="0" w:lineRule="atLeast"/>
      <w:textAlignment w:val="baseline"/>
      <w:outlineLvl w:val="0"/>
    </w:pPr>
    <w:rPr>
      <w:rFonts w:ascii="宋体" w:hAnsi="Courier New" w:cs="Times New Roman"/>
      <w:sz w:val="28"/>
      <w:szCs w:val="20"/>
    </w:rPr>
  </w:style>
  <w:style w:type="paragraph" w:customStyle="1" w:styleId="220">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b/>
      <w:bCs/>
      <w:kern w:val="0"/>
      <w:sz w:val="18"/>
      <w:szCs w:val="18"/>
    </w:rPr>
  </w:style>
  <w:style w:type="paragraph" w:customStyle="1" w:styleId="22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23">
    <w:name w:val="招标文件－标准正文"/>
    <w:basedOn w:val="27"/>
    <w:qFormat/>
    <w:uiPriority w:val="0"/>
    <w:pPr>
      <w:spacing w:line="360" w:lineRule="auto"/>
    </w:pPr>
    <w:rPr>
      <w:rFonts w:cs="宋体"/>
      <w:color w:val="000000"/>
      <w:szCs w:val="20"/>
    </w:rPr>
  </w:style>
  <w:style w:type="paragraph" w:customStyle="1" w:styleId="224">
    <w:name w:val="Char3 Char Char Char"/>
    <w:basedOn w:val="1"/>
    <w:qFormat/>
    <w:uiPriority w:val="0"/>
    <w:pPr>
      <w:widowControl/>
      <w:spacing w:after="160" w:line="240" w:lineRule="exact"/>
      <w:jc w:val="left"/>
    </w:pPr>
    <w:rPr>
      <w:szCs w:val="20"/>
    </w:rPr>
  </w:style>
  <w:style w:type="paragraph" w:customStyle="1" w:styleId="225">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226">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18"/>
      <w:szCs w:val="18"/>
    </w:rPr>
  </w:style>
  <w:style w:type="paragraph" w:customStyle="1" w:styleId="231">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18"/>
      <w:szCs w:val="18"/>
    </w:rPr>
  </w:style>
  <w:style w:type="paragraph" w:customStyle="1" w:styleId="232">
    <w:name w:val="Char Char Char Char"/>
    <w:basedOn w:val="1"/>
    <w:qFormat/>
    <w:uiPriority w:val="0"/>
    <w:pPr>
      <w:widowControl/>
      <w:spacing w:after="160" w:line="240" w:lineRule="exact"/>
      <w:jc w:val="left"/>
    </w:pPr>
    <w:rPr>
      <w:rFonts w:eastAsia="Times New Roman" w:cs="Verdana"/>
      <w:b/>
      <w:kern w:val="0"/>
      <w:sz w:val="24"/>
      <w:szCs w:val="20"/>
      <w:lang w:eastAsia="en-US"/>
    </w:rPr>
  </w:style>
  <w:style w:type="paragraph" w:customStyle="1" w:styleId="23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23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5">
    <w:name w:val="Char1"/>
    <w:basedOn w:val="1"/>
    <w:qFormat/>
    <w:uiPriority w:val="0"/>
    <w:pPr>
      <w:widowControl/>
      <w:spacing w:after="160" w:line="240" w:lineRule="exact"/>
      <w:jc w:val="left"/>
    </w:pPr>
    <w:rPr>
      <w:szCs w:val="20"/>
    </w:rPr>
  </w:style>
  <w:style w:type="paragraph" w:customStyle="1" w:styleId="23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18"/>
      <w:szCs w:val="18"/>
    </w:rPr>
  </w:style>
  <w:style w:type="paragraph" w:customStyle="1" w:styleId="237">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38">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9">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2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4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4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18"/>
      <w:szCs w:val="18"/>
    </w:rPr>
  </w:style>
  <w:style w:type="paragraph" w:customStyle="1" w:styleId="24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4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5">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FF0000"/>
      <w:kern w:val="0"/>
      <w:sz w:val="20"/>
      <w:szCs w:val="20"/>
    </w:rPr>
  </w:style>
  <w:style w:type="paragraph" w:customStyle="1" w:styleId="24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2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24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50">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251">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52">
    <w:name w:val="p18"/>
    <w:basedOn w:val="1"/>
    <w:qFormat/>
    <w:uiPriority w:val="0"/>
    <w:pPr>
      <w:widowControl/>
      <w:ind w:firstLine="420"/>
    </w:pPr>
    <w:rPr>
      <w:rFonts w:ascii="Calibri" w:hAnsi="Calibri" w:cs="宋体"/>
      <w:kern w:val="0"/>
      <w:szCs w:val="21"/>
    </w:rPr>
  </w:style>
  <w:style w:type="paragraph" w:customStyle="1" w:styleId="253">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8"/>
      <w:szCs w:val="18"/>
    </w:rPr>
  </w:style>
  <w:style w:type="paragraph" w:customStyle="1" w:styleId="254">
    <w:name w:val="p0"/>
    <w:basedOn w:val="1"/>
    <w:qFormat/>
    <w:uiPriority w:val="0"/>
    <w:pPr>
      <w:widowControl/>
    </w:pPr>
    <w:rPr>
      <w:rFonts w:ascii="Calibri" w:hAnsi="Calibri" w:cs="宋体"/>
      <w:kern w:val="0"/>
      <w:szCs w:val="21"/>
    </w:rPr>
  </w:style>
  <w:style w:type="paragraph" w:customStyle="1" w:styleId="255">
    <w:name w:val="样式5"/>
    <w:basedOn w:val="9"/>
    <w:qFormat/>
    <w:uiPriority w:val="0"/>
    <w:pPr>
      <w:keepLines/>
      <w:widowControl w:val="0"/>
      <w:spacing w:before="280" w:after="290" w:line="376" w:lineRule="auto"/>
    </w:pPr>
    <w:rPr>
      <w:rFonts w:ascii="Century Gothic" w:hAnsi="Century Gothic" w:eastAsia="Century Gothic"/>
      <w:b/>
      <w:bCs/>
      <w:snapToGrid/>
      <w:kern w:val="2"/>
      <w:sz w:val="32"/>
      <w:szCs w:val="32"/>
    </w:rPr>
  </w:style>
  <w:style w:type="paragraph" w:customStyle="1" w:styleId="256">
    <w:name w:val="默认段落字体 Para Char Char Char Char Char Char Char"/>
    <w:basedOn w:val="1"/>
    <w:qFormat/>
    <w:uiPriority w:val="0"/>
    <w:rPr>
      <w:rFonts w:eastAsia="仿宋_GB2312"/>
      <w:sz w:val="28"/>
    </w:rPr>
  </w:style>
  <w:style w:type="paragraph" w:customStyle="1" w:styleId="257">
    <w:name w:val="_Style 5"/>
    <w:basedOn w:val="5"/>
    <w:next w:val="1"/>
    <w:qFormat/>
    <w:uiPriority w:val="0"/>
    <w:pPr>
      <w:outlineLvl w:val="9"/>
    </w:pPr>
  </w:style>
  <w:style w:type="table" w:customStyle="1" w:styleId="258">
    <w:name w:val="网格型1"/>
    <w:basedOn w:val="4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260">
    <w:name w:val="No Spacing"/>
    <w:qFormat/>
    <w:uiPriority w:val="1"/>
    <w:rPr>
      <w:rFonts w:ascii="Calibri" w:hAnsi="Calibri" w:eastAsia="Calibri" w:cs="Times New Roman"/>
      <w:sz w:val="22"/>
      <w:szCs w:val="22"/>
      <w:lang w:val="en-US" w:eastAsia="en-US" w:bidi="ar-SA"/>
    </w:rPr>
  </w:style>
  <w:style w:type="paragraph" w:customStyle="1" w:styleId="261">
    <w:name w:val="_Style 16"/>
    <w:basedOn w:val="1"/>
    <w:next w:val="60"/>
    <w:qFormat/>
    <w:uiPriority w:val="34"/>
    <w:pPr>
      <w:widowControl/>
      <w:ind w:left="720"/>
      <w:contextualSpacing/>
      <w:jc w:val="left"/>
    </w:pPr>
    <w:rPr>
      <w:rFonts w:eastAsia="Times New Roman"/>
      <w:kern w:val="0"/>
      <w:sz w:val="24"/>
      <w:lang w:eastAsia="en-US"/>
    </w:rPr>
  </w:style>
  <w:style w:type="character" w:customStyle="1" w:styleId="262">
    <w:name w:val="Style Arial 10 pt Red"/>
    <w:qFormat/>
    <w:uiPriority w:val="0"/>
    <w:rPr>
      <w:rFonts w:ascii="Arial" w:hAnsi="Arial"/>
      <w:color w:val="auto"/>
      <w:sz w:val="20"/>
    </w:rPr>
  </w:style>
  <w:style w:type="paragraph" w:customStyle="1" w:styleId="263">
    <w:name w:val="INDENT 0.25 ARIAL 10 BLACK"/>
    <w:basedOn w:val="1"/>
    <w:qFormat/>
    <w:uiPriority w:val="0"/>
    <w:pPr>
      <w:widowControl/>
      <w:tabs>
        <w:tab w:val="left" w:pos="720"/>
        <w:tab w:val="left" w:pos="840"/>
      </w:tabs>
      <w:ind w:left="720" w:right="446" w:hanging="420"/>
      <w:jc w:val="left"/>
    </w:pPr>
    <w:rPr>
      <w:rFonts w:ascii="Arial" w:hAnsi="Arial" w:eastAsia="Times New Roman"/>
      <w:kern w:val="32"/>
      <w:sz w:val="20"/>
      <w:szCs w:val="20"/>
      <w:lang w:eastAsia="en-US"/>
    </w:rPr>
  </w:style>
  <w:style w:type="paragraph" w:customStyle="1" w:styleId="264">
    <w:name w:val="彩色列表1"/>
    <w:basedOn w:val="1"/>
    <w:qFormat/>
    <w:uiPriority w:val="0"/>
    <w:pPr>
      <w:ind w:firstLine="420" w:firstLineChars="200"/>
    </w:pPr>
  </w:style>
  <w:style w:type="paragraph" w:customStyle="1" w:styleId="265">
    <w:name w:val="二级标题‘（一）’"/>
    <w:next w:val="1"/>
    <w:qFormat/>
    <w:uiPriority w:val="0"/>
    <w:pPr>
      <w:keepNext/>
      <w:keepLines/>
      <w:widowControl w:val="0"/>
      <w:spacing w:line="660" w:lineRule="exact"/>
      <w:outlineLvl w:val="1"/>
    </w:pPr>
    <w:rPr>
      <w:rFonts w:ascii="仿宋_GB2312" w:hAnsi="宋体" w:eastAsia="楷体_GB2312" w:cs="宋体"/>
      <w:color w:val="000000"/>
      <w:sz w:val="30"/>
      <w:szCs w:val="24"/>
      <w:lang w:val="en-US" w:eastAsia="zh-CN" w:bidi="ar-SA"/>
    </w:rPr>
  </w:style>
  <w:style w:type="paragraph" w:customStyle="1" w:styleId="266">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34</Pages>
  <Words>12867</Words>
  <Characters>13744</Characters>
  <Lines>117</Lines>
  <Paragraphs>33</Paragraphs>
  <TotalTime>3</TotalTime>
  <ScaleCrop>false</ScaleCrop>
  <LinksUpToDate>false</LinksUpToDate>
  <CharactersWithSpaces>14567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2021-06-03T15:25:00Z</dcterms:created>
  <dc:creator>微软用户</dc:creator>
  <cp:lastModifiedBy>国际招标-阮锦洋</cp:lastModifiedBy>
  <cp:lastPrinted>2017-03-23T16:07:00Z</cp:lastPrinted>
  <dcterms:modified xsi:type="dcterms:W3CDTF">2024-03-27T06:52:40Z</dcterms:modified>
  <dc:title>杭州下沙服务外包人才培训基地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FC777A88DCF842EDBF6E6F757980D176</vt:lpwstr>
  </property>
</Properties>
</file>