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A4B86">
      <w:pPr>
        <w:spacing w:line="360" w:lineRule="auto"/>
        <w:jc w:val="center"/>
        <w:rPr>
          <w:rFonts w:hint="eastAsia" w:ascii="宋体" w:hAnsi="宋体" w:cs="宋体"/>
          <w:b/>
          <w:color w:val="auto"/>
          <w:sz w:val="24"/>
          <w:highlight w:val="none"/>
        </w:rPr>
      </w:pPr>
    </w:p>
    <w:p w14:paraId="2F301AA3">
      <w:pPr>
        <w:rPr>
          <w:color w:val="auto"/>
          <w:highlight w:val="none"/>
        </w:rPr>
      </w:pPr>
    </w:p>
    <w:p w14:paraId="637AB994">
      <w:pPr>
        <w:adjustRightInd/>
        <w:spacing w:line="360" w:lineRule="auto"/>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杭州市生态环境局上城分局</w:t>
      </w:r>
    </w:p>
    <w:p w14:paraId="762E3ED9">
      <w:pPr>
        <w:adjustRightInd/>
        <w:spacing w:line="360" w:lineRule="auto"/>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同协路扬尘治理项目</w:t>
      </w:r>
    </w:p>
    <w:p w14:paraId="672E1419">
      <w:pPr>
        <w:rPr>
          <w:color w:val="auto"/>
          <w:highlight w:val="none"/>
        </w:rPr>
      </w:pPr>
    </w:p>
    <w:p w14:paraId="6DC5FA4A">
      <w:pPr>
        <w:adjustRightInd/>
        <w:spacing w:line="360" w:lineRule="auto"/>
        <w:jc w:val="center"/>
        <w:rPr>
          <w:rFonts w:hint="eastAsia" w:ascii="宋体" w:hAnsi="宋体" w:cs="宋体"/>
          <w:b/>
          <w:bCs/>
          <w:color w:val="auto"/>
          <w:sz w:val="84"/>
          <w:szCs w:val="84"/>
          <w:highlight w:val="none"/>
        </w:rPr>
      </w:pPr>
      <w:r>
        <w:rPr>
          <w:rFonts w:hint="eastAsia" w:ascii="宋体" w:hAnsi="宋体" w:cs="宋体"/>
          <w:b/>
          <w:bCs/>
          <w:color w:val="auto"/>
          <w:sz w:val="84"/>
          <w:szCs w:val="84"/>
          <w:highlight w:val="none"/>
        </w:rPr>
        <w:t>招标文件</w:t>
      </w:r>
    </w:p>
    <w:p w14:paraId="5F1FE8B5">
      <w:pPr>
        <w:adjustRightInd/>
        <w:spacing w:line="360" w:lineRule="auto"/>
        <w:jc w:val="center"/>
        <w:rPr>
          <w:rFonts w:cs="Calibri"/>
          <w:color w:val="auto"/>
          <w:highlight w:val="none"/>
        </w:rPr>
      </w:pPr>
      <w:r>
        <w:rPr>
          <w:rFonts w:cs="Calibri"/>
          <w:color w:val="auto"/>
          <w:highlight w:val="none"/>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stretch>
                      <a:fillRect/>
                    </a:stretch>
                  </pic:blipFill>
                  <pic:spPr>
                    <a:xfrm>
                      <a:off x="0" y="0"/>
                      <a:ext cx="2303780" cy="1790700"/>
                    </a:xfrm>
                    <a:prstGeom prst="rect">
                      <a:avLst/>
                    </a:prstGeom>
                    <a:noFill/>
                    <a:ln w="9525">
                      <a:noFill/>
                    </a:ln>
                  </pic:spPr>
                </pic:pic>
              </a:graphicData>
            </a:graphic>
          </wp:inline>
        </w:drawing>
      </w:r>
    </w:p>
    <w:p w14:paraId="662F6375">
      <w:pPr>
        <w:rPr>
          <w:color w:val="auto"/>
          <w:highlight w:val="none"/>
        </w:rPr>
      </w:pPr>
    </w:p>
    <w:p w14:paraId="43077B6F">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11173BCD">
      <w:pPr>
        <w:snapToGrid w:val="0"/>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编号:CTZB-2025060603</w:t>
      </w:r>
    </w:p>
    <w:p w14:paraId="435DDF38">
      <w:pPr>
        <w:adjustRightInd/>
        <w:spacing w:line="360" w:lineRule="auto"/>
        <w:rPr>
          <w:rFonts w:hint="eastAsia" w:ascii="宋体" w:hAnsi="宋体" w:cs="宋体"/>
          <w:b/>
          <w:bCs/>
          <w:color w:val="auto"/>
          <w:sz w:val="28"/>
          <w:szCs w:val="20"/>
          <w:highlight w:val="none"/>
        </w:rPr>
      </w:pPr>
    </w:p>
    <w:p w14:paraId="03494695">
      <w:pPr>
        <w:spacing w:line="360" w:lineRule="auto"/>
        <w:rPr>
          <w:rFonts w:hint="eastAsia" w:ascii="宋体" w:hAnsi="宋体" w:cs="宋体"/>
          <w:b/>
          <w:bCs/>
          <w:color w:val="auto"/>
          <w:sz w:val="32"/>
          <w:szCs w:val="32"/>
          <w:highlight w:val="none"/>
        </w:rPr>
      </w:pPr>
    </w:p>
    <w:p w14:paraId="2D257070">
      <w:pPr>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杭州市生态环境局上城分局</w:t>
      </w:r>
    </w:p>
    <w:p w14:paraId="105735E9">
      <w:pPr>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浙江省成套招标代理有限公司</w:t>
      </w:r>
    </w:p>
    <w:p w14:paraId="7CBBDF1E">
      <w:pPr>
        <w:spacing w:line="360" w:lineRule="auto"/>
        <w:jc w:val="center"/>
        <w:rPr>
          <w:rFonts w:hint="eastAsia" w:ascii="宋体" w:hAnsi="宋体" w:cs="宋体"/>
          <w:b/>
          <w:bCs/>
          <w:color w:val="auto"/>
          <w:sz w:val="32"/>
          <w:szCs w:val="32"/>
          <w:highlight w:val="none"/>
        </w:rPr>
      </w:pPr>
    </w:p>
    <w:p w14:paraId="4E6B79EF">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二〇二五年</w:t>
      </w:r>
      <w:r>
        <w:rPr>
          <w:rFonts w:hint="eastAsia" w:ascii="宋体" w:hAnsi="宋体" w:cs="宋体"/>
          <w:b/>
          <w:bCs/>
          <w:color w:val="auto"/>
          <w:sz w:val="32"/>
          <w:szCs w:val="32"/>
          <w:highlight w:val="none"/>
          <w:lang w:val="en-US" w:eastAsia="zh-CN"/>
        </w:rPr>
        <w:t>七</w:t>
      </w:r>
      <w:r>
        <w:rPr>
          <w:rFonts w:hint="eastAsia" w:ascii="宋体" w:hAnsi="宋体" w:cs="宋体"/>
          <w:b/>
          <w:bCs/>
          <w:color w:val="auto"/>
          <w:sz w:val="32"/>
          <w:szCs w:val="32"/>
          <w:highlight w:val="none"/>
        </w:rPr>
        <w:t>月</w:t>
      </w:r>
    </w:p>
    <w:p w14:paraId="0C319F5E">
      <w:pPr>
        <w:spacing w:line="360" w:lineRule="auto"/>
        <w:jc w:val="center"/>
        <w:rPr>
          <w:rFonts w:hint="eastAsia" w:ascii="宋体" w:hAnsi="宋体" w:cs="宋体"/>
          <w:color w:val="auto"/>
          <w:sz w:val="24"/>
          <w:highlight w:val="none"/>
        </w:rPr>
        <w:sectPr>
          <w:headerReference r:id="rId3" w:type="first"/>
          <w:footerReference r:id="rId4" w:type="even"/>
          <w:pgSz w:w="11906" w:h="16838"/>
          <w:pgMar w:top="680" w:right="1418" w:bottom="468" w:left="1418" w:header="851" w:footer="992" w:gutter="0"/>
          <w:cols w:space="720" w:num="1"/>
          <w:titlePg/>
          <w:docGrid w:linePitch="312" w:charSpace="0"/>
        </w:sectPr>
      </w:pPr>
    </w:p>
    <w:sdt>
      <w:sdtPr>
        <w:rPr>
          <w:rFonts w:ascii="宋体" w:hAnsi="宋体"/>
          <w:color w:val="auto"/>
          <w:sz w:val="24"/>
          <w:highlight w:val="none"/>
        </w:rPr>
        <w:id w:val="147456391"/>
        <w15:color w:val="DBDBDB"/>
        <w:docPartObj>
          <w:docPartGallery w:val="Table of Contents"/>
          <w:docPartUnique/>
        </w:docPartObj>
      </w:sdtPr>
      <w:sdtEndPr>
        <w:rPr>
          <w:rFonts w:ascii="宋体" w:hAnsi="宋体" w:cs="宋体"/>
          <w:bCs/>
          <w:color w:val="auto"/>
          <w:sz w:val="21"/>
          <w:szCs w:val="32"/>
          <w:highlight w:val="none"/>
        </w:rPr>
      </w:sdtEndPr>
      <w:sdtContent>
        <w:p w14:paraId="66BB8EF2">
          <w:pPr>
            <w:spacing w:line="480" w:lineRule="auto"/>
            <w:jc w:val="center"/>
            <w:rPr>
              <w:rFonts w:hint="eastAsia" w:ascii="宋体" w:hAnsi="宋体"/>
              <w:color w:val="auto"/>
              <w:sz w:val="24"/>
              <w:highlight w:val="none"/>
            </w:rPr>
          </w:pPr>
        </w:p>
        <w:p w14:paraId="4467C3CA">
          <w:pPr>
            <w:spacing w:line="480" w:lineRule="auto"/>
            <w:jc w:val="center"/>
            <w:rPr>
              <w:b/>
              <w:bCs/>
              <w:color w:val="auto"/>
              <w:sz w:val="28"/>
              <w:szCs w:val="28"/>
              <w:highlight w:val="none"/>
            </w:rPr>
          </w:pPr>
          <w:r>
            <w:rPr>
              <w:rFonts w:ascii="宋体" w:hAnsi="宋体"/>
              <w:b/>
              <w:bCs/>
              <w:color w:val="auto"/>
              <w:sz w:val="28"/>
              <w:szCs w:val="28"/>
              <w:highlight w:val="none"/>
            </w:rPr>
            <w:t>目</w:t>
          </w:r>
          <w:r>
            <w:rPr>
              <w:rFonts w:hint="eastAsia" w:ascii="宋体" w:hAnsi="宋体"/>
              <w:b/>
              <w:bCs/>
              <w:color w:val="auto"/>
              <w:sz w:val="28"/>
              <w:szCs w:val="28"/>
              <w:highlight w:val="none"/>
            </w:rPr>
            <w:t xml:space="preserve"> </w:t>
          </w:r>
          <w:r>
            <w:rPr>
              <w:rFonts w:ascii="宋体" w:hAnsi="宋体"/>
              <w:b/>
              <w:bCs/>
              <w:color w:val="auto"/>
              <w:sz w:val="28"/>
              <w:szCs w:val="28"/>
              <w:highlight w:val="none"/>
            </w:rPr>
            <w:t>录</w:t>
          </w:r>
        </w:p>
        <w:p w14:paraId="5BCEE91C">
          <w:pPr>
            <w:pStyle w:val="43"/>
            <w:tabs>
              <w:tab w:val="right" w:leader="dot" w:pos="9070"/>
            </w:tabs>
            <w:spacing w:line="480" w:lineRule="auto"/>
            <w:rPr>
              <w:b/>
              <w:bCs/>
              <w:color w:val="auto"/>
              <w:szCs w:val="21"/>
              <w:highlight w:val="none"/>
            </w:rPr>
          </w:pPr>
          <w:r>
            <w:rPr>
              <w:rFonts w:ascii="宋体" w:hAnsi="宋体" w:cs="宋体"/>
              <w:bCs/>
              <w:color w:val="auto"/>
              <w:sz w:val="32"/>
              <w:szCs w:val="32"/>
              <w:highlight w:val="none"/>
            </w:rPr>
            <w:fldChar w:fldCharType="begin"/>
          </w:r>
          <w:r>
            <w:rPr>
              <w:rFonts w:ascii="宋体" w:hAnsi="宋体" w:cs="宋体"/>
              <w:bCs/>
              <w:color w:val="auto"/>
              <w:sz w:val="32"/>
              <w:szCs w:val="32"/>
              <w:highlight w:val="none"/>
            </w:rPr>
            <w:instrText xml:space="preserve">TOC \o "1-1" \h \u </w:instrText>
          </w:r>
          <w:r>
            <w:rPr>
              <w:rFonts w:ascii="宋体" w:hAnsi="宋体" w:cs="宋体"/>
              <w:bCs/>
              <w:color w:val="auto"/>
              <w:sz w:val="32"/>
              <w:szCs w:val="32"/>
              <w:highlight w:val="none"/>
            </w:rPr>
            <w:fldChar w:fldCharType="separate"/>
          </w:r>
          <w:r>
            <w:rPr>
              <w:color w:val="auto"/>
              <w:highlight w:val="none"/>
            </w:rPr>
            <w:fldChar w:fldCharType="begin"/>
          </w:r>
          <w:r>
            <w:rPr>
              <w:color w:val="auto"/>
              <w:highlight w:val="none"/>
            </w:rPr>
            <w:instrText xml:space="preserve"> HYPERLINK \l "_Toc9772" </w:instrText>
          </w:r>
          <w:r>
            <w:rPr>
              <w:color w:val="auto"/>
              <w:highlight w:val="none"/>
            </w:rPr>
            <w:fldChar w:fldCharType="separate"/>
          </w:r>
          <w:r>
            <w:rPr>
              <w:rFonts w:hint="eastAsia"/>
              <w:b/>
              <w:bCs/>
              <w:color w:val="auto"/>
              <w:szCs w:val="21"/>
              <w:highlight w:val="none"/>
            </w:rPr>
            <w:t>第一部分 招标公告</w:t>
          </w:r>
          <w:r>
            <w:rPr>
              <w:b/>
              <w:bCs/>
              <w:color w:val="auto"/>
              <w:szCs w:val="21"/>
              <w:highlight w:val="none"/>
            </w:rPr>
            <w:tab/>
          </w:r>
          <w:r>
            <w:rPr>
              <w:b/>
              <w:bCs/>
              <w:color w:val="auto"/>
              <w:szCs w:val="21"/>
              <w:highlight w:val="none"/>
            </w:rPr>
            <w:fldChar w:fldCharType="begin"/>
          </w:r>
          <w:r>
            <w:rPr>
              <w:b/>
              <w:bCs/>
              <w:color w:val="auto"/>
              <w:szCs w:val="21"/>
              <w:highlight w:val="none"/>
            </w:rPr>
            <w:instrText xml:space="preserve"> PAGEREF _Toc9772 \h </w:instrText>
          </w:r>
          <w:r>
            <w:rPr>
              <w:b/>
              <w:bCs/>
              <w:color w:val="auto"/>
              <w:szCs w:val="21"/>
              <w:highlight w:val="none"/>
            </w:rPr>
            <w:fldChar w:fldCharType="separate"/>
          </w:r>
          <w:r>
            <w:rPr>
              <w:b/>
              <w:bCs/>
              <w:color w:val="auto"/>
              <w:szCs w:val="21"/>
              <w:highlight w:val="none"/>
            </w:rPr>
            <w:t>3</w:t>
          </w:r>
          <w:r>
            <w:rPr>
              <w:b/>
              <w:bCs/>
              <w:color w:val="auto"/>
              <w:szCs w:val="21"/>
              <w:highlight w:val="none"/>
            </w:rPr>
            <w:fldChar w:fldCharType="end"/>
          </w:r>
          <w:r>
            <w:rPr>
              <w:b/>
              <w:bCs/>
              <w:color w:val="auto"/>
              <w:szCs w:val="21"/>
              <w:highlight w:val="none"/>
            </w:rPr>
            <w:fldChar w:fldCharType="end"/>
          </w:r>
        </w:p>
        <w:p w14:paraId="2BD1B103">
          <w:pPr>
            <w:pStyle w:val="43"/>
            <w:tabs>
              <w:tab w:val="right" w:leader="dot" w:pos="9070"/>
            </w:tabs>
            <w:spacing w:line="480" w:lineRule="auto"/>
            <w:rPr>
              <w:b/>
              <w:bCs/>
              <w:color w:val="auto"/>
              <w:szCs w:val="21"/>
              <w:highlight w:val="none"/>
            </w:rPr>
          </w:pPr>
          <w:r>
            <w:rPr>
              <w:color w:val="auto"/>
              <w:highlight w:val="none"/>
            </w:rPr>
            <w:fldChar w:fldCharType="begin"/>
          </w:r>
          <w:r>
            <w:rPr>
              <w:color w:val="auto"/>
              <w:highlight w:val="none"/>
            </w:rPr>
            <w:instrText xml:space="preserve"> HYPERLINK \l "_Toc6177" </w:instrText>
          </w:r>
          <w:r>
            <w:rPr>
              <w:color w:val="auto"/>
              <w:highlight w:val="none"/>
            </w:rPr>
            <w:fldChar w:fldCharType="separate"/>
          </w:r>
          <w:r>
            <w:rPr>
              <w:rFonts w:hint="eastAsia"/>
              <w:b/>
              <w:bCs/>
              <w:color w:val="auto"/>
              <w:szCs w:val="21"/>
              <w:highlight w:val="none"/>
            </w:rPr>
            <w:t>第二部分 投标人须知</w:t>
          </w:r>
          <w:r>
            <w:rPr>
              <w:b/>
              <w:bCs/>
              <w:color w:val="auto"/>
              <w:szCs w:val="21"/>
              <w:highlight w:val="none"/>
            </w:rPr>
            <w:tab/>
          </w:r>
          <w:r>
            <w:rPr>
              <w:b/>
              <w:bCs/>
              <w:color w:val="auto"/>
              <w:szCs w:val="21"/>
              <w:highlight w:val="none"/>
            </w:rPr>
            <w:fldChar w:fldCharType="begin"/>
          </w:r>
          <w:r>
            <w:rPr>
              <w:b/>
              <w:bCs/>
              <w:color w:val="auto"/>
              <w:szCs w:val="21"/>
              <w:highlight w:val="none"/>
            </w:rPr>
            <w:instrText xml:space="preserve"> PAGEREF _Toc6177 \h </w:instrText>
          </w:r>
          <w:r>
            <w:rPr>
              <w:b/>
              <w:bCs/>
              <w:color w:val="auto"/>
              <w:szCs w:val="21"/>
              <w:highlight w:val="none"/>
            </w:rPr>
            <w:fldChar w:fldCharType="separate"/>
          </w:r>
          <w:r>
            <w:rPr>
              <w:b/>
              <w:bCs/>
              <w:color w:val="auto"/>
              <w:szCs w:val="21"/>
              <w:highlight w:val="none"/>
            </w:rPr>
            <w:t>7</w:t>
          </w:r>
          <w:r>
            <w:rPr>
              <w:b/>
              <w:bCs/>
              <w:color w:val="auto"/>
              <w:szCs w:val="21"/>
              <w:highlight w:val="none"/>
            </w:rPr>
            <w:fldChar w:fldCharType="end"/>
          </w:r>
          <w:r>
            <w:rPr>
              <w:b/>
              <w:bCs/>
              <w:color w:val="auto"/>
              <w:szCs w:val="21"/>
              <w:highlight w:val="none"/>
            </w:rPr>
            <w:fldChar w:fldCharType="end"/>
          </w:r>
        </w:p>
        <w:p w14:paraId="268091C3">
          <w:pPr>
            <w:pStyle w:val="43"/>
            <w:tabs>
              <w:tab w:val="right" w:leader="dot" w:pos="9070"/>
            </w:tabs>
            <w:spacing w:line="480" w:lineRule="auto"/>
            <w:rPr>
              <w:b/>
              <w:bCs/>
              <w:color w:val="auto"/>
              <w:szCs w:val="21"/>
              <w:highlight w:val="none"/>
            </w:rPr>
          </w:pPr>
          <w:r>
            <w:rPr>
              <w:color w:val="auto"/>
              <w:highlight w:val="none"/>
            </w:rPr>
            <w:fldChar w:fldCharType="begin"/>
          </w:r>
          <w:r>
            <w:rPr>
              <w:color w:val="auto"/>
              <w:highlight w:val="none"/>
            </w:rPr>
            <w:instrText xml:space="preserve"> HYPERLINK \l "_Toc26067" </w:instrText>
          </w:r>
          <w:r>
            <w:rPr>
              <w:color w:val="auto"/>
              <w:highlight w:val="none"/>
            </w:rPr>
            <w:fldChar w:fldCharType="separate"/>
          </w:r>
          <w:r>
            <w:rPr>
              <w:rFonts w:hint="eastAsia"/>
              <w:b/>
              <w:bCs/>
              <w:color w:val="auto"/>
              <w:szCs w:val="21"/>
              <w:highlight w:val="none"/>
            </w:rPr>
            <w:t>第三部分 采购需求</w:t>
          </w:r>
          <w:r>
            <w:rPr>
              <w:b/>
              <w:bCs/>
              <w:color w:val="auto"/>
              <w:szCs w:val="21"/>
              <w:highlight w:val="none"/>
            </w:rPr>
            <w:tab/>
          </w:r>
          <w:r>
            <w:rPr>
              <w:b/>
              <w:bCs/>
              <w:color w:val="auto"/>
              <w:szCs w:val="21"/>
              <w:highlight w:val="none"/>
            </w:rPr>
            <w:fldChar w:fldCharType="begin"/>
          </w:r>
          <w:r>
            <w:rPr>
              <w:b/>
              <w:bCs/>
              <w:color w:val="auto"/>
              <w:szCs w:val="21"/>
              <w:highlight w:val="none"/>
            </w:rPr>
            <w:instrText xml:space="preserve"> PAGEREF _Toc26067 \h </w:instrText>
          </w:r>
          <w:r>
            <w:rPr>
              <w:b/>
              <w:bCs/>
              <w:color w:val="auto"/>
              <w:szCs w:val="21"/>
              <w:highlight w:val="none"/>
            </w:rPr>
            <w:fldChar w:fldCharType="separate"/>
          </w:r>
          <w:r>
            <w:rPr>
              <w:b/>
              <w:bCs/>
              <w:color w:val="auto"/>
              <w:szCs w:val="21"/>
              <w:highlight w:val="none"/>
            </w:rPr>
            <w:t>22</w:t>
          </w:r>
          <w:r>
            <w:rPr>
              <w:b/>
              <w:bCs/>
              <w:color w:val="auto"/>
              <w:szCs w:val="21"/>
              <w:highlight w:val="none"/>
            </w:rPr>
            <w:fldChar w:fldCharType="end"/>
          </w:r>
          <w:r>
            <w:rPr>
              <w:b/>
              <w:bCs/>
              <w:color w:val="auto"/>
              <w:szCs w:val="21"/>
              <w:highlight w:val="none"/>
            </w:rPr>
            <w:fldChar w:fldCharType="end"/>
          </w:r>
        </w:p>
        <w:p w14:paraId="2D64BF3B">
          <w:pPr>
            <w:pStyle w:val="43"/>
            <w:tabs>
              <w:tab w:val="right" w:leader="dot" w:pos="9070"/>
            </w:tabs>
            <w:spacing w:line="480" w:lineRule="auto"/>
            <w:rPr>
              <w:b/>
              <w:bCs/>
              <w:color w:val="auto"/>
              <w:szCs w:val="21"/>
              <w:highlight w:val="none"/>
            </w:rPr>
          </w:pPr>
          <w:r>
            <w:rPr>
              <w:color w:val="auto"/>
              <w:highlight w:val="none"/>
            </w:rPr>
            <w:fldChar w:fldCharType="begin"/>
          </w:r>
          <w:r>
            <w:rPr>
              <w:color w:val="auto"/>
              <w:highlight w:val="none"/>
            </w:rPr>
            <w:instrText xml:space="preserve"> HYPERLINK \l "_Toc16317" </w:instrText>
          </w:r>
          <w:r>
            <w:rPr>
              <w:color w:val="auto"/>
              <w:highlight w:val="none"/>
            </w:rPr>
            <w:fldChar w:fldCharType="separate"/>
          </w:r>
          <w:r>
            <w:rPr>
              <w:rFonts w:hint="eastAsia"/>
              <w:b/>
              <w:bCs/>
              <w:color w:val="auto"/>
              <w:szCs w:val="21"/>
              <w:highlight w:val="none"/>
            </w:rPr>
            <w:t>第四部分 评标办法</w:t>
          </w:r>
          <w:r>
            <w:rPr>
              <w:b/>
              <w:bCs/>
              <w:color w:val="auto"/>
              <w:szCs w:val="21"/>
              <w:highlight w:val="none"/>
            </w:rPr>
            <w:tab/>
          </w:r>
          <w:r>
            <w:rPr>
              <w:b/>
              <w:bCs/>
              <w:color w:val="auto"/>
              <w:szCs w:val="21"/>
              <w:highlight w:val="none"/>
            </w:rPr>
            <w:fldChar w:fldCharType="begin"/>
          </w:r>
          <w:r>
            <w:rPr>
              <w:b/>
              <w:bCs/>
              <w:color w:val="auto"/>
              <w:szCs w:val="21"/>
              <w:highlight w:val="none"/>
            </w:rPr>
            <w:instrText xml:space="preserve"> PAGEREF _Toc16317 \h </w:instrText>
          </w:r>
          <w:r>
            <w:rPr>
              <w:b/>
              <w:bCs/>
              <w:color w:val="auto"/>
              <w:szCs w:val="21"/>
              <w:highlight w:val="none"/>
            </w:rPr>
            <w:fldChar w:fldCharType="separate"/>
          </w:r>
          <w:r>
            <w:rPr>
              <w:b/>
              <w:bCs/>
              <w:color w:val="auto"/>
              <w:szCs w:val="21"/>
              <w:highlight w:val="none"/>
            </w:rPr>
            <w:t>37</w:t>
          </w:r>
          <w:r>
            <w:rPr>
              <w:b/>
              <w:bCs/>
              <w:color w:val="auto"/>
              <w:szCs w:val="21"/>
              <w:highlight w:val="none"/>
            </w:rPr>
            <w:fldChar w:fldCharType="end"/>
          </w:r>
          <w:r>
            <w:rPr>
              <w:b/>
              <w:bCs/>
              <w:color w:val="auto"/>
              <w:szCs w:val="21"/>
              <w:highlight w:val="none"/>
            </w:rPr>
            <w:fldChar w:fldCharType="end"/>
          </w:r>
        </w:p>
        <w:p w14:paraId="0D0908AA">
          <w:pPr>
            <w:pStyle w:val="43"/>
            <w:tabs>
              <w:tab w:val="right" w:leader="dot" w:pos="9070"/>
            </w:tabs>
            <w:spacing w:line="480" w:lineRule="auto"/>
            <w:rPr>
              <w:b/>
              <w:bCs/>
              <w:color w:val="auto"/>
              <w:szCs w:val="21"/>
              <w:highlight w:val="none"/>
            </w:rPr>
          </w:pPr>
          <w:r>
            <w:rPr>
              <w:color w:val="auto"/>
              <w:highlight w:val="none"/>
            </w:rPr>
            <w:fldChar w:fldCharType="begin"/>
          </w:r>
          <w:r>
            <w:rPr>
              <w:color w:val="auto"/>
              <w:highlight w:val="none"/>
            </w:rPr>
            <w:instrText xml:space="preserve"> HYPERLINK \l "_Toc8173" </w:instrText>
          </w:r>
          <w:r>
            <w:rPr>
              <w:color w:val="auto"/>
              <w:highlight w:val="none"/>
            </w:rPr>
            <w:fldChar w:fldCharType="separate"/>
          </w:r>
          <w:r>
            <w:rPr>
              <w:rFonts w:hint="eastAsia"/>
              <w:b/>
              <w:bCs/>
              <w:color w:val="auto"/>
              <w:szCs w:val="21"/>
              <w:highlight w:val="none"/>
            </w:rPr>
            <w:t>第五部分 拟签订的合同文本</w:t>
          </w:r>
          <w:r>
            <w:rPr>
              <w:b/>
              <w:bCs/>
              <w:color w:val="auto"/>
              <w:szCs w:val="21"/>
              <w:highlight w:val="none"/>
            </w:rPr>
            <w:tab/>
          </w:r>
          <w:r>
            <w:rPr>
              <w:b/>
              <w:bCs/>
              <w:color w:val="auto"/>
              <w:szCs w:val="21"/>
              <w:highlight w:val="none"/>
            </w:rPr>
            <w:fldChar w:fldCharType="begin"/>
          </w:r>
          <w:r>
            <w:rPr>
              <w:b/>
              <w:bCs/>
              <w:color w:val="auto"/>
              <w:szCs w:val="21"/>
              <w:highlight w:val="none"/>
            </w:rPr>
            <w:instrText xml:space="preserve"> PAGEREF _Toc8173 \h </w:instrText>
          </w:r>
          <w:r>
            <w:rPr>
              <w:b/>
              <w:bCs/>
              <w:color w:val="auto"/>
              <w:szCs w:val="21"/>
              <w:highlight w:val="none"/>
            </w:rPr>
            <w:fldChar w:fldCharType="separate"/>
          </w:r>
          <w:r>
            <w:rPr>
              <w:b/>
              <w:bCs/>
              <w:color w:val="auto"/>
              <w:szCs w:val="21"/>
              <w:highlight w:val="none"/>
            </w:rPr>
            <w:t>44</w:t>
          </w:r>
          <w:r>
            <w:rPr>
              <w:b/>
              <w:bCs/>
              <w:color w:val="auto"/>
              <w:szCs w:val="21"/>
              <w:highlight w:val="none"/>
            </w:rPr>
            <w:fldChar w:fldCharType="end"/>
          </w:r>
          <w:r>
            <w:rPr>
              <w:b/>
              <w:bCs/>
              <w:color w:val="auto"/>
              <w:szCs w:val="21"/>
              <w:highlight w:val="none"/>
            </w:rPr>
            <w:fldChar w:fldCharType="end"/>
          </w:r>
        </w:p>
        <w:p w14:paraId="2E9E0726">
          <w:pPr>
            <w:pStyle w:val="43"/>
            <w:tabs>
              <w:tab w:val="right" w:leader="dot" w:pos="9070"/>
            </w:tabs>
            <w:spacing w:line="480" w:lineRule="auto"/>
            <w:rPr>
              <w:color w:val="auto"/>
              <w:highlight w:val="none"/>
            </w:rPr>
          </w:pPr>
          <w:r>
            <w:rPr>
              <w:color w:val="auto"/>
              <w:highlight w:val="none"/>
            </w:rPr>
            <w:fldChar w:fldCharType="begin"/>
          </w:r>
          <w:r>
            <w:rPr>
              <w:color w:val="auto"/>
              <w:highlight w:val="none"/>
            </w:rPr>
            <w:instrText xml:space="preserve"> HYPERLINK \l "_Toc20677" </w:instrText>
          </w:r>
          <w:r>
            <w:rPr>
              <w:color w:val="auto"/>
              <w:highlight w:val="none"/>
            </w:rPr>
            <w:fldChar w:fldCharType="separate"/>
          </w:r>
          <w:r>
            <w:rPr>
              <w:rFonts w:hint="eastAsia"/>
              <w:b/>
              <w:bCs/>
              <w:color w:val="auto"/>
              <w:szCs w:val="21"/>
              <w:highlight w:val="none"/>
            </w:rPr>
            <w:t>第六部分 应提交的有关格式范例</w:t>
          </w:r>
          <w:r>
            <w:rPr>
              <w:b/>
              <w:bCs/>
              <w:color w:val="auto"/>
              <w:szCs w:val="21"/>
              <w:highlight w:val="none"/>
            </w:rPr>
            <w:tab/>
          </w:r>
          <w:r>
            <w:rPr>
              <w:b/>
              <w:bCs/>
              <w:color w:val="auto"/>
              <w:szCs w:val="21"/>
              <w:highlight w:val="none"/>
            </w:rPr>
            <w:fldChar w:fldCharType="begin"/>
          </w:r>
          <w:r>
            <w:rPr>
              <w:b/>
              <w:bCs/>
              <w:color w:val="auto"/>
              <w:szCs w:val="21"/>
              <w:highlight w:val="none"/>
            </w:rPr>
            <w:instrText xml:space="preserve"> PAGEREF _Toc20677 \h </w:instrText>
          </w:r>
          <w:r>
            <w:rPr>
              <w:b/>
              <w:bCs/>
              <w:color w:val="auto"/>
              <w:szCs w:val="21"/>
              <w:highlight w:val="none"/>
            </w:rPr>
            <w:fldChar w:fldCharType="separate"/>
          </w:r>
          <w:r>
            <w:rPr>
              <w:b/>
              <w:bCs/>
              <w:color w:val="auto"/>
              <w:szCs w:val="21"/>
              <w:highlight w:val="none"/>
            </w:rPr>
            <w:t>54</w:t>
          </w:r>
          <w:r>
            <w:rPr>
              <w:b/>
              <w:bCs/>
              <w:color w:val="auto"/>
              <w:szCs w:val="21"/>
              <w:highlight w:val="none"/>
            </w:rPr>
            <w:fldChar w:fldCharType="end"/>
          </w:r>
          <w:r>
            <w:rPr>
              <w:b/>
              <w:bCs/>
              <w:color w:val="auto"/>
              <w:szCs w:val="21"/>
              <w:highlight w:val="none"/>
            </w:rPr>
            <w:fldChar w:fldCharType="end"/>
          </w:r>
        </w:p>
        <w:p w14:paraId="7F8508C7">
          <w:pPr>
            <w:snapToGrid w:val="0"/>
            <w:spacing w:line="480" w:lineRule="auto"/>
            <w:jc w:val="center"/>
            <w:rPr>
              <w:rFonts w:hint="eastAsia" w:ascii="宋体" w:hAnsi="宋体" w:cs="宋体"/>
              <w:bCs/>
              <w:color w:val="auto"/>
              <w:sz w:val="32"/>
              <w:szCs w:val="32"/>
              <w:highlight w:val="none"/>
            </w:rPr>
          </w:pPr>
          <w:r>
            <w:rPr>
              <w:rFonts w:ascii="宋体" w:hAnsi="宋体" w:cs="宋体"/>
              <w:bCs/>
              <w:color w:val="auto"/>
              <w:szCs w:val="32"/>
              <w:highlight w:val="none"/>
            </w:rPr>
            <w:fldChar w:fldCharType="end"/>
          </w:r>
        </w:p>
      </w:sdtContent>
    </w:sdt>
    <w:p w14:paraId="2DAEC18A">
      <w:pPr>
        <w:spacing w:line="360" w:lineRule="auto"/>
        <w:ind w:firstLine="549" w:firstLineChars="229"/>
        <w:rPr>
          <w:rFonts w:hint="eastAsia" w:ascii="宋体" w:hAnsi="宋体" w:cs="宋体"/>
          <w:color w:val="auto"/>
          <w:sz w:val="24"/>
          <w:highlight w:val="none"/>
        </w:rPr>
      </w:pPr>
      <w:bookmarkStart w:id="0" w:name="_Hlt91233176"/>
      <w:bookmarkEnd w:id="0"/>
      <w:bookmarkStart w:id="1" w:name="_Toc91899869"/>
    </w:p>
    <w:p w14:paraId="24439FBB">
      <w:pPr>
        <w:spacing w:line="360" w:lineRule="auto"/>
        <w:ind w:firstLine="549" w:firstLineChars="229"/>
        <w:rPr>
          <w:rFonts w:hint="eastAsia" w:ascii="宋体" w:hAnsi="宋体" w:cs="宋体"/>
          <w:color w:val="auto"/>
          <w:sz w:val="24"/>
          <w:highlight w:val="none"/>
        </w:rPr>
      </w:pPr>
    </w:p>
    <w:p w14:paraId="51537F2E">
      <w:pPr>
        <w:spacing w:line="360" w:lineRule="auto"/>
        <w:ind w:firstLine="549" w:firstLineChars="229"/>
        <w:rPr>
          <w:rFonts w:hint="eastAsia" w:ascii="宋体" w:hAnsi="宋体" w:cs="宋体"/>
          <w:color w:val="auto"/>
          <w:sz w:val="24"/>
          <w:highlight w:val="none"/>
        </w:rPr>
      </w:pPr>
    </w:p>
    <w:p w14:paraId="0B42F509">
      <w:pPr>
        <w:spacing w:line="360" w:lineRule="auto"/>
        <w:ind w:firstLine="549" w:firstLineChars="229"/>
        <w:rPr>
          <w:rFonts w:hint="eastAsia" w:ascii="宋体" w:hAnsi="宋体" w:cs="宋体"/>
          <w:color w:val="auto"/>
          <w:sz w:val="24"/>
          <w:highlight w:val="none"/>
        </w:rPr>
      </w:pPr>
    </w:p>
    <w:p w14:paraId="22BF0E46">
      <w:pPr>
        <w:spacing w:line="360" w:lineRule="auto"/>
        <w:ind w:firstLine="549" w:firstLineChars="229"/>
        <w:rPr>
          <w:rFonts w:hint="eastAsia" w:ascii="宋体" w:hAnsi="宋体" w:cs="宋体"/>
          <w:color w:val="auto"/>
          <w:sz w:val="24"/>
          <w:highlight w:val="none"/>
        </w:rPr>
      </w:pPr>
    </w:p>
    <w:p w14:paraId="16934928">
      <w:pPr>
        <w:spacing w:line="360" w:lineRule="auto"/>
        <w:ind w:firstLine="549" w:firstLineChars="229"/>
        <w:rPr>
          <w:rFonts w:hint="eastAsia" w:ascii="宋体" w:hAnsi="宋体" w:cs="宋体"/>
          <w:color w:val="auto"/>
          <w:sz w:val="24"/>
          <w:highlight w:val="none"/>
        </w:rPr>
      </w:pPr>
    </w:p>
    <w:p w14:paraId="2B6A4013">
      <w:pPr>
        <w:spacing w:line="360" w:lineRule="auto"/>
        <w:ind w:firstLine="549" w:firstLineChars="229"/>
        <w:rPr>
          <w:rFonts w:hint="eastAsia" w:ascii="宋体" w:hAnsi="宋体" w:cs="宋体"/>
          <w:color w:val="auto"/>
          <w:sz w:val="24"/>
          <w:highlight w:val="none"/>
        </w:rPr>
      </w:pPr>
    </w:p>
    <w:p w14:paraId="2628E9C0">
      <w:pPr>
        <w:spacing w:line="360" w:lineRule="auto"/>
        <w:ind w:firstLine="549" w:firstLineChars="229"/>
        <w:rPr>
          <w:rFonts w:hint="eastAsia" w:ascii="宋体" w:hAnsi="宋体" w:cs="宋体"/>
          <w:color w:val="auto"/>
          <w:sz w:val="24"/>
          <w:highlight w:val="none"/>
        </w:rPr>
      </w:pPr>
    </w:p>
    <w:p w14:paraId="0A9C4438">
      <w:pPr>
        <w:spacing w:line="360" w:lineRule="auto"/>
        <w:ind w:firstLine="549" w:firstLineChars="229"/>
        <w:rPr>
          <w:rFonts w:hint="eastAsia" w:ascii="宋体" w:hAnsi="宋体" w:cs="宋体"/>
          <w:color w:val="auto"/>
          <w:sz w:val="24"/>
          <w:highlight w:val="none"/>
        </w:rPr>
      </w:pPr>
    </w:p>
    <w:p w14:paraId="27F1C72D">
      <w:pPr>
        <w:spacing w:line="360" w:lineRule="auto"/>
        <w:ind w:firstLine="549" w:firstLineChars="229"/>
        <w:rPr>
          <w:rFonts w:hint="eastAsia" w:ascii="宋体" w:hAnsi="宋体" w:cs="宋体"/>
          <w:color w:val="auto"/>
          <w:sz w:val="24"/>
          <w:highlight w:val="none"/>
        </w:rPr>
      </w:pPr>
    </w:p>
    <w:p w14:paraId="0172D0FC">
      <w:pPr>
        <w:spacing w:line="360" w:lineRule="auto"/>
        <w:ind w:firstLine="549" w:firstLineChars="229"/>
        <w:rPr>
          <w:rFonts w:hint="eastAsia" w:ascii="宋体" w:hAnsi="宋体" w:cs="宋体"/>
          <w:color w:val="auto"/>
          <w:sz w:val="24"/>
          <w:highlight w:val="none"/>
        </w:rPr>
      </w:pPr>
    </w:p>
    <w:p w14:paraId="2CC7F989">
      <w:pPr>
        <w:spacing w:line="360" w:lineRule="auto"/>
        <w:ind w:firstLine="549" w:firstLineChars="229"/>
        <w:rPr>
          <w:rFonts w:hint="eastAsia" w:ascii="宋体" w:hAnsi="宋体" w:cs="宋体"/>
          <w:color w:val="auto"/>
          <w:sz w:val="24"/>
          <w:highlight w:val="none"/>
        </w:rPr>
      </w:pPr>
    </w:p>
    <w:p w14:paraId="0EBCDA22">
      <w:pPr>
        <w:spacing w:line="360" w:lineRule="auto"/>
        <w:ind w:firstLine="549" w:firstLineChars="229"/>
        <w:rPr>
          <w:rFonts w:hint="eastAsia" w:ascii="宋体" w:hAnsi="宋体" w:cs="宋体"/>
          <w:color w:val="auto"/>
          <w:sz w:val="24"/>
          <w:highlight w:val="none"/>
        </w:rPr>
      </w:pPr>
    </w:p>
    <w:p w14:paraId="7E0915C3">
      <w:pPr>
        <w:spacing w:line="360" w:lineRule="auto"/>
        <w:rPr>
          <w:rFonts w:hint="eastAsia" w:ascii="宋体" w:hAnsi="宋体" w:cs="宋体"/>
          <w:color w:val="auto"/>
          <w:sz w:val="24"/>
          <w:highlight w:val="none"/>
        </w:rPr>
      </w:pPr>
    </w:p>
    <w:p w14:paraId="3D94E65E">
      <w:pPr>
        <w:adjustRightInd/>
        <w:spacing w:line="360" w:lineRule="auto"/>
        <w:jc w:val="center"/>
        <w:outlineLvl w:val="0"/>
        <w:rPr>
          <w:rFonts w:hint="eastAsia"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07423"/>
      <w:bookmarkEnd w:id="3"/>
      <w:bookmarkStart w:id="4" w:name="_Hlt74728647"/>
      <w:bookmarkEnd w:id="4"/>
      <w:bookmarkStart w:id="5" w:name="_Hlt74729822"/>
      <w:bookmarkEnd w:id="5"/>
      <w:bookmarkStart w:id="6" w:name="_Hlt74649545"/>
      <w:bookmarkEnd w:id="6"/>
      <w:bookmarkStart w:id="7" w:name="_Toc9772"/>
      <w:bookmarkStart w:id="8" w:name="第二部分"/>
      <w:bookmarkStart w:id="9" w:name="_Toc91899870"/>
      <w:bookmarkStart w:id="10" w:name="_Toc91899871"/>
      <w:r>
        <w:rPr>
          <w:rStyle w:val="283"/>
          <w:rFonts w:hint="eastAsia"/>
          <w:color w:val="auto"/>
          <w:highlight w:val="none"/>
        </w:rPr>
        <w:t>第一部分 招标公告</w:t>
      </w:r>
      <w:bookmarkEnd w:id="7"/>
    </w:p>
    <w:p w14:paraId="1456846F">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项目概况</w:t>
      </w:r>
    </w:p>
    <w:p w14:paraId="56235975">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color w:val="auto"/>
          <w:szCs w:val="21"/>
          <w:highlight w:val="none"/>
          <w:u w:val="single"/>
        </w:rPr>
      </w:pPr>
      <w:r>
        <w:rPr>
          <w:rFonts w:hint="eastAsia" w:cs="仿宋_GB2312" w:asciiTheme="minorEastAsia" w:hAnsiTheme="minorEastAsia" w:eastAsiaTheme="minorEastAsia"/>
          <w:color w:val="auto"/>
          <w:szCs w:val="21"/>
          <w:highlight w:val="none"/>
          <w:u w:val="single"/>
        </w:rPr>
        <w:t>上城区同协路道路扬尘智能化管控项目</w:t>
      </w:r>
      <w:r>
        <w:rPr>
          <w:rFonts w:hint="eastAsia" w:asciiTheme="minorEastAsia" w:hAnsiTheme="minorEastAsia" w:eastAsiaTheme="minorEastAsia"/>
          <w:color w:val="auto"/>
          <w:szCs w:val="21"/>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1"/>
          <w:szCs w:val="21"/>
          <w:highlight w:val="none"/>
        </w:rPr>
        <w:t>https://www.zcygov.cn/）获取（下载）招标文件，并于</w:t>
      </w:r>
      <w:r>
        <w:rPr>
          <w:rStyle w:val="76"/>
          <w:rFonts w:hint="eastAsia" w:cs="Times New Roman" w:asciiTheme="minorEastAsia" w:hAnsiTheme="minorEastAsia" w:eastAsiaTheme="minorEastAsia"/>
          <w:snapToGrid/>
          <w:color w:val="auto"/>
          <w:kern w:val="2"/>
          <w:sz w:val="21"/>
          <w:szCs w:val="21"/>
          <w:highlight w:val="none"/>
        </w:rPr>
        <w:t>2025</w:t>
      </w:r>
      <w:r>
        <w:rPr>
          <w:rStyle w:val="76"/>
          <w:rFonts w:cs="Times New Roman" w:asciiTheme="minorEastAsia" w:hAnsiTheme="minorEastAsia" w:eastAsiaTheme="minorEastAsia"/>
          <w:snapToGrid/>
          <w:color w:val="auto"/>
          <w:kern w:val="2"/>
          <w:sz w:val="21"/>
          <w:szCs w:val="21"/>
          <w:highlight w:val="none"/>
        </w:rPr>
        <w:t>年</w:t>
      </w:r>
      <w:r>
        <w:rPr>
          <w:rStyle w:val="76"/>
          <w:rFonts w:hint="eastAsia" w:cs="Times New Roman" w:asciiTheme="minorEastAsia" w:hAnsiTheme="minorEastAsia" w:eastAsiaTheme="minorEastAsia"/>
          <w:snapToGrid/>
          <w:color w:val="auto"/>
          <w:kern w:val="2"/>
          <w:sz w:val="21"/>
          <w:szCs w:val="21"/>
          <w:highlight w:val="none"/>
        </w:rPr>
        <w:t>7月</w:t>
      </w:r>
      <w:r>
        <w:rPr>
          <w:rStyle w:val="76"/>
          <w:rFonts w:hint="eastAsia" w:cs="Times New Roman" w:asciiTheme="minorEastAsia" w:hAnsiTheme="minorEastAsia" w:eastAsiaTheme="minorEastAsia"/>
          <w:snapToGrid/>
          <w:color w:val="auto"/>
          <w:kern w:val="2"/>
          <w:sz w:val="21"/>
          <w:szCs w:val="21"/>
          <w:highlight w:val="none"/>
          <w:lang w:val="en-US" w:eastAsia="zh-CN"/>
        </w:rPr>
        <w:t>24</w:t>
      </w:r>
      <w:r>
        <w:rPr>
          <w:rStyle w:val="76"/>
          <w:rFonts w:hint="eastAsia" w:cs="Times New Roman" w:asciiTheme="minorEastAsia" w:hAnsiTheme="minorEastAsia" w:eastAsiaTheme="minorEastAsia"/>
          <w:snapToGrid/>
          <w:color w:val="auto"/>
          <w:kern w:val="2"/>
          <w:sz w:val="21"/>
          <w:szCs w:val="21"/>
          <w:highlight w:val="none"/>
        </w:rPr>
        <w:t>日14点30分</w:t>
      </w:r>
      <w:r>
        <w:rPr>
          <w:rStyle w:val="76"/>
          <w:rFonts w:hint="eastAsia" w:cs="Times New Roman" w:asciiTheme="minorEastAsia" w:hAnsiTheme="minorEastAsia" w:eastAsiaTheme="minorEastAsia"/>
          <w:bCs/>
          <w:snapToGrid/>
          <w:color w:val="auto"/>
          <w:kern w:val="2"/>
          <w:sz w:val="21"/>
          <w:szCs w:val="21"/>
          <w:highlight w:val="none"/>
        </w:rPr>
        <w:t>00秒</w:t>
      </w:r>
      <w:r>
        <w:rPr>
          <w:rStyle w:val="76"/>
          <w:rFonts w:hint="eastAsia" w:cs="Times New Roman" w:asciiTheme="minorEastAsia" w:hAnsiTheme="minorEastAsia" w:eastAsiaTheme="minorEastAsia"/>
          <w:bCs/>
          <w:snapToGrid/>
          <w:color w:val="auto"/>
          <w:kern w:val="2"/>
          <w:sz w:val="21"/>
          <w:szCs w:val="21"/>
          <w:highlight w:val="none"/>
        </w:rPr>
        <w:fldChar w:fldCharType="end"/>
      </w:r>
      <w:r>
        <w:rPr>
          <w:rFonts w:hint="eastAsia" w:asciiTheme="minorEastAsia" w:hAnsiTheme="minorEastAsia" w:eastAsiaTheme="minorEastAsia"/>
          <w:bCs/>
          <w:color w:val="auto"/>
          <w:szCs w:val="21"/>
          <w:highlight w:val="none"/>
        </w:rPr>
        <w:t>（北京时间）前</w:t>
      </w:r>
      <w:r>
        <w:rPr>
          <w:rFonts w:hint="eastAsia" w:asciiTheme="minorEastAsia" w:hAnsiTheme="minorEastAsia" w:eastAsiaTheme="minorEastAsia"/>
          <w:color w:val="auto"/>
          <w:szCs w:val="21"/>
          <w:highlight w:val="none"/>
        </w:rPr>
        <w:t>递交（上传）投标文件。</w:t>
      </w:r>
    </w:p>
    <w:p w14:paraId="252BD41E">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一、项目基本情况 </w:t>
      </w:r>
    </w:p>
    <w:p w14:paraId="1D754AFB">
      <w:pPr>
        <w:spacing w:line="360" w:lineRule="auto"/>
        <w:rPr>
          <w:rFonts w:hint="eastAsia"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b/>
          <w:color w:val="auto"/>
          <w:szCs w:val="21"/>
          <w:highlight w:val="none"/>
        </w:rPr>
        <w:t>项目编号：</w:t>
      </w:r>
      <w:r>
        <w:rPr>
          <w:rFonts w:hint="eastAsia" w:ascii="宋体" w:hAnsi="宋体" w:cs="宋体"/>
          <w:color w:val="auto"/>
          <w:szCs w:val="21"/>
          <w:highlight w:val="none"/>
        </w:rPr>
        <w:t>CTZB-2025060603</w:t>
      </w:r>
    </w:p>
    <w:p w14:paraId="37CA4EFC">
      <w:pPr>
        <w:spacing w:line="360" w:lineRule="auto"/>
        <w:rPr>
          <w:rFonts w:hint="eastAsia" w:ascii="宋体" w:hAnsi="宋体" w:cs="宋体" w:eastAsiaTheme="minorEastAsia"/>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项目名称：</w:t>
      </w:r>
      <w:r>
        <w:rPr>
          <w:rFonts w:hint="eastAsia" w:cs="仿宋_GB2312" w:asciiTheme="minorEastAsia" w:hAnsiTheme="minorEastAsia" w:eastAsiaTheme="minorEastAsia"/>
          <w:color w:val="auto"/>
          <w:szCs w:val="21"/>
          <w:highlight w:val="none"/>
        </w:rPr>
        <w:t>上城区同协路道路扬尘智能化管控项目</w:t>
      </w:r>
    </w:p>
    <w:p w14:paraId="6744DE2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预算金额（元）：</w:t>
      </w:r>
      <w:r>
        <w:rPr>
          <w:rFonts w:hint="eastAsia" w:ascii="宋体" w:hAnsi="宋体" w:cs="宋体"/>
          <w:color w:val="auto"/>
          <w:szCs w:val="21"/>
          <w:highlight w:val="none"/>
        </w:rPr>
        <w:t>1584000元</w:t>
      </w:r>
    </w:p>
    <w:p w14:paraId="580C733C">
      <w:pPr>
        <w:spacing w:line="360" w:lineRule="auto"/>
        <w:ind w:firstLine="480"/>
        <w:rPr>
          <w:rFonts w:hint="eastAsia" w:ascii="宋体" w:hAnsi="宋体" w:cs="宋体"/>
          <w:color w:val="auto"/>
          <w:szCs w:val="21"/>
          <w:highlight w:val="none"/>
        </w:rPr>
      </w:pPr>
      <w:r>
        <w:rPr>
          <w:rFonts w:hint="eastAsia" w:ascii="宋体" w:hAnsi="宋体" w:cs="宋体"/>
          <w:b/>
          <w:color w:val="auto"/>
          <w:szCs w:val="21"/>
          <w:highlight w:val="none"/>
        </w:rPr>
        <w:t>最高限价（元）：</w:t>
      </w:r>
      <w:r>
        <w:rPr>
          <w:rFonts w:hint="eastAsia" w:ascii="宋体" w:hAnsi="宋体" w:cs="宋体"/>
          <w:color w:val="auto"/>
          <w:szCs w:val="21"/>
          <w:highlight w:val="none"/>
        </w:rPr>
        <w:t>1584000元</w:t>
      </w:r>
    </w:p>
    <w:p w14:paraId="70ADAD8B">
      <w:pPr>
        <w:pStyle w:val="7"/>
        <w:spacing w:line="360" w:lineRule="auto"/>
        <w:ind w:firstLine="480"/>
        <w:rPr>
          <w:rFonts w:hint="eastAsia" w:hAnsi="宋体" w:cs="宋体"/>
          <w:bCs/>
          <w:snapToGrid/>
          <w:color w:val="auto"/>
          <w:kern w:val="2"/>
          <w:sz w:val="21"/>
          <w:szCs w:val="21"/>
          <w:highlight w:val="none"/>
        </w:rPr>
      </w:pPr>
      <w:r>
        <w:rPr>
          <w:rFonts w:hint="eastAsia" w:hAnsi="宋体" w:cs="宋体"/>
          <w:b/>
          <w:color w:val="auto"/>
          <w:sz w:val="21"/>
          <w:szCs w:val="21"/>
          <w:highlight w:val="none"/>
        </w:rPr>
        <w:t>采购需求：</w:t>
      </w:r>
      <w:r>
        <w:rPr>
          <w:rFonts w:hint="eastAsia" w:asciiTheme="minorEastAsia" w:hAnsiTheme="minorEastAsia" w:eastAsiaTheme="minorEastAsia"/>
          <w:snapToGrid/>
          <w:color w:val="auto"/>
          <w:kern w:val="2"/>
          <w:sz w:val="21"/>
          <w:szCs w:val="21"/>
          <w:highlight w:val="none"/>
        </w:rPr>
        <w:t>具体以招标文件第三部分采购需求为准，供应商可点击本公告下方“浏览采购文件”查看采购需求。</w:t>
      </w:r>
    </w:p>
    <w:p w14:paraId="51E7AB26">
      <w:pPr>
        <w:pStyle w:val="7"/>
        <w:spacing w:line="360" w:lineRule="auto"/>
        <w:ind w:firstLine="480"/>
        <w:rPr>
          <w:rFonts w:hint="eastAsia" w:hAnsi="宋体" w:cs="宋体"/>
          <w:bCs/>
          <w:color w:val="auto"/>
          <w:sz w:val="21"/>
          <w:szCs w:val="21"/>
          <w:highlight w:val="none"/>
        </w:rPr>
      </w:pPr>
      <w:r>
        <w:rPr>
          <w:rFonts w:hint="eastAsia" w:hAnsi="宋体" w:cs="宋体"/>
          <w:b/>
          <w:color w:val="auto"/>
          <w:sz w:val="21"/>
          <w:szCs w:val="21"/>
          <w:highlight w:val="none"/>
        </w:rPr>
        <w:t>合同履约期限：</w:t>
      </w:r>
      <w:r>
        <w:rPr>
          <w:rFonts w:hint="eastAsia" w:hAnsi="宋体" w:cs="宋体"/>
          <w:bCs/>
          <w:color w:val="auto"/>
          <w:sz w:val="21"/>
          <w:szCs w:val="21"/>
          <w:highlight w:val="none"/>
        </w:rPr>
        <w:t>中标供应商在合同签订生效后，必须在15日历天内按采购单位要求完成新设备交货（并向采购单位提供产品合格证等相关的资料和配件），中标人须在3个月内将合同标的运至采购单位指定地点并完成仪器设备安装运行。</w:t>
      </w:r>
    </w:p>
    <w:p w14:paraId="3F9DC22C">
      <w:pPr>
        <w:pStyle w:val="7"/>
        <w:spacing w:line="360" w:lineRule="auto"/>
        <w:ind w:firstLine="480"/>
        <w:rPr>
          <w:rFonts w:hint="eastAsia" w:hAnsi="宋体" w:cs="宋体"/>
          <w:color w:val="auto"/>
          <w:kern w:val="0"/>
          <w:sz w:val="21"/>
          <w:szCs w:val="21"/>
          <w:highlight w:val="none"/>
        </w:rPr>
      </w:pPr>
      <w:r>
        <w:rPr>
          <w:rFonts w:hint="eastAsia" w:hAnsi="宋体" w:cs="宋体"/>
          <w:b/>
          <w:color w:val="auto"/>
          <w:sz w:val="21"/>
          <w:szCs w:val="21"/>
          <w:highlight w:val="none"/>
        </w:rPr>
        <w:t>本项目接受联合体投标：</w:t>
      </w:r>
      <w:sdt>
        <w:sdtPr>
          <w:rPr>
            <w:rFonts w:hint="eastAsia" w:hAnsi="宋体" w:cs="宋体"/>
            <w:color w:val="auto"/>
            <w:kern w:val="0"/>
            <w:sz w:val="21"/>
            <w:szCs w:val="21"/>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hint="eastAsia" w:ascii="Wingdings" w:hAnsi="Wingdings" w:cs="宋体"/>
              <w:color w:val="auto"/>
              <w:kern w:val="0"/>
              <w:sz w:val="21"/>
              <w:szCs w:val="21"/>
              <w:highlight w:val="none"/>
            </w:rPr>
            <w:t>þ</w:t>
          </w:r>
        </w:sdtContent>
      </w:sdt>
      <w:r>
        <w:rPr>
          <w:rFonts w:hint="eastAsia" w:hAnsi="宋体" w:cs="宋体"/>
          <w:b/>
          <w:color w:val="auto"/>
          <w:sz w:val="21"/>
          <w:szCs w:val="21"/>
          <w:highlight w:val="none"/>
        </w:rPr>
        <w:t>是</w:t>
      </w:r>
      <w:r>
        <w:rPr>
          <w:rFonts w:hint="eastAsia" w:hAnsi="宋体" w:cs="宋体"/>
          <w:b/>
          <w:snapToGrid/>
          <w:color w:val="auto"/>
          <w:kern w:val="2"/>
          <w:sz w:val="21"/>
          <w:szCs w:val="21"/>
          <w:highlight w:val="none"/>
        </w:rPr>
        <w:t>；</w:t>
      </w:r>
      <w:sdt>
        <w:sdtPr>
          <w:rPr>
            <w:rFonts w:hint="eastAsia" w:hAnsi="宋体" w:cs="宋体"/>
            <w:color w:val="auto"/>
            <w:kern w:val="0"/>
            <w:sz w:val="21"/>
            <w:szCs w:val="21"/>
            <w:highlight w:val="none"/>
          </w:rPr>
          <w:id w:val="-1"/>
          <w14:checkbox>
            <w14:checked w14:val="0"/>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hint="eastAsia" w:ascii="MS Gothic" w:hAnsi="MS Gothic" w:cs="宋体"/>
              <w:color w:val="auto"/>
              <w:kern w:val="0"/>
              <w:sz w:val="21"/>
              <w:szCs w:val="21"/>
              <w:highlight w:val="none"/>
            </w:rPr>
            <w:t>☐</w:t>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14:paraId="222EE502">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二、</w:t>
      </w:r>
      <w:bookmarkStart w:id="11" w:name="_Hlk101132948"/>
      <w:r>
        <w:rPr>
          <w:rFonts w:hint="eastAsia" w:ascii="宋体" w:hAnsi="宋体" w:cs="宋体"/>
          <w:b/>
          <w:color w:val="auto"/>
          <w:szCs w:val="21"/>
          <w:highlight w:val="none"/>
        </w:rPr>
        <w:t>申请人的资格要求</w:t>
      </w:r>
      <w:bookmarkEnd w:id="11"/>
      <w:r>
        <w:rPr>
          <w:rFonts w:hint="eastAsia" w:ascii="宋体" w:hAnsi="宋体" w:cs="宋体"/>
          <w:b/>
          <w:color w:val="auto"/>
          <w:szCs w:val="21"/>
          <w:highlight w:val="none"/>
        </w:rPr>
        <w:t>：</w:t>
      </w:r>
    </w:p>
    <w:p w14:paraId="7C143B17">
      <w:pPr>
        <w:spacing w:line="360" w:lineRule="auto"/>
        <w:ind w:firstLine="48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F2BD87E">
      <w:pPr>
        <w:spacing w:line="360" w:lineRule="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 xml:space="preserve">    </w:t>
      </w:r>
      <w:r>
        <w:rPr>
          <w:rFonts w:ascii="宋体" w:hAnsi="宋体" w:cs="宋体"/>
          <w:snapToGrid w:val="0"/>
          <w:color w:val="auto"/>
          <w:kern w:val="28"/>
          <w:szCs w:val="21"/>
          <w:highlight w:val="none"/>
        </w:rPr>
        <w:t>2</w:t>
      </w:r>
      <w:r>
        <w:rPr>
          <w:rFonts w:hint="eastAsia" w:ascii="宋体" w:hAnsi="宋体" w:cs="宋体"/>
          <w:snapToGrid w:val="0"/>
          <w:color w:val="auto"/>
          <w:kern w:val="28"/>
          <w:szCs w:val="21"/>
          <w:highlight w:val="none"/>
        </w:rPr>
        <w:t>.</w:t>
      </w:r>
      <w:r>
        <w:rPr>
          <w:rFonts w:hint="eastAsia"/>
          <w:color w:val="auto"/>
          <w:szCs w:val="21"/>
          <w:highlight w:val="none"/>
        </w:rPr>
        <w:t xml:space="preserve"> </w:t>
      </w:r>
      <w:r>
        <w:rPr>
          <w:rFonts w:hint="eastAsia" w:ascii="宋体" w:hAnsi="宋体" w:cs="宋体"/>
          <w:snapToGrid w:val="0"/>
          <w:color w:val="auto"/>
          <w:kern w:val="28"/>
          <w:szCs w:val="21"/>
          <w:highlight w:val="none"/>
        </w:rPr>
        <w:t>以联合体形式投标的，提供联合协议(本项目不接受联合体投标或者投标人不以联合体形式投标的，则不需要提供) ；</w:t>
      </w:r>
    </w:p>
    <w:p w14:paraId="401D2C6B">
      <w:pPr>
        <w:spacing w:line="360" w:lineRule="auto"/>
        <w:ind w:firstLine="420" w:firstLineChars="200"/>
        <w:rPr>
          <w:rFonts w:hint="eastAsia" w:ascii="宋体" w:hAnsi="宋体" w:cs="宋体"/>
          <w:snapToGrid w:val="0"/>
          <w:color w:val="auto"/>
          <w:kern w:val="28"/>
          <w:szCs w:val="21"/>
          <w:highlight w:val="none"/>
        </w:rPr>
      </w:pPr>
      <w:r>
        <w:rPr>
          <w:rFonts w:ascii="宋体" w:hAnsi="宋体" w:cs="宋体"/>
          <w:snapToGrid w:val="0"/>
          <w:color w:val="auto"/>
          <w:kern w:val="28"/>
          <w:szCs w:val="21"/>
          <w:highlight w:val="none"/>
        </w:rPr>
        <w:t>3</w:t>
      </w:r>
      <w:r>
        <w:rPr>
          <w:rFonts w:hint="eastAsia" w:ascii="宋体" w:hAnsi="宋体" w:cs="宋体"/>
          <w:snapToGrid w:val="0"/>
          <w:color w:val="auto"/>
          <w:kern w:val="28"/>
          <w:szCs w:val="21"/>
          <w:highlight w:val="none"/>
        </w:rPr>
        <w:t>.落实政府采购政策需满足的资格要求：</w:t>
      </w:r>
    </w:p>
    <w:p w14:paraId="3A3DEC1F">
      <w:pPr>
        <w:spacing w:line="360" w:lineRule="auto"/>
        <w:ind w:firstLine="420" w:firstLineChars="200"/>
        <w:rPr>
          <w:rFonts w:hint="eastAsia" w:ascii="宋体" w:hAnsi="宋体" w:cs="宋体"/>
          <w:color w:val="auto"/>
          <w:szCs w:val="21"/>
          <w:highlight w:val="none"/>
        </w:rPr>
      </w:pPr>
      <w:sdt>
        <w:sdtPr>
          <w:rPr>
            <w:rFonts w:hint="eastAsia" w:ascii="宋体" w:hAnsi="宋体" w:cs="宋体"/>
            <w:color w:val="auto"/>
            <w:kern w:val="0"/>
            <w:szCs w:val="21"/>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无</w:t>
      </w:r>
      <w:r>
        <w:rPr>
          <w:rFonts w:hint="eastAsia" w:ascii="宋体" w:hAnsi="宋体" w:cs="宋体"/>
          <w:snapToGrid w:val="0"/>
          <w:color w:val="auto"/>
          <w:kern w:val="28"/>
          <w:szCs w:val="21"/>
          <w:highlight w:val="none"/>
        </w:rPr>
        <w:t>（注：不得限制大中型企业与小微企业组成联合体参与投标）</w:t>
      </w:r>
      <w:r>
        <w:rPr>
          <w:rFonts w:hint="eastAsia" w:ascii="宋体" w:hAnsi="宋体" w:cs="宋体"/>
          <w:color w:val="auto"/>
          <w:szCs w:val="21"/>
          <w:highlight w:val="none"/>
        </w:rPr>
        <w:t>；</w:t>
      </w:r>
    </w:p>
    <w:p w14:paraId="749846A3">
      <w:pPr>
        <w:spacing w:line="360" w:lineRule="auto"/>
        <w:ind w:firstLine="420" w:firstLineChars="200"/>
        <w:rPr>
          <w:rFonts w:hint="eastAsia" w:ascii="宋体" w:hAnsi="宋体" w:cs="宋体"/>
          <w:color w:val="auto"/>
          <w:szCs w:val="21"/>
          <w:highlight w:val="none"/>
        </w:rPr>
      </w:pPr>
      <w:sdt>
        <w:sdtPr>
          <w:rPr>
            <w:rFonts w:hint="eastAsia" w:ascii="宋体" w:hAnsi="宋体" w:cs="宋体"/>
            <w:color w:val="auto"/>
            <w:kern w:val="0"/>
            <w:szCs w:val="21"/>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Wingdings" w:hAnsi="Wingdings" w:eastAsia="MS Gothic" w:cs="宋体"/>
              <w:color w:val="auto"/>
              <w:kern w:val="0"/>
              <w:szCs w:val="21"/>
              <w:highlight w:val="none"/>
            </w:rPr>
            <w:t>þ</w:t>
          </w:r>
        </w:sdtContent>
      </w:sdt>
      <w:r>
        <w:rPr>
          <w:rFonts w:hint="eastAsia" w:ascii="宋体" w:hAnsi="宋体" w:cs="宋体"/>
          <w:color w:val="auto"/>
          <w:kern w:val="0"/>
          <w:szCs w:val="21"/>
          <w:highlight w:val="none"/>
        </w:rPr>
        <w:t>专</w:t>
      </w:r>
      <w:r>
        <w:rPr>
          <w:rFonts w:hint="eastAsia" w:ascii="宋体" w:hAnsi="宋体" w:cs="宋体"/>
          <w:color w:val="auto"/>
          <w:szCs w:val="21"/>
          <w:highlight w:val="none"/>
        </w:rPr>
        <w:t>门面向中小企业</w:t>
      </w:r>
    </w:p>
    <w:p w14:paraId="10DAD234">
      <w:pPr>
        <w:spacing w:line="360" w:lineRule="auto"/>
        <w:ind w:firstLine="785" w:firstLineChars="374"/>
        <w:rPr>
          <w:rFonts w:hint="eastAsia" w:ascii="宋体" w:hAnsi="宋体" w:cs="宋体"/>
          <w:color w:val="auto"/>
          <w:szCs w:val="21"/>
          <w:highlight w:val="none"/>
          <w:u w:val="single"/>
        </w:rPr>
      </w:pPr>
      <w:sdt>
        <w:sdtPr>
          <w:rPr>
            <w:rFonts w:hint="eastAsia" w:ascii="宋体" w:hAnsi="宋体" w:cs="宋体"/>
            <w:color w:val="auto"/>
            <w:kern w:val="0"/>
            <w:szCs w:val="21"/>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Wingdings" w:hAnsi="Wingdings" w:eastAsia="MS Gothic" w:cs="宋体"/>
              <w:color w:val="auto"/>
              <w:kern w:val="0"/>
              <w:szCs w:val="21"/>
              <w:highlight w:val="none"/>
            </w:rPr>
            <w:t>þ</w:t>
          </w:r>
        </w:sdtContent>
      </w:sdt>
      <w:r>
        <w:rPr>
          <w:rFonts w:hint="eastAsia" w:ascii="宋体" w:hAnsi="宋体" w:cs="宋体"/>
          <w:color w:val="auto"/>
          <w:szCs w:val="21"/>
          <w:highlight w:val="none"/>
        </w:rPr>
        <w:t>货物全部由符合政策要求的中小企业制造，提供中小企业声明函；</w:t>
      </w:r>
    </w:p>
    <w:p w14:paraId="35BED973">
      <w:pPr>
        <w:spacing w:line="360" w:lineRule="auto"/>
        <w:ind w:firstLine="785" w:firstLineChars="374"/>
        <w:rPr>
          <w:rFonts w:hint="eastAsia" w:ascii="宋体" w:hAnsi="宋体" w:cs="宋体"/>
          <w:color w:val="auto"/>
          <w:szCs w:val="21"/>
          <w:highlight w:val="none"/>
        </w:rPr>
      </w:pPr>
      <w:sdt>
        <w:sdtPr>
          <w:rPr>
            <w:rFonts w:hint="eastAsia" w:ascii="宋体" w:hAnsi="宋体" w:cs="宋体"/>
            <w:color w:val="auto"/>
            <w:kern w:val="0"/>
            <w:szCs w:val="21"/>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货物全部由符合政策要求的小微企业制造，提供中小企业声明函；</w:t>
      </w:r>
    </w:p>
    <w:p w14:paraId="75A8F255">
      <w:pPr>
        <w:spacing w:line="360" w:lineRule="auto"/>
        <w:ind w:firstLine="420" w:firstLineChars="200"/>
        <w:rPr>
          <w:rFonts w:hint="eastAsia" w:ascii="宋体" w:hAnsi="宋体" w:cs="宋体"/>
          <w:color w:val="auto"/>
          <w:szCs w:val="21"/>
          <w:highlight w:val="none"/>
        </w:rPr>
      </w:pPr>
      <w:sdt>
        <w:sdtPr>
          <w:rPr>
            <w:rFonts w:hint="eastAsia" w:ascii="宋体" w:hAnsi="宋体" w:cs="宋体"/>
            <w:color w:val="auto"/>
            <w:kern w:val="0"/>
            <w:szCs w:val="21"/>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bookmarkStart w:id="12" w:name="_Hlk101132524"/>
        </w:sdtContent>
      </w:sdt>
      <w:r>
        <w:rPr>
          <w:rFonts w:hint="eastAsia" w:ascii="宋体" w:hAnsi="宋体" w:cs="宋体"/>
          <w:color w:val="auto"/>
          <w:szCs w:val="21"/>
          <w:highlight w:val="none"/>
        </w:rPr>
        <w:t>要求以联合体形式参加，提供联合协议和中小企业声明函，联合协议中中小企业合同金额应当达到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%，其中小微企业合同金额应当达到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pacing w:val="8"/>
          <w:kern w:val="0"/>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Cs w:val="21"/>
          <w:highlight w:val="none"/>
        </w:rPr>
        <w:t>；</w:t>
      </w:r>
    </w:p>
    <w:bookmarkEnd w:id="12"/>
    <w:p w14:paraId="6D6593BF">
      <w:pPr>
        <w:spacing w:line="360" w:lineRule="auto"/>
        <w:ind w:firstLine="420" w:firstLineChars="200"/>
        <w:rPr>
          <w:rFonts w:hint="eastAsia" w:ascii="宋体" w:hAnsi="宋体" w:cs="宋体"/>
          <w:color w:val="auto"/>
          <w:szCs w:val="21"/>
          <w:highlight w:val="none"/>
        </w:rPr>
      </w:pPr>
      <w:sdt>
        <w:sdtPr>
          <w:rPr>
            <w:rFonts w:hint="eastAsia" w:ascii="宋体" w:hAnsi="宋体" w:cs="宋体"/>
            <w:color w:val="auto"/>
            <w:kern w:val="0"/>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要求合同分包，提供分包意向协议和中小企业声明函，分包意向协议中中小企业合同金额应当达到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，其中小微企业合同金额应当达到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w:t>
      </w:r>
      <w:r>
        <w:rPr>
          <w:rFonts w:hint="eastAsia" w:ascii="宋体" w:hAnsi="宋体" w:cs="宋体"/>
          <w:color w:val="auto"/>
          <w:spacing w:val="8"/>
          <w:kern w:val="0"/>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Cs w:val="21"/>
          <w:highlight w:val="none"/>
        </w:rPr>
        <w:t>；</w:t>
      </w:r>
    </w:p>
    <w:p w14:paraId="6CE203BD">
      <w:pPr>
        <w:snapToGrid w:val="0"/>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.本项目的特定资格要求：</w:t>
      </w:r>
    </w:p>
    <w:p w14:paraId="35B66585">
      <w:pPr>
        <w:snapToGrid w:val="0"/>
        <w:spacing w:line="360" w:lineRule="auto"/>
        <w:ind w:firstLine="420" w:firstLineChars="200"/>
        <w:rPr>
          <w:rFonts w:hint="eastAsia" w:ascii="宋体" w:hAnsi="宋体" w:cs="宋体"/>
          <w:color w:val="auto"/>
          <w:szCs w:val="21"/>
          <w:highlight w:val="none"/>
        </w:rPr>
      </w:pPr>
      <w:sdt>
        <w:sdtPr>
          <w:rPr>
            <w:rFonts w:hint="eastAsia" w:ascii="宋体" w:hAnsi="宋体" w:cs="宋体"/>
            <w:color w:val="auto"/>
            <w:kern w:val="0"/>
            <w:szCs w:val="21"/>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Wingdings" w:hAnsi="Wingdings" w:eastAsia="MS Gothic" w:cs="宋体"/>
              <w:color w:val="auto"/>
              <w:kern w:val="0"/>
              <w:szCs w:val="21"/>
              <w:highlight w:val="none"/>
            </w:rPr>
            <w:t>þ</w:t>
          </w:r>
        </w:sdtContent>
      </w:sdt>
      <w:r>
        <w:rPr>
          <w:rFonts w:hint="eastAsia" w:ascii="宋体" w:hAnsi="宋体" w:cs="宋体"/>
          <w:color w:val="auto"/>
          <w:kern w:val="0"/>
          <w:szCs w:val="21"/>
          <w:highlight w:val="none"/>
        </w:rPr>
        <w:t>无。</w:t>
      </w:r>
    </w:p>
    <w:p w14:paraId="31615C89">
      <w:pPr>
        <w:snapToGrid w:val="0"/>
        <w:spacing w:line="360" w:lineRule="auto"/>
        <w:ind w:firstLine="420" w:firstLineChars="200"/>
        <w:rPr>
          <w:rFonts w:hint="eastAsia" w:ascii="宋体" w:hAnsi="宋体" w:cs="宋体"/>
          <w:color w:val="auto"/>
          <w:szCs w:val="21"/>
          <w:highlight w:val="none"/>
        </w:rPr>
      </w:pPr>
      <w:sdt>
        <w:sdtPr>
          <w:rPr>
            <w:rFonts w:hint="eastAsia" w:ascii="宋体" w:hAnsi="宋体" w:cs="宋体"/>
            <w:color w:val="auto"/>
            <w:kern w:val="0"/>
            <w:szCs w:val="21"/>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eastAsia="MS Gothic" w:cs="宋体"/>
              <w:color w:val="auto"/>
              <w:kern w:val="0"/>
              <w:szCs w:val="21"/>
              <w:highlight w:val="none"/>
            </w:rPr>
            <w:t>☐</w:t>
          </w:r>
        </w:sdtContent>
      </w:sdt>
      <w:r>
        <w:rPr>
          <w:rFonts w:hint="eastAsia" w:ascii="宋体" w:hAnsi="宋体" w:cs="宋体"/>
          <w:color w:val="auto"/>
          <w:szCs w:val="21"/>
          <w:highlight w:val="none"/>
        </w:rPr>
        <w:t>有特定资格要求：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，该特定条件的法律法规依据：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F27B69A">
      <w:pPr>
        <w:snapToGrid w:val="0"/>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195330C">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三、获取招标文件 </w:t>
      </w:r>
    </w:p>
    <w:p w14:paraId="43D42C00">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/至</w:t>
      </w:r>
      <w:r>
        <w:rPr>
          <w:rFonts w:hint="eastAsia" w:ascii="宋体" w:hAnsi="宋体" w:cs="宋体"/>
          <w:color w:val="auto"/>
          <w:szCs w:val="21"/>
          <w:highlight w:val="none"/>
          <w:u w:val="single"/>
        </w:rPr>
        <w:t>2025年7月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，每天上午00:00至12:00 ，下午12:00至23:59（北京时间，线上获取法定节假日均可，线下获取文件法定节假日除外）</w:t>
      </w:r>
    </w:p>
    <w:p w14:paraId="3DA8D145">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 xml:space="preserve">政采云平台（https://www.zcygov.cn/） </w:t>
      </w:r>
    </w:p>
    <w:p w14:paraId="107112AB">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 xml:space="preserve">供应商登录政采云平台https://www.zcygov.cn/在线申请获取采购文件（进入“项目采购”应用，在获取采购文件菜单中选择项目，申请获取采购文件）。 </w:t>
      </w:r>
    </w:p>
    <w:p w14:paraId="5CE5F25A">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r>
        <w:rPr>
          <w:rFonts w:hint="eastAsia" w:ascii="宋体" w:hAnsi="宋体" w:cs="宋体"/>
          <w:color w:val="auto"/>
          <w:szCs w:val="21"/>
          <w:highlight w:val="none"/>
        </w:rPr>
        <w:tab/>
      </w:r>
    </w:p>
    <w:p w14:paraId="7C8F446D">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1F4112B8">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u w:val="single"/>
        </w:rPr>
        <w:t xml:space="preserve"> 2025年7月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日14点30分00秒</w:t>
      </w:r>
      <w:r>
        <w:rPr>
          <w:rFonts w:hint="eastAsia" w:ascii="宋体" w:hAnsi="宋体" w:cs="宋体"/>
          <w:color w:val="auto"/>
          <w:szCs w:val="21"/>
          <w:highlight w:val="none"/>
        </w:rPr>
        <w:t>（北京时间）</w:t>
      </w:r>
    </w:p>
    <w:p w14:paraId="1E77DFE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政采云平台（https://www.zcygov.cn/） </w:t>
      </w:r>
    </w:p>
    <w:p w14:paraId="77D5908F">
      <w:pPr>
        <w:spacing w:line="360" w:lineRule="auto"/>
        <w:ind w:firstLine="422" w:firstLineChars="200"/>
        <w:rPr>
          <w:rFonts w:hint="eastAsia" w:ascii="宋体" w:hAnsi="宋体" w:cs="宋体"/>
          <w:bCs/>
          <w:color w:val="auto"/>
          <w:szCs w:val="21"/>
          <w:highlight w:val="none"/>
          <w:u w:val="singl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rPr>
        <w:t>2025年7月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日14点30分00秒</w:t>
      </w:r>
    </w:p>
    <w:p w14:paraId="5717B083">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政采云平台（https://www.zcygov.cn/）</w:t>
      </w:r>
    </w:p>
    <w:p w14:paraId="42DB8774">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xml:space="preserve">五、公告期限 </w:t>
      </w:r>
    </w:p>
    <w:p w14:paraId="7AE83C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14:paraId="3A5CCF5A">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六、其他补充事宜</w:t>
      </w:r>
    </w:p>
    <w:p w14:paraId="158B70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 </w:t>
      </w:r>
      <w:r>
        <w:rPr>
          <w:rFonts w:ascii="宋体" w:hAnsi="宋体" w:cs="宋体"/>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Cs w:val="21"/>
          <w:highlight w:val="none"/>
        </w:rPr>
        <w:t>。</w:t>
      </w:r>
    </w:p>
    <w:p w14:paraId="216DC9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D35A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64CEF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09E680B">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14:paraId="280A1FE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1.采购人信息</w:t>
      </w:r>
    </w:p>
    <w:p w14:paraId="27769359">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名    称：杭州市生态环境局上城分局 </w:t>
      </w:r>
    </w:p>
    <w:p w14:paraId="0AFF7A2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名    称：杭州市生态环境局上城分局 </w:t>
      </w:r>
    </w:p>
    <w:p w14:paraId="05FED6B6">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地    址：杭州市上城区庆春东路1号南三楼</w:t>
      </w:r>
    </w:p>
    <w:p w14:paraId="1C7FA6BD">
      <w:pPr>
        <w:spacing w:line="360" w:lineRule="auto"/>
        <w:ind w:left="420" w:left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抄鹏飞</w:t>
      </w:r>
    </w:p>
    <w:p w14:paraId="682C50FD">
      <w:pPr>
        <w:spacing w:line="360" w:lineRule="auto"/>
        <w:ind w:left="420" w:left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0571-89507513</w:t>
      </w:r>
    </w:p>
    <w:p w14:paraId="072BD9D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质疑联系人：方竹芳</w:t>
      </w:r>
    </w:p>
    <w:p w14:paraId="385013F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质疑联系方式：0571-89501560</w:t>
      </w:r>
    </w:p>
    <w:p w14:paraId="731A0FC4">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2.采购代理机构信息</w:t>
      </w:r>
    </w:p>
    <w:p w14:paraId="49DBBEC6">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名    称：浙江省成套招标代理有限公司 </w:t>
      </w:r>
    </w:p>
    <w:p w14:paraId="0E32936A">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址：杭州市文晖路42号现代置业大厦西楼17层1704室</w:t>
      </w:r>
    </w:p>
    <w:p w14:paraId="454E090C">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项目联系人（询问）：何颖楹</w:t>
      </w:r>
    </w:p>
    <w:p w14:paraId="5DBDEC65">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项目联系方式（询问）：1570007318</w:t>
      </w:r>
    </w:p>
    <w:p w14:paraId="5A22D321">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质疑联系人：冯东东</w:t>
      </w:r>
    </w:p>
    <w:p w14:paraId="050A7D2C">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质疑联系方式：0571-87631297、0571-85331293</w:t>
      </w:r>
    </w:p>
    <w:p w14:paraId="7E70AED6">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3.同级政府采购监督管理部门</w:t>
      </w:r>
    </w:p>
    <w:p w14:paraId="43F04E3D">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名称：杭州市上城区财政局、浙江省政府采购行政裁决服务中心（杭州）</w:t>
      </w:r>
    </w:p>
    <w:p w14:paraId="74F655CB">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地址：杭州市上城区清泰街549号城建综合大楼11楼（快递仅限ems或顺丰）</w:t>
      </w:r>
    </w:p>
    <w:p w14:paraId="2946529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传真：/</w:t>
      </w:r>
    </w:p>
    <w:p w14:paraId="09DA6E6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联系人：王老师</w:t>
      </w:r>
    </w:p>
    <w:p w14:paraId="1BCA2436">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监督投诉电话：0571-87227671</w:t>
      </w:r>
    </w:p>
    <w:p w14:paraId="34DBE7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73469F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CA问题联系电话（人工）：汇信CA 400-888-4636；天谷CA 400-087-8198。</w:t>
      </w:r>
    </w:p>
    <w:p w14:paraId="7754EEB0">
      <w:pPr>
        <w:pStyle w:val="33"/>
        <w:spacing w:line="360" w:lineRule="auto"/>
        <w:rPr>
          <w:rFonts w:hint="eastAsia" w:hAnsi="宋体" w:cs="宋体"/>
          <w:b/>
          <w:color w:val="auto"/>
          <w:sz w:val="36"/>
          <w:szCs w:val="20"/>
          <w:highlight w:val="none"/>
        </w:rPr>
      </w:pPr>
      <w:r>
        <w:rPr>
          <w:rFonts w:hint="eastAsia" w:hAnsi="宋体" w:cs="宋体"/>
          <w:color w:val="auto"/>
          <w:sz w:val="24"/>
          <w:highlight w:val="none"/>
        </w:rPr>
        <w:t xml:space="preserve">                     </w:t>
      </w:r>
    </w:p>
    <w:p w14:paraId="1055CD74">
      <w:pPr>
        <w:rPr>
          <w:color w:val="auto"/>
          <w:highlight w:val="none"/>
        </w:rPr>
      </w:pPr>
      <w:r>
        <w:rPr>
          <w:color w:val="auto"/>
          <w:highlight w:val="none"/>
        </w:rPr>
        <w:br w:type="page"/>
      </w:r>
    </w:p>
    <w:p w14:paraId="46B783D4">
      <w:pPr>
        <w:adjustRightInd/>
        <w:spacing w:line="360" w:lineRule="auto"/>
        <w:jc w:val="center"/>
        <w:outlineLvl w:val="0"/>
        <w:rPr>
          <w:rStyle w:val="283"/>
          <w:color w:val="auto"/>
          <w:highlight w:val="none"/>
        </w:rPr>
      </w:pPr>
      <w:bookmarkStart w:id="13" w:name="_Toc6177"/>
      <w:r>
        <w:rPr>
          <w:rStyle w:val="283"/>
          <w:rFonts w:hint="eastAsia"/>
          <w:color w:val="auto"/>
          <w:highlight w:val="none"/>
        </w:rPr>
        <w:t>第二部分</w:t>
      </w:r>
      <w:bookmarkEnd w:id="8"/>
      <w:r>
        <w:rPr>
          <w:rStyle w:val="283"/>
          <w:rFonts w:hint="eastAsia"/>
          <w:color w:val="auto"/>
          <w:highlight w:val="none"/>
        </w:rPr>
        <w:t xml:space="preserve"> 投标人须知</w:t>
      </w:r>
      <w:bookmarkEnd w:id="9"/>
      <w:bookmarkEnd w:id="13"/>
    </w:p>
    <w:p w14:paraId="094927B2">
      <w:pPr>
        <w:adjustRightInd/>
        <w:spacing w:line="360" w:lineRule="auto"/>
        <w:ind w:firstLine="3845" w:firstLineChars="1197"/>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617"/>
        <w:gridCol w:w="1561"/>
        <w:gridCol w:w="6948"/>
      </w:tblGrid>
      <w:tr w14:paraId="75E56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338" w:type="pct"/>
            <w:tcBorders>
              <w:tl2br w:val="nil"/>
              <w:tr2bl w:val="nil"/>
            </w:tcBorders>
          </w:tcPr>
          <w:p w14:paraId="56849CAC">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855" w:type="pct"/>
            <w:tcBorders>
              <w:tl2br w:val="nil"/>
              <w:tr2bl w:val="nil"/>
            </w:tcBorders>
            <w:vAlign w:val="center"/>
          </w:tcPr>
          <w:p w14:paraId="387B577D">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事项</w:t>
            </w:r>
          </w:p>
        </w:tc>
        <w:tc>
          <w:tcPr>
            <w:tcW w:w="3806" w:type="pct"/>
            <w:tcBorders>
              <w:tl2br w:val="nil"/>
              <w:tr2bl w:val="nil"/>
            </w:tcBorders>
            <w:vAlign w:val="center"/>
          </w:tcPr>
          <w:p w14:paraId="6ED82A8D">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本项目的特别规定</w:t>
            </w:r>
          </w:p>
        </w:tc>
      </w:tr>
      <w:tr w14:paraId="40F5A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87" w:hRule="atLeast"/>
        </w:trPr>
        <w:tc>
          <w:tcPr>
            <w:tcW w:w="338" w:type="pct"/>
            <w:tcBorders>
              <w:tl2br w:val="nil"/>
              <w:tr2bl w:val="nil"/>
            </w:tcBorders>
            <w:vAlign w:val="center"/>
          </w:tcPr>
          <w:p w14:paraId="7C0A3F9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55" w:type="pct"/>
            <w:tcBorders>
              <w:tl2br w:val="nil"/>
              <w:tr2bl w:val="nil"/>
            </w:tcBorders>
            <w:vAlign w:val="center"/>
          </w:tcPr>
          <w:p w14:paraId="30361D42">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项目属性与核心产品</w:t>
            </w:r>
          </w:p>
        </w:tc>
        <w:tc>
          <w:tcPr>
            <w:tcW w:w="3806" w:type="pct"/>
            <w:tcBorders>
              <w:tl2br w:val="nil"/>
              <w:tr2bl w:val="nil"/>
            </w:tcBorders>
            <w:vAlign w:val="center"/>
          </w:tcPr>
          <w:p w14:paraId="270D36A2">
            <w:pPr>
              <w:spacing w:line="360" w:lineRule="auto"/>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货物类，核心产品为：</w:t>
            </w:r>
            <w:r>
              <w:rPr>
                <w:rFonts w:hint="eastAsia" w:asciiTheme="minorEastAsia" w:hAnsiTheme="minorEastAsia" w:eastAsiaTheme="minorEastAsia" w:cstheme="minorEastAsia"/>
                <w:color w:val="auto"/>
                <w:szCs w:val="21"/>
                <w:highlight w:val="none"/>
                <w:u w:val="single"/>
              </w:rPr>
              <w:t>喷雾降尘设备</w:t>
            </w:r>
            <w:r>
              <w:rPr>
                <w:rFonts w:hint="eastAsia" w:asciiTheme="minorEastAsia" w:hAnsiTheme="minorEastAsia" w:eastAsiaTheme="minorEastAsia" w:cstheme="minorEastAsia"/>
                <w:color w:val="auto"/>
                <w:szCs w:val="21"/>
                <w:highlight w:val="none"/>
              </w:rPr>
              <w:t>。</w:t>
            </w:r>
          </w:p>
        </w:tc>
      </w:tr>
      <w:tr w14:paraId="3E541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06" w:hRule="atLeast"/>
        </w:trPr>
        <w:tc>
          <w:tcPr>
            <w:tcW w:w="338" w:type="pct"/>
            <w:vMerge w:val="restart"/>
            <w:tcBorders>
              <w:tl2br w:val="nil"/>
              <w:tr2bl w:val="nil"/>
            </w:tcBorders>
            <w:vAlign w:val="center"/>
          </w:tcPr>
          <w:p w14:paraId="2C0F1B9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55" w:type="pct"/>
            <w:vMerge w:val="restart"/>
            <w:tcBorders>
              <w:tl2br w:val="nil"/>
              <w:tr2bl w:val="nil"/>
            </w:tcBorders>
            <w:vAlign w:val="center"/>
          </w:tcPr>
          <w:p w14:paraId="5AA239E2">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采购标的及其对应的中小企业划分标准所属行业</w:t>
            </w:r>
          </w:p>
        </w:tc>
        <w:tc>
          <w:tcPr>
            <w:tcW w:w="3806" w:type="pct"/>
            <w:tcBorders>
              <w:tl2br w:val="nil"/>
              <w:tr2bl w:val="nil"/>
            </w:tcBorders>
            <w:vAlign w:val="center"/>
          </w:tcPr>
          <w:tbl>
            <w:tblPr>
              <w:tblStyle w:val="62"/>
              <w:tblW w:w="6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3915"/>
              <w:gridCol w:w="1123"/>
            </w:tblGrid>
            <w:tr w14:paraId="3327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1" w:type="dxa"/>
                  <w:vAlign w:val="center"/>
                </w:tcPr>
                <w:p w14:paraId="1C937EA0">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标的序号</w:t>
                  </w:r>
                </w:p>
              </w:tc>
              <w:tc>
                <w:tcPr>
                  <w:tcW w:w="3915" w:type="dxa"/>
                  <w:vAlign w:val="center"/>
                </w:tcPr>
                <w:p w14:paraId="616D8CB3">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标的名称</w:t>
                  </w:r>
                </w:p>
              </w:tc>
              <w:tc>
                <w:tcPr>
                  <w:tcW w:w="1123" w:type="dxa"/>
                  <w:vAlign w:val="center"/>
                </w:tcPr>
                <w:p w14:paraId="42BBA14B">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所属行业</w:t>
                  </w:r>
                </w:p>
              </w:tc>
            </w:tr>
            <w:tr w14:paraId="7499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14:paraId="106BC18A">
                  <w:pPr>
                    <w:numPr>
                      <w:ilvl w:val="0"/>
                      <w:numId w:val="1"/>
                    </w:numPr>
                    <w:spacing w:line="360" w:lineRule="auto"/>
                    <w:jc w:val="center"/>
                    <w:rPr>
                      <w:rFonts w:hint="eastAsia" w:ascii="宋体" w:hAnsi="宋体" w:cs="宋体"/>
                      <w:color w:val="auto"/>
                      <w:szCs w:val="21"/>
                      <w:highlight w:val="none"/>
                    </w:rPr>
                  </w:pPr>
                </w:p>
              </w:tc>
              <w:tc>
                <w:tcPr>
                  <w:tcW w:w="3915" w:type="dxa"/>
                  <w:vAlign w:val="center"/>
                </w:tcPr>
                <w:p w14:paraId="10EC7A0B">
                  <w:pPr>
                    <w:spacing w:line="360" w:lineRule="auto"/>
                    <w:ind w:firstLine="420" w:firstLineChars="200"/>
                    <w:jc w:val="center"/>
                    <w:rPr>
                      <w:rFonts w:hint="eastAsia" w:ascii="宋体" w:hAnsi="宋体" w:cs="宋体"/>
                      <w:color w:val="auto"/>
                      <w:szCs w:val="21"/>
                      <w:highlight w:val="none"/>
                    </w:rPr>
                  </w:pPr>
                  <w:r>
                    <w:rPr>
                      <w:rFonts w:hint="eastAsia"/>
                      <w:color w:val="auto"/>
                      <w:highlight w:val="none"/>
                    </w:rPr>
                    <w:t>扬尘在线监测设备</w:t>
                  </w:r>
                </w:p>
              </w:tc>
              <w:tc>
                <w:tcPr>
                  <w:tcW w:w="1123" w:type="dxa"/>
                  <w:vAlign w:val="center"/>
                </w:tcPr>
                <w:p w14:paraId="5B12A03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工业</w:t>
                  </w:r>
                </w:p>
              </w:tc>
            </w:tr>
            <w:tr w14:paraId="2B2A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14:paraId="4F1A7847">
                  <w:pPr>
                    <w:numPr>
                      <w:ilvl w:val="0"/>
                      <w:numId w:val="1"/>
                    </w:numPr>
                    <w:spacing w:line="360" w:lineRule="auto"/>
                    <w:jc w:val="center"/>
                    <w:rPr>
                      <w:rFonts w:hint="eastAsia" w:ascii="宋体" w:hAnsi="宋体" w:cs="宋体"/>
                      <w:color w:val="auto"/>
                      <w:szCs w:val="21"/>
                      <w:highlight w:val="none"/>
                    </w:rPr>
                  </w:pPr>
                </w:p>
              </w:tc>
              <w:tc>
                <w:tcPr>
                  <w:tcW w:w="3915" w:type="dxa"/>
                  <w:vAlign w:val="center"/>
                </w:tcPr>
                <w:p w14:paraId="45851EA0">
                  <w:pPr>
                    <w:spacing w:line="360" w:lineRule="auto"/>
                    <w:jc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u w:val="none"/>
                    </w:rPr>
                    <w:t>喷雾降尘设备</w:t>
                  </w:r>
                </w:p>
              </w:tc>
              <w:tc>
                <w:tcPr>
                  <w:tcW w:w="1123" w:type="dxa"/>
                  <w:vAlign w:val="center"/>
                </w:tcPr>
                <w:p w14:paraId="1EF4AA0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工业</w:t>
                  </w:r>
                </w:p>
              </w:tc>
            </w:tr>
          </w:tbl>
          <w:p w14:paraId="22F8D019">
            <w:pPr>
              <w:spacing w:line="360" w:lineRule="auto"/>
              <w:rPr>
                <w:color w:val="auto"/>
                <w:szCs w:val="21"/>
                <w:highlight w:val="none"/>
              </w:rPr>
            </w:pPr>
          </w:p>
        </w:tc>
      </w:tr>
      <w:tr w14:paraId="7FDBC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06" w:hRule="atLeast"/>
        </w:trPr>
        <w:tc>
          <w:tcPr>
            <w:tcW w:w="338" w:type="pct"/>
            <w:vMerge w:val="continue"/>
            <w:tcBorders>
              <w:tl2br w:val="nil"/>
              <w:tr2bl w:val="nil"/>
            </w:tcBorders>
            <w:vAlign w:val="center"/>
          </w:tcPr>
          <w:p w14:paraId="3B7F50C1">
            <w:pPr>
              <w:snapToGrid w:val="0"/>
              <w:spacing w:line="360" w:lineRule="auto"/>
              <w:jc w:val="center"/>
              <w:rPr>
                <w:rFonts w:hint="eastAsia" w:ascii="宋体" w:hAnsi="宋体" w:cs="宋体"/>
                <w:color w:val="auto"/>
                <w:szCs w:val="21"/>
                <w:highlight w:val="none"/>
              </w:rPr>
            </w:pPr>
          </w:p>
        </w:tc>
        <w:tc>
          <w:tcPr>
            <w:tcW w:w="855" w:type="pct"/>
            <w:vMerge w:val="continue"/>
            <w:tcBorders>
              <w:tl2br w:val="nil"/>
              <w:tr2bl w:val="nil"/>
            </w:tcBorders>
            <w:vAlign w:val="center"/>
          </w:tcPr>
          <w:p w14:paraId="1E49D79A">
            <w:pPr>
              <w:snapToGrid w:val="0"/>
              <w:spacing w:line="360" w:lineRule="auto"/>
              <w:jc w:val="center"/>
              <w:rPr>
                <w:rFonts w:hint="eastAsia" w:ascii="宋体" w:hAnsi="宋体" w:cs="宋体"/>
                <w:b/>
                <w:color w:val="auto"/>
                <w:szCs w:val="21"/>
                <w:highlight w:val="none"/>
              </w:rPr>
            </w:pPr>
          </w:p>
        </w:tc>
        <w:tc>
          <w:tcPr>
            <w:tcW w:w="3806" w:type="pct"/>
            <w:tcBorders>
              <w:tl2br w:val="nil"/>
              <w:tr2bl w:val="nil"/>
            </w:tcBorders>
            <w:vAlign w:val="center"/>
          </w:tcPr>
          <w:p w14:paraId="11E10078">
            <w:pPr>
              <w:spacing w:line="360" w:lineRule="auto"/>
              <w:rPr>
                <w:color w:val="auto"/>
                <w:szCs w:val="21"/>
                <w:highlight w:val="none"/>
              </w:rPr>
            </w:pPr>
            <w:r>
              <w:rPr>
                <w:rFonts w:hint="eastAsia"/>
                <w:color w:val="auto"/>
                <w:szCs w:val="21"/>
                <w:highlight w:val="none"/>
              </w:rPr>
              <w:t>根据《关于印发中小企业划型标准规定的通知》（工信部联企业〔2011〕300号）第四条规定：</w:t>
            </w:r>
            <w:r>
              <w:rPr>
                <w:rFonts w:hint="eastAsia"/>
                <w:color w:val="auto"/>
                <w:szCs w:val="21"/>
                <w:highlight w:val="none"/>
                <w:u w:val="singl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6F68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338" w:type="pct"/>
            <w:tcBorders>
              <w:tl2br w:val="nil"/>
              <w:tr2bl w:val="nil"/>
            </w:tcBorders>
            <w:vAlign w:val="center"/>
          </w:tcPr>
          <w:p w14:paraId="2D6FEDD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55" w:type="pct"/>
            <w:tcBorders>
              <w:tl2br w:val="nil"/>
              <w:tr2bl w:val="nil"/>
            </w:tcBorders>
            <w:vAlign w:val="center"/>
          </w:tcPr>
          <w:p w14:paraId="3A03A92B">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是否允许采购进口产品</w:t>
            </w:r>
          </w:p>
        </w:tc>
        <w:tc>
          <w:tcPr>
            <w:tcW w:w="3806" w:type="pct"/>
            <w:tcBorders>
              <w:tl2br w:val="nil"/>
              <w:tr2bl w:val="nil"/>
            </w:tcBorders>
            <w:vAlign w:val="center"/>
          </w:tcPr>
          <w:p w14:paraId="397DB794">
            <w:pPr>
              <w:spacing w:line="360" w:lineRule="auto"/>
              <w:rPr>
                <w:rFonts w:hint="eastAsia" w:asciiTheme="minorEastAsia" w:hAnsiTheme="minorEastAsia" w:eastAsiaTheme="minorEastAsia" w:cstheme="minorEastAsia"/>
                <w:color w:val="auto"/>
                <w:kern w:val="0"/>
                <w:szCs w:val="21"/>
                <w:highlight w:val="none"/>
              </w:rPr>
            </w:pPr>
            <w:sdt>
              <w:sdtPr>
                <w:rPr>
                  <w:rFonts w:hint="eastAsia" w:asciiTheme="minorEastAsia" w:hAnsiTheme="minorEastAsia" w:eastAsiaTheme="minorEastAsia" w:cstheme="minorEastAsia"/>
                  <w:color w:val="auto"/>
                  <w:kern w:val="0"/>
                  <w:szCs w:val="21"/>
                  <w:highlight w:val="none"/>
                </w:rPr>
                <w:id w:val="147456094"/>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hint="eastAsia" w:asciiTheme="minorEastAsia" w:hAnsiTheme="minorEastAsia" w:eastAsiaTheme="minorEastAsia" w:cstheme="minorEastAsia"/>
                    <w:color w:val="auto"/>
                    <w:kern w:val="0"/>
                    <w:szCs w:val="21"/>
                    <w:highlight w:val="none"/>
                  </w:rPr>
                  <w:sym w:font="Wingdings" w:char="F0FE"/>
                </w:r>
              </w:sdtContent>
            </w:sdt>
            <w:r>
              <w:rPr>
                <w:rFonts w:hint="eastAsia" w:asciiTheme="minorEastAsia" w:hAnsiTheme="minorEastAsia" w:eastAsiaTheme="minorEastAsia" w:cstheme="minorEastAsia"/>
                <w:color w:val="auto"/>
                <w:kern w:val="0"/>
                <w:szCs w:val="21"/>
                <w:highlight w:val="none"/>
              </w:rPr>
              <w:t>本项目不允许采购进口产品。</w:t>
            </w:r>
          </w:p>
          <w:p w14:paraId="26F88441">
            <w:pPr>
              <w:spacing w:line="360" w:lineRule="auto"/>
              <w:rPr>
                <w:rFonts w:hint="eastAsia" w:ascii="宋体" w:hAnsi="宋体" w:cs="宋体"/>
                <w:color w:val="auto"/>
                <w:szCs w:val="21"/>
                <w:highlight w:val="none"/>
              </w:rPr>
            </w:pPr>
            <w:sdt>
              <w:sdtPr>
                <w:rPr>
                  <w:rFonts w:hint="eastAsia" w:asciiTheme="minorEastAsia" w:hAnsiTheme="minorEastAsia" w:eastAsiaTheme="minorEastAsia" w:cstheme="minorEastAsia"/>
                  <w:color w:val="auto"/>
                  <w:kern w:val="0"/>
                  <w:szCs w:val="21"/>
                  <w:highlight w:val="none"/>
                </w:rPr>
                <w:id w:val="58658261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hint="eastAsia" w:asciiTheme="minorEastAsia" w:hAnsiTheme="minorEastAsia" w:eastAsiaTheme="minorEastAsia" w:cstheme="minorEastAsia"/>
                    <w:color w:val="auto"/>
                    <w:kern w:val="0"/>
                    <w:szCs w:val="21"/>
                    <w:highlight w:val="none"/>
                  </w:rPr>
                  <w:t>☐</w:t>
                </w:r>
              </w:sdtContent>
            </w:sdt>
            <w:r>
              <w:rPr>
                <w:rFonts w:hint="eastAsia" w:asciiTheme="minorEastAsia" w:hAnsiTheme="minorEastAsia" w:eastAsiaTheme="minorEastAsia" w:cstheme="minorEastAsia"/>
                <w:color w:val="auto"/>
                <w:kern w:val="0"/>
                <w:szCs w:val="21"/>
                <w:highlight w:val="none"/>
              </w:rPr>
              <w:t>可以就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rPr>
              <w:t>采购进口产品。</w:t>
            </w:r>
          </w:p>
        </w:tc>
      </w:tr>
      <w:tr w14:paraId="3EBFF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01" w:hRule="atLeast"/>
        </w:trPr>
        <w:tc>
          <w:tcPr>
            <w:tcW w:w="338" w:type="pct"/>
            <w:tcBorders>
              <w:tl2br w:val="nil"/>
              <w:tr2bl w:val="nil"/>
            </w:tcBorders>
            <w:vAlign w:val="center"/>
          </w:tcPr>
          <w:p w14:paraId="5A11A12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55" w:type="pct"/>
            <w:tcBorders>
              <w:tl2br w:val="nil"/>
              <w:tr2bl w:val="nil"/>
            </w:tcBorders>
            <w:vAlign w:val="center"/>
          </w:tcPr>
          <w:p w14:paraId="7160C516">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分包</w:t>
            </w:r>
          </w:p>
        </w:tc>
        <w:tc>
          <w:tcPr>
            <w:tcW w:w="3806" w:type="pct"/>
            <w:tcBorders>
              <w:tl2br w:val="nil"/>
              <w:tr2bl w:val="nil"/>
            </w:tcBorders>
            <w:vAlign w:val="center"/>
          </w:tcPr>
          <w:p w14:paraId="2875CE5C">
            <w:pPr>
              <w:spacing w:line="360" w:lineRule="auto"/>
              <w:rPr>
                <w:rFonts w:hint="eastAsia" w:asciiTheme="minorEastAsia" w:hAnsiTheme="minorEastAsia" w:eastAsiaTheme="minorEastAsia" w:cstheme="minorEastAsia"/>
                <w:color w:val="auto"/>
                <w:szCs w:val="21"/>
                <w:highlight w:val="none"/>
              </w:rPr>
            </w:pPr>
            <w:sdt>
              <w:sdtPr>
                <w:rPr>
                  <w:rFonts w:hint="eastAsia" w:asciiTheme="minorEastAsia" w:hAnsiTheme="minorEastAsia" w:eastAsiaTheme="minorEastAsia" w:cstheme="minorEastAsia"/>
                  <w:color w:val="auto"/>
                  <w:kern w:val="0"/>
                  <w:szCs w:val="21"/>
                  <w:highlight w:val="none"/>
                </w:rPr>
                <w:id w:val="147464354"/>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ascii="Wingdings" w:hAnsi="Wingdings" w:eastAsiaTheme="minorEastAsia" w:cstheme="minorEastAsia"/>
                    <w:color w:val="auto"/>
                    <w:kern w:val="0"/>
                    <w:szCs w:val="21"/>
                    <w:highlight w:val="none"/>
                  </w:rPr>
                  <w:t></w:t>
                </w:r>
              </w:sdtContent>
            </w:sdt>
            <w:r>
              <w:rPr>
                <w:rFonts w:hint="eastAsia" w:asciiTheme="minorEastAsia" w:hAnsiTheme="minorEastAsia" w:eastAsiaTheme="minorEastAsia" w:cstheme="minorEastAsia"/>
                <w:color w:val="auto"/>
                <w:kern w:val="0"/>
                <w:szCs w:val="21"/>
                <w:highlight w:val="none"/>
              </w:rPr>
              <w:t xml:space="preserve"> A</w:t>
            </w:r>
            <w:r>
              <w:rPr>
                <w:rFonts w:hint="eastAsia" w:asciiTheme="minorEastAsia" w:hAnsiTheme="minorEastAsia" w:eastAsiaTheme="minorEastAsia" w:cstheme="minorEastAsia"/>
                <w:color w:val="auto"/>
                <w:szCs w:val="21"/>
                <w:highlight w:val="none"/>
              </w:rPr>
              <w:t>同意将非主体、非关键性的</w:t>
            </w:r>
            <w:r>
              <w:rPr>
                <w:rFonts w:hint="eastAsia" w:asciiTheme="minorEastAsia" w:hAnsiTheme="minorEastAsia" w:eastAsiaTheme="minorEastAsia" w:cstheme="minorEastAsia"/>
                <w:color w:val="auto"/>
                <w:szCs w:val="21"/>
                <w:highlight w:val="none"/>
                <w:u w:val="single"/>
              </w:rPr>
              <w:t xml:space="preserve">   设备安装调试   </w:t>
            </w:r>
            <w:r>
              <w:rPr>
                <w:rFonts w:hint="eastAsia" w:asciiTheme="minorEastAsia" w:hAnsiTheme="minorEastAsia" w:eastAsiaTheme="minorEastAsia" w:cstheme="minorEastAsia"/>
                <w:color w:val="auto"/>
                <w:szCs w:val="21"/>
                <w:highlight w:val="none"/>
              </w:rPr>
              <w:t>工作分包。</w:t>
            </w:r>
          </w:p>
          <w:p w14:paraId="4A7A7284">
            <w:pPr>
              <w:spacing w:line="360" w:lineRule="auto"/>
              <w:rPr>
                <w:rFonts w:hint="eastAsia" w:asciiTheme="minorEastAsia" w:hAnsiTheme="minorEastAsia" w:eastAsiaTheme="minorEastAsia" w:cstheme="minorEastAsia"/>
                <w:color w:val="auto"/>
                <w:szCs w:val="21"/>
                <w:highlight w:val="none"/>
              </w:rPr>
            </w:pPr>
            <w:sdt>
              <w:sdtPr>
                <w:rPr>
                  <w:rFonts w:hint="eastAsia" w:asciiTheme="minorEastAsia" w:hAnsiTheme="minorEastAsia" w:eastAsiaTheme="minorEastAsia" w:cstheme="minorEastAsia"/>
                  <w:color w:val="auto"/>
                  <w:kern w:val="0"/>
                  <w:szCs w:val="21"/>
                  <w:highlight w:val="none"/>
                </w:rPr>
                <w:id w:val="14747374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ascii="MS Gothic" w:hAnsi="MS Gothic" w:eastAsiaTheme="minorEastAsia" w:cstheme="minorEastAsia"/>
                    <w:color w:val="auto"/>
                    <w:kern w:val="0"/>
                    <w:szCs w:val="21"/>
                    <w:highlight w:val="none"/>
                  </w:rPr>
                  <w:t>☐</w:t>
                </w:r>
              </w:sdtContent>
            </w:sdt>
            <w:r>
              <w:rPr>
                <w:rFonts w:hint="eastAsia" w:asciiTheme="minorEastAsia" w:hAnsiTheme="minorEastAsia" w:eastAsiaTheme="minorEastAsia" w:cstheme="minorEastAsia"/>
                <w:color w:val="auto"/>
                <w:kern w:val="0"/>
                <w:szCs w:val="21"/>
                <w:highlight w:val="none"/>
              </w:rPr>
              <w:t xml:space="preserve"> B</w:t>
            </w:r>
            <w:r>
              <w:rPr>
                <w:rFonts w:hint="eastAsia" w:asciiTheme="minorEastAsia" w:hAnsiTheme="minorEastAsia" w:eastAsiaTheme="minorEastAsia" w:cstheme="minorEastAsia"/>
                <w:color w:val="auto"/>
                <w:szCs w:val="21"/>
                <w:highlight w:val="none"/>
              </w:rPr>
              <w:t>不同意分包。</w:t>
            </w:r>
          </w:p>
          <w:p w14:paraId="56881CA6">
            <w:pPr>
              <w:spacing w:line="360" w:lineRule="auto"/>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注：不得限制大中型企业向小微企业合理分包。</w:t>
            </w:r>
          </w:p>
        </w:tc>
      </w:tr>
      <w:tr w14:paraId="5003C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0" w:hRule="atLeast"/>
        </w:trPr>
        <w:tc>
          <w:tcPr>
            <w:tcW w:w="338" w:type="pct"/>
            <w:tcBorders>
              <w:tl2br w:val="nil"/>
              <w:tr2bl w:val="nil"/>
            </w:tcBorders>
            <w:vAlign w:val="center"/>
          </w:tcPr>
          <w:p w14:paraId="66B2BFA8">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55" w:type="pct"/>
            <w:tcBorders>
              <w:tl2br w:val="nil"/>
              <w:tr2bl w:val="nil"/>
            </w:tcBorders>
            <w:vAlign w:val="center"/>
          </w:tcPr>
          <w:p w14:paraId="726F8C2F">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开标前答疑会或现场考察</w:t>
            </w:r>
          </w:p>
        </w:tc>
        <w:tc>
          <w:tcPr>
            <w:tcW w:w="3806" w:type="pct"/>
            <w:tcBorders>
              <w:tl2br w:val="nil"/>
              <w:tr2bl w:val="nil"/>
            </w:tcBorders>
            <w:vAlign w:val="center"/>
          </w:tcPr>
          <w:p w14:paraId="3C61E674">
            <w:pPr>
              <w:spacing w:line="360" w:lineRule="auto"/>
              <w:rPr>
                <w:rFonts w:hint="eastAsia" w:asciiTheme="minorEastAsia" w:hAnsiTheme="minorEastAsia" w:eastAsiaTheme="minorEastAsia" w:cstheme="minorEastAsia"/>
                <w:color w:val="auto"/>
                <w:szCs w:val="21"/>
                <w:highlight w:val="none"/>
              </w:rPr>
            </w:pPr>
            <w:sdt>
              <w:sdtPr>
                <w:rPr>
                  <w:rFonts w:hint="eastAsia" w:asciiTheme="minorEastAsia" w:hAnsiTheme="minorEastAsia" w:eastAsiaTheme="minorEastAsia" w:cstheme="minorEastAsia"/>
                  <w:color w:val="auto"/>
                  <w:kern w:val="0"/>
                  <w:szCs w:val="21"/>
                  <w:highlight w:val="none"/>
                </w:rPr>
                <w:id w:val="2020429600"/>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hint="eastAsia" w:asciiTheme="minorEastAsia" w:hAnsiTheme="minorEastAsia" w:eastAsiaTheme="minorEastAsia" w:cstheme="minorEastAsia"/>
                    <w:color w:val="auto"/>
                    <w:kern w:val="0"/>
                    <w:szCs w:val="21"/>
                    <w:highlight w:val="none"/>
                  </w:rPr>
                  <w:sym w:font="Wingdings" w:char="F0FE"/>
                </w:r>
              </w:sdtContent>
            </w:sdt>
            <w:r>
              <w:rPr>
                <w:rFonts w:hint="eastAsia" w:asciiTheme="minorEastAsia" w:hAnsiTheme="minorEastAsia" w:eastAsiaTheme="minorEastAsia" w:cstheme="minorEastAsia"/>
                <w:color w:val="auto"/>
                <w:kern w:val="0"/>
                <w:szCs w:val="21"/>
                <w:highlight w:val="none"/>
              </w:rPr>
              <w:t>A</w:t>
            </w:r>
            <w:r>
              <w:rPr>
                <w:rFonts w:hint="eastAsia" w:asciiTheme="minorEastAsia" w:hAnsiTheme="minorEastAsia" w:eastAsiaTheme="minorEastAsia" w:cstheme="minorEastAsia"/>
                <w:color w:val="auto"/>
                <w:szCs w:val="21"/>
                <w:highlight w:val="none"/>
              </w:rPr>
              <w:t>不组织。</w:t>
            </w:r>
          </w:p>
          <w:p w14:paraId="12D2C1E4">
            <w:pPr>
              <w:spacing w:line="360" w:lineRule="auto"/>
              <w:rPr>
                <w:rFonts w:hint="eastAsia" w:asciiTheme="minorEastAsia" w:hAnsiTheme="minorEastAsia" w:eastAsiaTheme="minorEastAsia" w:cstheme="minorEastAsia"/>
                <w:color w:val="auto"/>
                <w:szCs w:val="21"/>
                <w:highlight w:val="none"/>
              </w:rPr>
            </w:pPr>
            <w:sdt>
              <w:sdtPr>
                <w:rPr>
                  <w:rFonts w:hint="eastAsia" w:asciiTheme="minorEastAsia" w:hAnsiTheme="minorEastAsia" w:eastAsiaTheme="minorEastAsia" w:cstheme="minorEastAsia"/>
                  <w:color w:val="auto"/>
                  <w:kern w:val="0"/>
                  <w:szCs w:val="21"/>
                  <w:highlight w:val="none"/>
                </w:rPr>
                <w:id w:val="14746795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hint="eastAsia" w:asciiTheme="minorEastAsia" w:hAnsiTheme="minorEastAsia" w:eastAsiaTheme="minorEastAsia" w:cstheme="minorEastAsia"/>
                    <w:color w:val="auto"/>
                    <w:kern w:val="0"/>
                    <w:szCs w:val="21"/>
                    <w:highlight w:val="none"/>
                  </w:rPr>
                  <w:t>☐</w:t>
                </w:r>
              </w:sdtContent>
            </w:sdt>
            <w:r>
              <w:rPr>
                <w:rFonts w:hint="eastAsia" w:asciiTheme="minorEastAsia" w:hAnsiTheme="minorEastAsia" w:eastAsiaTheme="minorEastAsia" w:cstheme="minorEastAsia"/>
                <w:color w:val="auto"/>
                <w:kern w:val="0"/>
                <w:szCs w:val="21"/>
                <w:highlight w:val="none"/>
              </w:rPr>
              <w:t>B组织，</w:t>
            </w: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,地点：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，联系方式：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3A6501D3">
            <w:pPr>
              <w:pStyle w:val="79"/>
              <w:ind w:firstLine="0" w:firstLineChars="0"/>
              <w:rPr>
                <w:rFonts w:hint="eastAsia"/>
                <w:color w:val="auto"/>
                <w:highlight w:val="none"/>
              </w:rPr>
            </w:pPr>
            <w:r>
              <w:rPr>
                <w:rFonts w:hint="eastAsia" w:asciiTheme="minorEastAsia" w:hAnsiTheme="minorEastAsia" w:eastAsiaTheme="minorEastAsia" w:cstheme="minorEastAsia"/>
                <w:color w:val="auto"/>
                <w:sz w:val="21"/>
                <w:highlight w:val="none"/>
              </w:rPr>
              <w:t>☐C不统一组织，供应商在获取采购文件后，自行至项目现场考察。地点： ，联系人： ，联系方式：   。</w:t>
            </w:r>
          </w:p>
        </w:tc>
      </w:tr>
      <w:tr w14:paraId="55D16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338" w:type="pct"/>
            <w:tcBorders>
              <w:tl2br w:val="nil"/>
              <w:tr2bl w:val="nil"/>
            </w:tcBorders>
            <w:vAlign w:val="center"/>
          </w:tcPr>
          <w:p w14:paraId="3BC66F9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855" w:type="pct"/>
            <w:tcBorders>
              <w:tl2br w:val="nil"/>
              <w:tr2bl w:val="nil"/>
            </w:tcBorders>
            <w:vAlign w:val="center"/>
          </w:tcPr>
          <w:p w14:paraId="46B455C4">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样品提供</w:t>
            </w:r>
          </w:p>
        </w:tc>
        <w:tc>
          <w:tcPr>
            <w:tcW w:w="3806" w:type="pct"/>
            <w:tcBorders>
              <w:tl2br w:val="nil"/>
              <w:tr2bl w:val="nil"/>
            </w:tcBorders>
            <w:vAlign w:val="center"/>
          </w:tcPr>
          <w:p w14:paraId="0F4B0C7C">
            <w:pPr>
              <w:spacing w:line="360" w:lineRule="auto"/>
              <w:rPr>
                <w:rFonts w:hint="eastAsia" w:ascii="宋体" w:hAnsi="宋体" w:cs="宋体"/>
                <w:color w:val="auto"/>
                <w:szCs w:val="21"/>
                <w:highlight w:val="none"/>
              </w:rPr>
            </w:pPr>
            <w:sdt>
              <w:sdtPr>
                <w:rPr>
                  <w:rFonts w:hint="eastAsia" w:ascii="宋体" w:hAnsi="宋体" w:cs="宋体"/>
                  <w:color w:val="auto"/>
                  <w:kern w:val="0"/>
                  <w:szCs w:val="21"/>
                  <w:highlight w:val="none"/>
                </w:rPr>
                <w:id w:val="147453134"/>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4D2AA113">
            <w:pPr>
              <w:spacing w:line="360" w:lineRule="auto"/>
              <w:rPr>
                <w:rFonts w:hint="eastAsia" w:ascii="宋体" w:hAnsi="宋体" w:cs="宋体"/>
                <w:color w:val="auto"/>
                <w:kern w:val="0"/>
                <w:szCs w:val="21"/>
                <w:highlight w:val="none"/>
              </w:rPr>
            </w:pPr>
            <w:sdt>
              <w:sdtPr>
                <w:rPr>
                  <w:rFonts w:hint="eastAsia" w:ascii="宋体" w:hAnsi="宋体" w:cs="宋体"/>
                  <w:color w:val="auto"/>
                  <w:kern w:val="0"/>
                  <w:szCs w:val="21"/>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eastAsia="MS Gothic" w:cs="宋体"/>
                    <w:color w:val="auto"/>
                    <w:kern w:val="0"/>
                    <w:szCs w:val="21"/>
                    <w:highlight w:val="none"/>
                  </w:rPr>
                  <w:t>☐</w:t>
                </w:r>
              </w:sdtContent>
            </w:sdt>
            <w:r>
              <w:rPr>
                <w:rFonts w:hint="eastAsia" w:ascii="宋体" w:hAnsi="宋体" w:cs="宋体"/>
                <w:color w:val="auto"/>
                <w:kern w:val="0"/>
                <w:szCs w:val="21"/>
                <w:highlight w:val="none"/>
              </w:rPr>
              <w:t>B要求提供，</w:t>
            </w:r>
          </w:p>
          <w:p w14:paraId="7772404C">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snapToGrid w:val="0"/>
                <w:color w:val="auto"/>
                <w:kern w:val="28"/>
                <w:szCs w:val="21"/>
                <w:highlight w:val="none"/>
                <w:u w:val="single"/>
              </w:rPr>
              <w:t>详见 第三部分 采购需求</w:t>
            </w:r>
            <w:r>
              <w:rPr>
                <w:rFonts w:hint="eastAsia" w:ascii="宋体" w:hAnsi="宋体" w:cs="宋体"/>
                <w:color w:val="auto"/>
                <w:kern w:val="0"/>
                <w:szCs w:val="21"/>
                <w:highlight w:val="none"/>
              </w:rPr>
              <w:t>；</w:t>
            </w:r>
          </w:p>
          <w:p w14:paraId="7519A11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样品制作的标准和要求：</w:t>
            </w:r>
            <w:r>
              <w:rPr>
                <w:rFonts w:hint="eastAsia" w:ascii="宋体" w:hAnsi="宋体" w:cs="宋体"/>
                <w:snapToGrid w:val="0"/>
                <w:color w:val="auto"/>
                <w:kern w:val="28"/>
                <w:szCs w:val="21"/>
                <w:highlight w:val="none"/>
                <w:u w:val="single"/>
              </w:rPr>
              <w:t>详见 第三部分 采购需求</w:t>
            </w:r>
            <w:r>
              <w:rPr>
                <w:rFonts w:hint="eastAsia" w:ascii="宋体" w:hAnsi="宋体" w:cs="宋体"/>
                <w:color w:val="auto"/>
                <w:kern w:val="0"/>
                <w:szCs w:val="21"/>
                <w:highlight w:val="none"/>
              </w:rPr>
              <w:t>；</w:t>
            </w:r>
          </w:p>
          <w:p w14:paraId="7346B8F6">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（3）样品的评审方法以及评审标准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7B32B711">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sdt>
              <w:sdtPr>
                <w:rPr>
                  <w:rFonts w:hint="eastAsia" w:ascii="宋体" w:hAnsi="宋体" w:cs="宋体"/>
                  <w:color w:val="auto"/>
                  <w:kern w:val="0"/>
                  <w:szCs w:val="21"/>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eastAsia="MS Gothic" w:cs="宋体"/>
                    <w:color w:val="auto"/>
                    <w:kern w:val="0"/>
                    <w:szCs w:val="21"/>
                    <w:highlight w:val="none"/>
                  </w:rPr>
                  <w:t></w:t>
                </w:r>
              </w:sdtContent>
            </w:sdt>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14:paraId="63A5F13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（5）提供样品的时间：</w:t>
            </w:r>
            <w:r>
              <w:rPr>
                <w:rFonts w:hint="eastAsia" w:ascii="宋体" w:hAnsi="宋体" w:cs="宋体"/>
                <w:color w:val="auto"/>
                <w:szCs w:val="21"/>
                <w:highlight w:val="none"/>
                <w:u w:val="single"/>
              </w:rPr>
              <w:t xml:space="preserve"> 投标截止时间前 </w:t>
            </w:r>
            <w:r>
              <w:rPr>
                <w:rFonts w:hint="eastAsia" w:ascii="宋体" w:hAnsi="宋体" w:cs="宋体"/>
                <w:color w:val="auto"/>
                <w:kern w:val="0"/>
                <w:szCs w:val="21"/>
                <w:highlight w:val="none"/>
              </w:rPr>
              <w:t>；地点：</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；联系人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何颖楹 </w:t>
            </w:r>
            <w:r>
              <w:rPr>
                <w:rFonts w:hint="eastAsia" w:ascii="宋体" w:hAnsi="宋体" w:cs="宋体"/>
                <w:color w:val="auto"/>
                <w:szCs w:val="21"/>
                <w:highlight w:val="none"/>
              </w:rPr>
              <w:t>，</w:t>
            </w:r>
            <w:r>
              <w:rPr>
                <w:rFonts w:hint="eastAsia" w:ascii="宋体" w:hAnsi="宋体" w:cs="宋体"/>
                <w:color w:val="auto"/>
                <w:kern w:val="28"/>
                <w:szCs w:val="21"/>
                <w:highlight w:val="none"/>
              </w:rPr>
              <w:t>联系电话：</w:t>
            </w:r>
            <w:r>
              <w:rPr>
                <w:rFonts w:hint="eastAsia" w:ascii="宋体" w:hAnsi="宋体" w:cs="宋体"/>
                <w:color w:val="auto"/>
                <w:szCs w:val="21"/>
                <w:highlight w:val="none"/>
                <w:u w:val="single"/>
              </w:rPr>
              <w:t xml:space="preserve"> 15700073181 </w:t>
            </w:r>
            <w:r>
              <w:rPr>
                <w:rFonts w:hint="eastAsia" w:ascii="宋体" w:hAnsi="宋体" w:cs="宋体"/>
                <w:color w:val="auto"/>
                <w:szCs w:val="21"/>
                <w:highlight w:val="none"/>
              </w:rPr>
              <w:t>。请投标人在上述时间内提供样品并按规定位置安装完毕。超过截止时间的，采购人或采购代理机构将不予接收，并将清场并封闭样品现场。</w:t>
            </w:r>
          </w:p>
          <w:p w14:paraId="70230C4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B9A654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（7）制作、运输、安装和保管样品所发生的一切费用由投标人自理。</w:t>
            </w:r>
          </w:p>
          <w:p w14:paraId="3D2BD684">
            <w:pPr>
              <w:spacing w:line="360" w:lineRule="auto"/>
              <w:rPr>
                <w:rFonts w:hint="eastAsia" w:ascii="宋体" w:hAnsi="宋体" w:cs="宋体"/>
                <w:b/>
                <w:color w:val="auto"/>
                <w:szCs w:val="21"/>
                <w:highlight w:val="none"/>
              </w:rPr>
            </w:pPr>
            <w:r>
              <w:rPr>
                <w:rFonts w:hint="eastAsia" w:ascii="宋体" w:hAnsi="宋体" w:cs="宋体"/>
                <w:b/>
                <w:bCs/>
                <w:color w:val="auto"/>
                <w:szCs w:val="21"/>
                <w:highlight w:val="none"/>
                <w:u w:val="single"/>
              </w:rPr>
              <w:t>（8）未提供样品或提供样品不满足采购需求实质性条件的供应商，</w:t>
            </w:r>
            <w:r>
              <w:rPr>
                <w:rFonts w:hint="eastAsia" w:ascii="宋体" w:hAnsi="宋体" w:cs="宋体"/>
                <w:b/>
                <w:bCs/>
                <w:color w:val="auto"/>
                <w:szCs w:val="21"/>
                <w:highlight w:val="none"/>
                <w:u w:val="single"/>
                <w:lang w:val="zh-CN"/>
              </w:rPr>
              <w:t>投标无效。</w:t>
            </w:r>
          </w:p>
        </w:tc>
      </w:tr>
      <w:tr w14:paraId="389AF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9" w:hRule="atLeast"/>
        </w:trPr>
        <w:tc>
          <w:tcPr>
            <w:tcW w:w="338" w:type="pct"/>
            <w:tcBorders>
              <w:tl2br w:val="nil"/>
              <w:tr2bl w:val="nil"/>
            </w:tcBorders>
            <w:vAlign w:val="center"/>
          </w:tcPr>
          <w:p w14:paraId="5D5A54A6">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855" w:type="pct"/>
            <w:tcBorders>
              <w:tl2br w:val="nil"/>
              <w:tr2bl w:val="nil"/>
            </w:tcBorders>
            <w:vAlign w:val="center"/>
          </w:tcPr>
          <w:p w14:paraId="6D6E464F">
            <w:pPr>
              <w:snapToGrid w:val="0"/>
              <w:spacing w:line="360" w:lineRule="auto"/>
              <w:jc w:val="center"/>
              <w:rPr>
                <w:rFonts w:hint="eastAsia" w:ascii="宋体" w:hAnsi="宋体" w:cs="宋体"/>
                <w:bCs/>
                <w:color w:val="auto"/>
                <w:szCs w:val="21"/>
                <w:highlight w:val="none"/>
              </w:rPr>
            </w:pPr>
            <w:r>
              <w:rPr>
                <w:rFonts w:hint="eastAsia" w:ascii="宋体" w:hAnsi="宋体" w:cs="宋体"/>
                <w:b/>
                <w:color w:val="auto"/>
                <w:szCs w:val="21"/>
                <w:highlight w:val="none"/>
              </w:rPr>
              <w:t>方案讲解演示</w:t>
            </w:r>
          </w:p>
        </w:tc>
        <w:tc>
          <w:tcPr>
            <w:tcW w:w="3806" w:type="pct"/>
            <w:tcBorders>
              <w:tl2br w:val="nil"/>
              <w:tr2bl w:val="nil"/>
            </w:tcBorders>
            <w:vAlign w:val="center"/>
          </w:tcPr>
          <w:p w14:paraId="3A8C3504">
            <w:pPr>
              <w:spacing w:line="360" w:lineRule="auto"/>
              <w:rPr>
                <w:rFonts w:hint="eastAsia" w:ascii="宋体" w:hAnsi="宋体" w:cs="宋体"/>
                <w:color w:val="auto"/>
                <w:szCs w:val="21"/>
                <w:highlight w:val="none"/>
              </w:rPr>
            </w:pPr>
            <w:sdt>
              <w:sdtPr>
                <w:rPr>
                  <w:rFonts w:hint="eastAsia" w:ascii="宋体" w:hAnsi="宋体" w:cs="宋体"/>
                  <w:color w:val="auto"/>
                  <w:kern w:val="0"/>
                  <w:szCs w:val="21"/>
                  <w:highlight w:val="none"/>
                </w:rPr>
                <w:id w:val="1460379949"/>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eastAsia="MS Gothic"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2FDABF15">
            <w:pPr>
              <w:spacing w:line="360" w:lineRule="auto"/>
              <w:rPr>
                <w:rFonts w:hint="eastAsia" w:ascii="宋体" w:hAnsi="宋体" w:cs="宋体"/>
                <w:color w:val="auto"/>
                <w:kern w:val="0"/>
                <w:szCs w:val="21"/>
                <w:highlight w:val="none"/>
              </w:rPr>
            </w:pPr>
            <w:sdt>
              <w:sdtPr>
                <w:rPr>
                  <w:rFonts w:hint="eastAsia" w:ascii="宋体" w:hAnsi="宋体" w:cs="宋体"/>
                  <w:color w:val="auto"/>
                  <w:kern w:val="0"/>
                  <w:szCs w:val="21"/>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B组织。</w:t>
            </w:r>
          </w:p>
          <w:p w14:paraId="75E1604B">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2380B04">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（2）方案讲解演示可选择以下其中一种方式：</w:t>
            </w:r>
          </w:p>
          <w:p w14:paraId="1B0B7657">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方式一：政采云平台在线讲解演示。政采云平台在线讲解需投标人根据政采云平台操作要求做好准备工作，提前完善软硬件配置环境。</w:t>
            </w:r>
          </w:p>
          <w:p w14:paraId="21C7B1F0">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方式二：交易中心现场讲解演示。现场讲解地点为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，讲解演示所用电脑等设备由投标人自备。现场讲解演示人员进场时提供讲解人员名单（加盖公章或授权代表签名）及身份证明，否则不得讲解演示。</w:t>
            </w:r>
          </w:p>
          <w:p w14:paraId="0501FEDC">
            <w:pPr>
              <w:snapToGrid w:val="0"/>
              <w:spacing w:line="360" w:lineRule="auto"/>
              <w:rPr>
                <w:rFonts w:hint="eastAsia" w:ascii="宋体" w:hAnsi="宋体" w:cs="宋体"/>
                <w:b/>
                <w:color w:val="auto"/>
                <w:kern w:val="0"/>
                <w:szCs w:val="21"/>
                <w:highlight w:val="none"/>
                <w:lang w:val="zh-CN"/>
              </w:rPr>
            </w:pPr>
            <w:r>
              <w:rPr>
                <w:rFonts w:hint="eastAsia" w:ascii="宋体" w:hAnsi="宋体" w:cs="宋体"/>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D586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rPr>
        <w:tc>
          <w:tcPr>
            <w:tcW w:w="338" w:type="pct"/>
            <w:vMerge w:val="restart"/>
            <w:tcBorders>
              <w:tl2br w:val="nil"/>
              <w:tr2bl w:val="nil"/>
            </w:tcBorders>
            <w:vAlign w:val="center"/>
          </w:tcPr>
          <w:p w14:paraId="2C7638D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855" w:type="pct"/>
            <w:vMerge w:val="restart"/>
            <w:tcBorders>
              <w:tl2br w:val="nil"/>
              <w:tr2bl w:val="nil"/>
            </w:tcBorders>
            <w:vAlign w:val="center"/>
          </w:tcPr>
          <w:p w14:paraId="4E6FF563">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投标人应当提供的资格、资信证明文件</w:t>
            </w:r>
          </w:p>
        </w:tc>
        <w:tc>
          <w:tcPr>
            <w:tcW w:w="3806" w:type="pct"/>
            <w:tcBorders>
              <w:tl2br w:val="nil"/>
              <w:tr2bl w:val="nil"/>
            </w:tcBorders>
            <w:vAlign w:val="center"/>
          </w:tcPr>
          <w:p w14:paraId="3825A9E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（1）资格证明文件：见招标文件第二部分11.1。</w:t>
            </w:r>
          </w:p>
          <w:p w14:paraId="17F42C69">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Cs w:val="21"/>
                <w:highlight w:val="none"/>
                <w:lang w:val="zh-CN"/>
              </w:rPr>
              <w:t>投标人未提供有效的资格证明文件的，视为投标人不具备招标文件中规定的资格要求，投标无效。</w:t>
            </w:r>
          </w:p>
        </w:tc>
      </w:tr>
      <w:tr w14:paraId="0EB99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70" w:hRule="atLeast"/>
        </w:trPr>
        <w:tc>
          <w:tcPr>
            <w:tcW w:w="338" w:type="pct"/>
            <w:vMerge w:val="continue"/>
            <w:tcBorders>
              <w:tl2br w:val="nil"/>
              <w:tr2bl w:val="nil"/>
            </w:tcBorders>
          </w:tcPr>
          <w:p w14:paraId="1367CCF9">
            <w:pPr>
              <w:snapToGrid w:val="0"/>
              <w:spacing w:line="360" w:lineRule="auto"/>
              <w:jc w:val="center"/>
              <w:rPr>
                <w:rFonts w:hint="eastAsia" w:ascii="宋体" w:hAnsi="宋体" w:cs="宋体"/>
                <w:color w:val="auto"/>
                <w:szCs w:val="21"/>
                <w:highlight w:val="none"/>
              </w:rPr>
            </w:pPr>
          </w:p>
        </w:tc>
        <w:tc>
          <w:tcPr>
            <w:tcW w:w="855" w:type="pct"/>
            <w:vMerge w:val="continue"/>
            <w:tcBorders>
              <w:tl2br w:val="nil"/>
              <w:tr2bl w:val="nil"/>
            </w:tcBorders>
            <w:vAlign w:val="center"/>
          </w:tcPr>
          <w:p w14:paraId="102F22EF">
            <w:pPr>
              <w:snapToGrid w:val="0"/>
              <w:spacing w:line="360" w:lineRule="auto"/>
              <w:jc w:val="center"/>
              <w:rPr>
                <w:rFonts w:hint="eastAsia" w:ascii="宋体" w:hAnsi="宋体" w:cs="宋体"/>
                <w:b/>
                <w:color w:val="auto"/>
                <w:szCs w:val="21"/>
                <w:highlight w:val="none"/>
              </w:rPr>
            </w:pPr>
          </w:p>
        </w:tc>
        <w:tc>
          <w:tcPr>
            <w:tcW w:w="3806" w:type="pct"/>
            <w:tcBorders>
              <w:tl2br w:val="nil"/>
              <w:tr2bl w:val="nil"/>
            </w:tcBorders>
            <w:vAlign w:val="center"/>
          </w:tcPr>
          <w:p w14:paraId="7B5BE05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（2）资信证明文件：根据招标文件第四部分评标标准提供。</w:t>
            </w:r>
          </w:p>
        </w:tc>
      </w:tr>
      <w:tr w14:paraId="68271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rPr>
        <w:tc>
          <w:tcPr>
            <w:tcW w:w="338" w:type="pct"/>
            <w:tcBorders>
              <w:tl2br w:val="nil"/>
              <w:tr2bl w:val="nil"/>
            </w:tcBorders>
            <w:vAlign w:val="center"/>
          </w:tcPr>
          <w:p w14:paraId="01F51B75">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855" w:type="pct"/>
            <w:tcBorders>
              <w:tl2br w:val="nil"/>
              <w:tr2bl w:val="nil"/>
            </w:tcBorders>
            <w:vAlign w:val="center"/>
          </w:tcPr>
          <w:p w14:paraId="332B1073">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节能产品、环境标志产品</w:t>
            </w:r>
          </w:p>
        </w:tc>
        <w:tc>
          <w:tcPr>
            <w:tcW w:w="3806" w:type="pct"/>
            <w:tcBorders>
              <w:tl2br w:val="nil"/>
              <w:tr2bl w:val="nil"/>
            </w:tcBorders>
            <w:vAlign w:val="center"/>
          </w:tcPr>
          <w:p w14:paraId="1622E76B">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414C3F8">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☐强制采购节能产品。产品：    </w:t>
            </w:r>
          </w:p>
          <w:p w14:paraId="3BAEE19A">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□优先采购节能产品。产品：   </w:t>
            </w:r>
          </w:p>
          <w:p w14:paraId="3F11A8FD">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□优先采购环保产品。产品：    </w:t>
            </w:r>
          </w:p>
          <w:p w14:paraId="238CB5CC">
            <w:pPr>
              <w:snapToGrid w:val="0"/>
              <w:spacing w:line="360" w:lineRule="auto"/>
              <w:rPr>
                <w:color w:val="auto"/>
                <w:highlight w:val="none"/>
              </w:rPr>
            </w:pPr>
            <w:r>
              <w:rPr>
                <w:rFonts w:hint="eastAsia" w:ascii="宋体" w:hAnsi="宋体" w:cs="宋体"/>
                <w:color w:val="auto"/>
                <w:kern w:val="0"/>
                <w:szCs w:val="21"/>
                <w:highlight w:val="none"/>
              </w:rPr>
              <w:t>☑无</w:t>
            </w:r>
          </w:p>
        </w:tc>
      </w:tr>
      <w:tr w14:paraId="6986C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rPr>
        <w:tc>
          <w:tcPr>
            <w:tcW w:w="338" w:type="pct"/>
            <w:tcBorders>
              <w:tl2br w:val="nil"/>
              <w:tr2bl w:val="nil"/>
            </w:tcBorders>
            <w:vAlign w:val="center"/>
          </w:tcPr>
          <w:p w14:paraId="3F7614A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855" w:type="pct"/>
            <w:tcBorders>
              <w:tl2br w:val="nil"/>
              <w:tr2bl w:val="nil"/>
            </w:tcBorders>
            <w:vAlign w:val="center"/>
          </w:tcPr>
          <w:p w14:paraId="30036AF1">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3806" w:type="pct"/>
            <w:tcBorders>
              <w:tl2br w:val="nil"/>
              <w:tr2bl w:val="nil"/>
            </w:tcBorders>
            <w:vAlign w:val="center"/>
          </w:tcPr>
          <w:p w14:paraId="0E2A6756">
            <w:pPr>
              <w:snapToGrid w:val="0"/>
              <w:spacing w:line="360" w:lineRule="auto"/>
              <w:jc w:val="left"/>
              <w:rPr>
                <w:rFonts w:hint="eastAsia" w:ascii="宋体" w:hAnsi="宋体" w:cs="宋体"/>
                <w:b/>
                <w:color w:val="auto"/>
                <w:kern w:val="0"/>
                <w:szCs w:val="21"/>
                <w:highlight w:val="none"/>
                <w:lang w:val="zh-CN"/>
              </w:rPr>
            </w:pPr>
            <w:r>
              <w:rPr>
                <w:rFonts w:hint="eastAsia" w:ascii="宋体" w:hAnsi="宋体" w:cs="宋体"/>
                <w:color w:val="auto"/>
                <w:kern w:val="0"/>
                <w:szCs w:val="21"/>
                <w:highlight w:val="none"/>
                <w:lang w:val="zh-CN"/>
              </w:rPr>
              <w:t>有关本项目实施所需的所有费用（含税费）均计入报价。</w:t>
            </w:r>
            <w:r>
              <w:rPr>
                <w:rFonts w:hint="eastAsia" w:ascii="宋体" w:hAnsi="宋体" w:cs="宋体"/>
                <w:b/>
                <w:bCs/>
                <w:color w:val="auto"/>
                <w:kern w:val="0"/>
                <w:szCs w:val="21"/>
                <w:highlight w:val="none"/>
                <w:lang w:val="zh-CN"/>
              </w:rPr>
              <w:t>投标文件</w:t>
            </w:r>
            <w:r>
              <w:rPr>
                <w:rFonts w:hint="eastAsia" w:ascii="宋体" w:hAnsi="宋体" w:cs="宋体"/>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Cs w:val="21"/>
                <w:highlight w:val="none"/>
                <w:lang w:val="zh-CN"/>
              </w:rPr>
              <w:t>投标文件中价格全部采用人民币报价。招标文件未列明，而投标人认为必需的费用也需列入报价。</w:t>
            </w:r>
            <w:r>
              <w:rPr>
                <w:rFonts w:hint="eastAsia" w:ascii="宋体" w:hAnsi="宋体" w:cs="宋体"/>
                <w:b/>
                <w:color w:val="auto"/>
                <w:kern w:val="0"/>
                <w:szCs w:val="21"/>
                <w:highlight w:val="none"/>
                <w:lang w:val="zh-CN"/>
              </w:rPr>
              <w:t>提醒：验收费用由采购人承担，不包含在投标总价中。投标报价出现下列情形的，投标无效：</w:t>
            </w:r>
          </w:p>
          <w:p w14:paraId="0BCB022C">
            <w:pPr>
              <w:snapToGrid w:val="0"/>
              <w:spacing w:line="360" w:lineRule="auto"/>
              <w:ind w:firstLine="422" w:firstLineChars="200"/>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投标文件出现不是唯一的、有选择性投标报价的；</w:t>
            </w:r>
          </w:p>
          <w:p w14:paraId="061F00BE">
            <w:pPr>
              <w:snapToGrid w:val="0"/>
              <w:spacing w:line="360" w:lineRule="auto"/>
              <w:ind w:firstLine="422" w:firstLineChars="200"/>
              <w:jc w:val="left"/>
              <w:rPr>
                <w:rFonts w:hint="eastAsia" w:ascii="宋体" w:hAnsi="宋体" w:cs="宋体"/>
                <w:color w:val="auto"/>
                <w:kern w:val="0"/>
                <w:szCs w:val="21"/>
                <w:highlight w:val="none"/>
                <w:lang w:val="zh-CN"/>
              </w:rPr>
            </w:pPr>
            <w:r>
              <w:rPr>
                <w:rFonts w:hint="eastAsia" w:ascii="宋体" w:hAnsi="宋体" w:cs="宋体"/>
                <w:b/>
                <w:color w:val="auto"/>
                <w:kern w:val="0"/>
                <w:szCs w:val="21"/>
                <w:highlight w:val="none"/>
                <w:lang w:val="zh-CN"/>
              </w:rPr>
              <w:t>投标报价超过招标文件中规定的预算金额或者最高限价的;</w:t>
            </w:r>
          </w:p>
          <w:p w14:paraId="6E6C39A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Cs w:val="21"/>
                <w:highlight w:val="none"/>
              </w:rPr>
              <w:t>;</w:t>
            </w:r>
          </w:p>
          <w:p w14:paraId="48EDE569">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kern w:val="0"/>
                <w:szCs w:val="21"/>
                <w:highlight w:val="none"/>
              </w:rPr>
              <w:t>投标人对根据修正原则修正后的报价不确认的</w:t>
            </w:r>
            <w:r>
              <w:rPr>
                <w:rFonts w:hint="eastAsia" w:ascii="宋体" w:hAnsi="宋体" w:cs="宋体"/>
                <w:b/>
                <w:color w:val="auto"/>
                <w:szCs w:val="21"/>
                <w:highlight w:val="none"/>
              </w:rPr>
              <w:t>。</w:t>
            </w:r>
          </w:p>
        </w:tc>
      </w:tr>
      <w:tr w14:paraId="22940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rPr>
        <w:tc>
          <w:tcPr>
            <w:tcW w:w="338" w:type="pct"/>
            <w:tcBorders>
              <w:tl2br w:val="nil"/>
              <w:tr2bl w:val="nil"/>
            </w:tcBorders>
            <w:vAlign w:val="center"/>
          </w:tcPr>
          <w:p w14:paraId="730AFD8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855" w:type="pct"/>
            <w:tcBorders>
              <w:tl2br w:val="nil"/>
              <w:tr2bl w:val="nil"/>
            </w:tcBorders>
            <w:vAlign w:val="center"/>
          </w:tcPr>
          <w:p w14:paraId="07AD07ED">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推荐中标候选人数量</w:t>
            </w:r>
          </w:p>
        </w:tc>
        <w:tc>
          <w:tcPr>
            <w:tcW w:w="3806" w:type="pct"/>
            <w:tcBorders>
              <w:tl2br w:val="nil"/>
              <w:tr2bl w:val="nil"/>
            </w:tcBorders>
            <w:vAlign w:val="center"/>
          </w:tcPr>
          <w:p w14:paraId="1415C786">
            <w:pPr>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推荐1名中标候选人</w:t>
            </w:r>
          </w:p>
        </w:tc>
      </w:tr>
      <w:tr w14:paraId="2DAC4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38" w:hRule="atLeast"/>
        </w:trPr>
        <w:tc>
          <w:tcPr>
            <w:tcW w:w="338" w:type="pct"/>
            <w:tcBorders>
              <w:tl2br w:val="nil"/>
              <w:tr2bl w:val="nil"/>
            </w:tcBorders>
            <w:vAlign w:val="center"/>
          </w:tcPr>
          <w:p w14:paraId="2465261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855" w:type="pct"/>
            <w:tcBorders>
              <w:tl2br w:val="nil"/>
              <w:tr2bl w:val="nil"/>
            </w:tcBorders>
            <w:vAlign w:val="center"/>
          </w:tcPr>
          <w:p w14:paraId="57728DDA">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中小企业信用融资</w:t>
            </w:r>
          </w:p>
        </w:tc>
        <w:tc>
          <w:tcPr>
            <w:tcW w:w="3806" w:type="pct"/>
            <w:tcBorders>
              <w:tl2br w:val="nil"/>
              <w:tr2bl w:val="nil"/>
            </w:tcBorders>
            <w:vAlign w:val="center"/>
          </w:tcPr>
          <w:p w14:paraId="60B8D41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C815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594" w:hRule="atLeast"/>
        </w:trPr>
        <w:tc>
          <w:tcPr>
            <w:tcW w:w="338" w:type="pct"/>
            <w:tcBorders>
              <w:tl2br w:val="nil"/>
              <w:tr2bl w:val="nil"/>
            </w:tcBorders>
            <w:vAlign w:val="center"/>
          </w:tcPr>
          <w:p w14:paraId="45C302C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855" w:type="pct"/>
            <w:tcBorders>
              <w:tl2br w:val="nil"/>
              <w:tr2bl w:val="nil"/>
            </w:tcBorders>
            <w:vAlign w:val="center"/>
          </w:tcPr>
          <w:p w14:paraId="654F1563">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 xml:space="preserve">备份投标文件送达地点和签收人员 </w:t>
            </w:r>
          </w:p>
        </w:tc>
        <w:tc>
          <w:tcPr>
            <w:tcW w:w="3806" w:type="pct"/>
            <w:tcBorders>
              <w:tl2br w:val="nil"/>
              <w:tr2bl w:val="nil"/>
            </w:tcBorders>
            <w:vAlign w:val="center"/>
          </w:tcPr>
          <w:p w14:paraId="25F46988">
            <w:pPr>
              <w:pStyle w:val="33"/>
              <w:spacing w:after="120" w:line="360" w:lineRule="auto"/>
              <w:rPr>
                <w:rFonts w:hint="eastAsia" w:hAnsi="宋体" w:cs="宋体"/>
                <w:color w:val="auto"/>
                <w:kern w:val="28"/>
                <w:highlight w:val="none"/>
              </w:rPr>
            </w:pPr>
            <w:r>
              <w:rPr>
                <w:rFonts w:hint="eastAsia" w:hAnsi="宋体" w:cs="宋体"/>
                <w:color w:val="auto"/>
                <w:kern w:val="28"/>
                <w:highlight w:val="none"/>
              </w:rPr>
              <w:t>备份投标文件送达地点：</w:t>
            </w:r>
            <w:r>
              <w:rPr>
                <w:rFonts w:hint="eastAsia" w:hAnsi="宋体" w:cs="宋体"/>
                <w:color w:val="auto"/>
                <w:highlight w:val="none"/>
                <w:u w:val="single"/>
              </w:rPr>
              <w:t>杭州市文晖路42号现代置业大厦西楼17楼1704室</w:t>
            </w:r>
            <w:r>
              <w:rPr>
                <w:rFonts w:hint="eastAsia" w:hAnsi="宋体" w:cs="宋体"/>
                <w:color w:val="auto"/>
                <w:kern w:val="28"/>
                <w:highlight w:val="none"/>
              </w:rPr>
              <w:t>；备份投标文件签收人员联系电话：</w:t>
            </w:r>
            <w:r>
              <w:rPr>
                <w:rFonts w:hint="eastAsia" w:hAnsi="宋体" w:cs="宋体"/>
                <w:color w:val="auto"/>
                <w:kern w:val="28"/>
                <w:highlight w:val="none"/>
                <w:u w:val="single"/>
              </w:rPr>
              <w:t>何颖楹，15700073181</w:t>
            </w:r>
            <w:r>
              <w:rPr>
                <w:rFonts w:hint="eastAsia" w:hAnsi="宋体" w:cs="宋体"/>
                <w:color w:val="auto"/>
                <w:highlight w:val="none"/>
              </w:rPr>
              <w:t>。</w:t>
            </w:r>
          </w:p>
        </w:tc>
      </w:tr>
      <w:tr w14:paraId="79BE0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rPr>
        <w:tc>
          <w:tcPr>
            <w:tcW w:w="338" w:type="pct"/>
            <w:vMerge w:val="restart"/>
            <w:tcBorders>
              <w:tl2br w:val="nil"/>
              <w:tr2bl w:val="nil"/>
            </w:tcBorders>
            <w:vAlign w:val="center"/>
          </w:tcPr>
          <w:p w14:paraId="78C69488">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4</w:t>
            </w:r>
          </w:p>
        </w:tc>
        <w:tc>
          <w:tcPr>
            <w:tcW w:w="855" w:type="pct"/>
            <w:vMerge w:val="restart"/>
            <w:tcBorders>
              <w:tl2br w:val="nil"/>
              <w:tr2bl w:val="nil"/>
            </w:tcBorders>
            <w:vAlign w:val="center"/>
          </w:tcPr>
          <w:p w14:paraId="753D2289">
            <w:pPr>
              <w:snapToGrid w:val="0"/>
              <w:spacing w:line="360" w:lineRule="auto"/>
              <w:jc w:val="center"/>
              <w:rPr>
                <w:rFonts w:hint="eastAsia" w:ascii="宋体" w:hAnsi="宋体" w:cs="宋体"/>
                <w:b/>
                <w:color w:val="auto"/>
                <w:szCs w:val="21"/>
                <w:highlight w:val="none"/>
              </w:rPr>
            </w:pPr>
            <w:r>
              <w:rPr>
                <w:rFonts w:hint="eastAsia" w:cs="仿宋_GB2312" w:asciiTheme="minorEastAsia" w:hAnsiTheme="minorEastAsia" w:eastAsiaTheme="minorEastAsia"/>
                <w:b/>
                <w:color w:val="auto"/>
                <w:szCs w:val="21"/>
                <w:highlight w:val="none"/>
              </w:rPr>
              <w:t>特别说明</w:t>
            </w:r>
          </w:p>
        </w:tc>
        <w:tc>
          <w:tcPr>
            <w:tcW w:w="3806" w:type="pct"/>
            <w:tcBorders>
              <w:tl2br w:val="nil"/>
              <w:tr2bl w:val="nil"/>
            </w:tcBorders>
            <w:vAlign w:val="center"/>
          </w:tcPr>
          <w:p w14:paraId="4562C8CC">
            <w:pPr>
              <w:spacing w:line="360" w:lineRule="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联合体投标的，联合体各方分别提供与联合体协议中规定的分工内容相应的业绩证明材料，业绩数量以提供材料较少的一方为准。</w:t>
            </w:r>
          </w:p>
        </w:tc>
      </w:tr>
      <w:tr w14:paraId="603AD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rPr>
        <w:tc>
          <w:tcPr>
            <w:tcW w:w="338" w:type="pct"/>
            <w:vMerge w:val="continue"/>
            <w:tcBorders>
              <w:tl2br w:val="nil"/>
              <w:tr2bl w:val="nil"/>
            </w:tcBorders>
            <w:vAlign w:val="center"/>
          </w:tcPr>
          <w:p w14:paraId="0AABB2FD">
            <w:pPr>
              <w:snapToGrid w:val="0"/>
              <w:spacing w:line="360" w:lineRule="auto"/>
              <w:jc w:val="center"/>
              <w:rPr>
                <w:rFonts w:hint="eastAsia" w:ascii="宋体" w:hAnsi="宋体" w:cs="宋体"/>
                <w:color w:val="auto"/>
                <w:szCs w:val="21"/>
                <w:highlight w:val="none"/>
              </w:rPr>
            </w:pPr>
          </w:p>
        </w:tc>
        <w:tc>
          <w:tcPr>
            <w:tcW w:w="855" w:type="pct"/>
            <w:vMerge w:val="continue"/>
            <w:tcBorders>
              <w:tl2br w:val="nil"/>
              <w:tr2bl w:val="nil"/>
            </w:tcBorders>
            <w:vAlign w:val="center"/>
          </w:tcPr>
          <w:p w14:paraId="77FE535F">
            <w:pPr>
              <w:snapToGrid w:val="0"/>
              <w:spacing w:line="360" w:lineRule="auto"/>
              <w:jc w:val="center"/>
              <w:rPr>
                <w:rFonts w:hint="eastAsia" w:ascii="宋体" w:hAnsi="宋体" w:cs="宋体"/>
                <w:b/>
                <w:color w:val="auto"/>
                <w:szCs w:val="21"/>
                <w:highlight w:val="none"/>
              </w:rPr>
            </w:pPr>
          </w:p>
        </w:tc>
        <w:tc>
          <w:tcPr>
            <w:tcW w:w="3806" w:type="pct"/>
            <w:tcBorders>
              <w:tl2br w:val="nil"/>
              <w:tr2bl w:val="nil"/>
            </w:tcBorders>
            <w:vAlign w:val="center"/>
          </w:tcPr>
          <w:p w14:paraId="72D15DF1">
            <w:pPr>
              <w:spacing w:line="360" w:lineRule="auto"/>
              <w:rPr>
                <w:rFonts w:hint="eastAsia" w:ascii="宋体" w:hAnsi="宋体" w:cs="宋体"/>
                <w:snapToGrid w:val="0"/>
                <w:color w:val="auto"/>
                <w:kern w:val="28"/>
                <w:szCs w:val="21"/>
                <w:highlight w:val="none"/>
              </w:rPr>
            </w:pPr>
            <w:sdt>
              <w:sdtPr>
                <w:rPr>
                  <w:rFonts w:hint="eastAsia" w:cs="Arial" w:asciiTheme="minorEastAsia" w:hAnsiTheme="minorEastAsia" w:eastAsiaTheme="minorEastAsia"/>
                  <w:color w:val="auto"/>
                  <w:kern w:val="0"/>
                  <w:szCs w:val="21"/>
                  <w:highlight w:val="none"/>
                </w:rPr>
                <w:id w:val="14747285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Cs w:val="21"/>
                  <w:highlight w:val="none"/>
                </w:rPr>
              </w:sdtEndPr>
              <w:sdtContent>
                <w:r>
                  <w:rPr>
                    <w:rFonts w:hint="eastAsia" w:ascii="MS Mincho" w:hAnsi="MS Mincho" w:eastAsia="MS Mincho" w:cs="MS Mincho"/>
                    <w:color w:val="auto"/>
                    <w:kern w:val="0"/>
                    <w:szCs w:val="21"/>
                    <w:highlight w:val="none"/>
                  </w:rPr>
                  <w:t>☐</w:t>
                </w:r>
              </w:sdtContent>
            </w:sdt>
            <w:r>
              <w:rPr>
                <w:rFonts w:hint="eastAsia" w:ascii="宋体" w:hAnsi="宋体" w:cs="宋体"/>
                <w:snapToGrid w:val="0"/>
                <w:color w:val="auto"/>
                <w:kern w:val="28"/>
                <w:szCs w:val="21"/>
                <w:highlight w:val="none"/>
              </w:rPr>
              <w:t>联合体投标的，联合体各方均需按招标文件第四部分评标标准要求提供资信证明文件，否则视为不符合相关要求。</w:t>
            </w:r>
          </w:p>
          <w:p w14:paraId="650DDF42">
            <w:pPr>
              <w:spacing w:line="360" w:lineRule="auto"/>
              <w:rPr>
                <w:rFonts w:hint="eastAsia" w:ascii="宋体" w:hAnsi="宋体" w:cs="宋体"/>
                <w:snapToGrid w:val="0"/>
                <w:color w:val="auto"/>
                <w:kern w:val="28"/>
                <w:szCs w:val="21"/>
                <w:highlight w:val="none"/>
              </w:rPr>
            </w:pPr>
            <w:sdt>
              <w:sdtPr>
                <w:rPr>
                  <w:rFonts w:hint="eastAsia" w:cs="Arial" w:asciiTheme="minorEastAsia" w:hAnsiTheme="minorEastAsia" w:eastAsiaTheme="minorEastAsia"/>
                  <w:color w:val="auto"/>
                  <w:kern w:val="0"/>
                  <w:szCs w:val="21"/>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Cs w:val="21"/>
                  <w:highlight w:val="none"/>
                </w:rPr>
              </w:sdtEndPr>
              <w:sdtContent>
                <w:r>
                  <w:rPr>
                    <w:rFonts w:hint="eastAsia" w:cs="Arial" w:asciiTheme="minorEastAsia" w:hAnsiTheme="minorEastAsia" w:eastAsiaTheme="minorEastAsia"/>
                    <w:color w:val="auto"/>
                    <w:kern w:val="0"/>
                    <w:szCs w:val="21"/>
                    <w:highlight w:val="none"/>
                  </w:rPr>
                  <w:sym w:font="Wingdings" w:char="F0FE"/>
                </w:r>
              </w:sdtContent>
            </w:sdt>
            <w:r>
              <w:rPr>
                <w:rFonts w:hint="eastAsia" w:ascii="宋体" w:hAnsi="宋体" w:cs="宋体"/>
                <w:snapToGrid w:val="0"/>
                <w:color w:val="auto"/>
                <w:kern w:val="28"/>
                <w:szCs w:val="21"/>
                <w:highlight w:val="none"/>
              </w:rPr>
              <w:t>联合体投标的，联合体中有一方或者联合体成员根据分工按招标文件第四部分评标标准要求提供资信证明文件的，视为符合了相关要求。</w:t>
            </w:r>
          </w:p>
        </w:tc>
      </w:tr>
      <w:tr w14:paraId="4EF06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338" w:type="pct"/>
            <w:tcBorders>
              <w:tl2br w:val="nil"/>
              <w:tr2bl w:val="nil"/>
            </w:tcBorders>
            <w:vAlign w:val="center"/>
          </w:tcPr>
          <w:p w14:paraId="4C9BBA3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855" w:type="pct"/>
            <w:tcBorders>
              <w:tl2br w:val="nil"/>
              <w:tr2bl w:val="nil"/>
            </w:tcBorders>
            <w:vAlign w:val="center"/>
          </w:tcPr>
          <w:p w14:paraId="0D439AFD">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采购代理服务费</w:t>
            </w:r>
          </w:p>
        </w:tc>
        <w:tc>
          <w:tcPr>
            <w:tcW w:w="3806" w:type="pct"/>
            <w:tcBorders>
              <w:tl2br w:val="nil"/>
              <w:tr2bl w:val="nil"/>
            </w:tcBorders>
            <w:vAlign w:val="center"/>
          </w:tcPr>
          <w:p w14:paraId="759D8891">
            <w:pPr>
              <w:spacing w:line="360" w:lineRule="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1、采购代理服务费：由中标（成交）供应商支付，受托人应在采购文件中明示代理费用收取方式及标准，随中标、成交结果一并公开本项目收费情况，包括具体收费标准及收费金额；</w:t>
            </w:r>
          </w:p>
          <w:p w14:paraId="378D0668">
            <w:pPr>
              <w:spacing w:line="360" w:lineRule="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2、收费标准或金额为：以各标项中标金额为计算基数，按以下标准费率计算收取，不足6000元按6000元收取，费率标准如下：</w:t>
            </w:r>
          </w:p>
          <w:tbl>
            <w:tblPr>
              <w:tblStyle w:val="6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5993"/>
            </w:tblGrid>
            <w:tr w14:paraId="11ADE59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993" w:type="dxa"/>
                </w:tcPr>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1247"/>
                    <w:gridCol w:w="1225"/>
                    <w:gridCol w:w="1225"/>
                  </w:tblGrid>
                  <w:tr w14:paraId="5566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vAlign w:val="center"/>
                      </w:tcPr>
                      <w:p w14:paraId="383B94A1">
                        <w:pPr>
                          <w:spacing w:line="360" w:lineRule="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金额（万元）</w:t>
                        </w:r>
                      </w:p>
                    </w:tc>
                    <w:tc>
                      <w:tcPr>
                        <w:tcW w:w="1247" w:type="dxa"/>
                        <w:vAlign w:val="center"/>
                      </w:tcPr>
                      <w:p w14:paraId="60C1BDF3">
                        <w:pPr>
                          <w:spacing w:line="360" w:lineRule="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货物类费率</w:t>
                        </w:r>
                      </w:p>
                    </w:tc>
                    <w:tc>
                      <w:tcPr>
                        <w:tcW w:w="1225" w:type="dxa"/>
                        <w:vAlign w:val="center"/>
                      </w:tcPr>
                      <w:p w14:paraId="03A10ED7">
                        <w:pPr>
                          <w:spacing w:line="360" w:lineRule="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服务类费率</w:t>
                        </w:r>
                      </w:p>
                    </w:tc>
                    <w:tc>
                      <w:tcPr>
                        <w:tcW w:w="1225" w:type="dxa"/>
                        <w:vAlign w:val="center"/>
                      </w:tcPr>
                      <w:p w14:paraId="54C2EF5F">
                        <w:pPr>
                          <w:spacing w:line="360" w:lineRule="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工程类费率</w:t>
                        </w:r>
                      </w:p>
                    </w:tc>
                  </w:tr>
                  <w:tr w14:paraId="1DDD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vAlign w:val="center"/>
                      </w:tcPr>
                      <w:p w14:paraId="4570486E">
                        <w:pPr>
                          <w:spacing w:line="360" w:lineRule="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100以下部分</w:t>
                        </w:r>
                      </w:p>
                    </w:tc>
                    <w:tc>
                      <w:tcPr>
                        <w:tcW w:w="1247" w:type="dxa"/>
                        <w:vAlign w:val="center"/>
                      </w:tcPr>
                      <w:p w14:paraId="7F978A3C">
                        <w:pPr>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1.5%</w:t>
                        </w:r>
                      </w:p>
                    </w:tc>
                    <w:tc>
                      <w:tcPr>
                        <w:tcW w:w="1225" w:type="dxa"/>
                        <w:vAlign w:val="center"/>
                      </w:tcPr>
                      <w:p w14:paraId="739F1DAC">
                        <w:pPr>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1.5%</w:t>
                        </w:r>
                      </w:p>
                    </w:tc>
                    <w:tc>
                      <w:tcPr>
                        <w:tcW w:w="1225" w:type="dxa"/>
                        <w:vAlign w:val="center"/>
                      </w:tcPr>
                      <w:p w14:paraId="3A4255AE">
                        <w:pPr>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1.0%</w:t>
                        </w:r>
                      </w:p>
                    </w:tc>
                  </w:tr>
                  <w:tr w14:paraId="225E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vAlign w:val="center"/>
                      </w:tcPr>
                      <w:p w14:paraId="630E052F">
                        <w:pPr>
                          <w:spacing w:line="360" w:lineRule="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100~500之间部分</w:t>
                        </w:r>
                      </w:p>
                    </w:tc>
                    <w:tc>
                      <w:tcPr>
                        <w:tcW w:w="1247" w:type="dxa"/>
                        <w:vAlign w:val="center"/>
                      </w:tcPr>
                      <w:p w14:paraId="2BE9C427">
                        <w:pPr>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1.1%</w:t>
                        </w:r>
                      </w:p>
                    </w:tc>
                    <w:tc>
                      <w:tcPr>
                        <w:tcW w:w="1225" w:type="dxa"/>
                        <w:vAlign w:val="center"/>
                      </w:tcPr>
                      <w:p w14:paraId="4216CB1C">
                        <w:pPr>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0.8%</w:t>
                        </w:r>
                      </w:p>
                    </w:tc>
                    <w:tc>
                      <w:tcPr>
                        <w:tcW w:w="1225" w:type="dxa"/>
                        <w:vAlign w:val="center"/>
                      </w:tcPr>
                      <w:p w14:paraId="7F7ABAD3">
                        <w:pPr>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0.7%</w:t>
                        </w:r>
                      </w:p>
                    </w:tc>
                  </w:tr>
                  <w:tr w14:paraId="7414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vAlign w:val="center"/>
                      </w:tcPr>
                      <w:p w14:paraId="0FF2D100">
                        <w:pPr>
                          <w:spacing w:line="360" w:lineRule="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500-1000之间部分</w:t>
                        </w:r>
                      </w:p>
                    </w:tc>
                    <w:tc>
                      <w:tcPr>
                        <w:tcW w:w="1247" w:type="dxa"/>
                        <w:vAlign w:val="center"/>
                      </w:tcPr>
                      <w:p w14:paraId="71489E9A">
                        <w:pPr>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0.8%</w:t>
                        </w:r>
                      </w:p>
                    </w:tc>
                    <w:tc>
                      <w:tcPr>
                        <w:tcW w:w="1225" w:type="dxa"/>
                        <w:vAlign w:val="center"/>
                      </w:tcPr>
                      <w:p w14:paraId="09F95D3B">
                        <w:pPr>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0.45%</w:t>
                        </w:r>
                      </w:p>
                    </w:tc>
                    <w:tc>
                      <w:tcPr>
                        <w:tcW w:w="1225" w:type="dxa"/>
                        <w:vAlign w:val="center"/>
                      </w:tcPr>
                      <w:p w14:paraId="3E7A4779">
                        <w:pPr>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0.55%</w:t>
                        </w:r>
                      </w:p>
                    </w:tc>
                  </w:tr>
                </w:tbl>
                <w:p w14:paraId="5A01C9F7">
                  <w:pPr>
                    <w:spacing w:line="360" w:lineRule="auto"/>
                    <w:rPr>
                      <w:rFonts w:hint="eastAsia" w:ascii="宋体" w:hAnsi="宋体" w:cs="宋体"/>
                      <w:snapToGrid w:val="0"/>
                      <w:color w:val="auto"/>
                      <w:kern w:val="28"/>
                      <w:szCs w:val="21"/>
                      <w:highlight w:val="none"/>
                    </w:rPr>
                  </w:pPr>
                </w:p>
              </w:tc>
            </w:tr>
          </w:tbl>
          <w:p w14:paraId="574CC789">
            <w:pPr>
              <w:spacing w:line="360" w:lineRule="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3、结算方式及时间为：中标（成交）供应商在领取中标（成交）通知书时向受托人（采购代理机构）支付。</w:t>
            </w:r>
          </w:p>
          <w:p w14:paraId="378FC722">
            <w:pPr>
              <w:spacing w:line="360" w:lineRule="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收款单位（户名）：浙江省成套招标代理有限公司；</w:t>
            </w:r>
          </w:p>
          <w:p w14:paraId="21D74091">
            <w:pPr>
              <w:spacing w:line="360" w:lineRule="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开户银行：中信银行杭州西湖支行；</w:t>
            </w:r>
          </w:p>
          <w:p w14:paraId="59D4ACA7">
            <w:pPr>
              <w:pStyle w:val="725"/>
              <w:spacing w:line="360" w:lineRule="auto"/>
              <w:ind w:firstLine="0"/>
              <w:rPr>
                <w:rFonts w:hint="eastAsia" w:cs="Arial" w:asciiTheme="minorEastAsia" w:hAnsiTheme="minorEastAsia" w:eastAsiaTheme="minorEastAsia"/>
                <w:color w:val="auto"/>
                <w:sz w:val="21"/>
                <w:szCs w:val="21"/>
                <w:highlight w:val="none"/>
              </w:rPr>
            </w:pPr>
            <w:r>
              <w:rPr>
                <w:rFonts w:hint="eastAsia" w:cs="宋体"/>
                <w:snapToGrid w:val="0"/>
                <w:color w:val="auto"/>
                <w:kern w:val="28"/>
                <w:sz w:val="21"/>
                <w:szCs w:val="21"/>
                <w:highlight w:val="none"/>
              </w:rPr>
              <w:t>银行账号：7331 6101 8260 0126 385</w:t>
            </w:r>
          </w:p>
        </w:tc>
      </w:tr>
      <w:bookmarkEnd w:id="10"/>
    </w:tbl>
    <w:p w14:paraId="76FCCEAE">
      <w:pPr>
        <w:widowControl/>
        <w:adjustRightInd/>
        <w:jc w:val="left"/>
        <w:rPr>
          <w:rFonts w:hint="eastAsia" w:ascii="宋体" w:hAnsi="宋体" w:cs="宋体"/>
          <w:b/>
          <w:color w:val="auto"/>
          <w:sz w:val="32"/>
          <w:szCs w:val="20"/>
          <w:highlight w:val="none"/>
        </w:rPr>
      </w:pPr>
      <w:bookmarkStart w:id="14" w:name="_Toc164416483"/>
      <w:bookmarkStart w:id="15" w:name="第三部分"/>
      <w:r>
        <w:rPr>
          <w:rFonts w:ascii="宋体" w:hAnsi="宋体" w:cs="宋体"/>
          <w:b/>
          <w:color w:val="auto"/>
          <w:sz w:val="32"/>
          <w:szCs w:val="20"/>
          <w:highlight w:val="none"/>
        </w:rPr>
        <w:br w:type="page"/>
      </w:r>
    </w:p>
    <w:p w14:paraId="5B91D64E">
      <w:pPr>
        <w:pStyle w:val="5"/>
        <w:ind w:firstLine="422"/>
        <w:rPr>
          <w:rFonts w:hint="eastAsia"/>
          <w:color w:val="auto"/>
          <w:sz w:val="21"/>
          <w:szCs w:val="21"/>
          <w:highlight w:val="none"/>
        </w:rPr>
      </w:pPr>
      <w:r>
        <w:rPr>
          <w:rFonts w:hint="eastAsia"/>
          <w:color w:val="auto"/>
          <w:sz w:val="21"/>
          <w:szCs w:val="21"/>
          <w:highlight w:val="none"/>
        </w:rPr>
        <w:t>一、总则</w:t>
      </w:r>
    </w:p>
    <w:p w14:paraId="04D75A29">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1.适用范围</w:t>
      </w:r>
    </w:p>
    <w:p w14:paraId="54AA98F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14:paraId="2FBBB6F7">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2.定义</w:t>
      </w:r>
    </w:p>
    <w:p w14:paraId="4F66FD2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14:paraId="3D0A3EF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“采购代理机构”系指招标公告中载明的本项目的采购代理机构。</w:t>
      </w:r>
    </w:p>
    <w:p w14:paraId="4D1F8C3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“投标人”系指是指响应招标、参加投标竞争的法人、其他组织或者自然人。</w:t>
      </w:r>
    </w:p>
    <w:p w14:paraId="4E52C9B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 “负责人”系指法人企业的法定负责人，或其他组织为法律、行政法规规定代表单位行使职权的主要负责人，或自然人本人。</w:t>
      </w:r>
    </w:p>
    <w:p w14:paraId="591119A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011903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2.6“电子交易平台”系指本项目政府采购活动所依托的政府采购云平台（https://www.zcygov.cn/）。</w:t>
      </w:r>
    </w:p>
    <w:p w14:paraId="3CD5FCB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 “▲” 系指实质性要求条款，“</w:t>
      </w:r>
      <w:sdt>
        <w:sdtPr>
          <w:rPr>
            <w:rFonts w:hint="eastAsia" w:ascii="宋体" w:hAnsi="宋体" w:cs="宋体"/>
            <w:color w:val="auto"/>
            <w:kern w:val="0"/>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szCs w:val="21"/>
          <w:highlight w:val="none"/>
        </w:rPr>
        <w:t>” 系指适用本项目的要求，“</w:t>
      </w:r>
      <w:sdt>
        <w:sdtPr>
          <w:rPr>
            <w:rFonts w:hint="eastAsia" w:ascii="宋体" w:hAnsi="宋体" w:cs="宋体"/>
            <w:color w:val="auto"/>
            <w:kern w:val="0"/>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MS Gothic" w:hAnsi="MS Gothic" w:cs="Segoe UI Symbol"/>
              <w:color w:val="auto"/>
              <w:kern w:val="0"/>
              <w:szCs w:val="21"/>
              <w:highlight w:val="none"/>
            </w:rPr>
            <w:t>☐</w:t>
          </w:r>
        </w:sdtContent>
      </w:sdt>
      <w:r>
        <w:rPr>
          <w:rFonts w:hint="eastAsia" w:ascii="宋体" w:hAnsi="宋体" w:cs="宋体"/>
          <w:color w:val="auto"/>
          <w:szCs w:val="21"/>
          <w:highlight w:val="none"/>
        </w:rPr>
        <w:t>” 系指不适用本项目的要求。</w:t>
      </w:r>
    </w:p>
    <w:p w14:paraId="784E0DC4">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3.采购项目需要落实的政府采购政策</w:t>
      </w:r>
    </w:p>
    <w:p w14:paraId="657312A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Cs w:val="21"/>
          <w:highlight w:val="none"/>
        </w:rPr>
        <w:t>优先采购向我国企业转让技术、与我国企业签订消化吸收再创新方案的供应商的进口产品</w:t>
      </w:r>
      <w:r>
        <w:rPr>
          <w:rFonts w:hint="eastAsia" w:ascii="宋体" w:hAnsi="宋体" w:cs="宋体"/>
          <w:color w:val="auto"/>
          <w:szCs w:val="21"/>
          <w:highlight w:val="none"/>
        </w:rPr>
        <w:t>。</w:t>
      </w:r>
    </w:p>
    <w:p w14:paraId="0A9EC99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支持绿色发展</w:t>
      </w:r>
    </w:p>
    <w:p w14:paraId="08A764B2">
      <w:pPr>
        <w:snapToGrid w:val="0"/>
        <w:spacing w:line="360" w:lineRule="auto"/>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Cs w:val="21"/>
          <w:highlight w:val="none"/>
          <w:u w:val="single"/>
        </w:rPr>
        <w:t>▲采购人拟采购的产品属于政府强制采购的节能产品品目清单范围的，投标人相应的投标产品未获得国家确定的认证机构出具的、处于有效期之内的节能产品认证证书的，投标无效。</w:t>
      </w:r>
    </w:p>
    <w:p w14:paraId="18CEA9C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B54EC9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4057C3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17BA45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3.3支持中小企业发展</w:t>
      </w:r>
    </w:p>
    <w:p w14:paraId="6F5BC32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5B193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77E44A71">
      <w:pPr>
        <w:widowControl/>
        <w:snapToGrid w:val="0"/>
        <w:spacing w:line="360" w:lineRule="auto"/>
        <w:ind w:firstLine="420" w:firstLineChars="200"/>
        <w:jc w:val="left"/>
        <w:rPr>
          <w:rFonts w:hint="eastAsia" w:ascii="宋体" w:hAnsi="宋体" w:cs="宋体"/>
          <w:color w:val="auto"/>
          <w:kern w:val="0"/>
          <w:szCs w:val="21"/>
          <w:highlight w:val="none"/>
        </w:rPr>
      </w:pPr>
      <w:r>
        <w:rPr>
          <w:rFonts w:ascii="宋体" w:hAnsi="宋体" w:cs="宋体"/>
          <w:bCs/>
          <w:color w:val="auto"/>
          <w:szCs w:val="21"/>
          <w:highlight w:val="none"/>
        </w:rPr>
        <w:t>3.3.2</w:t>
      </w:r>
      <w:r>
        <w:rPr>
          <w:rFonts w:hint="eastAsia" w:ascii="宋体" w:hAnsi="宋体" w:cs="宋体"/>
          <w:color w:val="auto"/>
          <w:kern w:val="0"/>
          <w:szCs w:val="21"/>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C08D8F9">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4A788F1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3.3.3对于未预留份额专门面向中小企业的政府采购货物项目，以及预留份额政府采购货物项目中的非预留部分标项，对小型和微型企业的投标报价给予1</w:t>
      </w:r>
      <w:r>
        <w:rPr>
          <w:rFonts w:ascii="宋体" w:hAnsi="宋体" w:cs="宋体"/>
          <w:color w:val="auto"/>
          <w:szCs w:val="21"/>
          <w:highlight w:val="none"/>
        </w:rPr>
        <w:t>0</w:t>
      </w:r>
      <w:r>
        <w:rPr>
          <w:rFonts w:hint="eastAsia" w:ascii="宋体" w:hAnsi="宋体" w:cs="宋体"/>
          <w:color w:val="auto"/>
          <w:szCs w:val="21"/>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Cs w:val="21"/>
          <w:highlight w:val="none"/>
        </w:rPr>
        <w:t>联合协议或者分包意向协议约定小微企业的合同份额占到合同总金额30%以上的</w:t>
      </w:r>
      <w:bookmarkEnd w:id="16"/>
      <w:r>
        <w:rPr>
          <w:rFonts w:hint="eastAsia" w:ascii="宋体" w:hAnsi="宋体" w:cs="宋体"/>
          <w:color w:val="auto"/>
          <w:szCs w:val="21"/>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0E17306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2AA8328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A7932E">
      <w:pPr>
        <w:snapToGrid w:val="0"/>
        <w:spacing w:line="360" w:lineRule="auto"/>
        <w:ind w:firstLine="420" w:firstLineChars="200"/>
        <w:rPr>
          <w:rFonts w:hint="eastAsia" w:ascii="宋体" w:hAnsi="宋体" w:cs="宋体"/>
          <w:color w:val="auto"/>
          <w:szCs w:val="21"/>
          <w:highlight w:val="none"/>
          <w:lang w:val="en"/>
        </w:rPr>
      </w:pPr>
      <w:r>
        <w:rPr>
          <w:rFonts w:hint="eastAsia" w:ascii="宋体" w:hAnsi="宋体" w:cs="宋体"/>
          <w:color w:val="auto"/>
          <w:szCs w:val="21"/>
          <w:highlight w:val="none"/>
          <w:lang w:val="en"/>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64C6044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1B9F1D5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14:paraId="42347A2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3.4.1首台套、“制造精品”、“专精特新”等创新产品按规定享受政府采购支持政策。</w:t>
      </w:r>
    </w:p>
    <w:p w14:paraId="723E055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 采购人应当贯彻落实知识产权保护相关法律法规，应当采购使用正版软件。</w:t>
      </w:r>
    </w:p>
    <w:p w14:paraId="505F29F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3.5平等对待内外资企业和符合条件的破产重整企业</w:t>
      </w:r>
    </w:p>
    <w:p w14:paraId="6DDA3A2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平等对待内外资企业和符合条件的破产重整企业，切实保障企业公平竞争，平等维护企业的合法利益。</w:t>
      </w:r>
    </w:p>
    <w:p w14:paraId="67F5DE4E">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 询问、质疑、投诉、补偿救济</w:t>
      </w:r>
    </w:p>
    <w:p w14:paraId="5E5E4527">
      <w:pPr>
        <w:pStyle w:val="889"/>
        <w:shd w:val="clear" w:color="auto" w:fill="FFFFFF"/>
        <w:adjustRightInd w:val="0"/>
        <w:snapToGrid w:val="0"/>
        <w:spacing w:before="0" w:beforeAutospacing="0" w:after="0" w:afterAutospacing="0" w:line="360" w:lineRule="auto"/>
        <w:ind w:firstLine="420" w:firstLineChars="200"/>
        <w:rPr>
          <w:rFonts w:hint="eastAsia"/>
          <w:color w:val="auto"/>
          <w:sz w:val="21"/>
          <w:szCs w:val="21"/>
          <w:highlight w:val="none"/>
          <w:lang w:val="zh-CN"/>
        </w:rPr>
      </w:pPr>
      <w:r>
        <w:rPr>
          <w:rFonts w:hint="eastAsia"/>
          <w:color w:val="auto"/>
          <w:sz w:val="21"/>
          <w:szCs w:val="21"/>
          <w:highlight w:val="none"/>
          <w:lang w:val="zh-CN"/>
        </w:rPr>
        <w:t>4.1在线询问、质疑、投诉</w:t>
      </w:r>
    </w:p>
    <w:p w14:paraId="618FDBCE">
      <w:pPr>
        <w:pStyle w:val="889"/>
        <w:shd w:val="clear" w:color="auto" w:fill="FFFFFF"/>
        <w:adjustRightInd w:val="0"/>
        <w:snapToGrid w:val="0"/>
        <w:spacing w:before="0" w:beforeAutospacing="0" w:after="0" w:afterAutospacing="0" w:line="360" w:lineRule="auto"/>
        <w:ind w:firstLine="420" w:firstLineChars="200"/>
        <w:rPr>
          <w:rFonts w:hint="eastAsia"/>
          <w:color w:val="auto"/>
          <w:sz w:val="21"/>
          <w:szCs w:val="21"/>
          <w:highlight w:val="none"/>
          <w:lang w:val="zh-CN"/>
        </w:rPr>
      </w:pPr>
      <w:r>
        <w:rPr>
          <w:rFonts w:hint="eastAsia"/>
          <w:color w:val="auto"/>
          <w:sz w:val="21"/>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F06A97">
      <w:pPr>
        <w:autoSpaceDE w:val="0"/>
        <w:autoSpaceDN w:val="0"/>
        <w:snapToGrid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4.2供应商询问</w:t>
      </w:r>
    </w:p>
    <w:p w14:paraId="30360D41">
      <w:pPr>
        <w:autoSpaceDE w:val="0"/>
        <w:autoSpaceDN w:val="0"/>
        <w:snapToGrid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A74DC2">
      <w:pPr>
        <w:autoSpaceDE w:val="0"/>
        <w:autoSpaceDN w:val="0"/>
        <w:snapToGrid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4.3供应商质疑</w:t>
      </w:r>
    </w:p>
    <w:p w14:paraId="415EC878">
      <w:pPr>
        <w:pStyle w:val="33"/>
        <w:snapToGrid w:val="0"/>
        <w:spacing w:line="360" w:lineRule="auto"/>
        <w:ind w:firstLine="420" w:firstLineChars="200"/>
        <w:rPr>
          <w:rFonts w:hint="eastAsia" w:hAnsi="宋体" w:cs="宋体"/>
          <w:color w:val="auto"/>
          <w:highlight w:val="none"/>
        </w:rPr>
      </w:pPr>
      <w:r>
        <w:rPr>
          <w:rFonts w:hint="eastAsia" w:hAnsi="宋体" w:cs="宋体"/>
          <w:color w:val="auto"/>
          <w:kern w:val="0"/>
          <w:highlight w:val="none"/>
          <w:lang w:val="zh-CN"/>
        </w:rPr>
        <w:t>4.3</w:t>
      </w:r>
      <w:r>
        <w:rPr>
          <w:rFonts w:hint="eastAsia" w:hAnsi="宋体" w:cs="宋体"/>
          <w:color w:val="auto"/>
          <w:highlight w:val="none"/>
        </w:rPr>
        <w:t>.1提出质疑的供应商应当是参与所质疑项目采购活动的供应商。潜在供应商已依法获取其可质疑的招标文件的，可以对该文件提出质疑。</w:t>
      </w:r>
    </w:p>
    <w:p w14:paraId="6C3D77E3">
      <w:pPr>
        <w:pStyle w:val="33"/>
        <w:snapToGrid w:val="0"/>
        <w:spacing w:line="360" w:lineRule="auto"/>
        <w:ind w:firstLine="420" w:firstLineChars="200"/>
        <w:rPr>
          <w:rFonts w:hint="eastAsia" w:hAnsi="宋体" w:cs="宋体"/>
          <w:color w:val="auto"/>
          <w:highlight w:val="none"/>
        </w:rPr>
      </w:pPr>
      <w:r>
        <w:rPr>
          <w:rFonts w:hint="eastAsia" w:hAnsi="宋体" w:cs="宋体"/>
          <w:color w:val="auto"/>
          <w:kern w:val="0"/>
          <w:highlight w:val="none"/>
          <w:lang w:val="zh-CN"/>
        </w:rPr>
        <w:t>4.3</w:t>
      </w:r>
      <w:r>
        <w:rPr>
          <w:rFonts w:hint="eastAsia" w:hAnsi="宋体" w:cs="宋体"/>
          <w:color w:val="auto"/>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D2D2692">
      <w:pPr>
        <w:pStyle w:val="7"/>
        <w:spacing w:line="360" w:lineRule="auto"/>
        <w:ind w:firstLine="420" w:firstLineChars="200"/>
        <w:rPr>
          <w:rFonts w:hint="eastAsia"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182D601F">
      <w:pPr>
        <w:pStyle w:val="33"/>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4.3.2.2对采购过程提出质疑的，质疑期限为各采购程序环节结束之日起计算。4.3.2.3对采购结果提出质疑的，质疑期限自采购结果公告期限届满之日起计算。</w:t>
      </w:r>
    </w:p>
    <w:p w14:paraId="1FCD37C4">
      <w:pPr>
        <w:pStyle w:val="33"/>
        <w:snapToGrid w:val="0"/>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4.3.3</w:t>
      </w:r>
      <w:r>
        <w:rPr>
          <w:rFonts w:hint="eastAsia" w:hAnsi="宋体" w:cs="宋体"/>
          <w:color w:val="auto"/>
          <w:highlight w:val="none"/>
        </w:rPr>
        <w:t>供应商提出质疑应当提交质疑函和必要的证明材料。质疑函应当包括下列内容：</w:t>
      </w:r>
    </w:p>
    <w:p w14:paraId="1EE11E04">
      <w:pPr>
        <w:pStyle w:val="33"/>
        <w:snapToGrid w:val="0"/>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4.3.3.1供应商的姓名或者名称、地址、邮编、联系人及联系电话；</w:t>
      </w:r>
    </w:p>
    <w:p w14:paraId="3D4941B1">
      <w:pPr>
        <w:pStyle w:val="33"/>
        <w:snapToGrid w:val="0"/>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4.3.3.2质疑项目的名称、编号；</w:t>
      </w:r>
    </w:p>
    <w:p w14:paraId="3E69ECA8">
      <w:pPr>
        <w:pStyle w:val="33"/>
        <w:snapToGrid w:val="0"/>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4.3.3.3具体、明确的质疑事项和与质疑事项相关的请求；</w:t>
      </w:r>
    </w:p>
    <w:p w14:paraId="00A8BC35">
      <w:pPr>
        <w:pStyle w:val="33"/>
        <w:snapToGrid w:val="0"/>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4.3.3.4事实依据；</w:t>
      </w:r>
    </w:p>
    <w:p w14:paraId="6448E231">
      <w:pPr>
        <w:pStyle w:val="33"/>
        <w:snapToGrid w:val="0"/>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4.3.3.5必要的法律依据；</w:t>
      </w:r>
    </w:p>
    <w:p w14:paraId="5B1A60B2">
      <w:pPr>
        <w:pStyle w:val="33"/>
        <w:snapToGrid w:val="0"/>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4.3.3.6提出质疑的日期。</w:t>
      </w:r>
    </w:p>
    <w:p w14:paraId="1DFC6B60">
      <w:pPr>
        <w:pStyle w:val="889"/>
        <w:shd w:val="clear" w:color="auto" w:fill="FFFFFF"/>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77B00C20">
      <w:pPr>
        <w:pStyle w:val="889"/>
        <w:shd w:val="clear" w:color="auto" w:fill="FFFFFF"/>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质疑函范本及制作说明详见附件2。</w:t>
      </w:r>
    </w:p>
    <w:p w14:paraId="37CE280E">
      <w:pPr>
        <w:pStyle w:val="889"/>
        <w:shd w:val="clear" w:color="auto" w:fill="FFFFFF"/>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4.3.4对同一采购程序环节的质疑，供应商须在法定质疑期内一次性提出。</w:t>
      </w:r>
    </w:p>
    <w:p w14:paraId="7AE36172">
      <w:pPr>
        <w:pStyle w:val="889"/>
        <w:shd w:val="clear" w:color="auto" w:fill="FFFFFF"/>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01E53BF">
      <w:pPr>
        <w:pStyle w:val="889"/>
        <w:shd w:val="clear" w:color="auto" w:fill="FFFFFF"/>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267F6748">
      <w:pPr>
        <w:pStyle w:val="889"/>
        <w:shd w:val="clear" w:color="auto" w:fill="FFFFFF"/>
        <w:adjustRightInd w:val="0"/>
        <w:snapToGrid w:val="0"/>
        <w:spacing w:before="0" w:beforeAutospacing="0" w:after="0" w:afterAutospacing="0" w:line="360" w:lineRule="auto"/>
        <w:ind w:firstLine="420" w:firstLineChars="200"/>
        <w:rPr>
          <w:rFonts w:hint="eastAsia"/>
          <w:color w:val="auto"/>
          <w:sz w:val="21"/>
          <w:szCs w:val="21"/>
          <w:highlight w:val="none"/>
          <w:lang w:val="zh-CN"/>
        </w:rPr>
      </w:pPr>
      <w:r>
        <w:rPr>
          <w:rFonts w:hint="eastAsia"/>
          <w:color w:val="auto"/>
          <w:sz w:val="21"/>
          <w:szCs w:val="21"/>
          <w:highlight w:val="none"/>
          <w:lang w:val="zh-CN"/>
        </w:rPr>
        <w:t>4.4供应商投诉</w:t>
      </w:r>
    </w:p>
    <w:p w14:paraId="00AA0509">
      <w:pPr>
        <w:pStyle w:val="889"/>
        <w:shd w:val="clear" w:color="auto" w:fill="FFFFFF"/>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58FDDE6">
      <w:pPr>
        <w:pStyle w:val="889"/>
        <w:shd w:val="clear" w:color="auto" w:fill="FFFFFF"/>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4B4079CD">
      <w:pPr>
        <w:pStyle w:val="889"/>
        <w:shd w:val="clear" w:color="auto" w:fill="FFFFFF"/>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4.4.3供应商投诉应当有明确的请求和必要的证明材料。</w:t>
      </w:r>
    </w:p>
    <w:p w14:paraId="038D8A20">
      <w:pPr>
        <w:pStyle w:val="889"/>
        <w:shd w:val="clear" w:color="auto" w:fill="FFFFFF"/>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4.4.4 以联合体形式参加政府采购活动的，其投诉应当由组成联合体的所有供应商共同提出。</w:t>
      </w:r>
    </w:p>
    <w:p w14:paraId="67F8A4EC">
      <w:pPr>
        <w:pStyle w:val="889"/>
        <w:shd w:val="clear" w:color="auto" w:fill="FFFFFF"/>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8DBCD85">
      <w:pPr>
        <w:pStyle w:val="889"/>
        <w:shd w:val="clear" w:color="auto" w:fill="FFFFFF"/>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投诉书范本及制作说明详见附件3。</w:t>
      </w:r>
    </w:p>
    <w:p w14:paraId="336854B6">
      <w:pPr>
        <w:pStyle w:val="889"/>
        <w:shd w:val="clear" w:color="auto" w:fill="FFFFFF"/>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4.5 补偿救济</w:t>
      </w:r>
    </w:p>
    <w:p w14:paraId="4486AB73">
      <w:pPr>
        <w:pStyle w:val="889"/>
        <w:shd w:val="clear" w:color="auto" w:fill="FFFFFF"/>
        <w:adjustRightInd w:val="0"/>
        <w:snapToGrid w:val="0"/>
        <w:spacing w:before="0" w:beforeAutospacing="0" w:after="0" w:afterAutospacing="0" w:line="360" w:lineRule="auto"/>
        <w:ind w:firstLine="420" w:firstLineChars="200"/>
        <w:rPr>
          <w:rFonts w:hint="eastAsia"/>
          <w:color w:val="auto"/>
          <w:sz w:val="21"/>
          <w:szCs w:val="21"/>
          <w:highlight w:val="none"/>
        </w:rPr>
      </w:pPr>
      <w:r>
        <w:rPr>
          <w:color w:val="auto"/>
          <w:sz w:val="21"/>
          <w:szCs w:val="21"/>
          <w:highlight w:val="none"/>
        </w:rPr>
        <w:t>采购人因政策变化、规划调整而不履行政府采购合同的，供应商可依据《杭州市涉企补偿救济实施办法（试行）》向采购人提起补偿申请。</w:t>
      </w:r>
    </w:p>
    <w:p w14:paraId="7D6C32BD">
      <w:pPr>
        <w:pStyle w:val="5"/>
        <w:ind w:firstLine="422"/>
        <w:rPr>
          <w:rFonts w:hint="eastAsia"/>
          <w:color w:val="auto"/>
          <w:sz w:val="21"/>
          <w:szCs w:val="21"/>
          <w:highlight w:val="none"/>
        </w:rPr>
      </w:pPr>
      <w:r>
        <w:rPr>
          <w:rFonts w:hint="eastAsia"/>
          <w:color w:val="auto"/>
          <w:sz w:val="21"/>
          <w:szCs w:val="21"/>
          <w:highlight w:val="none"/>
        </w:rPr>
        <w:t>二、招标文件的构成、澄清、修改</w:t>
      </w:r>
    </w:p>
    <w:p w14:paraId="3AE3864E">
      <w:pPr>
        <w:pStyle w:val="33"/>
        <w:snapToGrid w:val="0"/>
        <w:spacing w:line="360" w:lineRule="auto"/>
        <w:ind w:firstLine="422" w:firstLineChars="200"/>
        <w:rPr>
          <w:rFonts w:hint="eastAsia" w:hAnsi="宋体" w:cs="宋体"/>
          <w:b/>
          <w:color w:val="auto"/>
          <w:highlight w:val="none"/>
        </w:rPr>
      </w:pPr>
      <w:r>
        <w:rPr>
          <w:rFonts w:hint="eastAsia" w:hAnsi="宋体" w:cs="宋体"/>
          <w:b/>
          <w:color w:val="auto"/>
          <w:highlight w:val="none"/>
        </w:rPr>
        <w:t>5．招标文件的构成</w:t>
      </w:r>
    </w:p>
    <w:p w14:paraId="45A42BBD">
      <w:pPr>
        <w:pStyle w:val="33"/>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5.1 招标文件包括下列文件及附件：</w:t>
      </w:r>
    </w:p>
    <w:p w14:paraId="462EBD7D">
      <w:pPr>
        <w:pStyle w:val="33"/>
        <w:tabs>
          <w:tab w:val="left" w:pos="840"/>
        </w:tabs>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5.1.1招标公告；</w:t>
      </w:r>
    </w:p>
    <w:p w14:paraId="0A28375C">
      <w:pPr>
        <w:pStyle w:val="33"/>
        <w:tabs>
          <w:tab w:val="left" w:pos="840"/>
        </w:tabs>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5.1.2投标人须知；</w:t>
      </w:r>
    </w:p>
    <w:p w14:paraId="43E07AD2">
      <w:pPr>
        <w:pStyle w:val="33"/>
        <w:tabs>
          <w:tab w:val="left" w:pos="840"/>
        </w:tabs>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5.1.3采购需求；</w:t>
      </w:r>
    </w:p>
    <w:p w14:paraId="15D49F30">
      <w:pPr>
        <w:pStyle w:val="33"/>
        <w:tabs>
          <w:tab w:val="left" w:pos="840"/>
        </w:tabs>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5.1.4评标办法；</w:t>
      </w:r>
    </w:p>
    <w:p w14:paraId="18EBA033">
      <w:pPr>
        <w:pStyle w:val="33"/>
        <w:tabs>
          <w:tab w:val="left" w:pos="840"/>
        </w:tabs>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5.1.5拟签订的合同文本；</w:t>
      </w:r>
    </w:p>
    <w:p w14:paraId="226D7B01">
      <w:pPr>
        <w:pStyle w:val="33"/>
        <w:tabs>
          <w:tab w:val="left" w:pos="840"/>
        </w:tabs>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5.1.6应提交的有关格式范例。</w:t>
      </w:r>
    </w:p>
    <w:p w14:paraId="5D148AD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78200E48">
      <w:pPr>
        <w:pStyle w:val="33"/>
        <w:snapToGrid w:val="0"/>
        <w:spacing w:line="360" w:lineRule="auto"/>
        <w:ind w:firstLine="422" w:firstLineChars="200"/>
        <w:rPr>
          <w:rFonts w:hint="eastAsia" w:hAnsi="宋体" w:cs="宋体"/>
          <w:b/>
          <w:color w:val="auto"/>
          <w:highlight w:val="none"/>
        </w:rPr>
      </w:pPr>
      <w:r>
        <w:rPr>
          <w:rFonts w:hint="eastAsia" w:hAnsi="宋体" w:cs="宋体"/>
          <w:b/>
          <w:color w:val="auto"/>
          <w:highlight w:val="none"/>
        </w:rPr>
        <w:t>6. 招标文件的澄清、修改</w:t>
      </w:r>
    </w:p>
    <w:p w14:paraId="00D0E3BC">
      <w:pPr>
        <w:pStyle w:val="13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68BD5546">
      <w:pPr>
        <w:pStyle w:val="131"/>
        <w:snapToGrid w:val="0"/>
        <w:spacing w:before="0"/>
        <w:ind w:firstLine="420"/>
        <w:rPr>
          <w:rFonts w:hint="eastAsia"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hAnsi="宋体" w:cs="宋体"/>
          <w:color w:val="auto"/>
          <w:sz w:val="21"/>
          <w:szCs w:val="21"/>
          <w:highlight w:val="none"/>
        </w:rPr>
        <w:t xml:space="preserve">  </w:t>
      </w:r>
    </w:p>
    <w:p w14:paraId="427D3E30">
      <w:pPr>
        <w:pStyle w:val="5"/>
        <w:ind w:firstLine="422"/>
        <w:rPr>
          <w:rFonts w:hint="eastAsia"/>
          <w:color w:val="auto"/>
          <w:sz w:val="21"/>
          <w:szCs w:val="21"/>
          <w:highlight w:val="none"/>
        </w:rPr>
      </w:pPr>
      <w:r>
        <w:rPr>
          <w:rFonts w:hint="eastAsia"/>
          <w:color w:val="auto"/>
          <w:sz w:val="21"/>
          <w:szCs w:val="21"/>
          <w:highlight w:val="none"/>
        </w:rPr>
        <w:t>三、投标</w:t>
      </w:r>
    </w:p>
    <w:p w14:paraId="59C7A1FC">
      <w:pPr>
        <w:pStyle w:val="33"/>
        <w:snapToGrid w:val="0"/>
        <w:spacing w:line="360" w:lineRule="auto"/>
        <w:ind w:firstLine="422" w:firstLineChars="200"/>
        <w:rPr>
          <w:rFonts w:hint="eastAsia" w:hAnsi="宋体" w:cs="宋体"/>
          <w:b/>
          <w:color w:val="auto"/>
          <w:highlight w:val="none"/>
        </w:rPr>
      </w:pPr>
      <w:r>
        <w:rPr>
          <w:rFonts w:hint="eastAsia" w:hAnsi="宋体" w:cs="宋体"/>
          <w:b/>
          <w:color w:val="auto"/>
          <w:highlight w:val="none"/>
        </w:rPr>
        <w:t>7. 招标文件的获取</w:t>
      </w:r>
    </w:p>
    <w:p w14:paraId="5A9E25A0">
      <w:pPr>
        <w:snapToGrid w:val="0"/>
        <w:spacing w:line="360" w:lineRule="auto"/>
        <w:ind w:firstLine="420" w:firstLineChars="20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14:paraId="0016463E">
      <w:pPr>
        <w:pStyle w:val="33"/>
        <w:snapToGrid w:val="0"/>
        <w:spacing w:line="360" w:lineRule="auto"/>
        <w:ind w:firstLine="422" w:firstLineChars="200"/>
        <w:rPr>
          <w:rFonts w:hint="eastAsia" w:hAnsi="宋体" w:cs="宋体"/>
          <w:b/>
          <w:color w:val="auto"/>
          <w:highlight w:val="none"/>
        </w:rPr>
      </w:pPr>
      <w:r>
        <w:rPr>
          <w:rFonts w:hint="eastAsia" w:hAnsi="宋体" w:cs="宋体"/>
          <w:b/>
          <w:color w:val="auto"/>
          <w:highlight w:val="none"/>
        </w:rPr>
        <w:t>8.开标前答疑会或现场考察</w:t>
      </w:r>
    </w:p>
    <w:p w14:paraId="71916733">
      <w:pPr>
        <w:pStyle w:val="33"/>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14:paraId="723115F3">
      <w:pPr>
        <w:pStyle w:val="33"/>
        <w:snapToGrid w:val="0"/>
        <w:spacing w:line="360" w:lineRule="auto"/>
        <w:ind w:firstLine="422" w:firstLineChars="200"/>
        <w:rPr>
          <w:rFonts w:hint="eastAsia" w:hAnsi="宋体" w:cs="宋体"/>
          <w:b/>
          <w:color w:val="auto"/>
          <w:highlight w:val="none"/>
        </w:rPr>
      </w:pPr>
      <w:r>
        <w:rPr>
          <w:rFonts w:hint="eastAsia" w:hAnsi="宋体" w:cs="宋体"/>
          <w:b/>
          <w:color w:val="auto"/>
          <w:kern w:val="28"/>
          <w:highlight w:val="none"/>
        </w:rPr>
        <w:t>9.投标保证金</w:t>
      </w:r>
    </w:p>
    <w:p w14:paraId="6023EDA8">
      <w:pPr>
        <w:pStyle w:val="7"/>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本项目不需缴纳投标保证金。</w:t>
      </w:r>
    </w:p>
    <w:p w14:paraId="5D6132E7">
      <w:pPr>
        <w:pStyle w:val="33"/>
        <w:snapToGrid w:val="0"/>
        <w:spacing w:line="360" w:lineRule="auto"/>
        <w:ind w:firstLine="422" w:firstLineChars="200"/>
        <w:rPr>
          <w:rFonts w:hint="eastAsia" w:hAnsi="宋体" w:cs="宋体"/>
          <w:b/>
          <w:color w:val="auto"/>
          <w:highlight w:val="none"/>
        </w:rPr>
      </w:pPr>
      <w:r>
        <w:rPr>
          <w:rFonts w:hint="eastAsia" w:hAnsi="宋体" w:cs="宋体"/>
          <w:b/>
          <w:color w:val="auto"/>
          <w:highlight w:val="none"/>
        </w:rPr>
        <w:t>10. 投标文件的语言</w:t>
      </w:r>
    </w:p>
    <w:p w14:paraId="74EA9ED5">
      <w:pPr>
        <w:autoSpaceDE w:val="0"/>
        <w:autoSpaceDN w:val="0"/>
        <w:snapToGri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14:paraId="67DC4631">
      <w:pPr>
        <w:pStyle w:val="33"/>
        <w:snapToGrid w:val="0"/>
        <w:spacing w:line="360" w:lineRule="auto"/>
        <w:ind w:firstLine="422" w:firstLineChars="200"/>
        <w:rPr>
          <w:rFonts w:hint="eastAsia" w:hAnsi="宋体" w:cs="宋体"/>
          <w:b/>
          <w:color w:val="auto"/>
          <w:highlight w:val="none"/>
        </w:rPr>
      </w:pPr>
      <w:r>
        <w:rPr>
          <w:rFonts w:hint="eastAsia" w:hAnsi="宋体" w:cs="宋体"/>
          <w:b/>
          <w:color w:val="auto"/>
          <w:highlight w:val="none"/>
        </w:rPr>
        <w:t>11. 投标文件的组成</w:t>
      </w:r>
    </w:p>
    <w:p w14:paraId="087DA689">
      <w:pPr>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11.1资格文件：</w:t>
      </w:r>
    </w:p>
    <w:p w14:paraId="576A9C5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11.1.1符合参加政府采购活动应当具备的一般条件的承诺函；</w:t>
      </w:r>
    </w:p>
    <w:p w14:paraId="2FFD069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1.1.2</w:t>
      </w:r>
      <w:bookmarkStart w:id="17" w:name="_Hlk101259339"/>
      <w:r>
        <w:rPr>
          <w:rFonts w:hint="eastAsia" w:ascii="宋体" w:hAnsi="宋体" w:cs="宋体"/>
          <w:snapToGrid w:val="0"/>
          <w:color w:val="auto"/>
          <w:kern w:val="28"/>
          <w:szCs w:val="21"/>
          <w:highlight w:val="none"/>
        </w:rPr>
        <w:t>联合协议</w:t>
      </w:r>
      <w:bookmarkEnd w:id="17"/>
      <w:r>
        <w:rPr>
          <w:rFonts w:hint="eastAsia" w:ascii="宋体" w:hAnsi="宋体" w:cs="宋体"/>
          <w:snapToGrid w:val="0"/>
          <w:color w:val="auto"/>
          <w:kern w:val="28"/>
          <w:szCs w:val="21"/>
          <w:highlight w:val="none"/>
        </w:rPr>
        <w:t>（如果有）；</w:t>
      </w:r>
    </w:p>
    <w:p w14:paraId="18F24C7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w:t>
      </w:r>
      <w:r>
        <w:rPr>
          <w:rFonts w:ascii="宋体" w:hAnsi="宋体" w:cs="宋体"/>
          <w:color w:val="auto"/>
          <w:szCs w:val="21"/>
          <w:highlight w:val="none"/>
        </w:rPr>
        <w:t>3</w:t>
      </w:r>
      <w:r>
        <w:rPr>
          <w:rFonts w:hint="eastAsia" w:ascii="宋体" w:hAnsi="宋体" w:cs="宋体"/>
          <w:color w:val="auto"/>
          <w:szCs w:val="21"/>
          <w:highlight w:val="none"/>
        </w:rPr>
        <w:t>落实政府采购政策需满足的资格要求；</w:t>
      </w:r>
    </w:p>
    <w:p w14:paraId="226C058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w:t>
      </w:r>
      <w:r>
        <w:rPr>
          <w:rFonts w:ascii="宋体" w:hAnsi="宋体" w:cs="宋体"/>
          <w:color w:val="auto"/>
          <w:szCs w:val="21"/>
          <w:highlight w:val="none"/>
        </w:rPr>
        <w:t>4</w:t>
      </w:r>
      <w:r>
        <w:rPr>
          <w:rFonts w:hint="eastAsia" w:ascii="宋体" w:hAnsi="宋体" w:cs="宋体"/>
          <w:color w:val="auto"/>
          <w:szCs w:val="21"/>
          <w:highlight w:val="none"/>
        </w:rPr>
        <w:t>本项目的特定资格要求（如果有）。</w:t>
      </w:r>
    </w:p>
    <w:p w14:paraId="251D3B3A">
      <w:pPr>
        <w:snapToGrid w:val="0"/>
        <w:spacing w:line="360" w:lineRule="auto"/>
        <w:ind w:firstLine="422" w:firstLineChars="2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11.</w:t>
      </w:r>
      <w:r>
        <w:rPr>
          <w:rFonts w:hint="eastAsia" w:ascii="宋体" w:hAnsi="宋体" w:cs="宋体"/>
          <w:b/>
          <w:bCs/>
          <w:color w:val="auto"/>
          <w:szCs w:val="21"/>
          <w:highlight w:val="none"/>
        </w:rPr>
        <w:t>2</w:t>
      </w:r>
      <w:r>
        <w:rPr>
          <w:rFonts w:hint="eastAsia" w:ascii="宋体" w:hAnsi="宋体" w:cs="宋体"/>
          <w:b/>
          <w:bCs/>
          <w:color w:val="auto"/>
          <w:szCs w:val="21"/>
          <w:highlight w:val="none"/>
          <w:lang w:val="zh-CN"/>
        </w:rPr>
        <w:t xml:space="preserve">  </w:t>
      </w:r>
      <w:r>
        <w:rPr>
          <w:rFonts w:hint="eastAsia" w:ascii="宋体" w:hAnsi="宋体" w:cs="宋体"/>
          <w:b/>
          <w:bCs/>
          <w:color w:val="auto"/>
          <w:szCs w:val="21"/>
          <w:highlight w:val="none"/>
        </w:rPr>
        <w:t>商务技术</w:t>
      </w:r>
      <w:r>
        <w:rPr>
          <w:rFonts w:hint="eastAsia" w:ascii="宋体" w:hAnsi="宋体" w:cs="宋体"/>
          <w:b/>
          <w:bCs/>
          <w:color w:val="auto"/>
          <w:szCs w:val="21"/>
          <w:highlight w:val="none"/>
          <w:lang w:val="zh-CN"/>
        </w:rPr>
        <w:t>文件：</w:t>
      </w:r>
    </w:p>
    <w:p w14:paraId="6D75ED7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11.2.1投标函；</w:t>
      </w:r>
      <w:r>
        <w:rPr>
          <w:rFonts w:hint="eastAsia" w:ascii="宋体" w:hAnsi="宋体" w:cs="宋体"/>
          <w:color w:val="auto"/>
          <w:szCs w:val="21"/>
          <w:highlight w:val="none"/>
          <w:lang w:val="zh-CN"/>
        </w:rPr>
        <w:t xml:space="preserve"> </w:t>
      </w:r>
    </w:p>
    <w:p w14:paraId="602406C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11.2.2授权委托书或法定代表人（单位负责人、自然人本人）身份证明；</w:t>
      </w:r>
    </w:p>
    <w:p w14:paraId="61251F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3</w:t>
      </w:r>
      <w:r>
        <w:rPr>
          <w:rFonts w:hint="eastAsia" w:ascii="宋体" w:hAnsi="宋体" w:cs="宋体"/>
          <w:color w:val="auto"/>
          <w:szCs w:val="21"/>
          <w:highlight w:val="none"/>
        </w:rPr>
        <w:t>分包意向协议（如果有）；</w:t>
      </w:r>
    </w:p>
    <w:p w14:paraId="6848237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4</w:t>
      </w:r>
      <w:r>
        <w:rPr>
          <w:rFonts w:hint="eastAsia" w:ascii="宋体" w:hAnsi="宋体" w:cs="宋体"/>
          <w:color w:val="auto"/>
          <w:szCs w:val="21"/>
          <w:highlight w:val="none"/>
        </w:rPr>
        <w:t>符合性审查资料；</w:t>
      </w:r>
    </w:p>
    <w:p w14:paraId="32866DA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5</w:t>
      </w:r>
      <w:r>
        <w:rPr>
          <w:rFonts w:hint="eastAsia" w:ascii="宋体" w:hAnsi="宋体" w:cs="宋体"/>
          <w:color w:val="auto"/>
          <w:szCs w:val="21"/>
          <w:highlight w:val="none"/>
        </w:rPr>
        <w:t>评标标准相应的商务技术资料；</w:t>
      </w:r>
    </w:p>
    <w:p w14:paraId="6A2A0B3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6</w:t>
      </w:r>
      <w:r>
        <w:rPr>
          <w:rFonts w:hint="eastAsia" w:ascii="宋体" w:hAnsi="宋体" w:cs="宋体"/>
          <w:color w:val="auto"/>
          <w:szCs w:val="21"/>
          <w:highlight w:val="none"/>
        </w:rPr>
        <w:t>投标标的清单；</w:t>
      </w:r>
    </w:p>
    <w:p w14:paraId="69FE265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7</w:t>
      </w:r>
      <w:r>
        <w:rPr>
          <w:rFonts w:hint="eastAsia" w:ascii="宋体" w:hAnsi="宋体" w:cs="宋体"/>
          <w:color w:val="auto"/>
          <w:szCs w:val="21"/>
          <w:highlight w:val="none"/>
        </w:rPr>
        <w:t>商务技术偏离表；</w:t>
      </w:r>
    </w:p>
    <w:p w14:paraId="56127348">
      <w:pPr>
        <w:snapToGri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14:paraId="1CDD8586">
      <w:pPr>
        <w:snapToGrid w:val="0"/>
        <w:spacing w:line="360" w:lineRule="auto"/>
        <w:ind w:firstLine="422" w:firstLineChars="200"/>
        <w:rPr>
          <w:rFonts w:hint="eastAsia" w:ascii="宋体" w:hAnsi="宋体" w:cs="宋体"/>
          <w:b/>
          <w:bCs/>
          <w:color w:val="auto"/>
          <w:szCs w:val="21"/>
          <w:highlight w:val="none"/>
          <w:u w:val="single"/>
          <w:lang w:val="zh-CN"/>
        </w:rPr>
      </w:pPr>
      <w:r>
        <w:rPr>
          <w:rFonts w:hint="eastAsia" w:ascii="宋体" w:hAnsi="宋体" w:cs="宋体"/>
          <w:b/>
          <w:bCs/>
          <w:color w:val="auto"/>
          <w:kern w:val="0"/>
          <w:szCs w:val="21"/>
          <w:highlight w:val="none"/>
          <w:lang w:val="zh-CN"/>
        </w:rPr>
        <w:t>11.</w:t>
      </w:r>
      <w:r>
        <w:rPr>
          <w:rFonts w:hint="eastAsia" w:ascii="宋体" w:hAnsi="宋体" w:cs="宋体"/>
          <w:b/>
          <w:bCs/>
          <w:color w:val="auto"/>
          <w:kern w:val="0"/>
          <w:szCs w:val="21"/>
          <w:highlight w:val="none"/>
        </w:rPr>
        <w:t>3</w:t>
      </w:r>
      <w:r>
        <w:rPr>
          <w:rFonts w:hint="eastAsia" w:ascii="宋体" w:hAnsi="宋体" w:cs="宋体"/>
          <w:b/>
          <w:bCs/>
          <w:color w:val="auto"/>
          <w:szCs w:val="21"/>
          <w:highlight w:val="none"/>
        </w:rPr>
        <w:t xml:space="preserve">报价文件： </w:t>
      </w:r>
    </w:p>
    <w:p w14:paraId="79581C8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11.3.1开标一览表（报价表）；</w:t>
      </w:r>
    </w:p>
    <w:p w14:paraId="444B3F6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11.3.2中小企业声明函。（如果有）</w:t>
      </w:r>
    </w:p>
    <w:p w14:paraId="15CB7270">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投标文件含有采购人不能接受的附加条件的，投标无效；</w:t>
      </w:r>
    </w:p>
    <w:p w14:paraId="38F1F261">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投标人提供虚假材料投标的，投标无效。</w:t>
      </w:r>
    </w:p>
    <w:p w14:paraId="34EC35DA">
      <w:pPr>
        <w:snapToGrid w:val="0"/>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投标人应对投标文件中材料的真实性、合法性负责。投标人可事先在公开官网查询、核对相关证书和报告内容，确保投标（响应）文件资料准确无误。</w:t>
      </w:r>
    </w:p>
    <w:p w14:paraId="64DAB207">
      <w:pPr>
        <w:pStyle w:val="131"/>
        <w:snapToGrid w:val="0"/>
        <w:spacing w:before="0"/>
        <w:ind w:firstLine="422"/>
        <w:rPr>
          <w:rFonts w:hint="eastAsia"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p>
    <w:p w14:paraId="34EC9B79">
      <w:pPr>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4153E21">
      <w:pPr>
        <w:snapToGrid w:val="0"/>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DFD7BA3">
      <w:pPr>
        <w:snapToGrid w:val="0"/>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307CFB9A">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13.投标文件的签署、盖章</w:t>
      </w:r>
    </w:p>
    <w:p w14:paraId="45CCFF43">
      <w:pPr>
        <w:pStyle w:val="131"/>
        <w:snapToGrid w:val="0"/>
        <w:spacing w:before="0"/>
        <w:ind w:firstLine="420"/>
        <w:rPr>
          <w:rFonts w:hint="eastAsia"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64698FA5">
      <w:pPr>
        <w:pStyle w:val="13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40B892C5">
      <w:pPr>
        <w:pStyle w:val="13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03E363A4">
      <w:pPr>
        <w:pStyle w:val="131"/>
        <w:snapToGrid w:val="0"/>
        <w:spacing w:before="0"/>
        <w:ind w:firstLine="422"/>
        <w:rPr>
          <w:rFonts w:hint="eastAsia" w:ascii="宋体" w:hAnsi="宋体" w:cs="宋体"/>
          <w:b/>
          <w:color w:val="auto"/>
          <w:sz w:val="21"/>
          <w:szCs w:val="21"/>
          <w:highlight w:val="none"/>
        </w:rPr>
      </w:pPr>
      <w:r>
        <w:rPr>
          <w:rFonts w:hint="eastAsia" w:ascii="宋体" w:hAnsi="宋体" w:cs="宋体"/>
          <w:b/>
          <w:color w:val="auto"/>
          <w:sz w:val="21"/>
          <w:szCs w:val="21"/>
          <w:highlight w:val="none"/>
        </w:rPr>
        <w:t>14. 投标文件的提交、补充、修改、撤回</w:t>
      </w:r>
    </w:p>
    <w:p w14:paraId="45723669">
      <w:pPr>
        <w:pStyle w:val="13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99E3DF3">
      <w:pPr>
        <w:pStyle w:val="13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56BB6B04">
      <w:pPr>
        <w:pStyle w:val="13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F056D30">
      <w:pPr>
        <w:pStyle w:val="33"/>
        <w:snapToGrid w:val="0"/>
        <w:spacing w:line="360" w:lineRule="auto"/>
        <w:ind w:firstLine="422" w:firstLineChars="200"/>
        <w:rPr>
          <w:rFonts w:hint="eastAsia" w:hAnsi="宋体" w:cs="宋体"/>
          <w:b/>
          <w:color w:val="auto"/>
          <w:highlight w:val="none"/>
        </w:rPr>
      </w:pPr>
      <w:r>
        <w:rPr>
          <w:rFonts w:hint="eastAsia" w:hAnsi="宋体" w:cs="宋体"/>
          <w:b/>
          <w:color w:val="auto"/>
          <w:highlight w:val="none"/>
        </w:rPr>
        <w:t>15.备份投标文件</w:t>
      </w:r>
    </w:p>
    <w:p w14:paraId="3E3ACA7E">
      <w:pPr>
        <w:pStyle w:val="33"/>
        <w:snapToGrid w:val="0"/>
        <w:spacing w:line="360" w:lineRule="auto"/>
        <w:ind w:firstLine="420" w:firstLineChars="200"/>
        <w:rPr>
          <w:rFonts w:hint="eastAsia" w:hAnsi="宋体" w:cs="宋体"/>
          <w:b/>
          <w:color w:val="auto"/>
          <w:highlight w:val="none"/>
        </w:rPr>
      </w:pPr>
      <w:r>
        <w:rPr>
          <w:rFonts w:hint="eastAsia" w:hAnsi="宋体" w:cs="宋体"/>
          <w:color w:val="auto"/>
          <w:highlight w:val="none"/>
        </w:rPr>
        <w:t>15.1投标人在电子交易平台传输递交投标文件后，还可以在投标截止时间前直接提交或者以邮政快递方式递交备份投标文件1份，</w:t>
      </w:r>
      <w:r>
        <w:rPr>
          <w:rFonts w:hint="eastAsia" w:hAnsi="宋体" w:cs="宋体"/>
          <w:b/>
          <w:color w:val="auto"/>
          <w:highlight w:val="none"/>
        </w:rPr>
        <w:t>但采购人、采购代理机构不强制或变相强制投标人提交备份投标文件。</w:t>
      </w:r>
    </w:p>
    <w:p w14:paraId="70770795">
      <w:pPr>
        <w:pStyle w:val="33"/>
        <w:snapToGrid w:val="0"/>
        <w:spacing w:line="360" w:lineRule="auto"/>
        <w:ind w:firstLine="420" w:firstLineChars="200"/>
        <w:rPr>
          <w:rFonts w:hint="eastAsia" w:hAnsi="宋体" w:cs="宋体"/>
          <w:b/>
          <w:color w:val="auto"/>
          <w:highlight w:val="none"/>
        </w:rPr>
      </w:pPr>
      <w:r>
        <w:rPr>
          <w:rFonts w:hint="eastAsia" w:hAnsi="宋体" w:cs="宋体"/>
          <w:color w:val="auto"/>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highlight w:val="none"/>
        </w:rPr>
        <w:t>不符合上述制作、存储、密封规定的备份投标文件将被视为无效或者被拒绝接收。</w:t>
      </w:r>
    </w:p>
    <w:p w14:paraId="216AC7BB">
      <w:pPr>
        <w:pStyle w:val="33"/>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187D1A4B">
      <w:pPr>
        <w:pStyle w:val="33"/>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highlight w:val="none"/>
        </w:rPr>
        <w:t>招标文件第二部分投标人须知前附表规定的备份投标文件送达地点；</w:t>
      </w:r>
      <w:r>
        <w:rPr>
          <w:rFonts w:hint="eastAsia" w:hAnsi="宋体" w:cs="宋体"/>
          <w:color w:val="auto"/>
          <w:highlight w:val="none"/>
        </w:rPr>
        <w:t>送达时间以签收人签收时间为准。采购代理机构将拒绝接受逾期送达的备份投标文件。邮寄过程中，电子备份投标文件发生泄露、遗失、损坏或延期送达等情况的，由投标人自行负责。</w:t>
      </w:r>
    </w:p>
    <w:p w14:paraId="12665C0E">
      <w:pPr>
        <w:pStyle w:val="33"/>
        <w:snapToGrid w:val="0"/>
        <w:spacing w:line="360" w:lineRule="auto"/>
        <w:ind w:firstLine="422" w:firstLineChars="200"/>
        <w:rPr>
          <w:rFonts w:hint="eastAsia" w:hAnsi="宋体" w:cs="宋体"/>
          <w:b/>
          <w:color w:val="auto"/>
          <w:highlight w:val="none"/>
        </w:rPr>
      </w:pPr>
      <w:r>
        <w:rPr>
          <w:rFonts w:hint="eastAsia" w:hAnsi="宋体" w:cs="宋体"/>
          <w:b/>
          <w:color w:val="auto"/>
          <w:highlight w:val="none"/>
        </w:rPr>
        <w:t>15.5投标人仅提交备份投标文件，未在电子交易平台传输递交投标文件的，投标无效。</w:t>
      </w:r>
    </w:p>
    <w:p w14:paraId="7BE65063">
      <w:pPr>
        <w:pStyle w:val="131"/>
        <w:snapToGrid w:val="0"/>
        <w:spacing w:before="0"/>
        <w:ind w:firstLine="422"/>
        <w:rPr>
          <w:rFonts w:hint="eastAsia"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4DA6D4DC">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有招标文件第四部分</w:t>
      </w:r>
      <w:r>
        <w:rPr>
          <w:rFonts w:cs="宋体"/>
          <w:color w:val="auto"/>
          <w:sz w:val="21"/>
          <w:szCs w:val="21"/>
          <w:highlight w:val="none"/>
        </w:rPr>
        <w:t>4.2规定</w:t>
      </w:r>
      <w:r>
        <w:rPr>
          <w:rFonts w:hint="eastAsia" w:cs="宋体"/>
          <w:color w:val="auto"/>
          <w:sz w:val="21"/>
          <w:szCs w:val="21"/>
          <w:highlight w:val="none"/>
        </w:rPr>
        <w:t>的情形之一的，投标无效：</w:t>
      </w:r>
    </w:p>
    <w:p w14:paraId="1440CF2C">
      <w:pPr>
        <w:pStyle w:val="131"/>
        <w:snapToGrid w:val="0"/>
        <w:spacing w:before="0"/>
        <w:ind w:firstLine="422"/>
        <w:rPr>
          <w:rFonts w:hint="eastAsia"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155876E5">
      <w:pPr>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17.1投标有效期为从提交投标文件的截止之日起90天。▲</w:t>
      </w:r>
      <w:r>
        <w:rPr>
          <w:rFonts w:hint="eastAsia" w:ascii="宋体" w:hAnsi="宋体" w:cs="宋体"/>
          <w:b/>
          <w:color w:val="auto"/>
          <w:szCs w:val="21"/>
          <w:highlight w:val="none"/>
        </w:rPr>
        <w:t>投标人的投标文件中承诺的投标有效期少于招标文件中载明的投标有效期的，投标无效。</w:t>
      </w:r>
    </w:p>
    <w:p w14:paraId="7DD5F399">
      <w:pPr>
        <w:pStyle w:val="13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13EF2E91">
      <w:pPr>
        <w:pStyle w:val="13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9DA3F6D">
      <w:pPr>
        <w:pStyle w:val="5"/>
        <w:ind w:firstLine="422"/>
        <w:rPr>
          <w:rFonts w:hint="eastAsia"/>
          <w:color w:val="auto"/>
          <w:sz w:val="21"/>
          <w:szCs w:val="21"/>
          <w:highlight w:val="none"/>
        </w:rPr>
      </w:pPr>
      <w:r>
        <w:rPr>
          <w:rFonts w:hint="eastAsia"/>
          <w:color w:val="auto"/>
          <w:sz w:val="21"/>
          <w:szCs w:val="21"/>
          <w:highlight w:val="none"/>
        </w:rPr>
        <w:t>四、开标、资格审查与信用信息查询</w:t>
      </w:r>
    </w:p>
    <w:p w14:paraId="24C00EC4">
      <w:pPr>
        <w:pStyle w:val="558"/>
        <w:snapToGrid w:val="0"/>
        <w:spacing w:before="0" w:line="360" w:lineRule="auto"/>
        <w:ind w:left="0"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77034AB1">
      <w:pPr>
        <w:pStyle w:val="558"/>
        <w:snapToGrid w:val="0"/>
        <w:spacing w:before="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5455722B">
      <w:pPr>
        <w:pStyle w:val="558"/>
        <w:snapToGrid w:val="0"/>
        <w:spacing w:before="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18.2开标时，电子交易平台按开标时间自动提取所有投标文件。采购代理机构依托电子交易平台发起开始解密指令，投标人按照平台提示和招标文件的规定在半小时内完成在线解密。</w:t>
      </w:r>
    </w:p>
    <w:p w14:paraId="6D09BDDA">
      <w:pPr>
        <w:pStyle w:val="558"/>
        <w:snapToGrid w:val="0"/>
        <w:spacing w:before="0" w:line="360" w:lineRule="auto"/>
        <w:ind w:left="0" w:firstLine="420" w:firstLineChars="200"/>
        <w:rPr>
          <w:rFonts w:hint="eastAsia" w:ascii="宋体" w:hAnsi="宋体" w:cs="宋体"/>
          <w:b/>
          <w:color w:val="auto"/>
          <w:sz w:val="21"/>
          <w:szCs w:val="21"/>
          <w:highlight w:val="none"/>
        </w:rPr>
      </w:pPr>
      <w:r>
        <w:rPr>
          <w:rFonts w:hint="eastAsia" w:ascii="宋体" w:hAnsi="宋体" w:cs="宋体"/>
          <w:color w:val="auto"/>
          <w:sz w:val="21"/>
          <w:szCs w:val="21"/>
          <w:highlight w:val="none"/>
        </w:rPr>
        <w:t>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29C5330E">
      <w:pPr>
        <w:pStyle w:val="558"/>
        <w:snapToGrid w:val="0"/>
        <w:spacing w:before="0" w:line="360" w:lineRule="auto"/>
        <w:ind w:left="0"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19、资格审查</w:t>
      </w:r>
    </w:p>
    <w:p w14:paraId="0D44786E">
      <w:pPr>
        <w:pStyle w:val="131"/>
        <w:snapToGrid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19.1采购人或采购代理机构依据法律法规和招标文件的规定，对投标人的资格进行审查。</w:t>
      </w:r>
    </w:p>
    <w:p w14:paraId="16CCCD5C">
      <w:pPr>
        <w:pStyle w:val="131"/>
        <w:snapToGrid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19.2投标人未按照招标文件要求提供与资格条件相应的有效资格证明材料的，视为投标人不具备招标文件中规定的资格要求，其投标无效。</w:t>
      </w:r>
    </w:p>
    <w:p w14:paraId="49EEFB24">
      <w:pPr>
        <w:pStyle w:val="131"/>
        <w:snapToGrid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19.3对未通过资格审查的投标人，</w:t>
      </w:r>
      <w:r>
        <w:rPr>
          <w:rFonts w:hint="eastAsia" w:ascii="宋体" w:hAnsi="宋体" w:cs="宋体"/>
          <w:color w:val="auto"/>
          <w:sz w:val="21"/>
          <w:szCs w:val="21"/>
          <w:highlight w:val="none"/>
        </w:rPr>
        <w:t>采购人或采购代理机构告知其未通过的原因。</w:t>
      </w:r>
    </w:p>
    <w:p w14:paraId="7025812C">
      <w:pPr>
        <w:pStyle w:val="131"/>
        <w:snapToGrid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19.4合格投标人不足3家的，不再评标。</w:t>
      </w:r>
    </w:p>
    <w:p w14:paraId="69D960CE">
      <w:pPr>
        <w:pStyle w:val="131"/>
        <w:snapToGrid w:val="0"/>
        <w:spacing w:before="0"/>
        <w:ind w:firstLine="422"/>
        <w:rPr>
          <w:rFonts w:hint="eastAsia"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5363A75C">
      <w:pPr>
        <w:pStyle w:val="131"/>
        <w:snapToGrid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20.1信用信息查询渠道及截止时间：采购代理机构将在资格审查时通过“信用中国”网站(www.creditchina.gov.cn)、中国政府采购网(www.ccgp.gov.cn)渠道查询投标人接受资格审查时的信用记录。</w:t>
      </w:r>
    </w:p>
    <w:p w14:paraId="31185D2C">
      <w:pPr>
        <w:pStyle w:val="131"/>
        <w:snapToGrid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0EBB3847">
      <w:pPr>
        <w:pStyle w:val="131"/>
        <w:snapToGrid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3F6AC6B9">
      <w:pPr>
        <w:pStyle w:val="131"/>
        <w:snapToGrid w:val="0"/>
        <w:spacing w:before="0"/>
        <w:ind w:firstLine="42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7E567341">
      <w:pPr>
        <w:pStyle w:val="5"/>
        <w:ind w:firstLine="422"/>
        <w:rPr>
          <w:rFonts w:hint="eastAsia"/>
          <w:color w:val="auto"/>
          <w:sz w:val="21"/>
          <w:szCs w:val="21"/>
          <w:highlight w:val="none"/>
        </w:rPr>
      </w:pPr>
      <w:r>
        <w:rPr>
          <w:rFonts w:hint="eastAsia"/>
          <w:color w:val="auto"/>
          <w:sz w:val="21"/>
          <w:szCs w:val="21"/>
          <w:highlight w:val="none"/>
        </w:rPr>
        <w:t>五、评标</w:t>
      </w:r>
    </w:p>
    <w:p w14:paraId="559092D4">
      <w:pPr>
        <w:snapToGrid w:val="0"/>
        <w:spacing w:line="360" w:lineRule="auto"/>
        <w:ind w:firstLine="422" w:firstLineChars="200"/>
        <w:rPr>
          <w:rFonts w:hint="eastAsia" w:ascii="宋体" w:hAnsi="宋体" w:cs="宋体"/>
          <w:b/>
          <w:color w:val="auto"/>
          <w:szCs w:val="21"/>
          <w:highlight w:val="none"/>
        </w:rPr>
      </w:pPr>
      <w:bookmarkStart w:id="18" w:name="_Toc91899903"/>
      <w:r>
        <w:rPr>
          <w:rFonts w:hint="eastAsia" w:ascii="宋体" w:hAnsi="宋体" w:cs="宋体"/>
          <w:b/>
          <w:color w:val="auto"/>
          <w:szCs w:val="21"/>
          <w:highlight w:val="none"/>
        </w:rPr>
        <w:t>21.</w:t>
      </w:r>
      <w:r>
        <w:rPr>
          <w:rFonts w:hint="eastAsia" w:ascii="宋体" w:hAnsi="宋体" w:cs="宋体"/>
          <w:color w:val="auto"/>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Cs w:val="21"/>
          <w:highlight w:val="none"/>
        </w:rPr>
        <w:t>详见招标文件第四部分评标办法。</w:t>
      </w:r>
    </w:p>
    <w:p w14:paraId="265D9F91">
      <w:pPr>
        <w:pStyle w:val="5"/>
        <w:ind w:firstLine="422"/>
        <w:rPr>
          <w:rFonts w:hint="eastAsia"/>
          <w:color w:val="auto"/>
          <w:sz w:val="21"/>
          <w:szCs w:val="21"/>
          <w:highlight w:val="none"/>
        </w:rPr>
      </w:pPr>
      <w:r>
        <w:rPr>
          <w:rFonts w:hint="eastAsia"/>
          <w:color w:val="auto"/>
          <w:sz w:val="21"/>
          <w:szCs w:val="21"/>
          <w:highlight w:val="none"/>
        </w:rPr>
        <w:t>六、定 标</w:t>
      </w:r>
    </w:p>
    <w:p w14:paraId="70BF3B44">
      <w:pPr>
        <w:pStyle w:val="2"/>
        <w:snapToGrid w:val="0"/>
        <w:spacing w:line="360" w:lineRule="auto"/>
        <w:ind w:firstLine="422"/>
        <w:rPr>
          <w:rFonts w:hint="eastAsia" w:cs="宋体"/>
          <w:b/>
          <w:color w:val="auto"/>
          <w:sz w:val="21"/>
          <w:szCs w:val="21"/>
          <w:highlight w:val="none"/>
        </w:rPr>
      </w:pPr>
      <w:r>
        <w:rPr>
          <w:rFonts w:hint="eastAsia" w:cs="宋体"/>
          <w:b/>
          <w:color w:val="auto"/>
          <w:sz w:val="21"/>
          <w:szCs w:val="21"/>
          <w:highlight w:val="none"/>
        </w:rPr>
        <w:t>22. 确定中标供应商</w:t>
      </w:r>
    </w:p>
    <w:p w14:paraId="73518561">
      <w:pPr>
        <w:pStyle w:val="131"/>
        <w:snapToGrid w:val="0"/>
        <w:spacing w:before="0"/>
        <w:ind w:firstLine="420"/>
        <w:rPr>
          <w:rFonts w:hint="eastAsia"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976C6D0">
      <w:pPr>
        <w:pStyle w:val="131"/>
        <w:snapToGrid w:val="0"/>
        <w:spacing w:before="0"/>
        <w:ind w:firstLine="422"/>
        <w:rPr>
          <w:rFonts w:hint="eastAsia"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7CB5D4AD">
      <w:pPr>
        <w:widowControl/>
        <w:shd w:val="clear" w:color="auto" w:fill="FFFFFF"/>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23.1自中标人确定之日起2个工作日内，采购代理机构通过电子交易平台向中标人发出中标通知书，同时编制发布采购结果公告。采购代理机构也可以以纸质形式进行中标通知。</w:t>
      </w:r>
    </w:p>
    <w:p w14:paraId="66ACFD1D">
      <w:pPr>
        <w:widowControl/>
        <w:shd w:val="clear" w:color="auto" w:fill="FFFFFF"/>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5771C93">
      <w:pPr>
        <w:widowControl/>
        <w:shd w:val="clear" w:color="auto" w:fill="FFFFFF"/>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23.3公告期限为1个工作日。</w:t>
      </w:r>
    </w:p>
    <w:p w14:paraId="1590017B">
      <w:pPr>
        <w:widowControl/>
        <w:shd w:val="clear" w:color="auto" w:fill="FFFFFF"/>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24.由于中标、成交供应商原因导致重新采购的，应当承担支付代理费和专家评审费等费用在内的赔偿责任。</w:t>
      </w:r>
    </w:p>
    <w:p w14:paraId="50958980">
      <w:pPr>
        <w:pStyle w:val="5"/>
        <w:ind w:firstLine="422"/>
        <w:rPr>
          <w:rFonts w:hint="eastAsia"/>
          <w:color w:val="auto"/>
          <w:sz w:val="21"/>
          <w:szCs w:val="21"/>
          <w:highlight w:val="none"/>
        </w:rPr>
      </w:pPr>
      <w:r>
        <w:rPr>
          <w:rFonts w:hint="eastAsia"/>
          <w:color w:val="auto"/>
          <w:sz w:val="21"/>
          <w:szCs w:val="21"/>
          <w:highlight w:val="none"/>
        </w:rPr>
        <w:t>七、合同授予</w:t>
      </w:r>
    </w:p>
    <w:p w14:paraId="13C8C7B9">
      <w:pPr>
        <w:pStyle w:val="2"/>
        <w:snapToGrid w:val="0"/>
        <w:spacing w:line="360" w:lineRule="auto"/>
        <w:ind w:firstLine="422"/>
        <w:rPr>
          <w:rFonts w:hint="eastAsia"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18A2BDFB">
      <w:pPr>
        <w:pStyle w:val="2"/>
        <w:snapToGrid w:val="0"/>
        <w:spacing w:line="360" w:lineRule="auto"/>
        <w:ind w:firstLine="422"/>
        <w:rPr>
          <w:rFonts w:hint="eastAsia" w:cs="宋体"/>
          <w:b/>
          <w:color w:val="auto"/>
          <w:sz w:val="21"/>
          <w:szCs w:val="21"/>
          <w:highlight w:val="none"/>
        </w:rPr>
      </w:pPr>
      <w:r>
        <w:rPr>
          <w:rFonts w:hint="eastAsia" w:cs="宋体"/>
          <w:b/>
          <w:color w:val="auto"/>
          <w:sz w:val="21"/>
          <w:szCs w:val="21"/>
          <w:highlight w:val="none"/>
        </w:rPr>
        <w:t>25. 合同的签订</w:t>
      </w:r>
    </w:p>
    <w:p w14:paraId="365EFB62">
      <w:pPr>
        <w:widowControl/>
        <w:shd w:val="clear" w:color="auto" w:fill="FFFFFF"/>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25.1</w:t>
      </w:r>
      <w:r>
        <w:rPr>
          <w:rFonts w:hint="eastAsia" w:ascii="宋体" w:hAnsi="宋体" w:cs="宋体"/>
          <w:color w:val="auto"/>
          <w:kern w:val="0"/>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4DEB717">
      <w:pPr>
        <w:pStyle w:val="131"/>
        <w:snapToGrid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F22DB0E">
      <w:pPr>
        <w:pStyle w:val="13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173A5891">
      <w:pPr>
        <w:pStyle w:val="13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34647A29">
      <w:pPr>
        <w:pStyle w:val="13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0DAF3550">
      <w:pPr>
        <w:pStyle w:val="2"/>
        <w:snapToGrid w:val="0"/>
        <w:spacing w:line="360" w:lineRule="auto"/>
        <w:ind w:firstLine="422"/>
        <w:rPr>
          <w:rFonts w:hint="eastAsia" w:cs="宋体"/>
          <w:b/>
          <w:color w:val="auto"/>
          <w:sz w:val="21"/>
          <w:szCs w:val="21"/>
          <w:highlight w:val="none"/>
        </w:rPr>
      </w:pPr>
      <w:r>
        <w:rPr>
          <w:rFonts w:hint="eastAsia" w:cs="宋体"/>
          <w:b/>
          <w:color w:val="auto"/>
          <w:sz w:val="21"/>
          <w:szCs w:val="21"/>
          <w:highlight w:val="none"/>
        </w:rPr>
        <w:t>26. 履约保证金</w:t>
      </w:r>
    </w:p>
    <w:p w14:paraId="159CFD4E">
      <w:pPr>
        <w:tabs>
          <w:tab w:val="left" w:pos="0"/>
        </w:tabs>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拟签订的合同文本要求中标供应商提交履约保证金的，供应商应当以支票、汇票、本票或者金融机构、担保机构出具的保函等非现金形式提交。履约保证金的数额不得超过政府采购合同金额的</w:t>
      </w:r>
      <w:r>
        <w:rPr>
          <w:rFonts w:ascii="宋体" w:hAnsi="宋体" w:cs="宋体"/>
          <w:color w:val="auto"/>
          <w:kern w:val="0"/>
          <w:szCs w:val="21"/>
          <w:highlight w:val="none"/>
        </w:rPr>
        <w:t>1</w:t>
      </w:r>
      <w:r>
        <w:rPr>
          <w:rFonts w:hint="eastAsia" w:ascii="宋体" w:hAnsi="宋体" w:cs="宋体"/>
          <w:color w:val="auto"/>
          <w:kern w:val="0"/>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kern w:val="0"/>
          <w:szCs w:val="21"/>
          <w:highlight w:val="none"/>
        </w:rPr>
        <w:t>延迟退还的，应当按照合同约定和法律规定承担相应的赔偿责任</w:t>
      </w:r>
      <w:r>
        <w:rPr>
          <w:rFonts w:hint="eastAsia" w:ascii="宋体" w:hAnsi="宋体" w:cs="宋体"/>
          <w:color w:val="auto"/>
          <w:kern w:val="0"/>
          <w:szCs w:val="21"/>
          <w:highlight w:val="none"/>
        </w:rPr>
        <w:t>。</w:t>
      </w:r>
    </w:p>
    <w:p w14:paraId="42AE5880">
      <w:pPr>
        <w:tabs>
          <w:tab w:val="left" w:pos="0"/>
        </w:tabs>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586050F">
      <w:pPr>
        <w:pStyle w:val="2"/>
        <w:snapToGrid w:val="0"/>
        <w:spacing w:line="360" w:lineRule="auto"/>
        <w:ind w:firstLine="422"/>
        <w:rPr>
          <w:rFonts w:hint="eastAsia" w:cs="宋体"/>
          <w:b/>
          <w:color w:val="auto"/>
          <w:sz w:val="21"/>
          <w:szCs w:val="21"/>
          <w:highlight w:val="none"/>
        </w:rPr>
      </w:pPr>
      <w:r>
        <w:rPr>
          <w:rFonts w:hint="eastAsia" w:cs="宋体"/>
          <w:b/>
          <w:color w:val="auto"/>
          <w:sz w:val="21"/>
          <w:szCs w:val="21"/>
          <w:highlight w:val="none"/>
        </w:rPr>
        <w:t>2</w:t>
      </w:r>
      <w:r>
        <w:rPr>
          <w:rFonts w:cs="宋体"/>
          <w:b/>
          <w:color w:val="auto"/>
          <w:sz w:val="21"/>
          <w:szCs w:val="21"/>
          <w:highlight w:val="none"/>
        </w:rPr>
        <w:t>7.</w:t>
      </w:r>
      <w:r>
        <w:rPr>
          <w:rFonts w:hint="eastAsia" w:cs="宋体"/>
          <w:b/>
          <w:color w:val="auto"/>
          <w:sz w:val="21"/>
          <w:szCs w:val="21"/>
          <w:highlight w:val="none"/>
        </w:rPr>
        <w:t>预付款</w:t>
      </w:r>
    </w:p>
    <w:p w14:paraId="717CF321">
      <w:pPr>
        <w:tabs>
          <w:tab w:val="left" w:pos="0"/>
        </w:tabs>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1881B4B">
      <w:pPr>
        <w:pStyle w:val="5"/>
        <w:ind w:firstLine="422"/>
        <w:rPr>
          <w:rFonts w:hint="eastAsia"/>
          <w:color w:val="auto"/>
          <w:sz w:val="21"/>
          <w:szCs w:val="21"/>
          <w:highlight w:val="none"/>
        </w:rPr>
      </w:pPr>
      <w:r>
        <w:rPr>
          <w:rFonts w:hint="eastAsia"/>
          <w:color w:val="auto"/>
          <w:sz w:val="21"/>
          <w:szCs w:val="21"/>
          <w:highlight w:val="none"/>
        </w:rPr>
        <w:t>八、电子交易活动的中止</w:t>
      </w:r>
    </w:p>
    <w:p w14:paraId="3D8BF213">
      <w:pPr>
        <w:pStyle w:val="131"/>
        <w:snapToGrid w:val="0"/>
        <w:spacing w:before="0"/>
        <w:ind w:firstLine="422"/>
        <w:rPr>
          <w:rFonts w:hint="eastAsia" w:ascii="宋体" w:hAnsi="宋体" w:cs="宋体"/>
          <w:color w:val="auto"/>
          <w:sz w:val="21"/>
          <w:szCs w:val="21"/>
          <w:highlight w:val="none"/>
        </w:rPr>
      </w:pPr>
      <w:r>
        <w:rPr>
          <w:rFonts w:hint="eastAsia" w:ascii="宋体" w:hAnsi="宋体" w:cs="宋体"/>
          <w:b/>
          <w:bCs/>
          <w:color w:val="auto"/>
          <w:sz w:val="21"/>
          <w:szCs w:val="21"/>
          <w:highlight w:val="none"/>
        </w:rPr>
        <w:t>2</w:t>
      </w:r>
      <w:r>
        <w:rPr>
          <w:rFonts w:ascii="宋体" w:hAnsi="宋体" w:cs="宋体"/>
          <w:b/>
          <w:color w:val="auto"/>
          <w:sz w:val="21"/>
          <w:szCs w:val="21"/>
          <w:highlight w:val="none"/>
        </w:rPr>
        <w:t>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3CD296F9">
      <w:pPr>
        <w:pStyle w:val="13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8</w:t>
      </w:r>
      <w:r>
        <w:rPr>
          <w:rFonts w:hint="eastAsia" w:ascii="宋体" w:hAnsi="宋体" w:cs="宋体"/>
          <w:color w:val="auto"/>
          <w:sz w:val="21"/>
          <w:szCs w:val="21"/>
          <w:highlight w:val="none"/>
        </w:rPr>
        <w:t xml:space="preserve">.1电子交易平台发生故障而无法登录访问的； </w:t>
      </w:r>
    </w:p>
    <w:p w14:paraId="75F6A0A7">
      <w:pPr>
        <w:pStyle w:val="13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8</w:t>
      </w:r>
      <w:r>
        <w:rPr>
          <w:rFonts w:hint="eastAsia" w:ascii="宋体" w:hAnsi="宋体" w:cs="宋体"/>
          <w:color w:val="auto"/>
          <w:sz w:val="21"/>
          <w:szCs w:val="21"/>
          <w:highlight w:val="none"/>
        </w:rPr>
        <w:t>.2电子交易平台应用或数据库出现错误，不能进行正常操作的；</w:t>
      </w:r>
    </w:p>
    <w:p w14:paraId="117E0A7A">
      <w:pPr>
        <w:pStyle w:val="13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8</w:t>
      </w:r>
      <w:r>
        <w:rPr>
          <w:rFonts w:hint="eastAsia" w:ascii="宋体" w:hAnsi="宋体" w:cs="宋体"/>
          <w:color w:val="auto"/>
          <w:sz w:val="21"/>
          <w:szCs w:val="21"/>
          <w:highlight w:val="none"/>
        </w:rPr>
        <w:t>.3电子交易平台发现严重安全漏洞，有潜在泄密危险的；</w:t>
      </w:r>
    </w:p>
    <w:p w14:paraId="2B649BB3">
      <w:pPr>
        <w:pStyle w:val="13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8</w:t>
      </w:r>
      <w:r>
        <w:rPr>
          <w:rFonts w:hint="eastAsia" w:ascii="宋体" w:hAnsi="宋体" w:cs="宋体"/>
          <w:color w:val="auto"/>
          <w:sz w:val="21"/>
          <w:szCs w:val="21"/>
          <w:highlight w:val="none"/>
        </w:rPr>
        <w:t xml:space="preserve">.4病毒发作导致不能进行正常操作的； </w:t>
      </w:r>
    </w:p>
    <w:p w14:paraId="4DB5F067">
      <w:pPr>
        <w:pStyle w:val="13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8</w:t>
      </w:r>
      <w:r>
        <w:rPr>
          <w:rFonts w:hint="eastAsia" w:ascii="宋体" w:hAnsi="宋体" w:cs="宋体"/>
          <w:color w:val="auto"/>
          <w:sz w:val="21"/>
          <w:szCs w:val="21"/>
          <w:highlight w:val="none"/>
        </w:rPr>
        <w:t>.5其他无法保证电子交易的公平、公正和安全的情况。</w:t>
      </w:r>
    </w:p>
    <w:p w14:paraId="57D4791B">
      <w:pPr>
        <w:pStyle w:val="13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9</w:t>
      </w:r>
      <w:r>
        <w:rPr>
          <w:rFonts w:hint="eastAsia" w:ascii="宋体" w:hAnsi="宋体" w:cs="宋体"/>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D36EAE9">
      <w:pPr>
        <w:pStyle w:val="5"/>
        <w:ind w:firstLine="422"/>
        <w:rPr>
          <w:rFonts w:hint="eastAsia"/>
          <w:color w:val="auto"/>
          <w:sz w:val="21"/>
          <w:szCs w:val="21"/>
          <w:highlight w:val="none"/>
        </w:rPr>
      </w:pPr>
      <w:r>
        <w:rPr>
          <w:rFonts w:hint="eastAsia"/>
          <w:color w:val="auto"/>
          <w:sz w:val="21"/>
          <w:szCs w:val="21"/>
          <w:highlight w:val="none"/>
        </w:rPr>
        <w:t>九、验收</w:t>
      </w:r>
    </w:p>
    <w:p w14:paraId="0EDEA7EB">
      <w:pPr>
        <w:pStyle w:val="2"/>
        <w:snapToGrid w:val="0"/>
        <w:spacing w:line="360" w:lineRule="auto"/>
        <w:ind w:firstLine="422"/>
        <w:rPr>
          <w:rFonts w:hint="eastAsia" w:cs="宋体"/>
          <w:b/>
          <w:color w:val="auto"/>
          <w:sz w:val="21"/>
          <w:szCs w:val="21"/>
          <w:highlight w:val="none"/>
        </w:rPr>
      </w:pPr>
      <w:r>
        <w:rPr>
          <w:rFonts w:cs="宋体"/>
          <w:b/>
          <w:color w:val="auto"/>
          <w:sz w:val="21"/>
          <w:szCs w:val="21"/>
          <w:highlight w:val="none"/>
        </w:rPr>
        <w:t>30</w:t>
      </w:r>
      <w:r>
        <w:rPr>
          <w:rFonts w:hint="eastAsia" w:cs="宋体"/>
          <w:b/>
          <w:color w:val="auto"/>
          <w:sz w:val="21"/>
          <w:szCs w:val="21"/>
          <w:highlight w:val="none"/>
        </w:rPr>
        <w:t>.验收</w:t>
      </w:r>
    </w:p>
    <w:p w14:paraId="0EDC897D">
      <w:pPr>
        <w:tabs>
          <w:tab w:val="left" w:pos="0"/>
        </w:tabs>
        <w:snapToGrid w:val="0"/>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30</w:t>
      </w:r>
      <w:r>
        <w:rPr>
          <w:rFonts w:hint="eastAsia" w:ascii="宋体" w:hAnsi="宋体" w:cs="宋体"/>
          <w:color w:val="auto"/>
          <w:kern w:val="0"/>
          <w:szCs w:val="21"/>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932CD8">
      <w:pPr>
        <w:tabs>
          <w:tab w:val="left" w:pos="0"/>
        </w:tabs>
        <w:snapToGrid w:val="0"/>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30</w:t>
      </w:r>
      <w:r>
        <w:rPr>
          <w:rFonts w:hint="eastAsia" w:ascii="宋体" w:hAnsi="宋体" w:cs="宋体"/>
          <w:color w:val="auto"/>
          <w:kern w:val="0"/>
          <w:szCs w:val="21"/>
          <w:highlight w:val="none"/>
        </w:rPr>
        <w:t>.2采购人可以邀请参加本项目的其他投标人或者第三方机构参与验收。参与验收的投标人或者第三方机构的意见作为验收书的参考资料一并存档。</w:t>
      </w:r>
    </w:p>
    <w:p w14:paraId="522C294B">
      <w:pPr>
        <w:tabs>
          <w:tab w:val="left" w:pos="0"/>
        </w:tabs>
        <w:snapToGrid w:val="0"/>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30</w:t>
      </w:r>
      <w:r>
        <w:rPr>
          <w:rFonts w:hint="eastAsia" w:ascii="宋体" w:hAnsi="宋体" w:cs="宋体"/>
          <w:color w:val="auto"/>
          <w:kern w:val="0"/>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38FF63">
      <w:pPr>
        <w:tabs>
          <w:tab w:val="left" w:pos="0"/>
        </w:tabs>
        <w:snapToGrid w:val="0"/>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30</w:t>
      </w:r>
      <w:r>
        <w:rPr>
          <w:rFonts w:hint="eastAsia" w:ascii="宋体" w:hAnsi="宋体" w:cs="宋体"/>
          <w:color w:val="auto"/>
          <w:kern w:val="0"/>
          <w:szCs w:val="21"/>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CAA23F9">
      <w:pPr>
        <w:tabs>
          <w:tab w:val="left" w:pos="0"/>
        </w:tabs>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632EB56">
      <w:pPr>
        <w:pStyle w:val="80"/>
        <w:rPr>
          <w:rFonts w:hint="eastAsia"/>
          <w:color w:val="auto"/>
          <w:highlight w:val="none"/>
        </w:rPr>
      </w:pPr>
    </w:p>
    <w:bookmarkEnd w:id="14"/>
    <w:bookmarkEnd w:id="15"/>
    <w:bookmarkEnd w:id="18"/>
    <w:p w14:paraId="4A7B37F4">
      <w:pPr>
        <w:widowControl/>
        <w:adjustRightInd/>
        <w:jc w:val="left"/>
        <w:rPr>
          <w:rFonts w:hint="eastAsia" w:ascii="宋体" w:hAnsi="宋体" w:cs="宋体"/>
          <w:b/>
          <w:color w:val="auto"/>
          <w:sz w:val="36"/>
          <w:szCs w:val="36"/>
          <w:highlight w:val="none"/>
        </w:rPr>
      </w:pPr>
      <w:bookmarkStart w:id="19" w:name="_Hlt68072998"/>
      <w:bookmarkEnd w:id="19"/>
      <w:bookmarkStart w:id="20" w:name="_Hlt68403820"/>
      <w:bookmarkEnd w:id="20"/>
      <w:bookmarkStart w:id="21" w:name="_Hlt74714665"/>
      <w:bookmarkEnd w:id="21"/>
      <w:bookmarkStart w:id="22" w:name="_Hlt75236011"/>
      <w:bookmarkEnd w:id="22"/>
      <w:bookmarkStart w:id="23" w:name="_Hlt68073093"/>
      <w:bookmarkEnd w:id="23"/>
      <w:bookmarkStart w:id="24" w:name="_Hlt75236290"/>
      <w:bookmarkEnd w:id="24"/>
      <w:bookmarkStart w:id="25" w:name="_Hlt75236101"/>
      <w:bookmarkEnd w:id="25"/>
      <w:bookmarkStart w:id="26" w:name="_Hlt74707468"/>
      <w:bookmarkEnd w:id="26"/>
      <w:bookmarkStart w:id="27" w:name="_Hlt74729768"/>
      <w:bookmarkEnd w:id="27"/>
      <w:bookmarkStart w:id="28" w:name="_Hlt68057669"/>
      <w:bookmarkEnd w:id="28"/>
      <w:bookmarkStart w:id="29" w:name="_Hlt74730295"/>
      <w:bookmarkEnd w:id="29"/>
      <w:bookmarkStart w:id="30" w:name="_Hlt68072990"/>
      <w:bookmarkEnd w:id="30"/>
      <w:bookmarkStart w:id="31" w:name="第四部分"/>
      <w:r>
        <w:rPr>
          <w:rFonts w:ascii="宋体" w:hAnsi="宋体" w:cs="宋体"/>
          <w:b/>
          <w:color w:val="auto"/>
          <w:sz w:val="36"/>
          <w:szCs w:val="36"/>
          <w:highlight w:val="none"/>
        </w:rPr>
        <w:br w:type="page"/>
      </w:r>
    </w:p>
    <w:p w14:paraId="741E7330">
      <w:pPr>
        <w:numPr>
          <w:ilvl w:val="0"/>
          <w:numId w:val="2"/>
        </w:numPr>
        <w:adjustRightInd/>
        <w:spacing w:line="360" w:lineRule="auto"/>
        <w:jc w:val="center"/>
        <w:outlineLvl w:val="0"/>
        <w:rPr>
          <w:rStyle w:val="283"/>
          <w:color w:val="auto"/>
          <w:highlight w:val="none"/>
        </w:rPr>
      </w:pPr>
      <w:bookmarkStart w:id="32" w:name="_Toc26067"/>
      <w:r>
        <w:rPr>
          <w:rStyle w:val="283"/>
          <w:rFonts w:hint="eastAsia"/>
          <w:color w:val="auto"/>
          <w:highlight w:val="none"/>
        </w:rPr>
        <w:t xml:space="preserve">  采购需求</w:t>
      </w:r>
      <w:bookmarkEnd w:id="32"/>
    </w:p>
    <w:p w14:paraId="4F35F9B0">
      <w:pPr>
        <w:keepNext/>
        <w:keepLines/>
        <w:numPr>
          <w:ilvl w:val="0"/>
          <w:numId w:val="3"/>
        </w:numPr>
        <w:adjustRightInd/>
        <w:spacing w:line="360" w:lineRule="auto"/>
        <w:jc w:val="left"/>
        <w:outlineLvl w:val="1"/>
        <w:rPr>
          <w:rFonts w:hint="eastAsia" w:ascii="仿宋_GB2312" w:hAnsi="仿宋_GB2312"/>
          <w:b/>
          <w:bCs/>
          <w:color w:val="auto"/>
          <w:szCs w:val="21"/>
          <w:highlight w:val="none"/>
        </w:rPr>
      </w:pPr>
      <w:bookmarkStart w:id="33" w:name="_Toc30857"/>
      <w:bookmarkStart w:id="34" w:name="_Toc27923"/>
      <w:bookmarkStart w:id="35" w:name="_Toc418846105"/>
      <w:bookmarkStart w:id="36" w:name="_Toc22609"/>
      <w:bookmarkStart w:id="37" w:name="_Toc28332"/>
      <w:r>
        <w:rPr>
          <w:rFonts w:hint="eastAsia" w:ascii="仿宋_GB2312" w:hAnsi="仿宋_GB2312"/>
          <w:b/>
          <w:bCs/>
          <w:color w:val="auto"/>
          <w:szCs w:val="21"/>
          <w:highlight w:val="none"/>
        </w:rPr>
        <w:t>项目</w:t>
      </w:r>
      <w:bookmarkEnd w:id="33"/>
      <w:bookmarkEnd w:id="34"/>
      <w:bookmarkEnd w:id="35"/>
      <w:bookmarkEnd w:id="36"/>
      <w:bookmarkEnd w:id="37"/>
      <w:r>
        <w:rPr>
          <w:rFonts w:hint="eastAsia" w:ascii="仿宋_GB2312" w:hAnsi="仿宋_GB2312"/>
          <w:b/>
          <w:bCs/>
          <w:color w:val="auto"/>
          <w:szCs w:val="21"/>
          <w:highlight w:val="none"/>
        </w:rPr>
        <w:t>背景</w:t>
      </w:r>
    </w:p>
    <w:p w14:paraId="64B8BB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杭州市上城区‌同协路属于上城区笕桥街道。同协路北起临丁路，南抵德胜路，全长约5.8千米，为双向六车道，设计时速为60公里每小时，是城市主干道，同协路污染严重路段北起石祥路，南抵德胜路，全长约3.5千米双向</w:t>
      </w:r>
      <w:r>
        <w:rPr>
          <w:rFonts w:hint="eastAsia" w:ascii="宋体" w:hAnsi="宋体" w:cs="宋体"/>
          <w:color w:val="auto"/>
          <w:szCs w:val="21"/>
          <w:highlight w:val="none"/>
          <w:lang w:val="en-US" w:eastAsia="zh-CN"/>
        </w:rPr>
        <w:t>十</w:t>
      </w:r>
      <w:r>
        <w:rPr>
          <w:rFonts w:hint="eastAsia" w:ascii="宋体" w:hAnsi="宋体" w:cs="宋体"/>
          <w:color w:val="auto"/>
          <w:szCs w:val="21"/>
          <w:highlight w:val="none"/>
        </w:rPr>
        <w:t>车道。由于同协路石祥路段至德胜路段，路网相对其他两段稀疏，车辆对同协路的依赖度更高，通行车辆更多，且有相对多的在建工程亟待开发用地，并伴有铁路通过，增加了扬尘的概率，导致该路段空气环境长期严重污染。</w:t>
      </w:r>
    </w:p>
    <w:p w14:paraId="1DFE83FB">
      <w:pPr>
        <w:spacing w:line="360" w:lineRule="auto"/>
        <w:ind w:firstLine="420" w:firstLineChars="200"/>
        <w:rPr>
          <w:color w:val="auto"/>
          <w:highlight w:val="none"/>
        </w:rPr>
      </w:pPr>
      <w:r>
        <w:rPr>
          <w:rFonts w:hint="eastAsia" w:ascii="宋体" w:hAnsi="宋体" w:cs="宋体"/>
          <w:color w:val="auto"/>
          <w:szCs w:val="21"/>
          <w:highlight w:val="none"/>
        </w:rPr>
        <w:t>故本项目旨在针对同协路进行扬尘治理，以减少项目实施活动对周边环境的影响，提升空气质量，保障居民健康。</w:t>
      </w:r>
    </w:p>
    <w:p w14:paraId="481A0388">
      <w:pPr>
        <w:keepNext/>
        <w:keepLines/>
        <w:numPr>
          <w:ilvl w:val="0"/>
          <w:numId w:val="3"/>
        </w:numPr>
        <w:adjustRightInd/>
        <w:spacing w:line="360" w:lineRule="auto"/>
        <w:jc w:val="left"/>
        <w:outlineLvl w:val="1"/>
        <w:rPr>
          <w:rFonts w:hint="eastAsia" w:ascii="仿宋_GB2312" w:hAnsi="仿宋_GB2312"/>
          <w:b/>
          <w:bCs/>
          <w:color w:val="auto"/>
          <w:szCs w:val="21"/>
          <w:highlight w:val="none"/>
        </w:rPr>
      </w:pPr>
      <w:bookmarkStart w:id="38" w:name="_Toc24879"/>
      <w:r>
        <w:rPr>
          <w:rFonts w:hint="eastAsia" w:ascii="仿宋_GB2312" w:hAnsi="仿宋_GB2312"/>
          <w:b/>
          <w:bCs/>
          <w:color w:val="auto"/>
          <w:szCs w:val="21"/>
          <w:highlight w:val="none"/>
        </w:rPr>
        <w:t>采购内容</w:t>
      </w:r>
      <w:bookmarkEnd w:id="38"/>
    </w:p>
    <w:p w14:paraId="29065F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环境空气自动监测系统建设内容为安装4套配备气象、PM2.5、PM10等传感器的扬尘在线监测设备，实时监控该道路网格范围内的空气质量；喷雾降尘设备建设内容包括安装22套喷淋系统、3000米管路铺设和3000米开挖修复。此外还包含项目建成后1年的运维保障。</w:t>
      </w:r>
    </w:p>
    <w:p w14:paraId="749C14E4">
      <w:pPr>
        <w:spacing w:line="360" w:lineRule="auto"/>
        <w:ind w:firstLine="420" w:firstLineChars="200"/>
        <w:rPr>
          <w:color w:val="auto"/>
          <w:highlight w:val="none"/>
        </w:rPr>
      </w:pPr>
      <w:r>
        <w:rPr>
          <w:rFonts w:hint="eastAsia"/>
          <w:color w:val="auto"/>
          <w:highlight w:val="none"/>
        </w:rPr>
        <w:t>3000米道路喷雾降尘设备和扬尘在线监测设备布点要求：</w:t>
      </w:r>
    </w:p>
    <w:p w14:paraId="22DA5555">
      <w:pPr>
        <w:spacing w:line="360" w:lineRule="auto"/>
        <w:ind w:firstLine="420" w:firstLineChars="200"/>
        <w:rPr>
          <w:color w:val="auto"/>
          <w:highlight w:val="none"/>
        </w:rPr>
      </w:pPr>
      <w:r>
        <w:rPr>
          <w:rFonts w:hint="eastAsia"/>
          <w:color w:val="auto"/>
          <w:highlight w:val="none"/>
          <w:lang w:val="en-US" w:eastAsia="zh-CN"/>
        </w:rPr>
        <w:t>1.</w:t>
      </w:r>
      <w:r>
        <w:rPr>
          <w:rFonts w:hint="eastAsia"/>
          <w:color w:val="auto"/>
          <w:highlight w:val="none"/>
        </w:rPr>
        <w:t>喷淋设备：同协路3000米路段</w:t>
      </w:r>
      <w:r>
        <w:rPr>
          <w:rFonts w:hint="eastAsia" w:ascii="宋体" w:hAnsi="宋体" w:cs="宋体"/>
          <w:color w:val="auto"/>
          <w:szCs w:val="21"/>
          <w:highlight w:val="none"/>
        </w:rPr>
        <w:t>双向10车道和3条绿化带</w:t>
      </w:r>
      <w:r>
        <w:rPr>
          <w:rFonts w:hint="eastAsia"/>
          <w:color w:val="auto"/>
          <w:highlight w:val="none"/>
        </w:rPr>
        <w:t>两侧侧石边铺设50mm喷淋管管道，向3条绿化带两侧共计6条车道布设矮喷喷淋设备进行降尘工作。喷淋点间距为2-3米。</w:t>
      </w:r>
    </w:p>
    <w:p w14:paraId="2D0863F0">
      <w:pPr>
        <w:spacing w:line="360" w:lineRule="auto"/>
        <w:ind w:firstLine="420" w:firstLineChars="200"/>
        <w:rPr>
          <w:color w:val="auto"/>
          <w:highlight w:val="none"/>
        </w:rPr>
      </w:pPr>
      <w:r>
        <w:rPr>
          <w:rFonts w:hint="eastAsia"/>
          <w:color w:val="auto"/>
          <w:highlight w:val="none"/>
          <w:lang w:val="en-US" w:eastAsia="zh-CN"/>
        </w:rPr>
        <w:t>2.</w:t>
      </w:r>
      <w:r>
        <w:rPr>
          <w:rFonts w:hint="eastAsia"/>
          <w:color w:val="auto"/>
          <w:highlight w:val="none"/>
        </w:rPr>
        <w:t>扬尘在线监测设备：扬尘监测设备安装在道路中央绿化带</w:t>
      </w:r>
      <w:r>
        <w:rPr>
          <w:rFonts w:hint="eastAsia"/>
          <w:color w:val="auto"/>
          <w:highlight w:val="none"/>
          <w:lang w:val="en-US" w:eastAsia="zh-CN"/>
        </w:rPr>
        <w:t>高杆</w:t>
      </w:r>
      <w:r>
        <w:rPr>
          <w:rFonts w:hint="eastAsia"/>
          <w:color w:val="auto"/>
          <w:highlight w:val="none"/>
        </w:rPr>
        <w:t>处。</w:t>
      </w:r>
    </w:p>
    <w:p w14:paraId="35EEC1A9">
      <w:pPr>
        <w:keepNext/>
        <w:keepLines/>
        <w:numPr>
          <w:ilvl w:val="0"/>
          <w:numId w:val="3"/>
        </w:numPr>
        <w:adjustRightInd/>
        <w:spacing w:line="360" w:lineRule="auto"/>
        <w:jc w:val="left"/>
        <w:outlineLvl w:val="1"/>
        <w:rPr>
          <w:rFonts w:hint="eastAsia" w:ascii="仿宋_GB2312" w:hAnsi="仿宋_GB2312"/>
          <w:b/>
          <w:bCs/>
          <w:color w:val="auto"/>
          <w:szCs w:val="21"/>
          <w:highlight w:val="none"/>
        </w:rPr>
      </w:pPr>
      <w:r>
        <w:rPr>
          <w:rFonts w:hint="eastAsia" w:ascii="仿宋_GB2312" w:hAnsi="仿宋_GB2312"/>
          <w:b/>
          <w:bCs/>
          <w:color w:val="auto"/>
          <w:szCs w:val="21"/>
          <w:highlight w:val="none"/>
        </w:rPr>
        <w:t>采购清单</w:t>
      </w:r>
    </w:p>
    <w:p w14:paraId="23883136">
      <w:pPr>
        <w:numPr>
          <w:ilvl w:val="0"/>
          <w:numId w:val="4"/>
        </w:numPr>
        <w:tabs>
          <w:tab w:val="left" w:pos="0"/>
        </w:tabs>
        <w:snapToGrid w:val="0"/>
        <w:spacing w:line="360" w:lineRule="auto"/>
        <w:ind w:firstLine="422" w:firstLineChars="200"/>
        <w:outlineLvl w:val="2"/>
        <w:rPr>
          <w:rFonts w:hint="eastAsia" w:ascii="宋体" w:hAnsi="宋体" w:cs="宋体"/>
          <w:b/>
          <w:bCs/>
          <w:color w:val="auto"/>
          <w:szCs w:val="21"/>
          <w:highlight w:val="none"/>
        </w:rPr>
      </w:pPr>
      <w:r>
        <w:rPr>
          <w:rFonts w:hint="eastAsia" w:ascii="宋体" w:hAnsi="宋体" w:cs="宋体"/>
          <w:b/>
          <w:bCs/>
          <w:color w:val="auto"/>
          <w:szCs w:val="21"/>
          <w:highlight w:val="none"/>
        </w:rPr>
        <w:t>设备清单（标的物）</w:t>
      </w:r>
    </w:p>
    <w:tbl>
      <w:tblPr>
        <w:tblStyle w:val="62"/>
        <w:tblW w:w="8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782"/>
        <w:gridCol w:w="2765"/>
        <w:gridCol w:w="1148"/>
        <w:gridCol w:w="997"/>
      </w:tblGrid>
      <w:tr w14:paraId="2C8C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793" w:type="dxa"/>
            <w:vAlign w:val="center"/>
          </w:tcPr>
          <w:p w14:paraId="3AD49CA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782" w:type="dxa"/>
            <w:vAlign w:val="center"/>
          </w:tcPr>
          <w:p w14:paraId="098AFA8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标的物</w:t>
            </w:r>
          </w:p>
        </w:tc>
        <w:tc>
          <w:tcPr>
            <w:tcW w:w="2765" w:type="dxa"/>
            <w:vAlign w:val="center"/>
          </w:tcPr>
          <w:p w14:paraId="33B8EB0D">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设备名称</w:t>
            </w:r>
          </w:p>
        </w:tc>
        <w:tc>
          <w:tcPr>
            <w:tcW w:w="1148" w:type="dxa"/>
            <w:vAlign w:val="center"/>
          </w:tcPr>
          <w:p w14:paraId="581E107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997" w:type="dxa"/>
            <w:shd w:val="clear" w:color="auto" w:fill="auto"/>
            <w:vAlign w:val="center"/>
          </w:tcPr>
          <w:p w14:paraId="146973C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r>
      <w:tr w14:paraId="6F78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3" w:type="dxa"/>
            <w:vAlign w:val="center"/>
          </w:tcPr>
          <w:p w14:paraId="1E932C0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782" w:type="dxa"/>
            <w:vAlign w:val="center"/>
          </w:tcPr>
          <w:p w14:paraId="0F0C43B0">
            <w:pPr>
              <w:spacing w:line="360" w:lineRule="auto"/>
              <w:jc w:val="center"/>
              <w:rPr>
                <w:rFonts w:hint="eastAsia" w:ascii="宋体" w:hAnsi="宋体" w:cs="宋体"/>
                <w:color w:val="auto"/>
                <w:szCs w:val="21"/>
                <w:highlight w:val="none"/>
              </w:rPr>
            </w:pPr>
            <w:r>
              <w:rPr>
                <w:rFonts w:hint="eastAsia"/>
                <w:color w:val="auto"/>
                <w:highlight w:val="none"/>
              </w:rPr>
              <w:t>扬尘在线监测设备</w:t>
            </w:r>
          </w:p>
        </w:tc>
        <w:tc>
          <w:tcPr>
            <w:tcW w:w="2765" w:type="dxa"/>
            <w:vAlign w:val="center"/>
          </w:tcPr>
          <w:p w14:paraId="648D6D2F">
            <w:pPr>
              <w:spacing w:line="360" w:lineRule="auto"/>
              <w:ind w:firstLine="420" w:firstLineChars="200"/>
              <w:jc w:val="center"/>
              <w:rPr>
                <w:rFonts w:hint="eastAsia" w:ascii="宋体" w:hAnsi="宋体" w:cs="宋体"/>
                <w:color w:val="auto"/>
                <w:szCs w:val="21"/>
                <w:highlight w:val="none"/>
              </w:rPr>
            </w:pPr>
            <w:r>
              <w:rPr>
                <w:rFonts w:hint="eastAsia"/>
                <w:color w:val="auto"/>
                <w:highlight w:val="none"/>
              </w:rPr>
              <w:t>扬尘在线监测设备</w:t>
            </w:r>
          </w:p>
        </w:tc>
        <w:tc>
          <w:tcPr>
            <w:tcW w:w="1148" w:type="dxa"/>
            <w:vAlign w:val="center"/>
          </w:tcPr>
          <w:p w14:paraId="20A29166">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997" w:type="dxa"/>
            <w:shd w:val="clear" w:color="auto" w:fill="auto"/>
            <w:vAlign w:val="center"/>
          </w:tcPr>
          <w:p w14:paraId="17B0AA0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套</w:t>
            </w:r>
          </w:p>
        </w:tc>
      </w:tr>
      <w:tr w14:paraId="6C9F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93" w:type="dxa"/>
            <w:vAlign w:val="center"/>
          </w:tcPr>
          <w:p w14:paraId="0517F5E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782" w:type="dxa"/>
            <w:vAlign w:val="center"/>
          </w:tcPr>
          <w:p w14:paraId="0340FCAE">
            <w:pPr>
              <w:spacing w:line="360" w:lineRule="auto"/>
              <w:jc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喷雾降尘设备</w:t>
            </w:r>
          </w:p>
        </w:tc>
        <w:tc>
          <w:tcPr>
            <w:tcW w:w="2765" w:type="dxa"/>
            <w:vAlign w:val="center"/>
          </w:tcPr>
          <w:p w14:paraId="6F2A524F">
            <w:pPr>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喷淋设备</w:t>
            </w:r>
          </w:p>
        </w:tc>
        <w:tc>
          <w:tcPr>
            <w:tcW w:w="1148" w:type="dxa"/>
            <w:vAlign w:val="center"/>
          </w:tcPr>
          <w:p w14:paraId="45A49C42">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997" w:type="dxa"/>
            <w:shd w:val="clear" w:color="auto" w:fill="auto"/>
            <w:vAlign w:val="center"/>
          </w:tcPr>
          <w:p w14:paraId="570B6E9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套</w:t>
            </w:r>
          </w:p>
        </w:tc>
      </w:tr>
    </w:tbl>
    <w:p w14:paraId="347367FA">
      <w:pPr>
        <w:numPr>
          <w:ilvl w:val="0"/>
          <w:numId w:val="5"/>
        </w:numPr>
        <w:tabs>
          <w:tab w:val="left" w:pos="0"/>
        </w:tabs>
        <w:snapToGrid w:val="0"/>
        <w:ind w:firstLine="422" w:firstLineChars="200"/>
        <w:outlineLvl w:val="2"/>
        <w:rPr>
          <w:rFonts w:hint="eastAsia" w:ascii="宋体" w:hAnsi="宋体" w:cs="宋体"/>
          <w:b/>
          <w:bCs/>
          <w:color w:val="auto"/>
          <w:szCs w:val="21"/>
          <w:highlight w:val="none"/>
        </w:rPr>
      </w:pPr>
      <w:r>
        <w:rPr>
          <w:rFonts w:hint="eastAsia" w:ascii="宋体" w:hAnsi="宋体" w:cs="宋体"/>
          <w:b/>
          <w:bCs/>
          <w:color w:val="auto"/>
          <w:szCs w:val="21"/>
          <w:highlight w:val="none"/>
        </w:rPr>
        <w:t>配套服务</w:t>
      </w:r>
    </w:p>
    <w:tbl>
      <w:tblPr>
        <w:tblStyle w:val="62"/>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5509"/>
        <w:gridCol w:w="1160"/>
        <w:gridCol w:w="976"/>
      </w:tblGrid>
      <w:tr w14:paraId="2F93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8" w:type="dxa"/>
            <w:vAlign w:val="center"/>
          </w:tcPr>
          <w:p w14:paraId="4A68A1B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5509" w:type="dxa"/>
            <w:vAlign w:val="center"/>
          </w:tcPr>
          <w:p w14:paraId="2B1180D1">
            <w:pPr>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c>
          <w:tcPr>
            <w:tcW w:w="1160" w:type="dxa"/>
          </w:tcPr>
          <w:p w14:paraId="59878B65">
            <w:pPr>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976" w:type="dxa"/>
            <w:vAlign w:val="center"/>
          </w:tcPr>
          <w:p w14:paraId="3FFB87B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r>
      <w:tr w14:paraId="2B9E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88" w:type="dxa"/>
            <w:shd w:val="clear" w:color="auto" w:fill="auto"/>
            <w:vAlign w:val="center"/>
          </w:tcPr>
          <w:p w14:paraId="45C95ED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509" w:type="dxa"/>
            <w:shd w:val="clear" w:color="auto" w:fill="auto"/>
            <w:vAlign w:val="center"/>
          </w:tcPr>
          <w:p w14:paraId="5947F64E">
            <w:pPr>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双向10车道和3条绿化带管路铺设（含主电源电缆及主水管等）服务</w:t>
            </w:r>
          </w:p>
        </w:tc>
        <w:tc>
          <w:tcPr>
            <w:tcW w:w="1160" w:type="dxa"/>
            <w:shd w:val="clear" w:color="auto" w:fill="auto"/>
            <w:vAlign w:val="center"/>
          </w:tcPr>
          <w:p w14:paraId="38C101E0">
            <w:pPr>
              <w:jc w:val="center"/>
              <w:rPr>
                <w:rFonts w:hint="eastAsia" w:ascii="宋体" w:hAnsi="宋体" w:cs="宋体"/>
                <w:color w:val="auto"/>
                <w:szCs w:val="21"/>
                <w:highlight w:val="none"/>
              </w:rPr>
            </w:pPr>
            <w:r>
              <w:rPr>
                <w:rFonts w:hint="eastAsia" w:ascii="宋体" w:hAnsi="宋体" w:cs="宋体"/>
                <w:color w:val="auto"/>
                <w:szCs w:val="21"/>
                <w:highlight w:val="none"/>
              </w:rPr>
              <w:t>3000</w:t>
            </w:r>
          </w:p>
        </w:tc>
        <w:tc>
          <w:tcPr>
            <w:tcW w:w="976" w:type="dxa"/>
            <w:shd w:val="clear" w:color="auto" w:fill="auto"/>
            <w:vAlign w:val="center"/>
          </w:tcPr>
          <w:p w14:paraId="5F71CBA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米</w:t>
            </w:r>
          </w:p>
        </w:tc>
      </w:tr>
      <w:tr w14:paraId="66E9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8" w:type="dxa"/>
            <w:shd w:val="clear" w:color="auto" w:fill="auto"/>
            <w:vAlign w:val="center"/>
          </w:tcPr>
          <w:p w14:paraId="0BAB620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509" w:type="dxa"/>
            <w:vAlign w:val="center"/>
          </w:tcPr>
          <w:p w14:paraId="48DC8600">
            <w:pPr>
              <w:spacing w:line="360" w:lineRule="auto"/>
              <w:ind w:firstLine="525" w:firstLineChars="250"/>
              <w:jc w:val="center"/>
              <w:rPr>
                <w:rFonts w:hint="eastAsia" w:ascii="宋体" w:hAnsi="宋体" w:cs="宋体"/>
                <w:color w:val="auto"/>
                <w:szCs w:val="21"/>
                <w:highlight w:val="none"/>
              </w:rPr>
            </w:pPr>
            <w:r>
              <w:rPr>
                <w:rFonts w:hint="eastAsia" w:ascii="宋体" w:hAnsi="宋体" w:cs="宋体"/>
                <w:color w:val="auto"/>
                <w:szCs w:val="21"/>
                <w:highlight w:val="none"/>
              </w:rPr>
              <w:t>双向10车道和3条绿化带开挖修复服务</w:t>
            </w:r>
          </w:p>
        </w:tc>
        <w:tc>
          <w:tcPr>
            <w:tcW w:w="1160" w:type="dxa"/>
            <w:vAlign w:val="center"/>
          </w:tcPr>
          <w:p w14:paraId="4F0D9793">
            <w:pPr>
              <w:jc w:val="center"/>
              <w:rPr>
                <w:rFonts w:hint="eastAsia" w:ascii="宋体" w:hAnsi="宋体" w:cs="宋体"/>
                <w:color w:val="auto"/>
                <w:szCs w:val="21"/>
                <w:highlight w:val="none"/>
              </w:rPr>
            </w:pPr>
            <w:r>
              <w:rPr>
                <w:rFonts w:hint="eastAsia" w:ascii="宋体" w:hAnsi="宋体" w:cs="宋体"/>
                <w:color w:val="auto"/>
                <w:szCs w:val="21"/>
                <w:highlight w:val="none"/>
              </w:rPr>
              <w:t>3000</w:t>
            </w:r>
          </w:p>
        </w:tc>
        <w:tc>
          <w:tcPr>
            <w:tcW w:w="976" w:type="dxa"/>
            <w:vAlign w:val="center"/>
          </w:tcPr>
          <w:p w14:paraId="577CB99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米</w:t>
            </w:r>
          </w:p>
        </w:tc>
      </w:tr>
      <w:tr w14:paraId="7053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88" w:type="dxa"/>
            <w:vAlign w:val="center"/>
          </w:tcPr>
          <w:p w14:paraId="325FA56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509" w:type="dxa"/>
            <w:vAlign w:val="center"/>
          </w:tcPr>
          <w:p w14:paraId="1A5861B8">
            <w:pPr>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运维服务</w:t>
            </w:r>
          </w:p>
        </w:tc>
        <w:tc>
          <w:tcPr>
            <w:tcW w:w="1160" w:type="dxa"/>
            <w:vAlign w:val="center"/>
          </w:tcPr>
          <w:p w14:paraId="4BA97D66">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76" w:type="dxa"/>
            <w:vAlign w:val="center"/>
          </w:tcPr>
          <w:p w14:paraId="403C9CAE">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年</w:t>
            </w:r>
          </w:p>
        </w:tc>
      </w:tr>
      <w:tr w14:paraId="02D4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88" w:type="dxa"/>
            <w:vAlign w:val="center"/>
          </w:tcPr>
          <w:p w14:paraId="4F1E1C2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5509" w:type="dxa"/>
            <w:vAlign w:val="center"/>
          </w:tcPr>
          <w:p w14:paraId="512C0C91">
            <w:pPr>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扬尘治理设备、空气监测设备选点服务</w:t>
            </w:r>
          </w:p>
        </w:tc>
        <w:tc>
          <w:tcPr>
            <w:tcW w:w="1160" w:type="dxa"/>
            <w:vAlign w:val="center"/>
          </w:tcPr>
          <w:p w14:paraId="21EAFA2F">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76" w:type="dxa"/>
            <w:vAlign w:val="center"/>
          </w:tcPr>
          <w:p w14:paraId="4E8C98F1">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19C5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88" w:type="dxa"/>
            <w:vAlign w:val="center"/>
          </w:tcPr>
          <w:p w14:paraId="21EB785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5509" w:type="dxa"/>
            <w:vAlign w:val="center"/>
          </w:tcPr>
          <w:p w14:paraId="61744D11">
            <w:pPr>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其他配套服务（含设备施工安装等服务）</w:t>
            </w:r>
          </w:p>
        </w:tc>
        <w:tc>
          <w:tcPr>
            <w:tcW w:w="1160" w:type="dxa"/>
            <w:vAlign w:val="center"/>
          </w:tcPr>
          <w:p w14:paraId="45BD5D24">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76" w:type="dxa"/>
            <w:vAlign w:val="center"/>
          </w:tcPr>
          <w:p w14:paraId="0CAB115D">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bl>
    <w:p w14:paraId="52F3619C">
      <w:pPr>
        <w:pStyle w:val="25"/>
        <w:snapToGrid w:val="0"/>
        <w:ind w:firstLine="420" w:firstLineChars="200"/>
        <w:rPr>
          <w:rFonts w:hint="eastAsia" w:hAnsi="宋体" w:cs="宋体"/>
          <w:color w:val="auto"/>
          <w:sz w:val="21"/>
          <w:highlight w:val="none"/>
          <w:lang w:val="en-US"/>
        </w:rPr>
      </w:pPr>
      <w:r>
        <w:rPr>
          <w:rFonts w:hint="eastAsia" w:hAnsi="宋体" w:cs="宋体"/>
          <w:color w:val="auto"/>
          <w:sz w:val="21"/>
          <w:highlight w:val="none"/>
          <w:lang w:val="en-US"/>
        </w:rPr>
        <w:t>说明：</w:t>
      </w:r>
    </w:p>
    <w:p w14:paraId="5DF474BD">
      <w:pPr>
        <w:pStyle w:val="25"/>
        <w:snapToGrid w:val="0"/>
        <w:ind w:firstLine="420" w:firstLineChars="200"/>
        <w:rPr>
          <w:rFonts w:hint="eastAsia" w:hAnsi="宋体" w:cs="宋体"/>
          <w:color w:val="auto"/>
          <w:sz w:val="21"/>
          <w:highlight w:val="none"/>
        </w:rPr>
      </w:pPr>
      <w:r>
        <w:rPr>
          <w:rFonts w:hint="eastAsia" w:hAnsi="宋体" w:cs="宋体"/>
          <w:color w:val="auto"/>
          <w:sz w:val="21"/>
          <w:highlight w:val="none"/>
          <w:lang w:val="en-US"/>
        </w:rPr>
        <w:t>1.</w:t>
      </w:r>
      <w:r>
        <w:rPr>
          <w:rFonts w:hint="eastAsia" w:hAnsi="宋体" w:cs="宋体"/>
          <w:color w:val="auto"/>
          <w:sz w:val="21"/>
          <w:highlight w:val="none"/>
        </w:rPr>
        <w:t>投标人提供的产品应满足本项目的需求，如提供的产品实际情况与投标文件中所承诺产品不符合，可视为虚假应标及欺诈行为，并追究相应责任。</w:t>
      </w:r>
    </w:p>
    <w:p w14:paraId="062F530D">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hAnsi="宋体" w:cs="宋体"/>
          <w:color w:val="auto"/>
          <w:highlight w:val="none"/>
        </w:rPr>
        <w:t xml:space="preserve">. </w:t>
      </w:r>
      <w:r>
        <w:rPr>
          <w:rFonts w:hint="eastAsia" w:ascii="宋体" w:hAnsi="宋体" w:cs="宋体"/>
          <w:color w:val="auto"/>
          <w:szCs w:val="21"/>
          <w:highlight w:val="none"/>
        </w:rPr>
        <w:t>本项目核心产品为</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喷雾降尘设备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若出现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91CBC6">
      <w:pPr>
        <w:snapToGrid w:val="0"/>
        <w:spacing w:line="360" w:lineRule="auto"/>
        <w:ind w:firstLine="420" w:firstLineChars="200"/>
        <w:rPr>
          <w:rFonts w:hint="eastAsia" w:ascii="宋体" w:hAnsi="宋体" w:cs="宋体"/>
          <w:bCs/>
          <w:color w:val="auto"/>
          <w:szCs w:val="21"/>
          <w:highlight w:val="none"/>
        </w:rPr>
      </w:pPr>
      <w:bookmarkStart w:id="39" w:name="_Toc27394"/>
      <w:r>
        <w:rPr>
          <w:rFonts w:hint="eastAsia" w:ascii="Calibri" w:hAnsi="Calibri" w:cs="Calibri"/>
          <w:bCs/>
          <w:color w:val="auto"/>
          <w:szCs w:val="21"/>
          <w:highlight w:val="none"/>
        </w:rPr>
        <w:t>3</w:t>
      </w:r>
      <w:r>
        <w:rPr>
          <w:rFonts w:hint="eastAsia" w:hAnsi="宋体" w:cs="宋体"/>
          <w:color w:val="auto"/>
          <w:highlight w:val="none"/>
        </w:rPr>
        <w:t xml:space="preserve">. </w:t>
      </w:r>
      <w:r>
        <w:rPr>
          <w:rFonts w:hint="eastAsia" w:ascii="宋体" w:hAnsi="宋体" w:cs="宋体"/>
          <w:bCs/>
          <w:color w:val="auto"/>
          <w:szCs w:val="21"/>
          <w:highlight w:val="none"/>
        </w:rPr>
        <w:t>本项目所有产品不得采用进口产品投标。</w:t>
      </w:r>
    </w:p>
    <w:p w14:paraId="544351A8">
      <w:pPr>
        <w:snapToGrid w:val="0"/>
        <w:spacing w:line="360" w:lineRule="auto"/>
        <w:ind w:firstLine="422" w:firstLineChars="200"/>
        <w:rPr>
          <w:rFonts w:ascii="Calibri" w:hAnsi="Calibri" w:cs="Calibri"/>
          <w:b/>
          <w:color w:val="auto"/>
          <w:szCs w:val="21"/>
          <w:highlight w:val="none"/>
        </w:rPr>
      </w:pPr>
      <w:r>
        <w:rPr>
          <w:rFonts w:hint="eastAsia" w:ascii="Calibri" w:hAnsi="Calibri" w:cs="Calibri"/>
          <w:b/>
          <w:color w:val="auto"/>
          <w:szCs w:val="21"/>
          <w:highlight w:val="none"/>
        </w:rPr>
        <w:t>4</w:t>
      </w:r>
      <w:r>
        <w:rPr>
          <w:rFonts w:hint="eastAsia" w:hAnsi="宋体" w:cs="宋体"/>
          <w:color w:val="auto"/>
          <w:highlight w:val="none"/>
        </w:rPr>
        <w:t xml:space="preserve">. </w:t>
      </w:r>
      <w:r>
        <w:rPr>
          <w:rFonts w:hint="eastAsia" w:ascii="Calibri" w:hAnsi="Calibri" w:cs="Calibri"/>
          <w:b/>
          <w:color w:val="auto"/>
          <w:szCs w:val="21"/>
          <w:highlight w:val="none"/>
        </w:rPr>
        <w:t>本章中所有带▲ 的内容是采购人提出的实质性要求，投标文件响应内容若不满足实质性要求，该投标文件将被评标委员会认定为无效。本章中所有带★的内容的是采购人提出的关键条款，投标人需按招标文件要求提供相应佐证材料，若未提供视为负偏离。</w:t>
      </w:r>
    </w:p>
    <w:p w14:paraId="35A074FF">
      <w:pPr>
        <w:keepNext/>
        <w:keepLines/>
        <w:numPr>
          <w:ilvl w:val="0"/>
          <w:numId w:val="3"/>
        </w:numPr>
        <w:adjustRightInd/>
        <w:spacing w:line="360" w:lineRule="auto"/>
        <w:jc w:val="left"/>
        <w:outlineLvl w:val="1"/>
        <w:rPr>
          <w:rFonts w:hint="eastAsia" w:ascii="仿宋_GB2312" w:hAnsi="仿宋_GB2312"/>
          <w:b/>
          <w:bCs/>
          <w:color w:val="auto"/>
          <w:szCs w:val="21"/>
          <w:highlight w:val="none"/>
        </w:rPr>
      </w:pPr>
      <w:r>
        <w:rPr>
          <w:rFonts w:hint="eastAsia" w:ascii="宋体" w:hAnsi="宋体" w:cs="宋体"/>
          <w:b/>
          <w:bCs/>
          <w:color w:val="auto"/>
          <w:szCs w:val="21"/>
          <w:highlight w:val="none"/>
        </w:rPr>
        <w:t>设备清单（标的物）</w:t>
      </w:r>
      <w:r>
        <w:rPr>
          <w:rFonts w:hint="eastAsia" w:ascii="仿宋_GB2312" w:hAnsi="仿宋_GB2312"/>
          <w:b/>
          <w:bCs/>
          <w:color w:val="auto"/>
          <w:szCs w:val="21"/>
          <w:highlight w:val="none"/>
        </w:rPr>
        <w:t>技术要求</w:t>
      </w:r>
      <w:bookmarkEnd w:id="39"/>
    </w:p>
    <w:p w14:paraId="67B521BE">
      <w:pPr>
        <w:numPr>
          <w:ilvl w:val="0"/>
          <w:numId w:val="6"/>
        </w:numPr>
        <w:tabs>
          <w:tab w:val="left" w:pos="0"/>
        </w:tabs>
        <w:snapToGrid w:val="0"/>
        <w:spacing w:line="360" w:lineRule="auto"/>
        <w:ind w:firstLine="422" w:firstLineChars="200"/>
        <w:outlineLvl w:val="2"/>
        <w:rPr>
          <w:rFonts w:hint="eastAsia" w:ascii="宋体" w:hAnsi="宋体" w:cs="宋体"/>
          <w:b/>
          <w:bCs/>
          <w:color w:val="auto"/>
          <w:szCs w:val="21"/>
          <w:highlight w:val="none"/>
        </w:rPr>
      </w:pPr>
      <w:r>
        <w:rPr>
          <w:rFonts w:hint="eastAsia" w:ascii="宋体" w:hAnsi="宋体" w:cs="宋体"/>
          <w:b/>
          <w:bCs/>
          <w:color w:val="auto"/>
          <w:szCs w:val="21"/>
          <w:highlight w:val="none"/>
        </w:rPr>
        <w:t>扬尘在线监测设备</w:t>
      </w:r>
    </w:p>
    <w:p w14:paraId="2ADC5E53">
      <w:pPr>
        <w:pStyle w:val="8"/>
        <w:numPr>
          <w:ilvl w:val="0"/>
          <w:numId w:val="7"/>
        </w:numPr>
        <w:ind w:firstLine="422"/>
        <w:rPr>
          <w:color w:val="auto"/>
          <w:highlight w:val="none"/>
          <w:lang w:val="en-US"/>
        </w:rPr>
      </w:pPr>
      <w:r>
        <w:rPr>
          <w:rFonts w:hint="eastAsia"/>
          <w:color w:val="auto"/>
          <w:highlight w:val="none"/>
          <w:lang w:val="en-US"/>
        </w:rPr>
        <w:t>设备功能</w:t>
      </w:r>
    </w:p>
    <w:p w14:paraId="631B69F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主要包含环境监测终端、箱体结构及供电，7寸显示模块。</w:t>
      </w:r>
    </w:p>
    <w:p w14:paraId="2DBE3F4B">
      <w:pPr>
        <w:pStyle w:val="608"/>
        <w:spacing w:line="360" w:lineRule="auto"/>
        <w:rPr>
          <w:rFonts w:hint="eastAsia" w:hAnsi="宋体" w:cs="宋体"/>
          <w:color w:val="auto"/>
          <w:szCs w:val="21"/>
          <w:highlight w:val="none"/>
        </w:rPr>
      </w:pPr>
      <w:r>
        <w:rPr>
          <w:rFonts w:hint="eastAsia" w:hAnsi="宋体" w:cs="宋体"/>
          <w:color w:val="auto"/>
          <w:szCs w:val="21"/>
          <w:highlight w:val="none"/>
        </w:rPr>
        <w:t>特色功能：</w:t>
      </w:r>
    </w:p>
    <w:p w14:paraId="768EEA0C">
      <w:pPr>
        <w:pStyle w:val="608"/>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①三重保护功能，保证样气标准</w:t>
      </w:r>
    </w:p>
    <w:p w14:paraId="63B5CB57">
      <w:pPr>
        <w:pStyle w:val="608"/>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（一重保护）采样头：一体化颗粒物切割器，防柳絮物理结构设计。</w:t>
      </w:r>
    </w:p>
    <w:p w14:paraId="5046A18B">
      <w:pPr>
        <w:pStyle w:val="608"/>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（二重保护）内置除水瓶：保护监测子系统，提高传感器寿命。</w:t>
      </w:r>
    </w:p>
    <w:p w14:paraId="40B042A3">
      <w:pPr>
        <w:pStyle w:val="608"/>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（三重除湿）DHS动态加热除湿：颗粒物传感器具备加热除湿功能，减少湿度对测量值的影响，以便保证采样气体的标准性。</w:t>
      </w:r>
    </w:p>
    <w:p w14:paraId="44F94BB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②数据修正模型，确保数值准确性</w:t>
      </w:r>
    </w:p>
    <w:p w14:paraId="2AD9B56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结合智能化控制单元颗粒物数据修正模型，保障颗粒物数值的精准度。</w:t>
      </w:r>
    </w:p>
    <w:p w14:paraId="7D10B35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③功能单元独立化</w:t>
      </w:r>
    </w:p>
    <w:p w14:paraId="04BCEDA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产品采用模块化设计，功能单元独立化设计，维护更简单。</w:t>
      </w:r>
    </w:p>
    <w:p w14:paraId="5EF683A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④内置多功能报警指示灯</w:t>
      </w:r>
    </w:p>
    <w:p w14:paraId="3226536C">
      <w:pPr>
        <w:pStyle w:val="608"/>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多功能一体化灯光报警、指示功能，可以直观反映传感器寿命状态，为现场作业和运维提供便捷。</w:t>
      </w:r>
    </w:p>
    <w:p w14:paraId="035B2C5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⑤支持本地存储数据5年以上，并支持U盘导出。</w:t>
      </w:r>
    </w:p>
    <w:p w14:paraId="5BC0610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⑥数据断网保护功能，联网后自动续传。</w:t>
      </w:r>
    </w:p>
    <w:p w14:paraId="7E57A44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⑦支持数据多平台同时传输，可同时支持多种通讯协议，包括但不限于UDP、TCP、HTTP、MQTT等。</w:t>
      </w:r>
    </w:p>
    <w:p w14:paraId="034559D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⑧</w:t>
      </w:r>
      <w:r>
        <w:rPr>
          <w:rFonts w:hint="eastAsia" w:ascii="宋体" w:hAnsi="宋体" w:cs="宋体"/>
          <w:color w:val="auto"/>
          <w:szCs w:val="21"/>
          <w:highlight w:val="none"/>
        </w:rPr>
        <w:t>系统搭载高速LTE和10/100M标准网口接口（支持DHCP服务端、DHCP客户端），可以灵活方便接入到各种网络环境。</w:t>
      </w:r>
    </w:p>
    <w:p w14:paraId="169422E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⑨</w:t>
      </w:r>
      <w:r>
        <w:rPr>
          <w:rFonts w:hint="eastAsia" w:ascii="宋体" w:hAnsi="宋体" w:cs="宋体"/>
          <w:color w:val="auto"/>
          <w:szCs w:val="21"/>
          <w:highlight w:val="none"/>
        </w:rPr>
        <w:t>搭载嵌入式智能化主板。</w:t>
      </w:r>
    </w:p>
    <w:p w14:paraId="4C0C190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⑩</w:t>
      </w:r>
      <w:r>
        <w:rPr>
          <w:rFonts w:hint="eastAsia" w:ascii="宋体" w:hAnsi="宋体" w:cs="宋体"/>
          <w:color w:val="auto"/>
          <w:szCs w:val="21"/>
          <w:highlight w:val="none"/>
        </w:rPr>
        <w:t>开关门监测：箱门开/关状态监测、箱体状态监测并实时反馈，可通过云平台或移动端实时掌控，保障设备安全。</w:t>
      </w:r>
    </w:p>
    <w:p w14:paraId="07288D2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⑪</w:t>
      </w:r>
      <w:r>
        <w:rPr>
          <w:rFonts w:hint="eastAsia" w:ascii="宋体" w:hAnsi="宋体" w:cs="宋体"/>
          <w:color w:val="auto"/>
          <w:szCs w:val="21"/>
          <w:highlight w:val="none"/>
        </w:rPr>
        <w:t>断电监测：市电/电池失电及恢复实时反馈，可通过云平台或移动端实时掌控，真正为运维团队减轻工作量。</w:t>
      </w:r>
    </w:p>
    <w:p w14:paraId="39BC4E8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⑫</w:t>
      </w:r>
      <w:r>
        <w:rPr>
          <w:rFonts w:hint="eastAsia" w:ascii="宋体" w:hAnsi="宋体" w:cs="宋体"/>
          <w:color w:val="auto"/>
          <w:szCs w:val="21"/>
          <w:highlight w:val="none"/>
        </w:rPr>
        <w:t>振动功能监测：非法移动/撞击报警功能，多重防护确保设备更加安全。</w:t>
      </w:r>
    </w:p>
    <w:p w14:paraId="081CD1A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⑬</w:t>
      </w:r>
      <w:r>
        <w:rPr>
          <w:rFonts w:hint="eastAsia" w:ascii="宋体" w:hAnsi="宋体" w:cs="宋体"/>
          <w:color w:val="auto"/>
          <w:szCs w:val="21"/>
          <w:highlight w:val="none"/>
        </w:rPr>
        <w:t>蓝牙功能：非接触式运维，支持运维记录和手机蓝牙上传功能，并可通过云平台或移动端查询运维记录。</w:t>
      </w:r>
    </w:p>
    <w:p w14:paraId="54A3DA3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⑭支持外接雾泡喷淋等设备实现超标联动控制。</w:t>
      </w:r>
    </w:p>
    <w:p w14:paraId="2CF86FEA">
      <w:pPr>
        <w:pStyle w:val="8"/>
        <w:numPr>
          <w:ilvl w:val="0"/>
          <w:numId w:val="7"/>
        </w:numPr>
        <w:ind w:firstLine="422"/>
        <w:rPr>
          <w:color w:val="auto"/>
          <w:highlight w:val="none"/>
          <w:lang w:val="en-US"/>
        </w:rPr>
      </w:pPr>
      <w:r>
        <w:rPr>
          <w:rFonts w:hint="eastAsia"/>
          <w:color w:val="auto"/>
          <w:highlight w:val="none"/>
          <w:lang w:val="en-US"/>
        </w:rPr>
        <w:t>设备参数</w:t>
      </w:r>
    </w:p>
    <w:p w14:paraId="51EA335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①</w:t>
      </w:r>
      <w:r>
        <w:rPr>
          <w:rFonts w:hint="eastAsia" w:ascii="宋体" w:hAnsi="宋体" w:cs="宋体"/>
          <w:color w:val="auto"/>
          <w:szCs w:val="21"/>
          <w:highlight w:val="none"/>
        </w:rPr>
        <w:t>扬尘测量参数：PM2.5、PM10两参数</w:t>
      </w:r>
    </w:p>
    <w:p w14:paraId="20C1119D">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★②扬尘测量范围：0～10mg （提供检测报告）</w:t>
      </w:r>
    </w:p>
    <w:p w14:paraId="29CD6890">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★③分辨率：0.01μg/m3。 （提供检测报告）  </w:t>
      </w:r>
    </w:p>
    <w:p w14:paraId="48311C73">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★④示值误差：±9%；  （提供检测报告）    </w:t>
      </w:r>
    </w:p>
    <w:p w14:paraId="1F1D5433">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★⑤示值重复性：≤1%；  （提供检测报告） </w:t>
      </w:r>
    </w:p>
    <w:p w14:paraId="4333FBFF">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★⑥粉尘零点漂移：≤1%FS； （提供检测报告） </w:t>
      </w:r>
    </w:p>
    <w:p w14:paraId="3C574CD0">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★⑦相关系数：≥0.95。  （提供检测报告）   </w:t>
      </w:r>
    </w:p>
    <w:p w14:paraId="7C2AA5F8">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★⑧采样流量稳定性：a）24h内每一次测试时间点流量变化±3%设定流量；b）24h平均流量变化±3%设定流量。（（提供检测报告）</w:t>
      </w:r>
    </w:p>
    <w:p w14:paraId="0B2E1634">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★⑨时钟误差：±1s （提供检测报告） </w:t>
      </w:r>
    </w:p>
    <w:p w14:paraId="02168D2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⑩</w:t>
      </w:r>
      <w:r>
        <w:rPr>
          <w:rFonts w:hint="eastAsia" w:ascii="宋体" w:hAnsi="宋体" w:cs="宋体"/>
          <w:color w:val="auto"/>
          <w:szCs w:val="21"/>
          <w:highlight w:val="none"/>
        </w:rPr>
        <w:t>绝缘电阻：＞500MΩ</w:t>
      </w:r>
    </w:p>
    <w:p w14:paraId="3631D6D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⑪</w:t>
      </w:r>
      <w:r>
        <w:rPr>
          <w:rFonts w:hint="eastAsia" w:ascii="宋体" w:hAnsi="宋体" w:cs="宋体"/>
          <w:color w:val="auto"/>
          <w:szCs w:val="21"/>
          <w:highlight w:val="none"/>
        </w:rPr>
        <w:t>防护等级：IP53。</w:t>
      </w:r>
    </w:p>
    <w:p w14:paraId="310C403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⑫</w:t>
      </w:r>
      <w:r>
        <w:rPr>
          <w:rFonts w:hint="eastAsia" w:ascii="宋体" w:hAnsi="宋体" w:cs="宋体"/>
          <w:color w:val="auto"/>
          <w:szCs w:val="21"/>
          <w:highlight w:val="none"/>
        </w:rPr>
        <w:t>数据存储平均周期：约60s。</w:t>
      </w:r>
    </w:p>
    <w:p w14:paraId="3E075DD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⑬</w:t>
      </w:r>
      <w:r>
        <w:rPr>
          <w:rFonts w:hint="eastAsia" w:ascii="宋体" w:hAnsi="宋体" w:cs="宋体"/>
          <w:color w:val="auto"/>
          <w:szCs w:val="21"/>
          <w:highlight w:val="none"/>
        </w:rPr>
        <w:t>通讯协议：支持HJ 212-2017国标通讯协议对接。</w:t>
      </w:r>
    </w:p>
    <w:p w14:paraId="3BA8946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⑭</w:t>
      </w:r>
      <w:r>
        <w:rPr>
          <w:rFonts w:hint="eastAsia" w:ascii="宋体" w:hAnsi="宋体" w:cs="宋体"/>
          <w:color w:val="auto"/>
          <w:szCs w:val="21"/>
          <w:highlight w:val="none"/>
        </w:rPr>
        <w:t>供电：220VAC。</w:t>
      </w:r>
    </w:p>
    <w:p w14:paraId="4D51A78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⑮</w:t>
      </w:r>
      <w:r>
        <w:rPr>
          <w:rFonts w:hint="eastAsia" w:ascii="宋体" w:hAnsi="宋体" w:cs="宋体"/>
          <w:color w:val="auto"/>
          <w:szCs w:val="21"/>
          <w:highlight w:val="none"/>
        </w:rPr>
        <w:t>功率：约30W。</w:t>
      </w:r>
    </w:p>
    <w:p w14:paraId="5093DE4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⑯</w:t>
      </w:r>
      <w:r>
        <w:rPr>
          <w:rFonts w:hint="eastAsia" w:ascii="宋体" w:hAnsi="宋体" w:cs="宋体"/>
          <w:color w:val="auto"/>
          <w:szCs w:val="21"/>
          <w:highlight w:val="none"/>
        </w:rPr>
        <w:t>工作温度：-10℃～50℃。</w:t>
      </w:r>
    </w:p>
    <w:p w14:paraId="53C2F82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⑰</w:t>
      </w:r>
      <w:r>
        <w:rPr>
          <w:rFonts w:hint="eastAsia" w:ascii="宋体" w:hAnsi="宋体" w:cs="宋体"/>
          <w:color w:val="auto"/>
          <w:szCs w:val="21"/>
          <w:highlight w:val="none"/>
        </w:rPr>
        <w:t>相对湿度：0%RH ～ 99%RH。</w:t>
      </w:r>
    </w:p>
    <w:p w14:paraId="79B79A8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⑱</w:t>
      </w:r>
      <w:r>
        <w:rPr>
          <w:rFonts w:hint="eastAsia" w:ascii="宋体" w:hAnsi="宋体" w:cs="宋体"/>
          <w:color w:val="auto"/>
          <w:szCs w:val="21"/>
          <w:highlight w:val="none"/>
        </w:rPr>
        <w:t>气压：65KPa ～ 108KPa。</w:t>
      </w:r>
    </w:p>
    <w:p w14:paraId="13B0387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⑲</w:t>
      </w:r>
      <w:r>
        <w:rPr>
          <w:rFonts w:hint="eastAsia" w:ascii="宋体" w:hAnsi="宋体" w:cs="宋体"/>
          <w:color w:val="auto"/>
          <w:szCs w:val="21"/>
          <w:highlight w:val="none"/>
        </w:rPr>
        <w:t>形材质：钣金外壳，坚固防腐</w:t>
      </w:r>
    </w:p>
    <w:p w14:paraId="6A73C83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其他</w:t>
      </w:r>
      <w:r>
        <w:rPr>
          <w:rFonts w:hint="eastAsia" w:ascii="宋体" w:hAnsi="宋体" w:cs="宋体"/>
          <w:color w:val="auto"/>
          <w:szCs w:val="21"/>
          <w:highlight w:val="none"/>
        </w:rPr>
        <w:t>：具备加热除湿装置，以便保证采样气体的标准性；具备自动校零功能；支持蓝牙连接进行设备调试维护；内置温湿度传感器，可进行数据自动修正；嵌入式主控系统:支持HJ/212- 2017通信协议；支持本地存储数据5年以上，并支持U盘导出；超标光电报警功能；支持有线/无线全网通传输数据；GPS/北斗双模定位；支持扬尘治理设备联动；智能化嵌入式主控，支持掉电检测、开关门检测、振动检测。</w:t>
      </w:r>
    </w:p>
    <w:p w14:paraId="76D581CE">
      <w:pPr>
        <w:pStyle w:val="8"/>
        <w:numPr>
          <w:ilvl w:val="0"/>
          <w:numId w:val="7"/>
        </w:numPr>
        <w:ind w:firstLine="422"/>
        <w:rPr>
          <w:color w:val="auto"/>
          <w:highlight w:val="none"/>
          <w:lang w:val="en-US"/>
        </w:rPr>
      </w:pPr>
      <w:r>
        <w:rPr>
          <w:rFonts w:hint="eastAsia"/>
          <w:color w:val="auto"/>
          <w:highlight w:val="none"/>
          <w:lang w:val="en-US"/>
        </w:rPr>
        <w:t>选配模块</w:t>
      </w:r>
    </w:p>
    <w:p w14:paraId="77E1BE2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①</w:t>
      </w:r>
      <w:r>
        <w:rPr>
          <w:rFonts w:hint="eastAsia" w:ascii="宋体" w:hAnsi="宋体" w:cs="宋体"/>
          <w:color w:val="auto"/>
          <w:szCs w:val="21"/>
          <w:highlight w:val="none"/>
        </w:rPr>
        <w:t>气象监测子系统：机械式款和超声波款可选：温度、湿度、气压、风向、风速。</w:t>
      </w:r>
    </w:p>
    <w:p w14:paraId="2A4819C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②户外显示子系统：高亮单色显示模块，多屏滚动显示；或者高亮彩色显示模块，多屏滚动显示。</w:t>
      </w:r>
    </w:p>
    <w:p w14:paraId="2B11079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③</w:t>
      </w:r>
      <w:r>
        <w:rPr>
          <w:rFonts w:hint="eastAsia" w:ascii="宋体" w:hAnsi="宋体" w:cs="宋体"/>
          <w:color w:val="auto"/>
          <w:szCs w:val="21"/>
          <w:highlight w:val="none"/>
        </w:rPr>
        <w:t>定制各类特殊协议:根据客户需求进行协议定制开发。</w:t>
      </w:r>
    </w:p>
    <w:p w14:paraId="475DC73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④</w:t>
      </w:r>
      <w:r>
        <w:rPr>
          <w:rFonts w:hint="eastAsia" w:ascii="宋体" w:hAnsi="宋体" w:cs="宋体"/>
          <w:color w:val="auto"/>
          <w:szCs w:val="21"/>
          <w:highlight w:val="none"/>
        </w:rPr>
        <w:t>嵌入式触控显示模块≥7寸。</w:t>
      </w:r>
    </w:p>
    <w:p w14:paraId="73B1214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⑤</w:t>
      </w:r>
      <w:r>
        <w:rPr>
          <w:rFonts w:hint="eastAsia" w:ascii="宋体" w:hAnsi="宋体" w:cs="宋体"/>
          <w:color w:val="auto"/>
          <w:szCs w:val="21"/>
          <w:highlight w:val="none"/>
        </w:rPr>
        <w:t>旋风式物理切割器。</w:t>
      </w:r>
    </w:p>
    <w:p w14:paraId="6D56DB3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⑥</w:t>
      </w:r>
      <w:r>
        <w:rPr>
          <w:rFonts w:hint="eastAsia" w:ascii="宋体" w:hAnsi="宋体" w:cs="宋体"/>
          <w:color w:val="auto"/>
          <w:szCs w:val="21"/>
          <w:highlight w:val="none"/>
        </w:rPr>
        <w:t>支持太阳能供电；锂电池：可根据客户需求定制。</w:t>
      </w:r>
    </w:p>
    <w:p w14:paraId="3824A3D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Hans"/>
        </w:rPr>
        <w:t>⑦</w:t>
      </w:r>
      <w:r>
        <w:rPr>
          <w:rFonts w:hint="eastAsia" w:ascii="宋体" w:hAnsi="宋体" w:cs="宋体"/>
          <w:color w:val="auto"/>
          <w:szCs w:val="21"/>
          <w:highlight w:val="none"/>
        </w:rPr>
        <w:t>可扩展雨量、负氧离子、光照、太阳总辐射等气象监测参数。</w:t>
      </w:r>
    </w:p>
    <w:p w14:paraId="70AD9D35">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★⑧设备需提供‌整体通过型式评价试验，取得整机型式评价证书，需提供投标产品的型式评价证书和型式评价报告彩色扫描件证明。 </w:t>
      </w:r>
    </w:p>
    <w:p w14:paraId="4F74E600">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★⑨设备提供‌中国环境保护产品认证（CCEP）证书和检测报告。</w:t>
      </w:r>
    </w:p>
    <w:p w14:paraId="52A86FA1">
      <w:pPr>
        <w:pStyle w:val="8"/>
        <w:numPr>
          <w:ilvl w:val="0"/>
          <w:numId w:val="7"/>
        </w:numPr>
        <w:ind w:firstLine="422"/>
        <w:rPr>
          <w:color w:val="auto"/>
          <w:highlight w:val="none"/>
          <w:lang w:val="en-US"/>
        </w:rPr>
      </w:pPr>
      <w:r>
        <w:rPr>
          <w:rFonts w:hint="eastAsia"/>
          <w:color w:val="auto"/>
          <w:highlight w:val="none"/>
          <w:lang w:val="en-US"/>
        </w:rPr>
        <w:t>配套平台功能</w:t>
      </w:r>
    </w:p>
    <w:p w14:paraId="22CF675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（1）基于Browser/Server架构，以web数据库技术为依托，采用JAVA EE进行开发，系统前后端分离，运用数据缓存、动静分离等技术，承载大量数据访问和查询；客户无需装置专用软件，直接www浏览器访问或登录手机移动终端，即可实现客户端轻量级访问。</w:t>
      </w:r>
    </w:p>
    <w:p w14:paraId="09BBD45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（2）扬尘实时数据监测：包括地图GIS工地概览、扬尘污染排名查看、超标次数统计，与国控值数据曲线对比。</w:t>
      </w:r>
    </w:p>
    <w:p w14:paraId="05CCCFE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（3）视频取证数据查询：包括污染源超标定位抓拍、超标数据画面叠加、超标图片自动上传。</w:t>
      </w:r>
    </w:p>
    <w:p w14:paraId="1D50149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（4）扬尘治理联动控制：可外接雾泡喷淋，实现超标联动控制。</w:t>
      </w:r>
    </w:p>
    <w:p w14:paraId="2433295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（5）报警机制：扬尘超标自动生成超标报警任务，推送至责任主体单位。</w:t>
      </w:r>
    </w:p>
    <w:p w14:paraId="59C4EC4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（6）数据检索：包括监测数据、档案查询、日志查询。</w:t>
      </w:r>
    </w:p>
    <w:p w14:paraId="72AA4B0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1）监测数据：查看分钟、小时、日、国控历史数据，可按区域、时间等筛选。</w:t>
      </w:r>
    </w:p>
    <w:p w14:paraId="0A0DD59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2）档案查询：设备信息、站点信息、超标记录等。</w:t>
      </w:r>
    </w:p>
    <w:p w14:paraId="4FC8C22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3）日志查询：记录用户的登录、操作记录，可按时间和类型筛选。</w:t>
      </w:r>
    </w:p>
    <w:p w14:paraId="63CDFF8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（7）统计报表：包括监测统计、标准报表</w:t>
      </w:r>
    </w:p>
    <w:p w14:paraId="70D0CD4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1）监测统计：设备站点、报警指数排名、在线率排名、异常排名统计图。</w:t>
      </w:r>
    </w:p>
    <w:p w14:paraId="156145C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2）标准报表：以周、月、季、年为单位，统计该段时间内的各种指数的情况，汇总成word文档展示，文档中包括各指数的数值、统计图情况等，可将生成的报表下载到本地。</w:t>
      </w:r>
    </w:p>
    <w:p w14:paraId="4FBF140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（8）权限管理：包括角色机构、用户管理。</w:t>
      </w:r>
    </w:p>
    <w:p w14:paraId="7070FD0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1）角色机构：新增区域、机构、角色，以及它们的修改。</w:t>
      </w:r>
    </w:p>
    <w:p w14:paraId="39A6F7BD">
      <w:pPr>
        <w:pStyle w:val="608"/>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2）用户管理，用户列表、搜索、新增、重置密码为初始密码、删除。</w:t>
      </w:r>
    </w:p>
    <w:p w14:paraId="557AE88C">
      <w:pPr>
        <w:pStyle w:val="608"/>
        <w:spacing w:line="360" w:lineRule="auto"/>
        <w:ind w:firstLine="420" w:firstLineChars="200"/>
        <w:rPr>
          <w:rFonts w:hint="eastAsia" w:hAnsi="宋体" w:cs="宋体"/>
          <w:color w:val="auto"/>
          <w:szCs w:val="21"/>
          <w:highlight w:val="none"/>
        </w:rPr>
      </w:pPr>
    </w:p>
    <w:p w14:paraId="6738295C">
      <w:pPr>
        <w:numPr>
          <w:ilvl w:val="0"/>
          <w:numId w:val="6"/>
        </w:numPr>
        <w:tabs>
          <w:tab w:val="left" w:pos="0"/>
        </w:tabs>
        <w:snapToGrid w:val="0"/>
        <w:spacing w:line="360" w:lineRule="auto"/>
        <w:ind w:firstLine="422" w:firstLineChars="200"/>
        <w:outlineLvl w:val="2"/>
        <w:rPr>
          <w:rFonts w:hint="eastAsia" w:ascii="宋体" w:hAnsi="宋体" w:cs="宋体"/>
          <w:b/>
          <w:bCs/>
          <w:color w:val="auto"/>
          <w:szCs w:val="21"/>
          <w:highlight w:val="none"/>
        </w:rPr>
      </w:pPr>
      <w:r>
        <w:rPr>
          <w:rFonts w:hint="eastAsia" w:ascii="宋体" w:hAnsi="宋体" w:cs="宋体"/>
          <w:b/>
          <w:bCs/>
          <w:color w:val="auto"/>
          <w:szCs w:val="21"/>
          <w:highlight w:val="none"/>
        </w:rPr>
        <w:t>喷淋设备</w:t>
      </w:r>
    </w:p>
    <w:p w14:paraId="70979AD7">
      <w:pPr>
        <w:pStyle w:val="8"/>
        <w:numPr>
          <w:ilvl w:val="0"/>
          <w:numId w:val="8"/>
        </w:numPr>
        <w:ind w:firstLine="422"/>
        <w:rPr>
          <w:color w:val="auto"/>
          <w:highlight w:val="none"/>
          <w:lang w:val="en-US"/>
        </w:rPr>
      </w:pPr>
      <w:r>
        <w:rPr>
          <w:rFonts w:hint="eastAsia"/>
          <w:color w:val="auto"/>
          <w:highlight w:val="none"/>
          <w:lang w:val="en-US"/>
        </w:rPr>
        <w:t>单套设备内容</w:t>
      </w:r>
    </w:p>
    <w:tbl>
      <w:tblPr>
        <w:tblStyle w:val="62"/>
        <w:tblW w:w="8378" w:type="dxa"/>
        <w:tblInd w:w="100" w:type="dxa"/>
        <w:tblLayout w:type="fixed"/>
        <w:tblCellMar>
          <w:top w:w="0" w:type="dxa"/>
          <w:left w:w="108" w:type="dxa"/>
          <w:bottom w:w="0" w:type="dxa"/>
          <w:right w:w="108" w:type="dxa"/>
        </w:tblCellMar>
      </w:tblPr>
      <w:tblGrid>
        <w:gridCol w:w="2572"/>
        <w:gridCol w:w="3236"/>
        <w:gridCol w:w="1266"/>
        <w:gridCol w:w="1304"/>
      </w:tblGrid>
      <w:tr w14:paraId="2F5C3888">
        <w:tblPrEx>
          <w:tblCellMar>
            <w:top w:w="0" w:type="dxa"/>
            <w:left w:w="108" w:type="dxa"/>
            <w:bottom w:w="0" w:type="dxa"/>
            <w:right w:w="108" w:type="dxa"/>
          </w:tblCellMar>
        </w:tblPrEx>
        <w:trPr>
          <w:trHeight w:val="618" w:hRule="atLeast"/>
        </w:trPr>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23F1">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名称</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9583">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规格</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EF1">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数量</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10B1">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r>
      <w:tr w14:paraId="608D859D">
        <w:tblPrEx>
          <w:tblCellMar>
            <w:top w:w="0" w:type="dxa"/>
            <w:left w:w="108" w:type="dxa"/>
            <w:bottom w:w="0" w:type="dxa"/>
            <w:right w:w="108" w:type="dxa"/>
          </w:tblCellMar>
        </w:tblPrEx>
        <w:trPr>
          <w:trHeight w:val="634" w:hRule="atLeast"/>
        </w:trPr>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984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喷淋主机</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40E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国标7.5千瓦50升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631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315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0920935F">
        <w:tblPrEx>
          <w:tblCellMar>
            <w:top w:w="0" w:type="dxa"/>
            <w:left w:w="108" w:type="dxa"/>
            <w:bottom w:w="0" w:type="dxa"/>
            <w:right w:w="108" w:type="dxa"/>
          </w:tblCellMar>
        </w:tblPrEx>
        <w:trPr>
          <w:trHeight w:val="387" w:hRule="atLeast"/>
        </w:trPr>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C72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喷头</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0B5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2段5号</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0EB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AE9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r>
      <w:tr w14:paraId="69280611">
        <w:tblPrEx>
          <w:tblCellMar>
            <w:top w:w="0" w:type="dxa"/>
            <w:left w:w="108" w:type="dxa"/>
            <w:bottom w:w="0" w:type="dxa"/>
            <w:right w:w="108" w:type="dxa"/>
          </w:tblCellMar>
        </w:tblPrEx>
        <w:trPr>
          <w:trHeight w:val="387" w:hRule="atLeast"/>
        </w:trPr>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5AC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三通</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92F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12快插式</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BAF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90E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r>
      <w:tr w14:paraId="2211C276">
        <w:tblPrEx>
          <w:tblCellMar>
            <w:top w:w="0" w:type="dxa"/>
            <w:left w:w="108" w:type="dxa"/>
            <w:bottom w:w="0" w:type="dxa"/>
            <w:right w:w="108" w:type="dxa"/>
          </w:tblCellMar>
        </w:tblPrEx>
        <w:trPr>
          <w:trHeight w:val="387" w:hRule="atLeast"/>
        </w:trPr>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9D7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PA高压管</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5ED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12mm</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D63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B93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r>
      <w:tr w14:paraId="2E4D75E7">
        <w:tblPrEx>
          <w:tblCellMar>
            <w:top w:w="0" w:type="dxa"/>
            <w:left w:w="108" w:type="dxa"/>
            <w:bottom w:w="0" w:type="dxa"/>
            <w:right w:w="108" w:type="dxa"/>
          </w:tblCellMar>
        </w:tblPrEx>
        <w:trPr>
          <w:trHeight w:val="387" w:hRule="atLeast"/>
        </w:trPr>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DAF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侧喷堵头</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2FF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12快插式</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13E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A5A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r>
      <w:tr w14:paraId="776134FA">
        <w:tblPrEx>
          <w:tblCellMar>
            <w:top w:w="0" w:type="dxa"/>
            <w:left w:w="108" w:type="dxa"/>
            <w:bottom w:w="0" w:type="dxa"/>
            <w:right w:w="108" w:type="dxa"/>
          </w:tblCellMar>
        </w:tblPrEx>
        <w:trPr>
          <w:trHeight w:val="387" w:hRule="atLeast"/>
        </w:trPr>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DE2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直接</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8A0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12快插式</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401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4F4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r>
      <w:tr w14:paraId="59541B8E">
        <w:tblPrEx>
          <w:tblCellMar>
            <w:top w:w="0" w:type="dxa"/>
            <w:left w:w="108" w:type="dxa"/>
            <w:bottom w:w="0" w:type="dxa"/>
            <w:right w:w="108" w:type="dxa"/>
          </w:tblCellMar>
        </w:tblPrEx>
        <w:trPr>
          <w:trHeight w:val="387" w:hRule="atLeast"/>
        </w:trPr>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410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阀接</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53B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12快插式</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EA8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FC5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r>
      <w:tr w14:paraId="247C2DA4">
        <w:tblPrEx>
          <w:tblCellMar>
            <w:top w:w="0" w:type="dxa"/>
            <w:left w:w="108" w:type="dxa"/>
            <w:bottom w:w="0" w:type="dxa"/>
            <w:right w:w="108" w:type="dxa"/>
          </w:tblCellMar>
        </w:tblPrEx>
        <w:trPr>
          <w:trHeight w:val="387" w:hRule="atLeast"/>
        </w:trPr>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F10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堵头</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563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12快插式</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1A9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975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r>
      <w:tr w14:paraId="1EAFAD13">
        <w:tblPrEx>
          <w:tblCellMar>
            <w:top w:w="0" w:type="dxa"/>
            <w:left w:w="108" w:type="dxa"/>
            <w:bottom w:w="0" w:type="dxa"/>
            <w:right w:w="108" w:type="dxa"/>
          </w:tblCellMar>
        </w:tblPrEx>
        <w:trPr>
          <w:trHeight w:val="395" w:hRule="atLeast"/>
        </w:trPr>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AD3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弯头</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F3F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12快插式</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5AA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6F8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r>
    </w:tbl>
    <w:p w14:paraId="548F6980">
      <w:pPr>
        <w:pStyle w:val="8"/>
        <w:numPr>
          <w:ilvl w:val="0"/>
          <w:numId w:val="8"/>
        </w:numPr>
        <w:ind w:firstLine="422"/>
        <w:rPr>
          <w:color w:val="auto"/>
          <w:highlight w:val="none"/>
          <w:lang w:val="en-US"/>
        </w:rPr>
      </w:pPr>
      <w:r>
        <w:rPr>
          <w:rFonts w:hint="eastAsia"/>
          <w:color w:val="auto"/>
          <w:highlight w:val="none"/>
          <w:lang w:val="en-US"/>
        </w:rPr>
        <w:t>使用环境及参数</w:t>
      </w:r>
    </w:p>
    <w:p w14:paraId="1CCF24CD">
      <w:pPr>
        <w:spacing w:line="360" w:lineRule="auto"/>
        <w:ind w:firstLine="420" w:firstLineChars="200"/>
        <w:rPr>
          <w:color w:val="auto"/>
          <w:szCs w:val="21"/>
          <w:highlight w:val="none"/>
        </w:rPr>
      </w:pPr>
      <w:r>
        <w:rPr>
          <w:rFonts w:hint="eastAsia"/>
          <w:color w:val="auto"/>
          <w:szCs w:val="21"/>
          <w:highlight w:val="none"/>
        </w:rPr>
        <w:t>湿度：相对湿度不大于90%</w:t>
      </w:r>
    </w:p>
    <w:p w14:paraId="51C38305">
      <w:pPr>
        <w:spacing w:line="360" w:lineRule="auto"/>
        <w:ind w:firstLine="420" w:firstLineChars="200"/>
        <w:rPr>
          <w:color w:val="auto"/>
          <w:szCs w:val="21"/>
          <w:highlight w:val="none"/>
        </w:rPr>
      </w:pPr>
      <w:r>
        <w:rPr>
          <w:rFonts w:hint="eastAsia"/>
          <w:color w:val="auto"/>
          <w:szCs w:val="21"/>
          <w:highlight w:val="none"/>
        </w:rPr>
        <w:t>海拔高度：不过2000米</w:t>
      </w:r>
    </w:p>
    <w:p w14:paraId="548639A5">
      <w:pPr>
        <w:spacing w:line="360" w:lineRule="auto"/>
        <w:ind w:firstLine="420" w:firstLineChars="200"/>
        <w:rPr>
          <w:color w:val="auto"/>
          <w:szCs w:val="21"/>
          <w:highlight w:val="none"/>
        </w:rPr>
      </w:pPr>
      <w:r>
        <w:rPr>
          <w:rFonts w:hint="eastAsia"/>
          <w:color w:val="auto"/>
          <w:szCs w:val="21"/>
          <w:highlight w:val="none"/>
        </w:rPr>
        <w:t>参数电压：380V</w:t>
      </w:r>
    </w:p>
    <w:p w14:paraId="3C5E5F2F">
      <w:pPr>
        <w:spacing w:line="360" w:lineRule="auto"/>
        <w:ind w:firstLine="420" w:firstLineChars="200"/>
        <w:rPr>
          <w:color w:val="auto"/>
          <w:szCs w:val="21"/>
          <w:highlight w:val="none"/>
        </w:rPr>
      </w:pPr>
      <w:r>
        <w:rPr>
          <w:rFonts w:hint="eastAsia"/>
          <w:color w:val="auto"/>
          <w:szCs w:val="21"/>
          <w:highlight w:val="none"/>
        </w:rPr>
        <w:t>功率：7.5</w:t>
      </w:r>
      <w:r>
        <w:rPr>
          <w:rFonts w:hint="eastAsia"/>
          <w:color w:val="auto"/>
          <w:szCs w:val="21"/>
          <w:highlight w:val="none"/>
          <w:lang w:eastAsia="zh-CN"/>
        </w:rPr>
        <w:t>kW</w:t>
      </w:r>
    </w:p>
    <w:p w14:paraId="0B766BAA">
      <w:pPr>
        <w:spacing w:line="360" w:lineRule="auto"/>
        <w:ind w:firstLine="420" w:firstLineChars="200"/>
        <w:rPr>
          <w:color w:val="auto"/>
          <w:szCs w:val="21"/>
          <w:highlight w:val="none"/>
        </w:rPr>
      </w:pPr>
      <w:r>
        <w:rPr>
          <w:rFonts w:hint="eastAsia"/>
          <w:color w:val="auto"/>
          <w:szCs w:val="21"/>
          <w:highlight w:val="none"/>
        </w:rPr>
        <w:t>流量：50L/M</w:t>
      </w:r>
    </w:p>
    <w:p w14:paraId="590D0736">
      <w:pPr>
        <w:spacing w:line="360" w:lineRule="auto"/>
        <w:ind w:firstLine="420" w:firstLineChars="200"/>
        <w:rPr>
          <w:color w:val="auto"/>
          <w:szCs w:val="21"/>
          <w:highlight w:val="none"/>
        </w:rPr>
      </w:pPr>
      <w:r>
        <w:rPr>
          <w:rFonts w:hint="eastAsia"/>
          <w:color w:val="auto"/>
          <w:szCs w:val="21"/>
          <w:highlight w:val="none"/>
        </w:rPr>
        <w:t>频率：50Hz</w:t>
      </w:r>
    </w:p>
    <w:p w14:paraId="63DA9422">
      <w:pPr>
        <w:spacing w:line="360" w:lineRule="auto"/>
        <w:ind w:firstLine="420" w:firstLineChars="200"/>
        <w:rPr>
          <w:color w:val="auto"/>
          <w:szCs w:val="21"/>
          <w:highlight w:val="none"/>
        </w:rPr>
      </w:pPr>
      <w:r>
        <w:rPr>
          <w:rFonts w:hint="eastAsia"/>
          <w:color w:val="auto"/>
          <w:szCs w:val="21"/>
          <w:highlight w:val="none"/>
        </w:rPr>
        <w:t>压力：3MPA-8MPA</w:t>
      </w:r>
    </w:p>
    <w:p w14:paraId="5371BD4F">
      <w:pPr>
        <w:spacing w:line="360" w:lineRule="auto"/>
        <w:ind w:firstLine="420" w:firstLineChars="200"/>
        <w:rPr>
          <w:color w:val="auto"/>
          <w:szCs w:val="21"/>
          <w:highlight w:val="none"/>
        </w:rPr>
      </w:pPr>
      <w:r>
        <w:rPr>
          <w:rFonts w:hint="eastAsia"/>
          <w:color w:val="auto"/>
          <w:szCs w:val="21"/>
          <w:highlight w:val="none"/>
        </w:rPr>
        <w:t>喷射范围：2-4米左右</w:t>
      </w:r>
    </w:p>
    <w:p w14:paraId="7556681C">
      <w:pPr>
        <w:spacing w:line="360" w:lineRule="auto"/>
        <w:ind w:firstLine="420" w:firstLineChars="200"/>
        <w:rPr>
          <w:color w:val="auto"/>
          <w:szCs w:val="21"/>
          <w:highlight w:val="none"/>
          <w:u w:val="single"/>
        </w:rPr>
      </w:pPr>
      <w:r>
        <w:rPr>
          <w:rFonts w:hint="eastAsia"/>
          <w:color w:val="auto"/>
          <w:szCs w:val="21"/>
          <w:highlight w:val="none"/>
          <w:u w:val="single"/>
        </w:rPr>
        <w:t>★高压微雾加湿器工作噪声小于70dB(A）</w:t>
      </w:r>
      <w:r>
        <w:rPr>
          <w:rFonts w:hint="eastAsia" w:ascii="宋体" w:hAnsi="宋体" w:cs="宋体"/>
          <w:color w:val="auto"/>
          <w:szCs w:val="21"/>
          <w:highlight w:val="none"/>
          <w:u w:val="single"/>
        </w:rPr>
        <w:t>（提供检测报告）</w:t>
      </w:r>
    </w:p>
    <w:p w14:paraId="0EE5029F">
      <w:pPr>
        <w:spacing w:line="360" w:lineRule="auto"/>
        <w:ind w:firstLine="420" w:firstLineChars="200"/>
        <w:rPr>
          <w:color w:val="auto"/>
          <w:szCs w:val="21"/>
          <w:highlight w:val="none"/>
          <w:u w:val="single"/>
        </w:rPr>
      </w:pPr>
      <w:r>
        <w:rPr>
          <w:rFonts w:hint="eastAsia"/>
          <w:color w:val="auto"/>
          <w:szCs w:val="21"/>
          <w:highlight w:val="none"/>
          <w:u w:val="single"/>
        </w:rPr>
        <w:t>★转载：启动后喷雾机应能运转平稳,喷雾效果明显,无异常声响、发热</w:t>
      </w:r>
      <w:r>
        <w:rPr>
          <w:rFonts w:hint="eastAsia" w:ascii="宋体" w:hAnsi="宋体" w:cs="宋体"/>
          <w:color w:val="auto"/>
          <w:szCs w:val="21"/>
          <w:highlight w:val="none"/>
          <w:u w:val="single"/>
        </w:rPr>
        <w:t>（提供检测报告）</w:t>
      </w:r>
    </w:p>
    <w:p w14:paraId="02A23866">
      <w:pPr>
        <w:spacing w:line="360" w:lineRule="auto"/>
        <w:ind w:firstLine="420" w:firstLineChars="200"/>
        <w:rPr>
          <w:color w:val="auto"/>
          <w:szCs w:val="21"/>
          <w:highlight w:val="none"/>
          <w:u w:val="single"/>
        </w:rPr>
      </w:pPr>
      <w:r>
        <w:rPr>
          <w:rFonts w:hint="eastAsia"/>
          <w:color w:val="auto"/>
          <w:szCs w:val="21"/>
          <w:highlight w:val="none"/>
          <w:u w:val="single"/>
        </w:rPr>
        <w:t>★喷雾性能：雾化良好，雾型完整</w:t>
      </w:r>
      <w:r>
        <w:rPr>
          <w:rFonts w:hint="eastAsia" w:ascii="宋体" w:hAnsi="宋体" w:cs="宋体"/>
          <w:color w:val="auto"/>
          <w:szCs w:val="21"/>
          <w:highlight w:val="none"/>
          <w:u w:val="single"/>
        </w:rPr>
        <w:t>（提供检测报告）</w:t>
      </w:r>
    </w:p>
    <w:p w14:paraId="245A6218">
      <w:pPr>
        <w:spacing w:line="360" w:lineRule="auto"/>
        <w:ind w:firstLine="420" w:firstLineChars="200"/>
        <w:rPr>
          <w:color w:val="auto"/>
          <w:szCs w:val="21"/>
          <w:highlight w:val="none"/>
          <w:u w:val="single"/>
        </w:rPr>
      </w:pPr>
      <w:r>
        <w:rPr>
          <w:rFonts w:hint="eastAsia"/>
          <w:color w:val="auto"/>
          <w:szCs w:val="21"/>
          <w:highlight w:val="none"/>
          <w:u w:val="single"/>
        </w:rPr>
        <w:t>★漆膜附着力：外壳漆膜附着力三点均不低于Ⅱ级 （提供检测报告）</w:t>
      </w:r>
    </w:p>
    <w:p w14:paraId="3A71FFAC">
      <w:pPr>
        <w:pStyle w:val="8"/>
        <w:numPr>
          <w:ilvl w:val="0"/>
          <w:numId w:val="9"/>
        </w:numPr>
        <w:ind w:firstLine="422"/>
        <w:rPr>
          <w:color w:val="auto"/>
          <w:highlight w:val="none"/>
          <w:lang w:val="en-US"/>
        </w:rPr>
      </w:pPr>
      <w:r>
        <w:rPr>
          <w:rFonts w:hint="eastAsia"/>
          <w:color w:val="auto"/>
          <w:highlight w:val="none"/>
          <w:lang w:val="en-US"/>
        </w:rPr>
        <w:t>降尘技术要求</w:t>
      </w:r>
    </w:p>
    <w:p w14:paraId="426A48DE">
      <w:pPr>
        <w:spacing w:line="360" w:lineRule="auto"/>
        <w:ind w:firstLine="420" w:firstLineChars="200"/>
        <w:rPr>
          <w:color w:val="auto"/>
          <w:szCs w:val="21"/>
          <w:highlight w:val="none"/>
        </w:rPr>
      </w:pPr>
      <w:r>
        <w:rPr>
          <w:rFonts w:hint="eastAsia"/>
          <w:color w:val="auto"/>
          <w:szCs w:val="21"/>
          <w:highlight w:val="none"/>
        </w:rPr>
        <w:t>技术类型：降尘喷雾系统采用高压柱塞旋流雾化技术，系统运行压力 4-8Mpa；</w:t>
      </w:r>
    </w:p>
    <w:p w14:paraId="027A4F42">
      <w:pPr>
        <w:spacing w:line="360" w:lineRule="auto"/>
        <w:ind w:firstLine="420" w:firstLineChars="200"/>
        <w:rPr>
          <w:color w:val="auto"/>
          <w:szCs w:val="21"/>
          <w:highlight w:val="none"/>
        </w:rPr>
      </w:pPr>
      <w:r>
        <w:rPr>
          <w:rFonts w:hint="eastAsia"/>
          <w:color w:val="auto"/>
          <w:szCs w:val="21"/>
          <w:highlight w:val="none"/>
        </w:rPr>
        <w:t>功能描述：降尘喷雾系统主要有水处理系统、高压泵浦系统、 自动控制系统、显示系统、环境气象参数自动采集系统组成。</w:t>
      </w:r>
    </w:p>
    <w:p w14:paraId="293F4BF4">
      <w:pPr>
        <w:spacing w:line="360" w:lineRule="auto"/>
        <w:ind w:firstLine="420" w:firstLineChars="200"/>
        <w:rPr>
          <w:color w:val="auto"/>
          <w:szCs w:val="21"/>
          <w:highlight w:val="none"/>
        </w:rPr>
      </w:pPr>
      <w:r>
        <w:rPr>
          <w:rFonts w:hint="eastAsia"/>
          <w:color w:val="auto"/>
          <w:szCs w:val="21"/>
          <w:highlight w:val="none"/>
        </w:rPr>
        <w:t>外观描述：喷雾系统主机采用模块化设计，外形以规则矩形加弧形圆角相结 合，采用 304 不锈钢拼接形成框架结构，外表无锋利伤人锐边。</w:t>
      </w:r>
    </w:p>
    <w:p w14:paraId="7C51933A">
      <w:pPr>
        <w:spacing w:line="360" w:lineRule="auto"/>
        <w:ind w:firstLine="420" w:firstLineChars="200"/>
        <w:rPr>
          <w:color w:val="auto"/>
          <w:szCs w:val="21"/>
          <w:highlight w:val="none"/>
        </w:rPr>
      </w:pPr>
      <w:r>
        <w:rPr>
          <w:rFonts w:hint="eastAsia"/>
          <w:color w:val="auto"/>
          <w:szCs w:val="21"/>
          <w:highlight w:val="none"/>
        </w:rPr>
        <w:t>该设备通过环境监测器与喷雾降尘系统的联动，当 PM2.5 和 PM10 浓度超过 设定范围时，系统会自动启动喷洒水雾，而当浓度下降到一定值时，喷洒会自动停止。</w:t>
      </w:r>
    </w:p>
    <w:p w14:paraId="608A02C4">
      <w:pPr>
        <w:keepNext/>
        <w:keepLines/>
        <w:numPr>
          <w:ilvl w:val="0"/>
          <w:numId w:val="3"/>
        </w:numPr>
        <w:adjustRightInd/>
        <w:spacing w:line="360" w:lineRule="auto"/>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配套服务</w:t>
      </w:r>
      <w:r>
        <w:rPr>
          <w:rFonts w:hint="eastAsia" w:ascii="宋体" w:hAnsi="宋体" w:cs="宋体"/>
          <w:b/>
          <w:bCs/>
          <w:color w:val="auto"/>
          <w:szCs w:val="21"/>
          <w:highlight w:val="none"/>
          <w:lang w:val="en-US" w:eastAsia="zh-CN"/>
        </w:rPr>
        <w:t>要求</w:t>
      </w:r>
    </w:p>
    <w:p w14:paraId="29990C38">
      <w:pPr>
        <w:numPr>
          <w:ilvl w:val="0"/>
          <w:numId w:val="10"/>
        </w:numPr>
        <w:tabs>
          <w:tab w:val="left" w:pos="0"/>
        </w:tabs>
        <w:snapToGrid w:val="0"/>
        <w:spacing w:line="360" w:lineRule="auto"/>
        <w:ind w:firstLine="422" w:firstLineChars="200"/>
        <w:outlineLvl w:val="2"/>
        <w:rPr>
          <w:rFonts w:hint="eastAsia" w:ascii="宋体" w:hAnsi="宋体" w:cs="宋体"/>
          <w:b/>
          <w:bCs/>
          <w:color w:val="auto"/>
          <w:szCs w:val="21"/>
          <w:highlight w:val="none"/>
        </w:rPr>
      </w:pPr>
      <w:r>
        <w:rPr>
          <w:rFonts w:ascii="宋体" w:hAnsi="宋体" w:cs="宋体"/>
          <w:b/>
          <w:bCs/>
          <w:color w:val="auto"/>
          <w:szCs w:val="21"/>
          <w:highlight w:val="none"/>
        </w:rPr>
        <w:t>管路铺设（含主电源电缆及主水管等）服务</w:t>
      </w:r>
    </w:p>
    <w:p w14:paraId="6F769336">
      <w:pPr>
        <w:pStyle w:val="8"/>
        <w:numPr>
          <w:ilvl w:val="0"/>
          <w:numId w:val="11"/>
        </w:numPr>
        <w:ind w:firstLine="422"/>
        <w:rPr>
          <w:color w:val="auto"/>
          <w:highlight w:val="none"/>
          <w:lang w:val="en-US"/>
        </w:rPr>
      </w:pPr>
      <w:r>
        <w:rPr>
          <w:rFonts w:hint="eastAsia"/>
          <w:color w:val="auto"/>
          <w:highlight w:val="none"/>
          <w:lang w:val="en-US"/>
        </w:rPr>
        <w:t>供水管网技术要求</w:t>
      </w:r>
    </w:p>
    <w:p w14:paraId="32FA7A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管径&lt;300mm 时，管道采用聚乙烯给水管，聚乙烯管材、管件应符合 现行国家标准《给水用聚乙烯(PE)管材》 (CB/T13663)～《给水用聚乙烯(PE)管 件》 (GB／T13663．2)的规定。管道公称压力 PN＝1.0MPa，热熔接口。管道配件 采用聚乙烯管专用配件。高压喷雾柱塞泵的出水管采用不锈钢。</w:t>
      </w:r>
    </w:p>
    <w:p w14:paraId="4E44D7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管道与管件法兰连接时，法兰的工作压力应与管道相同，并在法兰中间应放置材质为给水无毒级氯丁橡胶的橡胶垫圈，厚度为 3～5 毫米。</w:t>
      </w:r>
    </w:p>
    <w:p w14:paraId="41F9B3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1)在寒冷气候(-5℃以下)或大风环境条件下进行热熔或电熔连接操作时，应采取保护措施，或调整连接机具的工艺参数。</w:t>
      </w:r>
    </w:p>
    <w:p w14:paraId="236944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2)管材、管件以及管道附件存放处与施工现场温差较大时，连接前应将聚乙烯管材、管件以及管道附件在施工现场放置一段时间，使其温度接近施工现场温度。</w:t>
      </w:r>
    </w:p>
    <w:p w14:paraId="187B38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3)管道连接时，管道切割应采用专用割刀或切管工具，切割断面应平整、光滑、无毛刺，且应垂直于管轴线。</w:t>
      </w:r>
    </w:p>
    <w:p w14:paraId="4A304FD7">
      <w:pPr>
        <w:pStyle w:val="8"/>
        <w:numPr>
          <w:ilvl w:val="0"/>
          <w:numId w:val="11"/>
        </w:numPr>
        <w:ind w:firstLine="422"/>
        <w:rPr>
          <w:color w:val="auto"/>
          <w:highlight w:val="none"/>
          <w:lang w:val="en-US"/>
        </w:rPr>
      </w:pPr>
      <w:r>
        <w:rPr>
          <w:rFonts w:hint="eastAsia"/>
          <w:color w:val="auto"/>
          <w:highlight w:val="none"/>
          <w:lang w:val="en-US"/>
        </w:rPr>
        <w:t>阀门井技术要求</w:t>
      </w:r>
    </w:p>
    <w:p w14:paraId="3A73C5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（1）阀门井采用砖砌立式闸阀井（采用非黏土砖，强度等级不小于 Mu10）， 阀门井做法详见 05S502-16，井径外壁加抹 1:2 防水水泥砂浆，抹面厚 20mm。给 水阀门井采用防球墨铸铁井盖。水表井采用矩形水表井，做法参见 05S502-136，水表井采用防盗球墨铸铁井盖。</w:t>
      </w:r>
    </w:p>
    <w:p w14:paraId="050EEA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）井盖做法要符合 GB/T238582009 检查井盖标准及甲方要求；绿化带内的井盖用高分子复合井盖，主车道内的井盖用球墨铸铁井盖；绿化带内井盖应高出绿化回填土200mm。</w:t>
      </w:r>
    </w:p>
    <w:p w14:paraId="2840B5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）阀门井盖必须有清晰且永久性的标志，标志内容由甲方与管理单位统一确定。</w:t>
      </w:r>
    </w:p>
    <w:p w14:paraId="5579AB1D">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井室周围回填技术要求：</w:t>
      </w:r>
    </w:p>
    <w:p w14:paraId="37A64F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（1）井室周围的回填，应与管道沟槽回填同时进行，不便同时进行时，应留台阶接茬。井室周围回填压实时沿井室中心对称进行，且不得漏夯。回填材料压实后应与井壁紧贴。</w:t>
      </w:r>
    </w:p>
    <w:p w14:paraId="0247A4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（2）路面范围内的井室周围，应采用石灰土、砂、砂砾等材料回填，其回填宽度不宜小于400mm。</w:t>
      </w:r>
    </w:p>
    <w:p w14:paraId="1EF84D9D">
      <w:pPr>
        <w:pStyle w:val="8"/>
        <w:numPr>
          <w:ilvl w:val="0"/>
          <w:numId w:val="11"/>
        </w:numPr>
        <w:ind w:firstLine="422"/>
        <w:rPr>
          <w:color w:val="auto"/>
          <w:highlight w:val="none"/>
          <w:lang w:val="en-US"/>
        </w:rPr>
      </w:pPr>
      <w:r>
        <w:rPr>
          <w:rFonts w:hint="eastAsia"/>
          <w:color w:val="auto"/>
          <w:highlight w:val="none"/>
          <w:lang w:val="en-US"/>
        </w:rPr>
        <w:t>水压试验及冲洗技术要求</w:t>
      </w:r>
    </w:p>
    <w:p w14:paraId="36C644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管道系统应按规范规定进行管道水压实验试压做法及要求详见《给水排水管道工程施工及验收规范》 (GB50268-2008)。</w:t>
      </w:r>
    </w:p>
    <w:p w14:paraId="6F33FD6B">
      <w:pPr>
        <w:spacing w:line="91" w:lineRule="auto"/>
        <w:rPr>
          <w:rFonts w:ascii="Arial"/>
          <w:color w:val="auto"/>
          <w:szCs w:val="21"/>
          <w:highlight w:val="none"/>
        </w:rPr>
      </w:pPr>
    </w:p>
    <w:p w14:paraId="388DF359">
      <w:pPr>
        <w:pStyle w:val="8"/>
        <w:numPr>
          <w:ilvl w:val="0"/>
          <w:numId w:val="11"/>
        </w:numPr>
        <w:ind w:firstLine="422"/>
        <w:rPr>
          <w:color w:val="auto"/>
          <w:highlight w:val="none"/>
          <w:lang w:val="en-US"/>
        </w:rPr>
      </w:pPr>
      <w:r>
        <w:rPr>
          <w:rFonts w:hint="eastAsia"/>
          <w:color w:val="auto"/>
          <w:highlight w:val="none"/>
          <w:lang w:val="en-US"/>
        </w:rPr>
        <w:t>电气技术要求</w:t>
      </w:r>
    </w:p>
    <w:p w14:paraId="38BD7260">
      <w:pPr>
        <w:pStyle w:val="9"/>
        <w:ind w:firstLine="422"/>
        <w:rPr>
          <w:color w:val="auto"/>
          <w:highlight w:val="none"/>
        </w:rPr>
      </w:pPr>
      <w:r>
        <w:rPr>
          <w:rFonts w:hint="eastAsia"/>
          <w:color w:val="auto"/>
          <w:highlight w:val="none"/>
        </w:rPr>
        <w:t>4.1电气建设范围</w:t>
      </w:r>
    </w:p>
    <w:p w14:paraId="56D9ACEF">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本项目涉及电气内容主要为：10KV 高压线路接入工程；10KV/0.4KV 变配电 系统，0.4KV 低压配电系统、动力设备配电系统和防雷接地系统。</w:t>
      </w:r>
    </w:p>
    <w:p w14:paraId="77CC216A">
      <w:pPr>
        <w:pStyle w:val="9"/>
        <w:ind w:firstLine="422"/>
        <w:rPr>
          <w:color w:val="auto"/>
          <w:highlight w:val="none"/>
        </w:rPr>
      </w:pPr>
      <w:r>
        <w:rPr>
          <w:rFonts w:hint="eastAsia"/>
          <w:color w:val="auto"/>
          <w:highlight w:val="none"/>
        </w:rPr>
        <w:t>4.2负荷等级及供电要求</w:t>
      </w:r>
    </w:p>
    <w:p w14:paraId="6D2AE27B">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本项目最高负荷等级为三级，主要在市政道路周边两侧设置降尘喷雾设备，按照三级负荷供电。</w:t>
      </w:r>
    </w:p>
    <w:p w14:paraId="213F7602">
      <w:pPr>
        <w:pStyle w:val="9"/>
        <w:ind w:firstLine="422"/>
        <w:rPr>
          <w:color w:val="auto"/>
          <w:highlight w:val="none"/>
        </w:rPr>
      </w:pPr>
      <w:r>
        <w:rPr>
          <w:rFonts w:hint="eastAsia"/>
          <w:color w:val="auto"/>
          <w:highlight w:val="none"/>
        </w:rPr>
        <w:t>4.3变配电系统</w:t>
      </w:r>
    </w:p>
    <w:p w14:paraId="1A9EDECE">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（1）供电电源：</w:t>
      </w:r>
    </w:p>
    <w:p w14:paraId="459CB6D4">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在项目用电范围内需设不少于一台200KVA 变电站，作为本项目路段降尘喷雾设备的供电电源。（2）低压配电系统：</w:t>
      </w:r>
    </w:p>
    <w:p w14:paraId="281EB43D">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项目范围内的低压配电系统采用220/380V 放射式与树干式相结合的方式，</w:t>
      </w:r>
    </w:p>
    <w:p w14:paraId="3CF55E1A">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对于单台容量较大的负荷或重要负荷采用放射式供电。对于照明及一般负荷采用 树干式与放射式相结合的供电方式。</w:t>
      </w:r>
    </w:p>
    <w:p w14:paraId="2C27F266">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（3）电能计量装置</w:t>
      </w:r>
    </w:p>
    <w:p w14:paraId="138AFC90">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采用高压计量，在箱变 10KV 电源进线处设置专用计量装置，变压器处设置 低压总计量电表并按功能区域设置考核计量电表，本次项目范围内总配电柜进线 处设置考核计量电表。</w:t>
      </w:r>
    </w:p>
    <w:p w14:paraId="5607DB0E">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（4）功率因数补偿方式</w:t>
      </w:r>
    </w:p>
    <w:p w14:paraId="066B9184">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采用低压集中自动补偿方式，在低压侧设功率因数自动补偿装置。采用共补+分补的方式。补偿后功率因素不低于0.94。</w:t>
      </w:r>
    </w:p>
    <w:p w14:paraId="67BA17DE">
      <w:pPr>
        <w:pStyle w:val="9"/>
        <w:ind w:firstLine="422"/>
        <w:rPr>
          <w:color w:val="auto"/>
          <w:highlight w:val="none"/>
        </w:rPr>
      </w:pPr>
      <w:r>
        <w:rPr>
          <w:rFonts w:hint="eastAsia"/>
          <w:color w:val="auto"/>
          <w:highlight w:val="none"/>
        </w:rPr>
        <w:t>4.4 用电负荷</w:t>
      </w:r>
    </w:p>
    <w:p w14:paraId="69329236">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本项目用电负荷主要为降尘喷雾设备供电，单台负荷约 为 7.5 kW。本项目降尘喷雾设备共 22 台；降尘喷雾设备采用PLC 控制柜实现控制功能。</w:t>
      </w:r>
    </w:p>
    <w:p w14:paraId="54201767">
      <w:pPr>
        <w:pStyle w:val="8"/>
        <w:numPr>
          <w:ilvl w:val="0"/>
          <w:numId w:val="11"/>
        </w:numPr>
        <w:ind w:firstLine="422"/>
        <w:rPr>
          <w:color w:val="auto"/>
          <w:highlight w:val="none"/>
          <w:lang w:val="en-US"/>
        </w:rPr>
      </w:pPr>
      <w:r>
        <w:rPr>
          <w:rFonts w:hint="eastAsia"/>
          <w:color w:val="auto"/>
          <w:highlight w:val="none"/>
          <w:lang w:val="en-US"/>
        </w:rPr>
        <w:t>防雷接地系统技术要求</w:t>
      </w:r>
    </w:p>
    <w:p w14:paraId="6E2EB8EF">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本项目所有用电设备配电装置均就近设置接地装置，在配电柜周围做独立 接地极，采用L50X5 热镀锌角钢打入冻土层以下，采用40X4 热镀锌扁钢将配电柜与接地极进行可靠联结。</w:t>
      </w:r>
    </w:p>
    <w:p w14:paraId="1179A5F5">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（1）三相负荷尽量平衡分配；合理设置无功补偿装置；用电设备及控制设备选 用节能型。2.选用绿色、环保且经国家认证的电气产品。在满足国家规范及供电行业标 准的前提下，选用高性能电气设备、高品质电缆、电线以降低自身损耗。</w:t>
      </w:r>
    </w:p>
    <w:p w14:paraId="02E068AC">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（2）照明产品、三相配电变压器、水泵、风机等设备满足国家现行有关标准的 节能评价值的要求。</w:t>
      </w:r>
    </w:p>
    <w:p w14:paraId="761C3897">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（3）电力变压器、电动机、交流接触器和照明产品的能效水平应高于能效限定 值或能效等级 3 级的要求。</w:t>
      </w:r>
    </w:p>
    <w:p w14:paraId="33B3FC35">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（4）水泵、风机以及电热设备应采取节能自动控制措施。</w:t>
      </w:r>
    </w:p>
    <w:p w14:paraId="1ADF57B2">
      <w:pPr>
        <w:pStyle w:val="8"/>
        <w:numPr>
          <w:ilvl w:val="0"/>
          <w:numId w:val="11"/>
        </w:numPr>
        <w:ind w:firstLine="422"/>
        <w:rPr>
          <w:color w:val="auto"/>
          <w:highlight w:val="none"/>
          <w:lang w:val="en-US"/>
        </w:rPr>
      </w:pPr>
      <w:r>
        <w:rPr>
          <w:rFonts w:hint="eastAsia"/>
          <w:color w:val="auto"/>
          <w:highlight w:val="none"/>
          <w:lang w:val="en-US"/>
        </w:rPr>
        <w:t>安全生产专项技术要求</w:t>
      </w:r>
    </w:p>
    <w:p w14:paraId="0534045C">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(1)对现场临时用电应按照《施工现场临时用电安全技术规范》JGJ46-2005 和《建设工程施工现场供用电安全规范》GB50194-2014 的要求采取有针对性的安 全措施。</w:t>
      </w:r>
    </w:p>
    <w:p w14:paraId="3797F5D8">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(2)对施工现场的消防工作要按照《建筑工程施工现场消防安全技术规范》 GB50720-2011 采取有针对性的安全措施。</w:t>
      </w:r>
    </w:p>
    <w:p w14:paraId="5BBF30B1">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(3)对于《危险性较大的分部分项工程》要按照建质【2009】87 号文件，要求施工单位在施工前编制专项方案，对于《超过一定规模的危险性较大的分部分项工程》，施工单位还要组织专家对专项方案进行论证。</w:t>
      </w:r>
    </w:p>
    <w:p w14:paraId="383BF8E7">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）施工单位应根据《建筑施工安全规范》，结合工程场地的情况、施工 作业内容、设计文件要求等，提出本项目的安全风险源，制定有针对性的施工安 全专项方案及作业指导书，在组织架构、施工方案、工艺流程、监管机制，应急 预案等方面，提出相应措施及管理细则，交监理及有关安监部门审批备案，经批准后方可施工，并在实施中切实遵照执行。在汛期，施工单位应做好安全措施和 紧急预案，高效有序的做好防灾工作，最低限度的减少对工程建设的影响。</w:t>
      </w:r>
    </w:p>
    <w:p w14:paraId="6FC87F32">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除本说明提及的施工安全要求外，施工单位还应根据场地环境、施工工艺特 点及安全风险分析，制定相应安全措施，以策安全。</w:t>
      </w:r>
    </w:p>
    <w:p w14:paraId="79C493BA">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）工程开工前，建设单位应当</w:t>
      </w:r>
      <w:r>
        <w:rPr>
          <w:rFonts w:hint="eastAsia" w:ascii="宋体" w:hAnsi="宋体" w:cs="宋体"/>
          <w:color w:val="auto"/>
          <w:szCs w:val="21"/>
          <w:highlight w:val="none"/>
          <w:lang w:val="en-US" w:eastAsia="zh-CN"/>
        </w:rPr>
        <w:t>配合</w:t>
      </w:r>
      <w:r>
        <w:rPr>
          <w:rFonts w:hint="eastAsia" w:ascii="宋体" w:hAnsi="宋体" w:cs="宋体"/>
          <w:color w:val="auto"/>
          <w:szCs w:val="21"/>
          <w:highlight w:val="none"/>
        </w:rPr>
        <w:t>施工单位</w:t>
      </w:r>
      <w:r>
        <w:rPr>
          <w:rFonts w:hint="eastAsia" w:ascii="宋体" w:hAnsi="宋体" w:cs="宋体"/>
          <w:color w:val="auto"/>
          <w:szCs w:val="21"/>
          <w:highlight w:val="none"/>
          <w:lang w:val="en-US" w:eastAsia="zh-CN"/>
        </w:rPr>
        <w:t>获取</w:t>
      </w:r>
      <w:r>
        <w:rPr>
          <w:rFonts w:hint="eastAsia" w:ascii="宋体" w:hAnsi="宋体" w:cs="宋体"/>
          <w:color w:val="auto"/>
          <w:szCs w:val="21"/>
          <w:highlight w:val="none"/>
        </w:rPr>
        <w:t>施工现场及毗邻区域内供水、排水、供电、供气、供热、通信、广播电视等地下管线资料，相邻建筑物和 构筑物、地下工程的有关资料，并保证资料的真实、准确、完整。</w:t>
      </w:r>
    </w:p>
    <w:p w14:paraId="05643C70">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）开挖工程施工前，应对开槽范围内的地下管线进行现场核查，逐项查 清地下管线的敷设情况以及与工程的相对位置关系。当开挖管沟发现地下管线时 应立即采取保护措施并通知管线权属单位及设计单位协商处理。</w:t>
      </w:r>
    </w:p>
    <w:p w14:paraId="716F3D85">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）管道沟槽开挖</w:t>
      </w:r>
    </w:p>
    <w:p w14:paraId="5398174B">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1）沟槽开挖前应对邻近原有建、构筑物及其地基基础、道路和地下管线的 状况进行详细调查。发现裂缝、倾斜、滑移等损坏迹象，应作标记和拍照，并存 档备案。</w:t>
      </w:r>
    </w:p>
    <w:p w14:paraId="0CC27B61">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2）施工过程中应按监测计划对影响区域内的建、构筑物、道路和地下管线 的水平位移和沉降进行监测，监测数据应作为调整施工进度和工艺的依据。</w:t>
      </w:r>
    </w:p>
    <w:p w14:paraId="1C03F7A1">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3）对影响区域内的危房、重要建筑、变形敏感的建筑、构筑物、道路和地下 管线，应采取防护措施。</w:t>
      </w:r>
    </w:p>
    <w:p w14:paraId="5F3FA897">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4）在下列情况下，沟槽开挖时应采取支护措施：</w:t>
      </w:r>
    </w:p>
    <w:p w14:paraId="28337F2D">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a.深度较大不具备自然放坡施工条件；</w:t>
      </w:r>
    </w:p>
    <w:p w14:paraId="5AA29E6A">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b.地基土质松软，并有地下水或丰盛上层滞水；</w:t>
      </w:r>
    </w:p>
    <w:p w14:paraId="2BA423C6">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c.沟槽开挖危及邻近建、构筑物、道路及地下管线的安全与使用。</w:t>
      </w:r>
    </w:p>
    <w:p w14:paraId="52FD1F8C">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d.沟槽支护结构应根据当地工程经验并综合考虑水文地质条件、基坑开挖 深度、场地条件等因素确定。</w:t>
      </w:r>
    </w:p>
    <w:p w14:paraId="53B015AD">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e.沟槽支护方案应征得监理单位同意方可实施。</w:t>
      </w:r>
    </w:p>
    <w:p w14:paraId="253C6331">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）开挖基坑时，如对邻近建（构）筑物或临时设施有影响时，应采取安 全防护措施。</w:t>
      </w:r>
    </w:p>
    <w:p w14:paraId="18B6245F">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）挖掘机等机械在坑顶进行挖基出土作业时，机身距坑边的安全距离应 视基坑深度、坡度、土质情况而定。一般应不小于 1.0m，堆放材料及机具时应不 小于 0.8m。</w:t>
      </w:r>
    </w:p>
    <w:p w14:paraId="1E9E14A0">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）开挖中，当坑沿顶面裂缝、坑壁松塌或遇有涌水、涌砂影响基坑边坡 稳定时，应立即加固防护。</w:t>
      </w:r>
    </w:p>
    <w:p w14:paraId="3189F5DF">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）基坑需机械抽排水开挖时，须配备足够的抽排水设备，抽水机及管路 等要安放牢靠。</w:t>
      </w:r>
    </w:p>
    <w:p w14:paraId="14AA4B40">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）管节吊装时，需专人负责，认真检查吊扣及钢丝绳的稳固。起吊前应 让吊车慢慢升起，检查钢丝绳有无挂脱或挂错。</w:t>
      </w:r>
    </w:p>
    <w:p w14:paraId="288B1F2B">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p>
    <w:p w14:paraId="7C377774">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）起重作业应严格执行《建筑机械使用安全技术规程》和《建筑安装人 员安全技术操作规程》中的有关规定和要求。（20）各种机械设备操作人员，必须具有相应的操作证，禁止操作与操作证 不相符的机械设备，不准将机械设备交给无操作证的人员操作，对机械设备操作 人员要建立档案，专人管理。</w:t>
      </w:r>
    </w:p>
    <w:p w14:paraId="76EE9E3D">
      <w:pPr>
        <w:pStyle w:val="8"/>
        <w:numPr>
          <w:ilvl w:val="0"/>
          <w:numId w:val="11"/>
        </w:numPr>
        <w:ind w:firstLine="422"/>
        <w:rPr>
          <w:color w:val="auto"/>
          <w:highlight w:val="none"/>
          <w:lang w:val="en-US"/>
        </w:rPr>
      </w:pPr>
      <w:r>
        <w:rPr>
          <w:rFonts w:hint="eastAsia"/>
          <w:color w:val="auto"/>
          <w:highlight w:val="none"/>
          <w:lang w:val="en-US"/>
        </w:rPr>
        <w:t>安装及线路敷设</w:t>
      </w:r>
    </w:p>
    <w:p w14:paraId="3B39892A">
      <w:pPr>
        <w:pStyle w:val="9"/>
        <w:ind w:firstLine="422"/>
        <w:rPr>
          <w:color w:val="auto"/>
          <w:highlight w:val="none"/>
        </w:rPr>
      </w:pPr>
      <w:r>
        <w:rPr>
          <w:rFonts w:hint="eastAsia"/>
          <w:color w:val="auto"/>
          <w:highlight w:val="none"/>
        </w:rPr>
        <w:t>7.1扬尘在线监测设备安装</w:t>
      </w:r>
    </w:p>
    <w:p w14:paraId="294FE59A">
      <w:pPr>
        <w:pStyle w:val="33"/>
        <w:spacing w:line="360" w:lineRule="auto"/>
        <w:ind w:firstLine="420" w:firstLineChars="200"/>
        <w:rPr>
          <w:rFonts w:hint="eastAsia" w:hAnsi="宋体" w:cs="宋体"/>
          <w:color w:val="auto"/>
          <w:highlight w:val="none"/>
        </w:rPr>
      </w:pPr>
      <w:r>
        <w:rPr>
          <w:rFonts w:hint="eastAsia" w:hAnsi="宋体" w:cs="宋体"/>
          <w:color w:val="auto"/>
          <w:highlight w:val="none"/>
        </w:rPr>
        <w:t>地基建设</w:t>
      </w:r>
    </w:p>
    <w:p w14:paraId="79281A83">
      <w:pPr>
        <w:pStyle w:val="33"/>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所需材料：锄头，铲，PVC线管，引线、剪线钳，薄膜，水平尺，沙子，石子，水泥，商品混凝土。</w:t>
      </w:r>
    </w:p>
    <w:p w14:paraId="128DFE1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（1）开挖：深800mm*长600mm*宽600mm 的坑。</w:t>
      </w:r>
    </w:p>
    <w:p w14:paraId="6C5889F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（2）施工时要剪1000mm 左右的引线，放入相等长度的 PVC 管并拉好引线，在预埋的管口预先用透明胶或其他材料封口，以防止混凝土浇捣时混凝土漏入预埋管中，造成预埋管堵塞。 </w:t>
      </w:r>
    </w:p>
    <w:p w14:paraId="1BB2E1D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（3）钢筋笼的螺丝螺母垫片部分用薄膜或其他东西包好。 </w:t>
      </w:r>
    </w:p>
    <w:p w14:paraId="388EC5A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（4）把沙子，石子，水泥按 2：2：1 搅拌均匀后或采用商品砼把混凝土倒入坑内，同时放入钢筋笼，确保钢筋笼与水平面平行，即用水平尺在基础顶板垂直两个方向测量，观察其气泡必须居中；监控立杆预埋件基础混凝土浇捣必须密实，禁止混凝土有空鼓。</w:t>
      </w:r>
    </w:p>
    <w:p w14:paraId="58417B9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（5）埋到 3/4 的时候放入做好的 PVC 线管，混凝土必须养护一段时间，以确保混凝土能达到一定的安装强度。 </w:t>
      </w:r>
    </w:p>
    <w:p w14:paraId="63306870">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（6）钢筋笼根据现场勘测实际情况后定制配备。</w:t>
      </w:r>
    </w:p>
    <w:p w14:paraId="53237D2F">
      <w:pPr>
        <w:pStyle w:val="9"/>
        <w:ind w:firstLine="422"/>
        <w:rPr>
          <w:color w:val="auto"/>
          <w:highlight w:val="none"/>
        </w:rPr>
      </w:pPr>
      <w:r>
        <w:rPr>
          <w:rFonts w:hint="eastAsia"/>
          <w:color w:val="auto"/>
          <w:highlight w:val="none"/>
        </w:rPr>
        <w:t>7.2降尘喷雾系统安装及线路敷设</w:t>
      </w:r>
    </w:p>
    <w:p w14:paraId="13864E84">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（1）降尘设备主机采用 落地安装，下设 500mm 厚C25 混凝土基础，箱体室外防护等级为 IP55。</w:t>
      </w:r>
    </w:p>
    <w:p w14:paraId="227EDAA6">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（2）本项目从配电柜到动力设备采用YJV22-1KV 型电力电缆直埋地穿管敷设，电缆在跨路、引上、引下、与其他管线交叉及入户处均要穿钢管保 护，具体施工可参见国标图集《110KV 及以下电缆敷设》12D101-5 部分内容。电 缆与水管、暖管等其他地下设施平行敷设时要满足间距要求。直埋电缆与电缆间 及各种地下设施平行、交叉时最小净距参见国标图集《110KV 及以下电缆敷设》 12D101-5 第 10~16 页。电缆过路时要穿钢管保护。电缆与通信电缆交叉做法参见 《宁 02D4》135 页中有关内容。有最新相关标准则按最新标准执行。</w:t>
      </w:r>
    </w:p>
    <w:p w14:paraId="7796CAB9">
      <w:pPr>
        <w:numPr>
          <w:ilvl w:val="0"/>
          <w:numId w:val="10"/>
        </w:numPr>
        <w:tabs>
          <w:tab w:val="left" w:pos="0"/>
        </w:tabs>
        <w:snapToGrid w:val="0"/>
        <w:spacing w:line="360" w:lineRule="auto"/>
        <w:ind w:firstLine="422" w:firstLineChars="200"/>
        <w:outlineLvl w:val="2"/>
        <w:rPr>
          <w:rFonts w:hint="eastAsia" w:ascii="宋体" w:hAnsi="宋体" w:cs="宋体"/>
          <w:b/>
          <w:bCs/>
          <w:color w:val="auto"/>
          <w:szCs w:val="21"/>
          <w:highlight w:val="none"/>
        </w:rPr>
      </w:pPr>
      <w:r>
        <w:rPr>
          <w:rFonts w:ascii="宋体" w:hAnsi="宋体" w:cs="宋体"/>
          <w:b/>
          <w:bCs/>
          <w:color w:val="auto"/>
          <w:szCs w:val="21"/>
          <w:highlight w:val="none"/>
        </w:rPr>
        <w:t>开挖修复服务</w:t>
      </w:r>
    </w:p>
    <w:p w14:paraId="6EEC12CA">
      <w:pPr>
        <w:pStyle w:val="8"/>
        <w:numPr>
          <w:ilvl w:val="0"/>
          <w:numId w:val="12"/>
        </w:numPr>
        <w:ind w:firstLine="422"/>
        <w:rPr>
          <w:color w:val="auto"/>
          <w:highlight w:val="none"/>
          <w:lang w:val="en-US"/>
        </w:rPr>
      </w:pPr>
      <w:r>
        <w:rPr>
          <w:rFonts w:hint="eastAsia"/>
          <w:color w:val="auto"/>
          <w:highlight w:val="none"/>
          <w:lang w:val="en-US"/>
        </w:rPr>
        <w:t>管道施工</w:t>
      </w:r>
    </w:p>
    <w:p w14:paraId="7199CB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管道施工采用沟槽开挖方式，根据施工地段的土质和埋设深度以及场地条件 选择直槽或梯形槽，沟槽宽度应便于管道敷设和安装，同时考虑夯实机具便于操 作。开槽边坡根据地质勘察报告确定，当沟槽挖深较大时，应合理确定分层开挖 的深度，人工开挖沟槽的槽深超过 3 米时应分层开挖，每层的深度不宜超过 2 米； 采用机械挖槽时，沟槽分层的深度应按机械性能确定。具体内容包括：</w:t>
      </w:r>
    </w:p>
    <w:p w14:paraId="342805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1）应认真做好基坑内、外地下水和施工废水的降排水工作。为减小基坑内 外的水位差必要时坑外辅以少量管井降水，要求施工过程中地下水位始终保持在 基底下 1.0m，保持无水作业。</w:t>
      </w:r>
    </w:p>
    <w:p w14:paraId="1BC678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开挖应在降水效果达到后开始，分层分段均匀对称进行，在开挖过程中掌握 好“分层、分步、对称、平衡、限时 ”五个要点，遵循“竖向分层、纵向分段、 先支后挖 ”的施工原则</w:t>
      </w:r>
    </w:p>
    <w:p w14:paraId="28131D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）基坑施工前，应先探明地下构筑物和管线情况及周边建（构）筑物基础形式，对降水影响范围内的浅基础建筑应采取相应的加固保护措施。在施工过程 中，特别是在有管线的范围和管线埋深的可能深度范围内，应小心钻孔，以免破 损、损坏管线，在地下 3 米范围内不得采用机械开挖，确保在施工期间所有地下 管线的安全和正常使用。</w:t>
      </w:r>
    </w:p>
    <w:p w14:paraId="48CD13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）基坑开挖从上到下依次进行，开挖深度应严格按设计图中给出的标高进行，严禁超挖。基坑开挖至基底垫层以上 200mm 时，并采用人 工挖除剩余土方，挖至设计标高后应及时平整基坑，疏干坑内积水，及时施作垫 层。</w:t>
      </w:r>
    </w:p>
    <w:p w14:paraId="132E6B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）机械挖土时应按有关规范要求进行，坑底应保留200mm 厚的土层用人工 开挖。</w:t>
      </w:r>
    </w:p>
    <w:p w14:paraId="2E4D6B3F">
      <w:pPr>
        <w:pStyle w:val="8"/>
        <w:numPr>
          <w:ilvl w:val="0"/>
          <w:numId w:val="12"/>
        </w:numPr>
        <w:ind w:firstLine="422"/>
        <w:rPr>
          <w:color w:val="auto"/>
          <w:highlight w:val="none"/>
          <w:lang w:val="en-US"/>
        </w:rPr>
      </w:pPr>
      <w:r>
        <w:rPr>
          <w:rFonts w:hint="eastAsia"/>
          <w:color w:val="auto"/>
          <w:highlight w:val="none"/>
          <w:lang w:val="en-US"/>
        </w:rPr>
        <w:t>管道基础</w:t>
      </w:r>
    </w:p>
    <w:p w14:paraId="6B1822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给水管道采用砂石基础，底层铺 150mm 厚砂砾，做法满足《给水排水管道工 程施工及验收规范》(GB50268-2008)的相关要求。</w:t>
      </w:r>
    </w:p>
    <w:p w14:paraId="17FA42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（1）当沟槽内有地下水时，必须将地下水降至槽底以下 0.5m，做到干槽施工</w:t>
      </w:r>
    </w:p>
    <w:p w14:paraId="76CD2A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（2）管道基础不应超挖，如局部超挖发生扰动或管道需要填方时，处理应符 合下列规定：</w:t>
      </w:r>
    </w:p>
    <w:p w14:paraId="37D719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1)超挖深度不超过 150mm 时，可用挖槽原土回填夯实，其压实度不应低于原 地基土密实度；</w:t>
      </w:r>
    </w:p>
    <w:p w14:paraId="51F062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2)排水不良造成地基扰动深度在 1OOmm 以内，宜填天然级配砂石或砂砾处理；</w:t>
      </w:r>
    </w:p>
    <w:p w14:paraId="0DF130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3)排水不良造成地基扰动深度在 300mm 以内，但下部坚硬时，宜铺垫砂砾或 5－40mm 砾石，其表面再铺厚度不小于 50mm 的中、粗砂垫层；</w:t>
      </w:r>
    </w:p>
    <w:p w14:paraId="78CF44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4)槽底土层为杂填土、腐蚀性土时，应全部挖除，宜采用天然级配砂石或石 灰土回填；用细土或砂垫层铺平夯实。</w:t>
      </w:r>
    </w:p>
    <w:p w14:paraId="428070B9">
      <w:pPr>
        <w:pStyle w:val="8"/>
        <w:numPr>
          <w:ilvl w:val="0"/>
          <w:numId w:val="12"/>
        </w:numPr>
        <w:ind w:firstLine="422"/>
        <w:rPr>
          <w:color w:val="auto"/>
          <w:highlight w:val="none"/>
          <w:lang w:val="en-US"/>
        </w:rPr>
      </w:pPr>
      <w:r>
        <w:rPr>
          <w:rFonts w:hint="eastAsia"/>
          <w:color w:val="auto"/>
          <w:highlight w:val="none"/>
          <w:lang w:val="en-US"/>
        </w:rPr>
        <w:t>沟槽回填</w:t>
      </w:r>
    </w:p>
    <w:p w14:paraId="166589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)回填时沟槽内砖、石、木块等杂物需清除干净，保证排水系统正常运行，不得带水回填；</w:t>
      </w:r>
    </w:p>
    <w:p w14:paraId="2042A1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)管道沟槽回填宜先用中、粗砂将管底腋角管顶部位填充密实后， 再用原有种植土回填至原地面标高。</w:t>
      </w:r>
    </w:p>
    <w:p w14:paraId="0A138764">
      <w:pPr>
        <w:pStyle w:val="79"/>
        <w:ind w:firstLine="0" w:firstLineChars="0"/>
        <w:rPr>
          <w:rFonts w:hint="eastAsia"/>
          <w:color w:val="auto"/>
          <w:highlight w:val="none"/>
        </w:rPr>
      </w:pPr>
    </w:p>
    <w:p w14:paraId="2A3DB410">
      <w:pPr>
        <w:pStyle w:val="8"/>
        <w:numPr>
          <w:ilvl w:val="0"/>
          <w:numId w:val="12"/>
        </w:numPr>
        <w:ind w:firstLine="422"/>
        <w:rPr>
          <w:color w:val="auto"/>
          <w:highlight w:val="none"/>
          <w:lang w:val="en-US"/>
        </w:rPr>
      </w:pPr>
      <w:r>
        <w:rPr>
          <w:rFonts w:hint="eastAsia"/>
          <w:color w:val="auto"/>
          <w:highlight w:val="none"/>
          <w:lang w:val="en-US"/>
        </w:rPr>
        <w:t>路面拆除恢复设计技术要求</w:t>
      </w:r>
    </w:p>
    <w:p w14:paraId="1C318E26">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因敷设管线，需对原有硬化路面进行破除，考虑到埋设管线深度及开挖放坡 和施工作业面，破除恢复做法如下：</w:t>
      </w:r>
    </w:p>
    <w:p w14:paraId="34271475">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（1）混凝土硬化路面做法：1）300厚 C30 混凝土(商混)，震捣密实（分块 捣制震捣密实，每块长不大于 6 米）；2）200 厚天然级配砂夹石垫层；3）路基 碾压，压实系数＞0.97；</w:t>
      </w:r>
    </w:p>
    <w:p w14:paraId="2F16FBAB">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）沥青路面破除恢复做法：挖出旧路13cm 沥青混凝土+18cm 水泥稳定砂砾 +18cm 级配砂砾，路床以下继续开挖至管底设计标高，管道铺设后封层回填压实， 管顶第一层不小于0.5m，以上各层按照每30cm 回填压实至路床顶面，新建13cm  沥青混凝土+40cm C35混凝土+18cm 级配砂砾。</w:t>
      </w:r>
    </w:p>
    <w:p w14:paraId="275FB6E5">
      <w:pPr>
        <w:pStyle w:val="8"/>
        <w:numPr>
          <w:ilvl w:val="-1"/>
          <w:numId w:val="0"/>
        </w:numPr>
        <w:ind w:firstLine="422" w:firstLineChars="200"/>
        <w:rPr>
          <w:rFonts w:hint="eastAsia" w:eastAsia="宋体" w:cs="Times New Roman"/>
          <w:color w:val="auto"/>
          <w:szCs w:val="28"/>
          <w:highlight w:val="none"/>
          <w:lang w:val="en-US" w:eastAsia="zh-CN"/>
        </w:rPr>
      </w:pPr>
      <w:r>
        <w:rPr>
          <w:rFonts w:hint="eastAsia" w:eastAsia="宋体" w:cs="Times New Roman"/>
          <w:color w:val="auto"/>
          <w:szCs w:val="28"/>
          <w:highlight w:val="none"/>
          <w:lang w:val="en-US" w:eastAsia="zh-CN"/>
        </w:rPr>
        <w:t>5.实施能力</w:t>
      </w:r>
    </w:p>
    <w:p w14:paraId="06C314C0">
      <w:pPr>
        <w:tabs>
          <w:tab w:val="left" w:pos="0"/>
        </w:tabs>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★因本项目开挖修复涉及市政工程，故投标人需具备市政公用工程施工总承包贰级及以上资质。（需提供有效期内的资质证书。）</w:t>
      </w:r>
    </w:p>
    <w:p w14:paraId="1FC1A823">
      <w:pPr>
        <w:numPr>
          <w:ilvl w:val="0"/>
          <w:numId w:val="10"/>
        </w:numPr>
        <w:tabs>
          <w:tab w:val="left" w:pos="0"/>
        </w:tabs>
        <w:snapToGrid w:val="0"/>
        <w:spacing w:line="360" w:lineRule="auto"/>
        <w:ind w:firstLine="422" w:firstLineChars="200"/>
        <w:outlineLvl w:val="2"/>
        <w:rPr>
          <w:rFonts w:hint="eastAsia" w:ascii="宋体" w:hAnsi="宋体" w:cs="宋体"/>
          <w:b/>
          <w:bCs/>
          <w:color w:val="auto"/>
          <w:szCs w:val="21"/>
          <w:highlight w:val="none"/>
        </w:rPr>
      </w:pPr>
      <w:r>
        <w:rPr>
          <w:rFonts w:ascii="宋体" w:hAnsi="宋体" w:cs="宋体"/>
          <w:b/>
          <w:bCs/>
          <w:color w:val="auto"/>
          <w:szCs w:val="21"/>
          <w:highlight w:val="none"/>
        </w:rPr>
        <w:t>运维服务</w:t>
      </w:r>
    </w:p>
    <w:p w14:paraId="635C1876">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标人应提供自验收合格之日起一年运维服务，服务内容包括但不限于定期巡检、故障维修、部件更换及系统优化，对系统（主机、水处理系统、扬尘在线监测系统、配套管线等）定期巡检，确保设备设施正常运行，达到有效降尘效果。采购人有权根据需要对运维服务进行考核。</w:t>
      </w:r>
    </w:p>
    <w:p w14:paraId="5F234739">
      <w:pPr>
        <w:pStyle w:val="8"/>
        <w:numPr>
          <w:ilvl w:val="0"/>
          <w:numId w:val="13"/>
        </w:numPr>
        <w:ind w:firstLine="422"/>
        <w:rPr>
          <w:color w:val="auto"/>
          <w:highlight w:val="none"/>
          <w:lang w:val="en-US"/>
        </w:rPr>
      </w:pPr>
      <w:r>
        <w:rPr>
          <w:rFonts w:hint="eastAsia"/>
          <w:color w:val="auto"/>
          <w:highlight w:val="none"/>
          <w:lang w:val="en-US"/>
        </w:rPr>
        <w:t>整体运维要求</w:t>
      </w:r>
    </w:p>
    <w:p w14:paraId="6770462C">
      <w:pPr>
        <w:tabs>
          <w:tab w:val="left" w:pos="0"/>
        </w:tabs>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（1）本项目所有设备的原厂质量保修期≥2年。</w:t>
      </w:r>
      <w:r>
        <w:rPr>
          <w:rFonts w:hint="eastAsia" w:ascii="宋体" w:hAnsi="宋体" w:cs="宋体"/>
          <w:color w:val="auto"/>
          <w:szCs w:val="21"/>
          <w:highlight w:val="none"/>
        </w:rPr>
        <w:t>质保期内因不能排除的故障而影响工作的情况每发生一次，其质保期相应延长60天，质保期内因货物本身缺陷造成各种故障应由卖方免费技术服务和维修。</w:t>
      </w:r>
    </w:p>
    <w:p w14:paraId="5940F879">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设备（或系统）整个使用期内，卖方应确保正常使用，在接到采购单位维修要求后应立即响应并在2小时内提出解决方案，8小时内到达现场对故障进行处理，维修过程中所需材料中标人在接到通知后应及时提供，最长不超过24小时必须送达采购单位。若48小时内无法修复的，应48小时内提供相应备用设备并负责安装调试，为此，投标人应提供相应承诺书。</w:t>
      </w:r>
    </w:p>
    <w:p w14:paraId="2C8928C7">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（3）在质保期内，中标人应负责对其提供的设备进行现场维修、损坏件更换，除人为因素外不收取额外费用，响应时间必须满足采购单位工作正常运行的要求。</w:t>
      </w:r>
    </w:p>
    <w:p w14:paraId="24EE2692">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（4）投标人在投标文件中须说明保修期内提供的服务计划。</w:t>
      </w:r>
    </w:p>
    <w:p w14:paraId="5F4A856E">
      <w:pPr>
        <w:pStyle w:val="8"/>
        <w:numPr>
          <w:ilvl w:val="0"/>
          <w:numId w:val="13"/>
        </w:numPr>
        <w:ind w:firstLine="422"/>
        <w:rPr>
          <w:color w:val="auto"/>
          <w:highlight w:val="none"/>
          <w:lang w:val="en-US"/>
        </w:rPr>
      </w:pPr>
      <w:r>
        <w:rPr>
          <w:rFonts w:hint="eastAsia"/>
          <w:color w:val="auto"/>
          <w:highlight w:val="none"/>
          <w:lang w:val="en-US"/>
        </w:rPr>
        <w:t>扬尘在线监测系统运维服务内容及要求</w:t>
      </w:r>
    </w:p>
    <w:p w14:paraId="48EDB75C">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服务内容包括设备巡检、服务器巡检、软件日常维护、故障处理、软件技术支撑，系统运行费用缴纳等。</w:t>
      </w:r>
    </w:p>
    <w:p w14:paraId="62A01B90">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日常维护工作既保障了数据有效率达到90%，数据传输有效率超过95%，又减少了系统故障发生率，给系统运行提供良好条件，降低系统运行成本。以下则重点阐述运行维护的相关工作。</w:t>
      </w:r>
    </w:p>
    <w:p w14:paraId="334E46AB">
      <w:pPr>
        <w:pStyle w:val="8"/>
        <w:numPr>
          <w:ilvl w:val="0"/>
          <w:numId w:val="13"/>
        </w:numPr>
        <w:ind w:firstLine="422"/>
        <w:rPr>
          <w:color w:val="auto"/>
          <w:highlight w:val="none"/>
          <w:lang w:val="en-US"/>
        </w:rPr>
      </w:pPr>
      <w:r>
        <w:rPr>
          <w:rFonts w:hint="eastAsia"/>
          <w:color w:val="auto"/>
          <w:highlight w:val="none"/>
          <w:lang w:val="en-US"/>
        </w:rPr>
        <w:t>降尘喷雾系统运维服务内容及要求</w:t>
      </w:r>
    </w:p>
    <w:p w14:paraId="5CF9E26A">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对降尘喷雾系统的子单元进行按半月巡检一次，一月进行常规维护 保养一次，一季度进行深度维护保养一次，确保项目有效运行。</w:t>
      </w:r>
    </w:p>
    <w:p w14:paraId="796FE39B">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日常巡检</w:t>
      </w:r>
    </w:p>
    <w:p w14:paraId="547BAF1D">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制定巡检计划，安排专业人员每天对大气环境治理设备进行巡检。检查设备 的运行状态，如风机是否正常运转、电机温度是否过高、设备有无异常噪音等。 查看仪表显示数据，如压力、温度、流量等是否在正常范围内。检查设备的密封 性，做好巡检记录，对发现的问题及时进行处理或报告。</w:t>
      </w:r>
    </w:p>
    <w:p w14:paraId="27F9C47A">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（3）定期维护</w:t>
      </w:r>
    </w:p>
    <w:p w14:paraId="33F3471A">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制定详细的定期维护计划，根据设备的使用情况和维护手册确定维护周期和 内容。对电气控制系统进行检查和维护，确保设备的自动控制功能正常。维护完 成后进行设备调试和试运行，确保设备性能达到要求。</w:t>
      </w:r>
    </w:p>
    <w:p w14:paraId="16FB6E90">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（3）故障处理</w:t>
      </w:r>
    </w:p>
    <w:p w14:paraId="46CD540B">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建立故障报告制度，当设备出现故障时，操作人员应立即停止设备运行，并 报告相关负责人。组织专业技术人员进行故障诊断和维修，尽快恢复设备的正常 运行。对于常见故障，如滤袋破损、风机故障等，制定相应的应急处理方案，确 保能够及时处理。对于复杂故障，邀请设备厂家或专业维修单位进行维修。对故 障原因进行分析，总结经验教训，采取相应的措施防止故障再次发生。</w:t>
      </w:r>
    </w:p>
    <w:p w14:paraId="4E1DF9A5">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（4）设备升级改造</w:t>
      </w:r>
    </w:p>
    <w:p w14:paraId="6EFF0C00">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关注大气环境治理技术的发展动态，及时了解新的设备和技术。根据园区的 实际情况和环保要求，对现有设备进行升级改造，提高设备的处理效率和性能。</w:t>
      </w:r>
    </w:p>
    <w:p w14:paraId="497C4CC4">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（5）人员培训</w:t>
      </w:r>
    </w:p>
    <w:p w14:paraId="4099E347">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定期组织设备操作人员和维护人员进行培训，提高其专业技能和操作水平。 培训内容包括设备的操作规程、维护保养方法、故障处理技巧等。进行实际操作培训，提高操作人员的应急处理能力。对培训效果进行考核，确保操作人员能够 熟练掌握设备的操作和维护。</w:t>
      </w:r>
    </w:p>
    <w:p w14:paraId="6AB10018">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（6）档案管理</w:t>
      </w:r>
    </w:p>
    <w:p w14:paraId="235D88BD">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建立大气环境治理设备档案，记录设备的基本信息、安装调试情况、维护保养记 录、故障处理记录等。对档案进行分类管理，便于查询和使用。定期对档案进行 更新和整理，确保档案的完整性和准确性。</w:t>
      </w:r>
    </w:p>
    <w:p w14:paraId="56538357">
      <w:pPr>
        <w:numPr>
          <w:ilvl w:val="0"/>
          <w:numId w:val="10"/>
        </w:numPr>
        <w:tabs>
          <w:tab w:val="left" w:pos="0"/>
        </w:tabs>
        <w:snapToGrid w:val="0"/>
        <w:spacing w:line="360" w:lineRule="auto"/>
        <w:ind w:firstLine="422" w:firstLineChars="200"/>
        <w:outlineLvl w:val="2"/>
        <w:rPr>
          <w:rFonts w:hint="eastAsia" w:ascii="宋体" w:hAnsi="宋体" w:cs="宋体"/>
          <w:b/>
          <w:bCs/>
          <w:color w:val="auto"/>
          <w:szCs w:val="21"/>
          <w:highlight w:val="none"/>
        </w:rPr>
      </w:pPr>
      <w:r>
        <w:rPr>
          <w:rFonts w:ascii="宋体" w:hAnsi="宋体" w:cs="宋体"/>
          <w:b/>
          <w:bCs/>
          <w:color w:val="auto"/>
          <w:szCs w:val="21"/>
          <w:highlight w:val="none"/>
        </w:rPr>
        <w:t>扬尘治理设备、空气监测设备选点服务</w:t>
      </w:r>
    </w:p>
    <w:p w14:paraId="5CE281C9">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结合道路距离、设备安装数量、安装方位、气象参数、车辆数量等方面论证对道路扬尘治理</w:t>
      </w:r>
      <w:r>
        <w:rPr>
          <w:rFonts w:hint="eastAsia" w:ascii="宋体" w:hAnsi="宋体" w:cs="宋体"/>
          <w:color w:val="auto"/>
          <w:kern w:val="0"/>
          <w:szCs w:val="21"/>
          <w:highlight w:val="none"/>
        </w:rPr>
        <w:t>进行</w:t>
      </w:r>
      <w:r>
        <w:rPr>
          <w:rFonts w:hint="eastAsia" w:ascii="宋体" w:hAnsi="宋体" w:cs="宋体"/>
          <w:color w:val="auto"/>
          <w:szCs w:val="21"/>
          <w:highlight w:val="none"/>
        </w:rPr>
        <w:t>选点</w:t>
      </w:r>
      <w:r>
        <w:rPr>
          <w:rFonts w:hint="eastAsia" w:ascii="宋体" w:hAnsi="宋体" w:cs="宋体"/>
          <w:color w:val="auto"/>
          <w:kern w:val="0"/>
          <w:szCs w:val="21"/>
          <w:highlight w:val="none"/>
        </w:rPr>
        <w:t>，最终点位需经过采购人同意后实施。</w:t>
      </w:r>
    </w:p>
    <w:p w14:paraId="7899EC69">
      <w:pPr>
        <w:numPr>
          <w:ilvl w:val="0"/>
          <w:numId w:val="10"/>
        </w:numPr>
        <w:tabs>
          <w:tab w:val="left" w:pos="0"/>
        </w:tabs>
        <w:snapToGrid w:val="0"/>
        <w:spacing w:line="360" w:lineRule="auto"/>
        <w:ind w:firstLine="422" w:firstLineChars="200"/>
        <w:outlineLvl w:val="2"/>
        <w:rPr>
          <w:rFonts w:hint="eastAsia" w:ascii="宋体" w:hAnsi="宋体" w:cs="宋体"/>
          <w:b/>
          <w:bCs/>
          <w:color w:val="auto"/>
          <w:szCs w:val="21"/>
          <w:highlight w:val="none"/>
        </w:rPr>
      </w:pPr>
      <w:r>
        <w:rPr>
          <w:rFonts w:hint="eastAsia" w:ascii="宋体" w:hAnsi="宋体" w:cs="宋体"/>
          <w:b/>
          <w:bCs/>
          <w:color w:val="auto"/>
          <w:szCs w:val="21"/>
          <w:highlight w:val="none"/>
        </w:rPr>
        <w:t>服务其他配套服务（含设备施工</w:t>
      </w:r>
      <w:r>
        <w:rPr>
          <w:rFonts w:ascii="宋体" w:hAnsi="宋体" w:cs="宋体"/>
          <w:b/>
          <w:bCs/>
          <w:color w:val="auto"/>
          <w:szCs w:val="21"/>
          <w:highlight w:val="none"/>
        </w:rPr>
        <w:t>安装等服务）</w:t>
      </w:r>
    </w:p>
    <w:p w14:paraId="440F63AB">
      <w:pPr>
        <w:pStyle w:val="8"/>
        <w:numPr>
          <w:ilvl w:val="0"/>
          <w:numId w:val="14"/>
        </w:numPr>
        <w:ind w:firstLine="422"/>
        <w:rPr>
          <w:color w:val="auto"/>
          <w:highlight w:val="none"/>
          <w:lang w:val="en-US"/>
        </w:rPr>
      </w:pPr>
      <w:r>
        <w:rPr>
          <w:rFonts w:hint="eastAsia"/>
          <w:color w:val="auto"/>
          <w:highlight w:val="none"/>
          <w:lang w:val="en-US"/>
        </w:rPr>
        <w:t>喷淋设备安装流程</w:t>
      </w:r>
    </w:p>
    <w:p w14:paraId="1D6F63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（1)确定主机及配电柜安放位置；</w:t>
      </w:r>
    </w:p>
    <w:p w14:paraId="555375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（2)确定接水电位置；</w:t>
      </w:r>
    </w:p>
    <w:p w14:paraId="7DDB0F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（3)开挖、破路、预埋电缆水管；</w:t>
      </w:r>
    </w:p>
    <w:p w14:paraId="57E57C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（4)安装主机、喷头（用升降机）；</w:t>
      </w:r>
    </w:p>
    <w:p w14:paraId="19EE70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（5)道路回填及硬化路面；</w:t>
      </w:r>
    </w:p>
    <w:p w14:paraId="6B6231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（6)安装完毕后调试；</w:t>
      </w:r>
    </w:p>
    <w:p w14:paraId="3106D516">
      <w:pPr>
        <w:pStyle w:val="8"/>
        <w:numPr>
          <w:ilvl w:val="0"/>
          <w:numId w:val="14"/>
        </w:numPr>
        <w:ind w:firstLine="422"/>
        <w:rPr>
          <w:color w:val="auto"/>
          <w:highlight w:val="none"/>
          <w:lang w:val="en-US"/>
        </w:rPr>
      </w:pPr>
      <w:r>
        <w:rPr>
          <w:rFonts w:hint="eastAsia"/>
          <w:color w:val="auto"/>
          <w:highlight w:val="none"/>
          <w:lang w:val="en-US"/>
        </w:rPr>
        <w:t>扬尘在线监测设备安装流程</w:t>
      </w:r>
    </w:p>
    <w:p w14:paraId="6E2979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（1）确定设备安放位置；</w:t>
      </w:r>
    </w:p>
    <w:p w14:paraId="481B42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确定接电位置；</w:t>
      </w:r>
    </w:p>
    <w:p w14:paraId="58D663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开挖、破路、预埋电缆；</w:t>
      </w:r>
    </w:p>
    <w:p w14:paraId="33A140D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安装设备；</w:t>
      </w:r>
    </w:p>
    <w:p w14:paraId="4C41F8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（5)道路回填及硬化路面；</w:t>
      </w:r>
    </w:p>
    <w:p w14:paraId="19E4A33A">
      <w:pPr>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（6)安装完毕后调试；</w:t>
      </w:r>
    </w:p>
    <w:p w14:paraId="7356A6EF">
      <w:pPr>
        <w:keepNext/>
        <w:keepLines/>
        <w:numPr>
          <w:ilvl w:val="0"/>
          <w:numId w:val="3"/>
        </w:numPr>
        <w:adjustRightInd/>
        <w:spacing w:line="360" w:lineRule="auto"/>
        <w:jc w:val="left"/>
        <w:outlineLvl w:val="1"/>
        <w:rPr>
          <w:rFonts w:hint="eastAsia" w:ascii="仿宋_GB2312" w:hAnsi="仿宋_GB2312"/>
          <w:b/>
          <w:bCs/>
          <w:color w:val="auto"/>
          <w:szCs w:val="21"/>
          <w:highlight w:val="none"/>
        </w:rPr>
      </w:pPr>
      <w:bookmarkStart w:id="40" w:name="_Toc25154"/>
      <w:r>
        <w:rPr>
          <w:rFonts w:hint="eastAsia" w:ascii="仿宋_GB2312" w:hAnsi="仿宋_GB2312"/>
          <w:b/>
          <w:bCs/>
          <w:color w:val="auto"/>
          <w:szCs w:val="21"/>
          <w:highlight w:val="none"/>
        </w:rPr>
        <w:t>项目其他要求</w:t>
      </w:r>
      <w:bookmarkEnd w:id="40"/>
    </w:p>
    <w:p w14:paraId="5E4F07DF">
      <w:pPr>
        <w:tabs>
          <w:tab w:val="left" w:pos="0"/>
        </w:tabs>
        <w:snapToGrid w:val="0"/>
        <w:spacing w:line="360" w:lineRule="auto"/>
        <w:ind w:firstLine="422" w:firstLineChars="200"/>
        <w:outlineLvl w:val="2"/>
        <w:rPr>
          <w:rFonts w:hint="eastAsia" w:ascii="宋体" w:hAnsi="宋体" w:cs="宋体"/>
          <w:b/>
          <w:bCs/>
          <w:color w:val="auto"/>
          <w:szCs w:val="21"/>
          <w:highlight w:val="none"/>
        </w:rPr>
      </w:pPr>
      <w:r>
        <w:rPr>
          <w:rFonts w:hint="eastAsia" w:ascii="宋体" w:hAnsi="宋体" w:cs="宋体"/>
          <w:b/>
          <w:bCs/>
          <w:color w:val="auto"/>
          <w:szCs w:val="21"/>
          <w:highlight w:val="none"/>
        </w:rPr>
        <w:t>（一）时间相关要求</w:t>
      </w:r>
    </w:p>
    <w:p w14:paraId="18EDE954">
      <w:pPr>
        <w:tabs>
          <w:tab w:val="left" w:pos="0"/>
        </w:tabs>
        <w:snapToGrid w:val="0"/>
        <w:spacing w:line="360" w:lineRule="auto"/>
        <w:ind w:firstLine="422" w:firstLineChars="200"/>
        <w:outlineLvl w:val="2"/>
        <w:rPr>
          <w:rFonts w:ascii="Calibri" w:hAnsi="Calibri" w:cs="Calibri"/>
          <w:b/>
          <w:color w:val="auto"/>
          <w:szCs w:val="21"/>
          <w:highlight w:val="none"/>
          <w:u w:val="single"/>
        </w:rPr>
      </w:pPr>
      <w:r>
        <w:rPr>
          <w:rFonts w:hint="eastAsia" w:ascii="Calibri" w:hAnsi="Calibri" w:cs="Calibri"/>
          <w:b/>
          <w:color w:val="auto"/>
          <w:szCs w:val="21"/>
          <w:highlight w:val="none"/>
          <w:u w:val="single"/>
        </w:rPr>
        <w:t>▲1.中标供应商在合同签订生效后，必须在15日历天内按采购单位要求完成新设备交货（并向采购单位提供产品合格证等相关的资料和配件）；中标人须在3个月内将合同标的运至采购单位指定地点并完成仪器设备安装运行。如在规定的时间内由于中标人的原因不能完成交货的，中标人应承担由此给采购单位造成的损失（每延迟一天，赔偿中标金额的1%）。</w:t>
      </w:r>
    </w:p>
    <w:p w14:paraId="7A1D03E5">
      <w:pPr>
        <w:tabs>
          <w:tab w:val="left" w:pos="0"/>
        </w:tabs>
        <w:snapToGrid w:val="0"/>
        <w:spacing w:line="360" w:lineRule="auto"/>
        <w:ind w:firstLine="422" w:firstLineChars="200"/>
        <w:outlineLvl w:val="2"/>
        <w:rPr>
          <w:rFonts w:ascii="Calibri" w:hAnsi="Calibri" w:cs="Calibri"/>
          <w:b/>
          <w:color w:val="auto"/>
          <w:szCs w:val="21"/>
          <w:highlight w:val="none"/>
          <w:u w:val="single"/>
        </w:rPr>
      </w:pPr>
      <w:r>
        <w:rPr>
          <w:rFonts w:hint="eastAsia" w:ascii="Calibri" w:hAnsi="Calibri" w:cs="Calibri"/>
          <w:b/>
          <w:color w:val="auto"/>
          <w:szCs w:val="21"/>
          <w:highlight w:val="none"/>
          <w:u w:val="single"/>
        </w:rPr>
        <w:t>▲2.提供1年站点运维服务，时间为站点验收后1年。</w:t>
      </w:r>
    </w:p>
    <w:p w14:paraId="462B53DD">
      <w:pPr>
        <w:tabs>
          <w:tab w:val="left" w:pos="0"/>
        </w:tabs>
        <w:snapToGrid w:val="0"/>
        <w:spacing w:line="360" w:lineRule="auto"/>
        <w:ind w:firstLine="422" w:firstLineChars="200"/>
        <w:outlineLvl w:val="2"/>
        <w:rPr>
          <w:rFonts w:hint="eastAsia" w:ascii="宋体" w:hAnsi="宋体" w:cs="宋体"/>
          <w:b/>
          <w:bCs/>
          <w:color w:val="auto"/>
          <w:szCs w:val="21"/>
          <w:highlight w:val="none"/>
        </w:rPr>
      </w:pPr>
      <w:r>
        <w:rPr>
          <w:rFonts w:hint="eastAsia" w:ascii="宋体" w:hAnsi="宋体" w:cs="宋体"/>
          <w:b/>
          <w:bCs/>
          <w:color w:val="auto"/>
          <w:szCs w:val="21"/>
          <w:highlight w:val="none"/>
        </w:rPr>
        <w:t>（二）实施要求</w:t>
      </w:r>
    </w:p>
    <w:p w14:paraId="073D1FE1">
      <w:pPr>
        <w:pStyle w:val="8"/>
        <w:numPr>
          <w:ilvl w:val="0"/>
          <w:numId w:val="15"/>
        </w:numPr>
        <w:ind w:firstLine="422"/>
        <w:rPr>
          <w:color w:val="auto"/>
          <w:highlight w:val="none"/>
          <w:lang w:val="en-US"/>
        </w:rPr>
      </w:pPr>
      <w:r>
        <w:rPr>
          <w:rFonts w:hint="eastAsia"/>
          <w:color w:val="auto"/>
          <w:highlight w:val="none"/>
          <w:lang w:val="en-US"/>
        </w:rPr>
        <w:t>供货</w:t>
      </w:r>
    </w:p>
    <w:p w14:paraId="4EFC9F01">
      <w:pPr>
        <w:pStyle w:val="25"/>
        <w:snapToGrid w:val="0"/>
        <w:ind w:firstLine="420" w:firstLineChars="200"/>
        <w:rPr>
          <w:rFonts w:hint="eastAsia" w:hAnsi="宋体" w:cs="宋体"/>
          <w:color w:val="auto"/>
          <w:sz w:val="21"/>
          <w:highlight w:val="none"/>
        </w:rPr>
      </w:pPr>
      <w:r>
        <w:rPr>
          <w:rFonts w:hint="eastAsia" w:hAnsi="宋体" w:cs="宋体"/>
          <w:color w:val="auto"/>
          <w:sz w:val="21"/>
          <w:highlight w:val="none"/>
        </w:rPr>
        <w:t>（1）本项目所有货物均由中标人生产（如有）、采购（如有）、供应。</w:t>
      </w:r>
    </w:p>
    <w:p w14:paraId="4C6CBFE8">
      <w:pPr>
        <w:pStyle w:val="25"/>
        <w:snapToGrid w:val="0"/>
        <w:ind w:firstLine="420" w:firstLineChars="200"/>
        <w:rPr>
          <w:rFonts w:hint="eastAsia" w:hAnsi="宋体" w:cs="宋体"/>
          <w:color w:val="auto"/>
          <w:sz w:val="21"/>
          <w:highlight w:val="none"/>
        </w:rPr>
      </w:pPr>
      <w:r>
        <w:rPr>
          <w:rFonts w:hint="eastAsia" w:hAnsi="宋体" w:cs="宋体"/>
          <w:color w:val="auto"/>
          <w:sz w:val="21"/>
          <w:highlight w:val="none"/>
        </w:rPr>
        <w:t>（2）所投产品须为</w:t>
      </w:r>
      <w:r>
        <w:rPr>
          <w:rFonts w:hint="eastAsia" w:hAnsi="宋体" w:cs="宋体"/>
          <w:b/>
          <w:bCs/>
          <w:color w:val="auto"/>
          <w:sz w:val="21"/>
          <w:highlight w:val="none"/>
        </w:rPr>
        <w:t>原厂全新产品（2023年9月1日后生产）</w:t>
      </w:r>
      <w:r>
        <w:rPr>
          <w:rFonts w:hint="eastAsia" w:hAnsi="宋体" w:cs="宋体"/>
          <w:color w:val="auto"/>
          <w:sz w:val="21"/>
          <w:highlight w:val="none"/>
        </w:rPr>
        <w:t>，符合国家、行业技术规范和质量标准。本项目执行的标准、规范如有相关国家或地方标准及规范的，应符合相关国家或地方标准及规范。本项目货物所使用的标准如与投标人所执行的标准发生矛盾时，按照较高标准执行，同时投标人应在投标文件中加以注明，并附上引用标准和高标准造成成本以及报价差异说明。</w:t>
      </w:r>
    </w:p>
    <w:p w14:paraId="030AF942">
      <w:pPr>
        <w:pStyle w:val="25"/>
        <w:snapToGrid w:val="0"/>
        <w:ind w:firstLine="420" w:firstLineChars="200"/>
        <w:rPr>
          <w:rFonts w:hint="eastAsia" w:hAnsi="宋体" w:cs="宋体"/>
          <w:color w:val="auto"/>
          <w:sz w:val="21"/>
          <w:highlight w:val="none"/>
        </w:rPr>
      </w:pPr>
      <w:r>
        <w:rPr>
          <w:rFonts w:hint="eastAsia" w:hAnsi="宋体" w:cs="宋体"/>
          <w:color w:val="auto"/>
          <w:sz w:val="21"/>
          <w:highlight w:val="none"/>
        </w:rPr>
        <w:t>（3）本次招标的供货除包括上述产品外，还应包括随机的辅助设备、专用电线电缆、随机软件、技术资料（包括操作手册、使用指南、维修指南和含维修网点在内的服务手册等）、设备运行所必需的随机消耗材料，相应的技术服务与质量保证。</w:t>
      </w:r>
    </w:p>
    <w:p w14:paraId="57090183">
      <w:pPr>
        <w:pStyle w:val="25"/>
        <w:snapToGrid w:val="0"/>
        <w:ind w:firstLine="420" w:firstLineChars="200"/>
        <w:rPr>
          <w:rFonts w:hint="eastAsia" w:hAnsi="宋体" w:cs="宋体"/>
          <w:color w:val="auto"/>
          <w:sz w:val="21"/>
          <w:highlight w:val="none"/>
        </w:rPr>
      </w:pPr>
      <w:r>
        <w:rPr>
          <w:rFonts w:hint="eastAsia" w:hAnsi="宋体" w:cs="宋体"/>
          <w:color w:val="auto"/>
          <w:sz w:val="21"/>
          <w:highlight w:val="none"/>
        </w:rPr>
        <w:t>（4）本项目的所有软、硬件(如线缆、工具、控制接口硬件模块等，包括未列出而系统实施又必需的软件、硬件)需配齐以构成一套完整实用系统，如有任何遗漏，由中标人免费补齐。</w:t>
      </w:r>
    </w:p>
    <w:p w14:paraId="0F8BE2B3">
      <w:pPr>
        <w:pStyle w:val="25"/>
        <w:snapToGrid w:val="0"/>
        <w:ind w:firstLine="420" w:firstLineChars="200"/>
        <w:rPr>
          <w:rFonts w:hint="eastAsia" w:hAnsi="宋体" w:cs="宋体"/>
          <w:color w:val="auto"/>
          <w:sz w:val="21"/>
          <w:highlight w:val="none"/>
        </w:rPr>
      </w:pPr>
      <w:r>
        <w:rPr>
          <w:rFonts w:hint="eastAsia" w:hAnsi="宋体" w:cs="宋体"/>
          <w:color w:val="auto"/>
          <w:sz w:val="21"/>
          <w:highlight w:val="none"/>
        </w:rPr>
        <w:t>（5）包装防雨水，运输过程中电气以及机械设备需干燥运输，货品到达现场开箱检验前出现破损需由供应商承担更换。</w:t>
      </w:r>
    </w:p>
    <w:p w14:paraId="0484AAEC">
      <w:pPr>
        <w:pStyle w:val="25"/>
        <w:snapToGrid w:val="0"/>
        <w:ind w:firstLine="420" w:firstLineChars="200"/>
        <w:rPr>
          <w:rFonts w:hint="eastAsia" w:hAnsi="宋体" w:cs="宋体"/>
          <w:color w:val="auto"/>
          <w:sz w:val="21"/>
          <w:highlight w:val="none"/>
        </w:rPr>
      </w:pPr>
      <w:r>
        <w:rPr>
          <w:rFonts w:hint="eastAsia" w:hAnsi="宋体" w:cs="宋体"/>
          <w:color w:val="auto"/>
          <w:sz w:val="21"/>
          <w:highlight w:val="none"/>
        </w:rPr>
        <w:t>（6）供货时，若提供的设备相关技术参数不符合招标要求、或设备交付后运行三个月内出现任何故障，则中标人须无条件重新更换设备，发生故障的设备由中标人自行处置。重新更换后的设备仍须再次检测，若仍不符合招标要求，则取消该中标人中标资格，并扣除全部履约保证金，重新组织招标。以上所发生的一切费用由该中标人自行承担。</w:t>
      </w:r>
    </w:p>
    <w:p w14:paraId="709DD48E">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（7）上述所有费用均包含在报价中。</w:t>
      </w:r>
    </w:p>
    <w:p w14:paraId="71F04DF5">
      <w:pPr>
        <w:pStyle w:val="8"/>
        <w:numPr>
          <w:ilvl w:val="0"/>
          <w:numId w:val="15"/>
        </w:numPr>
        <w:ind w:firstLine="422"/>
        <w:rPr>
          <w:color w:val="auto"/>
          <w:highlight w:val="none"/>
          <w:lang w:val="en-US"/>
        </w:rPr>
      </w:pPr>
      <w:r>
        <w:rPr>
          <w:rFonts w:hint="eastAsia"/>
          <w:color w:val="auto"/>
          <w:highlight w:val="none"/>
          <w:lang w:val="en-US"/>
        </w:rPr>
        <w:t>安装调试</w:t>
      </w:r>
    </w:p>
    <w:p w14:paraId="2AEBB24E">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（1）安装地点：最终以中标设计方案为准。</w:t>
      </w:r>
    </w:p>
    <w:p w14:paraId="2F242F62">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（2）安装标准：符合我国国家有关技术规范要求和技术标准，所有的软件和硬件必须保证同时安装到位。</w:t>
      </w:r>
    </w:p>
    <w:p w14:paraId="1A3A7C4D">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（3）投标供应商应在投标文件中应提供安装计划、对安装场地和环境的要求。</w:t>
      </w:r>
    </w:p>
    <w:p w14:paraId="50BF4434">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（4）系统安装调试完毕后，如有需要与采购单位现有部分设备正常连接的，需要能在其功能范围内确保现有设备安全、稳定运行。</w:t>
      </w:r>
    </w:p>
    <w:p w14:paraId="54A85B80">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（5）中标方提供中标设备（软件和硬件）的安装调试服务，费用含在报价中。</w:t>
      </w:r>
    </w:p>
    <w:p w14:paraId="59CB2AD2">
      <w:pPr>
        <w:tabs>
          <w:tab w:val="left" w:pos="0"/>
        </w:tabs>
        <w:snapToGrid w:val="0"/>
        <w:spacing w:line="360" w:lineRule="auto"/>
        <w:ind w:firstLine="422" w:firstLineChars="200"/>
        <w:outlineLvl w:val="2"/>
        <w:rPr>
          <w:rFonts w:hint="eastAsia" w:ascii="宋体" w:hAnsi="宋体" w:cs="宋体"/>
          <w:b/>
          <w:bCs/>
          <w:color w:val="auto"/>
          <w:szCs w:val="21"/>
          <w:highlight w:val="none"/>
        </w:rPr>
      </w:pPr>
      <w:r>
        <w:rPr>
          <w:rFonts w:hint="eastAsia" w:ascii="宋体" w:hAnsi="宋体" w:cs="宋体"/>
          <w:b/>
          <w:bCs/>
          <w:color w:val="auto"/>
          <w:szCs w:val="21"/>
          <w:highlight w:val="none"/>
        </w:rPr>
        <w:t>（三）验收</w:t>
      </w:r>
    </w:p>
    <w:p w14:paraId="623694A7">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1.设备安装调试完毕且试运行无质量问题后进行本项目的设备验收。全部工作内容完毕，进行本项目最终验收。</w:t>
      </w:r>
    </w:p>
    <w:p w14:paraId="62F1A6C1">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应提供系统设备的有效检验材料，经采购单位认可后，与合同的技术指标一起作为验收标准。验收中发现系统设备达不到验收标准、合同规定的技术指标或事权上收要求，卖方必须更换，并负担由此给采购单位造成的损失，直到验收合格为止。</w:t>
      </w:r>
    </w:p>
    <w:p w14:paraId="6B971D04">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3.验收相关资料由中标人准备。</w:t>
      </w:r>
    </w:p>
    <w:p w14:paraId="1F4119AB">
      <w:pPr>
        <w:tabs>
          <w:tab w:val="left" w:pos="0"/>
        </w:tabs>
        <w:snapToGrid w:val="0"/>
        <w:spacing w:line="360" w:lineRule="auto"/>
        <w:ind w:firstLine="422" w:firstLineChars="200"/>
        <w:outlineLvl w:val="2"/>
        <w:rPr>
          <w:rFonts w:hint="eastAsia" w:ascii="宋体" w:hAnsi="宋体" w:cs="宋体"/>
          <w:b/>
          <w:bCs/>
          <w:color w:val="auto"/>
          <w:szCs w:val="21"/>
          <w:highlight w:val="none"/>
        </w:rPr>
      </w:pPr>
      <w:r>
        <w:rPr>
          <w:rFonts w:hint="eastAsia" w:ascii="宋体" w:hAnsi="宋体" w:cs="宋体"/>
          <w:b/>
          <w:bCs/>
          <w:color w:val="auto"/>
          <w:szCs w:val="21"/>
          <w:highlight w:val="none"/>
        </w:rPr>
        <w:t>（四）安全生产等要求</w:t>
      </w:r>
    </w:p>
    <w:p w14:paraId="1F82684D">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中标后，采购人与中标人签订安全生产责任书，责任书中明确提出，在项目期间所发生的任何安全事故一律由承包人负责，采购人不承担任何责任。采购人会定期对安全生产进行检查，万一出现安全事故，采购人有义务帮助承包人协调解决。</w:t>
      </w:r>
    </w:p>
    <w:p w14:paraId="68E807C5">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2.项目实施期间，绿化带或路面开挖铺设施工必须符合相关规定，中标单位做好相关部门审批备案、沟通等工作。</w:t>
      </w:r>
    </w:p>
    <w:p w14:paraId="287EFA71">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3.若市政道路砼、水稳、沥青砼路面存在外观欠佳、平整度差、表面松散等情况，招标人有权决定是否返工处理，投标人必须无条件接受。</w:t>
      </w:r>
    </w:p>
    <w:p w14:paraId="2A5A8DC7">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4.项目实施期间若有新的相关政策，中标人需无条件服从并执行。</w:t>
      </w:r>
    </w:p>
    <w:p w14:paraId="6EFDE521">
      <w:pPr>
        <w:tabs>
          <w:tab w:val="left" w:pos="0"/>
        </w:tabs>
        <w:snapToGrid w:val="0"/>
        <w:spacing w:line="360" w:lineRule="auto"/>
        <w:ind w:firstLine="422" w:firstLineChars="200"/>
        <w:outlineLvl w:val="2"/>
        <w:rPr>
          <w:rFonts w:hint="eastAsia" w:ascii="宋体" w:hAnsi="宋体" w:cs="宋体"/>
          <w:b/>
          <w:bCs/>
          <w:color w:val="auto"/>
          <w:szCs w:val="21"/>
          <w:highlight w:val="none"/>
        </w:rPr>
      </w:pPr>
      <w:r>
        <w:rPr>
          <w:rFonts w:hint="eastAsia" w:ascii="宋体" w:hAnsi="宋体" w:cs="宋体"/>
          <w:b/>
          <w:bCs/>
          <w:color w:val="auto"/>
          <w:szCs w:val="21"/>
          <w:highlight w:val="none"/>
        </w:rPr>
        <w:t>（五）培训</w:t>
      </w:r>
    </w:p>
    <w:p w14:paraId="1D4C1B07">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投标人应提供相应的培训计划，详细说明培训的方式、地点、人数、时间等实质性内容。</w:t>
      </w:r>
    </w:p>
    <w:p w14:paraId="0BB58EB9">
      <w:pPr>
        <w:tabs>
          <w:tab w:val="left" w:pos="0"/>
        </w:tabs>
        <w:snapToGrid w:val="0"/>
        <w:spacing w:line="360" w:lineRule="auto"/>
        <w:ind w:firstLine="422" w:firstLineChars="200"/>
        <w:outlineLvl w:val="2"/>
        <w:rPr>
          <w:rFonts w:hint="eastAsia" w:ascii="宋体" w:hAnsi="宋体" w:cs="宋体"/>
          <w:b/>
          <w:bCs/>
          <w:color w:val="auto"/>
          <w:szCs w:val="21"/>
          <w:highlight w:val="none"/>
        </w:rPr>
      </w:pPr>
      <w:r>
        <w:rPr>
          <w:rFonts w:hint="eastAsia" w:ascii="宋体" w:hAnsi="宋体" w:cs="宋体"/>
          <w:b/>
          <w:bCs/>
          <w:color w:val="auto"/>
          <w:szCs w:val="21"/>
          <w:highlight w:val="none"/>
        </w:rPr>
        <w:t>（六）质量保证</w:t>
      </w:r>
    </w:p>
    <w:p w14:paraId="4F310501">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标人（及制造商）对中标设备使用的安全性能与检测结果的可靠性负全部责任。为确保系统高质量，投标人应制定有关实施期间的质量保证计划，包括系统设计与施工规范化管理、仪器设备质量保证、技术人员资质及管理等。</w:t>
      </w:r>
    </w:p>
    <w:p w14:paraId="2699E13D">
      <w:pPr>
        <w:keepNext/>
        <w:keepLines/>
        <w:numPr>
          <w:ilvl w:val="0"/>
          <w:numId w:val="3"/>
        </w:numPr>
        <w:adjustRightInd/>
        <w:spacing w:line="360" w:lineRule="auto"/>
        <w:jc w:val="left"/>
        <w:outlineLvl w:val="1"/>
        <w:rPr>
          <w:rFonts w:hint="eastAsia" w:ascii="仿宋_GB2312" w:hAnsi="仿宋_GB2312"/>
          <w:b/>
          <w:bCs/>
          <w:color w:val="auto"/>
          <w:szCs w:val="21"/>
          <w:highlight w:val="none"/>
        </w:rPr>
      </w:pPr>
      <w:bookmarkStart w:id="41" w:name="_Toc2989"/>
      <w:bookmarkStart w:id="42" w:name="_Toc23167"/>
      <w:bookmarkStart w:id="43" w:name="_Toc10443"/>
      <w:r>
        <w:rPr>
          <w:rFonts w:hint="eastAsia" w:ascii="仿宋_GB2312" w:hAnsi="仿宋_GB2312"/>
          <w:b/>
          <w:bCs/>
          <w:color w:val="auto"/>
          <w:szCs w:val="21"/>
          <w:highlight w:val="none"/>
        </w:rPr>
        <w:t>商务要求</w:t>
      </w:r>
      <w:bookmarkEnd w:id="41"/>
      <w:bookmarkEnd w:id="42"/>
      <w:bookmarkEnd w:id="43"/>
    </w:p>
    <w:p w14:paraId="7862ADE2">
      <w:pPr>
        <w:pStyle w:val="25"/>
        <w:snapToGrid w:val="0"/>
        <w:ind w:firstLine="422" w:firstLineChars="200"/>
        <w:outlineLvl w:val="2"/>
        <w:rPr>
          <w:rFonts w:hint="eastAsia" w:hAnsi="宋体" w:cs="宋体"/>
          <w:b/>
          <w:bCs/>
          <w:color w:val="auto"/>
          <w:sz w:val="21"/>
          <w:highlight w:val="none"/>
        </w:rPr>
      </w:pPr>
      <w:r>
        <w:rPr>
          <w:rFonts w:hint="eastAsia" w:hAnsi="宋体" w:cs="宋体"/>
          <w:b/>
          <w:bCs/>
          <w:color w:val="auto"/>
          <w:sz w:val="21"/>
          <w:highlight w:val="none"/>
        </w:rPr>
        <w:t>（一）投标报价</w:t>
      </w:r>
    </w:p>
    <w:p w14:paraId="7CB5B74D">
      <w:pPr>
        <w:pStyle w:val="25"/>
        <w:snapToGrid w:val="0"/>
        <w:ind w:firstLine="420" w:firstLineChars="200"/>
        <w:rPr>
          <w:rFonts w:hint="eastAsia" w:hAnsi="宋体" w:cs="宋体"/>
          <w:color w:val="auto"/>
          <w:sz w:val="21"/>
          <w:highlight w:val="none"/>
        </w:rPr>
      </w:pPr>
      <w:r>
        <w:rPr>
          <w:rFonts w:hint="eastAsia" w:hAnsi="宋体" w:cs="宋体"/>
          <w:color w:val="auto"/>
          <w:sz w:val="21"/>
          <w:highlight w:val="none"/>
          <w:lang w:val="en-US"/>
        </w:rPr>
        <w:t>1.</w:t>
      </w:r>
      <w:r>
        <w:rPr>
          <w:rFonts w:hint="eastAsia" w:hAnsi="宋体" w:cs="宋体"/>
          <w:color w:val="auto"/>
          <w:sz w:val="21"/>
          <w:highlight w:val="none"/>
        </w:rPr>
        <w:t>本项目采用总价包干方式。</w:t>
      </w:r>
    </w:p>
    <w:p w14:paraId="6245FD15">
      <w:pPr>
        <w:pStyle w:val="25"/>
        <w:snapToGrid w:val="0"/>
        <w:ind w:firstLine="420" w:firstLineChars="200"/>
        <w:rPr>
          <w:rFonts w:hint="eastAsia" w:hAnsi="宋体" w:cs="宋体"/>
          <w:color w:val="auto"/>
          <w:sz w:val="21"/>
          <w:highlight w:val="none"/>
        </w:rPr>
      </w:pPr>
      <w:r>
        <w:rPr>
          <w:rFonts w:hint="eastAsia" w:hAnsi="宋体" w:cs="宋体"/>
          <w:color w:val="auto"/>
          <w:sz w:val="21"/>
          <w:highlight w:val="none"/>
          <w:lang w:val="en-US"/>
        </w:rPr>
        <w:t>2.</w:t>
      </w:r>
      <w:r>
        <w:rPr>
          <w:rFonts w:hint="eastAsia" w:hAnsi="宋体" w:cs="宋体"/>
          <w:color w:val="auto"/>
          <w:sz w:val="21"/>
          <w:highlight w:val="none"/>
        </w:rPr>
        <w:t>投标人的报价应包括为完成本项目可能发生的全部费用及投标人的利润和应缴纳的税金等，绿化带或路面开挖铺设施工、采购、集成、安装、调试、人工、合同标的内的运维服务、风险等费用均包含在内。投标人对合同内容的费用、质量、安全、文明服务等实行全面承包。</w:t>
      </w:r>
    </w:p>
    <w:p w14:paraId="320AEF10">
      <w:pPr>
        <w:pStyle w:val="25"/>
        <w:snapToGrid w:val="0"/>
        <w:ind w:firstLine="422" w:firstLineChars="200"/>
        <w:outlineLvl w:val="2"/>
        <w:rPr>
          <w:rFonts w:hint="eastAsia" w:hAnsi="宋体" w:cs="宋体"/>
          <w:b/>
          <w:bCs/>
          <w:color w:val="auto"/>
          <w:sz w:val="21"/>
          <w:highlight w:val="none"/>
        </w:rPr>
      </w:pPr>
      <w:r>
        <w:rPr>
          <w:rFonts w:hint="eastAsia" w:hAnsi="宋体" w:cs="宋体"/>
          <w:b/>
          <w:bCs/>
          <w:color w:val="auto"/>
          <w:sz w:val="21"/>
          <w:highlight w:val="none"/>
        </w:rPr>
        <w:t>（二）履约保证金</w:t>
      </w:r>
    </w:p>
    <w:p w14:paraId="688209E2">
      <w:pPr>
        <w:pStyle w:val="25"/>
        <w:snapToGrid w:val="0"/>
        <w:ind w:firstLine="420" w:firstLineChars="200"/>
        <w:rPr>
          <w:rFonts w:hint="eastAsia" w:hAnsi="宋体" w:cs="宋体"/>
          <w:color w:val="auto"/>
          <w:sz w:val="21"/>
          <w:highlight w:val="none"/>
        </w:rPr>
      </w:pPr>
      <w:r>
        <w:rPr>
          <w:rFonts w:hint="eastAsia" w:hAnsi="宋体" w:cs="宋体"/>
          <w:color w:val="auto"/>
          <w:sz w:val="21"/>
          <w:highlight w:val="none"/>
        </w:rPr>
        <w:t>无。</w:t>
      </w:r>
    </w:p>
    <w:p w14:paraId="5FC21178">
      <w:pPr>
        <w:pStyle w:val="25"/>
        <w:numPr>
          <w:ilvl w:val="0"/>
          <w:numId w:val="5"/>
        </w:numPr>
        <w:snapToGrid w:val="0"/>
        <w:ind w:firstLine="422" w:firstLineChars="200"/>
        <w:outlineLvl w:val="2"/>
        <w:rPr>
          <w:rFonts w:hint="eastAsia" w:hAnsi="宋体" w:cs="宋体"/>
          <w:b/>
          <w:bCs/>
          <w:color w:val="auto"/>
          <w:sz w:val="21"/>
          <w:highlight w:val="none"/>
        </w:rPr>
      </w:pPr>
      <w:r>
        <w:rPr>
          <w:rFonts w:hint="eastAsia" w:hAnsi="宋体" w:cs="宋体"/>
          <w:b/>
          <w:bCs/>
          <w:color w:val="auto"/>
          <w:sz w:val="21"/>
          <w:highlight w:val="none"/>
        </w:rPr>
        <w:t>合同款支付</w:t>
      </w:r>
    </w:p>
    <w:p w14:paraId="332517CA">
      <w:pPr>
        <w:pStyle w:val="25"/>
        <w:snapToGrid w:val="0"/>
        <w:ind w:firstLine="420" w:firstLineChars="200"/>
        <w:rPr>
          <w:rFonts w:hint="eastAsia" w:hAnsi="宋体" w:cs="宋体"/>
          <w:color w:val="auto"/>
          <w:sz w:val="21"/>
          <w:highlight w:val="none"/>
          <w:lang w:val="en-US"/>
        </w:rPr>
      </w:pPr>
      <w:r>
        <w:rPr>
          <w:rFonts w:hint="eastAsia" w:hAnsi="宋体" w:cs="宋体"/>
          <w:color w:val="auto"/>
          <w:sz w:val="21"/>
          <w:highlight w:val="none"/>
          <w:lang w:val="en-US"/>
        </w:rPr>
        <w:t>详见合同专用条款。</w:t>
      </w:r>
    </w:p>
    <w:p w14:paraId="310E6924">
      <w:pPr>
        <w:keepNext/>
        <w:keepLines/>
        <w:numPr>
          <w:ilvl w:val="0"/>
          <w:numId w:val="3"/>
        </w:numPr>
        <w:adjustRightInd/>
        <w:spacing w:line="360" w:lineRule="auto"/>
        <w:jc w:val="left"/>
        <w:outlineLvl w:val="1"/>
        <w:rPr>
          <w:rFonts w:hint="eastAsia" w:ascii="仿宋_GB2312" w:hAnsi="仿宋_GB2312"/>
          <w:b/>
          <w:bCs/>
          <w:color w:val="auto"/>
          <w:szCs w:val="21"/>
          <w:highlight w:val="none"/>
        </w:rPr>
      </w:pPr>
      <w:bookmarkStart w:id="44" w:name="_Toc20742"/>
      <w:r>
        <w:rPr>
          <w:rFonts w:hint="eastAsia" w:ascii="仿宋_GB2312" w:hAnsi="仿宋_GB2312"/>
          <w:b/>
          <w:bCs/>
          <w:color w:val="auto"/>
          <w:szCs w:val="21"/>
          <w:highlight w:val="none"/>
        </w:rPr>
        <w:t>其他的相关要求</w:t>
      </w:r>
      <w:bookmarkEnd w:id="44"/>
    </w:p>
    <w:p w14:paraId="10E44BDE">
      <w:pPr>
        <w:pStyle w:val="25"/>
        <w:snapToGrid w:val="0"/>
        <w:ind w:firstLine="422" w:firstLineChars="200"/>
        <w:outlineLvl w:val="2"/>
        <w:rPr>
          <w:rFonts w:hint="eastAsia" w:hAnsi="宋体" w:cs="宋体"/>
          <w:b/>
          <w:bCs/>
          <w:color w:val="auto"/>
          <w:sz w:val="21"/>
          <w:highlight w:val="none"/>
        </w:rPr>
      </w:pPr>
      <w:r>
        <w:rPr>
          <w:rFonts w:hint="eastAsia" w:hAnsi="宋体" w:cs="宋体"/>
          <w:b/>
          <w:bCs/>
          <w:color w:val="auto"/>
          <w:sz w:val="21"/>
          <w:highlight w:val="none"/>
        </w:rPr>
        <w:t>（</w:t>
      </w:r>
      <w:r>
        <w:rPr>
          <w:rFonts w:hint="eastAsia" w:hAnsi="宋体" w:cs="宋体"/>
          <w:b/>
          <w:bCs/>
          <w:color w:val="auto"/>
          <w:sz w:val="21"/>
          <w:highlight w:val="none"/>
          <w:lang w:val="en-US"/>
        </w:rPr>
        <w:t>一</w:t>
      </w:r>
      <w:r>
        <w:rPr>
          <w:rFonts w:hint="eastAsia" w:hAnsi="宋体" w:cs="宋体"/>
          <w:b/>
          <w:bCs/>
          <w:color w:val="auto"/>
          <w:sz w:val="21"/>
          <w:highlight w:val="none"/>
        </w:rPr>
        <w:t>）项目团队要求</w:t>
      </w:r>
    </w:p>
    <w:p w14:paraId="213F498F">
      <w:pPr>
        <w:pStyle w:val="25"/>
        <w:snapToGrid w:val="0"/>
        <w:ind w:firstLine="420" w:firstLineChars="200"/>
        <w:rPr>
          <w:rFonts w:hint="eastAsia" w:hAnsi="宋体" w:cs="宋体"/>
          <w:bCs/>
          <w:color w:val="auto"/>
          <w:sz w:val="21"/>
          <w:highlight w:val="none"/>
        </w:rPr>
      </w:pPr>
      <w:r>
        <w:rPr>
          <w:rFonts w:hint="eastAsia" w:hAnsi="宋体" w:cs="宋体"/>
          <w:bCs/>
          <w:color w:val="auto"/>
          <w:sz w:val="21"/>
          <w:highlight w:val="none"/>
          <w:lang w:val="en-US"/>
        </w:rPr>
        <w:t>1.</w:t>
      </w:r>
      <w:r>
        <w:rPr>
          <w:rFonts w:hint="eastAsia" w:hAnsi="宋体" w:cs="宋体"/>
          <w:bCs/>
          <w:color w:val="auto"/>
          <w:sz w:val="21"/>
          <w:highlight w:val="none"/>
        </w:rPr>
        <w:t>为本项目组建专门的项目团队。该部分人员应提供投标人为其缴纳的</w:t>
      </w:r>
      <w:r>
        <w:rPr>
          <w:color w:val="auto"/>
          <w:sz w:val="21"/>
          <w:highlight w:val="none"/>
          <w:lang w:val="en-US"/>
        </w:rPr>
        <w:t>投标截止日最近一期社保</w:t>
      </w:r>
      <w:r>
        <w:rPr>
          <w:rFonts w:hint="eastAsia" w:hAnsi="宋体" w:cs="宋体"/>
          <w:bCs/>
          <w:color w:val="auto"/>
          <w:sz w:val="21"/>
          <w:highlight w:val="none"/>
        </w:rPr>
        <w:t>，否则人员不予认可。</w:t>
      </w:r>
    </w:p>
    <w:p w14:paraId="13F5B87C">
      <w:pPr>
        <w:pStyle w:val="25"/>
        <w:snapToGrid w:val="0"/>
        <w:ind w:firstLine="420" w:firstLineChars="200"/>
        <w:rPr>
          <w:rFonts w:hint="eastAsia" w:hAnsi="宋体" w:cs="宋体"/>
          <w:bCs/>
          <w:color w:val="auto"/>
          <w:sz w:val="21"/>
          <w:highlight w:val="none"/>
        </w:rPr>
      </w:pPr>
      <w:r>
        <w:rPr>
          <w:rFonts w:hint="eastAsia" w:hAnsi="宋体" w:cs="宋体"/>
          <w:bCs/>
          <w:color w:val="auto"/>
          <w:sz w:val="21"/>
          <w:highlight w:val="none"/>
          <w:lang w:val="en-US"/>
        </w:rPr>
        <w:t>2.</w:t>
      </w:r>
      <w:r>
        <w:rPr>
          <w:rFonts w:hint="eastAsia" w:hAnsi="宋体" w:cs="宋体"/>
          <w:bCs/>
          <w:color w:val="auto"/>
          <w:sz w:val="21"/>
          <w:highlight w:val="none"/>
        </w:rPr>
        <w:t>设置项目负责人</w:t>
      </w:r>
      <w:r>
        <w:rPr>
          <w:rFonts w:hint="eastAsia" w:hAnsi="宋体" w:cs="宋体"/>
          <w:bCs/>
          <w:color w:val="auto"/>
          <w:sz w:val="21"/>
          <w:highlight w:val="none"/>
          <w:lang w:val="en-US"/>
        </w:rPr>
        <w:t>一名</w:t>
      </w:r>
      <w:r>
        <w:rPr>
          <w:rFonts w:hint="eastAsia" w:hAnsi="宋体" w:cs="宋体"/>
          <w:bCs/>
          <w:color w:val="auto"/>
          <w:sz w:val="21"/>
          <w:highlight w:val="none"/>
        </w:rPr>
        <w:t>，除项目负责人外，为本项目配备</w:t>
      </w:r>
      <w:r>
        <w:rPr>
          <w:rFonts w:hint="eastAsia" w:hAnsi="宋体" w:cs="宋体"/>
          <w:bCs/>
          <w:color w:val="auto"/>
          <w:sz w:val="21"/>
          <w:highlight w:val="none"/>
          <w:lang w:val="en-US"/>
        </w:rPr>
        <w:t>技术负责人一名；并配备安全员、施工员（市政专业）、质量员（市政专业）、材料员、资料员</w:t>
      </w:r>
      <w:r>
        <w:rPr>
          <w:rFonts w:hint="eastAsia" w:hAnsi="宋体" w:cs="宋体"/>
          <w:bCs/>
          <w:color w:val="auto"/>
          <w:sz w:val="21"/>
          <w:highlight w:val="none"/>
        </w:rPr>
        <w:t>，</w:t>
      </w:r>
      <w:r>
        <w:rPr>
          <w:rFonts w:hint="eastAsia" w:hAnsi="宋体" w:cs="宋体"/>
          <w:bCs/>
          <w:color w:val="auto"/>
          <w:sz w:val="21"/>
          <w:highlight w:val="none"/>
          <w:lang w:val="en-US"/>
        </w:rPr>
        <w:t>项目人员均需具备相关专业能力</w:t>
      </w:r>
      <w:r>
        <w:rPr>
          <w:rFonts w:hint="eastAsia" w:hAnsi="宋体" w:cs="宋体"/>
          <w:bCs/>
          <w:color w:val="auto"/>
          <w:sz w:val="21"/>
          <w:highlight w:val="none"/>
        </w:rPr>
        <w:t>。</w:t>
      </w:r>
    </w:p>
    <w:p w14:paraId="54B3361A">
      <w:pPr>
        <w:pStyle w:val="25"/>
        <w:snapToGrid w:val="0"/>
        <w:ind w:firstLine="422" w:firstLineChars="200"/>
        <w:outlineLvl w:val="2"/>
        <w:rPr>
          <w:rFonts w:hint="eastAsia" w:hAnsi="宋体" w:cs="宋体"/>
          <w:b/>
          <w:bCs/>
          <w:color w:val="auto"/>
          <w:sz w:val="21"/>
          <w:highlight w:val="none"/>
        </w:rPr>
      </w:pPr>
      <w:r>
        <w:rPr>
          <w:rFonts w:hint="eastAsia" w:hAnsi="宋体" w:cs="宋体"/>
          <w:b/>
          <w:bCs/>
          <w:color w:val="auto"/>
          <w:sz w:val="21"/>
          <w:highlight w:val="none"/>
        </w:rPr>
        <w:t>（</w:t>
      </w:r>
      <w:r>
        <w:rPr>
          <w:rFonts w:hint="eastAsia" w:hAnsi="宋体" w:cs="宋体"/>
          <w:b/>
          <w:bCs/>
          <w:color w:val="auto"/>
          <w:sz w:val="21"/>
          <w:highlight w:val="none"/>
          <w:lang w:val="en-US"/>
        </w:rPr>
        <w:t>二</w:t>
      </w:r>
      <w:r>
        <w:rPr>
          <w:rFonts w:hint="eastAsia" w:hAnsi="宋体" w:cs="宋体"/>
          <w:b/>
          <w:bCs/>
          <w:color w:val="auto"/>
          <w:sz w:val="21"/>
          <w:highlight w:val="none"/>
        </w:rPr>
        <w:t>）设施设备要求</w:t>
      </w:r>
    </w:p>
    <w:p w14:paraId="7A2F611A">
      <w:pPr>
        <w:tabs>
          <w:tab w:val="left" w:pos="0"/>
        </w:tabs>
        <w:snapToGrid w:val="0"/>
        <w:spacing w:line="360" w:lineRule="auto"/>
        <w:ind w:firstLine="420" w:firstLineChars="200"/>
        <w:rPr>
          <w:rFonts w:hint="eastAsia" w:ascii="宋体" w:hAnsi="宋体" w:cs="宋体"/>
          <w:color w:val="auto"/>
          <w:szCs w:val="21"/>
          <w:highlight w:val="none"/>
          <w:lang w:eastAsia="zh-Hans"/>
        </w:rPr>
      </w:pPr>
      <w:r>
        <w:rPr>
          <w:rFonts w:hint="eastAsia" w:ascii="宋体" w:hAnsi="宋体" w:cs="宋体"/>
          <w:color w:val="auto"/>
          <w:szCs w:val="21"/>
          <w:highlight w:val="none"/>
        </w:rPr>
        <w:t>1.</w:t>
      </w:r>
      <w:r>
        <w:rPr>
          <w:rFonts w:hint="eastAsia" w:ascii="宋体" w:hAnsi="宋体" w:cs="宋体"/>
          <w:color w:val="auto"/>
          <w:szCs w:val="21"/>
          <w:highlight w:val="none"/>
          <w:lang w:eastAsia="zh-Hans"/>
        </w:rPr>
        <w:t>投标人配备专用工具，包括便携式电脑、万用表、远程数据查询系统、各种硬件接口线、接口调试软件及常用零部件等。备有项目仪器所用的常规耗材备件，便于日常使用。</w:t>
      </w:r>
    </w:p>
    <w:p w14:paraId="06AD2499">
      <w:pPr>
        <w:tabs>
          <w:tab w:val="left" w:pos="0"/>
        </w:tabs>
        <w:snapToGrid w:val="0"/>
        <w:spacing w:line="360" w:lineRule="auto"/>
        <w:ind w:firstLine="420" w:firstLineChars="200"/>
        <w:rPr>
          <w:rFonts w:hint="eastAsia" w:ascii="宋体" w:hAnsi="宋体" w:cs="宋体"/>
          <w:color w:val="auto"/>
          <w:szCs w:val="21"/>
          <w:highlight w:val="none"/>
          <w:lang w:eastAsia="zh-Hans"/>
        </w:rPr>
      </w:pPr>
      <w:r>
        <w:rPr>
          <w:rFonts w:hint="eastAsia" w:ascii="宋体" w:hAnsi="宋体" w:cs="宋体"/>
          <w:color w:val="auto"/>
          <w:szCs w:val="21"/>
          <w:highlight w:val="none"/>
        </w:rPr>
        <w:t>2.</w:t>
      </w:r>
      <w:r>
        <w:rPr>
          <w:rFonts w:hint="eastAsia" w:ascii="宋体" w:hAnsi="宋体" w:cs="宋体"/>
          <w:color w:val="auto"/>
          <w:szCs w:val="21"/>
          <w:highlight w:val="none"/>
          <w:lang w:eastAsia="zh-Hans"/>
        </w:rPr>
        <w:t>投标人配备</w:t>
      </w:r>
      <w:r>
        <w:rPr>
          <w:rFonts w:hint="eastAsia" w:ascii="宋体" w:hAnsi="宋体" w:cs="宋体"/>
          <w:color w:val="auto"/>
          <w:szCs w:val="21"/>
          <w:highlight w:val="none"/>
        </w:rPr>
        <w:t>工程</w:t>
      </w:r>
      <w:r>
        <w:rPr>
          <w:rFonts w:hint="eastAsia" w:ascii="宋体" w:hAnsi="宋体" w:cs="宋体"/>
          <w:color w:val="auto"/>
          <w:szCs w:val="21"/>
          <w:highlight w:val="none"/>
          <w:lang w:eastAsia="zh-Hans"/>
        </w:rPr>
        <w:t>专用车辆。</w:t>
      </w:r>
    </w:p>
    <w:p w14:paraId="3B61C8B1">
      <w:pPr>
        <w:keepNext/>
        <w:keepLines/>
        <w:numPr>
          <w:ilvl w:val="0"/>
          <w:numId w:val="3"/>
        </w:numPr>
        <w:adjustRightInd/>
        <w:spacing w:line="360" w:lineRule="auto"/>
        <w:jc w:val="left"/>
        <w:outlineLvl w:val="1"/>
        <w:rPr>
          <w:rFonts w:hint="eastAsia" w:ascii="仿宋_GB2312" w:hAnsi="仿宋_GB2312"/>
          <w:b/>
          <w:bCs/>
          <w:color w:val="auto"/>
          <w:szCs w:val="21"/>
          <w:highlight w:val="none"/>
        </w:rPr>
      </w:pPr>
      <w:bookmarkStart w:id="45" w:name="_Toc8896"/>
      <w:r>
        <w:rPr>
          <w:rFonts w:hint="eastAsia" w:ascii="仿宋_GB2312" w:hAnsi="仿宋_GB2312"/>
          <w:b/>
          <w:bCs/>
          <w:color w:val="auto"/>
          <w:szCs w:val="21"/>
          <w:highlight w:val="none"/>
        </w:rPr>
        <w:t>其他说明</w:t>
      </w:r>
      <w:bookmarkEnd w:id="45"/>
    </w:p>
    <w:p w14:paraId="315CF03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1.投标人提供的服务、证明材料等实际情况与投标文件中所承诺或响应内容不符合，可视为虚假应标及欺诈行为，并追究相应责任。</w:t>
      </w:r>
    </w:p>
    <w:p w14:paraId="55792801">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未尽事宜可进一步参阅合同条款、</w:t>
      </w:r>
      <w:r>
        <w:rPr>
          <w:rFonts w:hint="eastAsia" w:ascii="宋体" w:hAnsi="宋体" w:cs="宋体"/>
          <w:color w:val="auto"/>
          <w:szCs w:val="21"/>
          <w:highlight w:val="none"/>
        </w:rPr>
        <w:t>招标文件其他内容</w:t>
      </w:r>
      <w:r>
        <w:rPr>
          <w:rFonts w:hint="eastAsia" w:ascii="宋体" w:hAnsi="宋体" w:cs="宋体"/>
          <w:color w:val="auto"/>
          <w:szCs w:val="21"/>
          <w:highlight w:val="none"/>
          <w:lang w:val="zh-CN"/>
        </w:rPr>
        <w:t>。</w:t>
      </w:r>
    </w:p>
    <w:p w14:paraId="24009205">
      <w:pPr>
        <w:spacing w:line="360" w:lineRule="auto"/>
        <w:ind w:firstLine="723" w:firstLineChars="200"/>
        <w:rPr>
          <w:rFonts w:hint="eastAsia" w:asciiTheme="minorEastAsia" w:hAnsiTheme="minorEastAsia" w:eastAsiaTheme="minorEastAsia" w:cstheme="minorEastAsia"/>
          <w:b/>
          <w:color w:val="auto"/>
          <w:sz w:val="36"/>
          <w:szCs w:val="36"/>
          <w:highlight w:val="none"/>
        </w:rPr>
      </w:pPr>
    </w:p>
    <w:p w14:paraId="44EE939F">
      <w:pPr>
        <w:rPr>
          <w:rStyle w:val="283"/>
          <w:color w:val="auto"/>
          <w:highlight w:val="none"/>
        </w:rPr>
      </w:pPr>
      <w:bookmarkStart w:id="46" w:name="_Toc16317"/>
      <w:r>
        <w:rPr>
          <w:rStyle w:val="283"/>
          <w:rFonts w:hint="eastAsia"/>
          <w:color w:val="auto"/>
          <w:highlight w:val="none"/>
        </w:rPr>
        <w:br w:type="page"/>
      </w:r>
    </w:p>
    <w:p w14:paraId="0FA21162">
      <w:pPr>
        <w:adjustRightInd/>
        <w:spacing w:line="360" w:lineRule="auto"/>
        <w:jc w:val="center"/>
        <w:outlineLvl w:val="0"/>
        <w:rPr>
          <w:rStyle w:val="283"/>
          <w:color w:val="auto"/>
          <w:highlight w:val="none"/>
        </w:rPr>
      </w:pPr>
      <w:r>
        <w:rPr>
          <w:rStyle w:val="283"/>
          <w:rFonts w:hint="eastAsia"/>
          <w:color w:val="auto"/>
          <w:highlight w:val="none"/>
        </w:rPr>
        <w:t xml:space="preserve">第四部分   </w:t>
      </w:r>
      <w:bookmarkStart w:id="47" w:name="_Toc184314426"/>
      <w:bookmarkEnd w:id="47"/>
      <w:bookmarkStart w:id="48" w:name="_Toc184308102"/>
      <w:bookmarkEnd w:id="48"/>
      <w:bookmarkStart w:id="49" w:name="_Toc184308071"/>
      <w:bookmarkEnd w:id="49"/>
      <w:bookmarkStart w:id="50" w:name="_Toc184312086"/>
      <w:bookmarkEnd w:id="50"/>
      <w:bookmarkStart w:id="51" w:name="_Toc184310278"/>
      <w:bookmarkEnd w:id="51"/>
      <w:bookmarkStart w:id="52" w:name="_Toc184312117"/>
      <w:bookmarkEnd w:id="52"/>
      <w:bookmarkStart w:id="53" w:name="_Toc184308096"/>
      <w:bookmarkEnd w:id="53"/>
      <w:bookmarkStart w:id="54" w:name="_Toc184313249"/>
      <w:bookmarkEnd w:id="54"/>
      <w:bookmarkStart w:id="55" w:name="_Toc184310317"/>
      <w:bookmarkEnd w:id="55"/>
      <w:bookmarkStart w:id="56" w:name="_Toc184313267"/>
      <w:bookmarkEnd w:id="56"/>
      <w:bookmarkStart w:id="57" w:name="_Toc184314466"/>
      <w:bookmarkEnd w:id="57"/>
      <w:bookmarkStart w:id="58" w:name="_Toc184310344"/>
      <w:bookmarkEnd w:id="58"/>
      <w:bookmarkStart w:id="59" w:name="_Toc184310337"/>
      <w:bookmarkEnd w:id="59"/>
      <w:bookmarkStart w:id="60" w:name="_Toc184312084"/>
      <w:bookmarkEnd w:id="60"/>
      <w:bookmarkStart w:id="61" w:name="_Toc184313257"/>
      <w:bookmarkEnd w:id="61"/>
      <w:bookmarkStart w:id="62" w:name="_Toc184314444"/>
      <w:bookmarkEnd w:id="62"/>
      <w:bookmarkStart w:id="63" w:name="_Toc184313262"/>
      <w:bookmarkEnd w:id="63"/>
      <w:bookmarkStart w:id="64" w:name="_Toc184313291"/>
      <w:bookmarkEnd w:id="64"/>
      <w:bookmarkStart w:id="65" w:name="_Toc184313272"/>
      <w:bookmarkEnd w:id="65"/>
      <w:bookmarkStart w:id="66" w:name="_Toc184314460"/>
      <w:bookmarkEnd w:id="66"/>
      <w:bookmarkStart w:id="67" w:name="_Toc184310274"/>
      <w:bookmarkEnd w:id="67"/>
      <w:bookmarkStart w:id="68" w:name="_Toc184312074"/>
      <w:bookmarkEnd w:id="68"/>
      <w:bookmarkStart w:id="69" w:name="_Toc184308059"/>
      <w:bookmarkEnd w:id="69"/>
      <w:bookmarkStart w:id="70" w:name="_Toc184310307"/>
      <w:bookmarkEnd w:id="70"/>
      <w:bookmarkStart w:id="71" w:name="_Toc184313302"/>
      <w:bookmarkEnd w:id="71"/>
      <w:bookmarkStart w:id="72" w:name="_Toc184314469"/>
      <w:bookmarkEnd w:id="72"/>
      <w:bookmarkStart w:id="73" w:name="_Toc184314424"/>
      <w:bookmarkEnd w:id="73"/>
      <w:bookmarkStart w:id="74" w:name="_Toc184313264"/>
      <w:bookmarkEnd w:id="74"/>
      <w:bookmarkStart w:id="75" w:name="_Toc184312116"/>
      <w:bookmarkEnd w:id="75"/>
      <w:bookmarkStart w:id="76" w:name="_Toc184313279"/>
      <w:bookmarkEnd w:id="76"/>
      <w:bookmarkStart w:id="77" w:name="_Toc184312090"/>
      <w:bookmarkEnd w:id="77"/>
      <w:bookmarkStart w:id="78" w:name="_Toc184310280"/>
      <w:bookmarkEnd w:id="78"/>
      <w:bookmarkStart w:id="79" w:name="_Toc184313271"/>
      <w:bookmarkEnd w:id="79"/>
      <w:bookmarkStart w:id="80" w:name="_Toc184312078"/>
      <w:bookmarkEnd w:id="80"/>
      <w:bookmarkStart w:id="81" w:name="_Toc184313287"/>
      <w:bookmarkEnd w:id="81"/>
      <w:bookmarkStart w:id="82" w:name="_Toc184310326"/>
      <w:bookmarkEnd w:id="82"/>
      <w:bookmarkStart w:id="83" w:name="_Toc184310308"/>
      <w:bookmarkEnd w:id="83"/>
      <w:bookmarkStart w:id="84" w:name="_Toc184314446"/>
      <w:bookmarkEnd w:id="84"/>
      <w:bookmarkStart w:id="85" w:name="_Toc184312110"/>
      <w:bookmarkEnd w:id="85"/>
      <w:bookmarkStart w:id="86" w:name="_Toc184310273"/>
      <w:bookmarkEnd w:id="86"/>
      <w:bookmarkStart w:id="87" w:name="_Toc184314475"/>
      <w:bookmarkEnd w:id="87"/>
      <w:bookmarkStart w:id="88" w:name="_Toc184310321"/>
      <w:bookmarkEnd w:id="88"/>
      <w:bookmarkStart w:id="89" w:name="_Toc184314437"/>
      <w:bookmarkEnd w:id="89"/>
      <w:bookmarkStart w:id="90" w:name="_Toc184313299"/>
      <w:bookmarkEnd w:id="90"/>
      <w:bookmarkStart w:id="91" w:name="_Toc184310286"/>
      <w:bookmarkEnd w:id="91"/>
      <w:bookmarkStart w:id="92" w:name="_Toc184312133"/>
      <w:bookmarkEnd w:id="92"/>
      <w:bookmarkStart w:id="93" w:name="_Toc184310340"/>
      <w:bookmarkEnd w:id="93"/>
      <w:bookmarkStart w:id="94" w:name="_Toc184312121"/>
      <w:bookmarkEnd w:id="94"/>
      <w:bookmarkStart w:id="95" w:name="_Toc184312128"/>
      <w:bookmarkEnd w:id="95"/>
      <w:bookmarkStart w:id="96" w:name="_Toc184314456"/>
      <w:bookmarkEnd w:id="96"/>
      <w:bookmarkStart w:id="97" w:name="_Toc184310336"/>
      <w:bookmarkEnd w:id="97"/>
      <w:bookmarkStart w:id="98" w:name="_Toc184314465"/>
      <w:bookmarkEnd w:id="98"/>
      <w:bookmarkStart w:id="99" w:name="_Toc184312080"/>
      <w:bookmarkEnd w:id="99"/>
      <w:bookmarkStart w:id="100" w:name="_Toc184312135"/>
      <w:bookmarkEnd w:id="100"/>
      <w:bookmarkStart w:id="101" w:name="_Toc184314413"/>
      <w:bookmarkEnd w:id="101"/>
      <w:bookmarkStart w:id="102" w:name="_Toc184308041"/>
      <w:bookmarkEnd w:id="102"/>
      <w:bookmarkStart w:id="103" w:name="_Toc184312131"/>
      <w:bookmarkEnd w:id="103"/>
      <w:bookmarkStart w:id="104" w:name="_Toc184314414"/>
      <w:bookmarkEnd w:id="104"/>
      <w:bookmarkStart w:id="105" w:name="_Toc184313239"/>
      <w:bookmarkEnd w:id="105"/>
      <w:bookmarkStart w:id="106" w:name="_Toc184313305"/>
      <w:bookmarkEnd w:id="106"/>
      <w:bookmarkStart w:id="107" w:name="_Toc184308040"/>
      <w:bookmarkEnd w:id="107"/>
      <w:bookmarkStart w:id="108" w:name="_Toc184312111"/>
      <w:bookmarkEnd w:id="108"/>
      <w:bookmarkStart w:id="109" w:name="_Toc184312096"/>
      <w:bookmarkEnd w:id="109"/>
      <w:bookmarkStart w:id="110" w:name="_Toc184308050"/>
      <w:bookmarkEnd w:id="110"/>
      <w:bookmarkStart w:id="111" w:name="_Toc184312105"/>
      <w:bookmarkEnd w:id="111"/>
      <w:bookmarkStart w:id="112" w:name="_Toc184314440"/>
      <w:bookmarkEnd w:id="112"/>
      <w:bookmarkStart w:id="113" w:name="_Toc184308046"/>
      <w:bookmarkEnd w:id="113"/>
      <w:bookmarkStart w:id="114" w:name="_Toc184314477"/>
      <w:bookmarkEnd w:id="114"/>
      <w:bookmarkStart w:id="115" w:name="_Toc184313274"/>
      <w:bookmarkEnd w:id="115"/>
      <w:bookmarkStart w:id="116" w:name="_Toc184310306"/>
      <w:bookmarkEnd w:id="116"/>
      <w:bookmarkStart w:id="117" w:name="_Toc184314450"/>
      <w:bookmarkEnd w:id="117"/>
      <w:bookmarkStart w:id="118" w:name="_Toc184310328"/>
      <w:bookmarkEnd w:id="118"/>
      <w:bookmarkStart w:id="119" w:name="_Toc184308044"/>
      <w:bookmarkEnd w:id="119"/>
      <w:bookmarkStart w:id="120" w:name="_Toc184313244"/>
      <w:bookmarkEnd w:id="120"/>
      <w:bookmarkStart w:id="121" w:name="_Toc184308073"/>
      <w:bookmarkEnd w:id="121"/>
      <w:bookmarkStart w:id="122" w:name="_Toc184312104"/>
      <w:bookmarkEnd w:id="122"/>
      <w:bookmarkStart w:id="123" w:name="_Toc184310335"/>
      <w:bookmarkEnd w:id="123"/>
      <w:bookmarkStart w:id="124" w:name="_Toc184310342"/>
      <w:bookmarkEnd w:id="124"/>
      <w:bookmarkStart w:id="125" w:name="_Toc184314423"/>
      <w:bookmarkEnd w:id="125"/>
      <w:bookmarkStart w:id="126" w:name="_Toc184314478"/>
      <w:bookmarkEnd w:id="126"/>
      <w:bookmarkStart w:id="127" w:name="_Toc184312124"/>
      <w:bookmarkEnd w:id="127"/>
      <w:bookmarkStart w:id="128" w:name="_Toc184312138"/>
      <w:bookmarkEnd w:id="128"/>
      <w:bookmarkStart w:id="129" w:name="_Toc184314447"/>
      <w:bookmarkEnd w:id="129"/>
      <w:bookmarkStart w:id="130" w:name="_Toc184313255"/>
      <w:bookmarkEnd w:id="130"/>
      <w:bookmarkStart w:id="131" w:name="_Toc184310281"/>
      <w:bookmarkEnd w:id="131"/>
      <w:bookmarkStart w:id="132" w:name="_Toc184313251"/>
      <w:bookmarkEnd w:id="132"/>
      <w:bookmarkStart w:id="133" w:name="_Toc184313310"/>
      <w:bookmarkEnd w:id="133"/>
      <w:bookmarkStart w:id="134" w:name="_Toc184313289"/>
      <w:bookmarkEnd w:id="134"/>
      <w:bookmarkStart w:id="135" w:name="_Toc184314453"/>
      <w:bookmarkEnd w:id="135"/>
      <w:bookmarkStart w:id="136" w:name="_Toc184310339"/>
      <w:bookmarkEnd w:id="136"/>
      <w:bookmarkStart w:id="137" w:name="_Toc184314459"/>
      <w:bookmarkEnd w:id="137"/>
      <w:bookmarkStart w:id="138" w:name="_Toc184312130"/>
      <w:bookmarkEnd w:id="138"/>
      <w:bookmarkStart w:id="139" w:name="_Toc184313238"/>
      <w:bookmarkEnd w:id="139"/>
      <w:bookmarkStart w:id="140" w:name="_Toc184308072"/>
      <w:bookmarkEnd w:id="140"/>
      <w:bookmarkStart w:id="141" w:name="_Toc184313296"/>
      <w:bookmarkEnd w:id="141"/>
      <w:bookmarkStart w:id="142" w:name="_Toc184314431"/>
      <w:bookmarkEnd w:id="142"/>
      <w:bookmarkStart w:id="143" w:name="_Toc184310341"/>
      <w:bookmarkEnd w:id="143"/>
      <w:bookmarkStart w:id="144" w:name="_Toc184308077"/>
      <w:bookmarkEnd w:id="144"/>
      <w:bookmarkStart w:id="145" w:name="_Toc184312075"/>
      <w:bookmarkEnd w:id="145"/>
      <w:bookmarkStart w:id="146" w:name="_Toc184314472"/>
      <w:bookmarkEnd w:id="146"/>
      <w:bookmarkStart w:id="147" w:name="_Toc184308067"/>
      <w:bookmarkEnd w:id="147"/>
      <w:bookmarkStart w:id="148" w:name="_Toc184313241"/>
      <w:bookmarkEnd w:id="148"/>
      <w:bookmarkStart w:id="149" w:name="_Toc184313288"/>
      <w:bookmarkEnd w:id="149"/>
      <w:bookmarkStart w:id="150" w:name="_Toc184312122"/>
      <w:bookmarkEnd w:id="150"/>
      <w:bookmarkStart w:id="151" w:name="_Toc184312069"/>
      <w:bookmarkEnd w:id="151"/>
      <w:bookmarkStart w:id="152" w:name="_Toc184310272"/>
      <w:bookmarkEnd w:id="152"/>
      <w:bookmarkStart w:id="153" w:name="_Toc184312087"/>
      <w:bookmarkEnd w:id="153"/>
      <w:bookmarkStart w:id="154" w:name="_Toc184312092"/>
      <w:bookmarkEnd w:id="154"/>
      <w:bookmarkStart w:id="155" w:name="_Toc184314467"/>
      <w:bookmarkEnd w:id="155"/>
      <w:bookmarkStart w:id="156" w:name="_Toc184308061"/>
      <w:bookmarkEnd w:id="156"/>
      <w:bookmarkStart w:id="157" w:name="_Toc184310284"/>
      <w:bookmarkEnd w:id="157"/>
      <w:bookmarkStart w:id="158" w:name="_Toc184312073"/>
      <w:bookmarkEnd w:id="158"/>
      <w:bookmarkStart w:id="159" w:name="_Toc184308064"/>
      <w:bookmarkEnd w:id="159"/>
      <w:bookmarkStart w:id="160" w:name="_Toc184312129"/>
      <w:bookmarkEnd w:id="160"/>
      <w:bookmarkStart w:id="161" w:name="_Toc184310325"/>
      <w:bookmarkEnd w:id="161"/>
      <w:bookmarkStart w:id="162" w:name="_Toc184313266"/>
      <w:bookmarkEnd w:id="162"/>
      <w:bookmarkStart w:id="163" w:name="_Toc184314439"/>
      <w:bookmarkEnd w:id="163"/>
      <w:bookmarkStart w:id="164" w:name="_Toc184308091"/>
      <w:bookmarkEnd w:id="164"/>
      <w:bookmarkStart w:id="165" w:name="_Toc184314417"/>
      <w:bookmarkEnd w:id="165"/>
      <w:bookmarkStart w:id="166" w:name="_Toc184312079"/>
      <w:bookmarkEnd w:id="166"/>
      <w:bookmarkStart w:id="167" w:name="_Toc184312113"/>
      <w:bookmarkEnd w:id="167"/>
      <w:bookmarkStart w:id="168" w:name="_Toc184314474"/>
      <w:bookmarkEnd w:id="168"/>
      <w:bookmarkStart w:id="169" w:name="_Toc184314416"/>
      <w:bookmarkEnd w:id="169"/>
      <w:bookmarkStart w:id="170" w:name="_Toc184310315"/>
      <w:bookmarkEnd w:id="170"/>
      <w:bookmarkStart w:id="171" w:name="_Toc184308069"/>
      <w:bookmarkEnd w:id="171"/>
      <w:bookmarkStart w:id="172" w:name="_Toc184314422"/>
      <w:bookmarkEnd w:id="172"/>
      <w:bookmarkStart w:id="173" w:name="_Toc184313290"/>
      <w:bookmarkEnd w:id="173"/>
      <w:bookmarkStart w:id="174" w:name="_Toc184310302"/>
      <w:bookmarkEnd w:id="174"/>
      <w:bookmarkStart w:id="175" w:name="_Toc184308057"/>
      <w:bookmarkEnd w:id="175"/>
      <w:bookmarkStart w:id="176" w:name="_Toc184314468"/>
      <w:bookmarkEnd w:id="176"/>
      <w:bookmarkStart w:id="177" w:name="_Toc184308089"/>
      <w:bookmarkEnd w:id="177"/>
      <w:bookmarkStart w:id="178" w:name="_Toc184314462"/>
      <w:bookmarkEnd w:id="178"/>
      <w:bookmarkStart w:id="179" w:name="_Toc184310322"/>
      <w:bookmarkEnd w:id="179"/>
      <w:bookmarkStart w:id="180" w:name="_Toc184313246"/>
      <w:bookmarkEnd w:id="180"/>
      <w:bookmarkStart w:id="181" w:name="_Toc184308048"/>
      <w:bookmarkEnd w:id="181"/>
      <w:bookmarkStart w:id="182" w:name="_Toc184310299"/>
      <w:bookmarkEnd w:id="182"/>
      <w:bookmarkStart w:id="183" w:name="_Toc184312070"/>
      <w:bookmarkEnd w:id="183"/>
      <w:bookmarkStart w:id="184" w:name="_Toc184308056"/>
      <w:bookmarkEnd w:id="184"/>
      <w:bookmarkStart w:id="185" w:name="_Toc184313301"/>
      <w:bookmarkEnd w:id="185"/>
      <w:bookmarkStart w:id="186" w:name="_Toc184313240"/>
      <w:bookmarkEnd w:id="186"/>
      <w:bookmarkStart w:id="187" w:name="_Toc184314442"/>
      <w:bookmarkEnd w:id="187"/>
      <w:bookmarkStart w:id="188" w:name="_Toc184310305"/>
      <w:bookmarkEnd w:id="188"/>
      <w:bookmarkStart w:id="189" w:name="_Toc184308037"/>
      <w:bookmarkEnd w:id="189"/>
      <w:bookmarkStart w:id="190" w:name="_Toc184310285"/>
      <w:bookmarkEnd w:id="190"/>
      <w:bookmarkStart w:id="191" w:name="_Toc184312132"/>
      <w:bookmarkEnd w:id="191"/>
      <w:bookmarkStart w:id="192" w:name="_Toc184314473"/>
      <w:bookmarkEnd w:id="192"/>
      <w:bookmarkStart w:id="193" w:name="_Toc184312085"/>
      <w:bookmarkEnd w:id="193"/>
      <w:bookmarkStart w:id="194" w:name="_Toc184312114"/>
      <w:bookmarkEnd w:id="194"/>
      <w:bookmarkStart w:id="195" w:name="_Toc184313295"/>
      <w:bookmarkEnd w:id="195"/>
      <w:bookmarkStart w:id="196" w:name="_Toc184313282"/>
      <w:bookmarkEnd w:id="196"/>
      <w:bookmarkStart w:id="197" w:name="_Toc184313260"/>
      <w:bookmarkEnd w:id="197"/>
      <w:bookmarkStart w:id="198" w:name="_Toc184313242"/>
      <w:bookmarkEnd w:id="198"/>
      <w:bookmarkStart w:id="199" w:name="_Toc184310279"/>
      <w:bookmarkEnd w:id="199"/>
      <w:bookmarkStart w:id="200" w:name="_Toc184314410"/>
      <w:bookmarkEnd w:id="200"/>
      <w:bookmarkStart w:id="201" w:name="_Toc184312083"/>
      <w:bookmarkEnd w:id="201"/>
      <w:bookmarkStart w:id="202" w:name="_Toc184308080"/>
      <w:bookmarkEnd w:id="202"/>
      <w:bookmarkStart w:id="203" w:name="_Toc184310283"/>
      <w:bookmarkEnd w:id="203"/>
      <w:bookmarkStart w:id="204" w:name="_Toc184314428"/>
      <w:bookmarkEnd w:id="204"/>
      <w:bookmarkStart w:id="205" w:name="_Toc184310311"/>
      <w:bookmarkEnd w:id="205"/>
      <w:bookmarkStart w:id="206" w:name="_Toc184314421"/>
      <w:bookmarkEnd w:id="206"/>
      <w:bookmarkStart w:id="207" w:name="_Toc184313261"/>
      <w:bookmarkEnd w:id="207"/>
      <w:bookmarkStart w:id="208" w:name="_Toc184314461"/>
      <w:bookmarkEnd w:id="208"/>
      <w:bookmarkStart w:id="209" w:name="_Toc184314434"/>
      <w:bookmarkEnd w:id="209"/>
      <w:bookmarkStart w:id="210" w:name="_Toc184314457"/>
      <w:bookmarkEnd w:id="210"/>
      <w:bookmarkStart w:id="211" w:name="_Toc184313297"/>
      <w:bookmarkEnd w:id="211"/>
      <w:bookmarkStart w:id="212" w:name="_Toc184312072"/>
      <w:bookmarkEnd w:id="212"/>
      <w:bookmarkStart w:id="213" w:name="_Toc184308075"/>
      <w:bookmarkEnd w:id="213"/>
      <w:bookmarkStart w:id="214" w:name="_Toc184308108"/>
      <w:bookmarkEnd w:id="214"/>
      <w:bookmarkStart w:id="215" w:name="_Toc184312103"/>
      <w:bookmarkEnd w:id="215"/>
      <w:bookmarkStart w:id="216" w:name="_Toc184312137"/>
      <w:bookmarkEnd w:id="216"/>
      <w:bookmarkStart w:id="217" w:name="_Toc184308047"/>
      <w:bookmarkEnd w:id="217"/>
      <w:bookmarkStart w:id="218" w:name="_Toc184308103"/>
      <w:bookmarkEnd w:id="218"/>
      <w:bookmarkStart w:id="219" w:name="_Toc184308068"/>
      <w:bookmarkEnd w:id="219"/>
      <w:bookmarkStart w:id="220" w:name="_Toc184312076"/>
      <w:bookmarkEnd w:id="220"/>
      <w:bookmarkStart w:id="221" w:name="_Toc184308058"/>
      <w:bookmarkEnd w:id="221"/>
      <w:bookmarkStart w:id="222" w:name="_Toc184308084"/>
      <w:bookmarkEnd w:id="222"/>
      <w:bookmarkStart w:id="223" w:name="_Toc184310292"/>
      <w:bookmarkEnd w:id="223"/>
      <w:bookmarkStart w:id="224" w:name="_Toc184314449"/>
      <w:bookmarkEnd w:id="224"/>
      <w:bookmarkStart w:id="225" w:name="_Toc184313308"/>
      <w:bookmarkEnd w:id="225"/>
      <w:bookmarkStart w:id="226" w:name="_Toc184308039"/>
      <w:bookmarkEnd w:id="226"/>
      <w:bookmarkStart w:id="227" w:name="_Toc184314438"/>
      <w:bookmarkEnd w:id="227"/>
      <w:bookmarkStart w:id="228" w:name="_Toc184312119"/>
      <w:bookmarkEnd w:id="228"/>
      <w:bookmarkStart w:id="229" w:name="_Toc184314451"/>
      <w:bookmarkEnd w:id="229"/>
      <w:bookmarkStart w:id="230" w:name="_Toc184314432"/>
      <w:bookmarkEnd w:id="230"/>
      <w:bookmarkStart w:id="231" w:name="_Toc184312107"/>
      <w:bookmarkEnd w:id="231"/>
      <w:bookmarkStart w:id="232" w:name="_Toc184308076"/>
      <w:bookmarkEnd w:id="232"/>
      <w:bookmarkStart w:id="233" w:name="_Toc184310294"/>
      <w:bookmarkEnd w:id="233"/>
      <w:bookmarkStart w:id="234" w:name="_Toc184310298"/>
      <w:bookmarkEnd w:id="234"/>
      <w:bookmarkStart w:id="235" w:name="_Toc184312071"/>
      <w:bookmarkEnd w:id="235"/>
      <w:bookmarkStart w:id="236" w:name="_Toc184314441"/>
      <w:bookmarkEnd w:id="236"/>
      <w:bookmarkStart w:id="237" w:name="_Toc184314411"/>
      <w:bookmarkEnd w:id="237"/>
      <w:bookmarkStart w:id="238" w:name="_Toc184312108"/>
      <w:bookmarkEnd w:id="238"/>
      <w:bookmarkStart w:id="239" w:name="_Toc184312100"/>
      <w:bookmarkEnd w:id="239"/>
      <w:bookmarkStart w:id="240" w:name="_Toc184312125"/>
      <w:bookmarkEnd w:id="240"/>
      <w:bookmarkStart w:id="241" w:name="_Toc184314425"/>
      <w:bookmarkEnd w:id="241"/>
      <w:bookmarkStart w:id="242" w:name="_Toc184310304"/>
      <w:bookmarkEnd w:id="242"/>
      <w:bookmarkStart w:id="243" w:name="_Toc184313309"/>
      <w:bookmarkEnd w:id="243"/>
      <w:bookmarkStart w:id="244" w:name="_Toc184314476"/>
      <w:bookmarkEnd w:id="244"/>
      <w:bookmarkStart w:id="245" w:name="_Toc184308070"/>
      <w:bookmarkEnd w:id="245"/>
      <w:bookmarkStart w:id="246" w:name="_Toc184312088"/>
      <w:bookmarkEnd w:id="246"/>
      <w:bookmarkStart w:id="247" w:name="_Toc184310329"/>
      <w:bookmarkEnd w:id="247"/>
      <w:bookmarkStart w:id="248" w:name="_Toc184310323"/>
      <w:bookmarkEnd w:id="248"/>
      <w:bookmarkStart w:id="249" w:name="_Toc184308078"/>
      <w:bookmarkEnd w:id="249"/>
      <w:bookmarkStart w:id="250" w:name="_Toc184312093"/>
      <w:bookmarkEnd w:id="250"/>
      <w:bookmarkStart w:id="251" w:name="_Toc184310338"/>
      <w:bookmarkEnd w:id="251"/>
      <w:bookmarkStart w:id="252" w:name="_Toc184312077"/>
      <w:bookmarkEnd w:id="252"/>
      <w:bookmarkStart w:id="253" w:name="_Toc184312094"/>
      <w:bookmarkEnd w:id="253"/>
      <w:bookmarkStart w:id="254" w:name="_Toc184314429"/>
      <w:bookmarkEnd w:id="254"/>
      <w:bookmarkStart w:id="255" w:name="_Toc184308049"/>
      <w:bookmarkEnd w:id="255"/>
      <w:bookmarkStart w:id="256" w:name="_Toc184312081"/>
      <w:bookmarkEnd w:id="256"/>
      <w:bookmarkStart w:id="257" w:name="_Toc184312095"/>
      <w:bookmarkEnd w:id="257"/>
      <w:bookmarkStart w:id="258" w:name="_Toc184314412"/>
      <w:bookmarkEnd w:id="258"/>
      <w:bookmarkStart w:id="259" w:name="_Toc184310301"/>
      <w:bookmarkEnd w:id="259"/>
      <w:bookmarkStart w:id="260" w:name="_Toc184314418"/>
      <w:bookmarkEnd w:id="260"/>
      <w:bookmarkStart w:id="261" w:name="_Toc184310288"/>
      <w:bookmarkEnd w:id="261"/>
      <w:bookmarkStart w:id="262" w:name="_Toc184310313"/>
      <w:bookmarkEnd w:id="262"/>
      <w:bookmarkStart w:id="263" w:name="_Toc184313243"/>
      <w:bookmarkEnd w:id="263"/>
      <w:bookmarkStart w:id="264" w:name="_Toc184313273"/>
      <w:bookmarkEnd w:id="264"/>
      <w:bookmarkStart w:id="265" w:name="_Toc184312115"/>
      <w:bookmarkEnd w:id="265"/>
      <w:bookmarkStart w:id="266" w:name="_Toc184308079"/>
      <w:bookmarkEnd w:id="266"/>
      <w:bookmarkStart w:id="267" w:name="_Toc184313256"/>
      <w:bookmarkEnd w:id="267"/>
      <w:bookmarkStart w:id="268" w:name="_Toc184312136"/>
      <w:bookmarkEnd w:id="268"/>
      <w:bookmarkStart w:id="269" w:name="_Toc184308099"/>
      <w:bookmarkEnd w:id="269"/>
      <w:bookmarkStart w:id="270" w:name="_Toc184308092"/>
      <w:bookmarkEnd w:id="270"/>
      <w:bookmarkStart w:id="271" w:name="_Toc184310289"/>
      <w:bookmarkEnd w:id="271"/>
      <w:bookmarkStart w:id="272" w:name="_Toc184308038"/>
      <w:bookmarkEnd w:id="272"/>
      <w:bookmarkStart w:id="273" w:name="_Toc184314481"/>
      <w:bookmarkEnd w:id="273"/>
      <w:bookmarkStart w:id="274" w:name="_Toc184312106"/>
      <w:bookmarkEnd w:id="274"/>
      <w:bookmarkStart w:id="275" w:name="_Toc184314458"/>
      <w:bookmarkEnd w:id="275"/>
      <w:bookmarkStart w:id="276" w:name="_Toc184312120"/>
      <w:bookmarkEnd w:id="276"/>
      <w:bookmarkStart w:id="277" w:name="_Toc184308100"/>
      <w:bookmarkEnd w:id="277"/>
      <w:bookmarkStart w:id="278" w:name="_Toc184314443"/>
      <w:bookmarkEnd w:id="278"/>
      <w:bookmarkStart w:id="279" w:name="_Toc184310276"/>
      <w:bookmarkEnd w:id="279"/>
      <w:bookmarkStart w:id="280" w:name="_Toc184310291"/>
      <w:bookmarkEnd w:id="280"/>
      <w:bookmarkStart w:id="281" w:name="_Toc184313277"/>
      <w:bookmarkEnd w:id="281"/>
      <w:bookmarkStart w:id="282" w:name="_Toc184310309"/>
      <w:bookmarkEnd w:id="282"/>
      <w:bookmarkStart w:id="283" w:name="_Toc184313263"/>
      <w:bookmarkEnd w:id="283"/>
      <w:bookmarkStart w:id="284" w:name="_Toc184312067"/>
      <w:bookmarkEnd w:id="284"/>
      <w:bookmarkStart w:id="285" w:name="_Toc184310334"/>
      <w:bookmarkEnd w:id="285"/>
      <w:bookmarkStart w:id="286" w:name="_Toc184308085"/>
      <w:bookmarkEnd w:id="286"/>
      <w:bookmarkStart w:id="287" w:name="_Toc184313269"/>
      <w:bookmarkEnd w:id="287"/>
      <w:bookmarkStart w:id="288" w:name="_Toc184313284"/>
      <w:bookmarkEnd w:id="288"/>
      <w:bookmarkStart w:id="289" w:name="_Toc184308081"/>
      <w:bookmarkEnd w:id="289"/>
      <w:bookmarkStart w:id="290" w:name="_Toc184314464"/>
      <w:bookmarkEnd w:id="290"/>
      <w:bookmarkStart w:id="291" w:name="_Toc184310331"/>
      <w:bookmarkEnd w:id="291"/>
      <w:bookmarkStart w:id="292" w:name="_Toc184313298"/>
      <w:bookmarkEnd w:id="292"/>
      <w:bookmarkStart w:id="293" w:name="_Toc184313281"/>
      <w:bookmarkEnd w:id="293"/>
      <w:bookmarkStart w:id="294" w:name="_Toc184313254"/>
      <w:bookmarkEnd w:id="294"/>
      <w:bookmarkStart w:id="295" w:name="_Toc184310312"/>
      <w:bookmarkEnd w:id="295"/>
      <w:bookmarkStart w:id="296" w:name="_Toc184312126"/>
      <w:bookmarkEnd w:id="296"/>
      <w:bookmarkStart w:id="297" w:name="_Toc184308101"/>
      <w:bookmarkEnd w:id="297"/>
      <w:bookmarkStart w:id="298" w:name="_Toc184310332"/>
      <w:bookmarkEnd w:id="298"/>
      <w:bookmarkStart w:id="299" w:name="_Toc184313303"/>
      <w:bookmarkEnd w:id="299"/>
      <w:bookmarkStart w:id="300" w:name="_Toc184313304"/>
      <w:bookmarkEnd w:id="300"/>
      <w:bookmarkStart w:id="301" w:name="_Toc184314415"/>
      <w:bookmarkEnd w:id="301"/>
      <w:bookmarkStart w:id="302" w:name="_Toc184312068"/>
      <w:bookmarkEnd w:id="302"/>
      <w:bookmarkStart w:id="303" w:name="_Toc184314427"/>
      <w:bookmarkEnd w:id="303"/>
      <w:bookmarkStart w:id="304" w:name="_Toc184312134"/>
      <w:bookmarkEnd w:id="304"/>
      <w:bookmarkStart w:id="305" w:name="_Toc184308088"/>
      <w:bookmarkEnd w:id="305"/>
      <w:bookmarkStart w:id="306" w:name="_Toc184312098"/>
      <w:bookmarkEnd w:id="306"/>
      <w:bookmarkStart w:id="307" w:name="_Toc184308036"/>
      <w:bookmarkEnd w:id="307"/>
      <w:bookmarkStart w:id="308" w:name="_Toc184313280"/>
      <w:bookmarkEnd w:id="308"/>
      <w:bookmarkStart w:id="309" w:name="_Toc184308083"/>
      <w:bookmarkEnd w:id="309"/>
      <w:bookmarkStart w:id="310" w:name="_Toc184314448"/>
      <w:bookmarkEnd w:id="310"/>
      <w:bookmarkStart w:id="311" w:name="_Toc184314419"/>
      <w:bookmarkEnd w:id="311"/>
      <w:bookmarkStart w:id="312" w:name="_Toc184310314"/>
      <w:bookmarkEnd w:id="312"/>
      <w:bookmarkStart w:id="313" w:name="_Toc184310297"/>
      <w:bookmarkEnd w:id="313"/>
      <w:bookmarkStart w:id="314" w:name="_Toc184313265"/>
      <w:bookmarkEnd w:id="314"/>
      <w:bookmarkStart w:id="315" w:name="_Toc184312097"/>
      <w:bookmarkEnd w:id="315"/>
      <w:bookmarkStart w:id="316" w:name="_Toc184310316"/>
      <w:bookmarkEnd w:id="316"/>
      <w:bookmarkStart w:id="317" w:name="_Toc184313268"/>
      <w:bookmarkEnd w:id="317"/>
      <w:bookmarkStart w:id="318" w:name="_Toc184308054"/>
      <w:bookmarkEnd w:id="318"/>
      <w:bookmarkStart w:id="319" w:name="_Toc184314479"/>
      <w:bookmarkEnd w:id="319"/>
      <w:bookmarkStart w:id="320" w:name="_Toc184314430"/>
      <w:bookmarkEnd w:id="320"/>
      <w:bookmarkStart w:id="321" w:name="_Toc184313247"/>
      <w:bookmarkEnd w:id="321"/>
      <w:bookmarkStart w:id="322" w:name="_Toc184310320"/>
      <w:bookmarkEnd w:id="322"/>
      <w:bookmarkStart w:id="323" w:name="_Toc184308043"/>
      <w:bookmarkEnd w:id="323"/>
      <w:bookmarkStart w:id="324" w:name="_Toc184314452"/>
      <w:bookmarkEnd w:id="324"/>
      <w:bookmarkStart w:id="325" w:name="_Toc184308082"/>
      <w:bookmarkEnd w:id="325"/>
      <w:bookmarkStart w:id="326" w:name="_Toc184308090"/>
      <w:bookmarkEnd w:id="326"/>
      <w:bookmarkStart w:id="327" w:name="_Toc184314445"/>
      <w:bookmarkEnd w:id="327"/>
      <w:bookmarkStart w:id="328" w:name="_Toc184312082"/>
      <w:bookmarkEnd w:id="328"/>
      <w:bookmarkStart w:id="329" w:name="_Toc184308105"/>
      <w:bookmarkEnd w:id="329"/>
      <w:bookmarkStart w:id="330" w:name="_Toc184312109"/>
      <w:bookmarkEnd w:id="330"/>
      <w:bookmarkStart w:id="331" w:name="_Toc184313248"/>
      <w:bookmarkEnd w:id="331"/>
      <w:bookmarkStart w:id="332" w:name="_Toc184310330"/>
      <w:bookmarkEnd w:id="332"/>
      <w:bookmarkStart w:id="333" w:name="_Toc184310327"/>
      <w:bookmarkEnd w:id="333"/>
      <w:bookmarkStart w:id="334" w:name="_Toc184314463"/>
      <w:bookmarkEnd w:id="334"/>
      <w:bookmarkStart w:id="335" w:name="_Toc184313245"/>
      <w:bookmarkEnd w:id="335"/>
      <w:bookmarkStart w:id="336" w:name="_Toc184308074"/>
      <w:bookmarkEnd w:id="336"/>
      <w:bookmarkStart w:id="337" w:name="_Toc184312123"/>
      <w:bookmarkEnd w:id="337"/>
      <w:bookmarkStart w:id="338" w:name="_Toc184313293"/>
      <w:bookmarkEnd w:id="338"/>
      <w:bookmarkStart w:id="339" w:name="_Toc184313294"/>
      <w:bookmarkEnd w:id="339"/>
      <w:bookmarkStart w:id="340" w:name="_Toc184313307"/>
      <w:bookmarkEnd w:id="340"/>
      <w:bookmarkStart w:id="341" w:name="_Toc184314470"/>
      <w:bookmarkEnd w:id="341"/>
      <w:bookmarkStart w:id="342" w:name="_Toc184310290"/>
      <w:bookmarkEnd w:id="342"/>
      <w:bookmarkStart w:id="343" w:name="_Toc184310300"/>
      <w:bookmarkEnd w:id="343"/>
      <w:bookmarkStart w:id="344" w:name="_Toc184308053"/>
      <w:bookmarkEnd w:id="344"/>
      <w:bookmarkStart w:id="345" w:name="_Toc184312118"/>
      <w:bookmarkEnd w:id="345"/>
      <w:bookmarkStart w:id="346" w:name="_Toc184308052"/>
      <w:bookmarkEnd w:id="346"/>
      <w:bookmarkStart w:id="347" w:name="_Toc184308063"/>
      <w:bookmarkEnd w:id="347"/>
      <w:bookmarkStart w:id="348" w:name="_Toc184308104"/>
      <w:bookmarkEnd w:id="348"/>
      <w:bookmarkStart w:id="349" w:name="_Toc184313270"/>
      <w:bookmarkEnd w:id="349"/>
      <w:bookmarkStart w:id="350" w:name="_Toc184313292"/>
      <w:bookmarkEnd w:id="350"/>
      <w:bookmarkStart w:id="351" w:name="_Toc184312099"/>
      <w:bookmarkEnd w:id="351"/>
      <w:bookmarkStart w:id="352" w:name="_Toc184312101"/>
      <w:bookmarkEnd w:id="352"/>
      <w:bookmarkStart w:id="353" w:name="_Toc184312127"/>
      <w:bookmarkEnd w:id="353"/>
      <w:bookmarkStart w:id="354" w:name="_Toc184314436"/>
      <w:bookmarkEnd w:id="354"/>
      <w:bookmarkStart w:id="355" w:name="_Toc184308097"/>
      <w:bookmarkEnd w:id="355"/>
      <w:bookmarkStart w:id="356" w:name="_Toc184313250"/>
      <w:bookmarkEnd w:id="356"/>
      <w:bookmarkStart w:id="357" w:name="_Toc184314454"/>
      <w:bookmarkEnd w:id="357"/>
      <w:bookmarkStart w:id="358" w:name="_Toc184310277"/>
      <w:bookmarkEnd w:id="358"/>
      <w:bookmarkStart w:id="359" w:name="_Toc184308107"/>
      <w:bookmarkEnd w:id="359"/>
      <w:bookmarkStart w:id="360" w:name="_Toc184313278"/>
      <w:bookmarkEnd w:id="360"/>
      <w:bookmarkStart w:id="361" w:name="_Toc184314471"/>
      <w:bookmarkEnd w:id="361"/>
      <w:bookmarkStart w:id="362" w:name="_Toc184308045"/>
      <w:bookmarkEnd w:id="362"/>
      <w:bookmarkStart w:id="363" w:name="_Toc184310310"/>
      <w:bookmarkEnd w:id="363"/>
      <w:bookmarkStart w:id="364" w:name="_Toc184312112"/>
      <w:bookmarkEnd w:id="364"/>
      <w:bookmarkStart w:id="365" w:name="_Toc184313285"/>
      <w:bookmarkEnd w:id="365"/>
      <w:bookmarkStart w:id="366" w:name="_Toc184313300"/>
      <w:bookmarkEnd w:id="366"/>
      <w:bookmarkStart w:id="367" w:name="_Toc184308042"/>
      <w:bookmarkEnd w:id="367"/>
      <w:bookmarkStart w:id="368" w:name="_Toc184310343"/>
      <w:bookmarkEnd w:id="368"/>
      <w:bookmarkStart w:id="369" w:name="_Toc184310296"/>
      <w:bookmarkEnd w:id="369"/>
      <w:bookmarkStart w:id="370" w:name="_Toc184313253"/>
      <w:bookmarkEnd w:id="370"/>
      <w:bookmarkStart w:id="371" w:name="_Toc184314435"/>
      <w:bookmarkEnd w:id="371"/>
      <w:bookmarkStart w:id="372" w:name="_Toc184310287"/>
      <w:bookmarkEnd w:id="372"/>
      <w:bookmarkStart w:id="373" w:name="_Toc184313286"/>
      <w:bookmarkEnd w:id="373"/>
      <w:bookmarkStart w:id="374" w:name="_Toc184310319"/>
      <w:bookmarkEnd w:id="374"/>
      <w:bookmarkStart w:id="375" w:name="_Toc184314482"/>
      <w:bookmarkEnd w:id="375"/>
      <w:bookmarkStart w:id="376" w:name="_Toc184313276"/>
      <w:bookmarkEnd w:id="376"/>
      <w:bookmarkStart w:id="377" w:name="_Toc184310303"/>
      <w:bookmarkEnd w:id="377"/>
      <w:bookmarkStart w:id="378" w:name="_Toc184312102"/>
      <w:bookmarkEnd w:id="378"/>
      <w:bookmarkStart w:id="379" w:name="_Toc184308087"/>
      <w:bookmarkEnd w:id="379"/>
      <w:bookmarkStart w:id="380" w:name="_Toc184314455"/>
      <w:bookmarkEnd w:id="380"/>
      <w:bookmarkStart w:id="381" w:name="_Toc184308106"/>
      <w:bookmarkEnd w:id="381"/>
      <w:bookmarkStart w:id="382" w:name="_Toc184310275"/>
      <w:bookmarkEnd w:id="382"/>
      <w:bookmarkStart w:id="383" w:name="_Toc184310318"/>
      <w:bookmarkEnd w:id="383"/>
      <w:bookmarkStart w:id="384" w:name="_Toc184308066"/>
      <w:bookmarkEnd w:id="384"/>
      <w:bookmarkStart w:id="385" w:name="_Toc184312091"/>
      <w:bookmarkEnd w:id="385"/>
      <w:bookmarkStart w:id="386" w:name="_Toc184313252"/>
      <w:bookmarkEnd w:id="386"/>
      <w:bookmarkStart w:id="387" w:name="_Toc184313258"/>
      <w:bookmarkEnd w:id="387"/>
      <w:bookmarkStart w:id="388" w:name="_Toc184310293"/>
      <w:bookmarkEnd w:id="388"/>
      <w:bookmarkStart w:id="389" w:name="_Toc184308098"/>
      <w:bookmarkEnd w:id="389"/>
      <w:bookmarkStart w:id="390" w:name="_Toc184313275"/>
      <w:bookmarkEnd w:id="390"/>
      <w:bookmarkStart w:id="391" w:name="_Toc184308055"/>
      <w:bookmarkEnd w:id="391"/>
      <w:bookmarkStart w:id="392" w:name="_Toc184313306"/>
      <w:bookmarkEnd w:id="392"/>
      <w:bookmarkStart w:id="393" w:name="_Toc184308051"/>
      <w:bookmarkEnd w:id="393"/>
      <w:bookmarkStart w:id="394" w:name="_Toc184313259"/>
      <w:bookmarkEnd w:id="394"/>
      <w:bookmarkStart w:id="395" w:name="_Toc184310333"/>
      <w:bookmarkEnd w:id="395"/>
      <w:bookmarkStart w:id="396" w:name="_Toc184308095"/>
      <w:bookmarkEnd w:id="396"/>
      <w:bookmarkStart w:id="397" w:name="_Toc184308060"/>
      <w:bookmarkEnd w:id="397"/>
      <w:bookmarkStart w:id="398" w:name="_Toc184314420"/>
      <w:bookmarkEnd w:id="398"/>
      <w:bookmarkStart w:id="399" w:name="_Toc184308062"/>
      <w:bookmarkEnd w:id="399"/>
      <w:bookmarkStart w:id="400" w:name="_Toc184312139"/>
      <w:bookmarkEnd w:id="400"/>
      <w:bookmarkStart w:id="401" w:name="_Toc184310295"/>
      <w:bookmarkEnd w:id="401"/>
      <w:bookmarkStart w:id="402" w:name="_Toc184308065"/>
      <w:bookmarkEnd w:id="402"/>
      <w:bookmarkStart w:id="403" w:name="_Toc184314480"/>
      <w:bookmarkEnd w:id="403"/>
      <w:bookmarkStart w:id="404" w:name="_Toc184314433"/>
      <w:bookmarkEnd w:id="404"/>
      <w:bookmarkStart w:id="405" w:name="_Toc184308086"/>
      <w:bookmarkEnd w:id="405"/>
      <w:bookmarkStart w:id="406" w:name="_Toc184308093"/>
      <w:bookmarkEnd w:id="406"/>
      <w:bookmarkStart w:id="407" w:name="_Toc184313283"/>
      <w:bookmarkEnd w:id="407"/>
      <w:bookmarkStart w:id="408" w:name="_Toc184312089"/>
      <w:bookmarkEnd w:id="408"/>
      <w:bookmarkStart w:id="409" w:name="_Toc184310324"/>
      <w:bookmarkEnd w:id="409"/>
      <w:bookmarkStart w:id="410" w:name="_Toc184310282"/>
      <w:bookmarkEnd w:id="410"/>
      <w:bookmarkStart w:id="411" w:name="_Toc184308094"/>
      <w:bookmarkEnd w:id="411"/>
      <w:r>
        <w:rPr>
          <w:rStyle w:val="283"/>
          <w:rFonts w:hint="eastAsia"/>
          <w:color w:val="auto"/>
          <w:highlight w:val="none"/>
        </w:rPr>
        <w:t>评标办法</w:t>
      </w:r>
      <w:bookmarkEnd w:id="46"/>
    </w:p>
    <w:p w14:paraId="57818F2D">
      <w:pPr>
        <w:snapToGrid w:val="0"/>
        <w:spacing w:line="360" w:lineRule="auto"/>
        <w:jc w:val="center"/>
        <w:outlineLvl w:val="1"/>
        <w:rPr>
          <w:rFonts w:hint="eastAsia" w:ascii="宋体" w:hAnsi="宋体" w:cs="宋体"/>
          <w:b/>
          <w:color w:val="auto"/>
          <w:sz w:val="24"/>
          <w:highlight w:val="none"/>
        </w:rPr>
      </w:pPr>
      <w:r>
        <w:rPr>
          <w:rFonts w:hint="eastAsia" w:ascii="宋体" w:hAnsi="宋体" w:cs="宋体"/>
          <w:b/>
          <w:color w:val="auto"/>
          <w:sz w:val="24"/>
          <w:highlight w:val="none"/>
        </w:rPr>
        <w:t>评标办法前附表</w:t>
      </w:r>
    </w:p>
    <w:tbl>
      <w:tblPr>
        <w:tblStyle w:val="63"/>
        <w:tblW w:w="486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98"/>
        <w:gridCol w:w="744"/>
        <w:gridCol w:w="914"/>
        <w:gridCol w:w="1472"/>
      </w:tblGrid>
      <w:tr w14:paraId="22E9E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66" w:type="pct"/>
            <w:tcBorders>
              <w:tl2br w:val="nil"/>
              <w:tr2bl w:val="nil"/>
            </w:tcBorders>
            <w:vAlign w:val="center"/>
          </w:tcPr>
          <w:p w14:paraId="205EA27E">
            <w:pPr>
              <w:widowControl/>
              <w:adjustRightInd/>
              <w:spacing w:line="360" w:lineRule="auto"/>
              <w:jc w:val="center"/>
              <w:rPr>
                <w:rFonts w:hint="eastAsia" w:ascii="宋体" w:hAnsi="宋体" w:cs="宋体"/>
                <w:b/>
                <w:bCs/>
                <w:color w:val="auto"/>
                <w:szCs w:val="21"/>
                <w:highlight w:val="none"/>
              </w:rPr>
            </w:pPr>
            <w:r>
              <w:rPr>
                <w:rFonts w:hint="eastAsia" w:ascii="宋体" w:hAnsi="宋体" w:cs="宋体"/>
                <w:b/>
                <w:bCs/>
                <w:color w:val="auto"/>
                <w:kern w:val="0"/>
                <w:szCs w:val="21"/>
                <w:highlight w:val="none"/>
              </w:rPr>
              <w:t>评标标准</w:t>
            </w:r>
          </w:p>
        </w:tc>
        <w:tc>
          <w:tcPr>
            <w:tcW w:w="412" w:type="pct"/>
            <w:tcBorders>
              <w:tl2br w:val="nil"/>
              <w:tr2bl w:val="nil"/>
            </w:tcBorders>
            <w:vAlign w:val="center"/>
          </w:tcPr>
          <w:p w14:paraId="698C79E3">
            <w:pPr>
              <w:widowControl/>
              <w:adjustRightInd/>
              <w:spacing w:line="360" w:lineRule="auto"/>
              <w:jc w:val="center"/>
              <w:rPr>
                <w:rFonts w:hint="eastAsia" w:ascii="宋体" w:hAnsi="宋体" w:cs="宋体"/>
                <w:b/>
                <w:bCs/>
                <w:color w:val="auto"/>
                <w:szCs w:val="21"/>
                <w:highlight w:val="none"/>
              </w:rPr>
            </w:pPr>
            <w:r>
              <w:rPr>
                <w:rFonts w:hint="eastAsia" w:ascii="宋体" w:hAnsi="宋体" w:cs="宋体"/>
                <w:b/>
                <w:bCs/>
                <w:color w:val="auto"/>
                <w:kern w:val="0"/>
                <w:szCs w:val="21"/>
                <w:highlight w:val="none"/>
              </w:rPr>
              <w:t>权重</w:t>
            </w:r>
          </w:p>
        </w:tc>
        <w:tc>
          <w:tcPr>
            <w:tcW w:w="506" w:type="pct"/>
            <w:tcBorders>
              <w:tl2br w:val="nil"/>
              <w:tr2bl w:val="nil"/>
            </w:tcBorders>
            <w:vAlign w:val="center"/>
          </w:tcPr>
          <w:p w14:paraId="4D2CE98F">
            <w:pPr>
              <w:widowControl/>
              <w:adjustRightInd/>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主观分/客观分属性</w:t>
            </w:r>
          </w:p>
        </w:tc>
        <w:tc>
          <w:tcPr>
            <w:tcW w:w="815" w:type="pct"/>
            <w:tcBorders>
              <w:tl2br w:val="nil"/>
              <w:tr2bl w:val="nil"/>
            </w:tcBorders>
          </w:tcPr>
          <w:p w14:paraId="4F08E299">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投标文件中评标标准相应的商务技术资料目录*</w:t>
            </w:r>
          </w:p>
        </w:tc>
      </w:tr>
      <w:tr w14:paraId="75D639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66" w:type="pct"/>
            <w:tcBorders>
              <w:tl2br w:val="nil"/>
              <w:tr2bl w:val="nil"/>
            </w:tcBorders>
            <w:vAlign w:val="center"/>
          </w:tcPr>
          <w:p w14:paraId="01F55859">
            <w:pPr>
              <w:widowControl/>
              <w:adjustRightInd/>
              <w:spacing w:line="360"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业绩经验：</w:t>
            </w:r>
          </w:p>
          <w:p w14:paraId="3C4B0FF8">
            <w:pPr>
              <w:widowControl/>
              <w:adjustRightInd/>
              <w:spacing w:line="360" w:lineRule="auto"/>
              <w:jc w:val="left"/>
              <w:rPr>
                <w:rFonts w:hint="eastAsia" w:ascii="仿宋" w:hAnsi="仿宋"/>
                <w:color w:val="auto"/>
                <w:highlight w:val="none"/>
              </w:rPr>
            </w:pPr>
            <w:r>
              <w:rPr>
                <w:rFonts w:hint="eastAsia" w:ascii="仿宋" w:hAnsi="仿宋"/>
                <w:color w:val="auto"/>
                <w:highlight w:val="none"/>
              </w:rPr>
              <w:t>投标人自2022年1月1日（时间以合同签订日期为准）以来具有扬尘治理或市政工程项目业绩的每个得1分，最多得3分。</w:t>
            </w:r>
          </w:p>
          <w:p w14:paraId="26B07B6F">
            <w:pPr>
              <w:widowControl/>
              <w:adjustRightInd/>
              <w:spacing w:line="360" w:lineRule="auto"/>
              <w:jc w:val="left"/>
              <w:rPr>
                <w:rFonts w:hint="eastAsia" w:ascii="仿宋" w:hAnsi="仿宋"/>
                <w:color w:val="auto"/>
                <w:highlight w:val="none"/>
              </w:rPr>
            </w:pPr>
            <w:r>
              <w:rPr>
                <w:rFonts w:hint="eastAsia" w:ascii="仿宋" w:hAnsi="仿宋"/>
                <w:color w:val="auto"/>
                <w:highlight w:val="none"/>
              </w:rPr>
              <w:t>说明：须提供完整合同复印件</w:t>
            </w:r>
            <w:r>
              <w:rPr>
                <w:rFonts w:hint="eastAsia" w:ascii="宋体" w:hAnsi="宋体" w:cs="宋体"/>
                <w:color w:val="auto"/>
                <w:kern w:val="0"/>
                <w:szCs w:val="21"/>
                <w:highlight w:val="none"/>
              </w:rPr>
              <w:t>（或扫描件，下同）</w:t>
            </w:r>
            <w:r>
              <w:rPr>
                <w:rFonts w:hint="eastAsia" w:ascii="仿宋" w:hAnsi="仿宋"/>
                <w:color w:val="auto"/>
                <w:highlight w:val="none"/>
              </w:rPr>
              <w:t>及项目验收通过意见（或验收报告），否则不予认可。</w:t>
            </w:r>
          </w:p>
        </w:tc>
        <w:tc>
          <w:tcPr>
            <w:tcW w:w="412" w:type="pct"/>
            <w:tcBorders>
              <w:tl2br w:val="nil"/>
              <w:tr2bl w:val="nil"/>
            </w:tcBorders>
            <w:vAlign w:val="center"/>
          </w:tcPr>
          <w:p w14:paraId="5B7C0FBD">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06" w:type="pct"/>
            <w:tcBorders>
              <w:tl2br w:val="nil"/>
              <w:tr2bl w:val="nil"/>
            </w:tcBorders>
            <w:vAlign w:val="center"/>
          </w:tcPr>
          <w:p w14:paraId="4174AB43">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815" w:type="pct"/>
            <w:tcBorders>
              <w:tl2br w:val="nil"/>
              <w:tr2bl w:val="nil"/>
            </w:tcBorders>
            <w:vAlign w:val="center"/>
          </w:tcPr>
          <w:p w14:paraId="33DB0EDE">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业绩经验</w:t>
            </w:r>
          </w:p>
        </w:tc>
      </w:tr>
      <w:tr w14:paraId="11BD4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66" w:type="pct"/>
            <w:tcBorders>
              <w:tl2br w:val="nil"/>
              <w:tr2bl w:val="nil"/>
            </w:tcBorders>
            <w:vAlign w:val="center"/>
          </w:tcPr>
          <w:p w14:paraId="365D88EF">
            <w:pPr>
              <w:widowControl/>
              <w:adjustRightInd/>
              <w:spacing w:line="360"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资质证书：</w:t>
            </w:r>
          </w:p>
          <w:p w14:paraId="3D5B1B35">
            <w:pPr>
              <w:widowControl/>
              <w:adjustRightInd/>
              <w:spacing w:line="360" w:lineRule="auto"/>
              <w:jc w:val="left"/>
              <w:rPr>
                <w:rFonts w:hint="eastAsia" w:ascii="仿宋" w:hAnsi="仿宋"/>
                <w:color w:val="auto"/>
                <w:highlight w:val="none"/>
              </w:rPr>
            </w:pPr>
            <w:r>
              <w:rPr>
                <w:rFonts w:hint="eastAsia" w:ascii="仿宋" w:hAnsi="仿宋"/>
                <w:color w:val="auto"/>
                <w:highlight w:val="none"/>
              </w:rPr>
              <w:t>投标人具有有效的质量管理体系认证证书、环境管理体系认证证书、职业健康安全管理体系认证证书的，每个得1分，最多得3分。</w:t>
            </w:r>
          </w:p>
          <w:p w14:paraId="6B2F86AF">
            <w:pPr>
              <w:widowControl/>
              <w:adjustRightIn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说明：同时提供认证证书复印件及在全国认证认可信息公共服务平台查询截图加盖公章，缺漏项不得分。</w:t>
            </w:r>
          </w:p>
        </w:tc>
        <w:tc>
          <w:tcPr>
            <w:tcW w:w="412" w:type="pct"/>
            <w:tcBorders>
              <w:tl2br w:val="nil"/>
              <w:tr2bl w:val="nil"/>
            </w:tcBorders>
            <w:vAlign w:val="center"/>
          </w:tcPr>
          <w:p w14:paraId="194EDDE4">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06" w:type="pct"/>
            <w:tcBorders>
              <w:tl2br w:val="nil"/>
              <w:tr2bl w:val="nil"/>
            </w:tcBorders>
            <w:vAlign w:val="center"/>
          </w:tcPr>
          <w:p w14:paraId="01A3201D">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815" w:type="pct"/>
            <w:tcBorders>
              <w:tl2br w:val="nil"/>
              <w:tr2bl w:val="nil"/>
            </w:tcBorders>
            <w:vAlign w:val="center"/>
          </w:tcPr>
          <w:p w14:paraId="6A13B96C">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资质证书</w:t>
            </w:r>
          </w:p>
        </w:tc>
      </w:tr>
      <w:tr w14:paraId="5EF0C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66" w:type="pct"/>
            <w:tcBorders>
              <w:tl2br w:val="nil"/>
              <w:tr2bl w:val="nil"/>
            </w:tcBorders>
            <w:vAlign w:val="center"/>
          </w:tcPr>
          <w:p w14:paraId="25BDE820">
            <w:pPr>
              <w:widowControl/>
              <w:adjustRightInd/>
              <w:spacing w:line="360"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扬尘治理方案：</w:t>
            </w:r>
          </w:p>
          <w:p w14:paraId="017ED02C">
            <w:pPr>
              <w:widowControl/>
              <w:adjustRightIn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对道路扬尘治理理解透彻，分析深入全面，精准把握扬尘环境治理工作需求，有针对性提出治理工作的重点和难点，解决方案全面且有很强的针对性、先进性、操作性；方案具有针对性、先进性、操作性及内容详实的得4分；其余按3分、2分、1分打分，未提供不得分。</w:t>
            </w:r>
          </w:p>
        </w:tc>
        <w:tc>
          <w:tcPr>
            <w:tcW w:w="412" w:type="pct"/>
            <w:tcBorders>
              <w:tl2br w:val="nil"/>
              <w:tr2bl w:val="nil"/>
            </w:tcBorders>
            <w:vAlign w:val="center"/>
          </w:tcPr>
          <w:p w14:paraId="7904D277">
            <w:pPr>
              <w:snapToGrid w:val="0"/>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506" w:type="pct"/>
            <w:tcBorders>
              <w:tl2br w:val="nil"/>
              <w:tr2bl w:val="nil"/>
            </w:tcBorders>
            <w:vAlign w:val="center"/>
          </w:tcPr>
          <w:p w14:paraId="490B1F0F">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815" w:type="pct"/>
            <w:tcBorders>
              <w:tl2br w:val="nil"/>
              <w:tr2bl w:val="nil"/>
            </w:tcBorders>
            <w:vAlign w:val="center"/>
          </w:tcPr>
          <w:p w14:paraId="4AB3632E">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扬尘治理方案</w:t>
            </w:r>
          </w:p>
        </w:tc>
      </w:tr>
      <w:tr w14:paraId="4CC3B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66" w:type="pct"/>
            <w:tcBorders>
              <w:tl2br w:val="nil"/>
              <w:tr2bl w:val="nil"/>
            </w:tcBorders>
            <w:vAlign w:val="center"/>
          </w:tcPr>
          <w:p w14:paraId="564EB2EA">
            <w:pPr>
              <w:widowControl/>
              <w:adjustRightInd/>
              <w:spacing w:line="360" w:lineRule="auto"/>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专项施工方案</w:t>
            </w:r>
            <w:r>
              <w:rPr>
                <w:rFonts w:hint="eastAsia" w:ascii="宋体" w:hAnsi="宋体" w:cs="宋体"/>
                <w:color w:val="auto"/>
                <w:kern w:val="0"/>
                <w:szCs w:val="21"/>
                <w:highlight w:val="none"/>
              </w:rPr>
              <w:t>：</w:t>
            </w:r>
          </w:p>
          <w:p w14:paraId="2432ABB4">
            <w:pPr>
              <w:widowControl/>
              <w:adjustRightIn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投标人对道路扬尘治理项目提供详细扬尘治理施工方案包含水电、道路、绿化、管线等详细施工方案。</w:t>
            </w:r>
            <w:r>
              <w:rPr>
                <w:rFonts w:hint="eastAsia" w:ascii="宋体" w:hAnsi="宋体" w:cs="宋体"/>
                <w:color w:val="auto"/>
                <w:szCs w:val="21"/>
                <w:highlight w:val="none"/>
              </w:rPr>
              <w:t>根据方案完整性、可实施性、功能实现情况进行评价。完整性、可实施性、项目匹配性好（提供对应施工图纸）得5分；</w:t>
            </w:r>
            <w:r>
              <w:rPr>
                <w:rFonts w:hint="eastAsia" w:ascii="宋体" w:hAnsi="宋体" w:cs="宋体"/>
                <w:color w:val="auto"/>
                <w:kern w:val="0"/>
                <w:szCs w:val="21"/>
                <w:highlight w:val="none"/>
              </w:rPr>
              <w:t>其余按4分、3分、2分、1分打分，未提供不得分。</w:t>
            </w:r>
          </w:p>
        </w:tc>
        <w:tc>
          <w:tcPr>
            <w:tcW w:w="412" w:type="pct"/>
            <w:tcBorders>
              <w:tl2br w:val="nil"/>
              <w:tr2bl w:val="nil"/>
            </w:tcBorders>
            <w:vAlign w:val="center"/>
          </w:tcPr>
          <w:p w14:paraId="46F1D30F">
            <w:pPr>
              <w:snapToGrid w:val="0"/>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506" w:type="pct"/>
            <w:tcBorders>
              <w:tl2br w:val="nil"/>
              <w:tr2bl w:val="nil"/>
            </w:tcBorders>
            <w:vAlign w:val="center"/>
          </w:tcPr>
          <w:p w14:paraId="463AC8E8">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815" w:type="pct"/>
            <w:tcBorders>
              <w:tl2br w:val="nil"/>
              <w:tr2bl w:val="nil"/>
            </w:tcBorders>
            <w:vAlign w:val="center"/>
          </w:tcPr>
          <w:p w14:paraId="583A39AE">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专项施工方案</w:t>
            </w:r>
          </w:p>
        </w:tc>
      </w:tr>
      <w:tr w14:paraId="6CB15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66" w:type="pct"/>
            <w:tcBorders>
              <w:tl2br w:val="nil"/>
              <w:tr2bl w:val="nil"/>
            </w:tcBorders>
            <w:vAlign w:val="center"/>
          </w:tcPr>
          <w:p w14:paraId="0BD2D45E">
            <w:pPr>
              <w:spacing w:line="360"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扬尘治理设备、空气监测设备选点方案：</w:t>
            </w:r>
          </w:p>
          <w:p w14:paraId="3229D08C">
            <w:pPr>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对于道路距离、设备安装数量、安装方位、气象参数、车辆数量等方面论证对</w:t>
            </w:r>
            <w:r>
              <w:rPr>
                <w:rFonts w:hint="eastAsia" w:ascii="宋体" w:hAnsi="宋体" w:cs="宋体"/>
                <w:color w:val="auto"/>
                <w:kern w:val="0"/>
                <w:szCs w:val="21"/>
                <w:highlight w:val="none"/>
              </w:rPr>
              <w:t>道路扬尘治理选点</w:t>
            </w:r>
            <w:r>
              <w:rPr>
                <w:rFonts w:hint="eastAsia" w:ascii="宋体" w:hAnsi="宋体" w:cs="宋体"/>
                <w:color w:val="auto"/>
                <w:szCs w:val="21"/>
                <w:highlight w:val="none"/>
              </w:rPr>
              <w:t>方案；选点</w:t>
            </w:r>
            <w:r>
              <w:rPr>
                <w:rFonts w:ascii="宋体" w:hAnsi="宋体" w:cs="宋体"/>
                <w:color w:val="auto"/>
                <w:szCs w:val="21"/>
                <w:highlight w:val="none"/>
              </w:rPr>
              <w:t>分析方案科学合理、针对性强的得</w:t>
            </w:r>
            <w:r>
              <w:rPr>
                <w:rFonts w:hint="eastAsia" w:ascii="宋体" w:hAnsi="宋体" w:cs="宋体"/>
                <w:color w:val="auto"/>
                <w:szCs w:val="21"/>
                <w:highlight w:val="none"/>
              </w:rPr>
              <w:t>3分</w:t>
            </w:r>
            <w:r>
              <w:rPr>
                <w:rFonts w:ascii="宋体" w:hAnsi="宋体" w:cs="宋体"/>
                <w:color w:val="auto"/>
                <w:szCs w:val="21"/>
                <w:highlight w:val="none"/>
              </w:rPr>
              <w:t>；</w:t>
            </w:r>
            <w:r>
              <w:rPr>
                <w:rFonts w:hint="eastAsia" w:ascii="宋体" w:hAnsi="宋体" w:cs="宋体"/>
                <w:color w:val="auto"/>
                <w:kern w:val="0"/>
                <w:szCs w:val="21"/>
                <w:highlight w:val="none"/>
              </w:rPr>
              <w:t>其余按2分、1分打分，未提供不得分。</w:t>
            </w:r>
          </w:p>
        </w:tc>
        <w:tc>
          <w:tcPr>
            <w:tcW w:w="412" w:type="pct"/>
            <w:tcBorders>
              <w:tl2br w:val="nil"/>
              <w:tr2bl w:val="nil"/>
            </w:tcBorders>
            <w:vAlign w:val="center"/>
          </w:tcPr>
          <w:p w14:paraId="09325FC2">
            <w:pPr>
              <w:snapToGrid w:val="0"/>
              <w:spacing w:line="300" w:lineRule="auto"/>
              <w:jc w:val="center"/>
              <w:rPr>
                <w:rFonts w:hint="eastAsia" w:ascii="宋体" w:hAnsi="宋体" w:cs="宋体"/>
                <w:color w:val="auto"/>
                <w:szCs w:val="21"/>
                <w:highlight w:val="none"/>
              </w:rPr>
            </w:pPr>
            <w:r>
              <w:rPr>
                <w:rFonts w:ascii="宋体" w:hAnsi="宋体" w:cs="宋体"/>
                <w:color w:val="auto"/>
                <w:szCs w:val="21"/>
                <w:highlight w:val="none"/>
              </w:rPr>
              <w:t>3</w:t>
            </w:r>
          </w:p>
        </w:tc>
        <w:tc>
          <w:tcPr>
            <w:tcW w:w="506" w:type="pct"/>
            <w:tcBorders>
              <w:tl2br w:val="nil"/>
              <w:tr2bl w:val="nil"/>
            </w:tcBorders>
            <w:vAlign w:val="center"/>
          </w:tcPr>
          <w:p w14:paraId="6C90413B">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815" w:type="pct"/>
            <w:tcBorders>
              <w:tl2br w:val="nil"/>
              <w:tr2bl w:val="nil"/>
            </w:tcBorders>
            <w:vAlign w:val="center"/>
          </w:tcPr>
          <w:p w14:paraId="752377A1">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扬尘治理设备、空气监测设备选点方案</w:t>
            </w:r>
          </w:p>
        </w:tc>
      </w:tr>
      <w:tr w14:paraId="5B323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66" w:type="pct"/>
            <w:tcBorders>
              <w:tl2br w:val="nil"/>
              <w:tr2bl w:val="nil"/>
            </w:tcBorders>
            <w:vAlign w:val="center"/>
          </w:tcPr>
          <w:p w14:paraId="6B67E36D">
            <w:pPr>
              <w:spacing w:line="360"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交组方案：</w:t>
            </w:r>
          </w:p>
          <w:p w14:paraId="0B8CACBC">
            <w:pPr>
              <w:spacing w:line="360" w:lineRule="auto"/>
              <w:jc w:val="left"/>
              <w:rPr>
                <w:rFonts w:hint="eastAsia" w:ascii="宋体" w:hAnsi="宋体" w:cs="宋体"/>
                <w:color w:val="auto"/>
                <w:szCs w:val="21"/>
                <w:highlight w:val="none"/>
              </w:rPr>
            </w:pPr>
            <w:bookmarkStart w:id="571" w:name="_GoBack"/>
            <w:r>
              <w:rPr>
                <w:rFonts w:hint="eastAsia" w:ascii="宋体" w:hAnsi="宋体" w:cs="宋体"/>
                <w:color w:val="auto"/>
                <w:szCs w:val="21"/>
                <w:highlight w:val="none"/>
              </w:rPr>
              <w:t>根据道路临时封道、改道等相关交组方案完整性、可实施性、功能实现情况进行评价。完整性、可实施性、项目匹配性好得（提供对应施工图纸）3分；其余按</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rPr>
              <w:t>1分打分，未提供不得分。</w:t>
            </w:r>
            <w:bookmarkEnd w:id="571"/>
          </w:p>
        </w:tc>
        <w:tc>
          <w:tcPr>
            <w:tcW w:w="412" w:type="pct"/>
            <w:tcBorders>
              <w:tl2br w:val="nil"/>
              <w:tr2bl w:val="nil"/>
            </w:tcBorders>
            <w:vAlign w:val="center"/>
          </w:tcPr>
          <w:p w14:paraId="2ECB5D93">
            <w:pPr>
              <w:snapToGrid w:val="0"/>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06" w:type="pct"/>
            <w:tcBorders>
              <w:tl2br w:val="nil"/>
              <w:tr2bl w:val="nil"/>
            </w:tcBorders>
            <w:vAlign w:val="center"/>
          </w:tcPr>
          <w:p w14:paraId="4AD1897F">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815" w:type="pct"/>
            <w:tcBorders>
              <w:tl2br w:val="nil"/>
              <w:tr2bl w:val="nil"/>
            </w:tcBorders>
            <w:vAlign w:val="center"/>
          </w:tcPr>
          <w:p w14:paraId="6394B6B5">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交组方案</w:t>
            </w:r>
          </w:p>
        </w:tc>
      </w:tr>
      <w:tr w14:paraId="6CCE2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66" w:type="pct"/>
            <w:tcBorders>
              <w:tl2br w:val="nil"/>
              <w:tr2bl w:val="nil"/>
            </w:tcBorders>
            <w:vAlign w:val="center"/>
          </w:tcPr>
          <w:p w14:paraId="311B1634">
            <w:pPr>
              <w:spacing w:line="360"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组织保障：</w:t>
            </w:r>
          </w:p>
          <w:p w14:paraId="772F9910">
            <w:pPr>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rPr>
              <w:t>对投标人要求组织保障方案内容逻辑缜密、保障措施完整详实、质量保障专人负责、质量校核流程详细完整、成果验收标准科学明确；</w:t>
            </w:r>
            <w:r>
              <w:rPr>
                <w:rFonts w:hint="eastAsia" w:ascii="宋体" w:hAnsi="宋体" w:cs="宋体"/>
                <w:color w:val="auto"/>
                <w:szCs w:val="21"/>
                <w:highlight w:val="none"/>
              </w:rPr>
              <w:t>完整性、可实施性、项目匹配性好得3分；</w:t>
            </w:r>
            <w:r>
              <w:rPr>
                <w:rFonts w:hint="eastAsia" w:ascii="宋体" w:hAnsi="宋体" w:cs="宋体"/>
                <w:color w:val="auto"/>
                <w:kern w:val="0"/>
                <w:szCs w:val="21"/>
                <w:highlight w:val="none"/>
              </w:rPr>
              <w:t>其余按2分、1分打分，未提供不得分。</w:t>
            </w:r>
          </w:p>
        </w:tc>
        <w:tc>
          <w:tcPr>
            <w:tcW w:w="412" w:type="pct"/>
            <w:tcBorders>
              <w:tl2br w:val="nil"/>
              <w:tr2bl w:val="nil"/>
            </w:tcBorders>
            <w:vAlign w:val="center"/>
          </w:tcPr>
          <w:p w14:paraId="780FE249">
            <w:pPr>
              <w:snapToGrid w:val="0"/>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06" w:type="pct"/>
            <w:tcBorders>
              <w:tl2br w:val="nil"/>
              <w:tr2bl w:val="nil"/>
            </w:tcBorders>
            <w:vAlign w:val="center"/>
          </w:tcPr>
          <w:p w14:paraId="146904E1">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815" w:type="pct"/>
            <w:tcBorders>
              <w:tl2br w:val="nil"/>
              <w:tr2bl w:val="nil"/>
            </w:tcBorders>
            <w:vAlign w:val="center"/>
          </w:tcPr>
          <w:p w14:paraId="1BECF70B">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组织保障</w:t>
            </w:r>
          </w:p>
        </w:tc>
      </w:tr>
      <w:tr w14:paraId="6BDA1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266" w:type="pct"/>
            <w:tcBorders>
              <w:tl2br w:val="nil"/>
              <w:tr2bl w:val="nil"/>
            </w:tcBorders>
            <w:vAlign w:val="center"/>
          </w:tcPr>
          <w:p w14:paraId="3C1BF34A">
            <w:pPr>
              <w:spacing w:line="360" w:lineRule="auto"/>
              <w:jc w:val="left"/>
              <w:rPr>
                <w:rFonts w:hint="eastAsia" w:ascii="宋体" w:hAnsi="宋体" w:cs="宋体"/>
                <w:b/>
                <w:bCs/>
                <w:color w:val="auto"/>
                <w:kern w:val="0"/>
                <w:szCs w:val="21"/>
                <w:highlight w:val="none"/>
              </w:rPr>
            </w:pPr>
            <w:r>
              <w:rPr>
                <w:rFonts w:hint="eastAsia"/>
                <w:b/>
                <w:bCs/>
                <w:color w:val="auto"/>
                <w:highlight w:val="none"/>
              </w:rPr>
              <w:t>项</w:t>
            </w:r>
            <w:r>
              <w:rPr>
                <w:rFonts w:hint="eastAsia" w:ascii="宋体" w:hAnsi="宋体" w:cs="宋体"/>
                <w:b/>
                <w:bCs/>
                <w:color w:val="auto"/>
                <w:kern w:val="0"/>
                <w:szCs w:val="21"/>
                <w:highlight w:val="none"/>
              </w:rPr>
              <w:t>目进度保障：</w:t>
            </w:r>
          </w:p>
          <w:p w14:paraId="1751303B">
            <w:pPr>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rPr>
              <w:t>根据投标人提供的本项目扬尘环境治理进度保障措施，结合本项目实际进行评审，要求投标人对项目进度保障管理办法、进度保障措施、进度管理人员、时间节点划分、阶段成果安排等内容进行表述。保障管理办法内容细致全面、保障措施完整详实、进度保障专人负责、任务节点划分明确合理、阶段成果真实、具体可靠的，得3分；其余按2分、1分打分，未提供不得分。</w:t>
            </w:r>
          </w:p>
        </w:tc>
        <w:tc>
          <w:tcPr>
            <w:tcW w:w="412" w:type="pct"/>
            <w:tcBorders>
              <w:tl2br w:val="nil"/>
              <w:tr2bl w:val="nil"/>
            </w:tcBorders>
            <w:vAlign w:val="center"/>
          </w:tcPr>
          <w:p w14:paraId="20B412D0">
            <w:pPr>
              <w:snapToGrid w:val="0"/>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06" w:type="pct"/>
            <w:tcBorders>
              <w:tl2br w:val="nil"/>
              <w:tr2bl w:val="nil"/>
            </w:tcBorders>
            <w:vAlign w:val="center"/>
          </w:tcPr>
          <w:p w14:paraId="37428510">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815" w:type="pct"/>
            <w:tcBorders>
              <w:tl2br w:val="nil"/>
              <w:tr2bl w:val="nil"/>
            </w:tcBorders>
            <w:vAlign w:val="center"/>
          </w:tcPr>
          <w:p w14:paraId="0DF785F1">
            <w:pPr>
              <w:widowControl/>
              <w:adjustRightInd/>
              <w:spacing w:line="360" w:lineRule="auto"/>
              <w:jc w:val="center"/>
              <w:rPr>
                <w:rFonts w:hint="eastAsia" w:ascii="宋体" w:hAnsi="宋体" w:cs="宋体"/>
                <w:color w:val="auto"/>
                <w:szCs w:val="21"/>
                <w:highlight w:val="none"/>
              </w:rPr>
            </w:pPr>
            <w:r>
              <w:rPr>
                <w:rFonts w:hint="eastAsia"/>
                <w:color w:val="auto"/>
                <w:highlight w:val="none"/>
              </w:rPr>
              <w:t>项</w:t>
            </w:r>
            <w:r>
              <w:rPr>
                <w:rFonts w:hint="eastAsia" w:ascii="宋体" w:hAnsi="宋体" w:cs="宋体"/>
                <w:color w:val="auto"/>
                <w:kern w:val="0"/>
                <w:szCs w:val="21"/>
                <w:highlight w:val="none"/>
              </w:rPr>
              <w:t>目进度保障</w:t>
            </w:r>
          </w:p>
        </w:tc>
      </w:tr>
      <w:tr w14:paraId="16E58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266" w:type="pct"/>
            <w:tcBorders>
              <w:tl2br w:val="nil"/>
              <w:tr2bl w:val="nil"/>
            </w:tcBorders>
            <w:vAlign w:val="center"/>
          </w:tcPr>
          <w:p w14:paraId="294444A2">
            <w:pPr>
              <w:spacing w:line="360" w:lineRule="auto"/>
              <w:jc w:val="left"/>
              <w:rPr>
                <w:b/>
                <w:bCs/>
                <w:color w:val="auto"/>
                <w:spacing w:val="8"/>
                <w:szCs w:val="21"/>
                <w:highlight w:val="none"/>
              </w:rPr>
            </w:pPr>
            <w:r>
              <w:rPr>
                <w:b/>
                <w:bCs/>
                <w:color w:val="auto"/>
                <w:spacing w:val="8"/>
                <w:szCs w:val="21"/>
                <w:highlight w:val="none"/>
              </w:rPr>
              <w:t>项目质量</w:t>
            </w:r>
            <w:r>
              <w:rPr>
                <w:rFonts w:hint="eastAsia"/>
                <w:b/>
                <w:bCs/>
                <w:color w:val="auto"/>
                <w:spacing w:val="8"/>
                <w:szCs w:val="21"/>
                <w:highlight w:val="none"/>
              </w:rPr>
              <w:t>保障方案：</w:t>
            </w:r>
          </w:p>
          <w:p w14:paraId="3B09BA04">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根据投标人提供的实施方案和供货方案，对项目实施进程、项目质量制订方案、安装、调试、试运行、验收等的全过程技术组织计划的合理性、可行性、项目匹配性进行评价。具有完整性、可实施性、与项目匹配性好得4分；</w:t>
            </w:r>
            <w:r>
              <w:rPr>
                <w:rFonts w:hint="eastAsia" w:ascii="宋体" w:hAnsi="宋体" w:cs="宋体"/>
                <w:color w:val="auto"/>
                <w:kern w:val="0"/>
                <w:szCs w:val="21"/>
                <w:highlight w:val="none"/>
              </w:rPr>
              <w:t>其余按3分、2分、1分打分，未提供不得分。</w:t>
            </w:r>
          </w:p>
        </w:tc>
        <w:tc>
          <w:tcPr>
            <w:tcW w:w="412" w:type="pct"/>
            <w:tcBorders>
              <w:tl2br w:val="nil"/>
              <w:tr2bl w:val="nil"/>
            </w:tcBorders>
            <w:vAlign w:val="center"/>
          </w:tcPr>
          <w:p w14:paraId="7F320A02">
            <w:pPr>
              <w:snapToGrid w:val="0"/>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506" w:type="pct"/>
            <w:tcBorders>
              <w:tl2br w:val="nil"/>
              <w:tr2bl w:val="nil"/>
            </w:tcBorders>
            <w:vAlign w:val="center"/>
          </w:tcPr>
          <w:p w14:paraId="3DB6F7C5">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815" w:type="pct"/>
            <w:tcBorders>
              <w:tl2br w:val="nil"/>
              <w:tr2bl w:val="nil"/>
            </w:tcBorders>
            <w:vAlign w:val="center"/>
          </w:tcPr>
          <w:p w14:paraId="2F4C22F3">
            <w:pPr>
              <w:widowControl/>
              <w:adjustRightInd/>
              <w:spacing w:line="360" w:lineRule="auto"/>
              <w:jc w:val="center"/>
              <w:rPr>
                <w:rFonts w:hint="eastAsia" w:ascii="宋体" w:hAnsi="宋体" w:cs="宋体"/>
                <w:color w:val="auto"/>
                <w:szCs w:val="21"/>
                <w:highlight w:val="none"/>
              </w:rPr>
            </w:pPr>
            <w:r>
              <w:rPr>
                <w:color w:val="auto"/>
                <w:spacing w:val="8"/>
                <w:szCs w:val="21"/>
                <w:highlight w:val="none"/>
              </w:rPr>
              <w:t>项目质量</w:t>
            </w:r>
            <w:r>
              <w:rPr>
                <w:rFonts w:hint="eastAsia"/>
                <w:color w:val="auto"/>
                <w:spacing w:val="8"/>
                <w:szCs w:val="21"/>
                <w:highlight w:val="none"/>
              </w:rPr>
              <w:t>保障方案</w:t>
            </w:r>
          </w:p>
        </w:tc>
      </w:tr>
      <w:tr w14:paraId="0FF723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266" w:type="pct"/>
            <w:tcBorders>
              <w:tl2br w:val="nil"/>
              <w:tr2bl w:val="nil"/>
            </w:tcBorders>
            <w:vAlign w:val="center"/>
          </w:tcPr>
          <w:p w14:paraId="7F073810">
            <w:pPr>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项目负责人：</w:t>
            </w:r>
          </w:p>
          <w:p w14:paraId="52FEB6BF">
            <w:pPr>
              <w:pStyle w:val="61"/>
              <w:ind w:firstLine="0"/>
              <w:rPr>
                <w:color w:val="auto"/>
                <w:sz w:val="21"/>
                <w:szCs w:val="21"/>
                <w:highlight w:val="none"/>
                <w:lang w:val="en-US"/>
              </w:rPr>
            </w:pPr>
            <w:r>
              <w:rPr>
                <w:color w:val="auto"/>
                <w:sz w:val="21"/>
                <w:szCs w:val="21"/>
                <w:highlight w:val="none"/>
                <w:lang w:val="en-US"/>
              </w:rPr>
              <w:t>拟派本项目负责人（项目经理）具有</w:t>
            </w:r>
            <w:r>
              <w:rPr>
                <w:rFonts w:hint="eastAsia"/>
                <w:color w:val="auto"/>
                <w:sz w:val="21"/>
                <w:szCs w:val="21"/>
                <w:highlight w:val="none"/>
                <w:lang w:val="en-US"/>
              </w:rPr>
              <w:t>一</w:t>
            </w:r>
            <w:r>
              <w:rPr>
                <w:color w:val="auto"/>
                <w:sz w:val="21"/>
                <w:szCs w:val="21"/>
                <w:highlight w:val="none"/>
                <w:lang w:val="en-US"/>
              </w:rPr>
              <w:t>级注册市政建造师和市政工程专业高级工程师及以上职称的得</w:t>
            </w:r>
            <w:r>
              <w:rPr>
                <w:rFonts w:hint="eastAsia"/>
                <w:color w:val="auto"/>
                <w:sz w:val="21"/>
                <w:szCs w:val="21"/>
                <w:highlight w:val="none"/>
                <w:lang w:val="en-US"/>
              </w:rPr>
              <w:t>4</w:t>
            </w:r>
            <w:r>
              <w:rPr>
                <w:color w:val="auto"/>
                <w:sz w:val="21"/>
                <w:szCs w:val="21"/>
                <w:highlight w:val="none"/>
                <w:lang w:val="en-US"/>
              </w:rPr>
              <w:t>分，二级</w:t>
            </w:r>
            <w:r>
              <w:rPr>
                <w:rFonts w:hint="eastAsia"/>
                <w:color w:val="auto"/>
                <w:sz w:val="21"/>
                <w:szCs w:val="21"/>
                <w:highlight w:val="none"/>
                <w:lang w:val="en-US"/>
              </w:rPr>
              <w:t>及以上</w:t>
            </w:r>
            <w:r>
              <w:rPr>
                <w:color w:val="auto"/>
                <w:sz w:val="21"/>
                <w:szCs w:val="21"/>
                <w:highlight w:val="none"/>
                <w:lang w:val="en-US"/>
              </w:rPr>
              <w:t>注册市政建造师和市政工程专业工程师的得</w:t>
            </w:r>
            <w:r>
              <w:rPr>
                <w:rFonts w:hint="eastAsia"/>
                <w:color w:val="auto"/>
                <w:sz w:val="21"/>
                <w:szCs w:val="21"/>
                <w:highlight w:val="none"/>
                <w:lang w:val="en-US"/>
              </w:rPr>
              <w:t>2</w:t>
            </w:r>
            <w:r>
              <w:rPr>
                <w:color w:val="auto"/>
                <w:sz w:val="21"/>
                <w:szCs w:val="21"/>
                <w:highlight w:val="none"/>
                <w:lang w:val="en-US"/>
              </w:rPr>
              <w:t>分</w:t>
            </w:r>
            <w:r>
              <w:rPr>
                <w:rFonts w:hint="eastAsia"/>
                <w:color w:val="auto"/>
                <w:sz w:val="21"/>
                <w:szCs w:val="21"/>
                <w:highlight w:val="none"/>
                <w:lang w:val="en-US"/>
              </w:rPr>
              <w:t>；或</w:t>
            </w:r>
            <w:r>
              <w:rPr>
                <w:color w:val="auto"/>
                <w:sz w:val="21"/>
                <w:szCs w:val="21"/>
                <w:highlight w:val="none"/>
                <w:lang w:val="en-US"/>
              </w:rPr>
              <w:t>二级注册市政建造师和市政工程专业工程师</w:t>
            </w:r>
            <w:r>
              <w:rPr>
                <w:rFonts w:hint="eastAsia"/>
                <w:color w:val="auto"/>
                <w:sz w:val="21"/>
                <w:szCs w:val="21"/>
                <w:highlight w:val="none"/>
                <w:lang w:val="en-US"/>
              </w:rPr>
              <w:t>及以上</w:t>
            </w:r>
            <w:r>
              <w:rPr>
                <w:color w:val="auto"/>
                <w:sz w:val="21"/>
                <w:szCs w:val="21"/>
                <w:highlight w:val="none"/>
                <w:lang w:val="en-US"/>
              </w:rPr>
              <w:t>的得</w:t>
            </w:r>
            <w:r>
              <w:rPr>
                <w:rFonts w:hint="eastAsia"/>
                <w:color w:val="auto"/>
                <w:sz w:val="21"/>
                <w:szCs w:val="21"/>
                <w:highlight w:val="none"/>
                <w:lang w:val="en-US"/>
              </w:rPr>
              <w:t>2</w:t>
            </w:r>
            <w:r>
              <w:rPr>
                <w:color w:val="auto"/>
                <w:sz w:val="21"/>
                <w:szCs w:val="21"/>
                <w:highlight w:val="none"/>
                <w:lang w:val="en-US"/>
              </w:rPr>
              <w:t>分</w:t>
            </w:r>
            <w:r>
              <w:rPr>
                <w:rFonts w:hint="eastAsia"/>
                <w:color w:val="auto"/>
                <w:sz w:val="21"/>
                <w:szCs w:val="21"/>
                <w:highlight w:val="none"/>
                <w:lang w:val="en-US"/>
              </w:rPr>
              <w:t>，其余不得分</w:t>
            </w:r>
            <w:r>
              <w:rPr>
                <w:color w:val="auto"/>
                <w:sz w:val="21"/>
                <w:szCs w:val="21"/>
                <w:highlight w:val="none"/>
                <w:lang w:val="en-US"/>
              </w:rPr>
              <w:t>。</w:t>
            </w:r>
          </w:p>
          <w:p w14:paraId="10B59DD3">
            <w:pPr>
              <w:pStyle w:val="61"/>
              <w:ind w:firstLine="0"/>
              <w:rPr>
                <w:color w:val="auto"/>
                <w:sz w:val="21"/>
                <w:szCs w:val="21"/>
                <w:highlight w:val="none"/>
                <w:lang w:val="en-US"/>
              </w:rPr>
            </w:pPr>
            <w:r>
              <w:rPr>
                <w:rFonts w:hint="eastAsia"/>
                <w:color w:val="auto"/>
                <w:sz w:val="21"/>
                <w:szCs w:val="21"/>
                <w:highlight w:val="none"/>
                <w:lang w:val="en-US"/>
              </w:rPr>
              <w:t>说明：</w:t>
            </w:r>
            <w:r>
              <w:rPr>
                <w:color w:val="auto"/>
                <w:sz w:val="21"/>
                <w:szCs w:val="21"/>
                <w:highlight w:val="none"/>
                <w:lang w:val="en-US"/>
              </w:rPr>
              <w:t>项目</w:t>
            </w:r>
            <w:r>
              <w:rPr>
                <w:rFonts w:hint="eastAsia"/>
                <w:color w:val="auto"/>
                <w:sz w:val="21"/>
                <w:szCs w:val="21"/>
                <w:highlight w:val="none"/>
                <w:lang w:val="en-US"/>
              </w:rPr>
              <w:t>负责人</w:t>
            </w:r>
            <w:r>
              <w:rPr>
                <w:color w:val="auto"/>
                <w:sz w:val="21"/>
                <w:szCs w:val="21"/>
                <w:highlight w:val="none"/>
                <w:lang w:val="en-US"/>
              </w:rPr>
              <w:t>仅为一名并且不能与项目技术负责人为同一人，项目</w:t>
            </w:r>
            <w:r>
              <w:rPr>
                <w:rFonts w:hint="eastAsia"/>
                <w:color w:val="auto"/>
                <w:sz w:val="21"/>
                <w:szCs w:val="21"/>
                <w:highlight w:val="none"/>
                <w:lang w:val="en-US"/>
              </w:rPr>
              <w:t>负责人</w:t>
            </w:r>
            <w:r>
              <w:rPr>
                <w:color w:val="auto"/>
                <w:sz w:val="21"/>
                <w:szCs w:val="21"/>
                <w:highlight w:val="none"/>
                <w:lang w:val="en-US"/>
              </w:rPr>
              <w:t>须为投标人的在职员工，提供</w:t>
            </w:r>
            <w:r>
              <w:rPr>
                <w:rFonts w:hint="eastAsia"/>
                <w:color w:val="auto"/>
                <w:sz w:val="21"/>
                <w:szCs w:val="21"/>
                <w:highlight w:val="none"/>
                <w:lang w:val="en-US"/>
              </w:rPr>
              <w:t>相关</w:t>
            </w:r>
            <w:r>
              <w:rPr>
                <w:color w:val="auto"/>
                <w:sz w:val="21"/>
                <w:szCs w:val="21"/>
                <w:highlight w:val="none"/>
                <w:lang w:val="en-US"/>
              </w:rPr>
              <w:t>证书复印件及投标截止日最近一期社保。</w:t>
            </w:r>
          </w:p>
        </w:tc>
        <w:tc>
          <w:tcPr>
            <w:tcW w:w="412" w:type="pct"/>
            <w:tcBorders>
              <w:tl2br w:val="nil"/>
              <w:tr2bl w:val="nil"/>
            </w:tcBorders>
            <w:vAlign w:val="center"/>
          </w:tcPr>
          <w:p w14:paraId="2274525D">
            <w:pPr>
              <w:snapToGrid w:val="0"/>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506" w:type="pct"/>
            <w:tcBorders>
              <w:tl2br w:val="nil"/>
              <w:tr2bl w:val="nil"/>
            </w:tcBorders>
            <w:vAlign w:val="center"/>
          </w:tcPr>
          <w:p w14:paraId="638881CA">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815" w:type="pct"/>
            <w:tcBorders>
              <w:tl2br w:val="nil"/>
              <w:tr2bl w:val="nil"/>
            </w:tcBorders>
            <w:vAlign w:val="center"/>
          </w:tcPr>
          <w:p w14:paraId="06E81195">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tc>
      </w:tr>
      <w:tr w14:paraId="2743B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266" w:type="pct"/>
            <w:tcBorders>
              <w:tl2br w:val="nil"/>
              <w:tr2bl w:val="nil"/>
            </w:tcBorders>
            <w:vAlign w:val="center"/>
          </w:tcPr>
          <w:p w14:paraId="171A8D78">
            <w:pPr>
              <w:pStyle w:val="61"/>
              <w:ind w:firstLine="0"/>
              <w:rPr>
                <w:b/>
                <w:bCs/>
                <w:color w:val="auto"/>
                <w:sz w:val="21"/>
                <w:szCs w:val="21"/>
                <w:highlight w:val="none"/>
                <w:lang w:val="en-US"/>
              </w:rPr>
            </w:pPr>
            <w:r>
              <w:rPr>
                <w:rFonts w:hint="eastAsia"/>
                <w:b/>
                <w:bCs/>
                <w:color w:val="auto"/>
                <w:sz w:val="21"/>
                <w:szCs w:val="21"/>
                <w:highlight w:val="none"/>
                <w:lang w:val="en-US"/>
              </w:rPr>
              <w:t>技术负责人：</w:t>
            </w:r>
          </w:p>
          <w:p w14:paraId="70B1FA80">
            <w:pPr>
              <w:spacing w:line="360" w:lineRule="auto"/>
              <w:rPr>
                <w:rFonts w:hint="eastAsia" w:ascii="仿宋" w:hAnsi="仿宋"/>
                <w:color w:val="auto"/>
                <w:highlight w:val="none"/>
              </w:rPr>
            </w:pPr>
            <w:r>
              <w:rPr>
                <w:rFonts w:hint="eastAsia" w:ascii="仿宋" w:hAnsi="仿宋"/>
                <w:color w:val="auto"/>
                <w:highlight w:val="none"/>
              </w:rPr>
              <w:t>本项目技术负责人具有市政专业高级工程师及以上职称的得3分；具有市政专业工程师职称的得1分，其余不得分。</w:t>
            </w:r>
          </w:p>
          <w:p w14:paraId="76E3EC65">
            <w:pPr>
              <w:spacing w:line="360" w:lineRule="auto"/>
              <w:rPr>
                <w:color w:val="auto"/>
                <w:highlight w:val="none"/>
              </w:rPr>
            </w:pPr>
            <w:r>
              <w:rPr>
                <w:rFonts w:hint="eastAsia"/>
                <w:color w:val="auto"/>
                <w:szCs w:val="21"/>
                <w:highlight w:val="none"/>
              </w:rPr>
              <w:t>说明：</w:t>
            </w:r>
            <w:r>
              <w:rPr>
                <w:color w:val="auto"/>
                <w:szCs w:val="21"/>
                <w:highlight w:val="none"/>
              </w:rPr>
              <w:t>项目</w:t>
            </w:r>
            <w:r>
              <w:rPr>
                <w:rFonts w:hint="eastAsia"/>
                <w:color w:val="auto"/>
                <w:szCs w:val="21"/>
                <w:highlight w:val="none"/>
              </w:rPr>
              <w:t>技术负责人</w:t>
            </w:r>
            <w:r>
              <w:rPr>
                <w:color w:val="auto"/>
                <w:szCs w:val="21"/>
                <w:highlight w:val="none"/>
              </w:rPr>
              <w:t>须为投标人的在职员工，提供</w:t>
            </w:r>
            <w:r>
              <w:rPr>
                <w:rFonts w:hint="eastAsia"/>
                <w:color w:val="auto"/>
                <w:szCs w:val="21"/>
                <w:highlight w:val="none"/>
              </w:rPr>
              <w:t>相关</w:t>
            </w:r>
            <w:r>
              <w:rPr>
                <w:color w:val="auto"/>
                <w:szCs w:val="21"/>
                <w:highlight w:val="none"/>
              </w:rPr>
              <w:t>证书复印件及投标截止日最近一期社保。</w:t>
            </w:r>
          </w:p>
        </w:tc>
        <w:tc>
          <w:tcPr>
            <w:tcW w:w="744" w:type="dxa"/>
            <w:tcBorders>
              <w:tl2br w:val="nil"/>
              <w:tr2bl w:val="nil"/>
            </w:tcBorders>
            <w:vAlign w:val="center"/>
          </w:tcPr>
          <w:p w14:paraId="20F0CE1D">
            <w:pPr>
              <w:snapToGrid w:val="0"/>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14" w:type="dxa"/>
            <w:tcBorders>
              <w:tl2br w:val="nil"/>
              <w:tr2bl w:val="nil"/>
            </w:tcBorders>
            <w:vAlign w:val="center"/>
          </w:tcPr>
          <w:p w14:paraId="511FE5E8">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815" w:type="pct"/>
            <w:tcBorders>
              <w:tl2br w:val="nil"/>
              <w:tr2bl w:val="nil"/>
            </w:tcBorders>
            <w:vAlign w:val="center"/>
          </w:tcPr>
          <w:p w14:paraId="4FC3D809">
            <w:pPr>
              <w:widowControl/>
              <w:adjustRightInd/>
              <w:spacing w:line="360" w:lineRule="auto"/>
              <w:jc w:val="center"/>
              <w:rPr>
                <w:rFonts w:hint="eastAsia" w:ascii="宋体" w:hAnsi="宋体" w:cs="宋体"/>
                <w:color w:val="auto"/>
                <w:szCs w:val="21"/>
                <w:highlight w:val="none"/>
              </w:rPr>
            </w:pPr>
            <w:r>
              <w:rPr>
                <w:rFonts w:hint="eastAsia"/>
                <w:color w:val="auto"/>
                <w:szCs w:val="21"/>
                <w:highlight w:val="none"/>
              </w:rPr>
              <w:t>技术负责人</w:t>
            </w:r>
          </w:p>
        </w:tc>
      </w:tr>
      <w:tr w14:paraId="0274E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66" w:type="pct"/>
            <w:tcBorders>
              <w:tl2br w:val="nil"/>
              <w:tr2bl w:val="nil"/>
            </w:tcBorders>
            <w:vAlign w:val="center"/>
          </w:tcPr>
          <w:p w14:paraId="6C584833">
            <w:pPr>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项目组人员（除项目负责人、技术负责人外）：</w:t>
            </w:r>
          </w:p>
          <w:p w14:paraId="11D6C757">
            <w:pPr>
              <w:spacing w:line="360" w:lineRule="auto"/>
              <w:jc w:val="left"/>
              <w:rPr>
                <w:rFonts w:hint="eastAsia" w:ascii="仿宋" w:hAnsi="仿宋"/>
                <w:color w:val="auto"/>
                <w:highlight w:val="none"/>
              </w:rPr>
            </w:pPr>
            <w:r>
              <w:rPr>
                <w:rFonts w:hint="eastAsia" w:ascii="仿宋" w:hAnsi="仿宋"/>
                <w:color w:val="auto"/>
                <w:highlight w:val="none"/>
              </w:rPr>
              <w:t>1.项目管理人员配备安全员、施工员（市政专业）、质量员（市政专业）、材料员、资料员且有到位承诺的得3分，否则不得分。</w:t>
            </w:r>
          </w:p>
          <w:p w14:paraId="77A9FCFD">
            <w:pPr>
              <w:spacing w:line="360" w:lineRule="auto"/>
              <w:jc w:val="left"/>
              <w:rPr>
                <w:rFonts w:hint="eastAsia" w:ascii="仿宋" w:hAnsi="仿宋"/>
                <w:color w:val="auto"/>
                <w:highlight w:val="none"/>
              </w:rPr>
            </w:pPr>
            <w:r>
              <w:rPr>
                <w:rFonts w:hint="eastAsia" w:ascii="仿宋" w:hAnsi="仿宋"/>
                <w:color w:val="auto"/>
                <w:highlight w:val="none"/>
              </w:rPr>
              <w:t>2.拟派项目组人员中具有中级工程师及以上职称的，每个得1分，最多得3分。</w:t>
            </w:r>
          </w:p>
          <w:p w14:paraId="4F5B727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r>
              <w:rPr>
                <w:rFonts w:hint="eastAsia"/>
                <w:color w:val="auto"/>
                <w:szCs w:val="21"/>
                <w:highlight w:val="none"/>
              </w:rPr>
              <w:t>上述人员</w:t>
            </w:r>
            <w:r>
              <w:rPr>
                <w:color w:val="auto"/>
                <w:szCs w:val="21"/>
                <w:highlight w:val="none"/>
              </w:rPr>
              <w:t>须为投标人的在职员工，提供</w:t>
            </w:r>
            <w:r>
              <w:rPr>
                <w:rFonts w:hint="eastAsia"/>
                <w:color w:val="auto"/>
                <w:szCs w:val="21"/>
                <w:highlight w:val="none"/>
              </w:rPr>
              <w:t>相关</w:t>
            </w:r>
            <w:r>
              <w:rPr>
                <w:color w:val="auto"/>
                <w:szCs w:val="21"/>
                <w:highlight w:val="none"/>
              </w:rPr>
              <w:t>证书复印件及投标截止日最近一期社保。</w:t>
            </w:r>
          </w:p>
        </w:tc>
        <w:tc>
          <w:tcPr>
            <w:tcW w:w="412" w:type="pct"/>
            <w:tcBorders>
              <w:tl2br w:val="nil"/>
              <w:tr2bl w:val="nil"/>
            </w:tcBorders>
            <w:vAlign w:val="center"/>
          </w:tcPr>
          <w:p w14:paraId="02422EB3">
            <w:pPr>
              <w:snapToGrid w:val="0"/>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506" w:type="pct"/>
            <w:tcBorders>
              <w:tl2br w:val="nil"/>
              <w:tr2bl w:val="nil"/>
            </w:tcBorders>
            <w:vAlign w:val="center"/>
          </w:tcPr>
          <w:p w14:paraId="40062DBE">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815" w:type="pct"/>
            <w:tcBorders>
              <w:tl2br w:val="nil"/>
              <w:tr2bl w:val="nil"/>
            </w:tcBorders>
            <w:vAlign w:val="center"/>
          </w:tcPr>
          <w:p w14:paraId="4815AC04">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项目组人员（除项目负责人、技术负责人外）</w:t>
            </w:r>
          </w:p>
        </w:tc>
      </w:tr>
      <w:tr w14:paraId="5A0CD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66" w:type="pct"/>
            <w:tcBorders>
              <w:tl2br w:val="nil"/>
              <w:tr2bl w:val="nil"/>
            </w:tcBorders>
            <w:vAlign w:val="center"/>
          </w:tcPr>
          <w:p w14:paraId="599CF278">
            <w:pPr>
              <w:widowControl/>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运维服务方案：</w:t>
            </w:r>
          </w:p>
          <w:p w14:paraId="750EDBC1">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运维服务方案包括免费服务范围、排除问题的速度、备品备件库等情况，</w:t>
            </w:r>
            <w:r>
              <w:rPr>
                <w:rFonts w:hint="eastAsia" w:ascii="宋体" w:hAnsi="宋体" w:cs="宋体"/>
                <w:bCs/>
                <w:color w:val="auto"/>
                <w:szCs w:val="21"/>
                <w:highlight w:val="none"/>
              </w:rPr>
              <w:t>方案内容详实，科学合理，具有针对性，可实施性强的得2分；</w:t>
            </w:r>
            <w:r>
              <w:rPr>
                <w:rFonts w:hint="eastAsia" w:ascii="宋体" w:hAnsi="宋体" w:cs="宋体"/>
                <w:color w:val="auto"/>
                <w:kern w:val="0"/>
                <w:szCs w:val="21"/>
                <w:highlight w:val="none"/>
              </w:rPr>
              <w:t>其余按1分打分，未提供不得分。</w:t>
            </w:r>
          </w:p>
        </w:tc>
        <w:tc>
          <w:tcPr>
            <w:tcW w:w="412" w:type="pct"/>
            <w:tcBorders>
              <w:tl2br w:val="nil"/>
              <w:tr2bl w:val="nil"/>
            </w:tcBorders>
            <w:vAlign w:val="center"/>
          </w:tcPr>
          <w:p w14:paraId="56117D1D">
            <w:pPr>
              <w:widowControl/>
              <w:adjustRightInd/>
              <w:spacing w:line="360" w:lineRule="auto"/>
              <w:jc w:val="center"/>
              <w:rPr>
                <w:rFonts w:hint="eastAsia" w:ascii="宋体" w:hAnsi="宋体" w:cs="宋体"/>
                <w:color w:val="auto"/>
                <w:szCs w:val="21"/>
                <w:highlight w:val="none"/>
              </w:rPr>
            </w:pPr>
            <w:r>
              <w:rPr>
                <w:rFonts w:ascii="宋体" w:hAnsi="宋体" w:cs="宋体"/>
                <w:color w:val="auto"/>
                <w:kern w:val="0"/>
                <w:szCs w:val="21"/>
                <w:highlight w:val="none"/>
              </w:rPr>
              <w:t>2</w:t>
            </w:r>
          </w:p>
        </w:tc>
        <w:tc>
          <w:tcPr>
            <w:tcW w:w="506" w:type="pct"/>
            <w:tcBorders>
              <w:tl2br w:val="nil"/>
              <w:tr2bl w:val="nil"/>
            </w:tcBorders>
            <w:vAlign w:val="center"/>
          </w:tcPr>
          <w:p w14:paraId="77F9A111">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主观分</w:t>
            </w:r>
          </w:p>
        </w:tc>
        <w:tc>
          <w:tcPr>
            <w:tcW w:w="815" w:type="pct"/>
            <w:tcBorders>
              <w:tl2br w:val="nil"/>
              <w:tr2bl w:val="nil"/>
            </w:tcBorders>
            <w:vAlign w:val="center"/>
          </w:tcPr>
          <w:p w14:paraId="3EA4F9B8">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运维服务方案</w:t>
            </w:r>
          </w:p>
        </w:tc>
      </w:tr>
      <w:tr w14:paraId="38EAD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66" w:type="pct"/>
            <w:tcBorders>
              <w:tl2br w:val="nil"/>
              <w:tr2bl w:val="nil"/>
            </w:tcBorders>
            <w:vAlign w:val="center"/>
          </w:tcPr>
          <w:p w14:paraId="3A3DD3A1">
            <w:pPr>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技术指标及功能响应（满足）程度：</w:t>
            </w:r>
          </w:p>
          <w:p w14:paraId="70EC8BE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根据招标文件第三部分 采购需求中“四、设备清单（标的物）技术要求”、“五、配套服务要求”及“六、项目其他要求”响应（满足）程度进行评审打分全部满足招标文件要求的得24分，其中：</w:t>
            </w:r>
          </w:p>
          <w:p w14:paraId="3DBFCA2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（1）标注“★”的重要技术指标（条款、参数）有偏离的，偏离（功能、性能和技术指标低于或不具备（不可用其他功能替代））项每项扣 4分；扣完为止。（所有标注“★”的重要技术指标项若招标文件有要求提供相关证明材料需按招标文件要求提供相应证明材料作为评审依据，未提供不得分，证明材料的有效性由评审委员会评定。）</w:t>
            </w:r>
          </w:p>
          <w:p w14:paraId="01BBEF1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（2）未标注“★”的一般技术指标（条款、参数）有偏离的，偏离（功能、性能和技术指标低于或不具备（不可用其他功能替代））项每项扣 2分；扣完为止。</w:t>
            </w:r>
          </w:p>
        </w:tc>
        <w:tc>
          <w:tcPr>
            <w:tcW w:w="412" w:type="pct"/>
            <w:tcBorders>
              <w:tl2br w:val="nil"/>
              <w:tr2bl w:val="nil"/>
            </w:tcBorders>
            <w:vAlign w:val="center"/>
          </w:tcPr>
          <w:p w14:paraId="21D06840">
            <w:pPr>
              <w:snapToGrid w:val="0"/>
              <w:spacing w:line="30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rPr>
              <w:t>24</w:t>
            </w:r>
          </w:p>
        </w:tc>
        <w:tc>
          <w:tcPr>
            <w:tcW w:w="506" w:type="pct"/>
            <w:tcBorders>
              <w:tl2br w:val="nil"/>
              <w:tr2bl w:val="nil"/>
            </w:tcBorders>
            <w:vAlign w:val="center"/>
          </w:tcPr>
          <w:p w14:paraId="533C34BF">
            <w:pPr>
              <w:widowControl/>
              <w:adjustRightInd/>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rPr>
              <w:t>客观分</w:t>
            </w:r>
          </w:p>
        </w:tc>
        <w:tc>
          <w:tcPr>
            <w:tcW w:w="815" w:type="pct"/>
            <w:tcBorders>
              <w:tl2br w:val="nil"/>
              <w:tr2bl w:val="nil"/>
            </w:tcBorders>
            <w:vAlign w:val="center"/>
          </w:tcPr>
          <w:p w14:paraId="47C05788">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技术指标及功能响应（满足）程度</w:t>
            </w:r>
          </w:p>
        </w:tc>
      </w:tr>
      <w:tr w14:paraId="10441D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66" w:type="pct"/>
            <w:tcBorders>
              <w:tl2br w:val="nil"/>
              <w:tr2bl w:val="nil"/>
            </w:tcBorders>
            <w:vAlign w:val="center"/>
          </w:tcPr>
          <w:p w14:paraId="241021B9">
            <w:pPr>
              <w:widowControl/>
              <w:adjustRightIn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有效投标报价的最低价作为评标基准价，其最低报价为满分；按［投标报价得分=（评标基准价/投标报价）*权重］的计算公式计算。</w:t>
            </w:r>
          </w:p>
          <w:p w14:paraId="19EA8E53">
            <w:pPr>
              <w:widowControl/>
              <w:adjustRightIn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评标过程中，不得去掉报价中的最高报价和最低报价。</w:t>
            </w:r>
          </w:p>
          <w:p w14:paraId="5662D101">
            <w:pPr>
              <w:widowControl/>
              <w:adjustRightIn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412" w:type="pct"/>
            <w:tcBorders>
              <w:tl2br w:val="nil"/>
              <w:tr2bl w:val="nil"/>
            </w:tcBorders>
            <w:vAlign w:val="center"/>
          </w:tcPr>
          <w:p w14:paraId="27F8FED0">
            <w:pPr>
              <w:widowControl/>
              <w:adjustRightInd/>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w:t>
            </w:r>
          </w:p>
        </w:tc>
        <w:tc>
          <w:tcPr>
            <w:tcW w:w="506" w:type="pct"/>
            <w:tcBorders>
              <w:tl2br w:val="nil"/>
              <w:tr2bl w:val="nil"/>
            </w:tcBorders>
            <w:vAlign w:val="center"/>
          </w:tcPr>
          <w:p w14:paraId="1654372C">
            <w:pPr>
              <w:widowControl/>
              <w:adjustRightInd/>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客观分</w:t>
            </w:r>
          </w:p>
        </w:tc>
        <w:tc>
          <w:tcPr>
            <w:tcW w:w="815" w:type="pct"/>
            <w:tcBorders>
              <w:tl2br w:val="nil"/>
              <w:tr2bl w:val="nil"/>
            </w:tcBorders>
            <w:vAlign w:val="center"/>
          </w:tcPr>
          <w:p w14:paraId="37D56302">
            <w:pPr>
              <w:widowControl/>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r>
    </w:tbl>
    <w:p w14:paraId="202395DE">
      <w:pPr>
        <w:rPr>
          <w:color w:val="auto"/>
          <w:highlight w:val="none"/>
        </w:rPr>
      </w:pPr>
    </w:p>
    <w:p w14:paraId="10392929">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shd w:val="clear" w:color="auto" w:fill="FFFFFF"/>
        </w:rPr>
        <w:t>*</w:t>
      </w:r>
      <w:r>
        <w:rPr>
          <w:rFonts w:hint="eastAsia" w:ascii="宋体" w:hAnsi="宋体" w:cs="宋体"/>
          <w:b/>
          <w:color w:val="auto"/>
          <w:szCs w:val="21"/>
          <w:highlight w:val="none"/>
        </w:rPr>
        <w:t>备注：</w:t>
      </w:r>
      <w:r>
        <w:rPr>
          <w:rFonts w:hint="eastAsia" w:ascii="宋体" w:hAnsi="宋体" w:cs="宋体"/>
          <w:color w:val="auto"/>
          <w:szCs w:val="21"/>
          <w:highlight w:val="none"/>
        </w:rPr>
        <w:t>投标人编制投标文件（商务技术文件部分）时，建议按此目录（序号和内容）提供评标标准相应的商务技术资料。 </w:t>
      </w:r>
    </w:p>
    <w:p w14:paraId="7BECD69E">
      <w:pPr>
        <w:pStyle w:val="5"/>
        <w:ind w:firstLine="422"/>
        <w:rPr>
          <w:rFonts w:hint="eastAsia"/>
          <w:color w:val="auto"/>
          <w:sz w:val="21"/>
          <w:szCs w:val="21"/>
          <w:highlight w:val="none"/>
        </w:rPr>
      </w:pPr>
      <w:r>
        <w:rPr>
          <w:rFonts w:hint="eastAsia"/>
          <w:color w:val="auto"/>
          <w:sz w:val="21"/>
          <w:szCs w:val="21"/>
          <w:highlight w:val="none"/>
        </w:rPr>
        <w:t>一、评标方法</w:t>
      </w:r>
    </w:p>
    <w:p w14:paraId="47F26B9A">
      <w:pPr>
        <w:adjustRightInd/>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14:paraId="3A16C4B1">
      <w:pPr>
        <w:pStyle w:val="5"/>
        <w:ind w:firstLine="422"/>
        <w:rPr>
          <w:rFonts w:hint="eastAsia"/>
          <w:color w:val="auto"/>
          <w:sz w:val="21"/>
          <w:szCs w:val="21"/>
          <w:highlight w:val="none"/>
        </w:rPr>
      </w:pPr>
      <w:r>
        <w:rPr>
          <w:rFonts w:hint="eastAsia"/>
          <w:color w:val="auto"/>
          <w:sz w:val="21"/>
          <w:szCs w:val="21"/>
          <w:highlight w:val="none"/>
        </w:rPr>
        <w:t>二、评标标准</w:t>
      </w:r>
    </w:p>
    <w:p w14:paraId="16849AA9">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Cs w:val="21"/>
          <w:highlight w:val="none"/>
        </w:rPr>
        <w:t>评标标准：</w:t>
      </w:r>
      <w:r>
        <w:rPr>
          <w:rFonts w:hint="eastAsia" w:ascii="宋体" w:hAnsi="宋体" w:cs="宋体"/>
          <w:color w:val="auto"/>
          <w:kern w:val="0"/>
          <w:szCs w:val="21"/>
          <w:highlight w:val="none"/>
        </w:rPr>
        <w:t>见评标办法前附表。</w:t>
      </w:r>
    </w:p>
    <w:p w14:paraId="782E0F7F">
      <w:pPr>
        <w:pStyle w:val="5"/>
        <w:ind w:firstLine="422"/>
        <w:rPr>
          <w:rFonts w:hint="eastAsia"/>
          <w:color w:val="auto"/>
          <w:sz w:val="21"/>
          <w:szCs w:val="21"/>
          <w:highlight w:val="none"/>
        </w:rPr>
      </w:pPr>
      <w:r>
        <w:rPr>
          <w:rFonts w:hint="eastAsia"/>
          <w:color w:val="auto"/>
          <w:sz w:val="21"/>
          <w:szCs w:val="21"/>
          <w:highlight w:val="none"/>
        </w:rPr>
        <w:t>三、评标程序</w:t>
      </w:r>
    </w:p>
    <w:p w14:paraId="1A156DA1">
      <w:pPr>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3.1符合性审查。</w:t>
      </w:r>
      <w:r>
        <w:rPr>
          <w:rFonts w:hint="eastAsia" w:ascii="宋体" w:hAnsi="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431B81F2">
      <w:pPr>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3.2 比较与评价。</w:t>
      </w:r>
      <w:r>
        <w:rPr>
          <w:rFonts w:hint="eastAsia" w:ascii="宋体" w:hAnsi="宋体" w:cs="宋体"/>
          <w:color w:val="auto"/>
          <w:kern w:val="0"/>
          <w:szCs w:val="21"/>
          <w:highlight w:val="none"/>
        </w:rPr>
        <w:t>评标委员会应当按照招标文件中规定的评标方法和标准，对符合性审查合格的投标文件进行商务和技术评估，综合比较与评价。</w:t>
      </w:r>
    </w:p>
    <w:p w14:paraId="1154ED32">
      <w:pPr>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3.3汇总商务技术得分。</w:t>
      </w:r>
      <w:r>
        <w:rPr>
          <w:rFonts w:hint="eastAsia" w:ascii="宋体" w:hAnsi="宋体" w:cs="宋体"/>
          <w:color w:val="auto"/>
          <w:kern w:val="0"/>
          <w:szCs w:val="21"/>
          <w:highlight w:val="none"/>
        </w:rPr>
        <w:t>评标委员会各成员应当独立对每个投标人的商务和技术文件进行评价，并汇总商务技术得分情况。</w:t>
      </w:r>
    </w:p>
    <w:p w14:paraId="021C4732">
      <w:pPr>
        <w:spacing w:line="360" w:lineRule="auto"/>
        <w:ind w:firstLine="413" w:firstLineChars="196"/>
        <w:rPr>
          <w:rFonts w:hint="eastAsia" w:ascii="宋体" w:hAnsi="宋体" w:cs="宋体"/>
          <w:b/>
          <w:color w:val="auto"/>
          <w:kern w:val="0"/>
          <w:szCs w:val="21"/>
          <w:highlight w:val="none"/>
        </w:rPr>
      </w:pPr>
      <w:r>
        <w:rPr>
          <w:rFonts w:hint="eastAsia" w:ascii="宋体" w:hAnsi="宋体" w:cs="宋体"/>
          <w:b/>
          <w:color w:val="auto"/>
          <w:kern w:val="0"/>
          <w:szCs w:val="21"/>
          <w:highlight w:val="none"/>
        </w:rPr>
        <w:t>3.4报价评审。</w:t>
      </w:r>
    </w:p>
    <w:p w14:paraId="11E40D34">
      <w:pPr>
        <w:pStyle w:val="131"/>
        <w:spacing w:before="0"/>
        <w:ind w:firstLine="445" w:firstLineChars="212"/>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74DB34AB">
      <w:pPr>
        <w:pStyle w:val="131"/>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18807E7B">
      <w:pPr>
        <w:pStyle w:val="131"/>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1480FFFD">
      <w:pPr>
        <w:pStyle w:val="131"/>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33E95571">
      <w:pPr>
        <w:pStyle w:val="131"/>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197FA34C">
      <w:pPr>
        <w:pStyle w:val="131"/>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0A86CE1">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3.4.2投标文件出现不是唯一的、有选择性投标报价的，投标无效。</w:t>
      </w:r>
    </w:p>
    <w:p w14:paraId="6865DE82">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3.4.3投标报价超过招标文件中规定的预算金额或者最高限价的，投标无效。</w:t>
      </w:r>
    </w:p>
    <w:p w14:paraId="27161B36">
      <w:pPr>
        <w:pStyle w:val="131"/>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61EB55F">
      <w:pPr>
        <w:pStyle w:val="131"/>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3.4.5对于未预留份额专门面向中小企业的政府采购货物项目，以及预留份额政府采购货物项目中的非预留部分标项，对小型和微型企业的投标报价给予1</w:t>
      </w:r>
      <w:r>
        <w:rPr>
          <w:rFonts w:ascii="宋体" w:hAnsi="宋体" w:cs="宋体"/>
          <w:color w:val="auto"/>
          <w:kern w:val="0"/>
          <w:sz w:val="21"/>
          <w:szCs w:val="21"/>
          <w:highlight w:val="none"/>
        </w:rPr>
        <w:t>0</w:t>
      </w:r>
      <w:r>
        <w:rPr>
          <w:rFonts w:hint="eastAsia" w:ascii="宋体" w:hAnsi="宋体" w:cs="宋体"/>
          <w:color w:val="auto"/>
          <w:kern w:val="0"/>
          <w:sz w:val="21"/>
          <w:szCs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320AD51">
      <w:pPr>
        <w:spacing w:line="360" w:lineRule="auto"/>
        <w:ind w:firstLine="422" w:firstLineChars="200"/>
        <w:rPr>
          <w:rFonts w:hint="eastAsia" w:ascii="宋体" w:hAnsi="宋体" w:cs="宋体"/>
          <w:color w:val="auto"/>
          <w:kern w:val="0"/>
          <w:szCs w:val="21"/>
          <w:highlight w:val="none"/>
        </w:rPr>
      </w:pPr>
      <w:r>
        <w:rPr>
          <w:rFonts w:hint="eastAsia" w:ascii="宋体" w:hAnsi="宋体" w:cs="宋体"/>
          <w:b/>
          <w:color w:val="auto"/>
          <w:kern w:val="0"/>
          <w:szCs w:val="21"/>
          <w:highlight w:val="none"/>
        </w:rPr>
        <w:t>3.5排序与推荐。</w:t>
      </w:r>
      <w:r>
        <w:rPr>
          <w:rFonts w:hint="eastAsia" w:ascii="宋体" w:hAnsi="宋体" w:cs="宋体"/>
          <w:color w:val="auto"/>
          <w:kern w:val="0"/>
          <w:szCs w:val="21"/>
          <w:highlight w:val="none"/>
          <w:lang w:val="e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color w:val="auto"/>
          <w:kern w:val="0"/>
          <w:szCs w:val="21"/>
          <w:highlight w:val="none"/>
          <w:u w:val="single"/>
        </w:rPr>
        <w:t xml:space="preserve"> 1 名</w:t>
      </w:r>
      <w:r>
        <w:rPr>
          <w:rFonts w:hint="eastAsia" w:ascii="宋体" w:hAnsi="宋体" w:cs="宋体"/>
          <w:color w:val="auto"/>
          <w:kern w:val="0"/>
          <w:szCs w:val="21"/>
          <w:highlight w:val="none"/>
          <w:lang w:val="en"/>
        </w:rPr>
        <w:t>。</w:t>
      </w:r>
    </w:p>
    <w:p w14:paraId="07A5D1EC">
      <w:pPr>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F7307DF">
      <w:pPr>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3.6编写评标报告。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B01FE9A">
      <w:pPr>
        <w:pStyle w:val="5"/>
        <w:ind w:firstLine="422"/>
        <w:rPr>
          <w:rFonts w:hint="eastAsia"/>
          <w:color w:val="auto"/>
          <w:sz w:val="21"/>
          <w:szCs w:val="21"/>
          <w:highlight w:val="none"/>
        </w:rPr>
      </w:pPr>
      <w:r>
        <w:rPr>
          <w:rFonts w:hint="eastAsia"/>
          <w:color w:val="auto"/>
          <w:sz w:val="21"/>
          <w:szCs w:val="21"/>
          <w:highlight w:val="none"/>
        </w:rPr>
        <w:t>四、评标中的其他事项</w:t>
      </w:r>
    </w:p>
    <w:p w14:paraId="16915F3F">
      <w:pPr>
        <w:pStyle w:val="131"/>
        <w:spacing w:before="0"/>
        <w:ind w:firstLine="413" w:firstLineChars="196"/>
        <w:rPr>
          <w:rFonts w:hint="eastAsia"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FFACC1">
      <w:pPr>
        <w:pStyle w:val="2"/>
        <w:spacing w:line="360" w:lineRule="auto"/>
        <w:ind w:left="954" w:leftChars="226" w:hanging="479" w:firstLineChars="0"/>
        <w:rPr>
          <w:rFonts w:hint="eastAsia"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28936326">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4.2.1投标人不具备招标文件中规定的资格要求的（投标人未提供有效的资格文件的，视为投标人不具备招标文件中规定的资格要求）；</w:t>
      </w:r>
    </w:p>
    <w:p w14:paraId="394F6606">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4.2.2投标文件未按照招标文件要求签署、盖章的；</w:t>
      </w:r>
    </w:p>
    <w:p w14:paraId="3609B704">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2DBEEF31">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4.2.4投标文件含有采购人不能接受的附加条件的；</w:t>
      </w:r>
    </w:p>
    <w:p w14:paraId="10EB035F">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4.2.5投标文件中承诺的投标有效期少于招标文件中载明的投标有效期的；</w:t>
      </w:r>
    </w:p>
    <w:p w14:paraId="22ECFB73">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 xml:space="preserve">   4.2.6投标文件出现不是唯一的、有选择性投标报价的;</w:t>
      </w:r>
    </w:p>
    <w:p w14:paraId="78773D7F">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4.2.7投标报价超过招标文件中规定的预算金额或者最高限价的;</w:t>
      </w:r>
    </w:p>
    <w:p w14:paraId="117F1F5C">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4.2.8投标人对根据修正原则修正后的报价不确认的；</w:t>
      </w:r>
    </w:p>
    <w:p w14:paraId="54E2C764">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4.2.9投标人提供虚假材料投标的；</w:t>
      </w:r>
    </w:p>
    <w:p w14:paraId="1B081F4C">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 xml:space="preserve">  4.2.10投标人有恶意串通、妨碍其他投标人的竞争行为、损害采购人或者其他投标人的合法权益情形的；</w:t>
      </w:r>
    </w:p>
    <w:p w14:paraId="21A56387">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0E7FF5E">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4.2.12投标人仅提交备份投标文件，未在电子交易平台传输递交投标文件的，投标无效；</w:t>
      </w:r>
    </w:p>
    <w:p w14:paraId="3F3CA45F">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4.2.13 投标文件不满足招标文件的其它实质性要求的；</w:t>
      </w:r>
    </w:p>
    <w:p w14:paraId="147AA795">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4.2.14法律、法规、规章（适用本市的）及省级以上规范性文件（适用本市的）规定的其他无效情形。</w:t>
      </w:r>
    </w:p>
    <w:p w14:paraId="407BB527">
      <w:pPr>
        <w:rPr>
          <w:color w:val="auto"/>
          <w:highlight w:val="none"/>
        </w:rPr>
      </w:pPr>
    </w:p>
    <w:p w14:paraId="64E17195">
      <w:pPr>
        <w:pStyle w:val="2"/>
        <w:snapToGrid w:val="0"/>
        <w:spacing w:line="360" w:lineRule="auto"/>
        <w:ind w:firstLine="413" w:firstLineChars="196"/>
        <w:rPr>
          <w:rFonts w:hint="eastAsia"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37CF47DB">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26047786">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5.2出现影响采购公正的违法、违规行为的；</w:t>
      </w:r>
    </w:p>
    <w:p w14:paraId="146A16CA">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5.3投标人的报价均超过了采购预算，采购人不能支付的；</w:t>
      </w:r>
    </w:p>
    <w:p w14:paraId="44F90552">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5.4因重大变故，采购任务取消的。</w:t>
      </w:r>
    </w:p>
    <w:p w14:paraId="204DEEA3">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废标后，采购代理机构应当将废标理由通知所有投标人。</w:t>
      </w:r>
    </w:p>
    <w:p w14:paraId="68C8A081">
      <w:pPr>
        <w:pStyle w:val="2"/>
        <w:snapToGrid w:val="0"/>
        <w:spacing w:line="360" w:lineRule="auto"/>
        <w:ind w:firstLine="422"/>
        <w:rPr>
          <w:rFonts w:hint="eastAsia" w:cs="宋体"/>
          <w:color w:val="auto"/>
          <w:sz w:val="21"/>
          <w:szCs w:val="21"/>
          <w:highlight w:val="none"/>
        </w:rPr>
      </w:pPr>
      <w:r>
        <w:rPr>
          <w:rFonts w:hint="eastAsia" w:cs="宋体"/>
          <w:b/>
          <w:color w:val="auto"/>
          <w:sz w:val="21"/>
          <w:szCs w:val="21"/>
          <w:highlight w:val="none"/>
        </w:rPr>
        <w:t>6.</w:t>
      </w:r>
      <w:r>
        <w:rPr>
          <w:rFonts w:hint="eastAsia" w:cs="宋体"/>
          <w:b/>
          <w:color w:val="auto"/>
          <w:kern w:val="0"/>
          <w:sz w:val="21"/>
          <w:szCs w:val="21"/>
          <w:highlight w:val="none"/>
        </w:rPr>
        <w:t>修改</w:t>
      </w:r>
      <w:r>
        <w:rPr>
          <w:rFonts w:hint="eastAsia" w:cs="宋体"/>
          <w:b/>
          <w:color w:val="auto"/>
          <w:sz w:val="21"/>
          <w:szCs w:val="21"/>
          <w:highlight w:val="none"/>
        </w:rPr>
        <w:t>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3C26507">
      <w:pPr>
        <w:pStyle w:val="2"/>
        <w:snapToGrid w:val="0"/>
        <w:spacing w:line="360" w:lineRule="auto"/>
        <w:ind w:firstLine="422"/>
        <w:rPr>
          <w:rFonts w:hint="eastAsia"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03AABA87">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14:paraId="47C27F9F">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0BA6C18B">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14:paraId="175BAF9D">
      <w:pPr>
        <w:pStyle w:val="2"/>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336CE3C4">
      <w:pPr>
        <w:pStyle w:val="2"/>
        <w:snapToGrid w:val="0"/>
        <w:spacing w:line="360" w:lineRule="auto"/>
        <w:ind w:firstLine="420"/>
        <w:rPr>
          <w:rFonts w:hint="eastAsia" w:cs="宋体"/>
          <w:b/>
          <w:color w:val="auto"/>
          <w:sz w:val="36"/>
          <w:szCs w:val="36"/>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412" w:name="第五部分"/>
      <w:bookmarkStart w:id="413" w:name="_Toc86217003"/>
      <w:r>
        <w:rPr>
          <w:rFonts w:hint="eastAsia" w:cs="宋体"/>
          <w:b/>
          <w:color w:val="auto"/>
          <w:sz w:val="21"/>
          <w:szCs w:val="21"/>
          <w:highlight w:val="none"/>
        </w:rPr>
        <w:t xml:space="preserve">   </w:t>
      </w:r>
      <w:r>
        <w:rPr>
          <w:rFonts w:hint="eastAsia" w:cs="宋体"/>
          <w:b/>
          <w:color w:val="auto"/>
          <w:sz w:val="36"/>
          <w:szCs w:val="36"/>
          <w:highlight w:val="none"/>
        </w:rPr>
        <w:br w:type="page"/>
      </w:r>
    </w:p>
    <w:p w14:paraId="736AA5D9">
      <w:pPr>
        <w:adjustRightInd/>
        <w:spacing w:line="360" w:lineRule="auto"/>
        <w:jc w:val="center"/>
        <w:outlineLvl w:val="0"/>
        <w:rPr>
          <w:rStyle w:val="283"/>
          <w:color w:val="auto"/>
          <w:highlight w:val="none"/>
        </w:rPr>
      </w:pPr>
      <w:bookmarkStart w:id="414" w:name="_Toc8173"/>
      <w:r>
        <w:rPr>
          <w:rStyle w:val="283"/>
          <w:rFonts w:hint="eastAsia"/>
          <w:color w:val="auto"/>
          <w:highlight w:val="none"/>
        </w:rPr>
        <w:t>第五部分 拟签订的合同文本</w:t>
      </w:r>
      <w:bookmarkEnd w:id="414"/>
    </w:p>
    <w:p w14:paraId="5D697941">
      <w:pPr>
        <w:spacing w:line="480" w:lineRule="auto"/>
        <w:jc w:val="center"/>
        <w:rPr>
          <w:rFonts w:hint="eastAsia" w:ascii="宋体" w:hAnsi="宋体" w:cs="宋体"/>
          <w:b/>
          <w:color w:val="auto"/>
          <w:sz w:val="24"/>
          <w:highlight w:val="none"/>
        </w:rPr>
      </w:pPr>
    </w:p>
    <w:p w14:paraId="325DA388">
      <w:pPr>
        <w:spacing w:line="480" w:lineRule="auto"/>
        <w:jc w:val="center"/>
        <w:rPr>
          <w:rFonts w:hint="eastAsia" w:ascii="宋体" w:hAnsi="宋体" w:cs="宋体"/>
          <w:b/>
          <w:color w:val="auto"/>
          <w:sz w:val="24"/>
          <w:highlight w:val="none"/>
        </w:rPr>
      </w:pPr>
    </w:p>
    <w:p w14:paraId="4D5767FB">
      <w:pPr>
        <w:spacing w:line="48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政府采购合同参考范本</w:t>
      </w:r>
    </w:p>
    <w:p w14:paraId="2D3CDE47">
      <w:pPr>
        <w:spacing w:line="48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（货物类）</w:t>
      </w:r>
    </w:p>
    <w:p w14:paraId="13281852">
      <w:pPr>
        <w:rPr>
          <w:color w:val="auto"/>
          <w:szCs w:val="21"/>
          <w:highlight w:val="none"/>
        </w:rPr>
      </w:pPr>
    </w:p>
    <w:p w14:paraId="0439C30E">
      <w:pPr>
        <w:pStyle w:val="5"/>
        <w:ind w:firstLine="562"/>
        <w:jc w:val="center"/>
        <w:rPr>
          <w:rFonts w:hint="eastAsia"/>
          <w:color w:val="auto"/>
          <w:sz w:val="28"/>
          <w:szCs w:val="28"/>
          <w:highlight w:val="none"/>
        </w:rPr>
      </w:pPr>
      <w:r>
        <w:rPr>
          <w:rFonts w:hint="eastAsia"/>
          <w:color w:val="auto"/>
          <w:sz w:val="28"/>
          <w:szCs w:val="28"/>
          <w:highlight w:val="none"/>
        </w:rPr>
        <w:t>第一部分 合同书</w:t>
      </w:r>
    </w:p>
    <w:p w14:paraId="36FCAB94">
      <w:pPr>
        <w:pStyle w:val="703"/>
        <w:ind w:firstLine="420"/>
        <w:rPr>
          <w:rFonts w:hint="eastAsia" w:ascii="宋体" w:hAnsi="宋体" w:cs="宋体"/>
          <w:color w:val="auto"/>
          <w:sz w:val="21"/>
          <w:highlight w:val="none"/>
        </w:rPr>
      </w:pPr>
    </w:p>
    <w:p w14:paraId="164F2F26">
      <w:pPr>
        <w:spacing w:before="120" w:line="22" w:lineRule="atLeast"/>
        <w:rPr>
          <w:rFonts w:hint="eastAsia" w:ascii="宋体" w:hAnsi="宋体" w:cs="宋体"/>
          <w:color w:val="auto"/>
          <w:szCs w:val="21"/>
          <w:highlight w:val="none"/>
        </w:rPr>
      </w:pPr>
    </w:p>
    <w:p w14:paraId="76D08B3C">
      <w:pPr>
        <w:spacing w:before="120" w:line="22" w:lineRule="atLeast"/>
        <w:ind w:left="960"/>
        <w:rPr>
          <w:rFonts w:hint="eastAsia" w:ascii="宋体" w:hAnsi="宋体" w:cs="宋体"/>
          <w:color w:val="auto"/>
          <w:sz w:val="28"/>
          <w:szCs w:val="28"/>
          <w:highlight w:val="none"/>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rPr>
        <w:t xml:space="preserve">上城区同协路道路扬尘智能化管控项目   </w:t>
      </w:r>
    </w:p>
    <w:p w14:paraId="397A731C">
      <w:pPr>
        <w:pStyle w:val="600"/>
        <w:spacing w:before="120" w:line="22" w:lineRule="atLeast"/>
        <w:rPr>
          <w:rFonts w:hint="eastAsia" w:ascii="宋体" w:hAnsi="宋体" w:eastAsia="宋体" w:cs="宋体"/>
          <w:color w:val="auto"/>
          <w:sz w:val="28"/>
          <w:szCs w:val="28"/>
          <w:highlight w:val="none"/>
        </w:rPr>
      </w:pPr>
    </w:p>
    <w:p w14:paraId="299ECBD2">
      <w:pPr>
        <w:pStyle w:val="600"/>
        <w:spacing w:before="120" w:line="22" w:lineRule="atLeast"/>
        <w:rPr>
          <w:rFonts w:hint="eastAsia" w:ascii="宋体" w:hAnsi="宋体" w:eastAsia="宋体" w:cs="宋体"/>
          <w:color w:val="auto"/>
          <w:sz w:val="28"/>
          <w:szCs w:val="28"/>
          <w:highlight w:val="none"/>
        </w:rPr>
      </w:pPr>
    </w:p>
    <w:p w14:paraId="4BFDF82D">
      <w:pPr>
        <w:rPr>
          <w:rFonts w:hint="eastAsia" w:ascii="宋体" w:hAnsi="宋体" w:cs="宋体"/>
          <w:color w:val="auto"/>
          <w:sz w:val="28"/>
          <w:szCs w:val="28"/>
          <w:highlight w:val="none"/>
        </w:rPr>
      </w:pPr>
    </w:p>
    <w:p w14:paraId="6926BBB9">
      <w:pPr>
        <w:spacing w:before="120" w:line="22" w:lineRule="atLeast"/>
        <w:ind w:left="96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甲方：</w:t>
      </w:r>
      <w:r>
        <w:rPr>
          <w:rFonts w:hint="eastAsia" w:ascii="宋体" w:hAnsi="宋体" w:cs="宋体"/>
          <w:color w:val="auto"/>
          <w:sz w:val="28"/>
          <w:szCs w:val="28"/>
          <w:highlight w:val="none"/>
          <w:u w:val="single"/>
        </w:rPr>
        <w:t xml:space="preserve"> 杭州市生态环境局上城分局</w:t>
      </w:r>
    </w:p>
    <w:p w14:paraId="0DFC9F32">
      <w:pPr>
        <w:spacing w:before="120" w:line="22" w:lineRule="atLeast"/>
        <w:rPr>
          <w:rFonts w:hint="eastAsia" w:ascii="宋体" w:hAnsi="宋体" w:cs="宋体"/>
          <w:color w:val="auto"/>
          <w:sz w:val="28"/>
          <w:szCs w:val="28"/>
          <w:highlight w:val="none"/>
        </w:rPr>
      </w:pPr>
    </w:p>
    <w:p w14:paraId="2F7405BA">
      <w:pPr>
        <w:spacing w:before="120" w:line="22" w:lineRule="atLeast"/>
        <w:ind w:left="96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乙方：</w:t>
      </w:r>
      <w:r>
        <w:rPr>
          <w:rFonts w:hint="eastAsia" w:ascii="宋体" w:hAnsi="宋体" w:cs="宋体"/>
          <w:color w:val="auto"/>
          <w:sz w:val="28"/>
          <w:szCs w:val="28"/>
          <w:highlight w:val="none"/>
          <w:u w:val="single"/>
        </w:rPr>
        <w:t xml:space="preserve"> （中标供应商名称）  </w:t>
      </w:r>
    </w:p>
    <w:p w14:paraId="110C6BC4">
      <w:pPr>
        <w:spacing w:before="120" w:line="22" w:lineRule="atLeast"/>
        <w:rPr>
          <w:rFonts w:hint="eastAsia" w:ascii="宋体" w:hAnsi="宋体" w:cs="宋体"/>
          <w:color w:val="auto"/>
          <w:sz w:val="28"/>
          <w:szCs w:val="28"/>
          <w:highlight w:val="none"/>
        </w:rPr>
      </w:pPr>
    </w:p>
    <w:p w14:paraId="248F04B6">
      <w:pPr>
        <w:spacing w:before="120" w:line="22" w:lineRule="atLeast"/>
        <w:ind w:firstLine="840" w:firstLineChars="3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签订地：</w:t>
      </w:r>
      <w:r>
        <w:rPr>
          <w:rFonts w:hint="eastAsia" w:ascii="宋体" w:hAnsi="宋体" w:cs="宋体"/>
          <w:color w:val="auto"/>
          <w:sz w:val="28"/>
          <w:szCs w:val="28"/>
          <w:highlight w:val="none"/>
          <w:u w:val="single"/>
        </w:rPr>
        <w:t xml:space="preserve">  杭州市  </w:t>
      </w:r>
    </w:p>
    <w:p w14:paraId="1DB49109">
      <w:pPr>
        <w:spacing w:before="120" w:line="22" w:lineRule="atLeast"/>
        <w:rPr>
          <w:rFonts w:hint="eastAsia" w:ascii="宋体" w:hAnsi="宋体" w:cs="宋体"/>
          <w:color w:val="auto"/>
          <w:sz w:val="28"/>
          <w:szCs w:val="28"/>
          <w:highlight w:val="none"/>
        </w:rPr>
      </w:pPr>
    </w:p>
    <w:p w14:paraId="332CD4B8">
      <w:pPr>
        <w:spacing w:before="120" w:line="22" w:lineRule="atLeast"/>
        <w:ind w:firstLine="840" w:firstLineChars="3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签订日期：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59E97780">
      <w:pPr>
        <w:widowControl/>
        <w:adjustRightInd/>
        <w:jc w:val="left"/>
        <w:rPr>
          <w:rFonts w:hint="eastAsia" w:ascii="宋体" w:hAnsi="宋体" w:cs="宋体"/>
          <w:color w:val="auto"/>
          <w:szCs w:val="21"/>
          <w:highlight w:val="none"/>
          <w:u w:val="single"/>
          <w:lang w:val="zh-CN"/>
        </w:rPr>
      </w:pPr>
      <w:r>
        <w:rPr>
          <w:rFonts w:ascii="宋体" w:hAnsi="宋体" w:cs="宋体"/>
          <w:color w:val="auto"/>
          <w:szCs w:val="21"/>
          <w:highlight w:val="none"/>
          <w:u w:val="single"/>
          <w:lang w:val="zh-CN"/>
        </w:rPr>
        <w:br w:type="page"/>
      </w:r>
    </w:p>
    <w:p w14:paraId="6C9A4F7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日</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杭州市生态环境局上城分局    </w:t>
      </w:r>
      <w:r>
        <w:rPr>
          <w:rFonts w:hint="eastAsia" w:ascii="宋体" w:hAnsi="宋体" w:cs="宋体"/>
          <w:color w:val="auto"/>
          <w:szCs w:val="21"/>
          <w:highlight w:val="none"/>
        </w:rPr>
        <w:t>以</w:t>
      </w:r>
      <w:r>
        <w:rPr>
          <w:rFonts w:hint="eastAsia" w:ascii="宋体" w:hAnsi="宋体" w:cs="宋体"/>
          <w:color w:val="auto"/>
          <w:szCs w:val="21"/>
          <w:highlight w:val="none"/>
          <w:u w:val="single"/>
        </w:rPr>
        <w:t xml:space="preserve">   公开招标  </w:t>
      </w:r>
      <w:r>
        <w:rPr>
          <w:rFonts w:hint="eastAsia" w:ascii="宋体" w:hAnsi="宋体" w:cs="宋体"/>
          <w:color w:val="auto"/>
          <w:szCs w:val="21"/>
          <w:highlight w:val="none"/>
        </w:rPr>
        <w:t>对</w:t>
      </w:r>
      <w:r>
        <w:rPr>
          <w:rFonts w:hint="eastAsia" w:ascii="宋体" w:hAnsi="宋体" w:cs="宋体"/>
          <w:color w:val="auto"/>
          <w:szCs w:val="21"/>
          <w:highlight w:val="none"/>
          <w:u w:val="single"/>
        </w:rPr>
        <w:t xml:space="preserve">   杭州市生态环境局上城分局同协路扬尘治理  </w:t>
      </w:r>
      <w:r>
        <w:rPr>
          <w:rFonts w:hint="eastAsia" w:ascii="宋体" w:hAnsi="宋体" w:cs="宋体"/>
          <w:color w:val="auto"/>
          <w:szCs w:val="21"/>
          <w:highlight w:val="none"/>
        </w:rPr>
        <w:t>项目进行了采购。经</w:t>
      </w:r>
      <w:r>
        <w:rPr>
          <w:rFonts w:hint="eastAsia" w:ascii="宋体" w:hAnsi="宋体" w:cs="宋体"/>
          <w:color w:val="auto"/>
          <w:szCs w:val="21"/>
          <w:highlight w:val="none"/>
          <w:u w:val="single"/>
        </w:rPr>
        <w:t xml:space="preserve">  评审小组   </w:t>
      </w:r>
      <w:r>
        <w:rPr>
          <w:rFonts w:hint="eastAsia" w:ascii="宋体" w:hAnsi="宋体" w:cs="宋体"/>
          <w:color w:val="auto"/>
          <w:szCs w:val="21"/>
          <w:highlight w:val="none"/>
        </w:rPr>
        <w:t>评定，</w:t>
      </w:r>
      <w:r>
        <w:rPr>
          <w:rFonts w:hint="eastAsia" w:ascii="宋体" w:hAnsi="宋体" w:cs="宋体"/>
          <w:color w:val="auto"/>
          <w:szCs w:val="21"/>
          <w:highlight w:val="none"/>
          <w:u w:val="single"/>
        </w:rPr>
        <w:t xml:space="preserve">   （中标供应商名称）</w:t>
      </w:r>
      <w:r>
        <w:rPr>
          <w:rFonts w:hint="eastAsia" w:ascii="宋体" w:hAnsi="宋体" w:cs="宋体"/>
          <w:color w:val="auto"/>
          <w:szCs w:val="21"/>
          <w:highlight w:val="none"/>
        </w:rPr>
        <w:t>为该项目中标供应商。现于中标通知书发出之日起10个工作日内，按照采购文件等确定的事项签订本合同。</w:t>
      </w:r>
    </w:p>
    <w:p w14:paraId="76E7DD5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Cs w:val="21"/>
          <w:highlight w:val="none"/>
          <w:u w:val="single"/>
        </w:rPr>
        <w:t xml:space="preserve">   杭州市生态环境局上城分局    </w:t>
      </w:r>
      <w:r>
        <w:rPr>
          <w:rFonts w:hint="eastAsia" w:ascii="宋体" w:hAnsi="宋体" w:cs="宋体"/>
          <w:color w:val="auto"/>
          <w:szCs w:val="21"/>
          <w:highlight w:val="none"/>
          <w:lang w:val="zh-CN"/>
        </w:rPr>
        <w:t>(以下简称：甲方)和</w:t>
      </w:r>
      <w:r>
        <w:rPr>
          <w:rFonts w:hint="eastAsia" w:ascii="宋体" w:hAnsi="宋体" w:cs="宋体"/>
          <w:color w:val="auto"/>
          <w:szCs w:val="21"/>
          <w:highlight w:val="none"/>
          <w:u w:val="single"/>
        </w:rPr>
        <w:t xml:space="preserve">   （中标供应商名称）   </w:t>
      </w:r>
      <w:r>
        <w:rPr>
          <w:rFonts w:hint="eastAsia" w:ascii="宋体" w:hAnsi="宋体" w:cs="宋体"/>
          <w:color w:val="auto"/>
          <w:szCs w:val="21"/>
          <w:highlight w:val="none"/>
          <w:lang w:val="zh-CN"/>
        </w:rPr>
        <w:t>(以下简称：乙方)协商一致，约定以下合同</w:t>
      </w:r>
      <w:r>
        <w:rPr>
          <w:rFonts w:hint="eastAsia" w:ascii="宋体" w:hAnsi="宋体" w:cs="宋体"/>
          <w:color w:val="auto"/>
          <w:szCs w:val="21"/>
          <w:highlight w:val="none"/>
        </w:rPr>
        <w:t>条款，以兹共同遵守、全面履行。</w:t>
      </w:r>
    </w:p>
    <w:p w14:paraId="3822A978">
      <w:pPr>
        <w:snapToGrid w:val="0"/>
        <w:spacing w:line="360" w:lineRule="auto"/>
        <w:ind w:firstLine="422" w:firstLineChars="200"/>
        <w:outlineLvl w:val="2"/>
        <w:rPr>
          <w:rFonts w:hint="eastAsia" w:ascii="宋体" w:hAnsi="宋体" w:cs="宋体"/>
          <w:b/>
          <w:color w:val="auto"/>
          <w:szCs w:val="21"/>
          <w:highlight w:val="none"/>
        </w:rPr>
      </w:pPr>
      <w:bookmarkStart w:id="415" w:name="_Toc24059"/>
      <w:bookmarkStart w:id="416" w:name="_Toc3029"/>
      <w:bookmarkStart w:id="417" w:name="_Toc2232"/>
      <w:r>
        <w:rPr>
          <w:rFonts w:hint="eastAsia" w:ascii="宋体" w:hAnsi="宋体" w:cs="宋体"/>
          <w:b/>
          <w:color w:val="auto"/>
          <w:szCs w:val="21"/>
          <w:highlight w:val="none"/>
        </w:rPr>
        <w:t>1.1 合同组成部分</w:t>
      </w:r>
      <w:bookmarkEnd w:id="415"/>
      <w:bookmarkEnd w:id="416"/>
      <w:bookmarkEnd w:id="417"/>
    </w:p>
    <w:p w14:paraId="24CC453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B88735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本合同及其补充合同、变更协议；</w:t>
      </w:r>
    </w:p>
    <w:p w14:paraId="4CBEF14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中标通知书；</w:t>
      </w:r>
    </w:p>
    <w:p w14:paraId="543B34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投标文件（含澄清或者说明文件）；</w:t>
      </w:r>
    </w:p>
    <w:p w14:paraId="7E6BD17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 招标文件（含澄清或者修改文件）；</w:t>
      </w:r>
    </w:p>
    <w:p w14:paraId="094F344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 其他相关采购文件。</w:t>
      </w:r>
    </w:p>
    <w:p w14:paraId="3E96037A">
      <w:pPr>
        <w:snapToGrid w:val="0"/>
        <w:spacing w:line="360" w:lineRule="auto"/>
        <w:ind w:firstLine="422" w:firstLineChars="200"/>
        <w:outlineLvl w:val="2"/>
        <w:rPr>
          <w:rFonts w:hint="eastAsia" w:ascii="宋体" w:hAnsi="宋体" w:cs="宋体"/>
          <w:b/>
          <w:color w:val="auto"/>
          <w:szCs w:val="21"/>
          <w:highlight w:val="none"/>
        </w:rPr>
      </w:pPr>
      <w:bookmarkStart w:id="418" w:name="_Toc21295"/>
      <w:bookmarkStart w:id="419" w:name="_Toc24300"/>
      <w:bookmarkStart w:id="420" w:name="_Toc27126"/>
      <w:r>
        <w:rPr>
          <w:rFonts w:hint="eastAsia" w:ascii="宋体" w:hAnsi="宋体" w:cs="宋体"/>
          <w:b/>
          <w:color w:val="auto"/>
          <w:szCs w:val="21"/>
          <w:highlight w:val="none"/>
        </w:rPr>
        <w:t>1.2 货物</w:t>
      </w:r>
      <w:bookmarkEnd w:id="418"/>
      <w:bookmarkEnd w:id="419"/>
      <w:bookmarkEnd w:id="420"/>
    </w:p>
    <w:p w14:paraId="1C103E2F">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1.2.1 货物名称、品牌、规格型号、花色：</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62E42E7">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1.2.2 货物数量：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7C969B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 货物质量：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4EA5EFC">
      <w:pPr>
        <w:snapToGrid w:val="0"/>
        <w:spacing w:line="360" w:lineRule="auto"/>
        <w:ind w:firstLine="422" w:firstLineChars="200"/>
        <w:outlineLvl w:val="2"/>
        <w:rPr>
          <w:rFonts w:hint="eastAsia" w:ascii="宋体" w:hAnsi="宋体" w:cs="宋体"/>
          <w:b/>
          <w:color w:val="auto"/>
          <w:szCs w:val="21"/>
          <w:highlight w:val="none"/>
        </w:rPr>
      </w:pPr>
      <w:bookmarkStart w:id="421" w:name="_Toc21551"/>
      <w:bookmarkStart w:id="422" w:name="_Toc23292"/>
      <w:bookmarkStart w:id="423" w:name="_Toc21631"/>
      <w:r>
        <w:rPr>
          <w:rFonts w:hint="eastAsia" w:ascii="宋体" w:hAnsi="宋体" w:cs="宋体"/>
          <w:b/>
          <w:color w:val="auto"/>
          <w:szCs w:val="21"/>
          <w:highlight w:val="none"/>
        </w:rPr>
        <w:t>1.3 价款</w:t>
      </w:r>
      <w:bookmarkEnd w:id="421"/>
      <w:bookmarkEnd w:id="422"/>
      <w:bookmarkEnd w:id="423"/>
    </w:p>
    <w:p w14:paraId="5E4AD5E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本合同总价（含税）为：￥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77FC7ED7">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分项价格：</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4416"/>
        <w:gridCol w:w="3312"/>
      </w:tblGrid>
      <w:tr w14:paraId="44D2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vAlign w:val="center"/>
          </w:tcPr>
          <w:p w14:paraId="2C9AF757">
            <w:pPr>
              <w:pStyle w:val="320"/>
              <w:adjustRightInd w:val="0"/>
              <w:snapToGrid w:val="0"/>
              <w:spacing w:line="360" w:lineRule="auto"/>
              <w:ind w:firstLine="0" w:firstLineChars="0"/>
              <w:jc w:val="center"/>
              <w:rPr>
                <w:rFonts w:hint="eastAsia" w:hAnsi="宋体" w:cs="宋体"/>
                <w:color w:val="auto"/>
                <w:sz w:val="21"/>
                <w:szCs w:val="21"/>
                <w:highlight w:val="none"/>
              </w:rPr>
            </w:pPr>
            <w:r>
              <w:rPr>
                <w:rFonts w:hint="eastAsia" w:hAnsi="宋体" w:cs="宋体"/>
                <w:color w:val="auto"/>
                <w:sz w:val="21"/>
                <w:szCs w:val="21"/>
                <w:highlight w:val="none"/>
              </w:rPr>
              <w:t>序号</w:t>
            </w:r>
          </w:p>
        </w:tc>
        <w:tc>
          <w:tcPr>
            <w:tcW w:w="2377" w:type="pct"/>
            <w:tcBorders>
              <w:top w:val="single" w:color="auto" w:sz="4" w:space="0"/>
              <w:left w:val="single" w:color="auto" w:sz="4" w:space="0"/>
              <w:bottom w:val="single" w:color="auto" w:sz="4" w:space="0"/>
              <w:right w:val="single" w:color="auto" w:sz="4" w:space="0"/>
            </w:tcBorders>
            <w:vAlign w:val="center"/>
          </w:tcPr>
          <w:p w14:paraId="500F9A8C">
            <w:pPr>
              <w:pStyle w:val="320"/>
              <w:adjustRightInd w:val="0"/>
              <w:snapToGrid w:val="0"/>
              <w:spacing w:line="360" w:lineRule="auto"/>
              <w:ind w:firstLine="0" w:firstLineChars="0"/>
              <w:jc w:val="center"/>
              <w:rPr>
                <w:rFonts w:hint="eastAsia" w:hAnsi="宋体" w:cs="宋体"/>
                <w:color w:val="auto"/>
                <w:sz w:val="21"/>
                <w:szCs w:val="21"/>
                <w:highlight w:val="none"/>
              </w:rPr>
            </w:pPr>
            <w:r>
              <w:rPr>
                <w:rFonts w:hint="eastAsia" w:hAnsi="宋体" w:cs="宋体"/>
                <w:color w:val="auto"/>
                <w:sz w:val="21"/>
                <w:szCs w:val="21"/>
                <w:highlight w:val="none"/>
              </w:rPr>
              <w:t>分项名称</w:t>
            </w:r>
          </w:p>
        </w:tc>
        <w:tc>
          <w:tcPr>
            <w:tcW w:w="1783" w:type="pct"/>
            <w:tcBorders>
              <w:top w:val="single" w:color="auto" w:sz="4" w:space="0"/>
              <w:left w:val="single" w:color="auto" w:sz="4" w:space="0"/>
              <w:bottom w:val="single" w:color="auto" w:sz="4" w:space="0"/>
              <w:right w:val="single" w:color="auto" w:sz="4" w:space="0"/>
            </w:tcBorders>
            <w:vAlign w:val="center"/>
          </w:tcPr>
          <w:p w14:paraId="01A8D3D1">
            <w:pPr>
              <w:pStyle w:val="320"/>
              <w:adjustRightInd w:val="0"/>
              <w:snapToGrid w:val="0"/>
              <w:spacing w:line="360" w:lineRule="auto"/>
              <w:ind w:firstLine="0" w:firstLineChars="0"/>
              <w:jc w:val="center"/>
              <w:rPr>
                <w:rFonts w:hint="eastAsia" w:hAnsi="宋体" w:cs="宋体"/>
                <w:color w:val="auto"/>
                <w:sz w:val="21"/>
                <w:szCs w:val="21"/>
                <w:highlight w:val="none"/>
              </w:rPr>
            </w:pPr>
            <w:r>
              <w:rPr>
                <w:rFonts w:hint="eastAsia" w:hAnsi="宋体" w:cs="宋体"/>
                <w:color w:val="auto"/>
                <w:sz w:val="21"/>
                <w:szCs w:val="21"/>
                <w:highlight w:val="none"/>
              </w:rPr>
              <w:t>分项价格</w:t>
            </w:r>
          </w:p>
        </w:tc>
      </w:tr>
      <w:tr w14:paraId="3F2E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vAlign w:val="center"/>
          </w:tcPr>
          <w:p w14:paraId="5EBA1948">
            <w:pPr>
              <w:pStyle w:val="320"/>
              <w:adjustRightInd w:val="0"/>
              <w:snapToGrid w:val="0"/>
              <w:spacing w:line="360" w:lineRule="auto"/>
              <w:ind w:firstLine="0" w:firstLineChars="0"/>
              <w:jc w:val="center"/>
              <w:rPr>
                <w:rFonts w:hint="eastAsia" w:hAnsi="宋体" w:cs="宋体"/>
                <w:color w:val="auto"/>
                <w:sz w:val="21"/>
                <w:szCs w:val="21"/>
                <w:highlight w:val="none"/>
              </w:rPr>
            </w:pPr>
          </w:p>
        </w:tc>
        <w:tc>
          <w:tcPr>
            <w:tcW w:w="2377" w:type="pct"/>
            <w:tcBorders>
              <w:top w:val="single" w:color="auto" w:sz="4" w:space="0"/>
              <w:left w:val="single" w:color="auto" w:sz="4" w:space="0"/>
              <w:bottom w:val="single" w:color="auto" w:sz="4" w:space="0"/>
              <w:right w:val="single" w:color="auto" w:sz="4" w:space="0"/>
            </w:tcBorders>
            <w:vAlign w:val="center"/>
          </w:tcPr>
          <w:p w14:paraId="2468D40C">
            <w:pPr>
              <w:pStyle w:val="320"/>
              <w:adjustRightInd w:val="0"/>
              <w:snapToGrid w:val="0"/>
              <w:spacing w:line="360" w:lineRule="auto"/>
              <w:ind w:firstLine="0" w:firstLineChars="0"/>
              <w:jc w:val="center"/>
              <w:rPr>
                <w:rFonts w:hint="eastAsia" w:hAnsi="宋体" w:cs="宋体"/>
                <w:color w:val="auto"/>
                <w:sz w:val="21"/>
                <w:szCs w:val="21"/>
                <w:highlight w:val="none"/>
              </w:rPr>
            </w:pPr>
          </w:p>
        </w:tc>
        <w:tc>
          <w:tcPr>
            <w:tcW w:w="1783" w:type="pct"/>
            <w:tcBorders>
              <w:top w:val="single" w:color="auto" w:sz="4" w:space="0"/>
              <w:left w:val="single" w:color="auto" w:sz="4" w:space="0"/>
              <w:bottom w:val="single" w:color="auto" w:sz="4" w:space="0"/>
              <w:right w:val="single" w:color="auto" w:sz="4" w:space="0"/>
            </w:tcBorders>
            <w:vAlign w:val="center"/>
          </w:tcPr>
          <w:p w14:paraId="649B919F">
            <w:pPr>
              <w:pStyle w:val="320"/>
              <w:adjustRightInd w:val="0"/>
              <w:snapToGrid w:val="0"/>
              <w:spacing w:line="360" w:lineRule="auto"/>
              <w:ind w:firstLine="0" w:firstLineChars="0"/>
              <w:jc w:val="center"/>
              <w:rPr>
                <w:rFonts w:hint="eastAsia" w:hAnsi="宋体" w:cs="宋体"/>
                <w:color w:val="auto"/>
                <w:sz w:val="21"/>
                <w:szCs w:val="21"/>
                <w:highlight w:val="none"/>
              </w:rPr>
            </w:pPr>
          </w:p>
        </w:tc>
      </w:tr>
      <w:tr w14:paraId="311A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vAlign w:val="center"/>
          </w:tcPr>
          <w:p w14:paraId="718A29C7">
            <w:pPr>
              <w:pStyle w:val="320"/>
              <w:adjustRightInd w:val="0"/>
              <w:snapToGrid w:val="0"/>
              <w:spacing w:line="360" w:lineRule="auto"/>
              <w:ind w:firstLine="0" w:firstLineChars="0"/>
              <w:jc w:val="center"/>
              <w:rPr>
                <w:rFonts w:hint="eastAsia" w:hAnsi="宋体" w:cs="宋体"/>
                <w:color w:val="auto"/>
                <w:sz w:val="21"/>
                <w:szCs w:val="21"/>
                <w:highlight w:val="none"/>
              </w:rPr>
            </w:pPr>
          </w:p>
        </w:tc>
        <w:tc>
          <w:tcPr>
            <w:tcW w:w="2377" w:type="pct"/>
            <w:tcBorders>
              <w:top w:val="single" w:color="auto" w:sz="4" w:space="0"/>
              <w:left w:val="single" w:color="auto" w:sz="4" w:space="0"/>
              <w:bottom w:val="single" w:color="auto" w:sz="4" w:space="0"/>
              <w:right w:val="single" w:color="auto" w:sz="4" w:space="0"/>
            </w:tcBorders>
            <w:vAlign w:val="center"/>
          </w:tcPr>
          <w:p w14:paraId="5C71A416">
            <w:pPr>
              <w:pStyle w:val="320"/>
              <w:adjustRightInd w:val="0"/>
              <w:snapToGrid w:val="0"/>
              <w:spacing w:line="360" w:lineRule="auto"/>
              <w:ind w:firstLine="0" w:firstLineChars="0"/>
              <w:jc w:val="center"/>
              <w:rPr>
                <w:rFonts w:hint="eastAsia" w:hAnsi="宋体" w:cs="宋体"/>
                <w:color w:val="auto"/>
                <w:sz w:val="21"/>
                <w:szCs w:val="21"/>
                <w:highlight w:val="none"/>
              </w:rPr>
            </w:pPr>
          </w:p>
        </w:tc>
        <w:tc>
          <w:tcPr>
            <w:tcW w:w="1783" w:type="pct"/>
            <w:tcBorders>
              <w:top w:val="single" w:color="auto" w:sz="4" w:space="0"/>
              <w:left w:val="single" w:color="auto" w:sz="4" w:space="0"/>
              <w:bottom w:val="single" w:color="auto" w:sz="4" w:space="0"/>
              <w:right w:val="single" w:color="auto" w:sz="4" w:space="0"/>
            </w:tcBorders>
            <w:vAlign w:val="center"/>
          </w:tcPr>
          <w:p w14:paraId="0EB0D64F">
            <w:pPr>
              <w:pStyle w:val="320"/>
              <w:adjustRightInd w:val="0"/>
              <w:snapToGrid w:val="0"/>
              <w:spacing w:line="360" w:lineRule="auto"/>
              <w:ind w:firstLine="0" w:firstLineChars="0"/>
              <w:jc w:val="center"/>
              <w:rPr>
                <w:rFonts w:hint="eastAsia" w:hAnsi="宋体" w:cs="宋体"/>
                <w:color w:val="auto"/>
                <w:sz w:val="21"/>
                <w:szCs w:val="21"/>
                <w:highlight w:val="none"/>
              </w:rPr>
            </w:pPr>
          </w:p>
        </w:tc>
      </w:tr>
      <w:tr w14:paraId="1B01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vAlign w:val="center"/>
          </w:tcPr>
          <w:p w14:paraId="5738E490">
            <w:pPr>
              <w:pStyle w:val="320"/>
              <w:adjustRightInd w:val="0"/>
              <w:snapToGrid w:val="0"/>
              <w:spacing w:line="360" w:lineRule="auto"/>
              <w:ind w:firstLine="0" w:firstLineChars="0"/>
              <w:jc w:val="center"/>
              <w:rPr>
                <w:rFonts w:hint="eastAsia" w:hAnsi="宋体" w:cs="宋体"/>
                <w:color w:val="auto"/>
                <w:sz w:val="21"/>
                <w:szCs w:val="21"/>
                <w:highlight w:val="none"/>
              </w:rPr>
            </w:pPr>
          </w:p>
        </w:tc>
        <w:tc>
          <w:tcPr>
            <w:tcW w:w="2377" w:type="pct"/>
            <w:tcBorders>
              <w:top w:val="single" w:color="auto" w:sz="4" w:space="0"/>
              <w:left w:val="single" w:color="auto" w:sz="4" w:space="0"/>
              <w:bottom w:val="single" w:color="auto" w:sz="4" w:space="0"/>
              <w:right w:val="single" w:color="auto" w:sz="4" w:space="0"/>
            </w:tcBorders>
            <w:vAlign w:val="center"/>
          </w:tcPr>
          <w:p w14:paraId="3CA551D0">
            <w:pPr>
              <w:pStyle w:val="320"/>
              <w:adjustRightInd w:val="0"/>
              <w:snapToGrid w:val="0"/>
              <w:spacing w:line="360" w:lineRule="auto"/>
              <w:ind w:firstLine="0" w:firstLineChars="0"/>
              <w:jc w:val="center"/>
              <w:rPr>
                <w:rFonts w:hint="eastAsia" w:hAnsi="宋体" w:cs="宋体"/>
                <w:color w:val="auto"/>
                <w:sz w:val="21"/>
                <w:szCs w:val="21"/>
                <w:highlight w:val="none"/>
              </w:rPr>
            </w:pPr>
          </w:p>
        </w:tc>
        <w:tc>
          <w:tcPr>
            <w:tcW w:w="1783" w:type="pct"/>
            <w:tcBorders>
              <w:top w:val="single" w:color="auto" w:sz="4" w:space="0"/>
              <w:left w:val="single" w:color="auto" w:sz="4" w:space="0"/>
              <w:bottom w:val="single" w:color="auto" w:sz="4" w:space="0"/>
              <w:right w:val="single" w:color="auto" w:sz="4" w:space="0"/>
            </w:tcBorders>
            <w:vAlign w:val="center"/>
          </w:tcPr>
          <w:p w14:paraId="2D4068D0">
            <w:pPr>
              <w:pStyle w:val="320"/>
              <w:adjustRightInd w:val="0"/>
              <w:snapToGrid w:val="0"/>
              <w:spacing w:line="360" w:lineRule="auto"/>
              <w:ind w:firstLine="0" w:firstLineChars="0"/>
              <w:jc w:val="center"/>
              <w:rPr>
                <w:rFonts w:hint="eastAsia" w:hAnsi="宋体" w:cs="宋体"/>
                <w:color w:val="auto"/>
                <w:sz w:val="21"/>
                <w:szCs w:val="21"/>
                <w:highlight w:val="none"/>
              </w:rPr>
            </w:pPr>
          </w:p>
        </w:tc>
      </w:tr>
      <w:tr w14:paraId="4BEA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vAlign w:val="center"/>
          </w:tcPr>
          <w:p w14:paraId="2C8878BE">
            <w:pPr>
              <w:pStyle w:val="320"/>
              <w:adjustRightInd w:val="0"/>
              <w:snapToGrid w:val="0"/>
              <w:spacing w:line="360" w:lineRule="auto"/>
              <w:ind w:firstLine="0" w:firstLineChars="0"/>
              <w:jc w:val="center"/>
              <w:rPr>
                <w:rFonts w:hint="eastAsia" w:hAnsi="宋体" w:cs="宋体"/>
                <w:color w:val="auto"/>
                <w:sz w:val="21"/>
                <w:szCs w:val="21"/>
                <w:highlight w:val="none"/>
              </w:rPr>
            </w:pPr>
          </w:p>
        </w:tc>
        <w:tc>
          <w:tcPr>
            <w:tcW w:w="2377" w:type="pct"/>
            <w:tcBorders>
              <w:top w:val="single" w:color="auto" w:sz="4" w:space="0"/>
              <w:left w:val="single" w:color="auto" w:sz="4" w:space="0"/>
              <w:bottom w:val="single" w:color="auto" w:sz="4" w:space="0"/>
              <w:right w:val="single" w:color="auto" w:sz="4" w:space="0"/>
            </w:tcBorders>
            <w:vAlign w:val="center"/>
          </w:tcPr>
          <w:p w14:paraId="0A8CD5A9">
            <w:pPr>
              <w:pStyle w:val="320"/>
              <w:adjustRightInd w:val="0"/>
              <w:snapToGrid w:val="0"/>
              <w:spacing w:line="360" w:lineRule="auto"/>
              <w:ind w:firstLine="0" w:firstLineChars="0"/>
              <w:jc w:val="center"/>
              <w:rPr>
                <w:rFonts w:hint="eastAsia" w:hAnsi="宋体" w:cs="宋体"/>
                <w:color w:val="auto"/>
                <w:sz w:val="21"/>
                <w:szCs w:val="21"/>
                <w:highlight w:val="none"/>
              </w:rPr>
            </w:pPr>
          </w:p>
        </w:tc>
        <w:tc>
          <w:tcPr>
            <w:tcW w:w="1783" w:type="pct"/>
            <w:tcBorders>
              <w:top w:val="single" w:color="auto" w:sz="4" w:space="0"/>
              <w:left w:val="single" w:color="auto" w:sz="4" w:space="0"/>
              <w:bottom w:val="single" w:color="auto" w:sz="4" w:space="0"/>
              <w:right w:val="single" w:color="auto" w:sz="4" w:space="0"/>
            </w:tcBorders>
            <w:vAlign w:val="center"/>
          </w:tcPr>
          <w:p w14:paraId="57ED768E">
            <w:pPr>
              <w:pStyle w:val="320"/>
              <w:adjustRightInd w:val="0"/>
              <w:snapToGrid w:val="0"/>
              <w:spacing w:line="360" w:lineRule="auto"/>
              <w:ind w:firstLine="0" w:firstLineChars="0"/>
              <w:jc w:val="center"/>
              <w:rPr>
                <w:rFonts w:hint="eastAsia" w:hAnsi="宋体" w:cs="宋体"/>
                <w:color w:val="auto"/>
                <w:sz w:val="21"/>
                <w:szCs w:val="21"/>
                <w:highlight w:val="none"/>
              </w:rPr>
            </w:pPr>
          </w:p>
        </w:tc>
      </w:tr>
      <w:tr w14:paraId="5475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7" w:type="pct"/>
            <w:gridSpan w:val="2"/>
            <w:tcBorders>
              <w:top w:val="single" w:color="auto" w:sz="4" w:space="0"/>
              <w:left w:val="single" w:color="auto" w:sz="4" w:space="0"/>
              <w:bottom w:val="single" w:color="auto" w:sz="4" w:space="0"/>
              <w:right w:val="single" w:color="auto" w:sz="4" w:space="0"/>
            </w:tcBorders>
            <w:vAlign w:val="center"/>
          </w:tcPr>
          <w:p w14:paraId="6D34D088">
            <w:pPr>
              <w:pStyle w:val="320"/>
              <w:spacing w:line="560" w:lineRule="exact"/>
              <w:ind w:firstLine="420"/>
              <w:jc w:val="center"/>
              <w:rPr>
                <w:rFonts w:hint="eastAsia" w:hAnsi="宋体" w:cs="宋体"/>
                <w:color w:val="auto"/>
                <w:sz w:val="21"/>
                <w:szCs w:val="21"/>
                <w:highlight w:val="none"/>
              </w:rPr>
            </w:pPr>
            <w:r>
              <w:rPr>
                <w:rFonts w:hint="eastAsia" w:hAnsi="宋体" w:cs="宋体"/>
                <w:color w:val="auto"/>
                <w:sz w:val="21"/>
                <w:szCs w:val="21"/>
                <w:highlight w:val="none"/>
              </w:rPr>
              <w:t>总价</w:t>
            </w:r>
          </w:p>
        </w:tc>
        <w:tc>
          <w:tcPr>
            <w:tcW w:w="1783" w:type="pct"/>
            <w:tcBorders>
              <w:top w:val="single" w:color="auto" w:sz="4" w:space="0"/>
              <w:left w:val="single" w:color="auto" w:sz="4" w:space="0"/>
              <w:bottom w:val="single" w:color="auto" w:sz="4" w:space="0"/>
              <w:right w:val="single" w:color="auto" w:sz="4" w:space="0"/>
            </w:tcBorders>
            <w:vAlign w:val="center"/>
          </w:tcPr>
          <w:p w14:paraId="1E30E2B3">
            <w:pPr>
              <w:pStyle w:val="320"/>
              <w:spacing w:line="560" w:lineRule="exact"/>
              <w:ind w:firstLine="420"/>
              <w:jc w:val="center"/>
              <w:rPr>
                <w:rFonts w:hint="eastAsia" w:hAnsi="宋体" w:cs="宋体"/>
                <w:color w:val="auto"/>
                <w:sz w:val="21"/>
                <w:szCs w:val="21"/>
                <w:highlight w:val="none"/>
              </w:rPr>
            </w:pPr>
          </w:p>
        </w:tc>
      </w:tr>
    </w:tbl>
    <w:p w14:paraId="434A1C1E">
      <w:pPr>
        <w:snapToGrid w:val="0"/>
        <w:spacing w:line="360" w:lineRule="auto"/>
        <w:ind w:firstLine="422" w:firstLineChars="200"/>
        <w:outlineLvl w:val="2"/>
        <w:rPr>
          <w:rFonts w:hint="eastAsia" w:ascii="宋体" w:hAnsi="宋体" w:cs="宋体"/>
          <w:b/>
          <w:color w:val="auto"/>
          <w:szCs w:val="21"/>
          <w:highlight w:val="none"/>
        </w:rPr>
      </w:pPr>
      <w:bookmarkStart w:id="424" w:name="_Toc22618"/>
      <w:bookmarkStart w:id="425" w:name="_Toc10340"/>
      <w:bookmarkStart w:id="426" w:name="_Toc1814"/>
      <w:r>
        <w:rPr>
          <w:rFonts w:hint="eastAsia" w:ascii="宋体" w:hAnsi="宋体" w:cs="宋体"/>
          <w:b/>
          <w:color w:val="auto"/>
          <w:szCs w:val="21"/>
          <w:highlight w:val="none"/>
        </w:rPr>
        <w:t>1.4履约保证金</w:t>
      </w:r>
    </w:p>
    <w:p w14:paraId="0D257B4D">
      <w:pPr>
        <w:pStyle w:val="96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乙方</w:t>
      </w:r>
      <w:r>
        <w:rPr>
          <w:rFonts w:hint="eastAsia"/>
          <w:color w:val="auto"/>
          <w:sz w:val="21"/>
          <w:szCs w:val="21"/>
          <w:highlight w:val="none"/>
          <w:u w:val="single"/>
        </w:rPr>
        <w:t xml:space="preserve"> 否 </w:t>
      </w:r>
      <w:r>
        <w:rPr>
          <w:rFonts w:hint="eastAsia"/>
          <w:color w:val="auto"/>
          <w:sz w:val="21"/>
          <w:szCs w:val="21"/>
          <w:highlight w:val="none"/>
        </w:rPr>
        <w:t>（是</w:t>
      </w:r>
      <w:r>
        <w:rPr>
          <w:rFonts w:hint="eastAsia" w:ascii="仿宋" w:hAnsi="仿宋" w:eastAsia="仿宋" w:cs="仿宋"/>
          <w:color w:val="auto"/>
          <w:sz w:val="21"/>
          <w:szCs w:val="21"/>
          <w:highlight w:val="none"/>
        </w:rPr>
        <w:t>/</w:t>
      </w:r>
      <w:r>
        <w:rPr>
          <w:rFonts w:hint="eastAsia"/>
          <w:color w:val="auto"/>
          <w:sz w:val="21"/>
          <w:szCs w:val="21"/>
          <w:highlight w:val="none"/>
        </w:rPr>
        <w:t>否）需要支付履约保证金。若需要支付履约保证金的，则：</w:t>
      </w:r>
    </w:p>
    <w:p w14:paraId="71F7E8A0">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1.4.1履约保证金的比例为合同金额的</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4EA4300B">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1.4.2履约保证金支付方式详见</w:t>
      </w:r>
      <w:r>
        <w:rPr>
          <w:rFonts w:hint="eastAsia" w:ascii="宋体" w:hAnsi="宋体" w:cs="宋体"/>
          <w:color w:val="auto"/>
          <w:kern w:val="0"/>
          <w:szCs w:val="21"/>
          <w:highlight w:val="none"/>
          <w:u w:val="single"/>
        </w:rPr>
        <w:t xml:space="preserve">    </w:t>
      </w:r>
      <w:r>
        <w:rPr>
          <w:rFonts w:hint="eastAsia" w:ascii="宋体" w:hAnsi="宋体" w:cs="宋体"/>
          <w:b/>
          <w:i/>
          <w:color w:val="auto"/>
          <w:szCs w:val="21"/>
          <w:highlight w:val="none"/>
          <w:u w:val="single"/>
        </w:rPr>
        <w:t>合同专用条款</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BD401D2">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F569760">
      <w:pPr>
        <w:snapToGrid w:val="0"/>
        <w:spacing w:line="360" w:lineRule="auto"/>
        <w:ind w:firstLine="420" w:firstLineChars="200"/>
        <w:rPr>
          <w:color w:val="auto"/>
          <w:szCs w:val="21"/>
          <w:highlight w:val="none"/>
        </w:rPr>
      </w:pPr>
      <w:r>
        <w:rPr>
          <w:rFonts w:hint="eastAsia" w:ascii="宋体" w:hAnsi="宋体" w:cs="宋体"/>
          <w:color w:val="auto"/>
          <w:kern w:val="0"/>
          <w:szCs w:val="21"/>
          <w:highlight w:val="none"/>
        </w:rPr>
        <w:t>1.4.4 甲方在项目验收结束后及时退还履约保证金。甲方在项目通过验收之日起</w:t>
      </w:r>
      <w:r>
        <w:rPr>
          <w:rFonts w:ascii="宋体" w:hAnsi="宋体" w:cs="宋体"/>
          <w:color w:val="auto"/>
          <w:kern w:val="0"/>
          <w:szCs w:val="21"/>
          <w:highlight w:val="none"/>
          <w:u w:val="single"/>
        </w:rPr>
        <w:t>15</w:t>
      </w:r>
      <w:r>
        <w:rPr>
          <w:rFonts w:hint="eastAsia" w:ascii="宋体" w:hAnsi="宋体" w:cs="宋体"/>
          <w:color w:val="auto"/>
          <w:kern w:val="0"/>
          <w:szCs w:val="21"/>
          <w:highlight w:val="none"/>
        </w:rPr>
        <w:t>个工作日内将履约保证金退还乙方，逾期退还的，乙方可要求甲方支付违约金，违约金按每迟延退还一日的应退还而未退还金额的</w:t>
      </w:r>
      <w:r>
        <w:rPr>
          <w:rFonts w:hint="eastAsia" w:ascii="宋体" w:hAnsi="宋体" w:cs="宋体"/>
          <w:color w:val="auto"/>
          <w:kern w:val="0"/>
          <w:szCs w:val="21"/>
          <w:highlight w:val="none"/>
          <w:u w:val="single"/>
        </w:rPr>
        <w:t xml:space="preserve">  0.05</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%计算，最高限额为本合同履约保证金的</w:t>
      </w:r>
      <w:r>
        <w:rPr>
          <w:rFonts w:hint="eastAsia" w:ascii="宋体" w:hAnsi="宋体" w:cs="宋体"/>
          <w:color w:val="auto"/>
          <w:kern w:val="0"/>
          <w:szCs w:val="21"/>
          <w:highlight w:val="none"/>
          <w:u w:val="single"/>
        </w:rPr>
        <w:t xml:space="preserve">  20  </w:t>
      </w:r>
      <w:r>
        <w:rPr>
          <w:rFonts w:hint="eastAsia" w:ascii="宋体" w:hAnsi="宋体" w:cs="宋体"/>
          <w:color w:val="auto"/>
          <w:kern w:val="0"/>
          <w:szCs w:val="21"/>
          <w:highlight w:val="none"/>
        </w:rPr>
        <w:t xml:space="preserve"> %。</w:t>
      </w:r>
    </w:p>
    <w:p w14:paraId="17FA1FA9">
      <w:pPr>
        <w:snapToGrid w:val="0"/>
        <w:spacing w:line="360" w:lineRule="auto"/>
        <w:ind w:firstLine="422" w:firstLineChars="200"/>
        <w:outlineLvl w:val="2"/>
        <w:rPr>
          <w:rFonts w:hint="eastAsia" w:ascii="宋体" w:hAnsi="宋体" w:cs="宋体"/>
          <w:b/>
          <w:color w:val="auto"/>
          <w:szCs w:val="21"/>
          <w:highlight w:val="none"/>
        </w:rPr>
      </w:pPr>
      <w:r>
        <w:rPr>
          <w:rFonts w:hint="eastAsia" w:ascii="宋体" w:hAnsi="宋体" w:cs="宋体"/>
          <w:b/>
          <w:color w:val="auto"/>
          <w:szCs w:val="21"/>
          <w:highlight w:val="none"/>
        </w:rPr>
        <w:t>1.5</w:t>
      </w:r>
      <w:bookmarkEnd w:id="424"/>
      <w:bookmarkEnd w:id="425"/>
      <w:bookmarkEnd w:id="426"/>
      <w:r>
        <w:rPr>
          <w:rFonts w:hint="eastAsia" w:ascii="宋体" w:hAnsi="宋体" w:cs="宋体"/>
          <w:b/>
          <w:color w:val="auto"/>
          <w:szCs w:val="21"/>
          <w:highlight w:val="none"/>
        </w:rPr>
        <w:t>预付款</w:t>
      </w:r>
    </w:p>
    <w:p w14:paraId="719D4B71">
      <w:pPr>
        <w:pStyle w:val="96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甲方</w:t>
      </w:r>
      <w:r>
        <w:rPr>
          <w:rFonts w:hint="eastAsia"/>
          <w:color w:val="auto"/>
          <w:sz w:val="21"/>
          <w:szCs w:val="21"/>
          <w:highlight w:val="none"/>
          <w:u w:val="single"/>
        </w:rPr>
        <w:t xml:space="preserve"> 是  </w:t>
      </w:r>
      <w:r>
        <w:rPr>
          <w:rFonts w:hint="eastAsia"/>
          <w:color w:val="auto"/>
          <w:sz w:val="21"/>
          <w:szCs w:val="21"/>
          <w:highlight w:val="none"/>
        </w:rPr>
        <w:t>（是</w:t>
      </w:r>
      <w:r>
        <w:rPr>
          <w:rFonts w:hint="eastAsia" w:ascii="仿宋" w:hAnsi="仿宋" w:eastAsia="仿宋" w:cs="仿宋"/>
          <w:color w:val="auto"/>
          <w:sz w:val="21"/>
          <w:szCs w:val="21"/>
          <w:highlight w:val="none"/>
        </w:rPr>
        <w:t>/</w:t>
      </w:r>
      <w:r>
        <w:rPr>
          <w:rFonts w:hint="eastAsia"/>
          <w:color w:val="auto"/>
          <w:sz w:val="21"/>
          <w:szCs w:val="21"/>
          <w:highlight w:val="none"/>
        </w:rPr>
        <w:t>否）需要支付预付款。若需要支付预付款的，则：</w:t>
      </w:r>
    </w:p>
    <w:p w14:paraId="3A641EF8">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1.5.1预付款比例、支付方式、时间详见</w:t>
      </w:r>
      <w:r>
        <w:rPr>
          <w:rFonts w:hint="eastAsia" w:ascii="宋体" w:hAnsi="宋体" w:cs="宋体"/>
          <w:color w:val="auto"/>
          <w:kern w:val="0"/>
          <w:szCs w:val="21"/>
          <w:highlight w:val="none"/>
          <w:u w:val="single"/>
        </w:rPr>
        <w:t xml:space="preserve">    </w:t>
      </w:r>
      <w:r>
        <w:rPr>
          <w:rFonts w:hint="eastAsia" w:ascii="宋体" w:hAnsi="宋体" w:cs="宋体"/>
          <w:b/>
          <w:i/>
          <w:color w:val="auto"/>
          <w:szCs w:val="21"/>
          <w:highlight w:val="none"/>
          <w:u w:val="single"/>
        </w:rPr>
        <w:t>合同专用条款</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E04DFBE">
      <w:pPr>
        <w:pStyle w:val="96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1.5.2预付款的扣回方式详见</w:t>
      </w:r>
      <w:r>
        <w:rPr>
          <w:rFonts w:hint="eastAsia"/>
          <w:color w:val="auto"/>
          <w:sz w:val="21"/>
          <w:szCs w:val="21"/>
          <w:highlight w:val="none"/>
          <w:u w:val="single"/>
        </w:rPr>
        <w:t xml:space="preserve">    </w:t>
      </w:r>
      <w:r>
        <w:rPr>
          <w:rFonts w:hint="eastAsia"/>
          <w:b/>
          <w:i/>
          <w:color w:val="auto"/>
          <w:sz w:val="21"/>
          <w:szCs w:val="21"/>
          <w:highlight w:val="none"/>
          <w:u w:val="single"/>
        </w:rPr>
        <w:t>合同专用条款</w:t>
      </w:r>
      <w:r>
        <w:rPr>
          <w:rFonts w:hint="eastAsia"/>
          <w:color w:val="auto"/>
          <w:sz w:val="21"/>
          <w:szCs w:val="21"/>
          <w:highlight w:val="none"/>
          <w:u w:val="single"/>
        </w:rPr>
        <w:t xml:space="preserve">           </w:t>
      </w:r>
      <w:r>
        <w:rPr>
          <w:rFonts w:hint="eastAsia"/>
          <w:color w:val="auto"/>
          <w:sz w:val="21"/>
          <w:szCs w:val="21"/>
          <w:highlight w:val="none"/>
        </w:rPr>
        <w:t>；</w:t>
      </w:r>
    </w:p>
    <w:p w14:paraId="0C085916">
      <w:pPr>
        <w:pStyle w:val="960"/>
        <w:adjustRightInd w:val="0"/>
        <w:snapToGrid w:val="0"/>
        <w:spacing w:before="0" w:beforeAutospacing="0" w:after="0" w:afterAutospacing="0" w:line="360" w:lineRule="auto"/>
        <w:ind w:firstLine="420" w:firstLineChars="200"/>
        <w:rPr>
          <w:rFonts w:hint="eastAsia"/>
          <w:color w:val="auto"/>
          <w:sz w:val="21"/>
          <w:szCs w:val="21"/>
          <w:highlight w:val="none"/>
          <w:u w:val="single"/>
        </w:rPr>
      </w:pPr>
      <w:r>
        <w:rPr>
          <w:rFonts w:hint="eastAsia"/>
          <w:color w:val="auto"/>
          <w:sz w:val="21"/>
          <w:szCs w:val="21"/>
          <w:highlight w:val="none"/>
        </w:rPr>
        <w:t>1.5.3预付款的担保措施详见</w:t>
      </w:r>
      <w:r>
        <w:rPr>
          <w:rFonts w:hint="eastAsia"/>
          <w:color w:val="auto"/>
          <w:sz w:val="21"/>
          <w:szCs w:val="21"/>
          <w:highlight w:val="none"/>
          <w:u w:val="single"/>
        </w:rPr>
        <w:t xml:space="preserve">    </w:t>
      </w:r>
      <w:r>
        <w:rPr>
          <w:rFonts w:hint="eastAsia"/>
          <w:b/>
          <w:i/>
          <w:color w:val="auto"/>
          <w:sz w:val="21"/>
          <w:szCs w:val="21"/>
          <w:highlight w:val="none"/>
          <w:u w:val="single"/>
        </w:rPr>
        <w:t>合同专用条款</w:t>
      </w:r>
      <w:r>
        <w:rPr>
          <w:rFonts w:hint="eastAsia"/>
          <w:color w:val="auto"/>
          <w:sz w:val="21"/>
          <w:szCs w:val="21"/>
          <w:highlight w:val="none"/>
          <w:u w:val="single"/>
        </w:rPr>
        <w:t xml:space="preserve">          </w:t>
      </w:r>
      <w:r>
        <w:rPr>
          <w:rFonts w:hint="eastAsia"/>
          <w:color w:val="auto"/>
          <w:sz w:val="21"/>
          <w:szCs w:val="21"/>
          <w:highlight w:val="none"/>
        </w:rPr>
        <w:t>。</w:t>
      </w:r>
    </w:p>
    <w:p w14:paraId="374E6B66">
      <w:pPr>
        <w:snapToGrid w:val="0"/>
        <w:spacing w:line="360" w:lineRule="auto"/>
        <w:ind w:firstLine="422" w:firstLineChars="200"/>
        <w:outlineLvl w:val="2"/>
        <w:rPr>
          <w:rFonts w:hint="eastAsia" w:ascii="宋体" w:hAnsi="宋体" w:cs="宋体"/>
          <w:b/>
          <w:color w:val="auto"/>
          <w:szCs w:val="21"/>
          <w:highlight w:val="none"/>
        </w:rPr>
      </w:pPr>
      <w:r>
        <w:rPr>
          <w:rFonts w:hint="eastAsia" w:ascii="宋体" w:hAnsi="宋体" w:cs="宋体"/>
          <w:b/>
          <w:color w:val="auto"/>
          <w:szCs w:val="21"/>
          <w:highlight w:val="none"/>
        </w:rPr>
        <w:t>1.6资金支付</w:t>
      </w:r>
    </w:p>
    <w:p w14:paraId="567AE9B1">
      <w:pPr>
        <w:pStyle w:val="96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46409A3">
      <w:pPr>
        <w:pStyle w:val="96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1.6.2资金支付的方式、时间和条件详见</w:t>
      </w:r>
      <w:r>
        <w:rPr>
          <w:rFonts w:hint="eastAsia"/>
          <w:b/>
          <w:i/>
          <w:color w:val="auto"/>
          <w:kern w:val="2"/>
          <w:sz w:val="21"/>
          <w:szCs w:val="21"/>
          <w:highlight w:val="none"/>
          <w:u w:val="single"/>
        </w:rPr>
        <w:t>合同专用条款</w:t>
      </w:r>
      <w:r>
        <w:rPr>
          <w:rFonts w:hint="eastAsia"/>
          <w:color w:val="auto"/>
          <w:sz w:val="21"/>
          <w:szCs w:val="21"/>
          <w:highlight w:val="none"/>
        </w:rPr>
        <w:t>。</w:t>
      </w:r>
    </w:p>
    <w:p w14:paraId="4CD27FFD">
      <w:pPr>
        <w:spacing w:line="360" w:lineRule="auto"/>
        <w:ind w:firstLine="422" w:firstLineChars="200"/>
        <w:outlineLvl w:val="2"/>
        <w:rPr>
          <w:rFonts w:hint="eastAsia" w:ascii="宋体" w:hAnsi="宋体" w:cs="宋体"/>
          <w:b/>
          <w:color w:val="auto"/>
          <w:szCs w:val="21"/>
          <w:highlight w:val="none"/>
        </w:rPr>
      </w:pPr>
      <w:bookmarkStart w:id="427" w:name="_Toc19304"/>
      <w:bookmarkStart w:id="428" w:name="_Toc32071"/>
      <w:bookmarkStart w:id="429" w:name="_Toc2846"/>
      <w:r>
        <w:rPr>
          <w:rFonts w:hint="eastAsia" w:ascii="宋体" w:hAnsi="宋体" w:cs="宋体"/>
          <w:b/>
          <w:color w:val="auto"/>
          <w:szCs w:val="21"/>
          <w:highlight w:val="none"/>
        </w:rPr>
        <w:t>1.7货物交付期限、地点和方式</w:t>
      </w:r>
      <w:bookmarkEnd w:id="427"/>
      <w:bookmarkEnd w:id="428"/>
      <w:bookmarkEnd w:id="429"/>
    </w:p>
    <w:p w14:paraId="4284FB94">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1.7.1 交付期限：详见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02B441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 交付地点：</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584077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1.7.3 交付方式：</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3C2AD5B9">
      <w:pPr>
        <w:spacing w:line="360" w:lineRule="auto"/>
        <w:ind w:firstLine="422" w:firstLineChars="200"/>
        <w:outlineLvl w:val="2"/>
        <w:rPr>
          <w:rFonts w:hint="eastAsia" w:ascii="宋体" w:hAnsi="宋体" w:cs="宋体"/>
          <w:b/>
          <w:color w:val="auto"/>
          <w:szCs w:val="21"/>
          <w:highlight w:val="none"/>
        </w:rPr>
      </w:pPr>
      <w:bookmarkStart w:id="430" w:name="_Toc27250"/>
      <w:bookmarkStart w:id="431" w:name="_Toc21423"/>
      <w:bookmarkStart w:id="432" w:name="_Toc19554"/>
      <w:r>
        <w:rPr>
          <w:rFonts w:hint="eastAsia" w:ascii="宋体" w:hAnsi="宋体" w:cs="宋体"/>
          <w:b/>
          <w:color w:val="auto"/>
          <w:szCs w:val="21"/>
          <w:highlight w:val="none"/>
        </w:rPr>
        <w:t>1.8违约责任</w:t>
      </w:r>
      <w:bookmarkEnd w:id="430"/>
      <w:bookmarkEnd w:id="431"/>
      <w:bookmarkEnd w:id="432"/>
    </w:p>
    <w:p w14:paraId="5255E9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Cs w:val="21"/>
          <w:highlight w:val="none"/>
          <w:u w:val="single"/>
        </w:rPr>
        <w:t xml:space="preserve">  0.05    </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 xml:space="preserve"> 20   </w:t>
      </w:r>
      <w:r>
        <w:rPr>
          <w:rFonts w:hint="eastAsia" w:ascii="宋体" w:hAnsi="宋体" w:cs="宋体"/>
          <w:color w:val="auto"/>
          <w:szCs w:val="21"/>
          <w:highlight w:val="none"/>
        </w:rPr>
        <w:t>%；迟延交付货物的违约金计算数额达到前述最高限额之日起，甲方有权在要求乙方支付违约金的同时，书面通知乙方解除本合同；</w:t>
      </w:r>
    </w:p>
    <w:p w14:paraId="44D9B5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Cs w:val="21"/>
          <w:highlight w:val="none"/>
          <w:u w:val="single"/>
        </w:rPr>
        <w:t xml:space="preserve"> 0.05  </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 xml:space="preserve">   20   </w:t>
      </w:r>
      <w:r>
        <w:rPr>
          <w:rFonts w:hint="eastAsia" w:ascii="宋体" w:hAnsi="宋体" w:cs="宋体"/>
          <w:color w:val="auto"/>
          <w:szCs w:val="21"/>
          <w:highlight w:val="none"/>
        </w:rPr>
        <w:t>%；迟延付款的违约金计算数额达到前述最高限额之日起，乙方有权在要求甲方支付违约金的同时，书面通知甲方解除本合同；</w:t>
      </w:r>
    </w:p>
    <w:p w14:paraId="6F0338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99652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6D5B5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0F9A28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1.8.6违约责任</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另有约定的，从其约定。</w:t>
      </w:r>
    </w:p>
    <w:p w14:paraId="2819B09B">
      <w:pPr>
        <w:spacing w:line="360" w:lineRule="auto"/>
        <w:ind w:firstLine="422" w:firstLineChars="200"/>
        <w:outlineLvl w:val="2"/>
        <w:rPr>
          <w:rFonts w:hint="eastAsia" w:ascii="宋体" w:hAnsi="宋体" w:cs="宋体"/>
          <w:b/>
          <w:color w:val="auto"/>
          <w:szCs w:val="21"/>
          <w:highlight w:val="none"/>
        </w:rPr>
      </w:pPr>
      <w:bookmarkStart w:id="433" w:name="_Toc16021"/>
      <w:bookmarkStart w:id="434" w:name="_Toc15583"/>
      <w:bookmarkStart w:id="435" w:name="_Toc28375"/>
      <w:r>
        <w:rPr>
          <w:rFonts w:hint="eastAsia" w:ascii="宋体" w:hAnsi="宋体" w:cs="宋体"/>
          <w:b/>
          <w:color w:val="auto"/>
          <w:szCs w:val="21"/>
          <w:highlight w:val="none"/>
        </w:rPr>
        <w:t>1.9合同争议的解决</w:t>
      </w:r>
      <w:bookmarkEnd w:id="433"/>
      <w:bookmarkEnd w:id="434"/>
      <w:bookmarkEnd w:id="435"/>
    </w:p>
    <w:p w14:paraId="7C98EAE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Cs w:val="21"/>
          <w:highlight w:val="none"/>
          <w:u w:val="single"/>
        </w:rPr>
        <w:t xml:space="preserve"> 合同专用条款 </w:t>
      </w:r>
      <w:r>
        <w:rPr>
          <w:rFonts w:hint="eastAsia" w:ascii="宋体" w:hAnsi="宋体" w:cs="宋体"/>
          <w:color w:val="auto"/>
          <w:szCs w:val="21"/>
          <w:highlight w:val="none"/>
        </w:rPr>
        <w:t>条款规定的方式解决：</w:t>
      </w:r>
    </w:p>
    <w:p w14:paraId="1178431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 将争议提交</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仲裁委员会依申请仲裁时其现行有效的仲裁规则裁决；</w:t>
      </w:r>
    </w:p>
    <w:p w14:paraId="4DB177A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向</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人民法院起诉。</w:t>
      </w:r>
    </w:p>
    <w:p w14:paraId="2C474BE2">
      <w:pPr>
        <w:spacing w:line="360" w:lineRule="auto"/>
        <w:ind w:firstLine="422" w:firstLineChars="200"/>
        <w:outlineLvl w:val="2"/>
        <w:rPr>
          <w:rFonts w:hint="eastAsia" w:ascii="宋体" w:hAnsi="宋体" w:cs="宋体"/>
          <w:b/>
          <w:color w:val="auto"/>
          <w:szCs w:val="21"/>
          <w:highlight w:val="none"/>
        </w:rPr>
      </w:pPr>
      <w:bookmarkStart w:id="436" w:name="_Toc11173"/>
      <w:bookmarkStart w:id="437" w:name="_Toc7245"/>
      <w:bookmarkStart w:id="438" w:name="_Toc15322"/>
      <w:r>
        <w:rPr>
          <w:rFonts w:ascii="宋体" w:hAnsi="宋体" w:cs="宋体"/>
          <w:b/>
          <w:color w:val="auto"/>
          <w:szCs w:val="21"/>
          <w:highlight w:val="none"/>
        </w:rPr>
        <w:t>1.1</w:t>
      </w:r>
      <w:r>
        <w:rPr>
          <w:rFonts w:hint="eastAsia" w:ascii="宋体" w:hAnsi="宋体" w:cs="宋体"/>
          <w:b/>
          <w:color w:val="auto"/>
          <w:szCs w:val="21"/>
          <w:highlight w:val="none"/>
        </w:rPr>
        <w:t>0 合同生效</w:t>
      </w:r>
      <w:bookmarkEnd w:id="436"/>
      <w:bookmarkEnd w:id="437"/>
      <w:bookmarkEnd w:id="438"/>
    </w:p>
    <w:p w14:paraId="4636E243">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本合同自双方当事人盖章签字时生效。</w:t>
      </w:r>
    </w:p>
    <w:p w14:paraId="4292F0EB">
      <w:pPr>
        <w:autoSpaceDE w:val="0"/>
        <w:autoSpaceDN w:val="0"/>
        <w:spacing w:line="560" w:lineRule="exact"/>
        <w:rPr>
          <w:rFonts w:hint="eastAsia" w:ascii="宋体" w:hAnsi="宋体" w:cs="宋体"/>
          <w:color w:val="auto"/>
          <w:szCs w:val="21"/>
          <w:highlight w:val="none"/>
          <w:lang w:val="zh-CN"/>
        </w:rPr>
      </w:pPr>
      <w:r>
        <w:rPr>
          <w:rFonts w:hint="eastAsia" w:ascii="宋体" w:hAnsi="宋体" w:cs="宋体"/>
          <w:b/>
          <w:color w:val="auto"/>
          <w:szCs w:val="21"/>
          <w:highlight w:val="none"/>
          <w:lang w:val="zh-CN"/>
        </w:rPr>
        <w:t>甲方</w:t>
      </w:r>
      <w:r>
        <w:rPr>
          <w:rFonts w:hint="eastAsia" w:ascii="宋体" w:hAnsi="宋体" w:cs="宋体"/>
          <w:color w:val="auto"/>
          <w:szCs w:val="21"/>
          <w:highlight w:val="none"/>
          <w:lang w:val="zh-CN"/>
        </w:rPr>
        <w:t xml:space="preserve">：                             </w:t>
      </w:r>
      <w:r>
        <w:rPr>
          <w:rFonts w:hint="eastAsia" w:ascii="宋体" w:hAnsi="宋体" w:cs="宋体"/>
          <w:b/>
          <w:color w:val="auto"/>
          <w:szCs w:val="21"/>
          <w:highlight w:val="none"/>
          <w:lang w:val="zh-CN"/>
        </w:rPr>
        <w:t xml:space="preserve">      乙方</w:t>
      </w:r>
      <w:r>
        <w:rPr>
          <w:rFonts w:hint="eastAsia" w:ascii="宋体" w:hAnsi="宋体" w:cs="宋体"/>
          <w:color w:val="auto"/>
          <w:szCs w:val="21"/>
          <w:highlight w:val="none"/>
          <w:lang w:val="zh-CN"/>
        </w:rPr>
        <w:t>：</w:t>
      </w:r>
    </w:p>
    <w:p w14:paraId="1A313347">
      <w:pPr>
        <w:autoSpaceDE w:val="0"/>
        <w:autoSpaceDN w:val="0"/>
        <w:spacing w:line="5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统一社会信用代码：                        统一社会信用代码或身份证号码：</w:t>
      </w:r>
    </w:p>
    <w:p w14:paraId="6C88DE57">
      <w:pPr>
        <w:autoSpaceDE w:val="0"/>
        <w:autoSpaceDN w:val="0"/>
        <w:spacing w:line="5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住所：                                   住所：</w:t>
      </w:r>
    </w:p>
    <w:p w14:paraId="59C6AE9C">
      <w:pPr>
        <w:autoSpaceDE w:val="0"/>
        <w:autoSpaceDN w:val="0"/>
        <w:spacing w:line="5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法定代表人或                             法定代表人</w:t>
      </w:r>
    </w:p>
    <w:p w14:paraId="36256C04">
      <w:pPr>
        <w:autoSpaceDE w:val="0"/>
        <w:autoSpaceDN w:val="0"/>
        <w:spacing w:line="5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授权代表（签字）：                        或授权代表（签字）: </w:t>
      </w:r>
    </w:p>
    <w:p w14:paraId="54ADAB05">
      <w:pPr>
        <w:autoSpaceDE w:val="0"/>
        <w:autoSpaceDN w:val="0"/>
        <w:spacing w:line="5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联系人：                                 联系人：</w:t>
      </w:r>
    </w:p>
    <w:p w14:paraId="2586C94B">
      <w:pPr>
        <w:autoSpaceDE w:val="0"/>
        <w:autoSpaceDN w:val="0"/>
        <w:spacing w:line="5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约定送达地址：                           约定送达地址：</w:t>
      </w:r>
    </w:p>
    <w:p w14:paraId="3EE4F9FE">
      <w:pPr>
        <w:autoSpaceDE w:val="0"/>
        <w:autoSpaceDN w:val="0"/>
        <w:spacing w:line="5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邮政编码：                               邮政编码：</w:t>
      </w:r>
    </w:p>
    <w:p w14:paraId="71576481">
      <w:pPr>
        <w:autoSpaceDE w:val="0"/>
        <w:autoSpaceDN w:val="0"/>
        <w:spacing w:line="5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电话:                                    电话: </w:t>
      </w:r>
    </w:p>
    <w:p w14:paraId="40B7A3E5">
      <w:pPr>
        <w:autoSpaceDE w:val="0"/>
        <w:autoSpaceDN w:val="0"/>
        <w:spacing w:line="5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传真:                                    传真:</w:t>
      </w:r>
    </w:p>
    <w:p w14:paraId="60176BEB">
      <w:pPr>
        <w:autoSpaceDE w:val="0"/>
        <w:autoSpaceDN w:val="0"/>
        <w:spacing w:line="560" w:lineRule="exact"/>
        <w:rPr>
          <w:rFonts w:hint="eastAsia" w:ascii="宋体" w:hAnsi="宋体" w:cs="宋体"/>
          <w:color w:val="auto"/>
          <w:szCs w:val="21"/>
          <w:highlight w:val="none"/>
        </w:rPr>
      </w:pPr>
      <w:r>
        <w:rPr>
          <w:rFonts w:hint="eastAsia" w:ascii="宋体" w:hAnsi="宋体" w:cs="宋体"/>
          <w:color w:val="auto"/>
          <w:szCs w:val="21"/>
          <w:highlight w:val="none"/>
          <w:lang w:val="zh-CN"/>
        </w:rPr>
        <w:t>电子邮箱：                               电子邮箱：</w:t>
      </w:r>
    </w:p>
    <w:p w14:paraId="7D940D81">
      <w:pPr>
        <w:autoSpaceDE w:val="0"/>
        <w:autoSpaceDN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 xml:space="preserve">开户银行：                               开户银行： </w:t>
      </w:r>
    </w:p>
    <w:p w14:paraId="33D706B9">
      <w:pPr>
        <w:autoSpaceDE w:val="0"/>
        <w:autoSpaceDN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 xml:space="preserve">开户名称：                               开户名称： </w:t>
      </w:r>
    </w:p>
    <w:p w14:paraId="5B29C098">
      <w:pPr>
        <w:autoSpaceDE w:val="0"/>
        <w:autoSpaceDN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开户账号：</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开户账号：</w:t>
      </w:r>
    </w:p>
    <w:p w14:paraId="6BCE7BCE">
      <w:pPr>
        <w:rPr>
          <w:color w:val="auto"/>
          <w:szCs w:val="21"/>
          <w:highlight w:val="none"/>
        </w:rPr>
      </w:pPr>
    </w:p>
    <w:p w14:paraId="6B707FF3">
      <w:pPr>
        <w:pStyle w:val="5"/>
        <w:ind w:firstLine="562"/>
        <w:jc w:val="center"/>
        <w:rPr>
          <w:rFonts w:hint="eastAsia"/>
          <w:color w:val="auto"/>
          <w:sz w:val="28"/>
          <w:szCs w:val="28"/>
          <w:highlight w:val="none"/>
        </w:rPr>
      </w:pPr>
      <w:r>
        <w:rPr>
          <w:rFonts w:hint="eastAsia"/>
          <w:color w:val="auto"/>
          <w:sz w:val="28"/>
          <w:szCs w:val="28"/>
          <w:highlight w:val="none"/>
        </w:rPr>
        <w:t>第二部分 合同一般条款</w:t>
      </w:r>
    </w:p>
    <w:p w14:paraId="55E97FB1">
      <w:pPr>
        <w:spacing w:line="360" w:lineRule="auto"/>
        <w:ind w:firstLine="422" w:firstLineChars="200"/>
        <w:outlineLvl w:val="2"/>
        <w:rPr>
          <w:rFonts w:hint="eastAsia" w:ascii="宋体" w:hAnsi="宋体" w:cs="宋体"/>
          <w:b/>
          <w:color w:val="auto"/>
          <w:szCs w:val="21"/>
          <w:highlight w:val="none"/>
        </w:rPr>
      </w:pPr>
      <w:bookmarkStart w:id="439" w:name="_Ref467379214"/>
      <w:bookmarkStart w:id="440" w:name="_Ref467379101"/>
      <w:bookmarkStart w:id="441" w:name="_Ref467378404"/>
      <w:bookmarkStart w:id="442" w:name="_Toc19614"/>
      <w:bookmarkStart w:id="443" w:name="_Toc279701240"/>
      <w:bookmarkStart w:id="444" w:name="_Ref467379225"/>
      <w:bookmarkStart w:id="445" w:name="_Toc16917"/>
      <w:bookmarkStart w:id="446" w:name="_Toc28763"/>
      <w:bookmarkStart w:id="447" w:name="_Toc259093669"/>
      <w:bookmarkStart w:id="448" w:name="_Toc487900349"/>
      <w:bookmarkStart w:id="449" w:name="_Ref467379205"/>
      <w:bookmarkStart w:id="450" w:name="_Ref467379195"/>
      <w:bookmarkStart w:id="451" w:name="_Ref467378463"/>
      <w:bookmarkStart w:id="452" w:name="_Ref467378499"/>
      <w:bookmarkStart w:id="453" w:name="_Ref467379109"/>
      <w:bookmarkStart w:id="454" w:name="_Ref467379094"/>
      <w:r>
        <w:rPr>
          <w:rFonts w:hint="eastAsia" w:ascii="宋体" w:hAnsi="宋体" w:cs="宋体"/>
          <w:b/>
          <w:color w:val="auto"/>
          <w:szCs w:val="21"/>
          <w:highlight w:val="none"/>
        </w:rPr>
        <w:t>2.1 定义</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79D491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本合同中的下列词语应按以下内容进行解释：</w:t>
      </w:r>
    </w:p>
    <w:p w14:paraId="6AD435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 “合同”系指采购人和中标或成交供应商签订的载明双方当事人所达成的协议，并包括所有的附件、附录和构成合同的其他文件。</w:t>
      </w:r>
    </w:p>
    <w:p w14:paraId="6A12DB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 “合同价”系指根据合同约定，中标或成交供应商在完全履行合同义务后，采购人应支付给中标或成交供应商的价格。</w:t>
      </w:r>
    </w:p>
    <w:p w14:paraId="708491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 “货物”系指中标或成交供应商根据合同约定应向采购人交付的一切各种形态和种类的物品，包括原材料、燃料、设备、机械、仪表、备件、计算机软件、产品等，并包括工具、手册等其他相关资料。</w:t>
      </w:r>
    </w:p>
    <w:p w14:paraId="28C4B81D">
      <w:pPr>
        <w:spacing w:line="360" w:lineRule="auto"/>
        <w:ind w:firstLine="420" w:firstLineChars="200"/>
        <w:rPr>
          <w:rFonts w:hint="eastAsia" w:ascii="宋体" w:hAnsi="宋体" w:cs="宋体"/>
          <w:color w:val="auto"/>
          <w:szCs w:val="21"/>
          <w:highlight w:val="none"/>
        </w:rPr>
      </w:pPr>
      <w:bookmarkStart w:id="455" w:name="_Ref467378840"/>
      <w:r>
        <w:rPr>
          <w:rFonts w:hint="eastAsia" w:ascii="宋体" w:hAnsi="宋体" w:cs="宋体"/>
          <w:color w:val="auto"/>
          <w:szCs w:val="21"/>
          <w:highlight w:val="none"/>
        </w:rPr>
        <w:t>2.1.4 “甲方”系指与中标或成交供应商签署合同的采购人</w:t>
      </w:r>
      <w:bookmarkEnd w:id="455"/>
      <w:r>
        <w:rPr>
          <w:rFonts w:hint="eastAsia" w:ascii="宋体" w:hAnsi="宋体" w:cs="宋体"/>
          <w:color w:val="auto"/>
          <w:szCs w:val="21"/>
          <w:highlight w:val="none"/>
        </w:rPr>
        <w:t>；采购人委托采购代理机构代表其与乙方签订合同的，采购人的授权委托书作为合同附件。</w:t>
      </w:r>
    </w:p>
    <w:p w14:paraId="1DD7FA31">
      <w:pPr>
        <w:spacing w:line="360" w:lineRule="auto"/>
        <w:ind w:firstLine="420" w:firstLineChars="200"/>
        <w:rPr>
          <w:rFonts w:hint="eastAsia" w:ascii="宋体" w:hAnsi="宋体" w:cs="宋体"/>
          <w:color w:val="auto"/>
          <w:szCs w:val="21"/>
          <w:highlight w:val="none"/>
        </w:rPr>
      </w:pPr>
      <w:bookmarkStart w:id="456" w:name="_Ref467379400"/>
      <w:r>
        <w:rPr>
          <w:rFonts w:hint="eastAsia" w:ascii="宋体" w:hAnsi="宋体" w:cs="宋体"/>
          <w:color w:val="auto"/>
          <w:szCs w:val="21"/>
          <w:highlight w:val="none"/>
        </w:rPr>
        <w:t>2.1.5 “乙方”系指根据合同约定交付货物的中标或成交供应商</w:t>
      </w:r>
      <w:bookmarkEnd w:id="456"/>
      <w:r>
        <w:rPr>
          <w:rFonts w:hint="eastAsia" w:ascii="宋体" w:hAnsi="宋体" w:cs="宋体"/>
          <w:color w:val="auto"/>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1A5F27C">
      <w:pPr>
        <w:spacing w:line="360" w:lineRule="auto"/>
        <w:ind w:firstLine="420" w:firstLineChars="200"/>
        <w:rPr>
          <w:rFonts w:hint="eastAsia" w:ascii="宋体" w:hAnsi="宋体" w:cs="宋体"/>
          <w:color w:val="auto"/>
          <w:szCs w:val="21"/>
          <w:highlight w:val="none"/>
        </w:rPr>
      </w:pPr>
      <w:bookmarkStart w:id="457" w:name="_Ref467379436"/>
      <w:r>
        <w:rPr>
          <w:rFonts w:hint="eastAsia" w:ascii="宋体" w:hAnsi="宋体" w:cs="宋体"/>
          <w:color w:val="auto"/>
          <w:szCs w:val="21"/>
          <w:highlight w:val="none"/>
        </w:rPr>
        <w:t>2.1.6 “现场”系指合同约定货物将要运至或者安装的地点。</w:t>
      </w:r>
      <w:bookmarkEnd w:id="457"/>
    </w:p>
    <w:p w14:paraId="565439DD">
      <w:pPr>
        <w:spacing w:line="360" w:lineRule="auto"/>
        <w:ind w:firstLine="422" w:firstLineChars="200"/>
        <w:outlineLvl w:val="2"/>
        <w:rPr>
          <w:rFonts w:hint="eastAsia" w:ascii="宋体" w:hAnsi="宋体" w:cs="宋体"/>
          <w:b/>
          <w:color w:val="auto"/>
          <w:szCs w:val="21"/>
          <w:highlight w:val="none"/>
        </w:rPr>
      </w:pPr>
      <w:bookmarkStart w:id="458" w:name="_Toc259093670"/>
      <w:bookmarkStart w:id="459" w:name="_Toc13336"/>
      <w:bookmarkStart w:id="460" w:name="_Toc279701241"/>
      <w:bookmarkStart w:id="461" w:name="_Toc487900350"/>
      <w:bookmarkStart w:id="462" w:name="_Toc27635"/>
      <w:bookmarkStart w:id="463" w:name="_Toc32504"/>
      <w:r>
        <w:rPr>
          <w:rFonts w:hint="eastAsia" w:ascii="宋体" w:hAnsi="宋体" w:cs="宋体"/>
          <w:b/>
          <w:color w:val="auto"/>
          <w:szCs w:val="21"/>
          <w:highlight w:val="none"/>
        </w:rPr>
        <w:t>2.2 技术规范</w:t>
      </w:r>
      <w:bookmarkEnd w:id="458"/>
      <w:bookmarkEnd w:id="459"/>
      <w:bookmarkEnd w:id="460"/>
      <w:bookmarkEnd w:id="461"/>
      <w:bookmarkEnd w:id="462"/>
      <w:bookmarkEnd w:id="463"/>
    </w:p>
    <w:p w14:paraId="783CC3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E2BBAD5">
      <w:pPr>
        <w:spacing w:line="360" w:lineRule="auto"/>
        <w:ind w:firstLine="422" w:firstLineChars="200"/>
        <w:outlineLvl w:val="2"/>
        <w:rPr>
          <w:rFonts w:hint="eastAsia" w:ascii="宋体" w:hAnsi="宋体" w:cs="宋体"/>
          <w:b/>
          <w:color w:val="auto"/>
          <w:szCs w:val="21"/>
          <w:highlight w:val="none"/>
        </w:rPr>
      </w:pPr>
      <w:bookmarkStart w:id="464" w:name="_Toc9829"/>
      <w:bookmarkStart w:id="465" w:name="_Toc279701242"/>
      <w:bookmarkStart w:id="466" w:name="_Toc487900351"/>
      <w:bookmarkStart w:id="467" w:name="_Toc259093671"/>
      <w:bookmarkStart w:id="468" w:name="_Toc31634"/>
      <w:bookmarkStart w:id="469" w:name="_Toc27853"/>
      <w:r>
        <w:rPr>
          <w:rFonts w:hint="eastAsia" w:ascii="宋体" w:hAnsi="宋体" w:cs="宋体"/>
          <w:b/>
          <w:color w:val="auto"/>
          <w:szCs w:val="21"/>
          <w:highlight w:val="none"/>
        </w:rPr>
        <w:t>2.3 知识产权</w:t>
      </w:r>
      <w:bookmarkEnd w:id="464"/>
      <w:bookmarkEnd w:id="465"/>
      <w:bookmarkEnd w:id="466"/>
      <w:bookmarkEnd w:id="467"/>
      <w:bookmarkEnd w:id="468"/>
      <w:bookmarkEnd w:id="469"/>
    </w:p>
    <w:p w14:paraId="7EAB68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Cs w:val="21"/>
          <w:highlight w:val="none"/>
        </w:rPr>
        <w:t>乙方还应及时澄清相关信息，使甲方声誉免受损害，甲方保留追责的权利。</w:t>
      </w:r>
    </w:p>
    <w:p w14:paraId="10CD33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2.3.2具有知识产权的计算机软件等货物的知识产权归属，详见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2B3EAF11">
      <w:pPr>
        <w:spacing w:line="360" w:lineRule="auto"/>
        <w:ind w:firstLine="422" w:firstLineChars="200"/>
        <w:outlineLvl w:val="2"/>
        <w:rPr>
          <w:rFonts w:hint="eastAsia" w:ascii="宋体" w:hAnsi="宋体" w:cs="宋体"/>
          <w:b/>
          <w:color w:val="auto"/>
          <w:szCs w:val="21"/>
          <w:highlight w:val="none"/>
        </w:rPr>
      </w:pPr>
      <w:bookmarkStart w:id="470" w:name="_Toc11932"/>
      <w:bookmarkStart w:id="471" w:name="_Toc29149"/>
      <w:bookmarkStart w:id="472" w:name="_Toc4194"/>
      <w:r>
        <w:rPr>
          <w:rFonts w:hint="eastAsia" w:ascii="宋体" w:hAnsi="宋体" w:cs="宋体"/>
          <w:b/>
          <w:color w:val="auto"/>
          <w:szCs w:val="21"/>
          <w:highlight w:val="none"/>
        </w:rPr>
        <w:t>2.4 包装和装运</w:t>
      </w:r>
      <w:bookmarkEnd w:id="470"/>
      <w:bookmarkEnd w:id="471"/>
      <w:bookmarkEnd w:id="472"/>
    </w:p>
    <w:p w14:paraId="1ECEDD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2.4.1除</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11AAF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7C50A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 装运货物的要求和通知，详见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5D40DEAB">
      <w:pPr>
        <w:spacing w:line="360" w:lineRule="auto"/>
        <w:ind w:firstLine="422" w:firstLineChars="200"/>
        <w:outlineLvl w:val="2"/>
        <w:rPr>
          <w:rFonts w:hint="eastAsia" w:ascii="宋体" w:hAnsi="宋体" w:cs="宋体"/>
          <w:b/>
          <w:color w:val="auto"/>
          <w:szCs w:val="21"/>
          <w:highlight w:val="none"/>
        </w:rPr>
      </w:pPr>
      <w:bookmarkStart w:id="473" w:name="_Ref467378541"/>
      <w:bookmarkStart w:id="474" w:name="_Toc259093674"/>
      <w:bookmarkStart w:id="475" w:name="_Toc279701245"/>
      <w:bookmarkStart w:id="476" w:name="_Ref467379527"/>
      <w:bookmarkStart w:id="477" w:name="_Toc487900354"/>
      <w:bookmarkStart w:id="478" w:name="_Ref467378591"/>
      <w:bookmarkStart w:id="479" w:name="_Ref467379536"/>
      <w:bookmarkStart w:id="480" w:name="_Ref467379542"/>
      <w:bookmarkStart w:id="481" w:name="_Toc26182"/>
      <w:bookmarkStart w:id="482" w:name="_Toc30272"/>
      <w:bookmarkStart w:id="483" w:name="_Toc19074"/>
      <w:r>
        <w:rPr>
          <w:rFonts w:hint="eastAsia" w:ascii="宋体" w:hAnsi="宋体" w:cs="宋体"/>
          <w:b/>
          <w:color w:val="auto"/>
          <w:szCs w:val="21"/>
          <w:highlight w:val="none"/>
        </w:rPr>
        <w:t>2.</w:t>
      </w:r>
      <w:bookmarkEnd w:id="473"/>
      <w:bookmarkEnd w:id="474"/>
      <w:bookmarkEnd w:id="475"/>
      <w:bookmarkEnd w:id="476"/>
      <w:bookmarkEnd w:id="477"/>
      <w:bookmarkEnd w:id="478"/>
      <w:bookmarkEnd w:id="479"/>
      <w:bookmarkEnd w:id="480"/>
      <w:r>
        <w:rPr>
          <w:rFonts w:hint="eastAsia" w:ascii="宋体" w:hAnsi="宋体" w:cs="宋体"/>
          <w:b/>
          <w:color w:val="auto"/>
          <w:szCs w:val="21"/>
          <w:highlight w:val="none"/>
        </w:rPr>
        <w:t>5 履约检查和问题反馈</w:t>
      </w:r>
      <w:bookmarkEnd w:id="481"/>
      <w:bookmarkEnd w:id="482"/>
      <w:bookmarkEnd w:id="483"/>
    </w:p>
    <w:p w14:paraId="1CAB30E5">
      <w:pPr>
        <w:spacing w:line="360" w:lineRule="auto"/>
        <w:ind w:firstLine="420" w:firstLineChars="200"/>
        <w:rPr>
          <w:rFonts w:hint="eastAsia" w:ascii="宋体" w:hAnsi="宋体" w:cs="宋体"/>
          <w:color w:val="auto"/>
          <w:szCs w:val="21"/>
          <w:highlight w:val="none"/>
        </w:rPr>
      </w:pPr>
      <w:bookmarkStart w:id="484" w:name="_Ref467379657"/>
      <w:r>
        <w:rPr>
          <w:rFonts w:hint="eastAsia" w:ascii="宋体" w:hAnsi="宋体" w:cs="宋体"/>
          <w:color w:val="auto"/>
          <w:szCs w:val="21"/>
          <w:highlight w:val="none"/>
        </w:rPr>
        <w:t>2.5.1</w:t>
      </w:r>
      <w:bookmarkEnd w:id="484"/>
      <w:bookmarkStart w:id="485" w:name="_Toc186431854"/>
      <w:bookmarkStart w:id="486" w:name="_Ref467379807"/>
      <w:bookmarkStart w:id="487" w:name="_Ref467379793"/>
      <w:bookmarkStart w:id="488" w:name="_Toc259093676"/>
      <w:bookmarkStart w:id="489" w:name="_Toc279701247"/>
      <w:bookmarkStart w:id="490" w:name="_Toc487900357"/>
      <w:r>
        <w:rPr>
          <w:rFonts w:hint="eastAsia" w:ascii="宋体" w:hAnsi="宋体" w:cs="宋体"/>
          <w:color w:val="auto"/>
          <w:szCs w:val="21"/>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E7F94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2.5.2 合同履行期间，甲方有权将履行过程中出现的问题反馈给乙方，双方当事人应以书面形式约定需要完善和改进的内容</w:t>
      </w:r>
      <w:bookmarkEnd w:id="485"/>
      <w:bookmarkStart w:id="491" w:name="_Toc186431855"/>
      <w:r>
        <w:rPr>
          <w:rFonts w:hint="eastAsia" w:ascii="宋体" w:hAnsi="宋体" w:cs="宋体"/>
          <w:color w:val="auto"/>
          <w:szCs w:val="21"/>
          <w:highlight w:val="none"/>
        </w:rPr>
        <w:t>。</w:t>
      </w:r>
    </w:p>
    <w:bookmarkEnd w:id="486"/>
    <w:bookmarkEnd w:id="487"/>
    <w:bookmarkEnd w:id="488"/>
    <w:bookmarkEnd w:id="489"/>
    <w:bookmarkEnd w:id="490"/>
    <w:bookmarkEnd w:id="491"/>
    <w:p w14:paraId="2F7CBE50">
      <w:pPr>
        <w:spacing w:line="360" w:lineRule="auto"/>
        <w:ind w:firstLine="422" w:firstLineChars="200"/>
        <w:outlineLvl w:val="2"/>
        <w:rPr>
          <w:rFonts w:hint="eastAsia" w:ascii="宋体" w:hAnsi="宋体" w:cs="宋体"/>
          <w:b/>
          <w:color w:val="auto"/>
          <w:szCs w:val="21"/>
          <w:highlight w:val="none"/>
        </w:rPr>
      </w:pPr>
      <w:bookmarkStart w:id="492" w:name="_Toc279701248"/>
      <w:bookmarkStart w:id="493" w:name="_Ref467379852"/>
      <w:bookmarkStart w:id="494" w:name="_Ref467379863"/>
      <w:bookmarkStart w:id="495" w:name="_Toc259093677"/>
      <w:bookmarkStart w:id="496" w:name="_Ref467379923"/>
      <w:bookmarkStart w:id="497" w:name="_Toc487900358"/>
      <w:bookmarkStart w:id="498" w:name="_Toc3225"/>
      <w:bookmarkStart w:id="499" w:name="_Toc774"/>
      <w:bookmarkStart w:id="500" w:name="_Toc16110"/>
      <w:r>
        <w:rPr>
          <w:rFonts w:hint="eastAsia" w:ascii="宋体" w:hAnsi="宋体" w:cs="宋体"/>
          <w:b/>
          <w:color w:val="auto"/>
          <w:szCs w:val="21"/>
          <w:highlight w:val="none"/>
        </w:rPr>
        <w:t>2.6 技术资料</w:t>
      </w:r>
      <w:bookmarkEnd w:id="492"/>
      <w:bookmarkEnd w:id="493"/>
      <w:bookmarkEnd w:id="494"/>
      <w:bookmarkEnd w:id="495"/>
      <w:bookmarkEnd w:id="496"/>
      <w:bookmarkEnd w:id="497"/>
      <w:r>
        <w:rPr>
          <w:rFonts w:hint="eastAsia" w:ascii="宋体" w:hAnsi="宋体" w:cs="宋体"/>
          <w:b/>
          <w:color w:val="auto"/>
          <w:szCs w:val="21"/>
          <w:highlight w:val="none"/>
        </w:rPr>
        <w:t>和保密义务</w:t>
      </w:r>
      <w:bookmarkEnd w:id="498"/>
      <w:bookmarkEnd w:id="499"/>
      <w:bookmarkEnd w:id="500"/>
    </w:p>
    <w:p w14:paraId="5F9DD9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 乙方有权依据合同约定和项目需要，向甲方了解有关情况，调阅有关资料等，甲方应予积极配合；</w:t>
      </w:r>
    </w:p>
    <w:p w14:paraId="45A661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 乙方有义务妥善保管和保护由甲方提供的前款信息和资料等；</w:t>
      </w:r>
    </w:p>
    <w:p w14:paraId="1B02AE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0ECFA61">
      <w:pPr>
        <w:spacing w:line="360" w:lineRule="auto"/>
        <w:ind w:firstLine="422" w:firstLineChars="200"/>
        <w:outlineLvl w:val="2"/>
        <w:rPr>
          <w:rFonts w:hint="eastAsia" w:ascii="宋体" w:hAnsi="宋体" w:cs="宋体"/>
          <w:b/>
          <w:color w:val="auto"/>
          <w:szCs w:val="21"/>
          <w:highlight w:val="none"/>
        </w:rPr>
      </w:pPr>
      <w:bookmarkStart w:id="501" w:name="_Toc7860"/>
      <w:r>
        <w:rPr>
          <w:rFonts w:hint="eastAsia" w:ascii="宋体" w:hAnsi="宋体" w:cs="宋体"/>
          <w:b/>
          <w:color w:val="auto"/>
          <w:szCs w:val="21"/>
          <w:highlight w:val="none"/>
        </w:rPr>
        <w:t>2.7 质量保证</w:t>
      </w:r>
      <w:bookmarkEnd w:id="501"/>
    </w:p>
    <w:p w14:paraId="2E4E36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 乙方应建立和完善履行合同的内部质量保证体系，并提供相关内部规章制度给甲方，以便甲方进行监督检查；</w:t>
      </w:r>
    </w:p>
    <w:p w14:paraId="09908F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 乙方应保证履行合同的人员数量和素质、软件和硬件设备的配置、场地、环境和设施等满足全面履行合同的要求，并应接受甲方的监督检查。</w:t>
      </w:r>
    </w:p>
    <w:p w14:paraId="09D84365">
      <w:pPr>
        <w:spacing w:line="360" w:lineRule="auto"/>
        <w:ind w:firstLine="422" w:firstLineChars="200"/>
        <w:outlineLvl w:val="2"/>
        <w:rPr>
          <w:rFonts w:hint="eastAsia" w:ascii="宋体" w:hAnsi="宋体" w:cs="宋体"/>
          <w:b/>
          <w:color w:val="auto"/>
          <w:szCs w:val="21"/>
          <w:highlight w:val="none"/>
        </w:rPr>
      </w:pPr>
      <w:bookmarkStart w:id="502" w:name="_Toc17244"/>
      <w:bookmarkStart w:id="503" w:name="_Toc259093681"/>
      <w:bookmarkStart w:id="504" w:name="_Toc487900362"/>
      <w:bookmarkStart w:id="505" w:name="_Toc279701252"/>
      <w:r>
        <w:rPr>
          <w:rFonts w:hint="eastAsia" w:ascii="宋体" w:hAnsi="宋体" w:cs="宋体"/>
          <w:b/>
          <w:color w:val="auto"/>
          <w:szCs w:val="21"/>
          <w:highlight w:val="none"/>
        </w:rPr>
        <w:t>2.8 货物的风险负担</w:t>
      </w:r>
      <w:bookmarkEnd w:id="502"/>
    </w:p>
    <w:p w14:paraId="489E290C">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货物或者在途货物或者交付给第一承运人后的货物毁损、灭失的风险负担详见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76998367">
      <w:pPr>
        <w:spacing w:line="360" w:lineRule="auto"/>
        <w:ind w:firstLine="422" w:firstLineChars="200"/>
        <w:outlineLvl w:val="2"/>
        <w:rPr>
          <w:rFonts w:hint="eastAsia" w:ascii="宋体" w:hAnsi="宋体" w:cs="宋体"/>
          <w:b/>
          <w:color w:val="auto"/>
          <w:szCs w:val="21"/>
          <w:highlight w:val="none"/>
        </w:rPr>
      </w:pPr>
      <w:bookmarkStart w:id="506" w:name="_Toc14055"/>
      <w:r>
        <w:rPr>
          <w:rFonts w:hint="eastAsia" w:ascii="宋体" w:hAnsi="宋体" w:cs="宋体"/>
          <w:b/>
          <w:color w:val="auto"/>
          <w:szCs w:val="21"/>
          <w:highlight w:val="none"/>
        </w:rPr>
        <w:t>2.9 延迟交货</w:t>
      </w:r>
      <w:bookmarkEnd w:id="503"/>
      <w:bookmarkEnd w:id="504"/>
      <w:bookmarkEnd w:id="505"/>
      <w:bookmarkEnd w:id="506"/>
    </w:p>
    <w:p w14:paraId="7A5302A5">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甲乙双方签订合同后，乙方应按照合同约定履行合同义务，除不可抗力外，乙方不得延迟交货。</w:t>
      </w:r>
      <w:r>
        <w:rPr>
          <w:rFonts w:hint="eastAsia" w:ascii="宋体" w:hAnsi="宋体" w:cs="宋体"/>
          <w:color w:val="auto"/>
          <w:szCs w:val="21"/>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D997A70">
      <w:pPr>
        <w:spacing w:line="360" w:lineRule="auto"/>
        <w:ind w:firstLine="422" w:firstLineChars="200"/>
        <w:outlineLvl w:val="2"/>
        <w:rPr>
          <w:rFonts w:hint="eastAsia" w:ascii="宋体" w:hAnsi="宋体" w:cs="宋体"/>
          <w:b/>
          <w:color w:val="auto"/>
          <w:szCs w:val="21"/>
          <w:highlight w:val="none"/>
        </w:rPr>
      </w:pPr>
      <w:bookmarkStart w:id="507" w:name="_Toc7502"/>
      <w:bookmarkStart w:id="508" w:name="_Toc279701254"/>
      <w:bookmarkStart w:id="509" w:name="_Ref467378121"/>
      <w:bookmarkStart w:id="510" w:name="_Toc487900364"/>
      <w:bookmarkStart w:id="511" w:name="_Toc259093683"/>
      <w:r>
        <w:rPr>
          <w:rFonts w:hint="eastAsia" w:ascii="宋体" w:hAnsi="宋体" w:cs="宋体"/>
          <w:b/>
          <w:color w:val="auto"/>
          <w:szCs w:val="21"/>
          <w:highlight w:val="none"/>
        </w:rPr>
        <w:t>2.10 合同变更</w:t>
      </w:r>
      <w:bookmarkEnd w:id="507"/>
    </w:p>
    <w:p w14:paraId="63FAF6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合同继续履行将损害国家利益和社会公共利益的，双方当事人应当以书面形式变更合同。有过错的一方应当承担赔偿责任，双方当事人都有过错的，各自承担相应的责任。</w:t>
      </w:r>
      <w:bookmarkStart w:id="512" w:name="_Toc487900369"/>
      <w:bookmarkStart w:id="513" w:name="_Toc279701259"/>
      <w:bookmarkStart w:id="514" w:name="_Toc259093688"/>
    </w:p>
    <w:p w14:paraId="2DC8AD9D">
      <w:pPr>
        <w:spacing w:line="360" w:lineRule="auto"/>
        <w:ind w:firstLine="422" w:firstLineChars="200"/>
        <w:outlineLvl w:val="2"/>
        <w:rPr>
          <w:rFonts w:hint="eastAsia" w:ascii="宋体" w:hAnsi="宋体" w:cs="宋体"/>
          <w:b/>
          <w:color w:val="auto"/>
          <w:szCs w:val="21"/>
          <w:highlight w:val="none"/>
        </w:rPr>
      </w:pPr>
      <w:bookmarkStart w:id="515" w:name="_Toc15237"/>
      <w:bookmarkStart w:id="516" w:name="_Toc22955"/>
      <w:bookmarkStart w:id="517" w:name="_Toc10366"/>
      <w:r>
        <w:rPr>
          <w:rFonts w:hint="eastAsia" w:ascii="宋体" w:hAnsi="宋体" w:cs="宋体"/>
          <w:b/>
          <w:color w:val="auto"/>
          <w:szCs w:val="21"/>
          <w:highlight w:val="none"/>
        </w:rPr>
        <w:t>2.11 合同转让</w:t>
      </w:r>
      <w:bookmarkEnd w:id="512"/>
      <w:bookmarkEnd w:id="513"/>
      <w:bookmarkEnd w:id="514"/>
      <w:r>
        <w:rPr>
          <w:rFonts w:hint="eastAsia" w:ascii="宋体" w:hAnsi="宋体" w:cs="宋体"/>
          <w:b/>
          <w:color w:val="auto"/>
          <w:szCs w:val="21"/>
          <w:highlight w:val="none"/>
        </w:rPr>
        <w:t>和分包</w:t>
      </w:r>
      <w:bookmarkEnd w:id="515"/>
      <w:bookmarkEnd w:id="516"/>
      <w:bookmarkEnd w:id="517"/>
    </w:p>
    <w:p w14:paraId="06B923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789FF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2.11.2乙方采取分包方式履行合同的，甲方可直接向分包供应商支付款项。</w:t>
      </w:r>
    </w:p>
    <w:p w14:paraId="540C72C5">
      <w:pPr>
        <w:spacing w:line="360" w:lineRule="auto"/>
        <w:ind w:firstLine="422" w:firstLineChars="200"/>
        <w:outlineLvl w:val="2"/>
        <w:rPr>
          <w:rFonts w:hint="eastAsia" w:ascii="宋体" w:hAnsi="宋体" w:cs="宋体"/>
          <w:b/>
          <w:color w:val="auto"/>
          <w:szCs w:val="21"/>
          <w:highlight w:val="none"/>
        </w:rPr>
      </w:pPr>
      <w:bookmarkStart w:id="518" w:name="_Toc14066"/>
      <w:bookmarkStart w:id="519" w:name="_Toc16508"/>
      <w:bookmarkStart w:id="520" w:name="_Toc13566"/>
      <w:r>
        <w:rPr>
          <w:rFonts w:hint="eastAsia" w:ascii="宋体" w:hAnsi="宋体" w:cs="宋体"/>
          <w:b/>
          <w:color w:val="auto"/>
          <w:szCs w:val="21"/>
          <w:highlight w:val="none"/>
        </w:rPr>
        <w:t>2.12 不可抗力</w:t>
      </w:r>
      <w:bookmarkEnd w:id="518"/>
      <w:bookmarkEnd w:id="519"/>
      <w:bookmarkEnd w:id="520"/>
    </w:p>
    <w:p w14:paraId="7C9BBF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2.12.1如果任何一方遭遇法律规定的不可抗力，致使合同履行受阻时，履行合同的期限应予延长，延长的期限应相当于不可抗力所影响的时间；</w:t>
      </w:r>
    </w:p>
    <w:p w14:paraId="7E179D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2.12.2 因不可抗力致使不能实现合同目的的，当事人可以解除合同；</w:t>
      </w:r>
    </w:p>
    <w:p w14:paraId="6AF41B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2.12.3 因不可抗力致使合同有变更必要的，双方当事人应在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约定时间内以书面形式变更合同；</w:t>
      </w:r>
    </w:p>
    <w:p w14:paraId="31D7E0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2.12.4受不可抗力影响的一方在不可抗力发生后，应在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约定时间内以书面形式通知对方当事人，并在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约定时间内，将有关部门出具的证明文件送达对方当事人。</w:t>
      </w:r>
    </w:p>
    <w:p w14:paraId="41C957D7">
      <w:pPr>
        <w:spacing w:line="360" w:lineRule="auto"/>
        <w:ind w:firstLine="422" w:firstLineChars="200"/>
        <w:outlineLvl w:val="2"/>
        <w:rPr>
          <w:rFonts w:hint="eastAsia" w:ascii="宋体" w:hAnsi="宋体" w:cs="宋体"/>
          <w:b/>
          <w:color w:val="auto"/>
          <w:szCs w:val="21"/>
          <w:highlight w:val="none"/>
        </w:rPr>
      </w:pPr>
      <w:bookmarkStart w:id="521" w:name="_Toc279701255"/>
      <w:bookmarkStart w:id="522" w:name="_Toc6969"/>
      <w:bookmarkStart w:id="523" w:name="_Toc30676"/>
      <w:bookmarkStart w:id="524" w:name="_Toc487900365"/>
      <w:bookmarkStart w:id="525" w:name="_Toc689"/>
      <w:bookmarkStart w:id="526" w:name="_Toc259093684"/>
      <w:r>
        <w:rPr>
          <w:rFonts w:hint="eastAsia" w:ascii="宋体" w:hAnsi="宋体" w:cs="宋体"/>
          <w:b/>
          <w:color w:val="auto"/>
          <w:szCs w:val="21"/>
          <w:highlight w:val="none"/>
        </w:rPr>
        <w:t>2.13 税费</w:t>
      </w:r>
      <w:bookmarkEnd w:id="521"/>
      <w:bookmarkEnd w:id="522"/>
      <w:bookmarkEnd w:id="523"/>
      <w:bookmarkEnd w:id="524"/>
      <w:bookmarkEnd w:id="525"/>
      <w:bookmarkEnd w:id="526"/>
    </w:p>
    <w:p w14:paraId="643BAD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与合同有关的一切税费，均按照中华人民共和国法律的相关规定。</w:t>
      </w:r>
    </w:p>
    <w:p w14:paraId="6074F0F0">
      <w:pPr>
        <w:spacing w:line="360" w:lineRule="auto"/>
        <w:ind w:firstLine="422" w:firstLineChars="200"/>
        <w:outlineLvl w:val="2"/>
        <w:rPr>
          <w:rFonts w:hint="eastAsia" w:ascii="宋体" w:hAnsi="宋体" w:cs="宋体"/>
          <w:b/>
          <w:color w:val="auto"/>
          <w:szCs w:val="21"/>
          <w:highlight w:val="none"/>
        </w:rPr>
      </w:pPr>
      <w:bookmarkStart w:id="527" w:name="_Toc259093687"/>
      <w:bookmarkStart w:id="528" w:name="_Toc16959"/>
      <w:bookmarkStart w:id="529" w:name="_Toc279701258"/>
      <w:bookmarkStart w:id="530" w:name="_Toc8298"/>
      <w:bookmarkStart w:id="531" w:name="_Toc487900368"/>
      <w:bookmarkStart w:id="532" w:name="_Toc7102"/>
      <w:r>
        <w:rPr>
          <w:rFonts w:hint="eastAsia" w:ascii="宋体" w:hAnsi="宋体" w:cs="宋体"/>
          <w:b/>
          <w:color w:val="auto"/>
          <w:szCs w:val="21"/>
          <w:highlight w:val="none"/>
        </w:rPr>
        <w:t>2.14乙方破产</w:t>
      </w:r>
      <w:bookmarkEnd w:id="527"/>
      <w:bookmarkEnd w:id="528"/>
      <w:bookmarkEnd w:id="529"/>
      <w:bookmarkEnd w:id="530"/>
      <w:bookmarkEnd w:id="531"/>
      <w:bookmarkEnd w:id="532"/>
    </w:p>
    <w:p w14:paraId="014C12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E683D57">
      <w:pPr>
        <w:spacing w:line="360" w:lineRule="auto"/>
        <w:ind w:firstLine="422" w:firstLineChars="200"/>
        <w:outlineLvl w:val="2"/>
        <w:rPr>
          <w:rFonts w:hint="eastAsia" w:ascii="宋体" w:hAnsi="宋体" w:cs="宋体"/>
          <w:b/>
          <w:color w:val="auto"/>
          <w:szCs w:val="21"/>
          <w:highlight w:val="none"/>
        </w:rPr>
      </w:pPr>
      <w:bookmarkStart w:id="533" w:name="_Toc15387"/>
      <w:bookmarkStart w:id="534" w:name="_Toc6134"/>
      <w:bookmarkStart w:id="535" w:name="_Toc29333"/>
      <w:r>
        <w:rPr>
          <w:rFonts w:hint="eastAsia" w:ascii="宋体" w:hAnsi="宋体" w:cs="宋体"/>
          <w:b/>
          <w:color w:val="auto"/>
          <w:szCs w:val="21"/>
          <w:highlight w:val="none"/>
        </w:rPr>
        <w:t>2.15 合同中止、终止</w:t>
      </w:r>
      <w:bookmarkEnd w:id="533"/>
      <w:bookmarkEnd w:id="534"/>
      <w:bookmarkEnd w:id="535"/>
    </w:p>
    <w:p w14:paraId="600613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2.15.1 双方当事人不得擅自中止或者终止合同；</w:t>
      </w:r>
    </w:p>
    <w:p w14:paraId="641823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2.15.2合同继续履行将损害国家利益和社会公共利益的，双方当事人应当中止或者终止合同。有过错的一方应当承担赔偿责任，双方当事人都有过错的，各自承担相应的责任。</w:t>
      </w:r>
    </w:p>
    <w:p w14:paraId="0D0518DE">
      <w:pPr>
        <w:spacing w:line="360" w:lineRule="auto"/>
        <w:ind w:firstLine="422" w:firstLineChars="200"/>
        <w:outlineLvl w:val="2"/>
        <w:rPr>
          <w:rFonts w:hint="eastAsia" w:ascii="宋体" w:hAnsi="宋体" w:cs="宋体"/>
          <w:b/>
          <w:color w:val="auto"/>
          <w:szCs w:val="21"/>
          <w:highlight w:val="none"/>
        </w:rPr>
      </w:pPr>
      <w:bookmarkStart w:id="536" w:name="_Toc6596"/>
      <w:bookmarkStart w:id="537" w:name="_Toc14563"/>
      <w:bookmarkStart w:id="538" w:name="_Toc1125"/>
      <w:r>
        <w:rPr>
          <w:rFonts w:hint="eastAsia" w:ascii="宋体" w:hAnsi="宋体" w:cs="宋体"/>
          <w:b/>
          <w:color w:val="auto"/>
          <w:szCs w:val="21"/>
          <w:highlight w:val="none"/>
        </w:rPr>
        <w:t>2.16检验和验收</w:t>
      </w:r>
      <w:bookmarkEnd w:id="536"/>
      <w:bookmarkEnd w:id="537"/>
      <w:bookmarkEnd w:id="538"/>
    </w:p>
    <w:p w14:paraId="1797B526">
      <w:pPr>
        <w:tabs>
          <w:tab w:val="left" w:pos="360"/>
          <w:tab w:val="left" w:pos="540"/>
          <w:tab w:val="left" w:pos="108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约定时间内组织验收，并可依法邀请相关方参加，验收应出具验收书。</w:t>
      </w:r>
    </w:p>
    <w:p w14:paraId="320D24A2">
      <w:pPr>
        <w:tabs>
          <w:tab w:val="left" w:pos="360"/>
          <w:tab w:val="left" w:pos="540"/>
          <w:tab w:val="left" w:pos="108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D432CAC">
      <w:pPr>
        <w:tabs>
          <w:tab w:val="left" w:pos="360"/>
          <w:tab w:val="left" w:pos="540"/>
          <w:tab w:val="left" w:pos="108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2.16.3 检验和验收标准、程序等具体内容以及前述验收书的效力详见</w:t>
      </w:r>
      <w:r>
        <w:rPr>
          <w:rFonts w:hint="eastAsia" w:ascii="宋体" w:hAnsi="宋体" w:cs="宋体"/>
          <w:b/>
          <w:i/>
          <w:color w:val="auto"/>
          <w:szCs w:val="21"/>
          <w:highlight w:val="none"/>
          <w:u w:val="single"/>
        </w:rPr>
        <w:t>合同专用条款</w:t>
      </w:r>
      <w:r>
        <w:rPr>
          <w:rFonts w:hint="eastAsia" w:ascii="宋体" w:hAnsi="宋体" w:cs="宋体"/>
          <w:i/>
          <w:color w:val="auto"/>
          <w:szCs w:val="21"/>
          <w:highlight w:val="none"/>
        </w:rPr>
        <w:t>。</w:t>
      </w:r>
    </w:p>
    <w:bookmarkEnd w:id="508"/>
    <w:bookmarkEnd w:id="509"/>
    <w:bookmarkEnd w:id="510"/>
    <w:bookmarkEnd w:id="511"/>
    <w:p w14:paraId="5515A9CF">
      <w:pPr>
        <w:spacing w:line="360" w:lineRule="auto"/>
        <w:ind w:firstLine="422" w:firstLineChars="200"/>
        <w:outlineLvl w:val="2"/>
        <w:rPr>
          <w:rFonts w:hint="eastAsia" w:ascii="宋体" w:hAnsi="宋体" w:cs="宋体"/>
          <w:b/>
          <w:color w:val="auto"/>
          <w:szCs w:val="21"/>
          <w:highlight w:val="none"/>
        </w:rPr>
      </w:pPr>
      <w:bookmarkStart w:id="539" w:name="_Toc487900371"/>
      <w:bookmarkStart w:id="540" w:name="_Toc279701261"/>
      <w:bookmarkStart w:id="541" w:name="_Toc259093690"/>
      <w:bookmarkStart w:id="542" w:name="_Toc25182"/>
      <w:bookmarkStart w:id="543" w:name="_Toc19604"/>
      <w:bookmarkStart w:id="544" w:name="_Toc11284"/>
      <w:r>
        <w:rPr>
          <w:rFonts w:hint="eastAsia" w:ascii="宋体" w:hAnsi="宋体" w:cs="宋体"/>
          <w:b/>
          <w:color w:val="auto"/>
          <w:szCs w:val="21"/>
          <w:highlight w:val="none"/>
        </w:rPr>
        <w:t>2.17 通知</w:t>
      </w:r>
      <w:bookmarkEnd w:id="539"/>
      <w:bookmarkEnd w:id="540"/>
      <w:bookmarkEnd w:id="541"/>
      <w:r>
        <w:rPr>
          <w:rFonts w:hint="eastAsia" w:ascii="宋体" w:hAnsi="宋体" w:cs="宋体"/>
          <w:b/>
          <w:color w:val="auto"/>
          <w:szCs w:val="21"/>
          <w:highlight w:val="none"/>
        </w:rPr>
        <w:t>和送达</w:t>
      </w:r>
      <w:bookmarkEnd w:id="542"/>
      <w:bookmarkEnd w:id="543"/>
      <w:bookmarkEnd w:id="544"/>
    </w:p>
    <w:p w14:paraId="3B20568C">
      <w:pPr>
        <w:spacing w:line="360" w:lineRule="auto"/>
        <w:ind w:firstLine="420" w:firstLineChars="200"/>
        <w:rPr>
          <w:rFonts w:hint="eastAsia" w:ascii="宋体" w:hAnsi="宋体" w:cs="宋体"/>
          <w:color w:val="auto"/>
          <w:szCs w:val="21"/>
          <w:highlight w:val="none"/>
        </w:rPr>
      </w:pPr>
      <w:bookmarkStart w:id="545" w:name="_Toc3135"/>
      <w:bookmarkStart w:id="546" w:name="_Toc6698"/>
      <w:bookmarkStart w:id="547" w:name="_Toc487900372"/>
      <w:bookmarkStart w:id="548" w:name="_Toc279701262"/>
      <w:bookmarkStart w:id="549" w:name="_Toc259093691"/>
      <w:r>
        <w:rPr>
          <w:rFonts w:hint="eastAsia" w:ascii="宋体" w:hAnsi="宋体" w:cs="宋体"/>
          <w:color w:val="auto"/>
          <w:szCs w:val="21"/>
          <w:highlight w:val="none"/>
        </w:rPr>
        <w:t xml:space="preserve">2.17.1任何一方因履行合同而以合同第一部分尾部所列明的传真或电子邮件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发出的所有通知、文件、材料，均视为已向对方当事人送达；任何一方变更上述送达方式或者地址的，应于</w:t>
      </w:r>
      <w:r>
        <w:rPr>
          <w:rFonts w:hint="eastAsia" w:ascii="宋体" w:hAnsi="宋体" w:cs="宋体"/>
          <w:color w:val="auto"/>
          <w:szCs w:val="21"/>
          <w:highlight w:val="none"/>
          <w:u w:val="single"/>
        </w:rPr>
        <w:t>3</w:t>
      </w:r>
      <w:r>
        <w:rPr>
          <w:rFonts w:hint="eastAsia" w:ascii="宋体" w:hAnsi="宋体" w:cs="宋体"/>
          <w:color w:val="auto"/>
          <w:szCs w:val="21"/>
          <w:highlight w:val="none"/>
        </w:rPr>
        <w:t>个工作日内书面通知对方当事人，在对方当事人收到有关变更通知之前，变更前的约定送达方式或者地址仍视为有效。</w:t>
      </w:r>
      <w:bookmarkEnd w:id="545"/>
      <w:bookmarkEnd w:id="546"/>
    </w:p>
    <w:p w14:paraId="62A5055C">
      <w:pPr>
        <w:spacing w:line="360" w:lineRule="auto"/>
        <w:ind w:firstLine="420" w:firstLineChars="200"/>
        <w:rPr>
          <w:rFonts w:hint="eastAsia" w:ascii="宋体" w:hAnsi="宋体" w:cs="宋体"/>
          <w:color w:val="auto"/>
          <w:szCs w:val="21"/>
          <w:highlight w:val="none"/>
        </w:rPr>
      </w:pPr>
      <w:bookmarkStart w:id="550" w:name="_Toc23128"/>
      <w:bookmarkStart w:id="551" w:name="_Toc23294"/>
      <w:r>
        <w:rPr>
          <w:rFonts w:hint="eastAsia" w:ascii="宋体" w:hAnsi="宋体" w:cs="宋体"/>
          <w:color w:val="auto"/>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0"/>
      <w:bookmarkEnd w:id="551"/>
    </w:p>
    <w:p w14:paraId="6FCB85B7">
      <w:pPr>
        <w:spacing w:line="360" w:lineRule="auto"/>
        <w:ind w:firstLine="422" w:firstLineChars="200"/>
        <w:outlineLvl w:val="2"/>
        <w:rPr>
          <w:rFonts w:hint="eastAsia" w:ascii="宋体" w:hAnsi="宋体" w:cs="宋体"/>
          <w:b/>
          <w:color w:val="auto"/>
          <w:szCs w:val="21"/>
          <w:highlight w:val="none"/>
        </w:rPr>
      </w:pPr>
      <w:bookmarkStart w:id="552" w:name="_Toc30599"/>
      <w:bookmarkStart w:id="553" w:name="_Toc4355"/>
      <w:bookmarkStart w:id="554" w:name="_Toc18540"/>
      <w:r>
        <w:rPr>
          <w:rFonts w:hint="eastAsia" w:ascii="宋体" w:hAnsi="宋体" w:cs="宋体"/>
          <w:b/>
          <w:color w:val="auto"/>
          <w:szCs w:val="21"/>
          <w:highlight w:val="none"/>
        </w:rPr>
        <w:t>2.18 计量单位</w:t>
      </w:r>
      <w:bookmarkEnd w:id="547"/>
      <w:bookmarkEnd w:id="548"/>
      <w:bookmarkEnd w:id="549"/>
      <w:bookmarkEnd w:id="552"/>
      <w:bookmarkEnd w:id="553"/>
      <w:bookmarkEnd w:id="554"/>
    </w:p>
    <w:p w14:paraId="6DD5C1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除技术规范中另有规定外,合同的计量单位均使用国家法定计量单位。</w:t>
      </w:r>
    </w:p>
    <w:p w14:paraId="3C7BAD14">
      <w:pPr>
        <w:spacing w:line="360" w:lineRule="auto"/>
        <w:ind w:firstLine="422" w:firstLineChars="200"/>
        <w:outlineLvl w:val="2"/>
        <w:rPr>
          <w:rFonts w:hint="eastAsia" w:ascii="宋体" w:hAnsi="宋体" w:cs="宋体"/>
          <w:b/>
          <w:color w:val="auto"/>
          <w:szCs w:val="21"/>
          <w:highlight w:val="none"/>
        </w:rPr>
      </w:pPr>
      <w:bookmarkStart w:id="555" w:name="_Toc279701263"/>
      <w:bookmarkStart w:id="556" w:name="_Toc18567"/>
      <w:bookmarkStart w:id="557" w:name="_Toc487900373"/>
      <w:bookmarkStart w:id="558" w:name="_Toc259093692"/>
      <w:bookmarkStart w:id="559" w:name="_Toc12773"/>
      <w:bookmarkStart w:id="560" w:name="_Toc10330"/>
      <w:r>
        <w:rPr>
          <w:rFonts w:hint="eastAsia" w:ascii="宋体" w:hAnsi="宋体" w:cs="宋体"/>
          <w:b/>
          <w:color w:val="auto"/>
          <w:szCs w:val="21"/>
          <w:highlight w:val="none"/>
        </w:rPr>
        <w:t>2.19 合同使用的文字和适用的法律</w:t>
      </w:r>
      <w:bookmarkEnd w:id="555"/>
      <w:bookmarkEnd w:id="556"/>
      <w:bookmarkEnd w:id="557"/>
      <w:bookmarkEnd w:id="558"/>
      <w:bookmarkEnd w:id="559"/>
      <w:bookmarkEnd w:id="560"/>
    </w:p>
    <w:p w14:paraId="6FABB8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2.19.1 合同使用汉语书写、变更和解释；</w:t>
      </w:r>
    </w:p>
    <w:p w14:paraId="29C27D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2.19.2 合同适用中华人民共和国法律。</w:t>
      </w:r>
    </w:p>
    <w:p w14:paraId="25476A7A">
      <w:pPr>
        <w:spacing w:line="360" w:lineRule="auto"/>
        <w:ind w:firstLine="422" w:firstLineChars="200"/>
        <w:outlineLvl w:val="2"/>
        <w:rPr>
          <w:rFonts w:hint="eastAsia" w:ascii="宋体" w:hAnsi="宋体" w:cs="宋体"/>
          <w:b/>
          <w:color w:val="auto"/>
          <w:szCs w:val="21"/>
          <w:highlight w:val="none"/>
        </w:rPr>
      </w:pPr>
      <w:bookmarkStart w:id="561" w:name="_Toc14001"/>
      <w:bookmarkStart w:id="562" w:name="_Toc19890"/>
      <w:bookmarkStart w:id="563" w:name="_Toc6885"/>
      <w:r>
        <w:rPr>
          <w:rFonts w:hint="eastAsia" w:ascii="宋体" w:hAnsi="宋体" w:cs="宋体"/>
          <w:b/>
          <w:color w:val="auto"/>
          <w:szCs w:val="21"/>
          <w:highlight w:val="none"/>
        </w:rPr>
        <w:t>2.20 合同份数</w:t>
      </w:r>
      <w:bookmarkEnd w:id="561"/>
      <w:bookmarkEnd w:id="562"/>
      <w:bookmarkEnd w:id="563"/>
    </w:p>
    <w:p w14:paraId="3FCC9E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合同份数按</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规定，每份均具有同等法律效力。</w:t>
      </w:r>
    </w:p>
    <w:p w14:paraId="27D9B50B">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660334EB">
      <w:pPr>
        <w:pStyle w:val="5"/>
        <w:ind w:firstLine="562"/>
        <w:jc w:val="center"/>
        <w:rPr>
          <w:rFonts w:hint="eastAsia"/>
          <w:color w:val="auto"/>
          <w:sz w:val="28"/>
          <w:szCs w:val="28"/>
          <w:highlight w:val="none"/>
        </w:rPr>
      </w:pPr>
      <w:r>
        <w:rPr>
          <w:rFonts w:hint="eastAsia"/>
          <w:color w:val="auto"/>
          <w:sz w:val="28"/>
          <w:szCs w:val="28"/>
          <w:highlight w:val="none"/>
        </w:rPr>
        <w:t>第三部分  合同专用条款</w:t>
      </w:r>
    </w:p>
    <w:p w14:paraId="241217FB">
      <w:pPr>
        <w:spacing w:line="360" w:lineRule="auto"/>
        <w:ind w:right="-2"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851"/>
        <w:gridCol w:w="8275"/>
      </w:tblGrid>
      <w:tr w14:paraId="2FEC93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466" w:type="pct"/>
            <w:tcBorders>
              <w:tl2br w:val="nil"/>
              <w:tr2bl w:val="nil"/>
            </w:tcBorders>
            <w:vAlign w:val="center"/>
          </w:tcPr>
          <w:p w14:paraId="652EAE48">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4533" w:type="pct"/>
            <w:tcBorders>
              <w:tl2br w:val="nil"/>
              <w:tr2bl w:val="nil"/>
            </w:tcBorders>
            <w:vAlign w:val="center"/>
          </w:tcPr>
          <w:p w14:paraId="4AE0DF8A">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约定内容</w:t>
            </w:r>
          </w:p>
        </w:tc>
      </w:tr>
      <w:tr w14:paraId="4B7A2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6" w:type="pct"/>
            <w:tcBorders>
              <w:tl2br w:val="nil"/>
              <w:tr2bl w:val="nil"/>
            </w:tcBorders>
            <w:vAlign w:val="center"/>
          </w:tcPr>
          <w:p w14:paraId="21EC950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.4.2</w:t>
            </w:r>
          </w:p>
        </w:tc>
        <w:tc>
          <w:tcPr>
            <w:tcW w:w="4533" w:type="pct"/>
            <w:tcBorders>
              <w:tl2br w:val="nil"/>
              <w:tr2bl w:val="nil"/>
            </w:tcBorders>
            <w:vAlign w:val="center"/>
          </w:tcPr>
          <w:p w14:paraId="0C1CE497">
            <w:pPr>
              <w:spacing w:line="360" w:lineRule="auto"/>
              <w:rPr>
                <w:rFonts w:hint="eastAsia" w:ascii="宋体" w:hAnsi="宋体" w:cs="宋体"/>
                <w:b/>
                <w:bCs/>
                <w:color w:val="auto"/>
                <w:szCs w:val="21"/>
                <w:highlight w:val="none"/>
              </w:rPr>
            </w:pPr>
            <w:r>
              <w:rPr>
                <w:rFonts w:hint="eastAsia" w:ascii="宋体" w:hAnsi="宋体" w:cs="宋体"/>
                <w:b/>
                <w:bCs/>
                <w:color w:val="auto"/>
                <w:kern w:val="0"/>
                <w:szCs w:val="21"/>
                <w:highlight w:val="none"/>
              </w:rPr>
              <w:t>履约保证金支付方式：</w:t>
            </w:r>
            <w:r>
              <w:rPr>
                <w:rFonts w:hint="eastAsia" w:ascii="宋体" w:hAnsi="宋体" w:cs="宋体"/>
                <w:color w:val="auto"/>
                <w:szCs w:val="21"/>
                <w:highlight w:val="none"/>
              </w:rPr>
              <w:t>本项目无履约保证金。</w:t>
            </w:r>
          </w:p>
        </w:tc>
      </w:tr>
      <w:tr w14:paraId="72E472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6" w:type="pct"/>
            <w:tcBorders>
              <w:tl2br w:val="nil"/>
              <w:tr2bl w:val="nil"/>
            </w:tcBorders>
            <w:vAlign w:val="center"/>
          </w:tcPr>
          <w:p w14:paraId="277E612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.5.1</w:t>
            </w:r>
          </w:p>
        </w:tc>
        <w:tc>
          <w:tcPr>
            <w:tcW w:w="4533" w:type="pct"/>
            <w:tcBorders>
              <w:tl2br w:val="nil"/>
              <w:tr2bl w:val="nil"/>
            </w:tcBorders>
            <w:vAlign w:val="center"/>
          </w:tcPr>
          <w:p w14:paraId="36620D94">
            <w:pPr>
              <w:spacing w:line="360" w:lineRule="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预付款比例、支付方式、时间：</w:t>
            </w:r>
            <w:r>
              <w:rPr>
                <w:rFonts w:hint="eastAsia" w:ascii="宋体" w:hAnsi="宋体" w:cs="宋体"/>
                <w:bCs/>
                <w:color w:val="auto"/>
                <w:szCs w:val="21"/>
                <w:highlight w:val="none"/>
              </w:rPr>
              <w:t>合同生效以及具备实施条件且财政资金下达后5个工作日内，采购人向中标人支付合同总额的50%作为预付款。</w:t>
            </w:r>
            <w:r>
              <w:rPr>
                <w:rFonts w:hint="eastAsia" w:ascii="宋体" w:hAnsi="宋体" w:cs="宋体"/>
                <w:color w:val="auto"/>
                <w:kern w:val="0"/>
                <w:szCs w:val="21"/>
                <w:highlight w:val="none"/>
              </w:rPr>
              <w:t>（在签订合同时，乙方明确表示无需预付款或者主动要求降低预付款比例的，可不适用该规定）</w:t>
            </w:r>
          </w:p>
          <w:p w14:paraId="6AAFBCA2">
            <w:pPr>
              <w:pStyle w:val="5"/>
              <w:ind w:firstLine="0" w:firstLineChars="0"/>
              <w:rPr>
                <w:rFonts w:hint="eastAsia"/>
                <w:color w:val="auto"/>
                <w:sz w:val="21"/>
                <w:szCs w:val="21"/>
                <w:highlight w:val="none"/>
                <w:lang w:val="en-US"/>
              </w:rPr>
            </w:pPr>
            <w:r>
              <w:rPr>
                <w:rFonts w:hint="eastAsia" w:ascii="宋体" w:hAnsi="宋体" w:cs="宋体"/>
                <w:color w:val="auto"/>
                <w:sz w:val="21"/>
                <w:szCs w:val="21"/>
                <w:highlight w:val="none"/>
              </w:rPr>
              <w:t>注：以上付款时间是指采购人（甲方）完成向财政部门申报支付手续的时间，财政部门审查及实际支付可能造成的时间延误不视为采购人（甲方）违约。</w:t>
            </w:r>
          </w:p>
        </w:tc>
      </w:tr>
      <w:tr w14:paraId="79E25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6" w:type="pct"/>
            <w:tcBorders>
              <w:tl2br w:val="nil"/>
              <w:tr2bl w:val="nil"/>
            </w:tcBorders>
            <w:vAlign w:val="center"/>
          </w:tcPr>
          <w:p w14:paraId="4116495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.5.2</w:t>
            </w:r>
          </w:p>
        </w:tc>
        <w:tc>
          <w:tcPr>
            <w:tcW w:w="4533" w:type="pct"/>
            <w:tcBorders>
              <w:tl2br w:val="nil"/>
              <w:tr2bl w:val="nil"/>
            </w:tcBorders>
            <w:vAlign w:val="center"/>
          </w:tcPr>
          <w:p w14:paraId="0F097BE2">
            <w:pPr>
              <w:snapToGrid w:val="0"/>
              <w:spacing w:line="360" w:lineRule="auto"/>
              <w:rPr>
                <w:rFonts w:hint="eastAsia" w:ascii="宋体" w:hAnsi="宋体" w:cs="宋体"/>
                <w:b/>
                <w:bCs/>
                <w:color w:val="auto"/>
                <w:kern w:val="0"/>
                <w:szCs w:val="21"/>
                <w:highlight w:val="none"/>
              </w:rPr>
            </w:pPr>
            <w:r>
              <w:rPr>
                <w:rFonts w:hint="eastAsia" w:ascii="宋体" w:hAnsi="宋体" w:cs="宋体"/>
                <w:b/>
                <w:bCs/>
                <w:color w:val="auto"/>
                <w:szCs w:val="21"/>
                <w:highlight w:val="none"/>
              </w:rPr>
              <w:t>预付款的扣回方式：</w:t>
            </w:r>
            <w:r>
              <w:rPr>
                <w:rFonts w:hint="eastAsia" w:ascii="宋体" w:hAnsi="宋体" w:cs="宋体"/>
                <w:color w:val="auto"/>
                <w:szCs w:val="21"/>
                <w:highlight w:val="none"/>
              </w:rPr>
              <w:t>预付款不扣回。</w:t>
            </w:r>
          </w:p>
        </w:tc>
      </w:tr>
      <w:tr w14:paraId="6D0EE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6" w:type="pct"/>
            <w:tcBorders>
              <w:tl2br w:val="nil"/>
              <w:tr2bl w:val="nil"/>
            </w:tcBorders>
            <w:vAlign w:val="center"/>
          </w:tcPr>
          <w:p w14:paraId="7AB13E7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w:t>
            </w:r>
          </w:p>
        </w:tc>
        <w:tc>
          <w:tcPr>
            <w:tcW w:w="4533" w:type="pct"/>
            <w:tcBorders>
              <w:tl2br w:val="nil"/>
              <w:tr2bl w:val="nil"/>
            </w:tcBorders>
            <w:vAlign w:val="center"/>
          </w:tcPr>
          <w:p w14:paraId="7CB5FF45">
            <w:pPr>
              <w:snapToGrid w:val="0"/>
              <w:spacing w:line="360" w:lineRule="auto"/>
              <w:rPr>
                <w:rFonts w:hint="eastAsia" w:ascii="宋体" w:hAnsi="宋体" w:cs="宋体"/>
                <w:b/>
                <w:bCs/>
                <w:color w:val="auto"/>
                <w:kern w:val="0"/>
                <w:szCs w:val="21"/>
                <w:highlight w:val="none"/>
              </w:rPr>
            </w:pPr>
            <w:r>
              <w:rPr>
                <w:rFonts w:hint="eastAsia" w:ascii="宋体" w:hAnsi="宋体" w:cs="宋体"/>
                <w:b/>
                <w:bCs/>
                <w:color w:val="auto"/>
                <w:szCs w:val="21"/>
                <w:highlight w:val="none"/>
              </w:rPr>
              <w:t>预付款的担保措施：</w:t>
            </w:r>
            <w:r>
              <w:rPr>
                <w:rFonts w:hint="eastAsia" w:ascii="宋体" w:hAnsi="宋体" w:cs="宋体"/>
                <w:color w:val="auto"/>
                <w:szCs w:val="21"/>
                <w:highlight w:val="none"/>
              </w:rPr>
              <w:t>无需提交预付款担保。</w:t>
            </w:r>
          </w:p>
        </w:tc>
      </w:tr>
      <w:tr w14:paraId="7B4A5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6" w:type="pct"/>
            <w:tcBorders>
              <w:tl2br w:val="nil"/>
              <w:tr2bl w:val="nil"/>
            </w:tcBorders>
            <w:vAlign w:val="center"/>
          </w:tcPr>
          <w:p w14:paraId="6F06647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6.2</w:t>
            </w:r>
          </w:p>
        </w:tc>
        <w:tc>
          <w:tcPr>
            <w:tcW w:w="4533" w:type="pct"/>
            <w:tcBorders>
              <w:tl2br w:val="nil"/>
              <w:tr2bl w:val="nil"/>
            </w:tcBorders>
            <w:vAlign w:val="center"/>
          </w:tcPr>
          <w:p w14:paraId="6348AD33">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资金支付的方式、时间和条件：</w:t>
            </w:r>
          </w:p>
          <w:p w14:paraId="76296F7E">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1.合同生效以及具备实施条件且财政资金下达后5个工作日内，采购人向中标人支付合同总额的5</w:t>
            </w:r>
            <w:r>
              <w:rPr>
                <w:rFonts w:ascii="宋体" w:hAnsi="宋体" w:cs="宋体"/>
                <w:bCs/>
                <w:color w:val="auto"/>
                <w:szCs w:val="21"/>
                <w:highlight w:val="none"/>
              </w:rPr>
              <w:t>0</w:t>
            </w:r>
            <w:r>
              <w:rPr>
                <w:rFonts w:hint="eastAsia" w:ascii="宋体" w:hAnsi="宋体" w:cs="宋体"/>
                <w:bCs/>
                <w:color w:val="auto"/>
                <w:szCs w:val="21"/>
                <w:highlight w:val="none"/>
              </w:rPr>
              <w:t>%作为预付款。</w:t>
            </w:r>
          </w:p>
          <w:p w14:paraId="2EA7192E">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2.项目验收合格后，具备支付条件5个工作日内，采购人向中标人支付合同数额的45%。</w:t>
            </w:r>
          </w:p>
          <w:p w14:paraId="5B7DBC78">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1年期</w:t>
            </w:r>
            <w:r>
              <w:rPr>
                <w:rFonts w:hint="eastAsia" w:ascii="宋体" w:hAnsi="宋体" w:cs="宋体"/>
                <w:color w:val="auto"/>
                <w:szCs w:val="21"/>
                <w:highlight w:val="none"/>
              </w:rPr>
              <w:t>运维结束，</w:t>
            </w:r>
            <w:r>
              <w:rPr>
                <w:rFonts w:hint="eastAsia" w:ascii="宋体" w:hAnsi="宋体" w:cs="宋体"/>
                <w:bCs/>
                <w:color w:val="auto"/>
                <w:szCs w:val="21"/>
                <w:highlight w:val="none"/>
              </w:rPr>
              <w:t>具备支付条件5个工作日内，</w:t>
            </w:r>
            <w:r>
              <w:rPr>
                <w:rFonts w:hint="eastAsia" w:ascii="宋体" w:hAnsi="宋体" w:cs="宋体"/>
                <w:color w:val="auto"/>
                <w:szCs w:val="21"/>
                <w:highlight w:val="none"/>
              </w:rPr>
              <w:t>支付合同总额的5</w:t>
            </w:r>
            <w:r>
              <w:rPr>
                <w:rFonts w:ascii="宋体" w:hAnsi="宋体" w:cs="宋体"/>
                <w:color w:val="auto"/>
                <w:szCs w:val="21"/>
                <w:highlight w:val="none"/>
              </w:rPr>
              <w:t>%</w:t>
            </w:r>
            <w:r>
              <w:rPr>
                <w:rFonts w:hint="eastAsia" w:ascii="宋体" w:hAnsi="宋体" w:cs="宋体"/>
                <w:bCs/>
                <w:color w:val="auto"/>
                <w:szCs w:val="21"/>
                <w:highlight w:val="none"/>
              </w:rPr>
              <w:t>。</w:t>
            </w:r>
          </w:p>
          <w:p w14:paraId="01B441BB">
            <w:pPr>
              <w:pStyle w:val="5"/>
              <w:ind w:firstLine="0" w:firstLineChars="0"/>
              <w:rPr>
                <w:rFonts w:hint="eastAsia"/>
                <w:b w:val="0"/>
                <w:bCs w:val="0"/>
                <w:color w:val="auto"/>
                <w:sz w:val="21"/>
                <w:szCs w:val="21"/>
                <w:highlight w:val="none"/>
                <w:lang w:val="en-US"/>
              </w:rPr>
            </w:pPr>
            <w:r>
              <w:rPr>
                <w:rFonts w:hint="eastAsia" w:ascii="宋体" w:hAnsi="宋体" w:cs="宋体"/>
                <w:color w:val="auto"/>
                <w:sz w:val="21"/>
                <w:szCs w:val="21"/>
                <w:highlight w:val="none"/>
                <w:lang w:val="en-US"/>
              </w:rPr>
              <w:t>注：</w:t>
            </w:r>
            <w:r>
              <w:rPr>
                <w:rFonts w:hint="eastAsia" w:ascii="宋体" w:hAnsi="宋体" w:cs="宋体"/>
                <w:color w:val="auto"/>
                <w:sz w:val="21"/>
                <w:szCs w:val="21"/>
                <w:highlight w:val="none"/>
              </w:rPr>
              <w:t>付款前乙方须向甲方提供正规、等额、合法、有效的发票。根据资金支付情况及财政支付制度，最终付款方式以双方确认，合同明确为准。</w:t>
            </w:r>
          </w:p>
        </w:tc>
      </w:tr>
      <w:tr w14:paraId="77773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6" w:type="pct"/>
            <w:tcBorders>
              <w:tl2br w:val="nil"/>
              <w:tr2bl w:val="nil"/>
            </w:tcBorders>
            <w:vAlign w:val="center"/>
          </w:tcPr>
          <w:p w14:paraId="6E4F06E7">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ascii="宋体" w:hAnsi="宋体" w:cs="宋体"/>
                <w:b/>
                <w:bCs/>
                <w:color w:val="auto"/>
                <w:szCs w:val="21"/>
                <w:highlight w:val="none"/>
              </w:rPr>
              <w:t>.6.3</w:t>
            </w:r>
          </w:p>
        </w:tc>
        <w:tc>
          <w:tcPr>
            <w:tcW w:w="4533" w:type="pct"/>
            <w:tcBorders>
              <w:tl2br w:val="nil"/>
              <w:tr2bl w:val="nil"/>
            </w:tcBorders>
            <w:vAlign w:val="center"/>
          </w:tcPr>
          <w:p w14:paraId="68C8B93C">
            <w:pPr>
              <w:snapToGrid w:val="0"/>
              <w:spacing w:line="360" w:lineRule="auto"/>
              <w:rPr>
                <w:rFonts w:hint="eastAsia" w:ascii="宋体" w:hAnsi="宋体" w:cs="宋体"/>
                <w:b/>
                <w:bCs/>
                <w:color w:val="auto"/>
                <w:szCs w:val="21"/>
                <w:highlight w:val="none"/>
              </w:rPr>
            </w:pPr>
            <w:r>
              <w:rPr>
                <w:rFonts w:ascii="宋体" w:hAnsi="宋体" w:cs="宋体"/>
                <w:b/>
                <w:bCs/>
                <w:color w:val="auto"/>
                <w:szCs w:val="21"/>
                <w:highlight w:val="none"/>
              </w:rPr>
              <w:t>/</w:t>
            </w:r>
          </w:p>
        </w:tc>
      </w:tr>
      <w:tr w14:paraId="73F4E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6" w:type="pct"/>
            <w:tcBorders>
              <w:tl2br w:val="nil"/>
              <w:tr2bl w:val="nil"/>
            </w:tcBorders>
            <w:vAlign w:val="center"/>
          </w:tcPr>
          <w:p w14:paraId="330357A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r>
              <w:rPr>
                <w:rFonts w:hint="eastAsia" w:ascii="宋体" w:hAnsi="宋体" w:cs="宋体"/>
                <w:color w:val="auto"/>
                <w:szCs w:val="21"/>
                <w:highlight w:val="none"/>
              </w:rPr>
              <w:t xml:space="preserve">.1 </w:t>
            </w:r>
          </w:p>
        </w:tc>
        <w:tc>
          <w:tcPr>
            <w:tcW w:w="4533" w:type="pct"/>
            <w:tcBorders>
              <w:tl2br w:val="nil"/>
              <w:tr2bl w:val="nil"/>
            </w:tcBorders>
            <w:vAlign w:val="center"/>
          </w:tcPr>
          <w:p w14:paraId="2245E727">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交付期限：</w:t>
            </w:r>
          </w:p>
          <w:p w14:paraId="6EC17BF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中标供应商在合同签订生效后，必须在15日历天内按采购单位要求完成新设备交货（并向采购单位提供产品合格证等相关的资料和配件）；中标供应商须在3个月内将合同标的运至采购单位指定地点并完成仪器设备安装运行。如在规定的时间内由于中标供应商的原因不能完成交货的，中标供应商应承担由此给采购单位造成的损失（每延迟一天，赔偿中标金额的1%）。</w:t>
            </w:r>
          </w:p>
          <w:p w14:paraId="0FBD806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2.提供1年站点运维服务，时间为站点验收后1年。</w:t>
            </w:r>
          </w:p>
        </w:tc>
      </w:tr>
      <w:tr w14:paraId="7638D0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6" w:type="pct"/>
            <w:tcBorders>
              <w:tl2br w:val="nil"/>
              <w:tr2bl w:val="nil"/>
            </w:tcBorders>
            <w:vAlign w:val="center"/>
          </w:tcPr>
          <w:p w14:paraId="14D1931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r>
              <w:rPr>
                <w:rFonts w:hint="eastAsia" w:ascii="宋体" w:hAnsi="宋体" w:cs="宋体"/>
                <w:color w:val="auto"/>
                <w:szCs w:val="21"/>
                <w:highlight w:val="none"/>
              </w:rPr>
              <w:t>.2</w:t>
            </w:r>
          </w:p>
        </w:tc>
        <w:tc>
          <w:tcPr>
            <w:tcW w:w="4533" w:type="pct"/>
            <w:tcBorders>
              <w:tl2br w:val="nil"/>
              <w:tr2bl w:val="nil"/>
            </w:tcBorders>
            <w:vAlign w:val="center"/>
          </w:tcPr>
          <w:p w14:paraId="4704B37E">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交付地点：</w:t>
            </w:r>
          </w:p>
          <w:p w14:paraId="1A66D65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采购人指定地点。</w:t>
            </w:r>
          </w:p>
        </w:tc>
      </w:tr>
      <w:tr w14:paraId="4A310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6" w:type="pct"/>
            <w:tcBorders>
              <w:tl2br w:val="nil"/>
              <w:tr2bl w:val="nil"/>
            </w:tcBorders>
            <w:vAlign w:val="center"/>
          </w:tcPr>
          <w:p w14:paraId="7CAB0C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r>
              <w:rPr>
                <w:rFonts w:hint="eastAsia" w:ascii="宋体" w:hAnsi="宋体" w:cs="宋体"/>
                <w:color w:val="auto"/>
                <w:szCs w:val="21"/>
                <w:highlight w:val="none"/>
              </w:rPr>
              <w:t xml:space="preserve">.3 </w:t>
            </w:r>
          </w:p>
        </w:tc>
        <w:tc>
          <w:tcPr>
            <w:tcW w:w="4533" w:type="pct"/>
            <w:tcBorders>
              <w:tl2br w:val="nil"/>
              <w:tr2bl w:val="nil"/>
            </w:tcBorders>
            <w:vAlign w:val="center"/>
          </w:tcPr>
          <w:p w14:paraId="490715FE">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交付方式：</w:t>
            </w:r>
          </w:p>
          <w:p w14:paraId="2FE39DF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按照合同、招标文件及投标文件要求进行交付。</w:t>
            </w:r>
          </w:p>
        </w:tc>
      </w:tr>
      <w:tr w14:paraId="44915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6" w:type="pct"/>
            <w:tcBorders>
              <w:tl2br w:val="nil"/>
              <w:tr2bl w:val="nil"/>
            </w:tcBorders>
            <w:vAlign w:val="center"/>
          </w:tcPr>
          <w:p w14:paraId="56246C1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8.6</w:t>
            </w:r>
          </w:p>
        </w:tc>
        <w:tc>
          <w:tcPr>
            <w:tcW w:w="4533" w:type="pct"/>
            <w:tcBorders>
              <w:tl2br w:val="nil"/>
              <w:tr2bl w:val="nil"/>
            </w:tcBorders>
            <w:vAlign w:val="center"/>
          </w:tcPr>
          <w:p w14:paraId="4E538E4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违约责任：</w:t>
            </w:r>
          </w:p>
          <w:p w14:paraId="76858D5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项目施工及运维期间：乙方作为承揽方，应严格遵守国家及地方安全生产法律法规、行业标准及甲方现场管理制度，在合同履行期间对自身人员、设备及作业过程的安全负全部责任。因乙方施工、管理不当或违反安全规范导致的安全事故（包括但不限于人员伤亡、财产损失等），由乙方承担全部法律责任及经济赔偿责任，若因此导致甲方被第三方追责或遭受损失的，乙方应全额赔偿甲方损失（包括但不限于诉讼费、赔偿金、行政处罚等）。</w:t>
            </w:r>
          </w:p>
          <w:p w14:paraId="7C8CE746">
            <w:pPr>
              <w:spacing w:line="360" w:lineRule="auto"/>
              <w:rPr>
                <w:color w:val="auto"/>
                <w:highlight w:val="none"/>
              </w:rPr>
            </w:pPr>
            <w:r>
              <w:rPr>
                <w:rFonts w:hint="eastAsia" w:ascii="宋体" w:hAnsi="宋体" w:cs="宋体"/>
                <w:color w:val="auto"/>
                <w:szCs w:val="21"/>
                <w:highlight w:val="none"/>
              </w:rPr>
              <w:t>2.运维期间：若乙方未按约定时限响应或修复故障，每延迟1日，甲方有权扣除当期合同总金额的0.5%作为违约金，累计不超过合同总价的5%；因乙方延误导致甲方重大损失的（如设备停用等），乙方应承担全部赔偿责任，且甲方有权提前终止合同；所有运维服务（含故障处理）须在甲方报修后7个自然日内闭环，逾期未解决的视为重大违约。</w:t>
            </w:r>
          </w:p>
        </w:tc>
      </w:tr>
      <w:tr w14:paraId="310DC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6" w:type="pct"/>
            <w:tcBorders>
              <w:tl2br w:val="nil"/>
              <w:tr2bl w:val="nil"/>
            </w:tcBorders>
          </w:tcPr>
          <w:p w14:paraId="167C823A">
            <w:pPr>
              <w:snapToGrid w:val="0"/>
              <w:spacing w:line="360" w:lineRule="auto"/>
              <w:rPr>
                <w:rFonts w:hint="eastAsia" w:ascii="宋体" w:hAnsi="宋体" w:cs="宋体"/>
                <w:color w:val="auto"/>
                <w:szCs w:val="21"/>
                <w:highlight w:val="none"/>
              </w:rPr>
            </w:pPr>
            <w:r>
              <w:rPr>
                <w:rFonts w:ascii="宋体" w:hAnsi="宋体"/>
                <w:color w:val="auto"/>
                <w:szCs w:val="21"/>
                <w:highlight w:val="none"/>
              </w:rPr>
              <w:t>1.9</w:t>
            </w:r>
          </w:p>
        </w:tc>
        <w:tc>
          <w:tcPr>
            <w:tcW w:w="4533" w:type="pct"/>
            <w:tcBorders>
              <w:tl2br w:val="nil"/>
              <w:tr2bl w:val="nil"/>
            </w:tcBorders>
          </w:tcPr>
          <w:p w14:paraId="419CA25E">
            <w:pPr>
              <w:snapToGrid w:val="0"/>
              <w:spacing w:line="360" w:lineRule="auto"/>
              <w:rPr>
                <w:rFonts w:hint="eastAsia" w:ascii="宋体" w:hAnsi="宋体" w:cs="宋体"/>
                <w:b/>
                <w:bCs/>
                <w:color w:val="auto"/>
                <w:szCs w:val="21"/>
                <w:highlight w:val="none"/>
              </w:rPr>
            </w:pPr>
            <w:r>
              <w:rPr>
                <w:rFonts w:ascii="宋体" w:hAnsi="宋体"/>
                <w:color w:val="auto"/>
                <w:szCs w:val="21"/>
                <w:highlight w:val="none"/>
              </w:rPr>
              <w:t>1.9.2</w:t>
            </w:r>
          </w:p>
        </w:tc>
      </w:tr>
      <w:tr w14:paraId="3E86F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6" w:type="pct"/>
            <w:tcBorders>
              <w:tl2br w:val="nil"/>
              <w:tr2bl w:val="nil"/>
            </w:tcBorders>
          </w:tcPr>
          <w:p w14:paraId="79557D37">
            <w:pPr>
              <w:snapToGrid w:val="0"/>
              <w:spacing w:line="360" w:lineRule="auto"/>
              <w:rPr>
                <w:rFonts w:hint="eastAsia" w:ascii="宋体" w:hAnsi="宋体" w:cs="宋体"/>
                <w:color w:val="auto"/>
                <w:szCs w:val="21"/>
                <w:highlight w:val="none"/>
              </w:rPr>
            </w:pPr>
            <w:r>
              <w:rPr>
                <w:rFonts w:ascii="宋体" w:hAnsi="宋体"/>
                <w:color w:val="auto"/>
                <w:szCs w:val="21"/>
                <w:highlight w:val="none"/>
              </w:rPr>
              <w:t>1.9.1</w:t>
            </w:r>
          </w:p>
        </w:tc>
        <w:tc>
          <w:tcPr>
            <w:tcW w:w="4533" w:type="pct"/>
            <w:tcBorders>
              <w:tl2br w:val="nil"/>
              <w:tr2bl w:val="nil"/>
            </w:tcBorders>
          </w:tcPr>
          <w:p w14:paraId="5FB1AEAD">
            <w:pPr>
              <w:snapToGrid w:val="0"/>
              <w:spacing w:line="360" w:lineRule="auto"/>
              <w:rPr>
                <w:rFonts w:hint="eastAsia" w:ascii="宋体" w:hAnsi="宋体" w:cs="宋体"/>
                <w:b/>
                <w:bCs/>
                <w:color w:val="auto"/>
                <w:szCs w:val="21"/>
                <w:highlight w:val="none"/>
              </w:rPr>
            </w:pPr>
            <w:r>
              <w:rPr>
                <w:rFonts w:ascii="宋体" w:hAnsi="宋体"/>
                <w:color w:val="auto"/>
                <w:szCs w:val="21"/>
                <w:highlight w:val="none"/>
              </w:rPr>
              <w:t>/</w:t>
            </w:r>
          </w:p>
        </w:tc>
      </w:tr>
      <w:tr w14:paraId="3A222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6" w:type="pct"/>
            <w:tcBorders>
              <w:tl2br w:val="nil"/>
              <w:tr2bl w:val="nil"/>
            </w:tcBorders>
          </w:tcPr>
          <w:p w14:paraId="5B53C0B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.9.2</w:t>
            </w:r>
          </w:p>
        </w:tc>
        <w:tc>
          <w:tcPr>
            <w:tcW w:w="4533" w:type="pct"/>
            <w:tcBorders>
              <w:tl2br w:val="nil"/>
              <w:tr2bl w:val="nil"/>
            </w:tcBorders>
          </w:tcPr>
          <w:p w14:paraId="3714F5B0">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杭州市</w:t>
            </w:r>
          </w:p>
        </w:tc>
      </w:tr>
      <w:tr w14:paraId="0F050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6" w:type="pct"/>
            <w:tcBorders>
              <w:tl2br w:val="nil"/>
              <w:tr2bl w:val="nil"/>
            </w:tcBorders>
            <w:vAlign w:val="center"/>
          </w:tcPr>
          <w:p w14:paraId="4B1F398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2.3.2</w:t>
            </w:r>
          </w:p>
        </w:tc>
        <w:tc>
          <w:tcPr>
            <w:tcW w:w="4533" w:type="pct"/>
            <w:tcBorders>
              <w:tl2br w:val="nil"/>
              <w:tr2bl w:val="nil"/>
            </w:tcBorders>
            <w:vAlign w:val="center"/>
          </w:tcPr>
          <w:p w14:paraId="07EEDE31">
            <w:pPr>
              <w:spacing w:line="360" w:lineRule="auto"/>
              <w:ind w:left="-420" w:leftChars="-200" w:right="-420" w:rightChars="-200"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具有知识产权的计算机软件等货物的知识产权归属：</w:t>
            </w:r>
          </w:p>
          <w:p w14:paraId="71CEB1B9">
            <w:pPr>
              <w:spacing w:line="360" w:lineRule="auto"/>
              <w:ind w:left="-420" w:leftChars="-200" w:right="-420" w:rightChars="-200" w:firstLine="420" w:firstLineChars="200"/>
              <w:rPr>
                <w:rFonts w:hint="eastAsia" w:ascii="宋体" w:hAnsi="宋体" w:cs="宋体"/>
                <w:color w:val="auto"/>
                <w:szCs w:val="21"/>
                <w:highlight w:val="none"/>
              </w:rPr>
            </w:pPr>
            <w:r>
              <w:rPr>
                <w:rFonts w:ascii="宋体" w:hAnsi="宋体" w:cs="宋体"/>
                <w:color w:val="auto"/>
                <w:szCs w:val="21"/>
                <w:highlight w:val="none"/>
              </w:rPr>
              <w:t>生产厂家应取得本项目所投产品所涉及的外观、结构、工艺及技术专利或使用授权，</w:t>
            </w:r>
          </w:p>
          <w:p w14:paraId="218501B1">
            <w:pPr>
              <w:spacing w:line="360" w:lineRule="auto"/>
              <w:ind w:left="-420" w:leftChars="-200" w:right="-420" w:rightChars="-200" w:firstLine="420" w:firstLineChars="200"/>
              <w:rPr>
                <w:rFonts w:hint="eastAsia" w:ascii="宋体" w:hAnsi="宋体" w:cs="宋体"/>
                <w:color w:val="auto"/>
                <w:szCs w:val="21"/>
                <w:highlight w:val="none"/>
              </w:rPr>
            </w:pPr>
            <w:r>
              <w:rPr>
                <w:rFonts w:ascii="宋体" w:hAnsi="宋体" w:cs="宋体"/>
                <w:color w:val="auto"/>
                <w:szCs w:val="21"/>
                <w:highlight w:val="none"/>
              </w:rPr>
              <w:t>包括发明、实用新型、外观设计专利。</w:t>
            </w:r>
          </w:p>
          <w:p w14:paraId="069EA3F8">
            <w:pPr>
              <w:spacing w:line="360" w:lineRule="auto"/>
              <w:ind w:left="-420" w:leftChars="-200" w:right="-420" w:rightChars="-200" w:firstLine="420" w:firstLineChars="200"/>
              <w:rPr>
                <w:color w:val="auto"/>
                <w:szCs w:val="21"/>
                <w:highlight w:val="none"/>
              </w:rPr>
            </w:pPr>
            <w:r>
              <w:rPr>
                <w:rFonts w:hint="eastAsia" w:ascii="宋体" w:hAnsi="宋体" w:cs="宋体"/>
                <w:color w:val="auto"/>
                <w:szCs w:val="21"/>
                <w:highlight w:val="none"/>
              </w:rPr>
              <w:t>由乙方为本项目定制开发的软件的知识产权和源代码归甲方所有。</w:t>
            </w:r>
          </w:p>
        </w:tc>
      </w:tr>
      <w:tr w14:paraId="496B8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6" w:type="pct"/>
            <w:tcBorders>
              <w:tl2br w:val="nil"/>
              <w:tr2bl w:val="nil"/>
            </w:tcBorders>
            <w:vAlign w:val="center"/>
          </w:tcPr>
          <w:p w14:paraId="4F8BA6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2.4.1</w:t>
            </w:r>
          </w:p>
        </w:tc>
        <w:tc>
          <w:tcPr>
            <w:tcW w:w="4533" w:type="pct"/>
            <w:tcBorders>
              <w:tl2br w:val="nil"/>
              <w:tr2bl w:val="nil"/>
            </w:tcBorders>
            <w:vAlign w:val="center"/>
          </w:tcPr>
          <w:p w14:paraId="3B8DC92D">
            <w:pPr>
              <w:spacing w:line="360" w:lineRule="auto"/>
              <w:ind w:left="-420" w:leftChars="-200" w:right="-420" w:rightChars="-200"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按合同一般条款执行。</w:t>
            </w:r>
          </w:p>
        </w:tc>
      </w:tr>
      <w:tr w14:paraId="2B0C7B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6" w:type="pct"/>
            <w:tcBorders>
              <w:tl2br w:val="nil"/>
              <w:tr2bl w:val="nil"/>
            </w:tcBorders>
            <w:vAlign w:val="center"/>
          </w:tcPr>
          <w:p w14:paraId="3D77AEC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2.4.3</w:t>
            </w:r>
          </w:p>
        </w:tc>
        <w:tc>
          <w:tcPr>
            <w:tcW w:w="4533" w:type="pct"/>
            <w:tcBorders>
              <w:tl2br w:val="nil"/>
              <w:tr2bl w:val="nil"/>
            </w:tcBorders>
            <w:vAlign w:val="center"/>
          </w:tcPr>
          <w:p w14:paraId="33788CDD">
            <w:pPr>
              <w:spacing w:line="360" w:lineRule="auto"/>
              <w:rPr>
                <w:rFonts w:hint="eastAsia" w:asciiTheme="minorEastAsia" w:hAnsiTheme="minorEastAsia" w:cstheme="minorEastAsia"/>
                <w:b/>
                <w:bCs/>
                <w:color w:val="auto"/>
                <w:szCs w:val="21"/>
                <w:highlight w:val="none"/>
              </w:rPr>
            </w:pPr>
            <w:r>
              <w:rPr>
                <w:rFonts w:hint="eastAsia" w:ascii="宋体" w:hAnsi="宋体" w:cs="宋体"/>
                <w:b/>
                <w:bCs/>
                <w:color w:val="auto"/>
                <w:szCs w:val="21"/>
                <w:highlight w:val="none"/>
              </w:rPr>
              <w:t>装运货物的要求和通知：</w:t>
            </w:r>
          </w:p>
          <w:p w14:paraId="32C0D73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货物装运前应提前2日与甲方指定联系人确定。</w:t>
            </w:r>
          </w:p>
        </w:tc>
      </w:tr>
      <w:tr w14:paraId="5BC88D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6" w:type="pct"/>
            <w:tcBorders>
              <w:tl2br w:val="nil"/>
              <w:tr2bl w:val="nil"/>
            </w:tcBorders>
          </w:tcPr>
          <w:p w14:paraId="18FDAF8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2.8 </w:t>
            </w:r>
          </w:p>
        </w:tc>
        <w:tc>
          <w:tcPr>
            <w:tcW w:w="4533" w:type="pct"/>
            <w:tcBorders>
              <w:tl2br w:val="nil"/>
              <w:tr2bl w:val="nil"/>
            </w:tcBorders>
          </w:tcPr>
          <w:p w14:paraId="5743388A">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货物或者在途货物或者交付给第一承运人后的货物毁损、灭失的风险负担：</w:t>
            </w:r>
          </w:p>
          <w:p w14:paraId="48DCDAF4">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由乙方承担相关费用与损失。</w:t>
            </w:r>
          </w:p>
        </w:tc>
      </w:tr>
      <w:tr w14:paraId="124BF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6" w:type="pct"/>
            <w:tcBorders>
              <w:tl2br w:val="nil"/>
              <w:tr2bl w:val="nil"/>
            </w:tcBorders>
            <w:vAlign w:val="center"/>
          </w:tcPr>
          <w:p w14:paraId="37F485B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2.12.3</w:t>
            </w:r>
          </w:p>
        </w:tc>
        <w:tc>
          <w:tcPr>
            <w:tcW w:w="4533" w:type="pct"/>
            <w:tcBorders>
              <w:tl2br w:val="nil"/>
              <w:tr2bl w:val="nil"/>
            </w:tcBorders>
            <w:vAlign w:val="center"/>
          </w:tcPr>
          <w:p w14:paraId="3ABA25E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因不可抗力致使合同有变更必要的，双方当事人应在</w:t>
            </w:r>
            <w:r>
              <w:rPr>
                <w:rFonts w:hint="eastAsia" w:ascii="宋体" w:hAnsi="宋体" w:cs="宋体"/>
                <w:color w:val="auto"/>
                <w:szCs w:val="21"/>
                <w:highlight w:val="none"/>
                <w:u w:val="single"/>
              </w:rPr>
              <w:t>180日历天</w:t>
            </w:r>
            <w:r>
              <w:rPr>
                <w:rFonts w:hint="eastAsia" w:ascii="宋体" w:hAnsi="宋体" w:cs="宋体"/>
                <w:color w:val="auto"/>
                <w:szCs w:val="21"/>
                <w:highlight w:val="none"/>
              </w:rPr>
              <w:t>内以书面形式变更合同；</w:t>
            </w:r>
          </w:p>
        </w:tc>
      </w:tr>
      <w:tr w14:paraId="359221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6" w:type="pct"/>
            <w:tcBorders>
              <w:tl2br w:val="nil"/>
              <w:tr2bl w:val="nil"/>
            </w:tcBorders>
            <w:vAlign w:val="center"/>
          </w:tcPr>
          <w:p w14:paraId="07CCA7C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2.12.4</w:t>
            </w:r>
          </w:p>
        </w:tc>
        <w:tc>
          <w:tcPr>
            <w:tcW w:w="4533" w:type="pct"/>
            <w:tcBorders>
              <w:tl2br w:val="nil"/>
              <w:tr2bl w:val="nil"/>
            </w:tcBorders>
            <w:vAlign w:val="center"/>
          </w:tcPr>
          <w:p w14:paraId="514DED3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受不可抗力影响的一方在不可抗力发生后，应在</w:t>
            </w:r>
            <w:r>
              <w:rPr>
                <w:rFonts w:hint="eastAsia" w:ascii="宋体" w:hAnsi="宋体" w:cs="宋体"/>
                <w:color w:val="auto"/>
                <w:szCs w:val="21"/>
                <w:highlight w:val="none"/>
                <w:u w:val="single"/>
              </w:rPr>
              <w:t>30日历天内</w:t>
            </w:r>
            <w:r>
              <w:rPr>
                <w:rFonts w:hint="eastAsia" w:ascii="宋体" w:hAnsi="宋体" w:cs="宋体"/>
                <w:color w:val="auto"/>
                <w:szCs w:val="21"/>
                <w:highlight w:val="none"/>
              </w:rPr>
              <w:t>以书面形式通知对方当事人，并在</w:t>
            </w:r>
            <w:r>
              <w:rPr>
                <w:rFonts w:hint="eastAsia" w:ascii="宋体" w:hAnsi="宋体" w:cs="宋体"/>
                <w:color w:val="auto"/>
                <w:szCs w:val="21"/>
                <w:highlight w:val="none"/>
                <w:u w:val="single"/>
              </w:rPr>
              <w:t>30日历天内</w:t>
            </w:r>
            <w:r>
              <w:rPr>
                <w:rFonts w:hint="eastAsia" w:ascii="宋体" w:hAnsi="宋体" w:cs="宋体"/>
                <w:color w:val="auto"/>
                <w:szCs w:val="21"/>
                <w:highlight w:val="none"/>
              </w:rPr>
              <w:t>，将有关部门出具的证明文件送达对方当事人。</w:t>
            </w:r>
          </w:p>
        </w:tc>
      </w:tr>
      <w:tr w14:paraId="203C37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6" w:type="pct"/>
            <w:tcBorders>
              <w:tl2br w:val="nil"/>
              <w:tr2bl w:val="nil"/>
            </w:tcBorders>
            <w:vAlign w:val="center"/>
          </w:tcPr>
          <w:p w14:paraId="422E93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2.16.1</w:t>
            </w:r>
          </w:p>
        </w:tc>
        <w:tc>
          <w:tcPr>
            <w:tcW w:w="4533" w:type="pct"/>
            <w:tcBorders>
              <w:tl2br w:val="nil"/>
              <w:tr2bl w:val="nil"/>
            </w:tcBorders>
            <w:vAlign w:val="center"/>
          </w:tcPr>
          <w:p w14:paraId="0FE0056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货物交付前，乙方应对货物的质量、数量等方面进行详细、全面的检验，并向甲方出具证明货物符合合同约定的文件；货物交付时，甲方在</w:t>
            </w:r>
            <w:r>
              <w:rPr>
                <w:rFonts w:hint="eastAsia" w:ascii="宋体" w:hAnsi="宋体" w:cs="宋体"/>
                <w:b/>
                <w:bCs/>
                <w:color w:val="auto"/>
                <w:szCs w:val="21"/>
                <w:highlight w:val="none"/>
                <w:u w:val="single"/>
              </w:rPr>
              <w:t>收到乙方验收申请后30日历天</w:t>
            </w:r>
            <w:r>
              <w:rPr>
                <w:rFonts w:hint="eastAsia" w:ascii="宋体" w:hAnsi="宋体" w:cs="宋体"/>
                <w:color w:val="auto"/>
                <w:szCs w:val="21"/>
                <w:highlight w:val="none"/>
              </w:rPr>
              <w:t>内组织验收，并可依法邀请相关方参加，验收应出具验收书。</w:t>
            </w:r>
          </w:p>
        </w:tc>
      </w:tr>
      <w:tr w14:paraId="58DF3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466" w:type="pct"/>
            <w:tcBorders>
              <w:tl2br w:val="nil"/>
              <w:tr2bl w:val="nil"/>
            </w:tcBorders>
            <w:vAlign w:val="center"/>
          </w:tcPr>
          <w:p w14:paraId="412C151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2.16.3</w:t>
            </w:r>
          </w:p>
        </w:tc>
        <w:tc>
          <w:tcPr>
            <w:tcW w:w="4533" w:type="pct"/>
            <w:tcBorders>
              <w:tl2br w:val="nil"/>
              <w:tr2bl w:val="nil"/>
            </w:tcBorders>
            <w:vAlign w:val="center"/>
          </w:tcPr>
          <w:p w14:paraId="53319FF1">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检验和验收标准、程序等具体内容以及前述验收书的效力：</w:t>
            </w:r>
          </w:p>
          <w:p w14:paraId="31D1CE2C">
            <w:pPr>
              <w:spacing w:line="360" w:lineRule="auto"/>
              <w:rPr>
                <w:color w:val="auto"/>
                <w:szCs w:val="21"/>
                <w:highlight w:val="none"/>
              </w:rPr>
            </w:pPr>
            <w:r>
              <w:rPr>
                <w:rFonts w:hint="eastAsia" w:ascii="宋体" w:hAnsi="宋体" w:cs="宋体"/>
                <w:color w:val="auto"/>
                <w:szCs w:val="21"/>
                <w:highlight w:val="none"/>
              </w:rPr>
              <w:t>详见采购需求及投标文件，具体验收流程、程序以甲方要求为准。</w:t>
            </w:r>
          </w:p>
        </w:tc>
      </w:tr>
      <w:tr w14:paraId="3ED3F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5" w:hRule="atLeast"/>
        </w:trPr>
        <w:tc>
          <w:tcPr>
            <w:tcW w:w="466" w:type="pct"/>
            <w:tcBorders>
              <w:tl2br w:val="nil"/>
              <w:tr2bl w:val="nil"/>
            </w:tcBorders>
            <w:vAlign w:val="center"/>
          </w:tcPr>
          <w:p w14:paraId="0754EC8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2.20</w:t>
            </w:r>
          </w:p>
        </w:tc>
        <w:tc>
          <w:tcPr>
            <w:tcW w:w="4533" w:type="pct"/>
            <w:tcBorders>
              <w:tl2br w:val="nil"/>
              <w:tr2bl w:val="nil"/>
            </w:tcBorders>
            <w:vAlign w:val="center"/>
          </w:tcPr>
          <w:p w14:paraId="6002B515">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合同份数：</w:t>
            </w:r>
          </w:p>
          <w:p w14:paraId="62E9CFC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一式肆份，甲方贰份，乙方贰份。</w:t>
            </w:r>
          </w:p>
        </w:tc>
      </w:tr>
    </w:tbl>
    <w:p w14:paraId="6419A4C9">
      <w:pPr>
        <w:rPr>
          <w:color w:val="auto"/>
          <w:szCs w:val="21"/>
          <w:highlight w:val="none"/>
        </w:rPr>
      </w:pPr>
    </w:p>
    <w:p w14:paraId="46D3A74F">
      <w:pPr>
        <w:spacing w:line="480" w:lineRule="auto"/>
        <w:jc w:val="center"/>
        <w:rPr>
          <w:rFonts w:hint="eastAsia" w:ascii="宋体" w:hAnsi="宋体" w:cs="宋体"/>
          <w:b/>
          <w:color w:val="auto"/>
          <w:sz w:val="28"/>
          <w:szCs w:val="28"/>
          <w:highlight w:val="none"/>
        </w:rPr>
      </w:pPr>
    </w:p>
    <w:p w14:paraId="40C657F1">
      <w:pPr>
        <w:pStyle w:val="4"/>
        <w:jc w:val="center"/>
        <w:rPr>
          <w:rFonts w:hint="eastAsia" w:ascii="宋体" w:hAnsi="宋体" w:cs="宋体"/>
          <w:color w:val="auto"/>
          <w:sz w:val="36"/>
          <w:szCs w:val="20"/>
          <w:highlight w:val="none"/>
        </w:rPr>
      </w:pPr>
      <w:r>
        <w:rPr>
          <w:rFonts w:hint="eastAsia" w:ascii="宋体" w:hAnsi="宋体" w:cs="宋体"/>
          <w:color w:val="auto"/>
          <w:kern w:val="0"/>
          <w:szCs w:val="21"/>
          <w:highlight w:val="none"/>
        </w:rPr>
        <w:br w:type="page"/>
      </w:r>
      <w:bookmarkStart w:id="564" w:name="_Toc20677"/>
      <w:r>
        <w:rPr>
          <w:rFonts w:hint="eastAsia" w:ascii="宋体" w:hAnsi="宋体" w:cs="宋体"/>
          <w:color w:val="auto"/>
          <w:szCs w:val="28"/>
          <w:highlight w:val="none"/>
        </w:rPr>
        <w:t>第六部分</w:t>
      </w:r>
      <w:bookmarkEnd w:id="412"/>
      <w:r>
        <w:rPr>
          <w:rFonts w:hint="eastAsia" w:ascii="宋体" w:hAnsi="宋体" w:cs="宋体"/>
          <w:color w:val="auto"/>
          <w:szCs w:val="28"/>
          <w:highlight w:val="none"/>
        </w:rPr>
        <w:t xml:space="preserve"> </w:t>
      </w:r>
      <w:bookmarkEnd w:id="413"/>
      <w:r>
        <w:rPr>
          <w:rFonts w:hint="eastAsia" w:ascii="宋体" w:hAnsi="宋体" w:cs="宋体"/>
          <w:color w:val="auto"/>
          <w:szCs w:val="28"/>
          <w:highlight w:val="none"/>
        </w:rPr>
        <w:t>应提交的有关格式范例</w:t>
      </w:r>
      <w:bookmarkEnd w:id="564"/>
    </w:p>
    <w:p w14:paraId="14289504">
      <w:pPr>
        <w:spacing w:line="360" w:lineRule="auto"/>
        <w:jc w:val="center"/>
        <w:rPr>
          <w:rFonts w:hint="eastAsia" w:ascii="宋体" w:hAnsi="宋体" w:cs="宋体"/>
          <w:b/>
          <w:color w:val="auto"/>
          <w:kern w:val="0"/>
          <w:sz w:val="36"/>
          <w:szCs w:val="36"/>
          <w:highlight w:val="none"/>
        </w:rPr>
      </w:pPr>
    </w:p>
    <w:p w14:paraId="73E97379">
      <w:pPr>
        <w:pStyle w:val="5"/>
        <w:ind w:firstLine="0" w:firstLineChars="0"/>
        <w:jc w:val="center"/>
        <w:rPr>
          <w:rFonts w:hint="eastAsia"/>
          <w:color w:val="auto"/>
          <w:highlight w:val="none"/>
        </w:rPr>
      </w:pPr>
      <w:r>
        <w:rPr>
          <w:rFonts w:hint="eastAsia"/>
          <w:color w:val="auto"/>
          <w:highlight w:val="none"/>
        </w:rPr>
        <w:t>资格文件部分目录</w:t>
      </w:r>
    </w:p>
    <w:p w14:paraId="5DFFCB90">
      <w:pPr>
        <w:spacing w:line="360" w:lineRule="auto"/>
        <w:jc w:val="center"/>
        <w:rPr>
          <w:rFonts w:hint="eastAsia" w:ascii="宋体" w:hAnsi="宋体" w:cs="宋体"/>
          <w:b/>
          <w:color w:val="auto"/>
          <w:kern w:val="0"/>
          <w:sz w:val="36"/>
          <w:szCs w:val="36"/>
          <w:highlight w:val="none"/>
        </w:rPr>
      </w:pPr>
    </w:p>
    <w:p w14:paraId="39312EA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（1）符合参加政府采购活动应当具备的一般条件的承诺函……………（页码）</w:t>
      </w:r>
    </w:p>
    <w:p w14:paraId="2ED78041">
      <w:pPr>
        <w:snapToGrid w:val="0"/>
        <w:spacing w:line="360" w:lineRule="auto"/>
        <w:jc w:val="center"/>
        <w:rPr>
          <w:rFonts w:hint="eastAsia" w:ascii="宋体" w:hAnsi="宋体" w:cs="宋体"/>
          <w:color w:val="auto"/>
          <w:szCs w:val="21"/>
          <w:highlight w:val="none"/>
        </w:rPr>
      </w:pPr>
      <w:r>
        <w:rPr>
          <w:rFonts w:hint="eastAsia" w:ascii="宋体" w:hAnsi="宋体" w:cs="宋体"/>
          <w:snapToGrid w:val="0"/>
          <w:color w:val="auto"/>
          <w:kern w:val="28"/>
          <w:szCs w:val="21"/>
          <w:highlight w:val="none"/>
        </w:rPr>
        <w:t>（2）联合协议</w:t>
      </w:r>
      <w:r>
        <w:rPr>
          <w:rFonts w:hint="eastAsia" w:ascii="宋体" w:hAnsi="宋体" w:cs="宋体"/>
          <w:color w:val="auto"/>
          <w:szCs w:val="21"/>
          <w:highlight w:val="none"/>
        </w:rPr>
        <w:t>………………………………………………………………（页码）</w:t>
      </w:r>
    </w:p>
    <w:p w14:paraId="1C60115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）落实政府采购政策需满足的资格要求………………………………（页码）</w:t>
      </w:r>
    </w:p>
    <w:p w14:paraId="2C84D96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）本项目的特定资格要求………………………………………………（页码）</w:t>
      </w:r>
    </w:p>
    <w:p w14:paraId="7F95AFEA">
      <w:pPr>
        <w:snapToGrid w:val="0"/>
        <w:spacing w:line="360" w:lineRule="auto"/>
        <w:ind w:firstLine="480" w:firstLineChars="200"/>
        <w:rPr>
          <w:rFonts w:hint="eastAsia" w:ascii="宋体" w:hAnsi="宋体" w:cs="宋体"/>
          <w:color w:val="auto"/>
          <w:sz w:val="24"/>
          <w:highlight w:val="none"/>
        </w:rPr>
      </w:pPr>
    </w:p>
    <w:p w14:paraId="2C8AA03E">
      <w:pPr>
        <w:spacing w:line="360" w:lineRule="auto"/>
        <w:ind w:firstLine="480" w:firstLineChars="200"/>
        <w:rPr>
          <w:rFonts w:hint="eastAsia" w:ascii="宋体" w:hAnsi="宋体" w:cs="宋体"/>
          <w:color w:val="auto"/>
          <w:sz w:val="24"/>
          <w:highlight w:val="none"/>
        </w:rPr>
      </w:pPr>
    </w:p>
    <w:p w14:paraId="5D32244B">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24"/>
          <w:highlight w:val="none"/>
        </w:rPr>
        <w:t xml:space="preserve"> </w:t>
      </w:r>
      <w:r>
        <w:rPr>
          <w:rFonts w:hint="eastAsia" w:ascii="宋体" w:hAnsi="宋体" w:cs="宋体"/>
          <w:b/>
          <w:color w:val="auto"/>
          <w:kern w:val="0"/>
          <w:sz w:val="28"/>
          <w:szCs w:val="28"/>
          <w:highlight w:val="none"/>
        </w:rPr>
        <w:t xml:space="preserve"> 一、 符合参加政府采购活动应当具备的一般条件的承诺函</w:t>
      </w:r>
    </w:p>
    <w:p w14:paraId="67A72CC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杭州市生态环境局上城分局 、浙江省成套招标代理有限公司：</w:t>
      </w:r>
    </w:p>
    <w:p w14:paraId="136ED9B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我方参与上城区同协路道路扬尘智能化管控项目【招标编号：CTZB-2025060603】政府采购活动，郑重承诺：</w:t>
      </w:r>
    </w:p>
    <w:p w14:paraId="1EA222A3">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14:paraId="4D1777B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1857AF2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14:paraId="76E7033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177360F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405B097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7F86129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6、具有法律、行政法规规定的其他条件。</w:t>
      </w:r>
    </w:p>
    <w:p w14:paraId="5584CD5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（二）未被信用中国（www.creditchina.gov.cn)、中国政府采购网（www.ccgp.gov.cn）列入失信被执行人、重大税收违法案件当事人名单、政府采购严重违法失信行为记录名单。</w:t>
      </w:r>
    </w:p>
    <w:p w14:paraId="62C6D81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（三）不存在以下情况：</w:t>
      </w:r>
    </w:p>
    <w:p w14:paraId="015C3DB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14:paraId="4AB7CBF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14:paraId="08190865">
      <w:pPr>
        <w:snapToGrid w:val="0"/>
        <w:spacing w:line="360" w:lineRule="auto"/>
        <w:ind w:firstLine="4830" w:firstLineChars="2300"/>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14:paraId="4363D013">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67324A62">
      <w:pPr>
        <w:snapToGrid w:val="0"/>
        <w:spacing w:line="360" w:lineRule="auto"/>
        <w:ind w:right="480"/>
        <w:jc w:val="center"/>
        <w:rPr>
          <w:rFonts w:hint="eastAsia" w:ascii="宋体" w:hAnsi="宋体" w:cs="宋体"/>
          <w:b/>
          <w:color w:val="auto"/>
          <w:kern w:val="0"/>
          <w:szCs w:val="21"/>
          <w:highlight w:val="none"/>
        </w:rPr>
      </w:pPr>
    </w:p>
    <w:p w14:paraId="0F5C7782">
      <w:pPr>
        <w:snapToGrid w:val="0"/>
        <w:spacing w:line="360" w:lineRule="auto"/>
        <w:ind w:right="480"/>
        <w:jc w:val="center"/>
        <w:rPr>
          <w:rFonts w:hint="eastAsia" w:ascii="宋体" w:hAnsi="宋体" w:cs="宋体"/>
          <w:b/>
          <w:color w:val="auto"/>
          <w:kern w:val="0"/>
          <w:sz w:val="32"/>
          <w:szCs w:val="32"/>
          <w:highlight w:val="none"/>
        </w:rPr>
      </w:pPr>
    </w:p>
    <w:p w14:paraId="69616AE6">
      <w:pPr>
        <w:snapToGrid w:val="0"/>
        <w:spacing w:line="360" w:lineRule="auto"/>
        <w:ind w:right="480"/>
        <w:jc w:val="center"/>
        <w:rPr>
          <w:rFonts w:hint="eastAsia" w:ascii="宋体" w:hAnsi="宋体" w:cs="宋体"/>
          <w:b/>
          <w:color w:val="auto"/>
          <w:kern w:val="0"/>
          <w:sz w:val="32"/>
          <w:szCs w:val="32"/>
          <w:highlight w:val="none"/>
        </w:rPr>
      </w:pPr>
    </w:p>
    <w:p w14:paraId="594EEDFE">
      <w:pPr>
        <w:rPr>
          <w:rFonts w:hint="eastAsia" w:ascii="宋体" w:hAnsi="宋体" w:cs="宋体"/>
          <w:color w:val="auto"/>
          <w:highlight w:val="none"/>
        </w:rPr>
      </w:pPr>
    </w:p>
    <w:p w14:paraId="440D0D74">
      <w:pPr>
        <w:snapToGrid w:val="0"/>
        <w:spacing w:line="360" w:lineRule="auto"/>
        <w:ind w:right="480"/>
        <w:jc w:val="center"/>
        <w:rPr>
          <w:rFonts w:hint="eastAsia" w:ascii="宋体" w:hAnsi="宋体" w:cs="宋体"/>
          <w:b/>
          <w:color w:val="auto"/>
          <w:kern w:val="0"/>
          <w:sz w:val="32"/>
          <w:szCs w:val="32"/>
          <w:highlight w:val="none"/>
        </w:rPr>
      </w:pPr>
    </w:p>
    <w:p w14:paraId="43C9EF5C">
      <w:pPr>
        <w:snapToGrid w:val="0"/>
        <w:spacing w:line="360" w:lineRule="auto"/>
        <w:ind w:right="480"/>
        <w:jc w:val="center"/>
        <w:rPr>
          <w:rFonts w:hint="eastAsia" w:ascii="宋体" w:hAnsi="宋体" w:cs="宋体"/>
          <w:b/>
          <w:color w:val="auto"/>
          <w:kern w:val="0"/>
          <w:sz w:val="32"/>
          <w:szCs w:val="32"/>
          <w:highlight w:val="none"/>
        </w:rPr>
      </w:pPr>
    </w:p>
    <w:p w14:paraId="34F07C8E">
      <w:pPr>
        <w:snapToGrid w:val="0"/>
        <w:spacing w:line="360" w:lineRule="auto"/>
        <w:ind w:right="480"/>
        <w:jc w:val="center"/>
        <w:rPr>
          <w:rFonts w:hint="eastAsia" w:ascii="宋体" w:hAnsi="宋体" w:cs="宋体"/>
          <w:b/>
          <w:color w:val="auto"/>
          <w:kern w:val="0"/>
          <w:sz w:val="32"/>
          <w:szCs w:val="32"/>
          <w:highlight w:val="none"/>
        </w:rPr>
      </w:pPr>
    </w:p>
    <w:p w14:paraId="08E72F27">
      <w:pPr>
        <w:widowControl/>
        <w:spacing w:line="360" w:lineRule="auto"/>
        <w:ind w:firstLine="643" w:firstLineChars="200"/>
        <w:jc w:val="center"/>
        <w:rPr>
          <w:rFonts w:hint="eastAsia" w:ascii="宋体" w:hAnsi="宋体" w:cs="宋体"/>
          <w:b/>
          <w:color w:val="auto"/>
          <w:kern w:val="0"/>
          <w:sz w:val="32"/>
          <w:szCs w:val="32"/>
          <w:highlight w:val="none"/>
        </w:rPr>
      </w:pPr>
    </w:p>
    <w:p w14:paraId="28089D4C">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D8733F0">
      <w:pPr>
        <w:snapToGrid w:val="0"/>
        <w:spacing w:line="360" w:lineRule="auto"/>
        <w:ind w:right="480"/>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二、联合协议（如果有）</w:t>
      </w:r>
    </w:p>
    <w:p w14:paraId="76E07B64">
      <w:pPr>
        <w:widowControl/>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[以联合体形式投标的，提供联合协议（附件5）；本项目不接受联合体投标或者投标人不以联合体形式投标的，则不需要提供]</w:t>
      </w:r>
    </w:p>
    <w:p w14:paraId="1CEA9940">
      <w:pPr>
        <w:snapToGrid w:val="0"/>
        <w:spacing w:line="360" w:lineRule="auto"/>
        <w:ind w:right="480"/>
        <w:jc w:val="center"/>
        <w:rPr>
          <w:rFonts w:hint="eastAsia" w:ascii="宋体" w:hAnsi="宋体" w:cs="宋体"/>
          <w:b/>
          <w:color w:val="auto"/>
          <w:kern w:val="0"/>
          <w:sz w:val="32"/>
          <w:szCs w:val="32"/>
          <w:highlight w:val="none"/>
        </w:rPr>
      </w:pPr>
    </w:p>
    <w:p w14:paraId="6F05F1B5">
      <w:pPr>
        <w:snapToGrid w:val="0"/>
        <w:spacing w:line="360" w:lineRule="auto"/>
        <w:ind w:right="480"/>
        <w:jc w:val="center"/>
        <w:rPr>
          <w:rFonts w:hint="eastAsia" w:ascii="宋体" w:hAnsi="宋体" w:cs="宋体"/>
          <w:b/>
          <w:color w:val="auto"/>
          <w:kern w:val="0"/>
          <w:sz w:val="32"/>
          <w:szCs w:val="32"/>
          <w:highlight w:val="none"/>
        </w:rPr>
      </w:pPr>
    </w:p>
    <w:p w14:paraId="52169534">
      <w:pPr>
        <w:snapToGrid w:val="0"/>
        <w:spacing w:line="360" w:lineRule="auto"/>
        <w:ind w:right="480"/>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三、落实政府采购政策需满足的资格要求</w:t>
      </w:r>
    </w:p>
    <w:p w14:paraId="4766CDD2">
      <w:pPr>
        <w:widowControl/>
        <w:spacing w:line="360" w:lineRule="auto"/>
        <w:ind w:firstLine="422" w:firstLineChars="200"/>
        <w:jc w:val="left"/>
        <w:rPr>
          <w:rFonts w:hint="eastAsia" w:ascii="宋体" w:hAnsi="宋体" w:cs="宋体"/>
          <w:b/>
          <w:color w:val="auto"/>
          <w:szCs w:val="21"/>
          <w:highlight w:val="none"/>
        </w:rPr>
      </w:pPr>
    </w:p>
    <w:p w14:paraId="4DF2DAA3">
      <w:pPr>
        <w:widowControl/>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专门面向中小企业，货物全部由符合政策要求的中小企业（或小微企业）制造的，提供相应的中小企业声明函（附件</w:t>
      </w:r>
      <w:r>
        <w:rPr>
          <w:rFonts w:ascii="宋体" w:hAnsi="宋体" w:cs="宋体"/>
          <w:b/>
          <w:color w:val="auto"/>
          <w:szCs w:val="21"/>
          <w:highlight w:val="none"/>
        </w:rPr>
        <w:t>7</w:t>
      </w:r>
      <w:r>
        <w:rPr>
          <w:rFonts w:hint="eastAsia" w:ascii="宋体" w:hAnsi="宋体" w:cs="宋体"/>
          <w:b/>
          <w:color w:val="auto"/>
          <w:szCs w:val="21"/>
          <w:highlight w:val="none"/>
        </w:rPr>
        <w:t>）</w:t>
      </w:r>
    </w:p>
    <w:p w14:paraId="78BA87E3">
      <w:pPr>
        <w:snapToGrid w:val="0"/>
        <w:spacing w:line="360" w:lineRule="auto"/>
        <w:ind w:right="480"/>
        <w:jc w:val="center"/>
        <w:rPr>
          <w:rFonts w:hint="eastAsia" w:ascii="宋体" w:hAnsi="宋体" w:cs="宋体"/>
          <w:b/>
          <w:color w:val="auto"/>
          <w:kern w:val="0"/>
          <w:sz w:val="28"/>
          <w:szCs w:val="28"/>
          <w:highlight w:val="none"/>
        </w:rPr>
      </w:pPr>
    </w:p>
    <w:p w14:paraId="26FC0627">
      <w:pPr>
        <w:snapToGrid w:val="0"/>
        <w:spacing w:line="360" w:lineRule="auto"/>
        <w:ind w:right="480"/>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四、本项目的特定资格要求</w:t>
      </w:r>
    </w:p>
    <w:p w14:paraId="2D84D53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（根据招标公告本项目的特定资格要求提供相应的材料；未要求的，无需提供）</w:t>
      </w:r>
    </w:p>
    <w:p w14:paraId="5BF49105">
      <w:pPr>
        <w:rPr>
          <w:rFonts w:hint="eastAsia" w:ascii="宋体" w:hAnsi="宋体" w:cs="宋体"/>
          <w:color w:val="auto"/>
          <w:szCs w:val="21"/>
          <w:highlight w:val="none"/>
        </w:rPr>
      </w:pPr>
    </w:p>
    <w:p w14:paraId="506C5830">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7800E70">
      <w:pPr>
        <w:pStyle w:val="5"/>
        <w:jc w:val="center"/>
        <w:rPr>
          <w:rFonts w:hint="eastAsia"/>
          <w:color w:val="auto"/>
          <w:highlight w:val="none"/>
        </w:rPr>
      </w:pPr>
      <w:r>
        <w:rPr>
          <w:rFonts w:hint="eastAsia"/>
          <w:color w:val="auto"/>
          <w:highlight w:val="none"/>
        </w:rPr>
        <w:t>商务技术文件部分目录</w:t>
      </w:r>
    </w:p>
    <w:p w14:paraId="36B6D932">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（1）投标函…………………………………………………………………………………（页码）（2）授权委托书或法定代表人（单位负责人、自然人本人）身份证明………………（页码）</w:t>
      </w:r>
    </w:p>
    <w:p w14:paraId="1FB72C55">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）分包意向协议…………………………………………………………………………（页码）</w:t>
      </w:r>
    </w:p>
    <w:p w14:paraId="512C723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）符合性审查资料…………………………………………………………………………（页码）</w:t>
      </w:r>
    </w:p>
    <w:p w14:paraId="3125E6A5">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）评标标准相应的商务技术资料………………………………………………………（页码）    （</w:t>
      </w:r>
      <w:r>
        <w:rPr>
          <w:rFonts w:ascii="宋体" w:hAnsi="宋体" w:cs="宋体"/>
          <w:color w:val="auto"/>
          <w:szCs w:val="21"/>
          <w:highlight w:val="none"/>
        </w:rPr>
        <w:t>6</w:t>
      </w:r>
      <w:r>
        <w:rPr>
          <w:rFonts w:hint="eastAsia" w:ascii="宋体" w:hAnsi="宋体" w:cs="宋体"/>
          <w:color w:val="auto"/>
          <w:szCs w:val="21"/>
          <w:highlight w:val="none"/>
        </w:rPr>
        <w:t>）投标标的清单………………………………………………………………………（页码）      （</w:t>
      </w:r>
      <w:r>
        <w:rPr>
          <w:rFonts w:ascii="宋体" w:hAnsi="宋体" w:cs="宋体"/>
          <w:color w:val="auto"/>
          <w:szCs w:val="21"/>
          <w:highlight w:val="none"/>
        </w:rPr>
        <w:t>7</w:t>
      </w:r>
      <w:r>
        <w:rPr>
          <w:rFonts w:hint="eastAsia" w:ascii="宋体" w:hAnsi="宋体" w:cs="宋体"/>
          <w:color w:val="auto"/>
          <w:szCs w:val="21"/>
          <w:highlight w:val="none"/>
        </w:rPr>
        <w:t>）商务技术偏离表…………………………………………………………………………（页码）</w:t>
      </w:r>
    </w:p>
    <w:p w14:paraId="160E12CC">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r>
        <w:rPr>
          <w:rFonts w:hint="eastAsia" w:ascii="宋体" w:hAnsi="宋体" w:cs="宋体"/>
          <w:color w:val="auto"/>
          <w:szCs w:val="21"/>
          <w:highlight w:val="none"/>
        </w:rPr>
        <w:t>………………………………………………………（页码）</w:t>
      </w:r>
    </w:p>
    <w:p w14:paraId="34F3E132">
      <w:pPr>
        <w:snapToGrid w:val="0"/>
        <w:spacing w:line="360" w:lineRule="auto"/>
        <w:jc w:val="center"/>
        <w:rPr>
          <w:rFonts w:hint="eastAsia" w:ascii="宋体" w:hAnsi="宋体" w:cs="宋体"/>
          <w:b/>
          <w:color w:val="auto"/>
          <w:kern w:val="0"/>
          <w:szCs w:val="21"/>
          <w:highlight w:val="none"/>
          <w:lang w:val="zh-CN"/>
        </w:rPr>
      </w:pPr>
    </w:p>
    <w:p w14:paraId="0B1300C7">
      <w:pPr>
        <w:snapToGrid w:val="0"/>
        <w:spacing w:line="360" w:lineRule="auto"/>
        <w:jc w:val="center"/>
        <w:rPr>
          <w:rFonts w:hint="eastAsia" w:ascii="宋体" w:hAnsi="宋体" w:cs="宋体"/>
          <w:b/>
          <w:color w:val="auto"/>
          <w:kern w:val="0"/>
          <w:sz w:val="32"/>
          <w:szCs w:val="32"/>
          <w:highlight w:val="none"/>
          <w:lang w:val="zh-CN"/>
        </w:rPr>
      </w:pPr>
    </w:p>
    <w:p w14:paraId="73117BF3">
      <w:pPr>
        <w:snapToGrid w:val="0"/>
        <w:spacing w:line="360" w:lineRule="auto"/>
        <w:jc w:val="center"/>
        <w:rPr>
          <w:rFonts w:hint="eastAsia" w:ascii="宋体" w:hAnsi="宋体" w:cs="宋体"/>
          <w:b/>
          <w:color w:val="auto"/>
          <w:kern w:val="0"/>
          <w:sz w:val="32"/>
          <w:szCs w:val="32"/>
          <w:highlight w:val="none"/>
          <w:lang w:val="zh-CN"/>
        </w:rPr>
      </w:pPr>
    </w:p>
    <w:p w14:paraId="00CD192F">
      <w:pPr>
        <w:snapToGrid w:val="0"/>
        <w:spacing w:line="360" w:lineRule="auto"/>
        <w:jc w:val="center"/>
        <w:rPr>
          <w:rFonts w:hint="eastAsia" w:ascii="宋体" w:hAnsi="宋体" w:cs="宋体"/>
          <w:b/>
          <w:color w:val="auto"/>
          <w:kern w:val="0"/>
          <w:sz w:val="32"/>
          <w:szCs w:val="32"/>
          <w:highlight w:val="none"/>
          <w:lang w:val="zh-CN"/>
        </w:rPr>
      </w:pPr>
    </w:p>
    <w:p w14:paraId="574BD5F2">
      <w:pPr>
        <w:snapToGrid w:val="0"/>
        <w:spacing w:line="360" w:lineRule="auto"/>
        <w:jc w:val="center"/>
        <w:rPr>
          <w:rFonts w:hint="eastAsia" w:ascii="宋体" w:hAnsi="宋体" w:cs="宋体"/>
          <w:b/>
          <w:color w:val="auto"/>
          <w:kern w:val="0"/>
          <w:sz w:val="32"/>
          <w:szCs w:val="32"/>
          <w:highlight w:val="none"/>
          <w:lang w:val="zh-CN"/>
        </w:rPr>
      </w:pPr>
    </w:p>
    <w:p w14:paraId="135B95C3">
      <w:pPr>
        <w:snapToGrid w:val="0"/>
        <w:spacing w:line="360" w:lineRule="auto"/>
        <w:jc w:val="center"/>
        <w:rPr>
          <w:rFonts w:hint="eastAsia" w:ascii="宋体" w:hAnsi="宋体" w:cs="宋体"/>
          <w:b/>
          <w:color w:val="auto"/>
          <w:kern w:val="0"/>
          <w:sz w:val="32"/>
          <w:szCs w:val="32"/>
          <w:highlight w:val="none"/>
        </w:rPr>
      </w:pPr>
    </w:p>
    <w:p w14:paraId="3B8D078C">
      <w:pPr>
        <w:snapToGrid w:val="0"/>
        <w:spacing w:line="360" w:lineRule="auto"/>
        <w:jc w:val="center"/>
        <w:rPr>
          <w:rFonts w:hint="eastAsia" w:ascii="宋体" w:hAnsi="宋体" w:cs="宋体"/>
          <w:b/>
          <w:color w:val="auto"/>
          <w:kern w:val="0"/>
          <w:sz w:val="32"/>
          <w:szCs w:val="32"/>
          <w:highlight w:val="none"/>
        </w:rPr>
      </w:pPr>
    </w:p>
    <w:p w14:paraId="2C67580F">
      <w:pPr>
        <w:rPr>
          <w:rFonts w:hint="eastAsia" w:ascii="宋体" w:hAnsi="宋体" w:cs="宋体"/>
          <w:color w:val="auto"/>
          <w:highlight w:val="none"/>
        </w:rPr>
      </w:pPr>
    </w:p>
    <w:p w14:paraId="13A9F4E5">
      <w:pPr>
        <w:jc w:val="left"/>
        <w:rPr>
          <w:color w:val="auto"/>
          <w:highlight w:val="none"/>
        </w:rPr>
      </w:pPr>
    </w:p>
    <w:p w14:paraId="7A24A691">
      <w:pPr>
        <w:jc w:val="left"/>
        <w:rPr>
          <w:color w:val="auto"/>
          <w:highlight w:val="none"/>
        </w:rPr>
      </w:pPr>
    </w:p>
    <w:p w14:paraId="6B16FD69">
      <w:pPr>
        <w:rPr>
          <w:color w:val="auto"/>
          <w:highlight w:val="none"/>
        </w:rPr>
      </w:pPr>
    </w:p>
    <w:p w14:paraId="6C04A558">
      <w:pPr>
        <w:rPr>
          <w:color w:val="auto"/>
          <w:highlight w:val="none"/>
        </w:rPr>
      </w:pPr>
    </w:p>
    <w:p w14:paraId="09481915">
      <w:pPr>
        <w:rPr>
          <w:color w:val="auto"/>
          <w:highlight w:val="none"/>
        </w:rPr>
      </w:pPr>
    </w:p>
    <w:p w14:paraId="2DF6F4B3">
      <w:pPr>
        <w:rPr>
          <w:color w:val="auto"/>
          <w:highlight w:val="none"/>
        </w:rPr>
      </w:pPr>
    </w:p>
    <w:p w14:paraId="76164819">
      <w:pPr>
        <w:rPr>
          <w:color w:val="auto"/>
          <w:highlight w:val="none"/>
        </w:rPr>
      </w:pPr>
    </w:p>
    <w:p w14:paraId="4FD8D573">
      <w:pPr>
        <w:widowControl/>
        <w:adjustRightInd/>
        <w:jc w:val="left"/>
        <w:rPr>
          <w:color w:val="auto"/>
          <w:highlight w:val="none"/>
        </w:rPr>
      </w:pPr>
      <w:r>
        <w:rPr>
          <w:color w:val="auto"/>
          <w:highlight w:val="none"/>
        </w:rPr>
        <w:br w:type="page"/>
      </w:r>
    </w:p>
    <w:p w14:paraId="4C818C0C">
      <w:pPr>
        <w:snapToGrid w:val="0"/>
        <w:spacing w:line="360" w:lineRule="auto"/>
        <w:ind w:right="480"/>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一、投标函</w:t>
      </w:r>
    </w:p>
    <w:p w14:paraId="20E6781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杭州市生态环境局上城分局 、浙江省成套招标代理有限公司：</w:t>
      </w:r>
    </w:p>
    <w:p w14:paraId="4499A1A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我方参加你方组织的上城区同协路道路扬尘智能化管控项目【招标编号：CTZB-2025060603】招标的有关活动，并对此项目进行投标。为此：</w:t>
      </w:r>
    </w:p>
    <w:p w14:paraId="54DB96A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天（不少于90天），本投标文件在投标有效期满之前均具有约束力。</w:t>
      </w:r>
    </w:p>
    <w:p w14:paraId="0730533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2、我方的投标文件包括以下内容：</w:t>
      </w:r>
    </w:p>
    <w:p w14:paraId="63F58C85">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2.1资格文件：</w:t>
      </w:r>
    </w:p>
    <w:p w14:paraId="5E1CA9D9">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2.1.1承诺函；</w:t>
      </w:r>
    </w:p>
    <w:p w14:paraId="0CACDA61">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w:t>
      </w:r>
      <w:r>
        <w:rPr>
          <w:rFonts w:hint="eastAsia" w:ascii="宋体" w:hAnsi="宋体" w:cs="宋体"/>
          <w:snapToGrid w:val="0"/>
          <w:color w:val="auto"/>
          <w:kern w:val="28"/>
          <w:szCs w:val="21"/>
          <w:highlight w:val="none"/>
        </w:rPr>
        <w:t>联合协议（如果有)；</w:t>
      </w:r>
    </w:p>
    <w:p w14:paraId="5E4267F8">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.1.3</w:t>
      </w:r>
      <w:r>
        <w:rPr>
          <w:rFonts w:hint="eastAsia" w:ascii="宋体" w:hAnsi="宋体" w:cs="宋体"/>
          <w:color w:val="auto"/>
          <w:szCs w:val="21"/>
          <w:highlight w:val="none"/>
        </w:rPr>
        <w:t>落实政府采购政策需满足的资格要求</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14:paraId="349B7FCB">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ascii="宋体" w:hAnsi="宋体" w:cs="宋体"/>
          <w:color w:val="auto"/>
          <w:szCs w:val="21"/>
          <w:highlight w:val="none"/>
        </w:rPr>
        <w:t>4</w:t>
      </w:r>
      <w:r>
        <w:rPr>
          <w:rFonts w:hint="eastAsia" w:ascii="宋体" w:hAnsi="宋体" w:cs="宋体"/>
          <w:color w:val="auto"/>
          <w:szCs w:val="21"/>
          <w:highlight w:val="none"/>
        </w:rPr>
        <w:t>本项目的特定资格要求</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14:paraId="4C825B66">
      <w:pPr>
        <w:snapToGrid w:val="0"/>
        <w:spacing w:line="360" w:lineRule="auto"/>
        <w:ind w:left="210" w:leftChars="100"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14:paraId="3FF92AED">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2.2.1投标函；</w:t>
      </w:r>
      <w:r>
        <w:rPr>
          <w:rFonts w:hint="eastAsia" w:ascii="宋体" w:hAnsi="宋体" w:cs="宋体"/>
          <w:color w:val="auto"/>
          <w:szCs w:val="21"/>
          <w:highlight w:val="none"/>
          <w:lang w:val="zh-CN"/>
        </w:rPr>
        <w:t xml:space="preserve"> </w:t>
      </w:r>
    </w:p>
    <w:p w14:paraId="54F09BE4">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2.2.2授权委托书或法定代表人（单位负责人）身份证明；</w:t>
      </w:r>
    </w:p>
    <w:p w14:paraId="2D9952D8">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分包意向协议</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14:paraId="6E0BFA37">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4</w:t>
      </w:r>
      <w:r>
        <w:rPr>
          <w:rFonts w:hint="eastAsia" w:ascii="宋体" w:hAnsi="宋体" w:cs="宋体"/>
          <w:color w:val="auto"/>
          <w:szCs w:val="21"/>
          <w:highlight w:val="none"/>
        </w:rPr>
        <w:t>符合性审查资料；</w:t>
      </w:r>
    </w:p>
    <w:p w14:paraId="5C8AF056">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5</w:t>
      </w:r>
      <w:r>
        <w:rPr>
          <w:rFonts w:hint="eastAsia" w:ascii="宋体" w:hAnsi="宋体" w:cs="宋体"/>
          <w:color w:val="auto"/>
          <w:szCs w:val="21"/>
          <w:highlight w:val="none"/>
        </w:rPr>
        <w:t>评标标准相应的商务技术资料；</w:t>
      </w:r>
    </w:p>
    <w:p w14:paraId="593303DC">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6</w:t>
      </w:r>
      <w:r>
        <w:rPr>
          <w:rFonts w:hint="eastAsia" w:ascii="宋体" w:hAnsi="宋体" w:cs="宋体"/>
          <w:color w:val="auto"/>
          <w:szCs w:val="21"/>
          <w:highlight w:val="none"/>
        </w:rPr>
        <w:t>投标标的清单；</w:t>
      </w:r>
    </w:p>
    <w:p w14:paraId="1527E8FD">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7</w:t>
      </w:r>
      <w:r>
        <w:rPr>
          <w:rFonts w:hint="eastAsia" w:ascii="宋体" w:hAnsi="宋体" w:cs="宋体"/>
          <w:color w:val="auto"/>
          <w:szCs w:val="21"/>
          <w:highlight w:val="none"/>
        </w:rPr>
        <w:t>商务技术偏离表；</w:t>
      </w:r>
    </w:p>
    <w:p w14:paraId="3721F220">
      <w:pPr>
        <w:snapToGrid w:val="0"/>
        <w:spacing w:line="360" w:lineRule="auto"/>
        <w:ind w:left="420" w:leftChars="200"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14:paraId="2C5282A7">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3报价文件</w:t>
      </w:r>
    </w:p>
    <w:p w14:paraId="746B1004">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2.3.1开标一览表（报价表）；</w:t>
      </w:r>
    </w:p>
    <w:p w14:paraId="4A525101">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2.3.2中小企业声明函（如果有）。</w:t>
      </w:r>
    </w:p>
    <w:p w14:paraId="52FA6E6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3、我方承诺除商务技术偏离表列出的偏离外，我方响应招标文件的全部要求。对投标文件中材料的真实性、合法性负责，积极配合采购人、采购代理机构复核投标文件中的资料。</w:t>
      </w:r>
    </w:p>
    <w:p w14:paraId="6C6A337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4、如我方中标，我方承诺：</w:t>
      </w:r>
    </w:p>
    <w:p w14:paraId="41464CF4">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4.1在收到中标通知书后，在中标通知书规定的期限内与你方签订合同； </w:t>
      </w:r>
    </w:p>
    <w:p w14:paraId="410300EF">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4.2在签订合同时不向你方提出附加条件； </w:t>
      </w:r>
    </w:p>
    <w:p w14:paraId="2B47B7ED">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4.3按照招标文件要求提交履约保证金； </w:t>
      </w:r>
    </w:p>
    <w:p w14:paraId="7967D68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4.4在合同约定的期限内完成合同规定的全部义务。</w:t>
      </w:r>
    </w:p>
    <w:p w14:paraId="1F9E450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r>
        <w:rPr>
          <w:rFonts w:hint="eastAsia" w:ascii="宋体" w:hAnsi="宋体" w:cs="宋体"/>
          <w:color w:val="auto"/>
          <w:szCs w:val="21"/>
          <w:highlight w:val="none"/>
        </w:rPr>
        <w:t xml:space="preserve"> </w:t>
      </w:r>
    </w:p>
    <w:p w14:paraId="15C9D4F6">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5、其他补充说明: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AFBB18A">
      <w:pPr>
        <w:spacing w:line="360" w:lineRule="auto"/>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 xml:space="preserve">投标人名称（电子签名）：                          </w:t>
      </w:r>
    </w:p>
    <w:p w14:paraId="24D6E29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日期：  年   月   日</w:t>
      </w:r>
    </w:p>
    <w:p w14:paraId="62C04EAA">
      <w:pPr>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注：按本格式和要求提供。</w:t>
      </w:r>
    </w:p>
    <w:p w14:paraId="0696C15A">
      <w:pPr>
        <w:rPr>
          <w:rFonts w:hint="eastAsia" w:ascii="宋体" w:hAnsi="宋体" w:cs="宋体"/>
          <w:b/>
          <w:color w:val="auto"/>
          <w:kern w:val="0"/>
          <w:sz w:val="28"/>
          <w:szCs w:val="28"/>
          <w:highlight w:val="none"/>
          <w:lang w:val="en-US"/>
        </w:rPr>
      </w:pPr>
      <w:r>
        <w:rPr>
          <w:rFonts w:hint="eastAsia" w:ascii="宋体" w:hAnsi="宋体" w:cs="宋体"/>
          <w:b/>
          <w:color w:val="auto"/>
          <w:kern w:val="0"/>
          <w:sz w:val="28"/>
          <w:szCs w:val="28"/>
          <w:highlight w:val="none"/>
          <w:lang w:val="en-US"/>
        </w:rPr>
        <w:br w:type="page"/>
      </w:r>
    </w:p>
    <w:p w14:paraId="60845B42">
      <w:pPr>
        <w:snapToGrid w:val="0"/>
        <w:spacing w:line="360" w:lineRule="auto"/>
        <w:ind w:right="480"/>
        <w:jc w:val="center"/>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二、授权委托书或法定代表人（单位负责人、自然人本人）身份证明</w:t>
      </w:r>
    </w:p>
    <w:p w14:paraId="50ADCA5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63863DE">
      <w:pPr>
        <w:snapToGrid w:val="0"/>
        <w:spacing w:line="360" w:lineRule="auto"/>
        <w:ind w:firstLine="2513" w:firstLineChars="894"/>
        <w:rPr>
          <w:rFonts w:hint="eastAsia" w:ascii="宋体" w:hAnsi="宋体" w:cs="宋体"/>
          <w:color w:val="auto"/>
          <w:highlight w:val="none"/>
        </w:rPr>
      </w:pPr>
      <w:r>
        <w:rPr>
          <w:rFonts w:hint="eastAsia" w:ascii="宋体" w:hAnsi="宋体" w:cs="宋体"/>
          <w:b/>
          <w:color w:val="auto"/>
          <w:kern w:val="0"/>
          <w:sz w:val="28"/>
          <w:szCs w:val="28"/>
          <w:highlight w:val="none"/>
          <w:lang w:val="zh-CN"/>
        </w:rPr>
        <w:t xml:space="preserve">授权委托书（适用于非联合体投标） </w:t>
      </w:r>
      <w:r>
        <w:rPr>
          <w:rFonts w:hint="eastAsia" w:ascii="宋体" w:hAnsi="宋体" w:cs="宋体"/>
          <w:color w:val="auto"/>
          <w:highlight w:val="none"/>
        </w:rPr>
        <w:t xml:space="preserve">                              </w:t>
      </w:r>
    </w:p>
    <w:p w14:paraId="2C5C0395">
      <w:pPr>
        <w:snapToGrid w:val="0"/>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杭州市生态环境局上城分局 、浙江省成套招标代理有限公司</w:t>
      </w:r>
      <w:r>
        <w:rPr>
          <w:rFonts w:hint="eastAsia" w:ascii="宋体" w:hAnsi="宋体" w:cs="宋体"/>
          <w:color w:val="auto"/>
          <w:kern w:val="0"/>
          <w:szCs w:val="21"/>
          <w:highlight w:val="none"/>
          <w:lang w:val="zh-CN"/>
        </w:rPr>
        <w:t>：</w:t>
      </w:r>
    </w:p>
    <w:p w14:paraId="61022CFD">
      <w:pPr>
        <w:snapToGrid w:val="0"/>
        <w:spacing w:line="360" w:lineRule="auto"/>
        <w:ind w:firstLine="576"/>
        <w:rPr>
          <w:rFonts w:hint="eastAsia"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rPr>
        <w:t>上城区同协路道路扬尘智能化管控项目【招标编号：CTZB-2025060603】</w:t>
      </w:r>
      <w:r>
        <w:rPr>
          <w:rFonts w:hint="eastAsia" w:ascii="宋体" w:hAnsi="宋体" w:cs="宋体"/>
          <w:color w:val="auto"/>
          <w:kern w:val="0"/>
          <w:szCs w:val="21"/>
          <w:highlight w:val="none"/>
          <w:lang w:val="zh-CN"/>
        </w:rPr>
        <w:t>政府采购投标的一切事项，其法律后果由我方承担。</w:t>
      </w:r>
    </w:p>
    <w:p w14:paraId="2B84D927">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228B6E95">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14:paraId="5A1E138F">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 xml:space="preserve">                                                 投标人名称(电子签名)：</w:t>
      </w:r>
    </w:p>
    <w:p w14:paraId="4EE12F16">
      <w:pPr>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签发日期：  年  月   日</w:t>
      </w:r>
    </w:p>
    <w:p w14:paraId="2FD84C8A">
      <w:pPr>
        <w:snapToGrid w:val="0"/>
        <w:spacing w:line="360" w:lineRule="auto"/>
        <w:rPr>
          <w:rFonts w:hint="eastAsia" w:ascii="宋体" w:hAnsi="宋体" w:cs="宋体"/>
          <w:color w:val="auto"/>
          <w:szCs w:val="21"/>
          <w:highlight w:val="none"/>
        </w:rPr>
      </w:pPr>
    </w:p>
    <w:p w14:paraId="17FD130A">
      <w:pPr>
        <w:snapToGrid w:val="0"/>
        <w:spacing w:line="360" w:lineRule="auto"/>
        <w:rPr>
          <w:rFonts w:hint="eastAsia" w:ascii="宋体" w:hAnsi="宋体" w:cs="宋体"/>
          <w:color w:val="auto"/>
          <w:sz w:val="24"/>
          <w:highlight w:val="none"/>
        </w:rPr>
      </w:pPr>
    </w:p>
    <w:p w14:paraId="62D0365B">
      <w:pPr>
        <w:snapToGrid w:val="0"/>
        <w:spacing w:line="360" w:lineRule="auto"/>
        <w:rPr>
          <w:rFonts w:hint="eastAsia" w:ascii="宋体" w:hAnsi="宋体" w:cs="宋体"/>
          <w:color w:val="auto"/>
          <w:sz w:val="24"/>
          <w:highlight w:val="none"/>
        </w:rPr>
      </w:pPr>
    </w:p>
    <w:p w14:paraId="68C22516">
      <w:pPr>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28"/>
          <w:szCs w:val="28"/>
          <w:highlight w:val="none"/>
          <w:lang w:val="zh-CN"/>
        </w:rPr>
        <w:t>授权委托书（适用于联合体投标）</w:t>
      </w:r>
    </w:p>
    <w:p w14:paraId="7B15A9A3">
      <w:pPr>
        <w:snapToGrid w:val="0"/>
        <w:spacing w:line="360" w:lineRule="auto"/>
        <w:rPr>
          <w:rFonts w:hint="eastAsia" w:ascii="宋体" w:hAnsi="宋体" w:cs="宋体"/>
          <w:color w:val="auto"/>
          <w:szCs w:val="21"/>
          <w:highlight w:val="none"/>
        </w:rPr>
      </w:pPr>
    </w:p>
    <w:p w14:paraId="0919BA98">
      <w:pPr>
        <w:snapToGrid w:val="0"/>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杭州市生态环境局上城分局 、浙江省成套招标代理有限公司</w:t>
      </w:r>
      <w:r>
        <w:rPr>
          <w:rFonts w:hint="eastAsia" w:ascii="宋体" w:hAnsi="宋体" w:cs="宋体"/>
          <w:color w:val="auto"/>
          <w:kern w:val="0"/>
          <w:szCs w:val="21"/>
          <w:highlight w:val="none"/>
          <w:lang w:val="zh-CN"/>
        </w:rPr>
        <w:t>：</w:t>
      </w:r>
    </w:p>
    <w:p w14:paraId="3B180DBE">
      <w:pPr>
        <w:snapToGrid w:val="0"/>
        <w:spacing w:line="360" w:lineRule="auto"/>
        <w:ind w:firstLine="576"/>
        <w:rPr>
          <w:rFonts w:hint="eastAsia"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rPr>
        <w:t>上城区同协路道路扬尘智能化管控项目【招标编号：CTZB-2025060603】</w:t>
      </w:r>
      <w:r>
        <w:rPr>
          <w:rFonts w:hint="eastAsia" w:ascii="宋体" w:hAnsi="宋体" w:cs="宋体"/>
          <w:color w:val="auto"/>
          <w:kern w:val="0"/>
          <w:szCs w:val="21"/>
          <w:highlight w:val="none"/>
          <w:lang w:val="zh-CN"/>
        </w:rPr>
        <w:t>政府采购投标的一切事项，其法律后果由我方承担。</w:t>
      </w:r>
    </w:p>
    <w:p w14:paraId="24D41887">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77BDB919">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14:paraId="4472EDEA">
      <w:pPr>
        <w:jc w:val="center"/>
        <w:rPr>
          <w:rFonts w:hint="eastAsia" w:ascii="宋体" w:hAnsi="宋体" w:cs="宋体"/>
          <w:b/>
          <w:color w:val="auto"/>
          <w:kern w:val="0"/>
          <w:sz w:val="32"/>
          <w:szCs w:val="32"/>
          <w:highlight w:val="none"/>
        </w:rPr>
      </w:pPr>
    </w:p>
    <w:p w14:paraId="081E1156">
      <w:pPr>
        <w:jc w:val="center"/>
        <w:rPr>
          <w:rFonts w:hint="eastAsia" w:ascii="宋体" w:hAnsi="宋体" w:cs="宋体"/>
          <w:b/>
          <w:color w:val="auto"/>
          <w:kern w:val="0"/>
          <w:sz w:val="32"/>
          <w:szCs w:val="32"/>
          <w:highlight w:val="none"/>
        </w:rPr>
      </w:pPr>
    </w:p>
    <w:p w14:paraId="048BD63B">
      <w:pPr>
        <w:jc w:val="center"/>
        <w:rPr>
          <w:rFonts w:hint="eastAsia" w:ascii="宋体" w:hAnsi="宋体" w:cs="宋体"/>
          <w:b/>
          <w:color w:val="auto"/>
          <w:kern w:val="0"/>
          <w:sz w:val="32"/>
          <w:szCs w:val="32"/>
          <w:highlight w:val="none"/>
        </w:rPr>
      </w:pPr>
    </w:p>
    <w:p w14:paraId="03A63B93">
      <w:pPr>
        <w:rPr>
          <w:rFonts w:hint="eastAsia" w:ascii="宋体" w:hAnsi="宋体" w:cs="宋体"/>
          <w:color w:val="auto"/>
          <w:szCs w:val="21"/>
          <w:highlight w:val="none"/>
        </w:rPr>
      </w:pPr>
    </w:p>
    <w:p w14:paraId="1B483B57">
      <w:pPr>
        <w:snapToGrid w:val="0"/>
        <w:spacing w:line="360" w:lineRule="auto"/>
        <w:ind w:firstLine="4410" w:firstLineChars="21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3D193047">
      <w:pPr>
        <w:snapToGrid w:val="0"/>
        <w:spacing w:line="360" w:lineRule="auto"/>
        <w:ind w:firstLine="4410" w:firstLineChars="21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0A5DEC10">
      <w:pPr>
        <w:snapToGrid w:val="0"/>
        <w:spacing w:line="360" w:lineRule="auto"/>
        <w:ind w:firstLine="5040" w:firstLineChars="2400"/>
        <w:rPr>
          <w:rFonts w:hint="eastAsia" w:ascii="宋体" w:hAnsi="宋体" w:cs="宋体"/>
          <w:color w:val="auto"/>
          <w:szCs w:val="21"/>
          <w:highlight w:val="none"/>
        </w:rPr>
      </w:pPr>
      <w:r>
        <w:rPr>
          <w:rFonts w:hint="eastAsia" w:ascii="宋体" w:hAnsi="宋体" w:cs="宋体"/>
          <w:color w:val="auto"/>
          <w:kern w:val="0"/>
          <w:szCs w:val="21"/>
          <w:highlight w:val="none"/>
          <w:lang w:val="zh-CN"/>
        </w:rPr>
        <w:t>……</w:t>
      </w:r>
    </w:p>
    <w:p w14:paraId="5035D43D">
      <w:pPr>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3C1C0B5E">
      <w:pPr>
        <w:jc w:val="center"/>
        <w:rPr>
          <w:rFonts w:hint="eastAsia" w:ascii="宋体" w:hAnsi="宋体" w:cs="宋体"/>
          <w:b/>
          <w:color w:val="auto"/>
          <w:kern w:val="0"/>
          <w:sz w:val="28"/>
          <w:szCs w:val="28"/>
          <w:highlight w:val="none"/>
          <w:lang w:val="zh-CN"/>
        </w:rPr>
      </w:pPr>
    </w:p>
    <w:p w14:paraId="1AECDB82">
      <w:pPr>
        <w:jc w:val="center"/>
        <w:rPr>
          <w:rFonts w:hint="eastAsia" w:ascii="宋体" w:hAnsi="宋体" w:cs="宋体"/>
          <w:b/>
          <w:color w:val="auto"/>
          <w:kern w:val="0"/>
          <w:sz w:val="28"/>
          <w:szCs w:val="28"/>
          <w:highlight w:val="none"/>
          <w:lang w:val="zh-CN"/>
        </w:rPr>
      </w:pPr>
    </w:p>
    <w:p w14:paraId="0BADD336">
      <w:pPr>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br w:type="page"/>
      </w:r>
    </w:p>
    <w:p w14:paraId="268C6EF3">
      <w:pPr>
        <w:spacing w:line="360" w:lineRule="auto"/>
        <w:jc w:val="center"/>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法定代表人、单位负责人或自然人本人的身份证明（适用于法定代表人、单位负责人或者自然人本人代表投标人参加投标）</w:t>
      </w:r>
    </w:p>
    <w:p w14:paraId="748919D2">
      <w:pPr>
        <w:pStyle w:val="149"/>
        <w:spacing w:line="360" w:lineRule="auto"/>
        <w:rPr>
          <w:rFonts w:hint="eastAsia" w:hAnsi="宋体" w:cs="宋体"/>
          <w:bCs/>
          <w:color w:val="auto"/>
          <w:highlight w:val="none"/>
        </w:rPr>
      </w:pPr>
      <w:r>
        <w:rPr>
          <w:rFonts w:hint="eastAsia" w:hAnsi="宋体" w:cs="宋体"/>
          <w:bCs/>
          <w:color w:val="auto"/>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84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B07A4F">
            <w:pPr>
              <w:pStyle w:val="149"/>
              <w:adjustRightInd w:val="0"/>
              <w:spacing w:line="360" w:lineRule="auto"/>
              <w:rPr>
                <w:rFonts w:hint="eastAsia" w:hAnsi="宋体" w:cs="宋体"/>
                <w:bCs/>
                <w:color w:val="auto"/>
                <w:highlight w:val="none"/>
              </w:rPr>
            </w:pPr>
            <w:r>
              <w:rPr>
                <w:rFonts w:hint="eastAsia" w:hAnsi="宋体" w:cs="宋体"/>
                <w:bCs/>
                <w:color w:val="auto"/>
                <w:highlight w:val="none"/>
              </w:rPr>
              <w:t>正面：                                 反面：</w:t>
            </w:r>
          </w:p>
          <w:p w14:paraId="6F510DA0">
            <w:pPr>
              <w:pStyle w:val="149"/>
              <w:adjustRightInd w:val="0"/>
              <w:spacing w:line="360" w:lineRule="auto"/>
              <w:rPr>
                <w:rFonts w:hint="eastAsia" w:hAnsi="宋体" w:cs="宋体"/>
                <w:bCs/>
                <w:color w:val="auto"/>
                <w:highlight w:val="none"/>
              </w:rPr>
            </w:pPr>
          </w:p>
        </w:tc>
      </w:tr>
    </w:tbl>
    <w:p w14:paraId="62FAA531">
      <w:pPr>
        <w:snapToGrid w:val="0"/>
        <w:spacing w:line="360" w:lineRule="auto"/>
        <w:ind w:firstLine="576"/>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w:t>
      </w:r>
    </w:p>
    <w:p w14:paraId="44A0360C">
      <w:pPr>
        <w:snapToGrid w:val="0"/>
        <w:spacing w:line="360" w:lineRule="auto"/>
        <w:ind w:firstLine="576"/>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投标人名称(电子签名)：                              </w:t>
      </w:r>
    </w:p>
    <w:p w14:paraId="51463DC1">
      <w:pPr>
        <w:spacing w:line="360" w:lineRule="auto"/>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0EBBF553">
      <w:pPr>
        <w:jc w:val="center"/>
        <w:rPr>
          <w:rFonts w:hint="eastAsia" w:ascii="宋体" w:hAnsi="宋体" w:cs="宋体"/>
          <w:b/>
          <w:color w:val="auto"/>
          <w:kern w:val="0"/>
          <w:szCs w:val="21"/>
          <w:highlight w:val="none"/>
        </w:rPr>
      </w:pPr>
    </w:p>
    <w:p w14:paraId="5BBF2D52">
      <w:pPr>
        <w:jc w:val="center"/>
        <w:rPr>
          <w:rFonts w:hint="eastAsia" w:ascii="宋体" w:hAnsi="宋体" w:cs="宋体"/>
          <w:b/>
          <w:color w:val="auto"/>
          <w:kern w:val="0"/>
          <w:sz w:val="32"/>
          <w:szCs w:val="32"/>
          <w:highlight w:val="none"/>
        </w:rPr>
      </w:pPr>
    </w:p>
    <w:p w14:paraId="503A7728">
      <w:pPr>
        <w:jc w:val="center"/>
        <w:rPr>
          <w:rFonts w:hint="eastAsia" w:ascii="宋体" w:hAnsi="宋体" w:cs="宋体"/>
          <w:b/>
          <w:color w:val="auto"/>
          <w:kern w:val="0"/>
          <w:sz w:val="32"/>
          <w:szCs w:val="32"/>
          <w:highlight w:val="none"/>
        </w:rPr>
      </w:pPr>
    </w:p>
    <w:p w14:paraId="6DFA2799">
      <w:pPr>
        <w:jc w:val="center"/>
        <w:rPr>
          <w:rFonts w:hint="eastAsia" w:ascii="宋体" w:hAnsi="宋体" w:cs="宋体"/>
          <w:b/>
          <w:color w:val="auto"/>
          <w:kern w:val="0"/>
          <w:sz w:val="32"/>
          <w:szCs w:val="32"/>
          <w:highlight w:val="none"/>
        </w:rPr>
      </w:pPr>
    </w:p>
    <w:p w14:paraId="30CE1244">
      <w:pPr>
        <w:jc w:val="center"/>
        <w:rPr>
          <w:rFonts w:hint="eastAsia" w:ascii="宋体" w:hAnsi="宋体" w:cs="宋体"/>
          <w:b/>
          <w:color w:val="auto"/>
          <w:kern w:val="0"/>
          <w:sz w:val="32"/>
          <w:szCs w:val="32"/>
          <w:highlight w:val="none"/>
        </w:rPr>
      </w:pPr>
    </w:p>
    <w:p w14:paraId="6C9F93F1">
      <w:pPr>
        <w:jc w:val="center"/>
        <w:rPr>
          <w:rFonts w:hint="eastAsia" w:ascii="宋体" w:hAnsi="宋体" w:cs="宋体"/>
          <w:b/>
          <w:color w:val="auto"/>
          <w:kern w:val="0"/>
          <w:sz w:val="32"/>
          <w:szCs w:val="32"/>
          <w:highlight w:val="none"/>
        </w:rPr>
      </w:pPr>
    </w:p>
    <w:p w14:paraId="40FB6B34">
      <w:pPr>
        <w:jc w:val="center"/>
        <w:rPr>
          <w:rFonts w:hint="eastAsia" w:ascii="宋体" w:hAnsi="宋体" w:cs="宋体"/>
          <w:b/>
          <w:color w:val="auto"/>
          <w:kern w:val="0"/>
          <w:sz w:val="32"/>
          <w:szCs w:val="32"/>
          <w:highlight w:val="none"/>
        </w:rPr>
      </w:pPr>
    </w:p>
    <w:p w14:paraId="084C7E0A">
      <w:pPr>
        <w:jc w:val="center"/>
        <w:rPr>
          <w:rFonts w:hint="eastAsia" w:ascii="宋体" w:hAnsi="宋体" w:cs="宋体"/>
          <w:b/>
          <w:color w:val="auto"/>
          <w:kern w:val="0"/>
          <w:sz w:val="32"/>
          <w:szCs w:val="32"/>
          <w:highlight w:val="none"/>
        </w:rPr>
      </w:pPr>
    </w:p>
    <w:p w14:paraId="798BF86E">
      <w:pPr>
        <w:jc w:val="center"/>
        <w:rPr>
          <w:rFonts w:hint="eastAsia" w:ascii="宋体" w:hAnsi="宋体" w:cs="宋体"/>
          <w:b/>
          <w:color w:val="auto"/>
          <w:kern w:val="0"/>
          <w:sz w:val="32"/>
          <w:szCs w:val="32"/>
          <w:highlight w:val="none"/>
        </w:rPr>
      </w:pPr>
    </w:p>
    <w:p w14:paraId="09C69A03">
      <w:pPr>
        <w:jc w:val="center"/>
        <w:rPr>
          <w:rFonts w:hint="eastAsia" w:ascii="宋体" w:hAnsi="宋体" w:cs="宋体"/>
          <w:b/>
          <w:color w:val="auto"/>
          <w:kern w:val="0"/>
          <w:sz w:val="32"/>
          <w:szCs w:val="32"/>
          <w:highlight w:val="none"/>
        </w:rPr>
      </w:pPr>
    </w:p>
    <w:p w14:paraId="230F16EB">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4EF0732">
      <w:pPr>
        <w:jc w:val="center"/>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三、分包意向协议（</w:t>
      </w:r>
      <w:r>
        <w:rPr>
          <w:rFonts w:hint="eastAsia" w:ascii="宋体" w:hAnsi="宋体" w:cs="宋体"/>
          <w:b/>
          <w:color w:val="auto"/>
          <w:kern w:val="0"/>
          <w:sz w:val="28"/>
          <w:szCs w:val="28"/>
          <w:highlight w:val="none"/>
        </w:rPr>
        <w:t>如果有</w:t>
      </w:r>
      <w:r>
        <w:rPr>
          <w:rFonts w:hint="eastAsia" w:ascii="宋体" w:hAnsi="宋体" w:cs="宋体"/>
          <w:b/>
          <w:color w:val="auto"/>
          <w:kern w:val="0"/>
          <w:sz w:val="28"/>
          <w:szCs w:val="28"/>
          <w:highlight w:val="none"/>
          <w:lang w:val="zh-CN"/>
        </w:rPr>
        <w:t>）</w:t>
      </w:r>
    </w:p>
    <w:p w14:paraId="30F3CA21">
      <w:pPr>
        <w:widowControl/>
        <w:spacing w:line="360" w:lineRule="auto"/>
        <w:ind w:firstLine="120" w:firstLineChars="50"/>
        <w:jc w:val="left"/>
        <w:rPr>
          <w:rFonts w:hint="eastAsia" w:ascii="宋体" w:hAnsi="宋体" w:cs="宋体"/>
          <w:color w:val="auto"/>
          <w:sz w:val="24"/>
          <w:highlight w:val="none"/>
        </w:rPr>
      </w:pPr>
      <w:bookmarkStart w:id="565" w:name="_Hlk101169080"/>
    </w:p>
    <w:p w14:paraId="139E19F9">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65"/>
    <w:p w14:paraId="335731F6">
      <w:pPr>
        <w:snapToGrid w:val="0"/>
        <w:spacing w:line="360" w:lineRule="auto"/>
        <w:rPr>
          <w:rFonts w:hint="eastAsia" w:ascii="宋体" w:hAnsi="宋体" w:cs="宋体"/>
          <w:color w:val="auto"/>
          <w:kern w:val="0"/>
          <w:sz w:val="24"/>
          <w:highlight w:val="none"/>
        </w:rPr>
      </w:pPr>
    </w:p>
    <w:p w14:paraId="33246F4D">
      <w:pPr>
        <w:jc w:val="center"/>
        <w:rPr>
          <w:rFonts w:hint="eastAsia" w:ascii="宋体" w:hAnsi="宋体" w:cs="宋体"/>
          <w:b/>
          <w:color w:val="auto"/>
          <w:kern w:val="0"/>
          <w:sz w:val="32"/>
          <w:szCs w:val="32"/>
          <w:highlight w:val="none"/>
        </w:rPr>
      </w:pPr>
    </w:p>
    <w:p w14:paraId="17CEBB03">
      <w:pPr>
        <w:tabs>
          <w:tab w:val="left" w:pos="432"/>
        </w:tabs>
        <w:rPr>
          <w:color w:val="auto"/>
          <w:highlight w:val="none"/>
        </w:rPr>
      </w:pPr>
    </w:p>
    <w:p w14:paraId="70E913FD">
      <w:pPr>
        <w:rPr>
          <w:color w:val="auto"/>
          <w:highlight w:val="none"/>
        </w:rPr>
      </w:pPr>
    </w:p>
    <w:p w14:paraId="38B0D010">
      <w:pPr>
        <w:jc w:val="center"/>
        <w:rPr>
          <w:rFonts w:hint="eastAsia" w:ascii="宋体" w:hAnsi="宋体" w:cs="宋体"/>
          <w:b/>
          <w:color w:val="auto"/>
          <w:kern w:val="0"/>
          <w:sz w:val="32"/>
          <w:szCs w:val="32"/>
          <w:highlight w:val="none"/>
        </w:rPr>
      </w:pPr>
    </w:p>
    <w:p w14:paraId="722AD917">
      <w:pPr>
        <w:jc w:val="center"/>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四、符合性审查资料</w:t>
      </w:r>
    </w:p>
    <w:p w14:paraId="70D73B0B">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24"/>
        <w:gridCol w:w="2775"/>
        <w:gridCol w:w="2061"/>
      </w:tblGrid>
      <w:tr w14:paraId="785F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C010039">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4124" w:type="dxa"/>
            <w:vAlign w:val="center"/>
          </w:tcPr>
          <w:p w14:paraId="1D723B7D">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实质性要求</w:t>
            </w:r>
          </w:p>
        </w:tc>
        <w:tc>
          <w:tcPr>
            <w:tcW w:w="2775" w:type="dxa"/>
            <w:vAlign w:val="center"/>
          </w:tcPr>
          <w:p w14:paraId="4260E767">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需要提供的符合性审查资料</w:t>
            </w:r>
          </w:p>
        </w:tc>
        <w:tc>
          <w:tcPr>
            <w:tcW w:w="2061" w:type="dxa"/>
            <w:vAlign w:val="center"/>
          </w:tcPr>
          <w:p w14:paraId="1A9A2EB7">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投标文件中的</w:t>
            </w:r>
          </w:p>
          <w:p w14:paraId="27FEE338">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页码位置</w:t>
            </w:r>
          </w:p>
        </w:tc>
      </w:tr>
      <w:tr w14:paraId="100A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5AA1E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124" w:type="dxa"/>
          </w:tcPr>
          <w:p w14:paraId="5201456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投标文件按照招标文件要求签署、盖章。</w:t>
            </w:r>
          </w:p>
        </w:tc>
        <w:tc>
          <w:tcPr>
            <w:tcW w:w="2775" w:type="dxa"/>
            <w:vAlign w:val="center"/>
          </w:tcPr>
          <w:p w14:paraId="15D136C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需要使用电子签名或者签字盖章的投标文件的组成部分</w:t>
            </w:r>
          </w:p>
        </w:tc>
        <w:tc>
          <w:tcPr>
            <w:tcW w:w="2061" w:type="dxa"/>
          </w:tcPr>
          <w:p w14:paraId="162F0B0C">
            <w:pPr>
              <w:spacing w:line="360" w:lineRule="auto"/>
              <w:rPr>
                <w:rFonts w:hint="eastAsia" w:ascii="宋体" w:hAnsi="宋体" w:cs="宋体"/>
                <w:color w:val="auto"/>
                <w:szCs w:val="21"/>
                <w:highlight w:val="none"/>
              </w:rPr>
            </w:pPr>
          </w:p>
          <w:p w14:paraId="25C778E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w:t>
            </w:r>
          </w:p>
          <w:p w14:paraId="707693A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7469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FF25E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124" w:type="dxa"/>
          </w:tcPr>
          <w:p w14:paraId="065E3F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投标文件中承诺的投标有效期不少于招标文件中载明的投标有效期。</w:t>
            </w:r>
          </w:p>
        </w:tc>
        <w:tc>
          <w:tcPr>
            <w:tcW w:w="2775" w:type="dxa"/>
            <w:vAlign w:val="center"/>
          </w:tcPr>
          <w:p w14:paraId="68A3B77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投标函</w:t>
            </w:r>
          </w:p>
        </w:tc>
        <w:tc>
          <w:tcPr>
            <w:tcW w:w="2061" w:type="dxa"/>
          </w:tcPr>
          <w:p w14:paraId="6BC15F1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379E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A6554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124" w:type="dxa"/>
          </w:tcPr>
          <w:p w14:paraId="4022489A">
            <w:pPr>
              <w:tabs>
                <w:tab w:val="left" w:pos="0"/>
              </w:tabs>
              <w:snapToGrid w:val="0"/>
              <w:spacing w:line="360" w:lineRule="auto"/>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投标文件满足招标文件的其它实质性要求。</w:t>
            </w:r>
          </w:p>
          <w:p w14:paraId="7E48248B">
            <w:pPr>
              <w:tabs>
                <w:tab w:val="left" w:pos="0"/>
              </w:tabs>
              <w:snapToGrid w:val="0"/>
              <w:spacing w:line="360" w:lineRule="auto"/>
              <w:ind w:firstLine="422" w:firstLineChars="200"/>
              <w:outlineLvl w:val="2"/>
              <w:rPr>
                <w:rFonts w:ascii="Calibri" w:hAnsi="Calibri" w:cs="Calibri"/>
                <w:b/>
                <w:color w:val="auto"/>
                <w:szCs w:val="21"/>
                <w:highlight w:val="none"/>
                <w:u w:val="single"/>
              </w:rPr>
            </w:pPr>
            <w:r>
              <w:rPr>
                <w:rFonts w:hint="eastAsia" w:ascii="Calibri" w:hAnsi="Calibri" w:cs="Calibri"/>
                <w:b/>
                <w:color w:val="auto"/>
                <w:szCs w:val="21"/>
                <w:highlight w:val="none"/>
                <w:u w:val="single"/>
              </w:rPr>
              <w:t>▲1.中标供应商在合同签订生效后，必须在15日历天内按采购单位要求完成新设备交货（并向采购单位提供产品合格证等相关的资料和配件）；中标人须在3个月内将合同标的运至采购单位指定地点并完成仪器设备安装运行。如在规定的时间内由于中标人的原因不能完成交货的，中标人应承担由此给采购单位造成的损失（每延迟一天，赔偿中标金额的1%）。</w:t>
            </w:r>
          </w:p>
          <w:p w14:paraId="30AED837">
            <w:pPr>
              <w:tabs>
                <w:tab w:val="left" w:pos="0"/>
              </w:tabs>
              <w:snapToGrid w:val="0"/>
              <w:spacing w:line="360" w:lineRule="auto"/>
              <w:ind w:firstLine="422" w:firstLineChars="200"/>
              <w:outlineLvl w:val="2"/>
              <w:rPr>
                <w:rFonts w:hint="eastAsia" w:ascii="宋体" w:hAnsi="宋体" w:cs="宋体"/>
                <w:color w:val="auto"/>
                <w:szCs w:val="21"/>
                <w:highlight w:val="none"/>
              </w:rPr>
            </w:pPr>
            <w:r>
              <w:rPr>
                <w:rFonts w:hint="eastAsia" w:ascii="Calibri" w:hAnsi="Calibri" w:cs="Calibri"/>
                <w:b/>
                <w:color w:val="auto"/>
                <w:szCs w:val="21"/>
                <w:highlight w:val="none"/>
                <w:u w:val="single"/>
              </w:rPr>
              <w:t>▲2.提供1年站点运维服务，时间为站点验收后1年。</w:t>
            </w:r>
          </w:p>
        </w:tc>
        <w:tc>
          <w:tcPr>
            <w:tcW w:w="2775" w:type="dxa"/>
            <w:vAlign w:val="center"/>
          </w:tcPr>
          <w:p w14:paraId="3EA9893A">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招标文件其它实质性要求相应的材料，“▲” 系指实质性要求条款。</w:t>
            </w:r>
          </w:p>
        </w:tc>
        <w:tc>
          <w:tcPr>
            <w:tcW w:w="2061" w:type="dxa"/>
          </w:tcPr>
          <w:p w14:paraId="0902485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bl>
    <w:p w14:paraId="47B388DC">
      <w:pPr>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注：1.按本格式和要求提供。</w:t>
      </w:r>
    </w:p>
    <w:p w14:paraId="4D962EAC">
      <w:pPr>
        <w:spacing w:line="360" w:lineRule="auto"/>
        <w:ind w:firstLine="422" w:firstLineChars="200"/>
        <w:rPr>
          <w:rFonts w:hint="eastAsia" w:ascii="宋体" w:hAnsi="宋体" w:cs="宋体"/>
          <w:b/>
          <w:color w:val="auto"/>
          <w:kern w:val="0"/>
          <w:sz w:val="32"/>
          <w:szCs w:val="32"/>
          <w:highlight w:val="none"/>
        </w:rPr>
      </w:pPr>
      <w:r>
        <w:rPr>
          <w:rFonts w:hint="eastAsia"/>
          <w:b/>
          <w:bCs/>
          <w:color w:val="auto"/>
          <w:highlight w:val="none"/>
        </w:rPr>
        <w:t>2.</w:t>
      </w:r>
      <w:r>
        <w:rPr>
          <w:rFonts w:hint="eastAsia" w:ascii="宋体" w:hAnsi="宋体" w:cs="宋体"/>
          <w:b/>
          <w:bCs/>
          <w:color w:val="auto"/>
          <w:kern w:val="0"/>
          <w:szCs w:val="21"/>
          <w:highlight w:val="none"/>
        </w:rPr>
        <w:t>招标文件其它实质性要求相应的材料附后。</w:t>
      </w:r>
      <w:r>
        <w:rPr>
          <w:rFonts w:hint="eastAsia" w:ascii="宋体" w:hAnsi="宋体" w:cs="宋体"/>
          <w:b/>
          <w:color w:val="auto"/>
          <w:kern w:val="0"/>
          <w:sz w:val="32"/>
          <w:szCs w:val="32"/>
          <w:highlight w:val="none"/>
        </w:rPr>
        <w:t xml:space="preserve">            </w:t>
      </w:r>
    </w:p>
    <w:p w14:paraId="158952A8">
      <w:pPr>
        <w:jc w:val="center"/>
        <w:rPr>
          <w:rFonts w:hint="eastAsia" w:ascii="宋体" w:hAnsi="宋体" w:cs="宋体"/>
          <w:b/>
          <w:color w:val="auto"/>
          <w:kern w:val="0"/>
          <w:sz w:val="32"/>
          <w:szCs w:val="32"/>
          <w:highlight w:val="none"/>
        </w:rPr>
      </w:pPr>
    </w:p>
    <w:p w14:paraId="5034A629">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ED75667">
      <w:pPr>
        <w:spacing w:line="360" w:lineRule="auto"/>
        <w:jc w:val="center"/>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五、评标标准相应的商务技术资料</w:t>
      </w:r>
    </w:p>
    <w:p w14:paraId="761A6948">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（按招标文件第四部分评标办法前附表中“投标文件中评标标准相应的商务技术资料目录”提供资料。）</w:t>
      </w:r>
    </w:p>
    <w:p w14:paraId="6E45F460">
      <w:pPr>
        <w:jc w:val="center"/>
        <w:rPr>
          <w:rFonts w:hint="eastAsia" w:ascii="宋体" w:hAnsi="宋体" w:cs="宋体"/>
          <w:b/>
          <w:color w:val="auto"/>
          <w:kern w:val="0"/>
          <w:sz w:val="32"/>
          <w:szCs w:val="32"/>
          <w:highlight w:val="none"/>
        </w:rPr>
      </w:pPr>
    </w:p>
    <w:p w14:paraId="0CBD0595">
      <w:pPr>
        <w:jc w:val="center"/>
        <w:rPr>
          <w:rFonts w:hint="eastAsia" w:ascii="宋体" w:hAnsi="宋体" w:cs="宋体"/>
          <w:b/>
          <w:color w:val="auto"/>
          <w:kern w:val="0"/>
          <w:sz w:val="32"/>
          <w:szCs w:val="32"/>
          <w:highlight w:val="none"/>
        </w:rPr>
      </w:pPr>
    </w:p>
    <w:p w14:paraId="4A8BDE99">
      <w:pPr>
        <w:jc w:val="center"/>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763"/>
        <w:gridCol w:w="2354"/>
        <w:gridCol w:w="1032"/>
        <w:gridCol w:w="1673"/>
      </w:tblGrid>
      <w:tr w14:paraId="3B47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E779A2">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53224D4">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名称</w:t>
            </w:r>
          </w:p>
        </w:tc>
        <w:tc>
          <w:tcPr>
            <w:tcW w:w="1763" w:type="dxa"/>
            <w:tcBorders>
              <w:top w:val="single" w:color="auto" w:sz="4" w:space="0"/>
              <w:left w:val="single" w:color="auto" w:sz="4" w:space="0"/>
              <w:bottom w:val="single" w:color="auto" w:sz="4" w:space="0"/>
              <w:right w:val="single" w:color="auto" w:sz="4" w:space="0"/>
            </w:tcBorders>
            <w:vAlign w:val="center"/>
          </w:tcPr>
          <w:p w14:paraId="5FBB9EEC">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品牌（如果有）</w:t>
            </w:r>
          </w:p>
        </w:tc>
        <w:tc>
          <w:tcPr>
            <w:tcW w:w="2354" w:type="dxa"/>
            <w:tcBorders>
              <w:top w:val="single" w:color="auto" w:sz="4" w:space="0"/>
              <w:left w:val="single" w:color="auto" w:sz="4" w:space="0"/>
              <w:bottom w:val="single" w:color="auto" w:sz="4" w:space="0"/>
              <w:right w:val="single" w:color="auto" w:sz="4" w:space="0"/>
            </w:tcBorders>
            <w:vAlign w:val="center"/>
          </w:tcPr>
          <w:p w14:paraId="3BCCAFA2">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规格型号</w:t>
            </w:r>
          </w:p>
        </w:tc>
        <w:tc>
          <w:tcPr>
            <w:tcW w:w="1032" w:type="dxa"/>
            <w:tcBorders>
              <w:top w:val="single" w:color="auto" w:sz="4" w:space="0"/>
              <w:left w:val="single" w:color="auto" w:sz="4" w:space="0"/>
              <w:bottom w:val="single" w:color="auto" w:sz="4" w:space="0"/>
              <w:right w:val="single" w:color="auto" w:sz="4" w:space="0"/>
            </w:tcBorders>
            <w:vAlign w:val="center"/>
          </w:tcPr>
          <w:p w14:paraId="367AA2E8">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9C87BF2">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14:paraId="28C1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11D8A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2B0C68D">
            <w:pPr>
              <w:snapToGrid w:val="0"/>
              <w:spacing w:line="360" w:lineRule="auto"/>
              <w:jc w:val="center"/>
              <w:rPr>
                <w:rFonts w:hint="eastAsia" w:ascii="宋体" w:hAnsi="宋体" w:cs="宋体"/>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14:paraId="22BDC0D4">
            <w:pPr>
              <w:snapToGrid w:val="0"/>
              <w:spacing w:line="360" w:lineRule="auto"/>
              <w:jc w:val="center"/>
              <w:rPr>
                <w:rFonts w:hint="eastAsia" w:ascii="宋体" w:hAnsi="宋体" w:cs="宋体"/>
                <w:color w:val="auto"/>
                <w:szCs w:val="21"/>
                <w:highlight w:val="none"/>
              </w:rPr>
            </w:pPr>
          </w:p>
        </w:tc>
        <w:tc>
          <w:tcPr>
            <w:tcW w:w="2354" w:type="dxa"/>
            <w:tcBorders>
              <w:top w:val="single" w:color="auto" w:sz="4" w:space="0"/>
              <w:left w:val="single" w:color="auto" w:sz="4" w:space="0"/>
              <w:bottom w:val="single" w:color="auto" w:sz="4" w:space="0"/>
              <w:right w:val="single" w:color="auto" w:sz="4" w:space="0"/>
            </w:tcBorders>
            <w:vAlign w:val="center"/>
          </w:tcPr>
          <w:p w14:paraId="649B41EE">
            <w:pPr>
              <w:snapToGrid w:val="0"/>
              <w:spacing w:line="360" w:lineRule="auto"/>
              <w:jc w:val="center"/>
              <w:rPr>
                <w:rFonts w:hint="eastAsia" w:ascii="宋体" w:hAnsi="宋体" w:cs="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33D3B27">
            <w:pPr>
              <w:spacing w:line="360" w:lineRule="auto"/>
              <w:jc w:val="center"/>
              <w:rPr>
                <w:rFonts w:hint="eastAsia" w:ascii="宋体" w:hAnsi="宋体" w:cs="宋体"/>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F130C07">
            <w:pPr>
              <w:spacing w:line="360" w:lineRule="auto"/>
              <w:jc w:val="center"/>
              <w:rPr>
                <w:rFonts w:hint="eastAsia" w:ascii="宋体" w:hAnsi="宋体" w:cs="宋体"/>
                <w:color w:val="auto"/>
                <w:szCs w:val="21"/>
                <w:highlight w:val="none"/>
              </w:rPr>
            </w:pPr>
          </w:p>
        </w:tc>
      </w:tr>
      <w:tr w14:paraId="3B8F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B2201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484B7DE">
            <w:pPr>
              <w:snapToGrid w:val="0"/>
              <w:spacing w:line="360" w:lineRule="auto"/>
              <w:jc w:val="center"/>
              <w:rPr>
                <w:rFonts w:hint="eastAsia" w:ascii="宋体" w:hAnsi="宋体" w:cs="宋体"/>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14:paraId="728E8002">
            <w:pPr>
              <w:snapToGrid w:val="0"/>
              <w:spacing w:line="360" w:lineRule="auto"/>
              <w:jc w:val="center"/>
              <w:rPr>
                <w:rFonts w:hint="eastAsia" w:ascii="宋体" w:hAnsi="宋体" w:cs="宋体"/>
                <w:color w:val="auto"/>
                <w:szCs w:val="21"/>
                <w:highlight w:val="none"/>
              </w:rPr>
            </w:pPr>
          </w:p>
        </w:tc>
        <w:tc>
          <w:tcPr>
            <w:tcW w:w="2354" w:type="dxa"/>
            <w:tcBorders>
              <w:top w:val="single" w:color="auto" w:sz="4" w:space="0"/>
              <w:left w:val="single" w:color="auto" w:sz="4" w:space="0"/>
              <w:bottom w:val="single" w:color="auto" w:sz="4" w:space="0"/>
              <w:right w:val="single" w:color="auto" w:sz="4" w:space="0"/>
            </w:tcBorders>
            <w:vAlign w:val="center"/>
          </w:tcPr>
          <w:p w14:paraId="5FD1CE0D">
            <w:pPr>
              <w:snapToGrid w:val="0"/>
              <w:spacing w:line="360" w:lineRule="auto"/>
              <w:jc w:val="center"/>
              <w:rPr>
                <w:rFonts w:hint="eastAsia" w:ascii="宋体" w:hAnsi="宋体" w:cs="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0EDAB659">
            <w:pPr>
              <w:spacing w:line="360" w:lineRule="auto"/>
              <w:jc w:val="center"/>
              <w:rPr>
                <w:rFonts w:hint="eastAsia" w:ascii="宋体" w:hAnsi="宋体" w:cs="宋体"/>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7921DD7">
            <w:pPr>
              <w:spacing w:line="360" w:lineRule="auto"/>
              <w:jc w:val="center"/>
              <w:rPr>
                <w:rFonts w:hint="eastAsia" w:ascii="宋体" w:hAnsi="宋体" w:cs="宋体"/>
                <w:color w:val="auto"/>
                <w:szCs w:val="21"/>
                <w:highlight w:val="none"/>
              </w:rPr>
            </w:pPr>
          </w:p>
        </w:tc>
      </w:tr>
      <w:tr w14:paraId="2D54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D59E0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81BEF8C">
            <w:pPr>
              <w:snapToGrid w:val="0"/>
              <w:spacing w:line="360" w:lineRule="auto"/>
              <w:jc w:val="center"/>
              <w:rPr>
                <w:rFonts w:hint="eastAsia" w:ascii="宋体" w:hAnsi="宋体" w:cs="宋体"/>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14:paraId="52C19D82">
            <w:pPr>
              <w:snapToGrid w:val="0"/>
              <w:spacing w:line="360" w:lineRule="auto"/>
              <w:jc w:val="center"/>
              <w:rPr>
                <w:rFonts w:hint="eastAsia" w:ascii="宋体" w:hAnsi="宋体" w:cs="宋体"/>
                <w:color w:val="auto"/>
                <w:szCs w:val="21"/>
                <w:highlight w:val="none"/>
              </w:rPr>
            </w:pPr>
          </w:p>
        </w:tc>
        <w:tc>
          <w:tcPr>
            <w:tcW w:w="2354" w:type="dxa"/>
            <w:tcBorders>
              <w:top w:val="single" w:color="auto" w:sz="4" w:space="0"/>
              <w:left w:val="single" w:color="auto" w:sz="4" w:space="0"/>
              <w:bottom w:val="single" w:color="auto" w:sz="4" w:space="0"/>
              <w:right w:val="single" w:color="auto" w:sz="4" w:space="0"/>
            </w:tcBorders>
            <w:vAlign w:val="center"/>
          </w:tcPr>
          <w:p w14:paraId="68C46149">
            <w:pPr>
              <w:snapToGrid w:val="0"/>
              <w:spacing w:line="360" w:lineRule="auto"/>
              <w:jc w:val="center"/>
              <w:rPr>
                <w:rFonts w:hint="eastAsia" w:ascii="宋体" w:hAnsi="宋体" w:cs="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0D51E49">
            <w:pPr>
              <w:spacing w:line="360" w:lineRule="auto"/>
              <w:jc w:val="center"/>
              <w:rPr>
                <w:rFonts w:hint="eastAsia" w:ascii="宋体" w:hAnsi="宋体" w:cs="宋体"/>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AF7BE86">
            <w:pPr>
              <w:spacing w:line="360" w:lineRule="auto"/>
              <w:jc w:val="center"/>
              <w:rPr>
                <w:rFonts w:hint="eastAsia" w:ascii="宋体" w:hAnsi="宋体" w:cs="宋体"/>
                <w:color w:val="auto"/>
                <w:szCs w:val="21"/>
                <w:highlight w:val="none"/>
              </w:rPr>
            </w:pPr>
          </w:p>
        </w:tc>
      </w:tr>
    </w:tbl>
    <w:p w14:paraId="2A221E72">
      <w:pPr>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注：按本格式和要求提供。</w:t>
      </w:r>
    </w:p>
    <w:p w14:paraId="79F6C3B7">
      <w:pPr>
        <w:jc w:val="center"/>
        <w:rPr>
          <w:rFonts w:hint="eastAsia" w:ascii="宋体" w:hAnsi="宋体" w:cs="宋体"/>
          <w:b/>
          <w:color w:val="auto"/>
          <w:kern w:val="0"/>
          <w:sz w:val="32"/>
          <w:szCs w:val="32"/>
          <w:highlight w:val="none"/>
        </w:rPr>
      </w:pPr>
    </w:p>
    <w:p w14:paraId="0ABF4E8D">
      <w:pPr>
        <w:jc w:val="center"/>
        <w:rPr>
          <w:rFonts w:hint="eastAsia" w:ascii="宋体" w:hAnsi="宋体" w:cs="宋体"/>
          <w:b/>
          <w:color w:val="auto"/>
          <w:kern w:val="0"/>
          <w:sz w:val="32"/>
          <w:szCs w:val="32"/>
          <w:highlight w:val="none"/>
        </w:rPr>
      </w:pPr>
    </w:p>
    <w:p w14:paraId="68352F7E">
      <w:pPr>
        <w:numPr>
          <w:ilvl w:val="0"/>
          <w:numId w:val="16"/>
        </w:numPr>
        <w:jc w:val="center"/>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商务技术偏离表</w:t>
      </w:r>
    </w:p>
    <w:p w14:paraId="5B6BDE6C">
      <w:pPr>
        <w:rPr>
          <w:rFonts w:hint="eastAsia" w:ascii="宋体" w:hAnsi="宋体" w:cs="宋体"/>
          <w:b/>
          <w:color w:val="auto"/>
          <w:kern w:val="0"/>
          <w:sz w:val="28"/>
          <w:szCs w:val="28"/>
          <w:highlight w:val="none"/>
          <w:lang w:val="zh-CN"/>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3E4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40B36B">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3683" w:type="dxa"/>
          </w:tcPr>
          <w:p w14:paraId="512FF613">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招标文件章节及具体内容</w:t>
            </w:r>
          </w:p>
        </w:tc>
        <w:tc>
          <w:tcPr>
            <w:tcW w:w="3546" w:type="dxa"/>
          </w:tcPr>
          <w:p w14:paraId="38000773">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投标文件章节及具体内容</w:t>
            </w:r>
          </w:p>
        </w:tc>
        <w:tc>
          <w:tcPr>
            <w:tcW w:w="1276" w:type="dxa"/>
          </w:tcPr>
          <w:p w14:paraId="742AAABB">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偏离说明</w:t>
            </w:r>
          </w:p>
        </w:tc>
      </w:tr>
      <w:tr w14:paraId="6F28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E5263F">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683" w:type="dxa"/>
          </w:tcPr>
          <w:p w14:paraId="6FF8F9ED">
            <w:pPr>
              <w:spacing w:line="360" w:lineRule="auto"/>
              <w:jc w:val="center"/>
              <w:rPr>
                <w:rFonts w:hint="eastAsia" w:ascii="宋体" w:hAnsi="宋体" w:cs="宋体"/>
                <w:b/>
                <w:color w:val="auto"/>
                <w:kern w:val="0"/>
                <w:szCs w:val="21"/>
                <w:highlight w:val="none"/>
              </w:rPr>
            </w:pPr>
          </w:p>
        </w:tc>
        <w:tc>
          <w:tcPr>
            <w:tcW w:w="3546" w:type="dxa"/>
          </w:tcPr>
          <w:p w14:paraId="3D98FE65">
            <w:pPr>
              <w:spacing w:line="360" w:lineRule="auto"/>
              <w:jc w:val="center"/>
              <w:rPr>
                <w:rFonts w:hint="eastAsia" w:ascii="宋体" w:hAnsi="宋体" w:cs="宋体"/>
                <w:b/>
                <w:color w:val="auto"/>
                <w:kern w:val="0"/>
                <w:szCs w:val="21"/>
                <w:highlight w:val="none"/>
              </w:rPr>
            </w:pPr>
          </w:p>
        </w:tc>
        <w:tc>
          <w:tcPr>
            <w:tcW w:w="1276" w:type="dxa"/>
          </w:tcPr>
          <w:p w14:paraId="316447ED">
            <w:pPr>
              <w:spacing w:line="360" w:lineRule="auto"/>
              <w:jc w:val="center"/>
              <w:rPr>
                <w:rFonts w:hint="eastAsia" w:ascii="宋体" w:hAnsi="宋体" w:cs="宋体"/>
                <w:b/>
                <w:color w:val="auto"/>
                <w:kern w:val="0"/>
                <w:szCs w:val="21"/>
                <w:highlight w:val="none"/>
              </w:rPr>
            </w:pPr>
          </w:p>
        </w:tc>
      </w:tr>
      <w:tr w14:paraId="74BC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1F0F9C8">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3683" w:type="dxa"/>
          </w:tcPr>
          <w:p w14:paraId="44AB56EE">
            <w:pPr>
              <w:spacing w:line="360" w:lineRule="auto"/>
              <w:jc w:val="center"/>
              <w:rPr>
                <w:rFonts w:hint="eastAsia" w:ascii="宋体" w:hAnsi="宋体" w:cs="宋体"/>
                <w:b/>
                <w:color w:val="auto"/>
                <w:kern w:val="0"/>
                <w:szCs w:val="21"/>
                <w:highlight w:val="none"/>
              </w:rPr>
            </w:pPr>
          </w:p>
        </w:tc>
        <w:tc>
          <w:tcPr>
            <w:tcW w:w="3546" w:type="dxa"/>
          </w:tcPr>
          <w:p w14:paraId="7C32CA3D">
            <w:pPr>
              <w:spacing w:line="360" w:lineRule="auto"/>
              <w:jc w:val="center"/>
              <w:rPr>
                <w:rFonts w:hint="eastAsia" w:ascii="宋体" w:hAnsi="宋体" w:cs="宋体"/>
                <w:b/>
                <w:color w:val="auto"/>
                <w:kern w:val="0"/>
                <w:szCs w:val="21"/>
                <w:highlight w:val="none"/>
              </w:rPr>
            </w:pPr>
          </w:p>
        </w:tc>
        <w:tc>
          <w:tcPr>
            <w:tcW w:w="1276" w:type="dxa"/>
          </w:tcPr>
          <w:p w14:paraId="438587F0">
            <w:pPr>
              <w:spacing w:line="360" w:lineRule="auto"/>
              <w:jc w:val="center"/>
              <w:rPr>
                <w:rFonts w:hint="eastAsia" w:ascii="宋体" w:hAnsi="宋体" w:cs="宋体"/>
                <w:b/>
                <w:color w:val="auto"/>
                <w:kern w:val="0"/>
                <w:szCs w:val="21"/>
                <w:highlight w:val="none"/>
              </w:rPr>
            </w:pPr>
          </w:p>
        </w:tc>
      </w:tr>
      <w:tr w14:paraId="4AA6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07649A">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3683" w:type="dxa"/>
          </w:tcPr>
          <w:p w14:paraId="58AB17D3">
            <w:pPr>
              <w:spacing w:line="360" w:lineRule="auto"/>
              <w:jc w:val="center"/>
              <w:rPr>
                <w:rFonts w:hint="eastAsia" w:ascii="宋体" w:hAnsi="宋体" w:cs="宋体"/>
                <w:b/>
                <w:color w:val="auto"/>
                <w:kern w:val="0"/>
                <w:szCs w:val="21"/>
                <w:highlight w:val="none"/>
              </w:rPr>
            </w:pPr>
          </w:p>
        </w:tc>
        <w:tc>
          <w:tcPr>
            <w:tcW w:w="3546" w:type="dxa"/>
          </w:tcPr>
          <w:p w14:paraId="36BDD61D">
            <w:pPr>
              <w:spacing w:line="360" w:lineRule="auto"/>
              <w:jc w:val="center"/>
              <w:rPr>
                <w:rFonts w:hint="eastAsia" w:ascii="宋体" w:hAnsi="宋体" w:cs="宋体"/>
                <w:b/>
                <w:color w:val="auto"/>
                <w:kern w:val="0"/>
                <w:szCs w:val="21"/>
                <w:highlight w:val="none"/>
              </w:rPr>
            </w:pPr>
          </w:p>
        </w:tc>
        <w:tc>
          <w:tcPr>
            <w:tcW w:w="1276" w:type="dxa"/>
          </w:tcPr>
          <w:p w14:paraId="2BCBF5EC">
            <w:pPr>
              <w:spacing w:line="360" w:lineRule="auto"/>
              <w:jc w:val="center"/>
              <w:rPr>
                <w:rFonts w:hint="eastAsia" w:ascii="宋体" w:hAnsi="宋体" w:cs="宋体"/>
                <w:b/>
                <w:color w:val="auto"/>
                <w:kern w:val="0"/>
                <w:szCs w:val="21"/>
                <w:highlight w:val="none"/>
              </w:rPr>
            </w:pPr>
          </w:p>
        </w:tc>
      </w:tr>
    </w:tbl>
    <w:p w14:paraId="6165C428">
      <w:pPr>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投标人保证：除商务技术偏离表列出的偏离外，投标人响应招标文件的全部要求</w:t>
      </w:r>
    </w:p>
    <w:p w14:paraId="18231C7C">
      <w:pPr>
        <w:spacing w:line="360" w:lineRule="auto"/>
        <w:jc w:val="center"/>
        <w:rPr>
          <w:rFonts w:hint="eastAsia" w:ascii="宋体" w:hAnsi="宋体" w:cs="宋体"/>
          <w:b/>
          <w:color w:val="auto"/>
          <w:kern w:val="0"/>
          <w:szCs w:val="21"/>
          <w:highlight w:val="none"/>
        </w:rPr>
      </w:pPr>
    </w:p>
    <w:p w14:paraId="16086E62">
      <w:pPr>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注：1.按本格式和要求提供。</w:t>
      </w:r>
    </w:p>
    <w:p w14:paraId="5C7F54F4">
      <w:pPr>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2.本表格所反映的偏离情况与“符合性审查资料”、“评标标准相应的商务技术资料”不一致的，以“符合性审查资料”、“评标标准相应的商务技术资料”为准。</w:t>
      </w:r>
    </w:p>
    <w:p w14:paraId="1BEB0D0E">
      <w:pPr>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3.投标人须保证：除商务技术偏离表列出的偏离外，投标人响应招标文件的全部非实质性要求。</w:t>
      </w:r>
    </w:p>
    <w:p w14:paraId="23608198">
      <w:pPr>
        <w:spacing w:line="360" w:lineRule="auto"/>
        <w:ind w:right="420"/>
        <w:rPr>
          <w:rFonts w:hint="eastAsia" w:ascii="宋体" w:hAnsi="宋体" w:cs="宋体"/>
          <w:b/>
          <w:bCs/>
          <w:color w:val="auto"/>
          <w:szCs w:val="21"/>
          <w:highlight w:val="none"/>
        </w:rPr>
      </w:pPr>
      <w:r>
        <w:rPr>
          <w:rFonts w:hint="eastAsia" w:ascii="宋体" w:hAnsi="宋体" w:cs="宋体"/>
          <w:b/>
          <w:bCs/>
          <w:color w:val="auto"/>
          <w:szCs w:val="21"/>
          <w:highlight w:val="none"/>
        </w:rPr>
        <w:t>4.所有带★的内容的是采购人提出的关键条款，投标人需按招标文件要求提供相应佐证材料，若未提供视为负偏离。</w:t>
      </w:r>
    </w:p>
    <w:p w14:paraId="48585DD7">
      <w:pPr>
        <w:ind w:firstLine="1911" w:firstLineChars="595"/>
        <w:rPr>
          <w:rFonts w:hint="eastAsia" w:ascii="宋体" w:hAnsi="宋体" w:cs="宋体"/>
          <w:b/>
          <w:bCs/>
          <w:color w:val="auto"/>
          <w:sz w:val="32"/>
          <w:szCs w:val="32"/>
          <w:highlight w:val="none"/>
        </w:rPr>
      </w:pPr>
    </w:p>
    <w:p w14:paraId="0114CEBC">
      <w:pPr>
        <w:ind w:firstLine="1911" w:firstLineChars="595"/>
        <w:rPr>
          <w:rFonts w:hint="eastAsia" w:ascii="宋体" w:hAnsi="宋体" w:cs="宋体"/>
          <w:b/>
          <w:bCs/>
          <w:color w:val="auto"/>
          <w:sz w:val="32"/>
          <w:szCs w:val="32"/>
          <w:highlight w:val="none"/>
        </w:rPr>
      </w:pPr>
    </w:p>
    <w:p w14:paraId="164BBCAB">
      <w:pPr>
        <w:ind w:firstLine="1911" w:firstLineChars="595"/>
        <w:rPr>
          <w:rFonts w:hint="eastAsia" w:ascii="宋体" w:hAnsi="宋体" w:cs="宋体"/>
          <w:b/>
          <w:bCs/>
          <w:color w:val="auto"/>
          <w:sz w:val="32"/>
          <w:szCs w:val="32"/>
          <w:highlight w:val="none"/>
        </w:rPr>
      </w:pPr>
    </w:p>
    <w:p w14:paraId="7291B2B4">
      <w:pPr>
        <w:ind w:firstLine="1911" w:firstLineChars="595"/>
        <w:rPr>
          <w:rFonts w:hint="eastAsia" w:ascii="宋体" w:hAnsi="宋体" w:cs="宋体"/>
          <w:b/>
          <w:bCs/>
          <w:color w:val="auto"/>
          <w:sz w:val="32"/>
          <w:szCs w:val="32"/>
          <w:highlight w:val="none"/>
        </w:rPr>
      </w:pPr>
    </w:p>
    <w:p w14:paraId="5A818CC7">
      <w:pPr>
        <w:ind w:firstLine="1911" w:firstLineChars="595"/>
        <w:rPr>
          <w:rFonts w:hint="eastAsia" w:ascii="宋体" w:hAnsi="宋体" w:cs="宋体"/>
          <w:b/>
          <w:bCs/>
          <w:color w:val="auto"/>
          <w:sz w:val="32"/>
          <w:szCs w:val="32"/>
          <w:highlight w:val="none"/>
        </w:rPr>
      </w:pPr>
    </w:p>
    <w:p w14:paraId="37028762">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77109350">
      <w:pPr>
        <w:jc w:val="center"/>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八、政府采购供应商廉洁自律承诺书</w:t>
      </w:r>
    </w:p>
    <w:p w14:paraId="51F066A9">
      <w:pPr>
        <w:snapToGrid w:val="0"/>
        <w:spacing w:line="360" w:lineRule="auto"/>
        <w:rPr>
          <w:rFonts w:hint="eastAsia" w:ascii="宋体" w:hAnsi="宋体" w:cs="宋体"/>
          <w:color w:val="auto"/>
          <w:sz w:val="24"/>
          <w:highlight w:val="none"/>
        </w:rPr>
      </w:pPr>
    </w:p>
    <w:p w14:paraId="0E9F5251">
      <w:pPr>
        <w:snapToGrid w:val="0"/>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杭州市生态环境局上城分局 、浙江省成套招标代理有限公司</w:t>
      </w:r>
      <w:r>
        <w:rPr>
          <w:rFonts w:hint="eastAsia" w:ascii="宋体" w:hAnsi="宋体" w:cs="宋体"/>
          <w:color w:val="auto"/>
          <w:kern w:val="0"/>
          <w:szCs w:val="21"/>
          <w:highlight w:val="none"/>
          <w:lang w:val="zh-CN"/>
        </w:rPr>
        <w:t>：</w:t>
      </w:r>
    </w:p>
    <w:p w14:paraId="112596A4">
      <w:pPr>
        <w:autoSpaceDE w:val="0"/>
        <w:autoSpaceDN w:val="0"/>
        <w:spacing w:line="360" w:lineRule="auto"/>
        <w:ind w:left="2" w:leftChars="1"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我单位响应你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项目招标要求参加投标。在这次投标过程中和中标后，我们将严格遵守国家法律法规要求，并郑重承诺：</w:t>
      </w:r>
    </w:p>
    <w:p w14:paraId="6A10C14E">
      <w:pPr>
        <w:autoSpaceDE w:val="0"/>
        <w:autoSpaceDN w:val="0"/>
        <w:spacing w:line="360" w:lineRule="auto"/>
        <w:ind w:left="2" w:leftChars="1"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一、不向项目有关人员及部门赠送礼金礼物、有价证券、回扣以及中介费、介绍费、咨询费等好处费； </w:t>
      </w:r>
    </w:p>
    <w:p w14:paraId="1FD4C23A">
      <w:pPr>
        <w:autoSpaceDE w:val="0"/>
        <w:autoSpaceDN w:val="0"/>
        <w:spacing w:line="360" w:lineRule="auto"/>
        <w:ind w:left="2" w:leftChars="1"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二、不为项目有关人员及部门报销应由你方单位或个人支付的费用； </w:t>
      </w:r>
    </w:p>
    <w:p w14:paraId="402BEC55">
      <w:pPr>
        <w:autoSpaceDE w:val="0"/>
        <w:autoSpaceDN w:val="0"/>
        <w:spacing w:line="360" w:lineRule="auto"/>
        <w:ind w:left="2" w:leftChars="1"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三、不向项目有关人员及部门提供有可能影响公正的宴请和健身娱乐等活动； </w:t>
      </w:r>
    </w:p>
    <w:p w14:paraId="70165ABC">
      <w:pPr>
        <w:autoSpaceDE w:val="0"/>
        <w:autoSpaceDN w:val="0"/>
        <w:spacing w:line="360" w:lineRule="auto"/>
        <w:ind w:left="2" w:leftChars="1"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四、不为项目有关人员及部门出国（境）、旅游等提供方便；</w:t>
      </w:r>
    </w:p>
    <w:p w14:paraId="24A3C0AE">
      <w:pPr>
        <w:autoSpaceDE w:val="0"/>
        <w:autoSpaceDN w:val="0"/>
        <w:spacing w:line="360" w:lineRule="auto"/>
        <w:ind w:left="481" w:leftChars="229"/>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五、不为项目有关人员个人装修住房、婚丧嫁娶、配偶子女工作安排等提供</w:t>
      </w:r>
    </w:p>
    <w:p w14:paraId="392399B8">
      <w:pPr>
        <w:autoSpaceDE w:val="0"/>
        <w:autoSpaceDN w:val="0"/>
        <w:spacing w:line="360" w:lineRule="auto"/>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好处；</w:t>
      </w:r>
    </w:p>
    <w:p w14:paraId="25CCFEC3">
      <w:pPr>
        <w:autoSpaceDE w:val="0"/>
        <w:autoSpaceDN w:val="0"/>
        <w:spacing w:line="360" w:lineRule="auto"/>
        <w:ind w:left="481" w:leftChars="229"/>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六、严格遵守《</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政府采购法》《</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招标投标</w:t>
      </w:r>
    </w:p>
    <w:p w14:paraId="44564D4A">
      <w:pPr>
        <w:autoSpaceDE w:val="0"/>
        <w:autoSpaceDN w:val="0"/>
        <w:spacing w:line="360" w:lineRule="auto"/>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法》</w:t>
      </w:r>
      <w:r>
        <w:rPr>
          <w:rFonts w:hint="eastAsia" w:ascii="宋体" w:hAnsi="宋体" w:cs="宋体"/>
          <w:color w:val="auto"/>
          <w:szCs w:val="21"/>
          <w:highlight w:val="none"/>
          <w:lang w:val="zh-CN"/>
        </w:rPr>
        <w:t>《中华人民共和国民法典》</w:t>
      </w:r>
      <w:r>
        <w:rPr>
          <w:rFonts w:hint="eastAsia" w:ascii="宋体" w:hAnsi="宋体" w:cs="宋体"/>
          <w:color w:val="auto"/>
          <w:kern w:val="0"/>
          <w:szCs w:val="21"/>
          <w:highlight w:val="none"/>
          <w:lang w:val="zh-CN"/>
        </w:rPr>
        <w:t xml:space="preserve">等法律法规，诚实守信，合法经营，坚决抵制各种违法违纪行为。 </w:t>
      </w:r>
    </w:p>
    <w:p w14:paraId="3DDFF08A">
      <w:pPr>
        <w:autoSpaceDE w:val="0"/>
        <w:autoSpaceDN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如违反上述承诺，你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有权立即取消我单位投标、中标或在建项目的建设资格，有权拒绝我单位在一定时期内进入你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进行项目建设或其他经营活动，并通报市财政局。由此引起的相应损失均由我单位承担。</w:t>
      </w:r>
    </w:p>
    <w:p w14:paraId="531BC41C">
      <w:pPr>
        <w:autoSpaceDE w:val="0"/>
        <w:autoSpaceDN w:val="0"/>
        <w:spacing w:line="360" w:lineRule="auto"/>
        <w:ind w:left="2"/>
        <w:jc w:val="left"/>
        <w:rPr>
          <w:rFonts w:hint="eastAsia" w:ascii="宋体" w:hAnsi="宋体" w:cs="宋体"/>
          <w:color w:val="auto"/>
          <w:kern w:val="0"/>
          <w:szCs w:val="21"/>
          <w:highlight w:val="none"/>
          <w:lang w:val="zh-CN"/>
        </w:rPr>
      </w:pPr>
    </w:p>
    <w:p w14:paraId="6B3F482D">
      <w:pPr>
        <w:autoSpaceDE w:val="0"/>
        <w:autoSpaceDN w:val="0"/>
        <w:spacing w:line="360" w:lineRule="auto"/>
        <w:ind w:left="2"/>
        <w:jc w:val="left"/>
        <w:rPr>
          <w:rFonts w:hint="eastAsia" w:ascii="宋体" w:hAnsi="宋体" w:cs="宋体"/>
          <w:color w:val="auto"/>
          <w:kern w:val="0"/>
          <w:szCs w:val="21"/>
          <w:highlight w:val="none"/>
          <w:lang w:val="zh-CN"/>
        </w:rPr>
      </w:pPr>
    </w:p>
    <w:p w14:paraId="75C0D6AA">
      <w:pPr>
        <w:autoSpaceDE w:val="0"/>
        <w:autoSpaceDN w:val="0"/>
        <w:spacing w:line="360" w:lineRule="auto"/>
        <w:ind w:left="2"/>
        <w:jc w:val="left"/>
        <w:rPr>
          <w:rFonts w:hint="eastAsia" w:ascii="宋体" w:hAnsi="宋体" w:cs="宋体"/>
          <w:color w:val="auto"/>
          <w:kern w:val="0"/>
          <w:szCs w:val="21"/>
          <w:highlight w:val="none"/>
          <w:lang w:val="zh-CN"/>
        </w:rPr>
      </w:pPr>
    </w:p>
    <w:p w14:paraId="01F81C64">
      <w:pPr>
        <w:autoSpaceDE w:val="0"/>
        <w:autoSpaceDN w:val="0"/>
        <w:spacing w:line="360" w:lineRule="auto"/>
        <w:ind w:left="2" w:leftChars="1" w:right="1120" w:firstLine="3990" w:firstLineChars="19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szCs w:val="21"/>
          <w:highlight w:val="none"/>
        </w:rPr>
        <w:t>电子签名</w:t>
      </w:r>
      <w:r>
        <w:rPr>
          <w:rFonts w:hint="eastAsia" w:ascii="宋体" w:hAnsi="宋体" w:cs="宋体"/>
          <w:color w:val="auto"/>
          <w:kern w:val="0"/>
          <w:szCs w:val="21"/>
          <w:highlight w:val="none"/>
          <w:lang w:val="zh-CN"/>
        </w:rPr>
        <w:t xml:space="preserve">）：                                                                                                                                                                                                               </w:t>
      </w:r>
    </w:p>
    <w:p w14:paraId="2665D9B5">
      <w:pPr>
        <w:spacing w:line="360" w:lineRule="auto"/>
        <w:ind w:left="4620" w:leftChars="2200"/>
        <w:rPr>
          <w:rFonts w:hint="eastAsia" w:ascii="宋体" w:hAnsi="宋体" w:cs="宋体"/>
          <w:color w:val="auto"/>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 xml:space="preserve">   年   月   日</w:t>
      </w:r>
    </w:p>
    <w:p w14:paraId="2C5DC322">
      <w:pPr>
        <w:spacing w:line="360" w:lineRule="auto"/>
        <w:jc w:val="center"/>
        <w:rPr>
          <w:rFonts w:hint="eastAsia" w:ascii="宋体" w:hAnsi="宋体" w:cs="宋体"/>
          <w:b/>
          <w:bCs/>
          <w:color w:val="auto"/>
          <w:szCs w:val="21"/>
          <w:highlight w:val="none"/>
        </w:rPr>
      </w:pPr>
    </w:p>
    <w:p w14:paraId="2413B9AF">
      <w:pPr>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注：按本格式和要求提供。</w:t>
      </w:r>
    </w:p>
    <w:p w14:paraId="23C7293F">
      <w:pPr>
        <w:widowControl/>
        <w:adjustRightInd/>
        <w:jc w:val="left"/>
        <w:rPr>
          <w:rFonts w:hint="eastAsia" w:ascii="宋体" w:hAnsi="宋体" w:cs="宋体"/>
          <w:b/>
          <w:color w:val="auto"/>
          <w:kern w:val="0"/>
          <w:szCs w:val="21"/>
          <w:highlight w:val="none"/>
        </w:rPr>
      </w:pPr>
      <w:r>
        <w:rPr>
          <w:rFonts w:ascii="宋体" w:hAnsi="宋体" w:cs="宋体"/>
          <w:b/>
          <w:color w:val="auto"/>
          <w:kern w:val="0"/>
          <w:szCs w:val="21"/>
          <w:highlight w:val="none"/>
        </w:rPr>
        <w:br w:type="page"/>
      </w:r>
    </w:p>
    <w:p w14:paraId="2A8611FB">
      <w:pPr>
        <w:pStyle w:val="5"/>
        <w:jc w:val="center"/>
        <w:rPr>
          <w:rFonts w:hint="eastAsia"/>
          <w:color w:val="auto"/>
          <w:highlight w:val="none"/>
        </w:rPr>
      </w:pPr>
      <w:r>
        <w:rPr>
          <w:rFonts w:hint="eastAsia"/>
          <w:color w:val="auto"/>
          <w:highlight w:val="none"/>
        </w:rPr>
        <w:t>报价文件部分目录</w:t>
      </w:r>
    </w:p>
    <w:p w14:paraId="746C9795">
      <w:pPr>
        <w:jc w:val="center"/>
        <w:rPr>
          <w:color w:val="auto"/>
          <w:szCs w:val="21"/>
          <w:highlight w:val="none"/>
        </w:rPr>
      </w:pPr>
    </w:p>
    <w:p w14:paraId="05002153">
      <w:pPr>
        <w:numPr>
          <w:ilvl w:val="0"/>
          <w:numId w:val="17"/>
        </w:num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开标一览表（报价表）………………………………………………………（页码）</w:t>
      </w:r>
    </w:p>
    <w:p w14:paraId="710B19BB">
      <w:pPr>
        <w:numPr>
          <w:ilvl w:val="0"/>
          <w:numId w:val="17"/>
        </w:num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投标报价组成明细表………………………………………………………（页码）</w:t>
      </w:r>
    </w:p>
    <w:p w14:paraId="51E71E0F">
      <w:pPr>
        <w:snapToGrid w:val="0"/>
        <w:spacing w:line="360" w:lineRule="auto"/>
        <w:ind w:right="480"/>
        <w:jc w:val="center"/>
        <w:rPr>
          <w:rFonts w:hint="eastAsia" w:ascii="宋体" w:hAnsi="宋体" w:cs="宋体"/>
          <w:b/>
          <w:color w:val="auto"/>
          <w:kern w:val="0"/>
          <w:szCs w:val="21"/>
          <w:highlight w:val="none"/>
        </w:rPr>
      </w:pPr>
    </w:p>
    <w:p w14:paraId="2A78FA7F">
      <w:pPr>
        <w:snapToGrid w:val="0"/>
        <w:spacing w:line="360" w:lineRule="auto"/>
        <w:ind w:right="480"/>
        <w:jc w:val="center"/>
        <w:rPr>
          <w:rFonts w:hint="eastAsia" w:ascii="宋体" w:hAnsi="宋体" w:cs="宋体"/>
          <w:b/>
          <w:color w:val="auto"/>
          <w:kern w:val="0"/>
          <w:sz w:val="32"/>
          <w:szCs w:val="32"/>
          <w:highlight w:val="none"/>
        </w:rPr>
      </w:pPr>
    </w:p>
    <w:p w14:paraId="7E2E93D4">
      <w:pPr>
        <w:snapToGrid w:val="0"/>
        <w:spacing w:line="360" w:lineRule="auto"/>
        <w:ind w:right="480"/>
        <w:jc w:val="center"/>
        <w:rPr>
          <w:rFonts w:hint="eastAsia" w:ascii="宋体" w:hAnsi="宋体" w:cs="宋体"/>
          <w:b/>
          <w:color w:val="auto"/>
          <w:kern w:val="0"/>
          <w:sz w:val="32"/>
          <w:szCs w:val="32"/>
          <w:highlight w:val="none"/>
        </w:rPr>
      </w:pPr>
    </w:p>
    <w:p w14:paraId="5BEA26F9">
      <w:pPr>
        <w:snapToGrid w:val="0"/>
        <w:spacing w:line="360" w:lineRule="auto"/>
        <w:ind w:right="480"/>
        <w:jc w:val="center"/>
        <w:rPr>
          <w:rFonts w:hint="eastAsia" w:ascii="宋体" w:hAnsi="宋体" w:cs="宋体"/>
          <w:b/>
          <w:color w:val="auto"/>
          <w:kern w:val="0"/>
          <w:sz w:val="32"/>
          <w:szCs w:val="32"/>
          <w:highlight w:val="none"/>
        </w:rPr>
      </w:pPr>
    </w:p>
    <w:p w14:paraId="40E5FB25">
      <w:pPr>
        <w:snapToGrid w:val="0"/>
        <w:spacing w:line="360" w:lineRule="auto"/>
        <w:ind w:right="480"/>
        <w:jc w:val="center"/>
        <w:rPr>
          <w:rFonts w:hint="eastAsia" w:ascii="宋体" w:hAnsi="宋体" w:cs="宋体"/>
          <w:b/>
          <w:color w:val="auto"/>
          <w:kern w:val="0"/>
          <w:sz w:val="32"/>
          <w:szCs w:val="32"/>
          <w:highlight w:val="none"/>
        </w:rPr>
      </w:pPr>
    </w:p>
    <w:p w14:paraId="51E0885E">
      <w:pPr>
        <w:snapToGrid w:val="0"/>
        <w:spacing w:line="360" w:lineRule="auto"/>
        <w:ind w:right="480"/>
        <w:jc w:val="center"/>
        <w:rPr>
          <w:rFonts w:hint="eastAsia" w:ascii="宋体" w:hAnsi="宋体" w:cs="宋体"/>
          <w:b/>
          <w:color w:val="auto"/>
          <w:kern w:val="0"/>
          <w:sz w:val="32"/>
          <w:szCs w:val="32"/>
          <w:highlight w:val="none"/>
        </w:rPr>
      </w:pPr>
    </w:p>
    <w:p w14:paraId="2DDC5464">
      <w:pPr>
        <w:snapToGrid w:val="0"/>
        <w:spacing w:line="360" w:lineRule="auto"/>
        <w:ind w:right="480"/>
        <w:jc w:val="center"/>
        <w:rPr>
          <w:rFonts w:hint="eastAsia" w:ascii="宋体" w:hAnsi="宋体" w:cs="宋体"/>
          <w:b/>
          <w:color w:val="auto"/>
          <w:kern w:val="0"/>
          <w:sz w:val="32"/>
          <w:szCs w:val="32"/>
          <w:highlight w:val="none"/>
        </w:rPr>
      </w:pPr>
    </w:p>
    <w:p w14:paraId="789E5CC9">
      <w:pPr>
        <w:snapToGrid w:val="0"/>
        <w:spacing w:line="360" w:lineRule="auto"/>
        <w:ind w:right="480"/>
        <w:jc w:val="center"/>
        <w:rPr>
          <w:rFonts w:hint="eastAsia" w:ascii="宋体" w:hAnsi="宋体" w:cs="宋体"/>
          <w:b/>
          <w:color w:val="auto"/>
          <w:kern w:val="0"/>
          <w:sz w:val="32"/>
          <w:szCs w:val="32"/>
          <w:highlight w:val="none"/>
        </w:rPr>
      </w:pPr>
    </w:p>
    <w:p w14:paraId="6E5A90C4">
      <w:pPr>
        <w:snapToGrid w:val="0"/>
        <w:spacing w:line="360" w:lineRule="auto"/>
        <w:ind w:right="480"/>
        <w:jc w:val="center"/>
        <w:rPr>
          <w:rFonts w:hint="eastAsia" w:ascii="宋体" w:hAnsi="宋体" w:cs="宋体"/>
          <w:b/>
          <w:color w:val="auto"/>
          <w:kern w:val="0"/>
          <w:sz w:val="32"/>
          <w:szCs w:val="32"/>
          <w:highlight w:val="none"/>
        </w:rPr>
      </w:pPr>
    </w:p>
    <w:p w14:paraId="237091E3">
      <w:pPr>
        <w:snapToGrid w:val="0"/>
        <w:spacing w:line="360" w:lineRule="auto"/>
        <w:ind w:right="480"/>
        <w:jc w:val="center"/>
        <w:rPr>
          <w:rFonts w:hint="eastAsia" w:ascii="宋体" w:hAnsi="宋体" w:cs="宋体"/>
          <w:b/>
          <w:color w:val="auto"/>
          <w:kern w:val="0"/>
          <w:sz w:val="32"/>
          <w:szCs w:val="32"/>
          <w:highlight w:val="none"/>
        </w:rPr>
      </w:pPr>
    </w:p>
    <w:p w14:paraId="30996D7C">
      <w:pPr>
        <w:snapToGrid w:val="0"/>
        <w:spacing w:line="360" w:lineRule="auto"/>
        <w:ind w:right="480"/>
        <w:jc w:val="center"/>
        <w:rPr>
          <w:rFonts w:hint="eastAsia" w:ascii="宋体" w:hAnsi="宋体" w:cs="宋体"/>
          <w:b/>
          <w:color w:val="auto"/>
          <w:kern w:val="0"/>
          <w:sz w:val="32"/>
          <w:szCs w:val="32"/>
          <w:highlight w:val="none"/>
        </w:rPr>
      </w:pPr>
    </w:p>
    <w:p w14:paraId="0909F47C">
      <w:pPr>
        <w:snapToGrid w:val="0"/>
        <w:spacing w:line="360" w:lineRule="auto"/>
        <w:ind w:right="480"/>
        <w:jc w:val="center"/>
        <w:rPr>
          <w:rFonts w:hint="eastAsia" w:ascii="宋体" w:hAnsi="宋体" w:cs="宋体"/>
          <w:b/>
          <w:color w:val="auto"/>
          <w:kern w:val="0"/>
          <w:sz w:val="32"/>
          <w:szCs w:val="32"/>
          <w:highlight w:val="none"/>
        </w:rPr>
      </w:pPr>
    </w:p>
    <w:p w14:paraId="5DF4E2A1">
      <w:pPr>
        <w:snapToGrid w:val="0"/>
        <w:spacing w:line="360" w:lineRule="auto"/>
        <w:ind w:right="480"/>
        <w:jc w:val="center"/>
        <w:rPr>
          <w:rFonts w:hint="eastAsia" w:ascii="宋体" w:hAnsi="宋体" w:cs="宋体"/>
          <w:b/>
          <w:color w:val="auto"/>
          <w:kern w:val="0"/>
          <w:sz w:val="32"/>
          <w:szCs w:val="32"/>
          <w:highlight w:val="none"/>
        </w:rPr>
      </w:pPr>
    </w:p>
    <w:p w14:paraId="16A7336D">
      <w:pPr>
        <w:snapToGrid w:val="0"/>
        <w:spacing w:line="360" w:lineRule="auto"/>
        <w:ind w:right="480"/>
        <w:jc w:val="center"/>
        <w:rPr>
          <w:rFonts w:hint="eastAsia" w:ascii="宋体" w:hAnsi="宋体" w:cs="宋体"/>
          <w:b/>
          <w:color w:val="auto"/>
          <w:kern w:val="0"/>
          <w:sz w:val="32"/>
          <w:szCs w:val="32"/>
          <w:highlight w:val="none"/>
        </w:rPr>
      </w:pPr>
    </w:p>
    <w:p w14:paraId="276C9685">
      <w:pPr>
        <w:snapToGrid w:val="0"/>
        <w:spacing w:line="360" w:lineRule="auto"/>
        <w:ind w:right="480"/>
        <w:jc w:val="center"/>
        <w:rPr>
          <w:rFonts w:hint="eastAsia" w:ascii="宋体" w:hAnsi="宋体" w:cs="宋体"/>
          <w:b/>
          <w:color w:val="auto"/>
          <w:kern w:val="0"/>
          <w:sz w:val="32"/>
          <w:szCs w:val="32"/>
          <w:highlight w:val="none"/>
        </w:rPr>
      </w:pPr>
    </w:p>
    <w:p w14:paraId="0BD72F75">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59444563">
      <w:pPr>
        <w:jc w:val="center"/>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一、开标一览表（报价表）</w:t>
      </w:r>
    </w:p>
    <w:p w14:paraId="2B26D569">
      <w:pPr>
        <w:snapToGrid w:val="0"/>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杭州市生态环境局上城分局 、浙江省成套招标代理有限公司</w:t>
      </w:r>
      <w:r>
        <w:rPr>
          <w:rFonts w:hint="eastAsia" w:ascii="宋体" w:hAnsi="宋体" w:cs="宋体"/>
          <w:color w:val="auto"/>
          <w:kern w:val="0"/>
          <w:szCs w:val="21"/>
          <w:highlight w:val="none"/>
          <w:lang w:val="zh-CN"/>
        </w:rPr>
        <w:t>：</w:t>
      </w:r>
    </w:p>
    <w:p w14:paraId="0BD5ECF2">
      <w:pPr>
        <w:snapToGrid w:val="0"/>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highlight w:val="none"/>
        </w:rPr>
        <w:t>上城区同协路道路扬尘智能化管控项目</w:t>
      </w:r>
      <w:r>
        <w:rPr>
          <w:rFonts w:hint="eastAsia" w:ascii="宋体" w:hAnsi="宋体" w:cs="宋体"/>
          <w:color w:val="auto"/>
          <w:kern w:val="0"/>
          <w:szCs w:val="21"/>
          <w:highlight w:val="none"/>
          <w:lang w:val="zh-CN"/>
        </w:rPr>
        <w:t>【招标编号：</w:t>
      </w:r>
      <w:r>
        <w:rPr>
          <w:rFonts w:hint="eastAsia" w:ascii="宋体" w:hAnsi="宋体" w:cs="宋体"/>
          <w:color w:val="auto"/>
          <w:szCs w:val="21"/>
          <w:highlight w:val="none"/>
        </w:rPr>
        <w:t>CTZB-2025060603】的实施</w:t>
      </w:r>
      <w:r>
        <w:rPr>
          <w:rFonts w:hint="eastAsia" w:ascii="宋体" w:hAnsi="宋体" w:cs="宋体"/>
          <w:color w:val="auto"/>
          <w:kern w:val="0"/>
          <w:szCs w:val="21"/>
          <w:highlight w:val="none"/>
          <w:lang w:val="zh-CN"/>
        </w:rPr>
        <w:t>。</w:t>
      </w:r>
    </w:p>
    <w:p w14:paraId="28EFC48D">
      <w:pPr>
        <w:spacing w:line="360" w:lineRule="auto"/>
        <w:jc w:val="center"/>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开标一览表（报价表）(单位均为人民币元)</w:t>
      </w:r>
    </w:p>
    <w:tbl>
      <w:tblPr>
        <w:tblStyle w:val="62"/>
        <w:tblW w:w="14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870"/>
        <w:gridCol w:w="3570"/>
        <w:gridCol w:w="2018"/>
        <w:gridCol w:w="2014"/>
        <w:gridCol w:w="1342"/>
        <w:gridCol w:w="1185"/>
        <w:gridCol w:w="1163"/>
        <w:gridCol w:w="1972"/>
      </w:tblGrid>
      <w:tr w14:paraId="6E8C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66" w:type="dxa"/>
            <w:shd w:val="clear" w:color="auto" w:fill="auto"/>
            <w:vAlign w:val="center"/>
          </w:tcPr>
          <w:p w14:paraId="11541763">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870" w:type="dxa"/>
            <w:vAlign w:val="center"/>
          </w:tcPr>
          <w:p w14:paraId="6211F359">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内容</w:t>
            </w:r>
          </w:p>
        </w:tc>
        <w:tc>
          <w:tcPr>
            <w:tcW w:w="3570" w:type="dxa"/>
            <w:vAlign w:val="center"/>
          </w:tcPr>
          <w:p w14:paraId="65B19AFC">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名称</w:t>
            </w:r>
          </w:p>
        </w:tc>
        <w:tc>
          <w:tcPr>
            <w:tcW w:w="2018" w:type="dxa"/>
          </w:tcPr>
          <w:p w14:paraId="6993A6D6">
            <w:pPr>
              <w:spacing w:line="360" w:lineRule="auto"/>
              <w:jc w:val="center"/>
              <w:rPr>
                <w:rFonts w:hint="eastAsia" w:ascii="宋体" w:hAnsi="宋体" w:cs="宋体"/>
                <w:b/>
                <w:color w:val="auto"/>
                <w:szCs w:val="21"/>
                <w:highlight w:val="none"/>
              </w:rPr>
            </w:pPr>
          </w:p>
          <w:p w14:paraId="60745228">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品牌（如果有）</w:t>
            </w:r>
          </w:p>
        </w:tc>
        <w:tc>
          <w:tcPr>
            <w:tcW w:w="2014" w:type="dxa"/>
            <w:vAlign w:val="center"/>
          </w:tcPr>
          <w:p w14:paraId="6980B061">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规格型号</w:t>
            </w:r>
          </w:p>
        </w:tc>
        <w:tc>
          <w:tcPr>
            <w:tcW w:w="1342" w:type="dxa"/>
            <w:vAlign w:val="center"/>
          </w:tcPr>
          <w:p w14:paraId="08FB7001">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1185" w:type="dxa"/>
            <w:vAlign w:val="center"/>
          </w:tcPr>
          <w:p w14:paraId="31048605">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单价</w:t>
            </w:r>
          </w:p>
        </w:tc>
        <w:tc>
          <w:tcPr>
            <w:tcW w:w="1163" w:type="dxa"/>
            <w:vAlign w:val="center"/>
          </w:tcPr>
          <w:p w14:paraId="15963560">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合计</w:t>
            </w:r>
          </w:p>
        </w:tc>
        <w:tc>
          <w:tcPr>
            <w:tcW w:w="1972" w:type="dxa"/>
            <w:vAlign w:val="center"/>
          </w:tcPr>
          <w:p w14:paraId="3E8A6942">
            <w:pPr>
              <w:spacing w:line="360" w:lineRule="auto"/>
              <w:jc w:val="center"/>
              <w:rPr>
                <w:rFonts w:hint="eastAsia" w:ascii="宋体" w:hAnsi="宋体" w:cs="宋体"/>
                <w:b/>
                <w:color w:val="auto"/>
                <w:szCs w:val="21"/>
                <w:highlight w:val="none"/>
              </w:rPr>
            </w:pPr>
          </w:p>
          <w:p w14:paraId="5EF4EA75">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备注（如果有）</w:t>
            </w:r>
          </w:p>
          <w:p w14:paraId="74D37067">
            <w:pPr>
              <w:spacing w:line="360" w:lineRule="auto"/>
              <w:jc w:val="center"/>
              <w:rPr>
                <w:rFonts w:hint="eastAsia" w:ascii="宋体" w:hAnsi="宋体" w:cs="宋体"/>
                <w:b/>
                <w:color w:val="auto"/>
                <w:szCs w:val="21"/>
                <w:highlight w:val="none"/>
              </w:rPr>
            </w:pPr>
          </w:p>
        </w:tc>
      </w:tr>
      <w:tr w14:paraId="1429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66" w:type="dxa"/>
            <w:shd w:val="clear" w:color="auto" w:fill="auto"/>
            <w:vAlign w:val="center"/>
          </w:tcPr>
          <w:p w14:paraId="10D3E67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70" w:type="dxa"/>
            <w:vMerge w:val="restart"/>
            <w:vAlign w:val="center"/>
          </w:tcPr>
          <w:p w14:paraId="2C3C41E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w:t>
            </w:r>
          </w:p>
          <w:p w14:paraId="1EB95EB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设备</w:t>
            </w:r>
          </w:p>
        </w:tc>
        <w:tc>
          <w:tcPr>
            <w:tcW w:w="3570" w:type="dxa"/>
            <w:vAlign w:val="center"/>
          </w:tcPr>
          <w:p w14:paraId="48734881">
            <w:pPr>
              <w:snapToGrid w:val="0"/>
              <w:spacing w:line="360" w:lineRule="auto"/>
              <w:jc w:val="center"/>
              <w:rPr>
                <w:rFonts w:hint="eastAsia" w:ascii="宋体" w:hAnsi="宋体" w:cs="宋体"/>
                <w:color w:val="auto"/>
                <w:szCs w:val="21"/>
                <w:highlight w:val="none"/>
              </w:rPr>
            </w:pPr>
            <w:r>
              <w:rPr>
                <w:rFonts w:hint="eastAsia"/>
                <w:color w:val="auto"/>
                <w:szCs w:val="21"/>
                <w:highlight w:val="none"/>
              </w:rPr>
              <w:t>扬尘在线监测设备</w:t>
            </w:r>
          </w:p>
        </w:tc>
        <w:tc>
          <w:tcPr>
            <w:tcW w:w="2018" w:type="dxa"/>
            <w:vAlign w:val="center"/>
          </w:tcPr>
          <w:p w14:paraId="09B15548">
            <w:pPr>
              <w:snapToGrid w:val="0"/>
              <w:spacing w:line="360" w:lineRule="auto"/>
              <w:jc w:val="center"/>
              <w:rPr>
                <w:rFonts w:hint="eastAsia" w:ascii="宋体" w:hAnsi="宋体" w:cs="宋体"/>
                <w:color w:val="auto"/>
                <w:szCs w:val="21"/>
                <w:highlight w:val="none"/>
              </w:rPr>
            </w:pPr>
          </w:p>
        </w:tc>
        <w:tc>
          <w:tcPr>
            <w:tcW w:w="2014" w:type="dxa"/>
            <w:vAlign w:val="center"/>
          </w:tcPr>
          <w:p w14:paraId="73216B84">
            <w:pPr>
              <w:snapToGrid w:val="0"/>
              <w:spacing w:line="360" w:lineRule="auto"/>
              <w:jc w:val="center"/>
              <w:rPr>
                <w:rFonts w:hint="eastAsia" w:ascii="宋体" w:hAnsi="宋体" w:cs="宋体"/>
                <w:color w:val="auto"/>
                <w:szCs w:val="21"/>
                <w:highlight w:val="none"/>
              </w:rPr>
            </w:pPr>
          </w:p>
        </w:tc>
        <w:tc>
          <w:tcPr>
            <w:tcW w:w="1342" w:type="dxa"/>
            <w:vAlign w:val="center"/>
          </w:tcPr>
          <w:p w14:paraId="6426A847">
            <w:pPr>
              <w:jc w:val="center"/>
              <w:rPr>
                <w:rFonts w:hint="eastAsia" w:ascii="宋体" w:hAnsi="宋体" w:cs="宋体"/>
                <w:color w:val="auto"/>
                <w:szCs w:val="21"/>
                <w:highlight w:val="none"/>
              </w:rPr>
            </w:pPr>
            <w:r>
              <w:rPr>
                <w:rFonts w:hint="eastAsia" w:ascii="宋体" w:hAnsi="宋体" w:cs="宋体"/>
                <w:color w:val="auto"/>
                <w:szCs w:val="21"/>
                <w:highlight w:val="none"/>
              </w:rPr>
              <w:t>4套</w:t>
            </w:r>
          </w:p>
        </w:tc>
        <w:tc>
          <w:tcPr>
            <w:tcW w:w="1185" w:type="dxa"/>
            <w:vAlign w:val="center"/>
          </w:tcPr>
          <w:p w14:paraId="3A12996A">
            <w:pPr>
              <w:jc w:val="center"/>
              <w:rPr>
                <w:rFonts w:hint="eastAsia" w:ascii="宋体" w:hAnsi="宋体" w:cs="宋体"/>
                <w:color w:val="auto"/>
                <w:szCs w:val="21"/>
                <w:highlight w:val="none"/>
              </w:rPr>
            </w:pPr>
          </w:p>
        </w:tc>
        <w:tc>
          <w:tcPr>
            <w:tcW w:w="1163" w:type="dxa"/>
            <w:vAlign w:val="center"/>
          </w:tcPr>
          <w:p w14:paraId="76944761">
            <w:pPr>
              <w:spacing w:line="360" w:lineRule="auto"/>
              <w:jc w:val="center"/>
              <w:rPr>
                <w:rFonts w:hint="eastAsia" w:ascii="宋体" w:hAnsi="宋体" w:cs="宋体"/>
                <w:color w:val="auto"/>
                <w:szCs w:val="21"/>
                <w:highlight w:val="none"/>
              </w:rPr>
            </w:pPr>
          </w:p>
        </w:tc>
        <w:tc>
          <w:tcPr>
            <w:tcW w:w="1972" w:type="dxa"/>
            <w:vAlign w:val="center"/>
          </w:tcPr>
          <w:p w14:paraId="31834635">
            <w:pPr>
              <w:spacing w:line="360" w:lineRule="auto"/>
              <w:jc w:val="center"/>
              <w:rPr>
                <w:rFonts w:hint="eastAsia" w:ascii="宋体" w:hAnsi="宋体" w:cs="宋体"/>
                <w:color w:val="auto"/>
                <w:szCs w:val="21"/>
                <w:highlight w:val="none"/>
              </w:rPr>
            </w:pPr>
          </w:p>
        </w:tc>
      </w:tr>
      <w:tr w14:paraId="6F8F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66" w:type="dxa"/>
            <w:shd w:val="clear" w:color="auto" w:fill="auto"/>
            <w:vAlign w:val="center"/>
          </w:tcPr>
          <w:p w14:paraId="08588F3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70" w:type="dxa"/>
            <w:vMerge w:val="continue"/>
            <w:vAlign w:val="center"/>
          </w:tcPr>
          <w:p w14:paraId="487C0D2C">
            <w:pPr>
              <w:spacing w:line="360" w:lineRule="auto"/>
              <w:jc w:val="center"/>
              <w:rPr>
                <w:rFonts w:hint="eastAsia" w:ascii="宋体" w:hAnsi="宋体" w:cs="宋体"/>
                <w:color w:val="auto"/>
                <w:szCs w:val="21"/>
                <w:highlight w:val="none"/>
              </w:rPr>
            </w:pPr>
          </w:p>
        </w:tc>
        <w:tc>
          <w:tcPr>
            <w:tcW w:w="3570" w:type="dxa"/>
            <w:vAlign w:val="center"/>
          </w:tcPr>
          <w:p w14:paraId="5BC887C3">
            <w:pPr>
              <w:spacing w:line="360" w:lineRule="auto"/>
              <w:jc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喷雾降尘设备</w:t>
            </w:r>
          </w:p>
        </w:tc>
        <w:tc>
          <w:tcPr>
            <w:tcW w:w="2018" w:type="dxa"/>
            <w:vAlign w:val="center"/>
          </w:tcPr>
          <w:p w14:paraId="0FF6BCD8">
            <w:pPr>
              <w:snapToGrid w:val="0"/>
              <w:spacing w:line="360" w:lineRule="auto"/>
              <w:jc w:val="center"/>
              <w:rPr>
                <w:rFonts w:hint="eastAsia" w:ascii="宋体" w:hAnsi="宋体" w:cs="宋体"/>
                <w:color w:val="auto"/>
                <w:szCs w:val="21"/>
                <w:highlight w:val="none"/>
              </w:rPr>
            </w:pPr>
          </w:p>
        </w:tc>
        <w:tc>
          <w:tcPr>
            <w:tcW w:w="2014" w:type="dxa"/>
            <w:vAlign w:val="center"/>
          </w:tcPr>
          <w:p w14:paraId="07B76272">
            <w:pPr>
              <w:snapToGrid w:val="0"/>
              <w:spacing w:line="360" w:lineRule="auto"/>
              <w:jc w:val="center"/>
              <w:rPr>
                <w:rFonts w:hint="eastAsia" w:ascii="宋体" w:hAnsi="宋体" w:cs="宋体"/>
                <w:color w:val="auto"/>
                <w:szCs w:val="21"/>
                <w:highlight w:val="none"/>
              </w:rPr>
            </w:pPr>
          </w:p>
        </w:tc>
        <w:tc>
          <w:tcPr>
            <w:tcW w:w="1342" w:type="dxa"/>
            <w:vAlign w:val="center"/>
          </w:tcPr>
          <w:p w14:paraId="214856D4">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套</w:t>
            </w:r>
          </w:p>
        </w:tc>
        <w:tc>
          <w:tcPr>
            <w:tcW w:w="1185" w:type="dxa"/>
            <w:vAlign w:val="center"/>
          </w:tcPr>
          <w:p w14:paraId="6F37CB52">
            <w:pPr>
              <w:jc w:val="center"/>
              <w:rPr>
                <w:rFonts w:hint="eastAsia" w:ascii="宋体" w:hAnsi="宋体" w:cs="宋体"/>
                <w:color w:val="auto"/>
                <w:szCs w:val="21"/>
                <w:highlight w:val="none"/>
              </w:rPr>
            </w:pPr>
          </w:p>
        </w:tc>
        <w:tc>
          <w:tcPr>
            <w:tcW w:w="1163" w:type="dxa"/>
            <w:vAlign w:val="center"/>
          </w:tcPr>
          <w:p w14:paraId="4A7FED7E">
            <w:pPr>
              <w:spacing w:line="360" w:lineRule="auto"/>
              <w:jc w:val="center"/>
              <w:rPr>
                <w:rFonts w:hint="eastAsia" w:ascii="宋体" w:hAnsi="宋体" w:cs="宋体"/>
                <w:color w:val="auto"/>
                <w:szCs w:val="21"/>
                <w:highlight w:val="none"/>
              </w:rPr>
            </w:pPr>
          </w:p>
        </w:tc>
        <w:tc>
          <w:tcPr>
            <w:tcW w:w="1972" w:type="dxa"/>
            <w:vAlign w:val="center"/>
          </w:tcPr>
          <w:p w14:paraId="28C6D969">
            <w:pPr>
              <w:spacing w:line="360" w:lineRule="auto"/>
              <w:jc w:val="center"/>
              <w:rPr>
                <w:rFonts w:hint="eastAsia" w:ascii="宋体" w:hAnsi="宋体" w:cs="宋体"/>
                <w:color w:val="auto"/>
                <w:szCs w:val="21"/>
                <w:highlight w:val="none"/>
              </w:rPr>
            </w:pPr>
          </w:p>
        </w:tc>
      </w:tr>
      <w:tr w14:paraId="7C15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66" w:type="dxa"/>
            <w:vAlign w:val="center"/>
          </w:tcPr>
          <w:p w14:paraId="6415FA63">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870" w:type="dxa"/>
            <w:vMerge w:val="restart"/>
            <w:vAlign w:val="center"/>
          </w:tcPr>
          <w:p w14:paraId="3A33876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配套</w:t>
            </w:r>
          </w:p>
          <w:p w14:paraId="65DF23C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w:t>
            </w:r>
          </w:p>
        </w:tc>
        <w:tc>
          <w:tcPr>
            <w:tcW w:w="3570" w:type="dxa"/>
            <w:vAlign w:val="center"/>
          </w:tcPr>
          <w:p w14:paraId="3C6D936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双向10车道和3条绿化带管路铺设（含主电源电缆及主水管等）服务</w:t>
            </w:r>
          </w:p>
        </w:tc>
        <w:tc>
          <w:tcPr>
            <w:tcW w:w="2018" w:type="dxa"/>
            <w:vAlign w:val="center"/>
          </w:tcPr>
          <w:p w14:paraId="52BD33D5">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014" w:type="dxa"/>
            <w:vAlign w:val="center"/>
          </w:tcPr>
          <w:p w14:paraId="3F7A428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342" w:type="dxa"/>
            <w:vAlign w:val="center"/>
          </w:tcPr>
          <w:p w14:paraId="505802B3">
            <w:pPr>
              <w:jc w:val="center"/>
              <w:rPr>
                <w:rFonts w:hint="eastAsia" w:ascii="宋体" w:hAnsi="宋体" w:cs="宋体"/>
                <w:color w:val="auto"/>
                <w:szCs w:val="21"/>
                <w:highlight w:val="none"/>
              </w:rPr>
            </w:pPr>
            <w:r>
              <w:rPr>
                <w:rFonts w:hint="eastAsia" w:ascii="宋体" w:hAnsi="宋体" w:cs="宋体"/>
                <w:color w:val="auto"/>
                <w:szCs w:val="21"/>
                <w:highlight w:val="none"/>
              </w:rPr>
              <w:t>3000米</w:t>
            </w:r>
          </w:p>
        </w:tc>
        <w:tc>
          <w:tcPr>
            <w:tcW w:w="1185" w:type="dxa"/>
            <w:vAlign w:val="center"/>
          </w:tcPr>
          <w:p w14:paraId="5B6C60F2">
            <w:pPr>
              <w:spacing w:line="360" w:lineRule="auto"/>
              <w:jc w:val="center"/>
              <w:rPr>
                <w:rFonts w:hint="eastAsia" w:ascii="宋体" w:hAnsi="宋体" w:cs="宋体"/>
                <w:color w:val="auto"/>
                <w:szCs w:val="21"/>
                <w:highlight w:val="none"/>
              </w:rPr>
            </w:pPr>
          </w:p>
        </w:tc>
        <w:tc>
          <w:tcPr>
            <w:tcW w:w="1163" w:type="dxa"/>
            <w:vAlign w:val="center"/>
          </w:tcPr>
          <w:p w14:paraId="67D00E89">
            <w:pPr>
              <w:spacing w:line="360" w:lineRule="auto"/>
              <w:jc w:val="center"/>
              <w:rPr>
                <w:rFonts w:hint="eastAsia" w:ascii="宋体" w:hAnsi="宋体" w:cs="宋体"/>
                <w:color w:val="auto"/>
                <w:szCs w:val="21"/>
                <w:highlight w:val="none"/>
              </w:rPr>
            </w:pPr>
          </w:p>
        </w:tc>
        <w:tc>
          <w:tcPr>
            <w:tcW w:w="1972" w:type="dxa"/>
            <w:vAlign w:val="center"/>
          </w:tcPr>
          <w:p w14:paraId="33CA89D1">
            <w:pPr>
              <w:spacing w:line="360" w:lineRule="auto"/>
              <w:jc w:val="center"/>
              <w:rPr>
                <w:rFonts w:hint="eastAsia" w:ascii="宋体" w:hAnsi="宋体" w:cs="宋体"/>
                <w:color w:val="auto"/>
                <w:szCs w:val="21"/>
                <w:highlight w:val="none"/>
              </w:rPr>
            </w:pPr>
          </w:p>
        </w:tc>
      </w:tr>
      <w:tr w14:paraId="1F03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66" w:type="dxa"/>
            <w:vAlign w:val="center"/>
          </w:tcPr>
          <w:p w14:paraId="705525C9">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870" w:type="dxa"/>
            <w:vMerge w:val="continue"/>
            <w:vAlign w:val="center"/>
          </w:tcPr>
          <w:p w14:paraId="0D9792EC">
            <w:pPr>
              <w:spacing w:line="360" w:lineRule="auto"/>
              <w:jc w:val="center"/>
              <w:rPr>
                <w:rFonts w:hint="eastAsia" w:ascii="宋体" w:hAnsi="宋体" w:cs="宋体"/>
                <w:color w:val="auto"/>
                <w:szCs w:val="21"/>
                <w:highlight w:val="none"/>
              </w:rPr>
            </w:pPr>
          </w:p>
        </w:tc>
        <w:tc>
          <w:tcPr>
            <w:tcW w:w="3570" w:type="dxa"/>
            <w:vAlign w:val="center"/>
          </w:tcPr>
          <w:p w14:paraId="5FB0D5B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双向10车道和3条绿化带</w:t>
            </w:r>
          </w:p>
          <w:p w14:paraId="0AEC27C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开挖修复服务</w:t>
            </w:r>
          </w:p>
        </w:tc>
        <w:tc>
          <w:tcPr>
            <w:tcW w:w="2018" w:type="dxa"/>
            <w:vAlign w:val="center"/>
          </w:tcPr>
          <w:p w14:paraId="20BFA29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014" w:type="dxa"/>
            <w:vAlign w:val="center"/>
          </w:tcPr>
          <w:p w14:paraId="72CC45E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342" w:type="dxa"/>
            <w:vAlign w:val="center"/>
          </w:tcPr>
          <w:p w14:paraId="21A295B9">
            <w:pPr>
              <w:jc w:val="center"/>
              <w:rPr>
                <w:rFonts w:hint="eastAsia" w:ascii="宋体" w:hAnsi="宋体" w:cs="宋体"/>
                <w:color w:val="auto"/>
                <w:szCs w:val="21"/>
                <w:highlight w:val="none"/>
              </w:rPr>
            </w:pPr>
            <w:r>
              <w:rPr>
                <w:rFonts w:hint="eastAsia" w:ascii="宋体" w:hAnsi="宋体" w:cs="宋体"/>
                <w:color w:val="auto"/>
                <w:szCs w:val="21"/>
                <w:highlight w:val="none"/>
              </w:rPr>
              <w:t>3000米</w:t>
            </w:r>
          </w:p>
        </w:tc>
        <w:tc>
          <w:tcPr>
            <w:tcW w:w="1185" w:type="dxa"/>
            <w:vAlign w:val="center"/>
          </w:tcPr>
          <w:p w14:paraId="755695C6">
            <w:pPr>
              <w:spacing w:line="360" w:lineRule="auto"/>
              <w:jc w:val="center"/>
              <w:rPr>
                <w:rFonts w:hint="eastAsia" w:ascii="宋体" w:hAnsi="宋体" w:cs="宋体"/>
                <w:color w:val="auto"/>
                <w:szCs w:val="21"/>
                <w:highlight w:val="none"/>
              </w:rPr>
            </w:pPr>
          </w:p>
        </w:tc>
        <w:tc>
          <w:tcPr>
            <w:tcW w:w="1163" w:type="dxa"/>
            <w:vAlign w:val="center"/>
          </w:tcPr>
          <w:p w14:paraId="15BCB648">
            <w:pPr>
              <w:spacing w:line="360" w:lineRule="auto"/>
              <w:jc w:val="center"/>
              <w:rPr>
                <w:rFonts w:hint="eastAsia" w:ascii="宋体" w:hAnsi="宋体" w:cs="宋体"/>
                <w:color w:val="auto"/>
                <w:szCs w:val="21"/>
                <w:highlight w:val="none"/>
              </w:rPr>
            </w:pPr>
          </w:p>
        </w:tc>
        <w:tc>
          <w:tcPr>
            <w:tcW w:w="1972" w:type="dxa"/>
            <w:vAlign w:val="center"/>
          </w:tcPr>
          <w:p w14:paraId="03A9AA9F">
            <w:pPr>
              <w:spacing w:line="360" w:lineRule="auto"/>
              <w:jc w:val="center"/>
              <w:rPr>
                <w:rFonts w:hint="eastAsia" w:ascii="宋体" w:hAnsi="宋体" w:cs="宋体"/>
                <w:color w:val="auto"/>
                <w:szCs w:val="21"/>
                <w:highlight w:val="none"/>
              </w:rPr>
            </w:pPr>
          </w:p>
        </w:tc>
      </w:tr>
      <w:tr w14:paraId="6AF9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66" w:type="dxa"/>
            <w:vAlign w:val="center"/>
          </w:tcPr>
          <w:p w14:paraId="5CC71333">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870" w:type="dxa"/>
            <w:vMerge w:val="continue"/>
            <w:vAlign w:val="center"/>
          </w:tcPr>
          <w:p w14:paraId="5C387E51">
            <w:pPr>
              <w:spacing w:line="360" w:lineRule="auto"/>
              <w:jc w:val="center"/>
              <w:rPr>
                <w:rFonts w:hint="eastAsia" w:ascii="宋体" w:hAnsi="宋体" w:cs="宋体"/>
                <w:color w:val="auto"/>
                <w:szCs w:val="21"/>
                <w:highlight w:val="none"/>
              </w:rPr>
            </w:pPr>
          </w:p>
        </w:tc>
        <w:tc>
          <w:tcPr>
            <w:tcW w:w="3570" w:type="dxa"/>
            <w:vAlign w:val="center"/>
          </w:tcPr>
          <w:p w14:paraId="7E52CDC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运维服务</w:t>
            </w:r>
          </w:p>
        </w:tc>
        <w:tc>
          <w:tcPr>
            <w:tcW w:w="2018" w:type="dxa"/>
            <w:vAlign w:val="center"/>
          </w:tcPr>
          <w:p w14:paraId="49AC4745">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014" w:type="dxa"/>
            <w:vAlign w:val="center"/>
          </w:tcPr>
          <w:p w14:paraId="7136FA1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342" w:type="dxa"/>
            <w:vAlign w:val="center"/>
          </w:tcPr>
          <w:p w14:paraId="6525C80E">
            <w:pPr>
              <w:jc w:val="center"/>
              <w:rPr>
                <w:rFonts w:hint="eastAsia" w:ascii="宋体" w:hAnsi="宋体" w:cs="宋体"/>
                <w:color w:val="auto"/>
                <w:szCs w:val="21"/>
                <w:highlight w:val="none"/>
              </w:rPr>
            </w:pPr>
            <w:r>
              <w:rPr>
                <w:rFonts w:hint="eastAsia" w:ascii="宋体" w:hAnsi="宋体" w:cs="宋体"/>
                <w:color w:val="auto"/>
                <w:szCs w:val="21"/>
                <w:highlight w:val="none"/>
              </w:rPr>
              <w:t>1年</w:t>
            </w:r>
          </w:p>
        </w:tc>
        <w:tc>
          <w:tcPr>
            <w:tcW w:w="1185" w:type="dxa"/>
            <w:vAlign w:val="center"/>
          </w:tcPr>
          <w:p w14:paraId="7578B0CD">
            <w:pPr>
              <w:spacing w:line="360" w:lineRule="auto"/>
              <w:jc w:val="center"/>
              <w:rPr>
                <w:rFonts w:hint="eastAsia" w:ascii="宋体" w:hAnsi="宋体" w:cs="宋体"/>
                <w:color w:val="auto"/>
                <w:szCs w:val="21"/>
                <w:highlight w:val="none"/>
              </w:rPr>
            </w:pPr>
          </w:p>
        </w:tc>
        <w:tc>
          <w:tcPr>
            <w:tcW w:w="1163" w:type="dxa"/>
            <w:vAlign w:val="center"/>
          </w:tcPr>
          <w:p w14:paraId="3223A202">
            <w:pPr>
              <w:spacing w:line="360" w:lineRule="auto"/>
              <w:jc w:val="center"/>
              <w:rPr>
                <w:rFonts w:hint="eastAsia" w:ascii="宋体" w:hAnsi="宋体" w:cs="宋体"/>
                <w:color w:val="auto"/>
                <w:szCs w:val="21"/>
                <w:highlight w:val="none"/>
              </w:rPr>
            </w:pPr>
          </w:p>
        </w:tc>
        <w:tc>
          <w:tcPr>
            <w:tcW w:w="1972" w:type="dxa"/>
            <w:vAlign w:val="center"/>
          </w:tcPr>
          <w:p w14:paraId="1C0AF22F">
            <w:pPr>
              <w:spacing w:line="360" w:lineRule="auto"/>
              <w:jc w:val="center"/>
              <w:rPr>
                <w:rFonts w:hint="eastAsia" w:ascii="宋体" w:hAnsi="宋体" w:cs="宋体"/>
                <w:color w:val="auto"/>
                <w:szCs w:val="21"/>
                <w:highlight w:val="none"/>
              </w:rPr>
            </w:pPr>
          </w:p>
        </w:tc>
      </w:tr>
      <w:tr w14:paraId="137B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66" w:type="dxa"/>
            <w:vAlign w:val="center"/>
          </w:tcPr>
          <w:p w14:paraId="0642A0B8">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870" w:type="dxa"/>
            <w:vMerge w:val="continue"/>
            <w:vAlign w:val="center"/>
          </w:tcPr>
          <w:p w14:paraId="451C5F93">
            <w:pPr>
              <w:spacing w:line="360" w:lineRule="auto"/>
              <w:jc w:val="center"/>
              <w:rPr>
                <w:rFonts w:hint="eastAsia" w:ascii="宋体" w:hAnsi="宋体" w:cs="宋体"/>
                <w:color w:val="auto"/>
                <w:szCs w:val="21"/>
                <w:highlight w:val="none"/>
              </w:rPr>
            </w:pPr>
          </w:p>
        </w:tc>
        <w:tc>
          <w:tcPr>
            <w:tcW w:w="3570" w:type="dxa"/>
            <w:vAlign w:val="center"/>
          </w:tcPr>
          <w:p w14:paraId="1ACD500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扬尘治理设备、空气监测设备</w:t>
            </w:r>
          </w:p>
          <w:p w14:paraId="6C8B751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选点服务</w:t>
            </w:r>
          </w:p>
        </w:tc>
        <w:tc>
          <w:tcPr>
            <w:tcW w:w="2018" w:type="dxa"/>
            <w:vAlign w:val="center"/>
          </w:tcPr>
          <w:p w14:paraId="3D18331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014" w:type="dxa"/>
            <w:vAlign w:val="center"/>
          </w:tcPr>
          <w:p w14:paraId="646D190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342" w:type="dxa"/>
            <w:vAlign w:val="center"/>
          </w:tcPr>
          <w:p w14:paraId="4865FE4E">
            <w:pPr>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1185" w:type="dxa"/>
            <w:vAlign w:val="center"/>
          </w:tcPr>
          <w:p w14:paraId="0BD9CB3C">
            <w:pPr>
              <w:spacing w:line="360" w:lineRule="auto"/>
              <w:jc w:val="center"/>
              <w:rPr>
                <w:rFonts w:hint="eastAsia" w:ascii="宋体" w:hAnsi="宋体" w:cs="宋体"/>
                <w:color w:val="auto"/>
                <w:szCs w:val="21"/>
                <w:highlight w:val="none"/>
              </w:rPr>
            </w:pPr>
          </w:p>
        </w:tc>
        <w:tc>
          <w:tcPr>
            <w:tcW w:w="1163" w:type="dxa"/>
            <w:vAlign w:val="center"/>
          </w:tcPr>
          <w:p w14:paraId="3D56688E">
            <w:pPr>
              <w:spacing w:line="360" w:lineRule="auto"/>
              <w:jc w:val="center"/>
              <w:rPr>
                <w:rFonts w:hint="eastAsia" w:ascii="宋体" w:hAnsi="宋体" w:cs="宋体"/>
                <w:color w:val="auto"/>
                <w:szCs w:val="21"/>
                <w:highlight w:val="none"/>
              </w:rPr>
            </w:pPr>
          </w:p>
        </w:tc>
        <w:tc>
          <w:tcPr>
            <w:tcW w:w="1972" w:type="dxa"/>
            <w:vAlign w:val="center"/>
          </w:tcPr>
          <w:p w14:paraId="36F5EC6C">
            <w:pPr>
              <w:spacing w:line="360" w:lineRule="auto"/>
              <w:jc w:val="center"/>
              <w:rPr>
                <w:rFonts w:hint="eastAsia" w:ascii="宋体" w:hAnsi="宋体" w:cs="宋体"/>
                <w:color w:val="auto"/>
                <w:szCs w:val="21"/>
                <w:highlight w:val="none"/>
              </w:rPr>
            </w:pPr>
          </w:p>
        </w:tc>
      </w:tr>
      <w:tr w14:paraId="17CB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66" w:type="dxa"/>
            <w:vAlign w:val="center"/>
          </w:tcPr>
          <w:p w14:paraId="0E91D816">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870" w:type="dxa"/>
            <w:vMerge w:val="continue"/>
            <w:vAlign w:val="center"/>
          </w:tcPr>
          <w:p w14:paraId="0C1B7AD8">
            <w:pPr>
              <w:spacing w:line="360" w:lineRule="auto"/>
              <w:jc w:val="center"/>
              <w:rPr>
                <w:rFonts w:hint="eastAsia" w:ascii="宋体" w:hAnsi="宋体" w:cs="宋体"/>
                <w:color w:val="auto"/>
                <w:szCs w:val="21"/>
                <w:highlight w:val="none"/>
              </w:rPr>
            </w:pPr>
          </w:p>
        </w:tc>
        <w:tc>
          <w:tcPr>
            <w:tcW w:w="3570" w:type="dxa"/>
            <w:vAlign w:val="center"/>
          </w:tcPr>
          <w:p w14:paraId="5F3685A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其他配套服务</w:t>
            </w:r>
          </w:p>
          <w:p w14:paraId="1544627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（含设备施工安装等服务）</w:t>
            </w:r>
          </w:p>
        </w:tc>
        <w:tc>
          <w:tcPr>
            <w:tcW w:w="2018" w:type="dxa"/>
            <w:vAlign w:val="center"/>
          </w:tcPr>
          <w:p w14:paraId="7B818F2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014" w:type="dxa"/>
            <w:vAlign w:val="center"/>
          </w:tcPr>
          <w:p w14:paraId="345E6A12">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342" w:type="dxa"/>
            <w:vAlign w:val="center"/>
          </w:tcPr>
          <w:p w14:paraId="2517FB59">
            <w:pPr>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1185" w:type="dxa"/>
            <w:vAlign w:val="center"/>
          </w:tcPr>
          <w:p w14:paraId="241251C3">
            <w:pPr>
              <w:spacing w:line="360" w:lineRule="auto"/>
              <w:jc w:val="center"/>
              <w:rPr>
                <w:rFonts w:hint="eastAsia" w:ascii="宋体" w:hAnsi="宋体" w:cs="宋体"/>
                <w:color w:val="auto"/>
                <w:szCs w:val="21"/>
                <w:highlight w:val="none"/>
              </w:rPr>
            </w:pPr>
          </w:p>
        </w:tc>
        <w:tc>
          <w:tcPr>
            <w:tcW w:w="1163" w:type="dxa"/>
            <w:vAlign w:val="center"/>
          </w:tcPr>
          <w:p w14:paraId="6DD763CE">
            <w:pPr>
              <w:spacing w:line="360" w:lineRule="auto"/>
              <w:jc w:val="center"/>
              <w:rPr>
                <w:rFonts w:hint="eastAsia" w:ascii="宋体" w:hAnsi="宋体" w:cs="宋体"/>
                <w:color w:val="auto"/>
                <w:szCs w:val="21"/>
                <w:highlight w:val="none"/>
              </w:rPr>
            </w:pPr>
          </w:p>
        </w:tc>
        <w:tc>
          <w:tcPr>
            <w:tcW w:w="1972" w:type="dxa"/>
            <w:vAlign w:val="center"/>
          </w:tcPr>
          <w:p w14:paraId="7B1CB7FD">
            <w:pPr>
              <w:spacing w:line="360" w:lineRule="auto"/>
              <w:jc w:val="center"/>
              <w:rPr>
                <w:rFonts w:hint="eastAsia" w:ascii="宋体" w:hAnsi="宋体" w:cs="宋体"/>
                <w:color w:val="auto"/>
                <w:szCs w:val="21"/>
                <w:highlight w:val="none"/>
              </w:rPr>
            </w:pPr>
          </w:p>
        </w:tc>
      </w:tr>
      <w:tr w14:paraId="062A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138" w:type="dxa"/>
            <w:gridSpan w:val="5"/>
            <w:vAlign w:val="center"/>
          </w:tcPr>
          <w:p w14:paraId="70ADDE62">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投标报价（小写）</w:t>
            </w:r>
          </w:p>
        </w:tc>
        <w:tc>
          <w:tcPr>
            <w:tcW w:w="5662" w:type="dxa"/>
            <w:gridSpan w:val="4"/>
            <w:vAlign w:val="center"/>
          </w:tcPr>
          <w:p w14:paraId="59394C23">
            <w:pPr>
              <w:spacing w:line="360" w:lineRule="auto"/>
              <w:jc w:val="center"/>
              <w:rPr>
                <w:rFonts w:hint="eastAsia" w:ascii="宋体" w:hAnsi="宋体" w:cs="宋体"/>
                <w:color w:val="auto"/>
                <w:szCs w:val="21"/>
                <w:highlight w:val="none"/>
              </w:rPr>
            </w:pPr>
          </w:p>
        </w:tc>
      </w:tr>
      <w:tr w14:paraId="29F5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38" w:type="dxa"/>
            <w:gridSpan w:val="5"/>
            <w:vAlign w:val="center"/>
          </w:tcPr>
          <w:p w14:paraId="316E6577">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投标报价（大写）</w:t>
            </w:r>
          </w:p>
        </w:tc>
        <w:tc>
          <w:tcPr>
            <w:tcW w:w="5662" w:type="dxa"/>
            <w:gridSpan w:val="4"/>
            <w:vAlign w:val="center"/>
          </w:tcPr>
          <w:p w14:paraId="7337423F">
            <w:pPr>
              <w:spacing w:line="360" w:lineRule="auto"/>
              <w:jc w:val="center"/>
              <w:rPr>
                <w:rFonts w:hint="eastAsia" w:ascii="宋体" w:hAnsi="宋体" w:cs="宋体"/>
                <w:color w:val="auto"/>
                <w:szCs w:val="21"/>
                <w:highlight w:val="none"/>
              </w:rPr>
            </w:pPr>
          </w:p>
        </w:tc>
      </w:tr>
    </w:tbl>
    <w:p w14:paraId="4431A486">
      <w:pPr>
        <w:snapToGrid w:val="0"/>
        <w:spacing w:line="360" w:lineRule="auto"/>
        <w:ind w:left="480"/>
        <w:rPr>
          <w:rFonts w:hint="eastAsia" w:ascii="宋体" w:hAnsi="宋体" w:cs="宋体"/>
          <w:b/>
          <w:color w:val="auto"/>
          <w:kern w:val="0"/>
          <w:szCs w:val="21"/>
          <w:highlight w:val="none"/>
          <w:lang w:val="zh-CN"/>
        </w:rPr>
      </w:pPr>
    </w:p>
    <w:p w14:paraId="3F817B40">
      <w:pPr>
        <w:snapToGrid w:val="0"/>
        <w:spacing w:line="360" w:lineRule="auto"/>
        <w:ind w:left="480"/>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p>
    <w:p w14:paraId="65622688">
      <w:pPr>
        <w:spacing w:line="360" w:lineRule="auto"/>
        <w:ind w:left="-2" w:leftChars="-1"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1、投标人需按本表格式填写</w:t>
      </w:r>
      <w:r>
        <w:rPr>
          <w:rFonts w:hint="eastAsia" w:ascii="宋体" w:hAnsi="宋体" w:cs="宋体"/>
          <w:b/>
          <w:color w:val="auto"/>
          <w:kern w:val="0"/>
          <w:szCs w:val="21"/>
          <w:highlight w:val="none"/>
          <w:lang w:val="zh-CN"/>
        </w:rPr>
        <w:t>，</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投标文件含有采购人不能接受的附加条件，投标无效</w:t>
      </w:r>
      <w:r>
        <w:rPr>
          <w:rFonts w:hint="eastAsia" w:ascii="宋体" w:hAnsi="宋体" w:cs="宋体"/>
          <w:color w:val="auto"/>
          <w:kern w:val="0"/>
          <w:szCs w:val="21"/>
          <w:highlight w:val="none"/>
          <w:lang w:val="zh-CN"/>
        </w:rPr>
        <w:t>。</w:t>
      </w:r>
    </w:p>
    <w:p w14:paraId="016D18E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2、有关本项目实施所涉及的一切费用均计入报价。</w:t>
      </w:r>
      <w:r>
        <w:rPr>
          <w:rFonts w:hint="eastAsia" w:ascii="宋体" w:hAnsi="宋体" w:cs="宋体"/>
          <w:b/>
          <w:color w:val="auto"/>
          <w:kern w:val="0"/>
          <w:szCs w:val="21"/>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不得出现“0元”“免费赠送”等形式的无偿报价，</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投标文件含有采购人不能接受的附加条件，投标无效</w:t>
      </w:r>
      <w:r>
        <w:rPr>
          <w:rFonts w:hint="eastAsia" w:ascii="宋体" w:hAnsi="宋体" w:cs="宋体"/>
          <w:b/>
          <w:color w:val="auto"/>
          <w:kern w:val="0"/>
          <w:szCs w:val="21"/>
          <w:highlight w:val="none"/>
          <w:lang w:val="zh-CN"/>
        </w:rPr>
        <w:t>；采购内容未包含在《开标一览表（报价表）》名称栏中，投标人不能作出合理解释的，</w:t>
      </w:r>
      <w:r>
        <w:rPr>
          <w:rFonts w:hint="eastAsia" w:ascii="宋体" w:hAnsi="宋体" w:cs="宋体"/>
          <w:b/>
          <w:color w:val="auto"/>
          <w:kern w:val="0"/>
          <w:szCs w:val="21"/>
          <w:highlight w:val="none"/>
        </w:rPr>
        <w:t>视为</w:t>
      </w:r>
      <w:r>
        <w:rPr>
          <w:rFonts w:hint="eastAsia" w:ascii="宋体" w:hAnsi="宋体" w:cs="宋体"/>
          <w:b/>
          <w:color w:val="auto"/>
          <w:szCs w:val="21"/>
          <w:highlight w:val="none"/>
        </w:rPr>
        <w:t>投标文件含有采购人不能接受的附加条件的，投标无效。</w:t>
      </w:r>
    </w:p>
    <w:p w14:paraId="51614C87">
      <w:pPr>
        <w:snapToGrid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3、特别提示：采购代理机构将对项目名称和项目编号，中标供应商名称、地址和中标金额，主要中标标的名称、品牌（如果有）、规格型号、数量、单价等予以公示。</w:t>
      </w:r>
    </w:p>
    <w:p w14:paraId="1CC1C57E">
      <w:pPr>
        <w:snapToGrid w:val="0"/>
        <w:spacing w:line="360" w:lineRule="auto"/>
        <w:ind w:firstLine="420" w:firstLineChars="200"/>
        <w:jc w:val="left"/>
        <w:rPr>
          <w:rFonts w:hint="eastAsia" w:ascii="宋体" w:hAnsi="宋体" w:cs="宋体"/>
          <w:color w:val="auto"/>
          <w:kern w:val="0"/>
          <w:szCs w:val="21"/>
          <w:highlight w:val="none"/>
          <w:lang w:val="zh-CN"/>
        </w:rPr>
      </w:pPr>
      <w:r>
        <w:rPr>
          <w:rFonts w:ascii="宋体" w:hAnsi="宋体" w:cs="宋体"/>
          <w:color w:val="auto"/>
          <w:kern w:val="0"/>
          <w:szCs w:val="21"/>
          <w:highlight w:val="none"/>
          <w:lang w:val="zh-CN"/>
        </w:rPr>
        <w:t>4</w:t>
      </w:r>
      <w:r>
        <w:rPr>
          <w:rFonts w:hint="eastAsia" w:ascii="宋体" w:hAnsi="宋体" w:cs="宋体"/>
          <w:color w:val="auto"/>
          <w:kern w:val="0"/>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C227AC">
      <w:pPr>
        <w:rPr>
          <w:color w:val="auto"/>
          <w:highlight w:val="none"/>
        </w:rPr>
        <w:sectPr>
          <w:pgSz w:w="16838" w:h="11906" w:orient="landscape"/>
          <w:pgMar w:top="1418" w:right="1247" w:bottom="1418" w:left="1276" w:header="851" w:footer="992" w:gutter="0"/>
          <w:cols w:space="720" w:num="1"/>
          <w:titlePg/>
          <w:docGrid w:linePitch="312" w:charSpace="0"/>
        </w:sectPr>
      </w:pPr>
    </w:p>
    <w:p w14:paraId="4378D477">
      <w:pPr>
        <w:pStyle w:val="5"/>
        <w:ind w:firstLine="562"/>
        <w:jc w:val="center"/>
        <w:rPr>
          <w:rFonts w:hint="eastAsia" w:ascii="宋体" w:hAnsi="宋体" w:cs="宋体"/>
          <w:bCs w:val="0"/>
          <w:color w:val="auto"/>
          <w:kern w:val="0"/>
          <w:sz w:val="28"/>
          <w:szCs w:val="28"/>
          <w:highlight w:val="none"/>
        </w:rPr>
      </w:pPr>
      <w:bookmarkStart w:id="566" w:name="_Toc465665161"/>
      <w:r>
        <w:rPr>
          <w:rFonts w:hint="eastAsia" w:ascii="宋体" w:hAnsi="宋体" w:cs="宋体"/>
          <w:bCs w:val="0"/>
          <w:color w:val="auto"/>
          <w:kern w:val="0"/>
          <w:sz w:val="28"/>
          <w:szCs w:val="28"/>
          <w:highlight w:val="none"/>
        </w:rPr>
        <w:t>附件</w:t>
      </w:r>
      <w:bookmarkEnd w:id="566"/>
    </w:p>
    <w:p w14:paraId="0D7BB10D">
      <w:pPr>
        <w:pStyle w:val="5"/>
        <w:ind w:firstLine="422"/>
        <w:rPr>
          <w:rFonts w:hint="eastAsia" w:ascii="宋体" w:hAnsi="宋体" w:cs="宋体"/>
          <w:bCs w:val="0"/>
          <w:color w:val="auto"/>
          <w:kern w:val="0"/>
          <w:sz w:val="21"/>
          <w:szCs w:val="21"/>
          <w:highlight w:val="none"/>
        </w:rPr>
      </w:pPr>
      <w:r>
        <w:rPr>
          <w:rFonts w:hint="eastAsia" w:ascii="宋体" w:hAnsi="宋体" w:cs="宋体"/>
          <w:bCs w:val="0"/>
          <w:color w:val="auto"/>
          <w:kern w:val="0"/>
          <w:sz w:val="21"/>
          <w:szCs w:val="21"/>
          <w:highlight w:val="none"/>
        </w:rPr>
        <w:t>附件1：</w:t>
      </w:r>
    </w:p>
    <w:p w14:paraId="5D43EEB4">
      <w:pPr>
        <w:spacing w:line="360" w:lineRule="auto"/>
        <w:jc w:val="center"/>
        <w:rPr>
          <w:rFonts w:hint="eastAsia" w:ascii="宋体" w:hAnsi="宋体" w:cs="宋体"/>
          <w:b/>
          <w:color w:val="auto"/>
          <w:spacing w:val="6"/>
          <w:szCs w:val="21"/>
          <w:highlight w:val="none"/>
        </w:rPr>
      </w:pPr>
      <w:bookmarkStart w:id="567" w:name="OLE_LINK13"/>
      <w:bookmarkStart w:id="568" w:name="OLE_LINK14"/>
      <w:r>
        <w:rPr>
          <w:rFonts w:hint="eastAsia" w:ascii="宋体" w:hAnsi="宋体" w:cs="宋体"/>
          <w:b/>
          <w:color w:val="auto"/>
          <w:spacing w:val="6"/>
          <w:szCs w:val="21"/>
          <w:highlight w:val="none"/>
        </w:rPr>
        <w:t>残疾人福利性单位声明函</w:t>
      </w:r>
    </w:p>
    <w:bookmarkEnd w:id="567"/>
    <w:bookmarkEnd w:id="568"/>
    <w:p w14:paraId="122944F6">
      <w:pPr>
        <w:spacing w:line="360" w:lineRule="auto"/>
        <w:rPr>
          <w:rFonts w:hint="eastAsia" w:ascii="宋体" w:hAnsi="宋体" w:cs="宋体"/>
          <w:b/>
          <w:color w:val="auto"/>
          <w:spacing w:val="6"/>
          <w:szCs w:val="21"/>
          <w:highlight w:val="none"/>
        </w:rPr>
      </w:pPr>
    </w:p>
    <w:p w14:paraId="544755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Cs w:val="21"/>
          <w:highlight w:val="none"/>
          <w:u w:val="single"/>
        </w:rPr>
        <w:t xml:space="preserve">杭州市生态环境局上城分局 </w:t>
      </w:r>
      <w:r>
        <w:rPr>
          <w:rFonts w:hint="eastAsia" w:ascii="宋体" w:hAnsi="宋体" w:cs="宋体"/>
          <w:color w:val="auto"/>
          <w:szCs w:val="21"/>
          <w:highlight w:val="none"/>
        </w:rPr>
        <w:t>_单位的_</w:t>
      </w:r>
      <w:r>
        <w:rPr>
          <w:rFonts w:hint="eastAsia" w:ascii="宋体" w:hAnsi="宋体" w:cs="宋体"/>
          <w:color w:val="auto"/>
          <w:szCs w:val="21"/>
          <w:highlight w:val="none"/>
          <w:u w:val="single"/>
        </w:rPr>
        <w:t>上城区同协路道路扬尘智能化管控项目</w:t>
      </w:r>
      <w:r>
        <w:rPr>
          <w:rFonts w:hint="eastAsia" w:ascii="宋体" w:hAnsi="宋体" w:cs="宋体"/>
          <w:color w:val="auto"/>
          <w:szCs w:val="21"/>
          <w:highlight w:val="none"/>
        </w:rPr>
        <w:t>__项目采购活动提供本单位制造的货物（由本单位承担工程/提供服务），或者提供其他残疾人福利性单位制造的货物（不包括使用非残疾人福利性单位注册商标的货物）。</w:t>
      </w:r>
    </w:p>
    <w:p w14:paraId="4FA707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55D4E632">
      <w:pPr>
        <w:spacing w:line="360" w:lineRule="auto"/>
        <w:ind w:firstLine="420" w:firstLineChars="200"/>
        <w:rPr>
          <w:rFonts w:hint="eastAsia" w:ascii="宋体" w:hAnsi="宋体" w:cs="宋体"/>
          <w:color w:val="auto"/>
          <w:szCs w:val="21"/>
          <w:highlight w:val="none"/>
        </w:rPr>
      </w:pPr>
    </w:p>
    <w:p w14:paraId="638FE0D5">
      <w:pPr>
        <w:spacing w:line="360" w:lineRule="auto"/>
        <w:ind w:firstLine="420" w:firstLineChars="200"/>
        <w:rPr>
          <w:rFonts w:hint="eastAsia" w:ascii="宋体" w:hAnsi="宋体" w:cs="宋体"/>
          <w:color w:val="auto"/>
          <w:szCs w:val="21"/>
          <w:highlight w:val="none"/>
        </w:rPr>
      </w:pPr>
    </w:p>
    <w:p w14:paraId="21B12EF6">
      <w:pPr>
        <w:tabs>
          <w:tab w:val="left" w:pos="4860"/>
        </w:tabs>
        <w:spacing w:line="360" w:lineRule="auto"/>
        <w:ind w:right="1560"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zh-CN"/>
        </w:rPr>
        <w:t>投标人名称（电子签名）</w:t>
      </w:r>
      <w:r>
        <w:rPr>
          <w:rFonts w:hint="eastAsia" w:ascii="宋体" w:hAnsi="宋体" w:cs="宋体"/>
          <w:color w:val="auto"/>
          <w:szCs w:val="21"/>
          <w:highlight w:val="none"/>
        </w:rPr>
        <w:t>：</w:t>
      </w:r>
    </w:p>
    <w:p w14:paraId="25635635">
      <w:pPr>
        <w:tabs>
          <w:tab w:val="left" w:pos="4860"/>
        </w:tabs>
        <w:spacing w:line="360" w:lineRule="auto"/>
        <w:ind w:right="1560"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日  期：</w:t>
      </w:r>
    </w:p>
    <w:p w14:paraId="6EEEE3A0">
      <w:pPr>
        <w:spacing w:line="360" w:lineRule="auto"/>
        <w:ind w:firstLine="420" w:firstLineChars="200"/>
        <w:rPr>
          <w:rFonts w:hint="eastAsia" w:ascii="宋体" w:hAnsi="宋体" w:cs="宋体"/>
          <w:color w:val="auto"/>
          <w:szCs w:val="21"/>
          <w:highlight w:val="none"/>
        </w:rPr>
      </w:pPr>
    </w:p>
    <w:p w14:paraId="5D9F700D">
      <w:pPr>
        <w:spacing w:line="360" w:lineRule="auto"/>
        <w:ind w:firstLine="420" w:firstLineChars="200"/>
        <w:rPr>
          <w:rFonts w:hint="eastAsia" w:ascii="宋体" w:hAnsi="宋体" w:cs="宋体"/>
          <w:color w:val="auto"/>
          <w:highlight w:val="none"/>
        </w:rPr>
      </w:pPr>
    </w:p>
    <w:p w14:paraId="489A9789">
      <w:pPr>
        <w:spacing w:line="360" w:lineRule="auto"/>
        <w:ind w:firstLine="420" w:firstLineChars="200"/>
        <w:rPr>
          <w:rFonts w:hint="eastAsia" w:ascii="宋体" w:hAnsi="宋体" w:cs="宋体"/>
          <w:color w:val="auto"/>
          <w:highlight w:val="none"/>
        </w:rPr>
      </w:pPr>
    </w:p>
    <w:p w14:paraId="6DB4436D">
      <w:pPr>
        <w:spacing w:line="360" w:lineRule="auto"/>
        <w:ind w:firstLine="420" w:firstLineChars="200"/>
        <w:rPr>
          <w:rFonts w:hint="eastAsia" w:ascii="宋体" w:hAnsi="宋体" w:cs="宋体"/>
          <w:color w:val="auto"/>
          <w:highlight w:val="none"/>
        </w:rPr>
      </w:pPr>
    </w:p>
    <w:p w14:paraId="378B9293">
      <w:pPr>
        <w:spacing w:line="360" w:lineRule="auto"/>
        <w:ind w:firstLine="420" w:firstLineChars="200"/>
        <w:rPr>
          <w:rFonts w:hint="eastAsia" w:ascii="宋体" w:hAnsi="宋体" w:cs="宋体"/>
          <w:color w:val="auto"/>
          <w:highlight w:val="none"/>
        </w:rPr>
      </w:pPr>
    </w:p>
    <w:p w14:paraId="0082F37D">
      <w:pPr>
        <w:spacing w:line="360" w:lineRule="auto"/>
        <w:rPr>
          <w:rFonts w:hint="eastAsia" w:ascii="宋体" w:hAnsi="宋体" w:cs="宋体"/>
          <w:b/>
          <w:color w:val="auto"/>
          <w:sz w:val="24"/>
          <w:highlight w:val="none"/>
        </w:rPr>
      </w:pPr>
    </w:p>
    <w:p w14:paraId="3AC3ACF8">
      <w:pPr>
        <w:spacing w:line="360" w:lineRule="auto"/>
        <w:rPr>
          <w:rFonts w:hint="eastAsia" w:ascii="宋体" w:hAnsi="宋体" w:cs="宋体"/>
          <w:b/>
          <w:color w:val="auto"/>
          <w:sz w:val="24"/>
          <w:highlight w:val="none"/>
        </w:rPr>
      </w:pPr>
    </w:p>
    <w:p w14:paraId="7FCF8686">
      <w:pPr>
        <w:spacing w:line="360" w:lineRule="auto"/>
        <w:rPr>
          <w:rFonts w:hint="eastAsia" w:ascii="宋体" w:hAnsi="宋体" w:cs="宋体"/>
          <w:b/>
          <w:color w:val="auto"/>
          <w:sz w:val="24"/>
          <w:highlight w:val="none"/>
        </w:rPr>
      </w:pPr>
    </w:p>
    <w:p w14:paraId="5768C594">
      <w:pPr>
        <w:spacing w:line="360" w:lineRule="auto"/>
        <w:rPr>
          <w:rFonts w:hint="eastAsia" w:ascii="宋体" w:hAnsi="宋体" w:cs="宋体"/>
          <w:b/>
          <w:color w:val="auto"/>
          <w:sz w:val="24"/>
          <w:highlight w:val="none"/>
        </w:rPr>
      </w:pPr>
    </w:p>
    <w:p w14:paraId="6970A531">
      <w:pPr>
        <w:spacing w:line="360" w:lineRule="auto"/>
        <w:rPr>
          <w:rFonts w:hint="eastAsia" w:ascii="宋体" w:hAnsi="宋体" w:cs="宋体"/>
          <w:b/>
          <w:color w:val="auto"/>
          <w:sz w:val="24"/>
          <w:highlight w:val="none"/>
        </w:rPr>
      </w:pPr>
    </w:p>
    <w:p w14:paraId="217E2E42">
      <w:pPr>
        <w:spacing w:line="360" w:lineRule="auto"/>
        <w:rPr>
          <w:rFonts w:hint="eastAsia" w:ascii="宋体" w:hAnsi="宋体" w:cs="宋体"/>
          <w:b/>
          <w:color w:val="auto"/>
          <w:sz w:val="24"/>
          <w:highlight w:val="none"/>
        </w:rPr>
      </w:pPr>
    </w:p>
    <w:p w14:paraId="00C14B35">
      <w:pPr>
        <w:spacing w:line="360" w:lineRule="auto"/>
        <w:rPr>
          <w:rFonts w:hint="eastAsia" w:ascii="宋体" w:hAnsi="宋体" w:cs="宋体"/>
          <w:b/>
          <w:color w:val="auto"/>
          <w:sz w:val="24"/>
          <w:highlight w:val="none"/>
        </w:rPr>
      </w:pPr>
    </w:p>
    <w:p w14:paraId="126EF0B2">
      <w:pPr>
        <w:spacing w:line="360" w:lineRule="auto"/>
        <w:rPr>
          <w:rFonts w:hint="eastAsia" w:ascii="宋体" w:hAnsi="宋体" w:cs="宋体"/>
          <w:b/>
          <w:color w:val="auto"/>
          <w:sz w:val="24"/>
          <w:highlight w:val="none"/>
        </w:rPr>
      </w:pPr>
    </w:p>
    <w:p w14:paraId="4514983C">
      <w:pPr>
        <w:spacing w:line="360" w:lineRule="auto"/>
        <w:rPr>
          <w:rFonts w:hint="eastAsia" w:ascii="宋体" w:hAnsi="宋体" w:cs="宋体"/>
          <w:b/>
          <w:color w:val="auto"/>
          <w:sz w:val="24"/>
          <w:highlight w:val="none"/>
        </w:rPr>
      </w:pPr>
    </w:p>
    <w:p w14:paraId="42210449">
      <w:pPr>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br w:type="page"/>
      </w:r>
    </w:p>
    <w:p w14:paraId="07AE3572">
      <w:pPr>
        <w:pStyle w:val="5"/>
        <w:ind w:firstLine="422"/>
        <w:rPr>
          <w:rFonts w:hint="eastAsia" w:ascii="宋体" w:hAnsi="宋体" w:cs="宋体"/>
          <w:bCs w:val="0"/>
          <w:color w:val="auto"/>
          <w:kern w:val="0"/>
          <w:sz w:val="21"/>
          <w:szCs w:val="21"/>
          <w:highlight w:val="none"/>
        </w:rPr>
      </w:pPr>
      <w:r>
        <w:rPr>
          <w:rFonts w:hint="eastAsia" w:ascii="宋体" w:hAnsi="宋体" w:cs="宋体"/>
          <w:bCs w:val="0"/>
          <w:color w:val="auto"/>
          <w:kern w:val="0"/>
          <w:sz w:val="21"/>
          <w:szCs w:val="21"/>
          <w:highlight w:val="none"/>
        </w:rPr>
        <w:t>附件2：质疑函范本及制作说明</w:t>
      </w:r>
    </w:p>
    <w:p w14:paraId="4145107C">
      <w:pPr>
        <w:spacing w:line="360" w:lineRule="auto"/>
        <w:jc w:val="center"/>
        <w:rPr>
          <w:rFonts w:hint="eastAsia" w:ascii="宋体" w:hAnsi="宋体" w:cs="宋体"/>
          <w:b/>
          <w:color w:val="auto"/>
          <w:spacing w:val="6"/>
          <w:sz w:val="32"/>
          <w:szCs w:val="32"/>
          <w:highlight w:val="none"/>
        </w:rPr>
      </w:pPr>
    </w:p>
    <w:p w14:paraId="1196361F">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AA70B44">
      <w:pPr>
        <w:snapToGrid w:val="0"/>
        <w:spacing w:before="240" w:beforeLines="100" w:line="360" w:lineRule="auto"/>
        <w:rPr>
          <w:rFonts w:hint="eastAsia" w:ascii="宋体" w:hAnsi="宋体" w:cs="宋体"/>
          <w:bCs/>
          <w:color w:val="auto"/>
          <w:szCs w:val="21"/>
          <w:highlight w:val="none"/>
        </w:rPr>
      </w:pPr>
      <w:r>
        <w:rPr>
          <w:rFonts w:hint="eastAsia" w:ascii="宋体" w:hAnsi="宋体" w:cs="宋体"/>
          <w:bCs/>
          <w:color w:val="auto"/>
          <w:szCs w:val="21"/>
          <w:highlight w:val="none"/>
        </w:rPr>
        <w:t>一、质疑供应商基本信息</w:t>
      </w:r>
    </w:p>
    <w:p w14:paraId="05681EE7">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14:paraId="0676265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14:paraId="7DA88CD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46304D1A">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14:paraId="460ACA6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27043AE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14:paraId="68543CBB">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二、质疑项目基本情况</w:t>
      </w:r>
    </w:p>
    <w:p w14:paraId="02AAAE1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14:paraId="68E5B89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14:paraId="4FE76BF2">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14:paraId="7C2513C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14:paraId="3573C215">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三、质疑事项具体内容</w:t>
      </w:r>
    </w:p>
    <w:p w14:paraId="34E979EB">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14:paraId="7BF7017C">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14:paraId="4E00FF7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dotted"/>
        </w:rPr>
        <w:t xml:space="preserve">                                                       </w:t>
      </w:r>
    </w:p>
    <w:p w14:paraId="17543C3D">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14:paraId="1597ADC1">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76F1846D">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质疑事项2</w:t>
      </w:r>
    </w:p>
    <w:p w14:paraId="2A72361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p w14:paraId="7A921127">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14:paraId="50A90E96">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14:paraId="00A16F6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签字(签章)：                   公章：                      </w:t>
      </w:r>
    </w:p>
    <w:p w14:paraId="4C3C87C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日期：    </w:t>
      </w:r>
    </w:p>
    <w:p w14:paraId="4930EB2E">
      <w:pPr>
        <w:spacing w:line="360" w:lineRule="auto"/>
        <w:jc w:val="center"/>
        <w:rPr>
          <w:rFonts w:hint="eastAsia" w:ascii="宋体" w:hAnsi="宋体" w:cs="宋体"/>
          <w:b/>
          <w:bCs/>
          <w:color w:val="auto"/>
          <w:szCs w:val="21"/>
          <w:highlight w:val="none"/>
        </w:rPr>
      </w:pPr>
    </w:p>
    <w:p w14:paraId="74BB1082">
      <w:pPr>
        <w:spacing w:line="360" w:lineRule="auto"/>
        <w:rPr>
          <w:rFonts w:hint="eastAsia" w:ascii="宋体" w:hAnsi="宋体" w:cs="宋体"/>
          <w:b/>
          <w:color w:val="auto"/>
          <w:szCs w:val="21"/>
          <w:highlight w:val="none"/>
        </w:rPr>
      </w:pPr>
    </w:p>
    <w:p w14:paraId="47755266">
      <w:pPr>
        <w:spacing w:line="360" w:lineRule="auto"/>
        <w:rPr>
          <w:rFonts w:hint="eastAsia" w:ascii="宋体" w:hAnsi="宋体" w:cs="宋体"/>
          <w:b/>
          <w:color w:val="auto"/>
          <w:szCs w:val="21"/>
          <w:highlight w:val="none"/>
        </w:rPr>
      </w:pPr>
    </w:p>
    <w:p w14:paraId="7AE6E09A">
      <w:pPr>
        <w:spacing w:line="360" w:lineRule="auto"/>
        <w:rPr>
          <w:rFonts w:hint="eastAsia" w:ascii="宋体" w:hAnsi="宋体" w:cs="宋体"/>
          <w:b/>
          <w:color w:val="auto"/>
          <w:szCs w:val="21"/>
          <w:highlight w:val="none"/>
        </w:rPr>
      </w:pPr>
    </w:p>
    <w:p w14:paraId="06437414">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质疑函制作说明：</w:t>
      </w:r>
    </w:p>
    <w:p w14:paraId="64C8C7C1">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14:paraId="05A42290">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04CEB3ED">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14:paraId="08D934C3">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14:paraId="0FC9D005">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14:paraId="4C3E059D">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026A41EA">
      <w:pPr>
        <w:widowControl/>
        <w:spacing w:line="360" w:lineRule="auto"/>
        <w:ind w:firstLine="420" w:firstLineChars="200"/>
        <w:jc w:val="left"/>
        <w:rPr>
          <w:rFonts w:hint="eastAsia" w:ascii="宋体" w:hAnsi="宋体" w:cs="宋体"/>
          <w:color w:val="auto"/>
          <w:szCs w:val="21"/>
          <w:highlight w:val="none"/>
        </w:rPr>
      </w:pPr>
    </w:p>
    <w:p w14:paraId="416F545F">
      <w:pPr>
        <w:spacing w:line="360" w:lineRule="auto"/>
        <w:jc w:val="center"/>
        <w:rPr>
          <w:rFonts w:hint="eastAsia" w:ascii="宋体" w:hAnsi="宋体" w:cs="宋体"/>
          <w:b/>
          <w:color w:val="auto"/>
          <w:spacing w:val="6"/>
          <w:szCs w:val="21"/>
          <w:highlight w:val="none"/>
        </w:rPr>
      </w:pPr>
    </w:p>
    <w:p w14:paraId="67049A5A">
      <w:pPr>
        <w:spacing w:line="360" w:lineRule="auto"/>
        <w:jc w:val="center"/>
        <w:rPr>
          <w:rFonts w:hint="eastAsia" w:ascii="宋体" w:hAnsi="宋体" w:cs="宋体"/>
          <w:b/>
          <w:color w:val="auto"/>
          <w:spacing w:val="6"/>
          <w:szCs w:val="21"/>
          <w:highlight w:val="none"/>
        </w:rPr>
      </w:pPr>
    </w:p>
    <w:p w14:paraId="36A2575F">
      <w:pPr>
        <w:spacing w:line="360" w:lineRule="auto"/>
        <w:jc w:val="center"/>
        <w:rPr>
          <w:rFonts w:hint="eastAsia" w:ascii="宋体" w:hAnsi="宋体" w:cs="宋体"/>
          <w:b/>
          <w:color w:val="auto"/>
          <w:spacing w:val="6"/>
          <w:szCs w:val="21"/>
          <w:highlight w:val="none"/>
        </w:rPr>
      </w:pPr>
    </w:p>
    <w:p w14:paraId="0CFEA7D7">
      <w:pPr>
        <w:spacing w:line="360" w:lineRule="auto"/>
        <w:jc w:val="center"/>
        <w:rPr>
          <w:rFonts w:hint="eastAsia" w:ascii="宋体" w:hAnsi="宋体" w:cs="宋体"/>
          <w:b/>
          <w:color w:val="auto"/>
          <w:spacing w:val="6"/>
          <w:sz w:val="32"/>
          <w:szCs w:val="32"/>
          <w:highlight w:val="none"/>
        </w:rPr>
      </w:pPr>
    </w:p>
    <w:p w14:paraId="20798BCB">
      <w:pPr>
        <w:spacing w:line="360" w:lineRule="auto"/>
        <w:jc w:val="center"/>
        <w:rPr>
          <w:rFonts w:hint="eastAsia" w:ascii="宋体" w:hAnsi="宋体" w:cs="宋体"/>
          <w:b/>
          <w:color w:val="auto"/>
          <w:spacing w:val="6"/>
          <w:sz w:val="32"/>
          <w:szCs w:val="32"/>
          <w:highlight w:val="none"/>
        </w:rPr>
      </w:pPr>
    </w:p>
    <w:p w14:paraId="71F4B66C">
      <w:pPr>
        <w:spacing w:line="360" w:lineRule="auto"/>
        <w:jc w:val="center"/>
        <w:rPr>
          <w:rFonts w:hint="eastAsia" w:ascii="宋体" w:hAnsi="宋体" w:cs="宋体"/>
          <w:b/>
          <w:color w:val="auto"/>
          <w:spacing w:val="6"/>
          <w:sz w:val="32"/>
          <w:szCs w:val="32"/>
          <w:highlight w:val="none"/>
        </w:rPr>
      </w:pPr>
    </w:p>
    <w:p w14:paraId="5407389B">
      <w:pPr>
        <w:spacing w:line="360" w:lineRule="auto"/>
        <w:jc w:val="center"/>
        <w:rPr>
          <w:rFonts w:hint="eastAsia" w:ascii="宋体" w:hAnsi="宋体" w:cs="宋体"/>
          <w:b/>
          <w:color w:val="auto"/>
          <w:spacing w:val="6"/>
          <w:sz w:val="32"/>
          <w:szCs w:val="32"/>
          <w:highlight w:val="none"/>
        </w:rPr>
      </w:pPr>
    </w:p>
    <w:p w14:paraId="34137763">
      <w:pPr>
        <w:spacing w:line="360" w:lineRule="auto"/>
        <w:jc w:val="center"/>
        <w:rPr>
          <w:rFonts w:hint="eastAsia" w:ascii="宋体" w:hAnsi="宋体" w:cs="宋体"/>
          <w:b/>
          <w:color w:val="auto"/>
          <w:spacing w:val="6"/>
          <w:sz w:val="32"/>
          <w:szCs w:val="32"/>
          <w:highlight w:val="none"/>
        </w:rPr>
      </w:pPr>
    </w:p>
    <w:p w14:paraId="69D7EC13">
      <w:pPr>
        <w:spacing w:line="360" w:lineRule="auto"/>
        <w:jc w:val="center"/>
        <w:rPr>
          <w:rFonts w:hint="eastAsia" w:ascii="宋体" w:hAnsi="宋体" w:cs="宋体"/>
          <w:b/>
          <w:color w:val="auto"/>
          <w:spacing w:val="6"/>
          <w:sz w:val="32"/>
          <w:szCs w:val="32"/>
          <w:highlight w:val="none"/>
        </w:rPr>
      </w:pPr>
    </w:p>
    <w:p w14:paraId="1B889050">
      <w:pPr>
        <w:spacing w:line="360" w:lineRule="auto"/>
        <w:jc w:val="center"/>
        <w:rPr>
          <w:rFonts w:hint="eastAsia" w:ascii="宋体" w:hAnsi="宋体" w:cs="宋体"/>
          <w:b/>
          <w:color w:val="auto"/>
          <w:spacing w:val="6"/>
          <w:sz w:val="32"/>
          <w:szCs w:val="32"/>
          <w:highlight w:val="none"/>
        </w:rPr>
      </w:pPr>
    </w:p>
    <w:p w14:paraId="611506C1">
      <w:pPr>
        <w:spacing w:line="360" w:lineRule="auto"/>
        <w:jc w:val="center"/>
        <w:rPr>
          <w:rFonts w:hint="eastAsia" w:ascii="宋体" w:hAnsi="宋体" w:cs="宋体"/>
          <w:b/>
          <w:color w:val="auto"/>
          <w:spacing w:val="6"/>
          <w:sz w:val="32"/>
          <w:szCs w:val="32"/>
          <w:highlight w:val="none"/>
        </w:rPr>
      </w:pPr>
    </w:p>
    <w:p w14:paraId="7EB11511">
      <w:pPr>
        <w:spacing w:line="360" w:lineRule="auto"/>
        <w:jc w:val="center"/>
        <w:rPr>
          <w:rFonts w:hint="eastAsia" w:ascii="宋体" w:hAnsi="宋体" w:cs="宋体"/>
          <w:b/>
          <w:color w:val="auto"/>
          <w:spacing w:val="6"/>
          <w:sz w:val="32"/>
          <w:szCs w:val="32"/>
          <w:highlight w:val="none"/>
        </w:rPr>
      </w:pPr>
    </w:p>
    <w:p w14:paraId="6A823026">
      <w:pPr>
        <w:spacing w:line="360" w:lineRule="auto"/>
        <w:jc w:val="left"/>
        <w:rPr>
          <w:rFonts w:hint="eastAsia" w:ascii="宋体" w:hAnsi="宋体" w:cs="宋体"/>
          <w:b/>
          <w:color w:val="auto"/>
          <w:spacing w:val="6"/>
          <w:sz w:val="32"/>
          <w:szCs w:val="32"/>
          <w:highlight w:val="none"/>
        </w:rPr>
      </w:pPr>
    </w:p>
    <w:p w14:paraId="1F7E0F21">
      <w:pPr>
        <w:spacing w:line="360" w:lineRule="auto"/>
        <w:jc w:val="left"/>
        <w:rPr>
          <w:rFonts w:hint="eastAsia" w:ascii="宋体" w:hAnsi="宋体" w:cs="宋体"/>
          <w:b/>
          <w:color w:val="auto"/>
          <w:spacing w:val="6"/>
          <w:sz w:val="32"/>
          <w:szCs w:val="32"/>
          <w:highlight w:val="none"/>
        </w:rPr>
      </w:pPr>
    </w:p>
    <w:p w14:paraId="421718FD">
      <w:pPr>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br w:type="page"/>
      </w:r>
    </w:p>
    <w:p w14:paraId="0B267E00">
      <w:pPr>
        <w:pStyle w:val="5"/>
        <w:ind w:firstLine="422"/>
        <w:rPr>
          <w:rFonts w:hint="eastAsia" w:ascii="宋体" w:hAnsi="宋体" w:cs="宋体"/>
          <w:bCs w:val="0"/>
          <w:color w:val="auto"/>
          <w:kern w:val="0"/>
          <w:sz w:val="21"/>
          <w:szCs w:val="21"/>
          <w:highlight w:val="none"/>
        </w:rPr>
      </w:pPr>
      <w:r>
        <w:rPr>
          <w:rFonts w:hint="eastAsia" w:ascii="宋体" w:hAnsi="宋体" w:cs="宋体"/>
          <w:bCs w:val="0"/>
          <w:color w:val="auto"/>
          <w:kern w:val="0"/>
          <w:sz w:val="21"/>
          <w:szCs w:val="21"/>
          <w:highlight w:val="none"/>
        </w:rPr>
        <w:t>附件3：投诉书范本及制作说明</w:t>
      </w:r>
    </w:p>
    <w:p w14:paraId="5EBC828A">
      <w:pPr>
        <w:spacing w:line="360" w:lineRule="auto"/>
        <w:jc w:val="center"/>
        <w:rPr>
          <w:rFonts w:hint="eastAsia" w:ascii="宋体" w:hAnsi="宋体" w:cs="宋体"/>
          <w:b/>
          <w:color w:val="auto"/>
          <w:sz w:val="24"/>
          <w:highlight w:val="none"/>
        </w:rPr>
      </w:pPr>
    </w:p>
    <w:p w14:paraId="00E8DF59">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0CD0C7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一、投诉相关主体基本情况</w:t>
      </w:r>
    </w:p>
    <w:p w14:paraId="5562D385">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投诉人：</w:t>
      </w:r>
      <w:r>
        <w:rPr>
          <w:rFonts w:hint="eastAsia" w:ascii="宋体" w:hAnsi="宋体" w:cs="宋体"/>
          <w:color w:val="auto"/>
          <w:szCs w:val="21"/>
          <w:highlight w:val="none"/>
          <w:u w:val="dotted"/>
        </w:rPr>
        <w:t xml:space="preserve">                                               </w:t>
      </w:r>
    </w:p>
    <w:p w14:paraId="4B596872">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4008C7D0">
      <w:pPr>
        <w:tabs>
          <w:tab w:val="left" w:pos="651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法定代表人/主要负责人：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2BE64DB5">
      <w:pPr>
        <w:tabs>
          <w:tab w:val="left" w:pos="6510"/>
        </w:tabs>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3D3FD5BF">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54F7D4AE">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dotted"/>
        </w:rPr>
        <w:t xml:space="preserve">                   </w:t>
      </w:r>
    </w:p>
    <w:p w14:paraId="42A6FE5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被投诉人1：</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1B771A82">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43409FBA">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213C8CB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被投诉人2</w:t>
      </w:r>
    </w:p>
    <w:p w14:paraId="2AF03DA0">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w:t>
      </w:r>
    </w:p>
    <w:p w14:paraId="5D78EC7A">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相关供应商：</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0314FDD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575B85D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6D2B37D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二、投诉项目基本情况</w:t>
      </w:r>
    </w:p>
    <w:p w14:paraId="2E09372D">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采购项目名称：</w:t>
      </w:r>
      <w:r>
        <w:rPr>
          <w:rFonts w:hint="eastAsia" w:ascii="宋体" w:hAnsi="宋体" w:cs="宋体"/>
          <w:color w:val="auto"/>
          <w:szCs w:val="21"/>
          <w:highlight w:val="none"/>
          <w:u w:val="dotted"/>
        </w:rPr>
        <w:t xml:space="preserve">                                        </w:t>
      </w:r>
    </w:p>
    <w:p w14:paraId="329682B4">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14:paraId="5321068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35058D9E">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代理机构名称：</w:t>
      </w:r>
      <w:r>
        <w:rPr>
          <w:rFonts w:hint="eastAsia" w:ascii="宋体" w:hAnsi="宋体" w:cs="宋体"/>
          <w:color w:val="auto"/>
          <w:szCs w:val="21"/>
          <w:highlight w:val="none"/>
          <w:u w:val="dotted"/>
        </w:rPr>
        <w:t xml:space="preserve">                                         </w:t>
      </w:r>
    </w:p>
    <w:p w14:paraId="3116AEEE">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采购文件公告: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14:paraId="4E41B3B5">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采购结果公告: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14:paraId="4997F90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三、质疑基本情况</w:t>
      </w:r>
    </w:p>
    <w:p w14:paraId="663945F3">
      <w:pPr>
        <w:spacing w:line="360" w:lineRule="auto"/>
        <w:ind w:firstLine="420" w:firstLineChars="200"/>
        <w:rPr>
          <w:rFonts w:hint="eastAsia" w:ascii="宋体" w:hAnsi="宋体" w:cs="宋体"/>
          <w:color w:val="auto"/>
          <w:szCs w:val="21"/>
          <w:highlight w:val="none"/>
          <w:u w:val="dotted"/>
        </w:rPr>
      </w:pPr>
      <w:r>
        <w:rPr>
          <w:rFonts w:hint="eastAsia" w:ascii="宋体" w:hAnsi="宋体" w:cs="宋体"/>
          <w:color w:val="auto"/>
          <w:szCs w:val="21"/>
          <w:highlight w:val="none"/>
        </w:rPr>
        <w:t>投诉人于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日,向</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提出质疑，质疑事项为：</w:t>
      </w:r>
      <w:r>
        <w:rPr>
          <w:rFonts w:hint="eastAsia" w:ascii="宋体" w:hAnsi="宋体" w:cs="宋体"/>
          <w:color w:val="auto"/>
          <w:szCs w:val="21"/>
          <w:highlight w:val="none"/>
          <w:u w:val="dotted"/>
        </w:rPr>
        <w:t xml:space="preserve">                                </w:t>
      </w:r>
    </w:p>
    <w:p w14:paraId="3E3D7543">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56C85A17">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u w:val="dotted"/>
        </w:rPr>
        <w:t>采购人/代理机构</w:t>
      </w:r>
      <w:r>
        <w:rPr>
          <w:rFonts w:hint="eastAsia" w:ascii="宋体" w:hAnsi="宋体" w:cs="宋体"/>
          <w:color w:val="auto"/>
          <w:szCs w:val="21"/>
          <w:highlight w:val="none"/>
        </w:rPr>
        <w:t>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日,就质疑事项作出了答复/没有在法定期限内作出答复。</w:t>
      </w:r>
    </w:p>
    <w:p w14:paraId="5F34FA8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四、投诉事项具体内容</w:t>
      </w:r>
    </w:p>
    <w:p w14:paraId="0E7BBC2D">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投诉事项 1：</w:t>
      </w:r>
      <w:r>
        <w:rPr>
          <w:rFonts w:hint="eastAsia" w:ascii="宋体" w:hAnsi="宋体" w:cs="宋体"/>
          <w:color w:val="auto"/>
          <w:szCs w:val="21"/>
          <w:highlight w:val="none"/>
          <w:u w:val="dotted"/>
        </w:rPr>
        <w:t xml:space="preserve">                                       </w:t>
      </w:r>
    </w:p>
    <w:p w14:paraId="3BEEC77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14:paraId="5267E8A4">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7754BA6F">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14:paraId="088132E2">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5F89B3A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投诉事项2</w:t>
      </w:r>
    </w:p>
    <w:p w14:paraId="40BD3C25">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w:t>
      </w:r>
    </w:p>
    <w:p w14:paraId="36B93FA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五、与投诉事项相关的投诉请求</w:t>
      </w:r>
    </w:p>
    <w:p w14:paraId="7BCC4FF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6825D169">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0DDF990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签字(签章)：                   公章：                      </w:t>
      </w:r>
    </w:p>
    <w:p w14:paraId="55FDE93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日期：    </w:t>
      </w:r>
    </w:p>
    <w:p w14:paraId="08E80C98">
      <w:pPr>
        <w:spacing w:line="360" w:lineRule="auto"/>
        <w:rPr>
          <w:rFonts w:hint="eastAsia" w:ascii="宋体" w:hAnsi="宋体" w:cs="宋体"/>
          <w:b/>
          <w:color w:val="auto"/>
          <w:szCs w:val="21"/>
          <w:highlight w:val="none"/>
        </w:rPr>
      </w:pPr>
    </w:p>
    <w:p w14:paraId="4937C623">
      <w:pPr>
        <w:spacing w:line="360" w:lineRule="auto"/>
        <w:rPr>
          <w:rFonts w:hint="eastAsia" w:ascii="宋体" w:hAnsi="宋体" w:cs="宋体"/>
          <w:b/>
          <w:color w:val="auto"/>
          <w:szCs w:val="21"/>
          <w:highlight w:val="none"/>
        </w:rPr>
      </w:pPr>
    </w:p>
    <w:p w14:paraId="7BB8F8EA">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投诉书制作说明：</w:t>
      </w:r>
    </w:p>
    <w:p w14:paraId="02321ECD">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14:paraId="57D4404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04B2477A">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14:paraId="466CC479">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14:paraId="55BA35CA">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14:paraId="63AE6C6F">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14:paraId="3582C74D">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75249ACE">
      <w:pPr>
        <w:spacing w:line="360" w:lineRule="auto"/>
        <w:rPr>
          <w:rFonts w:hint="eastAsia" w:ascii="宋体" w:hAnsi="宋体" w:cs="宋体"/>
          <w:b/>
          <w:color w:val="auto"/>
          <w:szCs w:val="21"/>
          <w:highlight w:val="none"/>
        </w:rPr>
      </w:pPr>
    </w:p>
    <w:p w14:paraId="1853B5C4">
      <w:pPr>
        <w:autoSpaceDE w:val="0"/>
        <w:autoSpaceDN w:val="0"/>
        <w:jc w:val="center"/>
        <w:rPr>
          <w:rFonts w:hint="eastAsia" w:ascii="宋体" w:hAnsi="宋体" w:cs="宋体"/>
          <w:b/>
          <w:color w:val="auto"/>
          <w:spacing w:val="6"/>
          <w:szCs w:val="21"/>
          <w:highlight w:val="none"/>
        </w:rPr>
      </w:pPr>
    </w:p>
    <w:p w14:paraId="5E70ED74">
      <w:pPr>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br w:type="page"/>
      </w:r>
    </w:p>
    <w:p w14:paraId="2D525F65">
      <w:pPr>
        <w:pStyle w:val="5"/>
        <w:ind w:firstLine="422"/>
        <w:rPr>
          <w:rFonts w:hint="eastAsia" w:ascii="宋体" w:hAnsi="宋体" w:cs="宋体"/>
          <w:bCs w:val="0"/>
          <w:color w:val="auto"/>
          <w:kern w:val="0"/>
          <w:sz w:val="21"/>
          <w:szCs w:val="21"/>
          <w:highlight w:val="none"/>
        </w:rPr>
      </w:pPr>
      <w:r>
        <w:rPr>
          <w:rFonts w:hint="eastAsia" w:ascii="宋体" w:hAnsi="宋体" w:cs="宋体"/>
          <w:bCs w:val="0"/>
          <w:color w:val="auto"/>
          <w:kern w:val="0"/>
          <w:sz w:val="21"/>
          <w:szCs w:val="21"/>
          <w:highlight w:val="none"/>
        </w:rPr>
        <w:t>附件4：业务专用章使用说明函</w:t>
      </w:r>
    </w:p>
    <w:p w14:paraId="4C2280E1">
      <w:pPr>
        <w:spacing w:line="360" w:lineRule="auto"/>
        <w:rPr>
          <w:rFonts w:hint="eastAsia" w:ascii="宋体" w:hAnsi="宋体" w:cs="宋体"/>
          <w:color w:val="auto"/>
          <w:sz w:val="24"/>
          <w:highlight w:val="none"/>
          <w:u w:val="single"/>
        </w:rPr>
      </w:pPr>
    </w:p>
    <w:p w14:paraId="62B713C0">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杭州市生态环境局上城分局 、浙江省成套招标代理有限公司：</w:t>
      </w:r>
    </w:p>
    <w:p w14:paraId="247D88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val="zh-CN"/>
        </w:rPr>
        <w:t>我方</w:t>
      </w: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rPr>
        <w:t>(投标人全称)是中华人民共和国依法登记注册的合法企业，</w:t>
      </w:r>
      <w:r>
        <w:rPr>
          <w:rFonts w:hint="eastAsia" w:ascii="宋体" w:hAnsi="宋体" w:cs="宋体"/>
          <w:bCs/>
          <w:color w:val="auto"/>
          <w:szCs w:val="21"/>
          <w:highlight w:val="none"/>
        </w:rPr>
        <w:t>在参加</w:t>
      </w:r>
      <w:r>
        <w:rPr>
          <w:rFonts w:hint="eastAsia" w:ascii="宋体" w:hAnsi="宋体" w:cs="宋体"/>
          <w:color w:val="auto"/>
          <w:szCs w:val="21"/>
          <w:highlight w:val="none"/>
        </w:rPr>
        <w:t>你方组织的上城区同协路道路扬尘智能化管控项目【招标编号：CTZB-2025060603】</w:t>
      </w:r>
      <w:r>
        <w:rPr>
          <w:rFonts w:hint="eastAsia" w:ascii="宋体" w:hAnsi="宋体" w:cs="宋体"/>
          <w:bCs/>
          <w:color w:val="auto"/>
          <w:szCs w:val="21"/>
          <w:highlight w:val="none"/>
        </w:rPr>
        <w:t>投标活动中作如下说明：</w:t>
      </w:r>
      <w:r>
        <w:rPr>
          <w:rFonts w:hint="eastAsia" w:ascii="宋体" w:hAnsi="宋体" w:cs="宋体"/>
          <w:color w:val="auto"/>
          <w:szCs w:val="21"/>
          <w:highlight w:val="none"/>
        </w:rPr>
        <w:t xml:space="preserve">我方所使用的“XX专用章”与法定名称章具有同等的法律效力，对使用“XX专用章”的行为予以完全承认，并愿意承担相应责任。   </w:t>
      </w:r>
    </w:p>
    <w:p w14:paraId="7EF19C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特此说明。</w:t>
      </w:r>
    </w:p>
    <w:p w14:paraId="161D4960">
      <w:pPr>
        <w:spacing w:line="360" w:lineRule="auto"/>
        <w:ind w:firstLine="494"/>
        <w:rPr>
          <w:rFonts w:hint="eastAsia" w:ascii="宋体" w:hAnsi="宋体" w:cs="宋体"/>
          <w:color w:val="auto"/>
          <w:szCs w:val="21"/>
          <w:highlight w:val="none"/>
        </w:rPr>
      </w:pPr>
    </w:p>
    <w:p w14:paraId="7C949A4C">
      <w:pPr>
        <w:spacing w:line="360" w:lineRule="auto"/>
        <w:ind w:firstLine="494"/>
        <w:rPr>
          <w:rFonts w:hint="eastAsia" w:ascii="宋体" w:hAnsi="宋体" w:cs="宋体"/>
          <w:color w:val="auto"/>
          <w:szCs w:val="21"/>
          <w:highlight w:val="none"/>
        </w:rPr>
      </w:pPr>
    </w:p>
    <w:p w14:paraId="6BF05F2D">
      <w:pPr>
        <w:spacing w:line="360" w:lineRule="auto"/>
        <w:ind w:firstLine="494"/>
        <w:rPr>
          <w:rFonts w:hint="eastAsia" w:ascii="宋体" w:hAnsi="宋体" w:cs="宋体"/>
          <w:color w:val="auto"/>
          <w:szCs w:val="21"/>
          <w:highlight w:val="none"/>
        </w:rPr>
      </w:pPr>
    </w:p>
    <w:p w14:paraId="7F802E11">
      <w:pPr>
        <w:spacing w:line="360" w:lineRule="auto"/>
        <w:ind w:right="480"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投标单位（法定名称章）：</w:t>
      </w:r>
    </w:p>
    <w:p w14:paraId="73743197">
      <w:pPr>
        <w:ind w:right="1440" w:firstLine="494"/>
        <w:jc w:val="center"/>
        <w:rPr>
          <w:rFonts w:hint="eastAsia" w:ascii="宋体" w:hAnsi="宋体" w:cs="宋体"/>
          <w:color w:val="auto"/>
          <w:szCs w:val="21"/>
          <w:highlight w:val="none"/>
        </w:rPr>
      </w:pPr>
      <w:r>
        <w:rPr>
          <w:rFonts w:hint="eastAsia" w:ascii="宋体" w:hAnsi="宋体" w:cs="宋体"/>
          <w:color w:val="auto"/>
          <w:szCs w:val="21"/>
          <w:highlight w:val="none"/>
        </w:rPr>
        <w:t xml:space="preserve">                              日期：       年     月     日</w:t>
      </w:r>
    </w:p>
    <w:p w14:paraId="4B9F71F4">
      <w:pPr>
        <w:rPr>
          <w:rFonts w:hint="eastAsia" w:ascii="宋体" w:hAnsi="宋体" w:cs="宋体"/>
          <w:color w:val="auto"/>
          <w:szCs w:val="21"/>
          <w:highlight w:val="none"/>
        </w:rPr>
      </w:pPr>
      <w:r>
        <w:rPr>
          <w:rFonts w:hint="eastAsia" w:ascii="宋体" w:hAnsi="宋体" w:cs="宋体"/>
          <w:b/>
          <w:bCs/>
          <w:color w:val="auto"/>
          <w:szCs w:val="21"/>
          <w:highlight w:val="none"/>
        </w:rPr>
        <w:t>附：</w:t>
      </w:r>
    </w:p>
    <w:p w14:paraId="3EE38079">
      <w:pPr>
        <w:spacing w:line="360" w:lineRule="auto"/>
        <w:rPr>
          <w:rFonts w:hint="eastAsia" w:ascii="宋体" w:hAnsi="宋体" w:cs="宋体"/>
          <w:bCs/>
          <w:color w:val="auto"/>
          <w:szCs w:val="21"/>
          <w:highlight w:val="none"/>
        </w:rPr>
      </w:pPr>
      <w:r>
        <w:rPr>
          <w:rFonts w:hint="eastAsia" w:ascii="宋体" w:hAnsi="宋体" w:cs="宋体"/>
          <w:b/>
          <w:bCs/>
          <w:color w:val="auto"/>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Cs w:val="21"/>
          <w:highlight w:val="none"/>
        </w:rPr>
        <w:t>投标单位法定名称章（印模）                    投标单位“XX专用章”（印模）</w:t>
      </w:r>
    </w:p>
    <w:p w14:paraId="38C46BD6">
      <w:pPr>
        <w:autoSpaceDE w:val="0"/>
        <w:autoSpaceDN w:val="0"/>
        <w:jc w:val="center"/>
        <w:rPr>
          <w:rFonts w:hint="eastAsia" w:ascii="宋体" w:hAnsi="宋体" w:cs="宋体"/>
          <w:b/>
          <w:color w:val="auto"/>
          <w:spacing w:val="6"/>
          <w:sz w:val="32"/>
          <w:szCs w:val="32"/>
          <w:highlight w:val="none"/>
        </w:rPr>
      </w:pPr>
    </w:p>
    <w:p w14:paraId="6269CE53">
      <w:pPr>
        <w:autoSpaceDE w:val="0"/>
        <w:autoSpaceDN w:val="0"/>
        <w:jc w:val="center"/>
        <w:rPr>
          <w:rFonts w:hint="eastAsia" w:ascii="宋体" w:hAnsi="宋体" w:cs="宋体"/>
          <w:b/>
          <w:color w:val="auto"/>
          <w:spacing w:val="6"/>
          <w:sz w:val="32"/>
          <w:szCs w:val="32"/>
          <w:highlight w:val="none"/>
        </w:rPr>
      </w:pPr>
    </w:p>
    <w:p w14:paraId="101D4156">
      <w:pPr>
        <w:autoSpaceDE w:val="0"/>
        <w:autoSpaceDN w:val="0"/>
        <w:jc w:val="center"/>
        <w:rPr>
          <w:rFonts w:hint="eastAsia" w:ascii="宋体" w:hAnsi="宋体" w:cs="宋体"/>
          <w:b/>
          <w:color w:val="auto"/>
          <w:spacing w:val="6"/>
          <w:sz w:val="32"/>
          <w:szCs w:val="32"/>
          <w:highlight w:val="none"/>
        </w:rPr>
      </w:pPr>
    </w:p>
    <w:p w14:paraId="4D604B65">
      <w:pPr>
        <w:autoSpaceDE w:val="0"/>
        <w:autoSpaceDN w:val="0"/>
        <w:jc w:val="center"/>
        <w:rPr>
          <w:rFonts w:hint="eastAsia" w:ascii="宋体" w:hAnsi="宋体" w:cs="宋体"/>
          <w:b/>
          <w:color w:val="auto"/>
          <w:spacing w:val="6"/>
          <w:sz w:val="32"/>
          <w:szCs w:val="32"/>
          <w:highlight w:val="none"/>
        </w:rPr>
      </w:pPr>
    </w:p>
    <w:p w14:paraId="023942A7">
      <w:pPr>
        <w:autoSpaceDE w:val="0"/>
        <w:autoSpaceDN w:val="0"/>
        <w:jc w:val="center"/>
        <w:rPr>
          <w:rFonts w:hint="eastAsia" w:ascii="宋体" w:hAnsi="宋体" w:cs="宋体"/>
          <w:b/>
          <w:color w:val="auto"/>
          <w:spacing w:val="6"/>
          <w:sz w:val="32"/>
          <w:szCs w:val="32"/>
          <w:highlight w:val="none"/>
        </w:rPr>
      </w:pPr>
    </w:p>
    <w:p w14:paraId="69BEB5CA">
      <w:pPr>
        <w:autoSpaceDE w:val="0"/>
        <w:autoSpaceDN w:val="0"/>
        <w:jc w:val="center"/>
        <w:rPr>
          <w:rFonts w:hint="eastAsia" w:ascii="宋体" w:hAnsi="宋体" w:cs="宋体"/>
          <w:b/>
          <w:color w:val="auto"/>
          <w:spacing w:val="6"/>
          <w:sz w:val="32"/>
          <w:szCs w:val="32"/>
          <w:highlight w:val="none"/>
        </w:rPr>
      </w:pPr>
    </w:p>
    <w:p w14:paraId="5450FE45">
      <w:pPr>
        <w:autoSpaceDE w:val="0"/>
        <w:autoSpaceDN w:val="0"/>
        <w:jc w:val="center"/>
        <w:rPr>
          <w:rFonts w:hint="eastAsia" w:ascii="宋体" w:hAnsi="宋体" w:cs="宋体"/>
          <w:b/>
          <w:color w:val="auto"/>
          <w:spacing w:val="6"/>
          <w:sz w:val="32"/>
          <w:szCs w:val="32"/>
          <w:highlight w:val="none"/>
        </w:rPr>
      </w:pPr>
    </w:p>
    <w:p w14:paraId="42377F86">
      <w:pPr>
        <w:autoSpaceDE w:val="0"/>
        <w:autoSpaceDN w:val="0"/>
        <w:jc w:val="center"/>
        <w:rPr>
          <w:rFonts w:hint="eastAsia" w:ascii="宋体" w:hAnsi="宋体" w:cs="宋体"/>
          <w:b/>
          <w:color w:val="auto"/>
          <w:spacing w:val="6"/>
          <w:sz w:val="32"/>
          <w:szCs w:val="32"/>
          <w:highlight w:val="none"/>
        </w:rPr>
      </w:pPr>
    </w:p>
    <w:p w14:paraId="66240514">
      <w:pPr>
        <w:autoSpaceDE w:val="0"/>
        <w:autoSpaceDN w:val="0"/>
        <w:jc w:val="center"/>
        <w:rPr>
          <w:rFonts w:hint="eastAsia" w:ascii="宋体" w:hAnsi="宋体" w:cs="宋体"/>
          <w:b/>
          <w:color w:val="auto"/>
          <w:spacing w:val="6"/>
          <w:sz w:val="32"/>
          <w:szCs w:val="32"/>
          <w:highlight w:val="none"/>
        </w:rPr>
      </w:pPr>
    </w:p>
    <w:p w14:paraId="0EE3C276">
      <w:pPr>
        <w:autoSpaceDE w:val="0"/>
        <w:autoSpaceDN w:val="0"/>
        <w:jc w:val="center"/>
        <w:rPr>
          <w:rFonts w:hint="eastAsia" w:ascii="宋体" w:hAnsi="宋体" w:cs="宋体"/>
          <w:b/>
          <w:color w:val="auto"/>
          <w:spacing w:val="6"/>
          <w:sz w:val="32"/>
          <w:szCs w:val="32"/>
          <w:highlight w:val="none"/>
        </w:rPr>
      </w:pPr>
    </w:p>
    <w:p w14:paraId="52A7D573">
      <w:pPr>
        <w:autoSpaceDE w:val="0"/>
        <w:autoSpaceDN w:val="0"/>
        <w:jc w:val="center"/>
        <w:rPr>
          <w:rFonts w:hint="eastAsia" w:ascii="宋体" w:hAnsi="宋体" w:cs="宋体"/>
          <w:b/>
          <w:color w:val="auto"/>
          <w:spacing w:val="6"/>
          <w:sz w:val="32"/>
          <w:szCs w:val="32"/>
          <w:highlight w:val="none"/>
        </w:rPr>
      </w:pPr>
    </w:p>
    <w:p w14:paraId="0BB4798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5A77807">
      <w:pPr>
        <w:pStyle w:val="5"/>
        <w:ind w:firstLine="422"/>
        <w:rPr>
          <w:rFonts w:hint="eastAsia" w:ascii="宋体" w:hAnsi="宋体" w:cs="宋体"/>
          <w:bCs w:val="0"/>
          <w:color w:val="auto"/>
          <w:kern w:val="0"/>
          <w:sz w:val="21"/>
          <w:szCs w:val="21"/>
          <w:highlight w:val="none"/>
        </w:rPr>
      </w:pPr>
      <w:r>
        <w:rPr>
          <w:rFonts w:hint="eastAsia" w:ascii="宋体" w:hAnsi="宋体" w:cs="宋体"/>
          <w:bCs w:val="0"/>
          <w:color w:val="auto"/>
          <w:kern w:val="0"/>
          <w:sz w:val="21"/>
          <w:szCs w:val="21"/>
          <w:highlight w:val="none"/>
        </w:rPr>
        <w:t>附件5：联合协议</w:t>
      </w:r>
    </w:p>
    <w:p w14:paraId="24B476AB">
      <w:pPr>
        <w:widowControl/>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（以联合体形式投标的，提供联合协议；本项目不接受联合体投标或者投标人不以联合体形式投标的，则不需要提供）</w:t>
      </w:r>
    </w:p>
    <w:p w14:paraId="3A393498">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rPr>
        <w:t>上城区同协路道路扬尘智能化管控项目【招标编号：CTZB-2025060603】</w:t>
      </w:r>
      <w:r>
        <w:rPr>
          <w:rFonts w:hint="eastAsia" w:ascii="宋体" w:hAnsi="宋体" w:cs="宋体"/>
          <w:color w:val="auto"/>
          <w:kern w:val="0"/>
          <w:szCs w:val="21"/>
          <w:highlight w:val="none"/>
          <w:lang w:val="zh-CN"/>
        </w:rPr>
        <w:t xml:space="preserve">投标。 </w:t>
      </w:r>
    </w:p>
    <w:p w14:paraId="3FA38715">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14:paraId="7F81FEA0">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授权代表根据招标文件规定及投标内容而对采购人、采购代理机构所作的任何合法承诺，包括书面澄清及响应等均对联合投标各方产生约束力。</w:t>
      </w:r>
    </w:p>
    <w:p w14:paraId="391243B3">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14:paraId="0CBC025F">
      <w:pPr>
        <w:snapToGrid w:val="0"/>
        <w:spacing w:line="360" w:lineRule="auto"/>
        <w:ind w:firstLine="576"/>
        <w:rPr>
          <w:rFonts w:hint="eastAsia" w:ascii="宋体" w:hAnsi="宋体" w:cs="宋体"/>
          <w:color w:val="auto"/>
          <w:kern w:val="0"/>
          <w:szCs w:val="21"/>
          <w:highlight w:val="none"/>
          <w:lang w:val="zh-CN"/>
        </w:rPr>
      </w:pPr>
      <w:bookmarkStart w:id="569" w:name="_Hlk101134295"/>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p>
    <w:p w14:paraId="23B3AFE9">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2</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p>
    <w:p w14:paraId="3F70365E">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bookmarkEnd w:id="569"/>
    <w:p w14:paraId="4EE27AE1">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w:t>
      </w:r>
    </w:p>
    <w:p w14:paraId="6190F58F">
      <w:pPr>
        <w:snapToGrid w:val="0"/>
        <w:spacing w:line="360" w:lineRule="auto"/>
        <w:ind w:firstLine="576"/>
        <w:rPr>
          <w:rFonts w:hint="eastAsia"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X,</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提供的全部货物由小微企业制造，其合同份额占到合同总金额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11295767">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szCs w:val="21"/>
          <w:highlight w:val="none"/>
        </w:rPr>
        <w:t>2、中小企业合同金额达到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%，其中小微企业合同金额达到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p>
    <w:p w14:paraId="7A0AC5D5">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14:paraId="0A547E29">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14:paraId="66788F15">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14:paraId="3A160E91">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14:paraId="7B39A6C4">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3、本协议提交采购人、采购代理机构后，联合体各方不得以任何形式对上述内容进行修改或撤销。</w:t>
      </w:r>
    </w:p>
    <w:p w14:paraId="6DBFA217">
      <w:pPr>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6BBA33FB">
      <w:pPr>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6169061D">
      <w:pPr>
        <w:snapToGrid w:val="0"/>
        <w:spacing w:line="360" w:lineRule="auto"/>
        <w:ind w:right="960"/>
        <w:rPr>
          <w:rFonts w:hint="eastAsia" w:ascii="宋体" w:hAnsi="宋体" w:cs="宋体"/>
          <w:color w:val="auto"/>
          <w:szCs w:val="21"/>
          <w:highlight w:val="none"/>
        </w:rPr>
      </w:pPr>
      <w:r>
        <w:rPr>
          <w:rFonts w:hint="eastAsia" w:ascii="宋体" w:hAnsi="宋体" w:cs="宋体"/>
          <w:color w:val="auto"/>
          <w:kern w:val="0"/>
          <w:szCs w:val="21"/>
          <w:highlight w:val="none"/>
          <w:lang w:val="zh-CN"/>
        </w:rPr>
        <w:t>日期：  年  月   日</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注：按本格式和要求提供。</w:t>
      </w:r>
    </w:p>
    <w:p w14:paraId="151C6FF6">
      <w:pPr>
        <w:pStyle w:val="5"/>
        <w:ind w:firstLine="422"/>
        <w:rPr>
          <w:rFonts w:hint="eastAsia" w:ascii="宋体" w:hAnsi="宋体" w:cs="宋体"/>
          <w:bCs w:val="0"/>
          <w:color w:val="auto"/>
          <w:kern w:val="0"/>
          <w:sz w:val="21"/>
          <w:szCs w:val="21"/>
          <w:highlight w:val="none"/>
        </w:rPr>
      </w:pPr>
      <w:r>
        <w:rPr>
          <w:rFonts w:hint="eastAsia" w:ascii="宋体" w:hAnsi="宋体" w:cs="宋体"/>
          <w:bCs w:val="0"/>
          <w:color w:val="auto"/>
          <w:kern w:val="0"/>
          <w:sz w:val="21"/>
          <w:szCs w:val="21"/>
          <w:highlight w:val="none"/>
        </w:rPr>
        <w:t>附件6：分包意向协议</w:t>
      </w:r>
    </w:p>
    <w:p w14:paraId="7EFFF9A5">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D192182">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上城区同协路道路扬尘智能化管控项目【招标编号：CTZB-2025060603】</w:t>
      </w:r>
      <w:r>
        <w:rPr>
          <w:rFonts w:hint="eastAsia" w:ascii="宋体" w:hAnsi="宋体" w:cs="宋体"/>
          <w:color w:val="auto"/>
          <w:kern w:val="0"/>
          <w:szCs w:val="21"/>
          <w:highlight w:val="none"/>
          <w:lang w:val="zh-CN"/>
        </w:rPr>
        <w:t>的中标供应商，将依法采取分包方式履行合同。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14:paraId="082747BB">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一、分包标的及数量</w:t>
      </w:r>
    </w:p>
    <w:p w14:paraId="65F779B1">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hint="eastAsia" w:ascii="宋体" w:hAnsi="宋体" w:cs="宋体"/>
          <w:color w:val="auto"/>
          <w:szCs w:val="21"/>
          <w:highlight w:val="none"/>
          <w:u w:val="single"/>
        </w:rPr>
        <w:t xml:space="preserve"> </w:t>
      </w:r>
      <w:r>
        <w:rPr>
          <w:rFonts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14:paraId="6204744F">
      <w:pPr>
        <w:ind w:left="664" w:leftChars="316" w:firstLine="199" w:firstLineChars="95"/>
        <w:rPr>
          <w:color w:val="auto"/>
          <w:szCs w:val="21"/>
          <w:highlight w:val="none"/>
        </w:rPr>
      </w:pPr>
      <w:r>
        <w:rPr>
          <w:rFonts w:hint="eastAsia"/>
          <w:color w:val="auto"/>
          <w:szCs w:val="21"/>
          <w:highlight w:val="none"/>
        </w:rPr>
        <w:t>……</w:t>
      </w:r>
    </w:p>
    <w:p w14:paraId="5FEEE1F3">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二、分包供应商中小企业合同份额</w:t>
      </w:r>
    </w:p>
    <w:p w14:paraId="6A5F0CA7">
      <w:pPr>
        <w:snapToGrid w:val="0"/>
        <w:spacing w:line="360" w:lineRule="auto"/>
        <w:ind w:firstLine="576"/>
        <w:rPr>
          <w:rFonts w:hint="eastAsia" w:ascii="宋体" w:hAnsi="宋体" w:cs="宋体"/>
          <w:color w:val="auto"/>
          <w:szCs w:val="21"/>
          <w:highlight w:val="none"/>
          <w:lang w:val="zh-CN"/>
        </w:rPr>
      </w:pPr>
      <w:r>
        <w:rPr>
          <w:rFonts w:ascii="宋体" w:hAnsi="宋体" w:cs="宋体"/>
          <w:color w:val="auto"/>
          <w:kern w:val="0"/>
          <w:szCs w:val="21"/>
          <w:highlight w:val="none"/>
        </w:rPr>
        <w:t>1、</w:t>
      </w:r>
      <w:r>
        <w:rPr>
          <w:rFonts w:hint="eastAsia" w:ascii="宋体" w:hAnsi="宋体" w:cs="宋体"/>
          <w:color w:val="auto"/>
          <w:kern w:val="0"/>
          <w:szCs w:val="21"/>
          <w:highlight w:val="none"/>
          <w:u w:val="single"/>
        </w:rPr>
        <w:t>（分包供应商X</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……）提供的货物全部由小微企业制造，</w:t>
      </w:r>
      <w:r>
        <w:rPr>
          <w:rFonts w:hint="eastAsia" w:ascii="宋体" w:hAnsi="宋体" w:cs="宋体"/>
          <w:color w:val="auto"/>
          <w:kern w:val="0"/>
          <w:szCs w:val="21"/>
          <w:highlight w:val="none"/>
        </w:rPr>
        <w:t>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szCs w:val="21"/>
          <w:highlight w:val="none"/>
        </w:rPr>
        <w:t>。</w:t>
      </w:r>
      <w:r>
        <w:rPr>
          <w:rFonts w:hint="eastAsia" w:ascii="宋体" w:hAnsi="宋体" w:cs="宋体"/>
          <w:color w:val="auto"/>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color w:val="auto"/>
          <w:szCs w:val="21"/>
          <w:highlight w:val="none"/>
        </w:rPr>
        <w:t>拟享受以上价格扣除政策的，填写有关内容。</w:t>
      </w:r>
      <w:r>
        <w:rPr>
          <w:rFonts w:hint="eastAsia" w:ascii="宋体" w:hAnsi="宋体" w:cs="宋体"/>
          <w:color w:val="auto"/>
          <w:szCs w:val="21"/>
          <w:highlight w:val="none"/>
          <w:lang w:val="zh-CN"/>
        </w:rPr>
        <w:t>）</w:t>
      </w:r>
    </w:p>
    <w:p w14:paraId="5B7559A7">
      <w:pPr>
        <w:spacing w:line="360" w:lineRule="auto"/>
        <w:ind w:firstLine="420" w:firstLineChars="200"/>
        <w:rPr>
          <w:rFonts w:hint="eastAsia" w:ascii="宋体" w:hAnsi="宋体" w:cs="宋体"/>
          <w:b/>
          <w:bCs/>
          <w:color w:val="auto"/>
          <w:kern w:val="0"/>
          <w:szCs w:val="21"/>
          <w:highlight w:val="none"/>
          <w:lang w:val="zh-CN"/>
        </w:rPr>
      </w:pPr>
      <w:r>
        <w:rPr>
          <w:rFonts w:hint="eastAsia" w:ascii="宋体" w:hAnsi="宋体" w:cs="宋体"/>
          <w:color w:val="auto"/>
          <w:szCs w:val="21"/>
          <w:highlight w:val="none"/>
        </w:rPr>
        <w:t>2、</w:t>
      </w:r>
      <w:bookmarkStart w:id="570" w:name="_Hlk101133173"/>
      <w:r>
        <w:rPr>
          <w:rFonts w:hint="eastAsia" w:ascii="宋体" w:hAnsi="宋体" w:cs="宋体"/>
          <w:color w:val="auto"/>
          <w:szCs w:val="21"/>
          <w:highlight w:val="none"/>
        </w:rPr>
        <w:t>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%，其中小微企业合同金额达到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中中小企业、小微企业合同金额应当达到的比例要求填写。</w:t>
      </w:r>
      <w:r>
        <w:rPr>
          <w:rFonts w:hint="eastAsia" w:ascii="宋体" w:hAnsi="宋体" w:cs="宋体"/>
          <w:b/>
          <w:bCs/>
          <w:color w:val="auto"/>
          <w:kern w:val="0"/>
          <w:szCs w:val="21"/>
          <w:highlight w:val="none"/>
          <w:lang w:val="zh-CN"/>
        </w:rPr>
        <w:t>）</w:t>
      </w:r>
      <w:bookmarkEnd w:id="570"/>
    </w:p>
    <w:p w14:paraId="3FFD4697">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14:paraId="7289F069">
      <w:pPr>
        <w:snapToGrid w:val="0"/>
        <w:spacing w:line="360" w:lineRule="auto"/>
        <w:ind w:firstLine="576"/>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30D8D904">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14:paraId="0A0A4573">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4716FBD5">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14:paraId="57C7F6EA">
      <w:pPr>
        <w:snapToGrid w:val="0"/>
        <w:spacing w:line="360" w:lineRule="auto"/>
        <w:ind w:left="573" w:leftChars="273"/>
        <w:rPr>
          <w:rFonts w:hint="eastAsia"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2D58555C">
      <w:pPr>
        <w:snapToGrid w:val="0"/>
        <w:spacing w:line="360" w:lineRule="auto"/>
        <w:ind w:left="573" w:leftChars="273"/>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14:paraId="30CF88E8">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24C407FF">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14:paraId="0F7381B4">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5D43957B">
      <w:pPr>
        <w:snapToGrid w:val="0"/>
        <w:spacing w:line="360" w:lineRule="auto"/>
        <w:ind w:left="5128" w:leftChars="342" w:hanging="4410" w:hangingChars="21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投标人名称(电子签名)：</w:t>
      </w:r>
    </w:p>
    <w:p w14:paraId="04CA6747">
      <w:pPr>
        <w:snapToGrid w:val="0"/>
        <w:spacing w:line="360" w:lineRule="auto"/>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分包供应商名称(电子签名/公章)：</w:t>
      </w:r>
    </w:p>
    <w:p w14:paraId="63E8CF3B">
      <w:pPr>
        <w:snapToGrid w:val="0"/>
        <w:spacing w:line="360" w:lineRule="auto"/>
        <w:ind w:firstLine="5040" w:firstLineChars="2400"/>
        <w:rPr>
          <w:rFonts w:hint="eastAsia" w:ascii="宋体" w:hAnsi="宋体" w:cs="宋体"/>
          <w:color w:val="auto"/>
          <w:szCs w:val="21"/>
          <w:highlight w:val="none"/>
        </w:rPr>
      </w:pPr>
      <w:r>
        <w:rPr>
          <w:rFonts w:hint="eastAsia" w:ascii="宋体" w:hAnsi="宋体" w:cs="宋体"/>
          <w:color w:val="auto"/>
          <w:kern w:val="0"/>
          <w:szCs w:val="21"/>
          <w:highlight w:val="none"/>
          <w:lang w:val="zh-CN"/>
        </w:rPr>
        <w:t>……</w:t>
      </w:r>
    </w:p>
    <w:p w14:paraId="7562EC5D">
      <w:pPr>
        <w:spacing w:line="360" w:lineRule="auto"/>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6F129522">
      <w:pPr>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注：按本格式和要求提供。</w:t>
      </w:r>
    </w:p>
    <w:p w14:paraId="36F0222D">
      <w:pPr>
        <w:autoSpaceDE w:val="0"/>
        <w:autoSpaceDN w:val="0"/>
        <w:jc w:val="center"/>
        <w:rPr>
          <w:rFonts w:hint="eastAsia" w:ascii="宋体" w:hAnsi="宋体" w:cs="宋体"/>
          <w:b/>
          <w:color w:val="auto"/>
          <w:spacing w:val="6"/>
          <w:szCs w:val="21"/>
          <w:highlight w:val="none"/>
        </w:rPr>
      </w:pPr>
    </w:p>
    <w:p w14:paraId="355BF6AF">
      <w:pPr>
        <w:autoSpaceDE w:val="0"/>
        <w:autoSpaceDN w:val="0"/>
        <w:jc w:val="center"/>
        <w:rPr>
          <w:rFonts w:hint="eastAsia" w:ascii="宋体" w:hAnsi="宋体" w:cs="宋体"/>
          <w:b/>
          <w:color w:val="auto"/>
          <w:spacing w:val="6"/>
          <w:szCs w:val="21"/>
          <w:highlight w:val="none"/>
        </w:rPr>
      </w:pPr>
    </w:p>
    <w:p w14:paraId="2413655A">
      <w:pP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br w:type="page"/>
      </w:r>
    </w:p>
    <w:p w14:paraId="1723F601">
      <w:pPr>
        <w:pStyle w:val="5"/>
        <w:ind w:firstLine="422"/>
        <w:rPr>
          <w:rFonts w:hint="eastAsia" w:ascii="宋体" w:hAnsi="宋体" w:cs="宋体"/>
          <w:bCs w:val="0"/>
          <w:color w:val="auto"/>
          <w:kern w:val="0"/>
          <w:sz w:val="21"/>
          <w:szCs w:val="21"/>
          <w:highlight w:val="none"/>
        </w:rPr>
      </w:pPr>
      <w:r>
        <w:rPr>
          <w:rFonts w:hint="eastAsia" w:ascii="宋体" w:hAnsi="宋体" w:cs="宋体"/>
          <w:bCs w:val="0"/>
          <w:color w:val="auto"/>
          <w:kern w:val="0"/>
          <w:sz w:val="21"/>
          <w:szCs w:val="21"/>
          <w:highlight w:val="none"/>
        </w:rPr>
        <w:t>附件7：中小企业声明函</w:t>
      </w:r>
    </w:p>
    <w:p w14:paraId="59A142B4">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中小企业声明函（货物）</w:t>
      </w:r>
    </w:p>
    <w:p w14:paraId="1A88D2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本公司（联合体）郑重声明，根据《政府采购促进中小企业发展管理办法》（财库﹝2020﹞46 号）的规定，本公司（联合体）参加 </w:t>
      </w:r>
      <w:r>
        <w:rPr>
          <w:rFonts w:hint="eastAsia" w:ascii="宋体" w:hAnsi="宋体" w:cs="宋体"/>
          <w:color w:val="auto"/>
          <w:szCs w:val="21"/>
          <w:highlight w:val="none"/>
          <w:u w:val="single"/>
        </w:rPr>
        <w:t xml:space="preserve">杭州市生态环境局上城分局  </w:t>
      </w:r>
      <w:r>
        <w:rPr>
          <w:rFonts w:hint="eastAsia" w:ascii="宋体" w:hAnsi="宋体" w:cs="宋体"/>
          <w:color w:val="auto"/>
          <w:szCs w:val="21"/>
          <w:highlight w:val="none"/>
        </w:rPr>
        <w:t xml:space="preserve">的 </w:t>
      </w:r>
      <w:r>
        <w:rPr>
          <w:rFonts w:hint="eastAsia" w:ascii="宋体" w:hAnsi="宋体" w:cs="宋体"/>
          <w:color w:val="auto"/>
          <w:szCs w:val="21"/>
          <w:highlight w:val="none"/>
          <w:u w:val="single"/>
        </w:rPr>
        <w:t>上城区同协路道路扬尘智能化管控项目</w:t>
      </w:r>
      <w:r>
        <w:rPr>
          <w:rFonts w:hint="eastAsia" w:ascii="宋体" w:hAnsi="宋体" w:cs="宋体"/>
          <w:color w:val="auto"/>
          <w:szCs w:val="21"/>
          <w:highlight w:val="none"/>
        </w:rPr>
        <w:t xml:space="preserve"> 采购活动，提供的货物全部由符合政策要求的中小企业制造。相关企业（含联合体中的中小企业、签订分包意向协议的中小企业）的具体情况如下：</w:t>
      </w:r>
    </w:p>
    <w:p w14:paraId="0DEE19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 </w:t>
      </w:r>
      <w:r>
        <w:rPr>
          <w:rFonts w:hint="eastAsia"/>
          <w:color w:val="auto"/>
          <w:highlight w:val="none"/>
          <w:u w:val="single"/>
        </w:rPr>
        <w:t>扬尘在线监测设备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，属于 </w:t>
      </w:r>
      <w:r>
        <w:rPr>
          <w:rFonts w:hint="eastAsia" w:ascii="宋体" w:hAnsi="宋体" w:cs="宋体"/>
          <w:color w:val="auto"/>
          <w:szCs w:val="21"/>
          <w:highlight w:val="none"/>
          <w:u w:val="single"/>
        </w:rPr>
        <w:t xml:space="preserve">工业 </w:t>
      </w:r>
      <w:r>
        <w:rPr>
          <w:rFonts w:hint="eastAsia" w:ascii="宋体" w:hAnsi="宋体" w:cs="宋体"/>
          <w:color w:val="auto"/>
          <w:szCs w:val="21"/>
          <w:highlight w:val="none"/>
        </w:rPr>
        <w:t>行业 ；制造商为</w:t>
      </w:r>
      <w:r>
        <w:rPr>
          <w:rFonts w:hint="eastAsia" w:ascii="宋体" w:hAnsi="宋体" w:cs="宋体"/>
          <w:color w:val="auto"/>
          <w:szCs w:val="21"/>
          <w:highlight w:val="none"/>
          <w:u w:val="single"/>
        </w:rPr>
        <w:t xml:space="preserve"> （企业名称）</w:t>
      </w:r>
      <w:r>
        <w:rPr>
          <w:rFonts w:hint="eastAsia" w:ascii="宋体" w:hAnsi="宋体" w:cs="宋体"/>
          <w:color w:val="auto"/>
          <w:szCs w:val="21"/>
          <w:highlight w:val="none"/>
        </w:rPr>
        <w:t xml:space="preserve"> ，从业人员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中型企业、</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小型企业、</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微型企业）</w:t>
      </w:r>
      <w:r>
        <w:rPr>
          <w:rFonts w:hint="eastAsia" w:ascii="宋体" w:hAnsi="宋体" w:cs="宋体"/>
          <w:color w:val="auto"/>
          <w:szCs w:val="21"/>
          <w:highlight w:val="none"/>
        </w:rPr>
        <w:t xml:space="preserve"> ；</w:t>
      </w:r>
    </w:p>
    <w:p w14:paraId="0261B8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 </w:t>
      </w:r>
      <w:r>
        <w:rPr>
          <w:rFonts w:hint="eastAsia" w:asciiTheme="minorEastAsia" w:hAnsiTheme="minorEastAsia" w:eastAsiaTheme="minorEastAsia" w:cstheme="minorEastAsia"/>
          <w:color w:val="auto"/>
          <w:szCs w:val="21"/>
          <w:highlight w:val="none"/>
          <w:u w:val="single"/>
        </w:rPr>
        <w:t>喷雾降尘设备</w:t>
      </w:r>
      <w:r>
        <w:rPr>
          <w:rFonts w:hint="eastAsia" w:ascii="宋体" w:hAnsi="宋体" w:cs="宋体"/>
          <w:color w:val="auto"/>
          <w:szCs w:val="21"/>
          <w:highlight w:val="none"/>
        </w:rPr>
        <w:t xml:space="preserve">，属于 </w:t>
      </w:r>
      <w:r>
        <w:rPr>
          <w:rFonts w:hint="eastAsia" w:ascii="宋体" w:hAnsi="宋体" w:cs="宋体"/>
          <w:color w:val="auto"/>
          <w:szCs w:val="21"/>
          <w:highlight w:val="none"/>
          <w:u w:val="single"/>
        </w:rPr>
        <w:t xml:space="preserve">工业 </w:t>
      </w:r>
      <w:r>
        <w:rPr>
          <w:rFonts w:hint="eastAsia" w:ascii="宋体" w:hAnsi="宋体" w:cs="宋体"/>
          <w:color w:val="auto"/>
          <w:szCs w:val="21"/>
          <w:highlight w:val="none"/>
        </w:rPr>
        <w:t>行业 ；制造商为</w:t>
      </w:r>
      <w:r>
        <w:rPr>
          <w:rFonts w:hint="eastAsia" w:ascii="宋体" w:hAnsi="宋体" w:cs="宋体"/>
          <w:color w:val="auto"/>
          <w:szCs w:val="21"/>
          <w:highlight w:val="none"/>
          <w:u w:val="single"/>
        </w:rPr>
        <w:t xml:space="preserve"> （企业名称）</w:t>
      </w:r>
      <w:r>
        <w:rPr>
          <w:rFonts w:hint="eastAsia" w:ascii="宋体" w:hAnsi="宋体" w:cs="宋体"/>
          <w:color w:val="auto"/>
          <w:szCs w:val="21"/>
          <w:highlight w:val="none"/>
        </w:rPr>
        <w:t xml:space="preserve"> ，从业人员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中型企业、</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小型企业、</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微型企业）</w:t>
      </w:r>
      <w:r>
        <w:rPr>
          <w:rFonts w:hint="eastAsia" w:ascii="宋体" w:hAnsi="宋体" w:cs="宋体"/>
          <w:color w:val="auto"/>
          <w:szCs w:val="21"/>
          <w:highlight w:val="none"/>
        </w:rPr>
        <w:t xml:space="preserve"> ；</w:t>
      </w:r>
    </w:p>
    <w:p w14:paraId="79E462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49AC70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776419A3">
      <w:pPr>
        <w:snapToGrid w:val="0"/>
        <w:spacing w:line="360" w:lineRule="auto"/>
        <w:ind w:firstLine="4515" w:firstLineChars="2150"/>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14:paraId="56388530">
      <w:pPr>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5769A38B">
      <w:pPr>
        <w:spacing w:line="360" w:lineRule="auto"/>
        <w:ind w:right="420" w:firstLine="420" w:firstLineChars="200"/>
        <w:rPr>
          <w:rFonts w:hint="eastAsia" w:ascii="宋体" w:hAnsi="宋体" w:cs="宋体"/>
          <w:color w:val="auto"/>
          <w:szCs w:val="21"/>
          <w:highlight w:val="none"/>
        </w:rPr>
      </w:pPr>
    </w:p>
    <w:p w14:paraId="515A6FC2">
      <w:pPr>
        <w:spacing w:line="360" w:lineRule="auto"/>
        <w:ind w:right="4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p>
    <w:p w14:paraId="157E3FD8">
      <w:pPr>
        <w:spacing w:line="360" w:lineRule="auto"/>
        <w:ind w:right="4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p>
    <w:p w14:paraId="2763F732">
      <w:pPr>
        <w:spacing w:line="360" w:lineRule="auto"/>
        <w:ind w:right="4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10EF5B5">
      <w:pPr>
        <w:spacing w:line="360" w:lineRule="auto"/>
        <w:ind w:right="4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DCF2F1E">
      <w:pPr>
        <w:rPr>
          <w:rFonts w:hint="eastAsia" w:ascii="宋体" w:hAnsi="宋体" w:cs="宋体"/>
          <w:bCs w:val="0"/>
          <w:color w:val="auto"/>
          <w:kern w:val="0"/>
          <w:sz w:val="21"/>
          <w:szCs w:val="21"/>
          <w:highlight w:val="none"/>
        </w:rPr>
      </w:pPr>
      <w:r>
        <w:rPr>
          <w:rFonts w:hint="eastAsia" w:ascii="宋体" w:hAnsi="宋体" w:cs="宋体"/>
          <w:bCs w:val="0"/>
          <w:color w:val="auto"/>
          <w:kern w:val="0"/>
          <w:sz w:val="21"/>
          <w:szCs w:val="21"/>
          <w:highlight w:val="none"/>
        </w:rPr>
        <w:br w:type="page"/>
      </w:r>
    </w:p>
    <w:p w14:paraId="75F4F199">
      <w:pPr>
        <w:pStyle w:val="5"/>
        <w:ind w:firstLine="422"/>
        <w:rPr>
          <w:rFonts w:hint="eastAsia" w:ascii="宋体" w:hAnsi="宋体" w:cs="宋体"/>
          <w:bCs w:val="0"/>
          <w:color w:val="auto"/>
          <w:kern w:val="0"/>
          <w:sz w:val="21"/>
          <w:szCs w:val="21"/>
          <w:highlight w:val="none"/>
        </w:rPr>
      </w:pPr>
      <w:r>
        <w:rPr>
          <w:rFonts w:hint="eastAsia" w:ascii="宋体" w:hAnsi="宋体" w:cs="宋体"/>
          <w:bCs w:val="0"/>
          <w:color w:val="auto"/>
          <w:kern w:val="0"/>
          <w:sz w:val="21"/>
          <w:szCs w:val="21"/>
          <w:highlight w:val="none"/>
        </w:rPr>
        <w:t>附件8：政府采购活动现场确认声明书</w:t>
      </w:r>
    </w:p>
    <w:p w14:paraId="50E57A69">
      <w:pPr>
        <w:spacing w:line="360" w:lineRule="auto"/>
        <w:jc w:val="center"/>
        <w:rPr>
          <w:rFonts w:hint="eastAsia" w:ascii="宋体" w:hAnsi="宋体" w:cs="宋体"/>
          <w:b/>
          <w:bCs/>
          <w:color w:val="auto"/>
          <w:szCs w:val="21"/>
          <w:highlight w:val="none"/>
        </w:rPr>
      </w:pPr>
    </w:p>
    <w:p w14:paraId="0E95E37E">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政府采购活动现场确认声明书</w:t>
      </w:r>
    </w:p>
    <w:p w14:paraId="274507F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浙江省成套招标代理有限公司：</w:t>
      </w:r>
    </w:p>
    <w:p w14:paraId="1E4FEC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本人经由单位法定代表人合法授权参加</w:t>
      </w:r>
      <w:r>
        <w:rPr>
          <w:rFonts w:hint="eastAsia" w:ascii="宋体" w:hAnsi="宋体" w:cs="宋体"/>
          <w:color w:val="auto"/>
          <w:szCs w:val="21"/>
          <w:highlight w:val="none"/>
          <w:u w:val="single"/>
        </w:rPr>
        <w:t>杭州市生态环境局上城分局</w:t>
      </w:r>
      <w:r>
        <w:rPr>
          <w:rFonts w:hint="eastAsia" w:ascii="宋体" w:hAnsi="宋体" w:cs="宋体"/>
          <w:color w:val="auto"/>
          <w:szCs w:val="21"/>
          <w:highlight w:val="none"/>
        </w:rPr>
        <w:t>（采购人）</w:t>
      </w:r>
      <w:r>
        <w:rPr>
          <w:rFonts w:hint="eastAsia" w:ascii="宋体" w:hAnsi="宋体" w:cs="宋体"/>
          <w:color w:val="auto"/>
          <w:szCs w:val="21"/>
          <w:highlight w:val="none"/>
          <w:u w:val="single"/>
        </w:rPr>
        <w:t>上城区同协路道路扬尘智能化管控项目</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CTZB-2025060603</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杭州市生态环境局上城分局同协路扬尘治理</w:t>
      </w:r>
      <w:r>
        <w:rPr>
          <w:rFonts w:hint="eastAsia" w:ascii="宋体" w:hAnsi="宋体" w:cs="宋体"/>
          <w:color w:val="auto"/>
          <w:szCs w:val="21"/>
          <w:highlight w:val="none"/>
        </w:rPr>
        <w:t>（标项名称）政府采购活动，经与本单位法人代表人联系确认，现就有关公平竞争事项郑重声明如下：</w:t>
      </w:r>
    </w:p>
    <w:p w14:paraId="7B28D7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一、本单位与采购人之间 </w:t>
      </w:r>
      <w:r>
        <w:rPr>
          <w:rFonts w:hint="eastAsia" w:ascii="宋体" w:hAnsi="宋体" w:cs="宋体"/>
          <w:color w:val="auto"/>
          <w:kern w:val="0"/>
          <w:szCs w:val="21"/>
          <w:highlight w:val="none"/>
        </w:rPr>
        <w:sym w:font="Wingdings 2" w:char="00A3"/>
      </w:r>
      <w:r>
        <w:rPr>
          <w:rFonts w:hint="eastAsia" w:ascii="宋体" w:hAnsi="宋体" w:cs="宋体"/>
          <w:color w:val="auto"/>
          <w:szCs w:val="21"/>
          <w:highlight w:val="none"/>
        </w:rPr>
        <w:t xml:space="preserve">不存在利害关系 </w:t>
      </w:r>
      <w:r>
        <w:rPr>
          <w:rFonts w:hint="eastAsia" w:ascii="宋体" w:hAnsi="宋体" w:cs="宋体"/>
          <w:color w:val="auto"/>
          <w:kern w:val="0"/>
          <w:szCs w:val="21"/>
          <w:highlight w:val="none"/>
        </w:rPr>
        <w:sym w:font="Wingdings 2" w:char="00A3"/>
      </w:r>
      <w:r>
        <w:rPr>
          <w:rFonts w:hint="eastAsia" w:ascii="宋体" w:hAnsi="宋体" w:cs="宋体"/>
          <w:color w:val="auto"/>
          <w:szCs w:val="21"/>
          <w:highlight w:val="none"/>
        </w:rPr>
        <w:t>存在下列利害关系【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8DA9D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A.投资关系    B.行政隶属关系    C.业务指导关系</w:t>
      </w:r>
    </w:p>
    <w:p w14:paraId="25D11A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D.其他可能影响采购公正的利害关系（如有，请如实说明）【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20546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二、现已清楚知道参加本项目采购活动的其他所有供应商名称，本单位 </w:t>
      </w:r>
      <w:r>
        <w:rPr>
          <w:rFonts w:hint="eastAsia" w:ascii="宋体" w:hAnsi="宋体" w:cs="宋体"/>
          <w:color w:val="auto"/>
          <w:kern w:val="0"/>
          <w:szCs w:val="21"/>
          <w:highlight w:val="none"/>
        </w:rPr>
        <w:sym w:font="Wingdings 2" w:char="00A3"/>
      </w:r>
      <w:r>
        <w:rPr>
          <w:rFonts w:hint="eastAsia" w:ascii="宋体" w:hAnsi="宋体" w:cs="宋体"/>
          <w:color w:val="auto"/>
          <w:szCs w:val="21"/>
          <w:highlight w:val="none"/>
        </w:rPr>
        <w:t xml:space="preserve">与其他所有供应商之间均不存在利害关系 </w:t>
      </w:r>
      <w:r>
        <w:rPr>
          <w:rFonts w:hint="eastAsia" w:ascii="宋体" w:hAnsi="宋体" w:cs="宋体"/>
          <w:color w:val="auto"/>
          <w:kern w:val="0"/>
          <w:szCs w:val="21"/>
          <w:highlight w:val="none"/>
        </w:rPr>
        <w:sym w:font="Wingdings 2" w:char="00A3"/>
      </w:r>
      <w:r>
        <w:rPr>
          <w:rFonts w:hint="eastAsia" w:ascii="宋体" w:hAnsi="宋体" w:cs="宋体"/>
          <w:color w:val="auto"/>
          <w:szCs w:val="21"/>
          <w:highlight w:val="none"/>
        </w:rPr>
        <w:t>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】（供应商名称）之间存在下列利害关系【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F6CDB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A.法定代表人或负责人或实际控制人是同一人</w:t>
      </w:r>
    </w:p>
    <w:p w14:paraId="0E30BE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B.法定代表人或负责人或实际控制人是夫妻关系</w:t>
      </w:r>
    </w:p>
    <w:p w14:paraId="7EFF25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C.法定代表人或负责人或实际控制人是直系血亲关系</w:t>
      </w:r>
    </w:p>
    <w:p w14:paraId="1D510B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D.法定代表人或负责人或实际控制人存在三代以内旁系血亲关系</w:t>
      </w:r>
    </w:p>
    <w:p w14:paraId="493C00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E.法定代表人或负责人或实际控制人存在近姻亲关系</w:t>
      </w:r>
    </w:p>
    <w:p w14:paraId="1DDA6A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F.法定代表人或负责人或实际控制人存在股份控制或实际控制关系</w:t>
      </w:r>
    </w:p>
    <w:p w14:paraId="5F284B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G.存在共同直接或间接投资设立子公司、联营企业和合营企业情况</w:t>
      </w:r>
    </w:p>
    <w:p w14:paraId="27F05F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H.存在分级代理或代销关系、同一生产制造商关系、管理关系、重要业务（占主营业务收入50%以上）或重要财务往来关系（如融资）等其他实质性控制关系</w:t>
      </w:r>
    </w:p>
    <w:p w14:paraId="4B8C60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I.其他利害关系情况【</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352A4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三、现已清楚知道并严格遵守政府采购法律法规和现场纪律。</w:t>
      </w:r>
    </w:p>
    <w:p w14:paraId="7487EE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四、我发现【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】供应商之间存在或可能存在上述第二条第【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】项利害关系。</w:t>
      </w:r>
    </w:p>
    <w:p w14:paraId="1DC87782">
      <w:pPr>
        <w:spacing w:line="360" w:lineRule="auto"/>
        <w:ind w:firstLine="420" w:firstLineChars="200"/>
        <w:rPr>
          <w:rFonts w:hint="eastAsia" w:ascii="宋体" w:hAnsi="宋体" w:cs="宋体"/>
          <w:color w:val="auto"/>
          <w:szCs w:val="21"/>
          <w:highlight w:val="none"/>
        </w:rPr>
      </w:pPr>
    </w:p>
    <w:p w14:paraId="2E9D7D2F">
      <w:pPr>
        <w:spacing w:line="360" w:lineRule="auto"/>
        <w:ind w:firstLine="420" w:firstLineChars="200"/>
        <w:rPr>
          <w:rFonts w:hint="eastAsia" w:ascii="宋体" w:hAnsi="宋体" w:cs="宋体"/>
          <w:color w:val="auto"/>
          <w:spacing w:val="20"/>
          <w:szCs w:val="21"/>
          <w:highlight w:val="none"/>
          <w:u w:val="single"/>
        </w:rPr>
      </w:pPr>
      <w:r>
        <w:rPr>
          <w:rFonts w:hint="eastAsia" w:ascii="宋体" w:hAnsi="宋体" w:cs="宋体"/>
          <w:color w:val="auto"/>
          <w:szCs w:val="21"/>
          <w:highlight w:val="none"/>
        </w:rPr>
        <w:t>供应商全称：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6AD84E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0745FAC7">
      <w:pPr>
        <w:pStyle w:val="320"/>
        <w:spacing w:line="360" w:lineRule="auto"/>
        <w:ind w:firstLine="420"/>
        <w:jc w:val="right"/>
        <w:rPr>
          <w:rFonts w:hint="eastAsia" w:hAnsi="宋体" w:eastAsia="宋体" w:cs="宋体"/>
          <w:color w:val="auto"/>
          <w:sz w:val="21"/>
          <w:szCs w:val="21"/>
          <w:highlight w:val="none"/>
        </w:rPr>
      </w:pPr>
    </w:p>
    <w:p w14:paraId="22B260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w:t>
      </w:r>
    </w:p>
    <w:p w14:paraId="303CA2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（1）供应商解密响应文件及获知其他供应商信息进行如实声明并盖章，以扫描件形式提交给采购代理机构，邮箱：linyy@zjsct.cn。</w:t>
      </w:r>
    </w:p>
    <w:p w14:paraId="21315E36">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（2）此声明书不用编入投标文件中。</w:t>
      </w:r>
    </w:p>
    <w:sectPr>
      <w:headerReference r:id="rId10" w:type="first"/>
      <w:footerReference r:id="rId13" w:type="first"/>
      <w:headerReference r:id="rId9" w:type="default"/>
      <w:footerReference r:id="rId11" w:type="default"/>
      <w:footerReference r:id="rId1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1" w:usb3="00000000" w:csb0="400001BF" w:csb1="DFF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ADB66">
    <w:pPr>
      <w:pStyle w:val="40"/>
      <w:framePr w:wrap="around" w:vAnchor="text" w:hAnchor="margin" w:xAlign="right" w:y="1"/>
      <w:rPr>
        <w:rStyle w:val="72"/>
      </w:rPr>
    </w:pPr>
    <w:r>
      <w:fldChar w:fldCharType="begin"/>
    </w:r>
    <w:r>
      <w:rPr>
        <w:rStyle w:val="72"/>
      </w:rPr>
      <w:instrText xml:space="preserve">PAGE  </w:instrText>
    </w:r>
    <w:r>
      <w:fldChar w:fldCharType="end"/>
    </w:r>
  </w:p>
  <w:p w14:paraId="21EFB62B">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CF0F5">
    <w:pPr>
      <w:pStyle w:val="4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D1D72">
                          <w:pPr>
                            <w:pStyle w:val="40"/>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42D1D72">
                    <w:pPr>
                      <w:pStyle w:val="40"/>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p w14:paraId="0434C7AA">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795C4">
    <w:pPr>
      <w:pStyle w:val="40"/>
      <w:jc w:val="center"/>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EE96A">
                          <w:pPr>
                            <w:pStyle w:val="40"/>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02EE96A">
                    <w:pPr>
                      <w:pStyle w:val="40"/>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6A308">
    <w:pPr>
      <w:pStyle w:val="40"/>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75B48">
                          <w:pPr>
                            <w:pStyle w:val="40"/>
                          </w:pPr>
                          <w:r>
                            <w:t xml:space="preserve">第 </w:t>
                          </w:r>
                          <w:r>
                            <w:fldChar w:fldCharType="begin"/>
                          </w:r>
                          <w:r>
                            <w:instrText xml:space="preserve"> PAGE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D775B48">
                    <w:pPr>
                      <w:pStyle w:val="40"/>
                    </w:pPr>
                    <w:r>
                      <w:t xml:space="preserve">第 </w:t>
                    </w:r>
                    <w:r>
                      <w:fldChar w:fldCharType="begin"/>
                    </w:r>
                    <w:r>
                      <w:instrText xml:space="preserve"> PAGE  \* MERGEFORMAT </w:instrText>
                    </w:r>
                    <w:r>
                      <w:fldChar w:fldCharType="separate"/>
                    </w:r>
                    <w:r>
                      <w:t>83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E456D">
    <w:pPr>
      <w:pStyle w:val="40"/>
      <w:framePr w:wrap="around" w:vAnchor="text" w:hAnchor="margin" w:xAlign="right" w:y="1"/>
      <w:rPr>
        <w:rStyle w:val="72"/>
      </w:rPr>
    </w:pPr>
    <w:r>
      <w:fldChar w:fldCharType="begin"/>
    </w:r>
    <w:r>
      <w:rPr>
        <w:rStyle w:val="72"/>
      </w:rPr>
      <w:instrText xml:space="preserve">PAGE  </w:instrText>
    </w:r>
    <w:r>
      <w:fldChar w:fldCharType="end"/>
    </w:r>
  </w:p>
  <w:p w14:paraId="7AFA0983">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4F97C">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453E4">
                          <w:pPr>
                            <w:pStyle w:val="40"/>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0F453E4">
                    <w:pPr>
                      <w:pStyle w:val="40"/>
                    </w:pPr>
                    <w:r>
                      <w:t xml:space="preserve">第 </w:t>
                    </w:r>
                    <w:r>
                      <w:fldChar w:fldCharType="begin"/>
                    </w:r>
                    <w:r>
                      <w:instrText xml:space="preserve"> PAGE  \* MERGEFORMAT </w:instrText>
                    </w:r>
                    <w:r>
                      <w:fldChar w:fldCharType="separate"/>
                    </w:r>
                    <w:r>
                      <w:t>82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5DE72">
    <w:pPr>
      <w:pStyle w:val="41"/>
      <w:pBdr>
        <w:bottom w:val="none" w:color="auto" w:sz="0" w:space="0"/>
      </w:pBdr>
      <w:tabs>
        <w:tab w:val="center" w:pos="4535"/>
        <w:tab w:val="right" w:pos="9070"/>
        <w:tab w:val="clear" w:pos="4153"/>
        <w:tab w:val="clear" w:pos="8306"/>
      </w:tabs>
      <w:jc w:val="right"/>
    </w:pPr>
    <w:r>
      <w:rPr>
        <w:lang w:val="zh-CN"/>
      </w:rPr>
      <w:t></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7A1B0">
    <w:pPr>
      <w:pStyle w:val="41"/>
      <w:rPr>
        <w:rFonts w:ascii="仿宋_GB2312" w:eastAsia="仿宋_GB2312"/>
        <w:b/>
        <w:i/>
        <w:u w:val="single"/>
      </w:rPr>
    </w:pPr>
    <w:r>
      <w:rPr>
        <w:rFonts w:hint="eastAsia"/>
      </w:rPr>
      <w:t>上城区同协路道路扬尘智能化管控项目</w:t>
    </w:r>
  </w:p>
  <w:p w14:paraId="7C52B7AC">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4D242">
    <w:pPr>
      <w:pStyle w:val="41"/>
    </w:pPr>
    <w:r>
      <w:rPr>
        <w:rFonts w:hint="eastAsia"/>
      </w:rPr>
      <w:t>上城区同协路道路扬尘智能化管控项目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6D1B1">
    <w:pPr>
      <w:pStyle w:val="41"/>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DBA8D">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58864"/>
    <w:multiLevelType w:val="singleLevel"/>
    <w:tmpl w:val="84358864"/>
    <w:lvl w:ilvl="0" w:tentative="0">
      <w:start w:val="1"/>
      <w:numFmt w:val="decimal"/>
      <w:suff w:val="space"/>
      <w:lvlText w:val="%1."/>
      <w:lvlJc w:val="left"/>
    </w:lvl>
  </w:abstractNum>
  <w:abstractNum w:abstractNumId="1">
    <w:nsid w:val="91300CBD"/>
    <w:multiLevelType w:val="singleLevel"/>
    <w:tmpl w:val="91300CBD"/>
    <w:lvl w:ilvl="0" w:tentative="0">
      <w:start w:val="1"/>
      <w:numFmt w:val="chineseCounting"/>
      <w:suff w:val="nothing"/>
      <w:lvlText w:val="（%1）"/>
      <w:lvlJc w:val="left"/>
      <w:rPr>
        <w:rFonts w:hint="eastAsia"/>
      </w:rPr>
    </w:lvl>
  </w:abstractNum>
  <w:abstractNum w:abstractNumId="2">
    <w:nsid w:val="A69A383F"/>
    <w:multiLevelType w:val="singleLevel"/>
    <w:tmpl w:val="A69A383F"/>
    <w:lvl w:ilvl="0" w:tentative="0">
      <w:start w:val="1"/>
      <w:numFmt w:val="chineseCounting"/>
      <w:suff w:val="nothing"/>
      <w:lvlText w:val="%1、"/>
      <w:lvlJc w:val="left"/>
      <w:pPr>
        <w:ind w:left="0" w:firstLine="420"/>
      </w:pPr>
      <w:rPr>
        <w:rFonts w:hint="eastAsia"/>
      </w:rPr>
    </w:lvl>
  </w:abstractNum>
  <w:abstractNum w:abstractNumId="3">
    <w:nsid w:val="AA7325E6"/>
    <w:multiLevelType w:val="singleLevel"/>
    <w:tmpl w:val="AA7325E6"/>
    <w:lvl w:ilvl="0" w:tentative="0">
      <w:start w:val="1"/>
      <w:numFmt w:val="decimal"/>
      <w:suff w:val="nothing"/>
      <w:lvlText w:val="（%1）"/>
      <w:lvlJc w:val="left"/>
    </w:lvl>
  </w:abstractNum>
  <w:abstractNum w:abstractNumId="4">
    <w:nsid w:val="B574DE3C"/>
    <w:multiLevelType w:val="singleLevel"/>
    <w:tmpl w:val="B574DE3C"/>
    <w:lvl w:ilvl="0" w:tentative="0">
      <w:start w:val="1"/>
      <w:numFmt w:val="decimal"/>
      <w:suff w:val="space"/>
      <w:lvlText w:val="%1."/>
      <w:lvlJc w:val="left"/>
    </w:lvl>
  </w:abstractNum>
  <w:abstractNum w:abstractNumId="5">
    <w:nsid w:val="BD142208"/>
    <w:multiLevelType w:val="singleLevel"/>
    <w:tmpl w:val="BD142208"/>
    <w:lvl w:ilvl="0" w:tentative="0">
      <w:start w:val="1"/>
      <w:numFmt w:val="decimal"/>
      <w:suff w:val="space"/>
      <w:lvlText w:val="%1."/>
      <w:lvlJc w:val="left"/>
    </w:lvl>
  </w:abstractNum>
  <w:abstractNum w:abstractNumId="6">
    <w:nsid w:val="C73C1885"/>
    <w:multiLevelType w:val="singleLevel"/>
    <w:tmpl w:val="C73C1885"/>
    <w:lvl w:ilvl="0" w:tentative="0">
      <w:start w:val="1"/>
      <w:numFmt w:val="chineseCounting"/>
      <w:suff w:val="nothing"/>
      <w:lvlText w:val="（%1）"/>
      <w:lvlJc w:val="left"/>
      <w:rPr>
        <w:rFonts w:hint="eastAsia"/>
      </w:rPr>
    </w:lvl>
  </w:abstractNum>
  <w:abstractNum w:abstractNumId="7">
    <w:nsid w:val="E3C0E4CE"/>
    <w:multiLevelType w:val="singleLevel"/>
    <w:tmpl w:val="E3C0E4CE"/>
    <w:lvl w:ilvl="0" w:tentative="0">
      <w:start w:val="2"/>
      <w:numFmt w:val="chineseCounting"/>
      <w:suff w:val="nothing"/>
      <w:lvlText w:val="（%1）"/>
      <w:lvlJc w:val="left"/>
      <w:rPr>
        <w:rFonts w:hint="eastAsia"/>
      </w:rPr>
    </w:lvl>
  </w:abstractNum>
  <w:abstractNum w:abstractNumId="8">
    <w:nsid w:val="E872B849"/>
    <w:multiLevelType w:val="singleLevel"/>
    <w:tmpl w:val="E872B849"/>
    <w:lvl w:ilvl="0" w:tentative="0">
      <w:start w:val="1"/>
      <w:numFmt w:val="decimal"/>
      <w:suff w:val="space"/>
      <w:lvlText w:val="%1."/>
      <w:lvlJc w:val="left"/>
    </w:lvl>
  </w:abstractNum>
  <w:abstractNum w:abstractNumId="9">
    <w:nsid w:val="E9424798"/>
    <w:multiLevelType w:val="singleLevel"/>
    <w:tmpl w:val="E9424798"/>
    <w:lvl w:ilvl="0" w:tentative="0">
      <w:start w:val="1"/>
      <w:numFmt w:val="decimal"/>
      <w:suff w:val="space"/>
      <w:lvlText w:val="%1."/>
      <w:lvlJc w:val="left"/>
    </w:lvl>
  </w:abstractNum>
  <w:abstractNum w:abstractNumId="10">
    <w:nsid w:val="F1D869E2"/>
    <w:multiLevelType w:val="singleLevel"/>
    <w:tmpl w:val="F1D869E2"/>
    <w:lvl w:ilvl="0" w:tentative="0">
      <w:start w:val="7"/>
      <w:numFmt w:val="chineseCounting"/>
      <w:suff w:val="nothing"/>
      <w:lvlText w:val="%1、"/>
      <w:lvlJc w:val="left"/>
      <w:rPr>
        <w:rFonts w:hint="eastAsia"/>
      </w:rPr>
    </w:lvl>
  </w:abstractNum>
  <w:abstractNum w:abstractNumId="11">
    <w:nsid w:val="F2D5B281"/>
    <w:multiLevelType w:val="singleLevel"/>
    <w:tmpl w:val="F2D5B281"/>
    <w:lvl w:ilvl="0" w:tentative="0">
      <w:start w:val="1"/>
      <w:numFmt w:val="decimal"/>
      <w:lvlText w:val=" %1"/>
      <w:lvlJc w:val="left"/>
      <w:pPr>
        <w:tabs>
          <w:tab w:val="left" w:pos="420"/>
        </w:tabs>
        <w:ind w:left="425" w:hanging="425"/>
      </w:pPr>
      <w:rPr>
        <w:rFonts w:hint="default"/>
      </w:rPr>
    </w:lvl>
  </w:abstractNum>
  <w:abstractNum w:abstractNumId="12">
    <w:nsid w:val="FDEB5AD4"/>
    <w:multiLevelType w:val="singleLevel"/>
    <w:tmpl w:val="FDEB5AD4"/>
    <w:lvl w:ilvl="0" w:tentative="0">
      <w:start w:val="1"/>
      <w:numFmt w:val="decimal"/>
      <w:suff w:val="space"/>
      <w:lvlText w:val="%1."/>
      <w:lvlJc w:val="left"/>
    </w:lvl>
  </w:abstractNum>
  <w:abstractNum w:abstractNumId="13">
    <w:nsid w:val="06D92302"/>
    <w:multiLevelType w:val="singleLevel"/>
    <w:tmpl w:val="06D92302"/>
    <w:lvl w:ilvl="0" w:tentative="0">
      <w:start w:val="1"/>
      <w:numFmt w:val="decimal"/>
      <w:suff w:val="space"/>
      <w:lvlText w:val="%1."/>
      <w:lvlJc w:val="left"/>
    </w:lvl>
  </w:abstractNum>
  <w:abstractNum w:abstractNumId="14">
    <w:nsid w:val="27784764"/>
    <w:multiLevelType w:val="singleLevel"/>
    <w:tmpl w:val="27784764"/>
    <w:lvl w:ilvl="0" w:tentative="0">
      <w:start w:val="1"/>
      <w:numFmt w:val="decimal"/>
      <w:suff w:val="space"/>
      <w:lvlText w:val="%1."/>
      <w:lvlJc w:val="left"/>
    </w:lvl>
  </w:abstractNum>
  <w:abstractNum w:abstractNumId="15">
    <w:nsid w:val="6FA01D28"/>
    <w:multiLevelType w:val="singleLevel"/>
    <w:tmpl w:val="6FA01D28"/>
    <w:lvl w:ilvl="0" w:tentative="0">
      <w:start w:val="1"/>
      <w:numFmt w:val="chineseCounting"/>
      <w:suff w:val="nothing"/>
      <w:lvlText w:val="（%1）"/>
      <w:lvlJc w:val="left"/>
      <w:rPr>
        <w:rFonts w:hint="eastAsia"/>
      </w:rPr>
    </w:lvl>
  </w:abstractNum>
  <w:abstractNum w:abstractNumId="16">
    <w:nsid w:val="7222999D"/>
    <w:multiLevelType w:val="singleLevel"/>
    <w:tmpl w:val="7222999D"/>
    <w:lvl w:ilvl="0" w:tentative="0">
      <w:start w:val="3"/>
      <w:numFmt w:val="chineseCounting"/>
      <w:suff w:val="space"/>
      <w:lvlText w:val="第%1部分"/>
      <w:lvlJc w:val="left"/>
      <w:rPr>
        <w:rFonts w:hint="eastAsia"/>
      </w:rPr>
    </w:lvl>
  </w:abstractNum>
  <w:num w:numId="1">
    <w:abstractNumId w:val="11"/>
  </w:num>
  <w:num w:numId="2">
    <w:abstractNumId w:val="16"/>
  </w:num>
  <w:num w:numId="3">
    <w:abstractNumId w:val="2"/>
  </w:num>
  <w:num w:numId="4">
    <w:abstractNumId w:val="6"/>
  </w:num>
  <w:num w:numId="5">
    <w:abstractNumId w:val="7"/>
  </w:num>
  <w:num w:numId="6">
    <w:abstractNumId w:val="1"/>
  </w:num>
  <w:num w:numId="7">
    <w:abstractNumId w:val="5"/>
  </w:num>
  <w:num w:numId="8">
    <w:abstractNumId w:val="4"/>
  </w:num>
  <w:num w:numId="9">
    <w:abstractNumId w:val="9"/>
  </w:num>
  <w:num w:numId="10">
    <w:abstractNumId w:val="15"/>
  </w:num>
  <w:num w:numId="11">
    <w:abstractNumId w:val="0"/>
  </w:num>
  <w:num w:numId="12">
    <w:abstractNumId w:val="13"/>
  </w:num>
  <w:num w:numId="13">
    <w:abstractNumId w:val="14"/>
  </w:num>
  <w:num w:numId="14">
    <w:abstractNumId w:val="8"/>
  </w:num>
  <w:num w:numId="15">
    <w:abstractNumId w:val="12"/>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2OGIxYzZjMTgyN2YzODY3MmEzZDcyZmU2Yjc1Mm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0BA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509"/>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824"/>
    <w:rsid w:val="000D7C9D"/>
    <w:rsid w:val="000D7CE0"/>
    <w:rsid w:val="000E063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3F7C"/>
    <w:rsid w:val="000F4495"/>
    <w:rsid w:val="000F46A1"/>
    <w:rsid w:val="000F4A05"/>
    <w:rsid w:val="000F4AA8"/>
    <w:rsid w:val="000F4AEA"/>
    <w:rsid w:val="000F4E67"/>
    <w:rsid w:val="000F505B"/>
    <w:rsid w:val="000F5677"/>
    <w:rsid w:val="000F5DDB"/>
    <w:rsid w:val="000F6095"/>
    <w:rsid w:val="000F628E"/>
    <w:rsid w:val="000F68A0"/>
    <w:rsid w:val="000F6CC2"/>
    <w:rsid w:val="000F729C"/>
    <w:rsid w:val="000F7D4B"/>
    <w:rsid w:val="00100162"/>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6F8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5F64"/>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E13"/>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1A2"/>
    <w:rsid w:val="00173631"/>
    <w:rsid w:val="0017372D"/>
    <w:rsid w:val="00173826"/>
    <w:rsid w:val="00173C58"/>
    <w:rsid w:val="00173E59"/>
    <w:rsid w:val="001741DC"/>
    <w:rsid w:val="00174C4F"/>
    <w:rsid w:val="00174F57"/>
    <w:rsid w:val="00175078"/>
    <w:rsid w:val="00175151"/>
    <w:rsid w:val="001755DC"/>
    <w:rsid w:val="001763D8"/>
    <w:rsid w:val="00176AA6"/>
    <w:rsid w:val="00177063"/>
    <w:rsid w:val="00180A47"/>
    <w:rsid w:val="00180EC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96F"/>
    <w:rsid w:val="001A06B5"/>
    <w:rsid w:val="001A07F8"/>
    <w:rsid w:val="001A0A23"/>
    <w:rsid w:val="001A0C98"/>
    <w:rsid w:val="001A128B"/>
    <w:rsid w:val="001A1475"/>
    <w:rsid w:val="001A1F0E"/>
    <w:rsid w:val="001A3335"/>
    <w:rsid w:val="001A473A"/>
    <w:rsid w:val="001A4977"/>
    <w:rsid w:val="001A4ED9"/>
    <w:rsid w:val="001A5785"/>
    <w:rsid w:val="001A5FD7"/>
    <w:rsid w:val="001A62C8"/>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7A7"/>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4AA"/>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0F1"/>
    <w:rsid w:val="00241144"/>
    <w:rsid w:val="00242510"/>
    <w:rsid w:val="00242F79"/>
    <w:rsid w:val="002432EE"/>
    <w:rsid w:val="0024415B"/>
    <w:rsid w:val="00245565"/>
    <w:rsid w:val="002458C1"/>
    <w:rsid w:val="00245E62"/>
    <w:rsid w:val="002460D0"/>
    <w:rsid w:val="00246357"/>
    <w:rsid w:val="002467B2"/>
    <w:rsid w:val="00247422"/>
    <w:rsid w:val="00247BA2"/>
    <w:rsid w:val="00250870"/>
    <w:rsid w:val="0025151C"/>
    <w:rsid w:val="0025184F"/>
    <w:rsid w:val="00251967"/>
    <w:rsid w:val="002527CC"/>
    <w:rsid w:val="00252F48"/>
    <w:rsid w:val="002530C0"/>
    <w:rsid w:val="00253586"/>
    <w:rsid w:val="002537FC"/>
    <w:rsid w:val="002542F8"/>
    <w:rsid w:val="002543EF"/>
    <w:rsid w:val="00254E08"/>
    <w:rsid w:val="00254F2A"/>
    <w:rsid w:val="00255784"/>
    <w:rsid w:val="00255A29"/>
    <w:rsid w:val="0025631F"/>
    <w:rsid w:val="00256986"/>
    <w:rsid w:val="00256D61"/>
    <w:rsid w:val="00256E23"/>
    <w:rsid w:val="00257246"/>
    <w:rsid w:val="00257438"/>
    <w:rsid w:val="0026119C"/>
    <w:rsid w:val="00261AFE"/>
    <w:rsid w:val="0026212A"/>
    <w:rsid w:val="002621D7"/>
    <w:rsid w:val="00262482"/>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7B3"/>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1D0B"/>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C2C"/>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3B7E"/>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32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483"/>
    <w:rsid w:val="003066C6"/>
    <w:rsid w:val="003066FA"/>
    <w:rsid w:val="00306AD6"/>
    <w:rsid w:val="003077F4"/>
    <w:rsid w:val="00307DC7"/>
    <w:rsid w:val="00307FF2"/>
    <w:rsid w:val="00310EDB"/>
    <w:rsid w:val="00311C51"/>
    <w:rsid w:val="00311D56"/>
    <w:rsid w:val="00311FCB"/>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8AD"/>
    <w:rsid w:val="00324951"/>
    <w:rsid w:val="003249F6"/>
    <w:rsid w:val="00324B2F"/>
    <w:rsid w:val="00325FCC"/>
    <w:rsid w:val="00326106"/>
    <w:rsid w:val="00326301"/>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F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145"/>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5CD"/>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CAD"/>
    <w:rsid w:val="003A0F6B"/>
    <w:rsid w:val="003A12B6"/>
    <w:rsid w:val="003A1804"/>
    <w:rsid w:val="003A1C44"/>
    <w:rsid w:val="003A20D5"/>
    <w:rsid w:val="003A24CC"/>
    <w:rsid w:val="003A2512"/>
    <w:rsid w:val="003A2A53"/>
    <w:rsid w:val="003A2EE8"/>
    <w:rsid w:val="003A373C"/>
    <w:rsid w:val="003A3FE3"/>
    <w:rsid w:val="003A5378"/>
    <w:rsid w:val="003A553C"/>
    <w:rsid w:val="003A56DF"/>
    <w:rsid w:val="003A6008"/>
    <w:rsid w:val="003A703F"/>
    <w:rsid w:val="003A7E2B"/>
    <w:rsid w:val="003A7E40"/>
    <w:rsid w:val="003B0336"/>
    <w:rsid w:val="003B0A3A"/>
    <w:rsid w:val="003B0A6B"/>
    <w:rsid w:val="003B0D79"/>
    <w:rsid w:val="003B261D"/>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A50"/>
    <w:rsid w:val="003E006E"/>
    <w:rsid w:val="003E0947"/>
    <w:rsid w:val="003E0E96"/>
    <w:rsid w:val="003E1147"/>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453"/>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1C4"/>
    <w:rsid w:val="00413FEE"/>
    <w:rsid w:val="00414909"/>
    <w:rsid w:val="00414E7E"/>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AB4"/>
    <w:rsid w:val="0045277C"/>
    <w:rsid w:val="00453507"/>
    <w:rsid w:val="00453592"/>
    <w:rsid w:val="00453B88"/>
    <w:rsid w:val="004543AB"/>
    <w:rsid w:val="004545EC"/>
    <w:rsid w:val="004553AC"/>
    <w:rsid w:val="00455967"/>
    <w:rsid w:val="00455F71"/>
    <w:rsid w:val="00456272"/>
    <w:rsid w:val="0045679C"/>
    <w:rsid w:val="004570EF"/>
    <w:rsid w:val="00457517"/>
    <w:rsid w:val="00457CF7"/>
    <w:rsid w:val="00457D37"/>
    <w:rsid w:val="00457D7B"/>
    <w:rsid w:val="00457E9F"/>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3C2"/>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125F"/>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B8"/>
    <w:rsid w:val="004F1CE1"/>
    <w:rsid w:val="004F1F9E"/>
    <w:rsid w:val="004F2CB6"/>
    <w:rsid w:val="004F2E6E"/>
    <w:rsid w:val="004F3015"/>
    <w:rsid w:val="004F3033"/>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2D0A"/>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615"/>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107"/>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7E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2EA2"/>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276"/>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3BB1"/>
    <w:rsid w:val="00594437"/>
    <w:rsid w:val="00594B70"/>
    <w:rsid w:val="00596CFA"/>
    <w:rsid w:val="00596EC6"/>
    <w:rsid w:val="005975CE"/>
    <w:rsid w:val="005A0088"/>
    <w:rsid w:val="005A04F6"/>
    <w:rsid w:val="005A14F0"/>
    <w:rsid w:val="005A1861"/>
    <w:rsid w:val="005A1A31"/>
    <w:rsid w:val="005A1A63"/>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843"/>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C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629"/>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27E7A"/>
    <w:rsid w:val="0063001E"/>
    <w:rsid w:val="00630023"/>
    <w:rsid w:val="006308EE"/>
    <w:rsid w:val="00630C70"/>
    <w:rsid w:val="00630D67"/>
    <w:rsid w:val="00631005"/>
    <w:rsid w:val="00631C79"/>
    <w:rsid w:val="00632727"/>
    <w:rsid w:val="0063283D"/>
    <w:rsid w:val="00632C10"/>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C72"/>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81E"/>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AB0"/>
    <w:rsid w:val="006A4E20"/>
    <w:rsid w:val="006A4F11"/>
    <w:rsid w:val="006A50C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75F"/>
    <w:rsid w:val="006B6BCD"/>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41"/>
    <w:rsid w:val="006C54DF"/>
    <w:rsid w:val="006C5D5D"/>
    <w:rsid w:val="006C627E"/>
    <w:rsid w:val="006C6303"/>
    <w:rsid w:val="006C6A51"/>
    <w:rsid w:val="006C6EBD"/>
    <w:rsid w:val="006C7053"/>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EE6"/>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E3C"/>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618"/>
    <w:rsid w:val="00783959"/>
    <w:rsid w:val="00783BA5"/>
    <w:rsid w:val="007844A9"/>
    <w:rsid w:val="00785091"/>
    <w:rsid w:val="0078638C"/>
    <w:rsid w:val="007869F9"/>
    <w:rsid w:val="00786CBB"/>
    <w:rsid w:val="00786E21"/>
    <w:rsid w:val="00787639"/>
    <w:rsid w:val="0078768E"/>
    <w:rsid w:val="007878ED"/>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8F8"/>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B7B15"/>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070"/>
    <w:rsid w:val="007D445F"/>
    <w:rsid w:val="007D4DED"/>
    <w:rsid w:val="007D5BA2"/>
    <w:rsid w:val="007D5ED3"/>
    <w:rsid w:val="007D682F"/>
    <w:rsid w:val="007D6FB9"/>
    <w:rsid w:val="007D7211"/>
    <w:rsid w:val="007E0595"/>
    <w:rsid w:val="007E0654"/>
    <w:rsid w:val="007E0892"/>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772"/>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39E"/>
    <w:rsid w:val="0080548A"/>
    <w:rsid w:val="0080553E"/>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34A"/>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3E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C56"/>
    <w:rsid w:val="008C2DBC"/>
    <w:rsid w:val="008C3A4E"/>
    <w:rsid w:val="008C448B"/>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3"/>
    <w:rsid w:val="00901F0E"/>
    <w:rsid w:val="00902A26"/>
    <w:rsid w:val="00902A57"/>
    <w:rsid w:val="00902B29"/>
    <w:rsid w:val="009035DF"/>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A1C"/>
    <w:rsid w:val="00920DC0"/>
    <w:rsid w:val="009219F3"/>
    <w:rsid w:val="009221CB"/>
    <w:rsid w:val="00922320"/>
    <w:rsid w:val="00923643"/>
    <w:rsid w:val="00923E1A"/>
    <w:rsid w:val="00924583"/>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6468"/>
    <w:rsid w:val="00947BA5"/>
    <w:rsid w:val="0095057D"/>
    <w:rsid w:val="00950805"/>
    <w:rsid w:val="009517E4"/>
    <w:rsid w:val="009518D4"/>
    <w:rsid w:val="009520BC"/>
    <w:rsid w:val="009521D2"/>
    <w:rsid w:val="00952403"/>
    <w:rsid w:val="00952589"/>
    <w:rsid w:val="00952BD8"/>
    <w:rsid w:val="00953573"/>
    <w:rsid w:val="009537C0"/>
    <w:rsid w:val="009557A9"/>
    <w:rsid w:val="00955AD8"/>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462"/>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34"/>
    <w:rsid w:val="009E19BB"/>
    <w:rsid w:val="009E1A8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42E"/>
    <w:rsid w:val="00A15A0C"/>
    <w:rsid w:val="00A15CB1"/>
    <w:rsid w:val="00A15DCC"/>
    <w:rsid w:val="00A15E7D"/>
    <w:rsid w:val="00A15E84"/>
    <w:rsid w:val="00A16021"/>
    <w:rsid w:val="00A16961"/>
    <w:rsid w:val="00A176DD"/>
    <w:rsid w:val="00A1770E"/>
    <w:rsid w:val="00A21838"/>
    <w:rsid w:val="00A2239C"/>
    <w:rsid w:val="00A22C3E"/>
    <w:rsid w:val="00A22C4D"/>
    <w:rsid w:val="00A2334E"/>
    <w:rsid w:val="00A23442"/>
    <w:rsid w:val="00A249D2"/>
    <w:rsid w:val="00A254AB"/>
    <w:rsid w:val="00A259F2"/>
    <w:rsid w:val="00A266CC"/>
    <w:rsid w:val="00A26DB4"/>
    <w:rsid w:val="00A27425"/>
    <w:rsid w:val="00A27F0F"/>
    <w:rsid w:val="00A3023E"/>
    <w:rsid w:val="00A302E8"/>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2CA"/>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5CA"/>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DF6"/>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A5B"/>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5ED"/>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ACA"/>
    <w:rsid w:val="00B03C1B"/>
    <w:rsid w:val="00B04678"/>
    <w:rsid w:val="00B047C9"/>
    <w:rsid w:val="00B04837"/>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77C"/>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1B3"/>
    <w:rsid w:val="00B31246"/>
    <w:rsid w:val="00B32295"/>
    <w:rsid w:val="00B33AB5"/>
    <w:rsid w:val="00B3412E"/>
    <w:rsid w:val="00B343E0"/>
    <w:rsid w:val="00B34478"/>
    <w:rsid w:val="00B35B6D"/>
    <w:rsid w:val="00B35D53"/>
    <w:rsid w:val="00B367C4"/>
    <w:rsid w:val="00B36D3E"/>
    <w:rsid w:val="00B37B8E"/>
    <w:rsid w:val="00B40222"/>
    <w:rsid w:val="00B404C3"/>
    <w:rsid w:val="00B40A19"/>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2B00"/>
    <w:rsid w:val="00B83E76"/>
    <w:rsid w:val="00B83FA0"/>
    <w:rsid w:val="00B84156"/>
    <w:rsid w:val="00B846E6"/>
    <w:rsid w:val="00B8537B"/>
    <w:rsid w:val="00B85586"/>
    <w:rsid w:val="00B859FB"/>
    <w:rsid w:val="00B86289"/>
    <w:rsid w:val="00B863B3"/>
    <w:rsid w:val="00B869D3"/>
    <w:rsid w:val="00B86CF8"/>
    <w:rsid w:val="00B86E44"/>
    <w:rsid w:val="00B8707B"/>
    <w:rsid w:val="00B87359"/>
    <w:rsid w:val="00B87F1C"/>
    <w:rsid w:val="00B90B6B"/>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758"/>
    <w:rsid w:val="00BA3869"/>
    <w:rsid w:val="00BA39EB"/>
    <w:rsid w:val="00BA4399"/>
    <w:rsid w:val="00BA4452"/>
    <w:rsid w:val="00BA46C6"/>
    <w:rsid w:val="00BA4ACF"/>
    <w:rsid w:val="00BA5039"/>
    <w:rsid w:val="00BA583B"/>
    <w:rsid w:val="00BA5DF2"/>
    <w:rsid w:val="00BA5EC7"/>
    <w:rsid w:val="00BA5F35"/>
    <w:rsid w:val="00BA6319"/>
    <w:rsid w:val="00BA63CE"/>
    <w:rsid w:val="00BA676E"/>
    <w:rsid w:val="00BA6980"/>
    <w:rsid w:val="00BA6EF2"/>
    <w:rsid w:val="00BA7227"/>
    <w:rsid w:val="00BA729C"/>
    <w:rsid w:val="00BA763C"/>
    <w:rsid w:val="00BA784D"/>
    <w:rsid w:val="00BA7CD7"/>
    <w:rsid w:val="00BB00E5"/>
    <w:rsid w:val="00BB1688"/>
    <w:rsid w:val="00BB1EFB"/>
    <w:rsid w:val="00BB269F"/>
    <w:rsid w:val="00BB27CC"/>
    <w:rsid w:val="00BB2ACE"/>
    <w:rsid w:val="00BB2E4E"/>
    <w:rsid w:val="00BB2E62"/>
    <w:rsid w:val="00BB3088"/>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4C5"/>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13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30E"/>
    <w:rsid w:val="00C1110A"/>
    <w:rsid w:val="00C11689"/>
    <w:rsid w:val="00C12414"/>
    <w:rsid w:val="00C12ECB"/>
    <w:rsid w:val="00C148B2"/>
    <w:rsid w:val="00C14ABD"/>
    <w:rsid w:val="00C151E0"/>
    <w:rsid w:val="00C155A8"/>
    <w:rsid w:val="00C159FD"/>
    <w:rsid w:val="00C15B31"/>
    <w:rsid w:val="00C15CE2"/>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7F4"/>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BB7"/>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2D"/>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5B29"/>
    <w:rsid w:val="00C76129"/>
    <w:rsid w:val="00C76C0C"/>
    <w:rsid w:val="00C76FFC"/>
    <w:rsid w:val="00C774E0"/>
    <w:rsid w:val="00C776BA"/>
    <w:rsid w:val="00C7791E"/>
    <w:rsid w:val="00C8148D"/>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823"/>
    <w:rsid w:val="00CC1AF5"/>
    <w:rsid w:val="00CC1B74"/>
    <w:rsid w:val="00CC291E"/>
    <w:rsid w:val="00CC2D03"/>
    <w:rsid w:val="00CC2EB0"/>
    <w:rsid w:val="00CC4701"/>
    <w:rsid w:val="00CC56B4"/>
    <w:rsid w:val="00CC5F95"/>
    <w:rsid w:val="00CC642A"/>
    <w:rsid w:val="00CC6AC7"/>
    <w:rsid w:val="00CC7232"/>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660"/>
    <w:rsid w:val="00D3497A"/>
    <w:rsid w:val="00D35F2F"/>
    <w:rsid w:val="00D35FC6"/>
    <w:rsid w:val="00D36BB8"/>
    <w:rsid w:val="00D373E1"/>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E1F"/>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1F7"/>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1D"/>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1E48"/>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14"/>
    <w:rsid w:val="00DE1CB1"/>
    <w:rsid w:val="00DE1EA4"/>
    <w:rsid w:val="00DE2073"/>
    <w:rsid w:val="00DE30AC"/>
    <w:rsid w:val="00DE30AD"/>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0FF"/>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46C"/>
    <w:rsid w:val="00E1720B"/>
    <w:rsid w:val="00E203DE"/>
    <w:rsid w:val="00E20A36"/>
    <w:rsid w:val="00E20CE7"/>
    <w:rsid w:val="00E217B1"/>
    <w:rsid w:val="00E222FA"/>
    <w:rsid w:val="00E229CE"/>
    <w:rsid w:val="00E22B4A"/>
    <w:rsid w:val="00E23599"/>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10B"/>
    <w:rsid w:val="00E333D5"/>
    <w:rsid w:val="00E3394F"/>
    <w:rsid w:val="00E33A0B"/>
    <w:rsid w:val="00E3442B"/>
    <w:rsid w:val="00E34A2F"/>
    <w:rsid w:val="00E35025"/>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90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178"/>
    <w:rsid w:val="00E63C60"/>
    <w:rsid w:val="00E64050"/>
    <w:rsid w:val="00E647BC"/>
    <w:rsid w:val="00E64B7B"/>
    <w:rsid w:val="00E6514D"/>
    <w:rsid w:val="00E65161"/>
    <w:rsid w:val="00E652C9"/>
    <w:rsid w:val="00E6593B"/>
    <w:rsid w:val="00E65D74"/>
    <w:rsid w:val="00E66E11"/>
    <w:rsid w:val="00E672C6"/>
    <w:rsid w:val="00E70192"/>
    <w:rsid w:val="00E708EE"/>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848"/>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A8F"/>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9D3"/>
    <w:rsid w:val="00F04D19"/>
    <w:rsid w:val="00F050A3"/>
    <w:rsid w:val="00F06340"/>
    <w:rsid w:val="00F0665D"/>
    <w:rsid w:val="00F06D42"/>
    <w:rsid w:val="00F07134"/>
    <w:rsid w:val="00F0724D"/>
    <w:rsid w:val="00F07378"/>
    <w:rsid w:val="00F07E99"/>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566"/>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21"/>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AC8"/>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89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C65"/>
    <w:rsid w:val="00FB0D60"/>
    <w:rsid w:val="00FB18FD"/>
    <w:rsid w:val="00FB1A7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0FF71C4"/>
    <w:rsid w:val="01024F49"/>
    <w:rsid w:val="010651D9"/>
    <w:rsid w:val="011F6449"/>
    <w:rsid w:val="01236AFB"/>
    <w:rsid w:val="01334C8A"/>
    <w:rsid w:val="01623198"/>
    <w:rsid w:val="018C0765"/>
    <w:rsid w:val="019F7441"/>
    <w:rsid w:val="01B37585"/>
    <w:rsid w:val="01CF31A7"/>
    <w:rsid w:val="01D315C1"/>
    <w:rsid w:val="01D55165"/>
    <w:rsid w:val="01DF6BF8"/>
    <w:rsid w:val="01EC2C57"/>
    <w:rsid w:val="01F84BEB"/>
    <w:rsid w:val="01FB726B"/>
    <w:rsid w:val="022B1094"/>
    <w:rsid w:val="025F0711"/>
    <w:rsid w:val="026B2E25"/>
    <w:rsid w:val="02814144"/>
    <w:rsid w:val="02824D4D"/>
    <w:rsid w:val="02DC4B10"/>
    <w:rsid w:val="02DD76CE"/>
    <w:rsid w:val="02F36323"/>
    <w:rsid w:val="02F5619C"/>
    <w:rsid w:val="02FE7F8D"/>
    <w:rsid w:val="0326446A"/>
    <w:rsid w:val="032D5555"/>
    <w:rsid w:val="03611BA3"/>
    <w:rsid w:val="036634D2"/>
    <w:rsid w:val="037442A8"/>
    <w:rsid w:val="03900734"/>
    <w:rsid w:val="0390181D"/>
    <w:rsid w:val="039E4514"/>
    <w:rsid w:val="03D2028B"/>
    <w:rsid w:val="03DD35E4"/>
    <w:rsid w:val="03F55698"/>
    <w:rsid w:val="04076900"/>
    <w:rsid w:val="041A5A3B"/>
    <w:rsid w:val="041C5514"/>
    <w:rsid w:val="042311BA"/>
    <w:rsid w:val="042B157A"/>
    <w:rsid w:val="04575F38"/>
    <w:rsid w:val="047926A5"/>
    <w:rsid w:val="048F763B"/>
    <w:rsid w:val="049F330E"/>
    <w:rsid w:val="04A41248"/>
    <w:rsid w:val="04AA775C"/>
    <w:rsid w:val="04AF1889"/>
    <w:rsid w:val="04C924C0"/>
    <w:rsid w:val="04F66F48"/>
    <w:rsid w:val="051C4D85"/>
    <w:rsid w:val="05251E14"/>
    <w:rsid w:val="053850A0"/>
    <w:rsid w:val="056703FD"/>
    <w:rsid w:val="05845530"/>
    <w:rsid w:val="05A105F6"/>
    <w:rsid w:val="05A16594"/>
    <w:rsid w:val="05A7762D"/>
    <w:rsid w:val="05C313AC"/>
    <w:rsid w:val="05E456DB"/>
    <w:rsid w:val="060B6CBF"/>
    <w:rsid w:val="060E5941"/>
    <w:rsid w:val="06110FAF"/>
    <w:rsid w:val="061128F2"/>
    <w:rsid w:val="06142DC8"/>
    <w:rsid w:val="062F1C7E"/>
    <w:rsid w:val="0639341C"/>
    <w:rsid w:val="06493CA7"/>
    <w:rsid w:val="064D2C7A"/>
    <w:rsid w:val="065A6178"/>
    <w:rsid w:val="066F1CF3"/>
    <w:rsid w:val="06702776"/>
    <w:rsid w:val="068D470D"/>
    <w:rsid w:val="06930BB8"/>
    <w:rsid w:val="06944582"/>
    <w:rsid w:val="06CE6303"/>
    <w:rsid w:val="070D4E50"/>
    <w:rsid w:val="07245D42"/>
    <w:rsid w:val="07264C62"/>
    <w:rsid w:val="074D3623"/>
    <w:rsid w:val="0779354C"/>
    <w:rsid w:val="078B760B"/>
    <w:rsid w:val="08061376"/>
    <w:rsid w:val="08452D77"/>
    <w:rsid w:val="086401F8"/>
    <w:rsid w:val="08751CAA"/>
    <w:rsid w:val="087E4C40"/>
    <w:rsid w:val="08A871D0"/>
    <w:rsid w:val="08AD0682"/>
    <w:rsid w:val="08D66AD6"/>
    <w:rsid w:val="08DA33A3"/>
    <w:rsid w:val="08E80F13"/>
    <w:rsid w:val="091E3117"/>
    <w:rsid w:val="09335624"/>
    <w:rsid w:val="093D1DDC"/>
    <w:rsid w:val="0944690F"/>
    <w:rsid w:val="09535675"/>
    <w:rsid w:val="095F057D"/>
    <w:rsid w:val="09642282"/>
    <w:rsid w:val="09733572"/>
    <w:rsid w:val="097448B1"/>
    <w:rsid w:val="09772C16"/>
    <w:rsid w:val="098353B5"/>
    <w:rsid w:val="09A92330"/>
    <w:rsid w:val="09AA6215"/>
    <w:rsid w:val="09B06B87"/>
    <w:rsid w:val="09BB30F8"/>
    <w:rsid w:val="09C13146"/>
    <w:rsid w:val="09CC7647"/>
    <w:rsid w:val="09D1738E"/>
    <w:rsid w:val="09E04166"/>
    <w:rsid w:val="0A007238"/>
    <w:rsid w:val="0A060E25"/>
    <w:rsid w:val="0A1C0718"/>
    <w:rsid w:val="0A3E7710"/>
    <w:rsid w:val="0A5B7E63"/>
    <w:rsid w:val="0A6A53B4"/>
    <w:rsid w:val="0A726C71"/>
    <w:rsid w:val="0A7D50D7"/>
    <w:rsid w:val="0AA374A5"/>
    <w:rsid w:val="0AAB7649"/>
    <w:rsid w:val="0ABC5606"/>
    <w:rsid w:val="0ACF639A"/>
    <w:rsid w:val="0B30404E"/>
    <w:rsid w:val="0B39220B"/>
    <w:rsid w:val="0B4C6C14"/>
    <w:rsid w:val="0B547599"/>
    <w:rsid w:val="0B631A88"/>
    <w:rsid w:val="0B683D45"/>
    <w:rsid w:val="0B795613"/>
    <w:rsid w:val="0B7F3F11"/>
    <w:rsid w:val="0B884417"/>
    <w:rsid w:val="0BB20B57"/>
    <w:rsid w:val="0BD40623"/>
    <w:rsid w:val="0BD97142"/>
    <w:rsid w:val="0BF6188C"/>
    <w:rsid w:val="0BF73C91"/>
    <w:rsid w:val="0C170175"/>
    <w:rsid w:val="0C2D18DC"/>
    <w:rsid w:val="0C331E3E"/>
    <w:rsid w:val="0C571A41"/>
    <w:rsid w:val="0C5C1171"/>
    <w:rsid w:val="0C5E1CBC"/>
    <w:rsid w:val="0C615B50"/>
    <w:rsid w:val="0C6453E0"/>
    <w:rsid w:val="0C7D71C1"/>
    <w:rsid w:val="0C8269C1"/>
    <w:rsid w:val="0C8445DA"/>
    <w:rsid w:val="0C87121B"/>
    <w:rsid w:val="0CA77331"/>
    <w:rsid w:val="0CBE2103"/>
    <w:rsid w:val="0CC007F7"/>
    <w:rsid w:val="0CC617AC"/>
    <w:rsid w:val="0CE618DF"/>
    <w:rsid w:val="0CE61CF6"/>
    <w:rsid w:val="0CFE707A"/>
    <w:rsid w:val="0D063BDA"/>
    <w:rsid w:val="0D08375F"/>
    <w:rsid w:val="0D184CFB"/>
    <w:rsid w:val="0D2A3641"/>
    <w:rsid w:val="0D386AFC"/>
    <w:rsid w:val="0D4A7419"/>
    <w:rsid w:val="0D6B49DB"/>
    <w:rsid w:val="0D827401"/>
    <w:rsid w:val="0D84094E"/>
    <w:rsid w:val="0D8A00E9"/>
    <w:rsid w:val="0D8D589E"/>
    <w:rsid w:val="0D965E01"/>
    <w:rsid w:val="0DA01C73"/>
    <w:rsid w:val="0DD63300"/>
    <w:rsid w:val="0DF50604"/>
    <w:rsid w:val="0DF702FE"/>
    <w:rsid w:val="0E060E51"/>
    <w:rsid w:val="0E2E3409"/>
    <w:rsid w:val="0E5604B2"/>
    <w:rsid w:val="0E6D5D79"/>
    <w:rsid w:val="0E9D0089"/>
    <w:rsid w:val="0EB71DE4"/>
    <w:rsid w:val="0EB803EE"/>
    <w:rsid w:val="0EED0970"/>
    <w:rsid w:val="0EF94D4B"/>
    <w:rsid w:val="0F0C67F5"/>
    <w:rsid w:val="0F1D66E0"/>
    <w:rsid w:val="0F2201A6"/>
    <w:rsid w:val="0F4958DC"/>
    <w:rsid w:val="0F515DF7"/>
    <w:rsid w:val="0F59608B"/>
    <w:rsid w:val="0F596BA8"/>
    <w:rsid w:val="0F6248D2"/>
    <w:rsid w:val="0F693536"/>
    <w:rsid w:val="0F7B0511"/>
    <w:rsid w:val="0F7B76D9"/>
    <w:rsid w:val="0F816ACD"/>
    <w:rsid w:val="0F9832DB"/>
    <w:rsid w:val="0FA275ED"/>
    <w:rsid w:val="0FBF3FD2"/>
    <w:rsid w:val="0FBF7FF3"/>
    <w:rsid w:val="0FE60171"/>
    <w:rsid w:val="10171A4C"/>
    <w:rsid w:val="103F3491"/>
    <w:rsid w:val="104D0B0B"/>
    <w:rsid w:val="10646583"/>
    <w:rsid w:val="107D4B15"/>
    <w:rsid w:val="108A3C80"/>
    <w:rsid w:val="10C03B28"/>
    <w:rsid w:val="10C26171"/>
    <w:rsid w:val="10D97892"/>
    <w:rsid w:val="10F33360"/>
    <w:rsid w:val="10FC16EA"/>
    <w:rsid w:val="110324D3"/>
    <w:rsid w:val="110F1D40"/>
    <w:rsid w:val="11131439"/>
    <w:rsid w:val="11266F33"/>
    <w:rsid w:val="11687D0E"/>
    <w:rsid w:val="1178316E"/>
    <w:rsid w:val="118963A1"/>
    <w:rsid w:val="118D670D"/>
    <w:rsid w:val="118E3A59"/>
    <w:rsid w:val="11AF54C6"/>
    <w:rsid w:val="11C6522A"/>
    <w:rsid w:val="11E104CC"/>
    <w:rsid w:val="11E20309"/>
    <w:rsid w:val="12255233"/>
    <w:rsid w:val="12530213"/>
    <w:rsid w:val="127723A9"/>
    <w:rsid w:val="127D1F80"/>
    <w:rsid w:val="12862074"/>
    <w:rsid w:val="12883966"/>
    <w:rsid w:val="129E45B4"/>
    <w:rsid w:val="12D81596"/>
    <w:rsid w:val="13072A44"/>
    <w:rsid w:val="131F424D"/>
    <w:rsid w:val="13511DA5"/>
    <w:rsid w:val="135F4BE2"/>
    <w:rsid w:val="1374078B"/>
    <w:rsid w:val="139B1A0A"/>
    <w:rsid w:val="139D25C7"/>
    <w:rsid w:val="13BF3CE4"/>
    <w:rsid w:val="13C23174"/>
    <w:rsid w:val="13CC7F51"/>
    <w:rsid w:val="14051E19"/>
    <w:rsid w:val="141008D8"/>
    <w:rsid w:val="14125FE6"/>
    <w:rsid w:val="14364D57"/>
    <w:rsid w:val="146D271E"/>
    <w:rsid w:val="14982588"/>
    <w:rsid w:val="149A5AD9"/>
    <w:rsid w:val="14A7619D"/>
    <w:rsid w:val="14B44987"/>
    <w:rsid w:val="150536C3"/>
    <w:rsid w:val="150C1963"/>
    <w:rsid w:val="151447A0"/>
    <w:rsid w:val="154A6454"/>
    <w:rsid w:val="155C53FF"/>
    <w:rsid w:val="15762120"/>
    <w:rsid w:val="158F2A82"/>
    <w:rsid w:val="15A853F6"/>
    <w:rsid w:val="15AD4AA7"/>
    <w:rsid w:val="15BF7B5E"/>
    <w:rsid w:val="164515B1"/>
    <w:rsid w:val="16A8729C"/>
    <w:rsid w:val="16B312C8"/>
    <w:rsid w:val="16B33777"/>
    <w:rsid w:val="16BC70A7"/>
    <w:rsid w:val="16C6339E"/>
    <w:rsid w:val="16F053BA"/>
    <w:rsid w:val="17036D7E"/>
    <w:rsid w:val="171338FD"/>
    <w:rsid w:val="172F2D79"/>
    <w:rsid w:val="173E2889"/>
    <w:rsid w:val="17557BEF"/>
    <w:rsid w:val="17825BC7"/>
    <w:rsid w:val="17D349C1"/>
    <w:rsid w:val="17D610A5"/>
    <w:rsid w:val="17D93CE6"/>
    <w:rsid w:val="17FB2C27"/>
    <w:rsid w:val="18014238"/>
    <w:rsid w:val="18277DD2"/>
    <w:rsid w:val="1830729E"/>
    <w:rsid w:val="1870062C"/>
    <w:rsid w:val="18817102"/>
    <w:rsid w:val="18830A15"/>
    <w:rsid w:val="18852B28"/>
    <w:rsid w:val="188B5321"/>
    <w:rsid w:val="189E2A13"/>
    <w:rsid w:val="18B02CE9"/>
    <w:rsid w:val="18D731CF"/>
    <w:rsid w:val="18DE4B2B"/>
    <w:rsid w:val="18FE5FC8"/>
    <w:rsid w:val="195A5213"/>
    <w:rsid w:val="195C76F5"/>
    <w:rsid w:val="195F3DDF"/>
    <w:rsid w:val="19932372"/>
    <w:rsid w:val="19A20DD5"/>
    <w:rsid w:val="19AE03F1"/>
    <w:rsid w:val="19F636A6"/>
    <w:rsid w:val="1A071A03"/>
    <w:rsid w:val="1A1F16AE"/>
    <w:rsid w:val="1A3B5C77"/>
    <w:rsid w:val="1A5B4A2A"/>
    <w:rsid w:val="1A6C5808"/>
    <w:rsid w:val="1A815666"/>
    <w:rsid w:val="1A984BAD"/>
    <w:rsid w:val="1A991744"/>
    <w:rsid w:val="1AB8220E"/>
    <w:rsid w:val="1AE4166C"/>
    <w:rsid w:val="1AEB392D"/>
    <w:rsid w:val="1AF06CFB"/>
    <w:rsid w:val="1AF11B8D"/>
    <w:rsid w:val="1B11359C"/>
    <w:rsid w:val="1B2A271F"/>
    <w:rsid w:val="1B530544"/>
    <w:rsid w:val="1B713184"/>
    <w:rsid w:val="1B8551E6"/>
    <w:rsid w:val="1BA209CF"/>
    <w:rsid w:val="1BB4777D"/>
    <w:rsid w:val="1BC44C96"/>
    <w:rsid w:val="1BD75AB8"/>
    <w:rsid w:val="1BF004D1"/>
    <w:rsid w:val="1BF904F6"/>
    <w:rsid w:val="1C0459C2"/>
    <w:rsid w:val="1C1B3B4A"/>
    <w:rsid w:val="1C88086E"/>
    <w:rsid w:val="1CDF3473"/>
    <w:rsid w:val="1CF6130E"/>
    <w:rsid w:val="1D061598"/>
    <w:rsid w:val="1D266CE1"/>
    <w:rsid w:val="1D282738"/>
    <w:rsid w:val="1D3963AF"/>
    <w:rsid w:val="1D6A673C"/>
    <w:rsid w:val="1D8A7655"/>
    <w:rsid w:val="1D8C44DA"/>
    <w:rsid w:val="1D9247AE"/>
    <w:rsid w:val="1DA70173"/>
    <w:rsid w:val="1DB50D67"/>
    <w:rsid w:val="1DB567EC"/>
    <w:rsid w:val="1DF51A98"/>
    <w:rsid w:val="1E3D060F"/>
    <w:rsid w:val="1E3F7D2E"/>
    <w:rsid w:val="1E4134E4"/>
    <w:rsid w:val="1E5062B3"/>
    <w:rsid w:val="1E523514"/>
    <w:rsid w:val="1E714A66"/>
    <w:rsid w:val="1E7364B5"/>
    <w:rsid w:val="1E7770DE"/>
    <w:rsid w:val="1E802593"/>
    <w:rsid w:val="1E8B6156"/>
    <w:rsid w:val="1E9E6C40"/>
    <w:rsid w:val="1EA5569B"/>
    <w:rsid w:val="1EA703CC"/>
    <w:rsid w:val="1EB7330C"/>
    <w:rsid w:val="1EC97240"/>
    <w:rsid w:val="1F0A0FF3"/>
    <w:rsid w:val="1F3A7FF4"/>
    <w:rsid w:val="1F532E28"/>
    <w:rsid w:val="1F5771FF"/>
    <w:rsid w:val="1F5F64CF"/>
    <w:rsid w:val="1F6354C9"/>
    <w:rsid w:val="1F6A2B6C"/>
    <w:rsid w:val="1FA8483E"/>
    <w:rsid w:val="1FE868A9"/>
    <w:rsid w:val="1FED5F90"/>
    <w:rsid w:val="20034907"/>
    <w:rsid w:val="200E21E4"/>
    <w:rsid w:val="20173E4B"/>
    <w:rsid w:val="201C5C53"/>
    <w:rsid w:val="202A371E"/>
    <w:rsid w:val="202F164A"/>
    <w:rsid w:val="204E48BC"/>
    <w:rsid w:val="206A382A"/>
    <w:rsid w:val="208921B3"/>
    <w:rsid w:val="209433B4"/>
    <w:rsid w:val="20973DEB"/>
    <w:rsid w:val="20B26522"/>
    <w:rsid w:val="20B44310"/>
    <w:rsid w:val="20F76B2D"/>
    <w:rsid w:val="210F6EEA"/>
    <w:rsid w:val="211116EB"/>
    <w:rsid w:val="21176954"/>
    <w:rsid w:val="216133FC"/>
    <w:rsid w:val="216211D7"/>
    <w:rsid w:val="218B268C"/>
    <w:rsid w:val="219914E7"/>
    <w:rsid w:val="21BA6D39"/>
    <w:rsid w:val="21C57752"/>
    <w:rsid w:val="21D56769"/>
    <w:rsid w:val="21E52EF3"/>
    <w:rsid w:val="21FB5D7B"/>
    <w:rsid w:val="22015E94"/>
    <w:rsid w:val="220B1C3D"/>
    <w:rsid w:val="221D1D20"/>
    <w:rsid w:val="22244B28"/>
    <w:rsid w:val="22334A87"/>
    <w:rsid w:val="22915E59"/>
    <w:rsid w:val="229469ED"/>
    <w:rsid w:val="22BE6801"/>
    <w:rsid w:val="22E86417"/>
    <w:rsid w:val="22ED0708"/>
    <w:rsid w:val="233500BF"/>
    <w:rsid w:val="23350D46"/>
    <w:rsid w:val="23377FF7"/>
    <w:rsid w:val="234D5489"/>
    <w:rsid w:val="236B425F"/>
    <w:rsid w:val="23836192"/>
    <w:rsid w:val="23901F29"/>
    <w:rsid w:val="239C0061"/>
    <w:rsid w:val="23B908A4"/>
    <w:rsid w:val="23D20DAA"/>
    <w:rsid w:val="23E95BEF"/>
    <w:rsid w:val="23F72873"/>
    <w:rsid w:val="23FD0064"/>
    <w:rsid w:val="245375B0"/>
    <w:rsid w:val="24642C0A"/>
    <w:rsid w:val="249D1022"/>
    <w:rsid w:val="24B22173"/>
    <w:rsid w:val="24B95AD9"/>
    <w:rsid w:val="24BE24DA"/>
    <w:rsid w:val="24CF5825"/>
    <w:rsid w:val="24D663E6"/>
    <w:rsid w:val="24D77F2B"/>
    <w:rsid w:val="24DD3B58"/>
    <w:rsid w:val="24EC7CEC"/>
    <w:rsid w:val="2508218E"/>
    <w:rsid w:val="25757B75"/>
    <w:rsid w:val="258B00E2"/>
    <w:rsid w:val="25A917A6"/>
    <w:rsid w:val="25BE27CC"/>
    <w:rsid w:val="25F2092D"/>
    <w:rsid w:val="25F74A5C"/>
    <w:rsid w:val="2628662C"/>
    <w:rsid w:val="262D45DE"/>
    <w:rsid w:val="265308BB"/>
    <w:rsid w:val="26871DC8"/>
    <w:rsid w:val="2697761A"/>
    <w:rsid w:val="26A53EF9"/>
    <w:rsid w:val="26A94201"/>
    <w:rsid w:val="26AC274F"/>
    <w:rsid w:val="27044A29"/>
    <w:rsid w:val="270E49B4"/>
    <w:rsid w:val="271D34C8"/>
    <w:rsid w:val="273F0DCC"/>
    <w:rsid w:val="274C6FFB"/>
    <w:rsid w:val="276142BF"/>
    <w:rsid w:val="27783712"/>
    <w:rsid w:val="278C564A"/>
    <w:rsid w:val="27907362"/>
    <w:rsid w:val="27F53229"/>
    <w:rsid w:val="282D7976"/>
    <w:rsid w:val="28333E1D"/>
    <w:rsid w:val="283D4410"/>
    <w:rsid w:val="28454BD6"/>
    <w:rsid w:val="28455253"/>
    <w:rsid w:val="28551971"/>
    <w:rsid w:val="285B1C53"/>
    <w:rsid w:val="289B482B"/>
    <w:rsid w:val="289F7086"/>
    <w:rsid w:val="28AB478C"/>
    <w:rsid w:val="28BF2552"/>
    <w:rsid w:val="28C10069"/>
    <w:rsid w:val="28C32028"/>
    <w:rsid w:val="28CC490F"/>
    <w:rsid w:val="28D41136"/>
    <w:rsid w:val="28DE40AA"/>
    <w:rsid w:val="29183639"/>
    <w:rsid w:val="29191A47"/>
    <w:rsid w:val="29345E77"/>
    <w:rsid w:val="294C65AD"/>
    <w:rsid w:val="29806583"/>
    <w:rsid w:val="298B3C4C"/>
    <w:rsid w:val="29A77F02"/>
    <w:rsid w:val="29F0209B"/>
    <w:rsid w:val="29F26D24"/>
    <w:rsid w:val="2A15033F"/>
    <w:rsid w:val="2A1662C1"/>
    <w:rsid w:val="2A1C7367"/>
    <w:rsid w:val="2A1F6C87"/>
    <w:rsid w:val="2A2815FA"/>
    <w:rsid w:val="2A5473CD"/>
    <w:rsid w:val="2A6D6092"/>
    <w:rsid w:val="2A7D76B4"/>
    <w:rsid w:val="2AB253C7"/>
    <w:rsid w:val="2AF61758"/>
    <w:rsid w:val="2B1725AC"/>
    <w:rsid w:val="2B1D1A9E"/>
    <w:rsid w:val="2B244B7F"/>
    <w:rsid w:val="2B265FE7"/>
    <w:rsid w:val="2B437463"/>
    <w:rsid w:val="2B7807EE"/>
    <w:rsid w:val="2B822C88"/>
    <w:rsid w:val="2BA325FA"/>
    <w:rsid w:val="2BA50BF7"/>
    <w:rsid w:val="2BBF00EC"/>
    <w:rsid w:val="2BC37CFD"/>
    <w:rsid w:val="2BD246FA"/>
    <w:rsid w:val="2BD5237F"/>
    <w:rsid w:val="2BE536CE"/>
    <w:rsid w:val="2BE758D9"/>
    <w:rsid w:val="2C09049E"/>
    <w:rsid w:val="2C0A653C"/>
    <w:rsid w:val="2C191F85"/>
    <w:rsid w:val="2C38313C"/>
    <w:rsid w:val="2C7548FE"/>
    <w:rsid w:val="2C9A4365"/>
    <w:rsid w:val="2C9F5EA8"/>
    <w:rsid w:val="2CE7290E"/>
    <w:rsid w:val="2CE82D6F"/>
    <w:rsid w:val="2D343236"/>
    <w:rsid w:val="2D774EFE"/>
    <w:rsid w:val="2D8414BF"/>
    <w:rsid w:val="2DA3379F"/>
    <w:rsid w:val="2DD15014"/>
    <w:rsid w:val="2DF72DE4"/>
    <w:rsid w:val="2E0220AF"/>
    <w:rsid w:val="2E0E500A"/>
    <w:rsid w:val="2E4B082A"/>
    <w:rsid w:val="2E5D4E86"/>
    <w:rsid w:val="2E5D790B"/>
    <w:rsid w:val="2E9A3C18"/>
    <w:rsid w:val="2EA62E8F"/>
    <w:rsid w:val="2EBB0FEE"/>
    <w:rsid w:val="2EC63002"/>
    <w:rsid w:val="2ED31544"/>
    <w:rsid w:val="2F000ED1"/>
    <w:rsid w:val="2F0A6B38"/>
    <w:rsid w:val="2F946CCB"/>
    <w:rsid w:val="2FA63BC5"/>
    <w:rsid w:val="2FB02C93"/>
    <w:rsid w:val="2FD25781"/>
    <w:rsid w:val="2FDC745C"/>
    <w:rsid w:val="2FEC56FD"/>
    <w:rsid w:val="2FFD7934"/>
    <w:rsid w:val="30733ACD"/>
    <w:rsid w:val="30766F5D"/>
    <w:rsid w:val="308C3862"/>
    <w:rsid w:val="309379D8"/>
    <w:rsid w:val="30A270F7"/>
    <w:rsid w:val="30BB1DC2"/>
    <w:rsid w:val="30CD3F06"/>
    <w:rsid w:val="30DB6CFA"/>
    <w:rsid w:val="30DF1478"/>
    <w:rsid w:val="30EC586F"/>
    <w:rsid w:val="30EE1123"/>
    <w:rsid w:val="312F5267"/>
    <w:rsid w:val="319C6071"/>
    <w:rsid w:val="31AC537E"/>
    <w:rsid w:val="31E3679B"/>
    <w:rsid w:val="31E732FD"/>
    <w:rsid w:val="32517576"/>
    <w:rsid w:val="32950EC6"/>
    <w:rsid w:val="32AE0B6A"/>
    <w:rsid w:val="32B24C23"/>
    <w:rsid w:val="32BE5C2C"/>
    <w:rsid w:val="32E40BD5"/>
    <w:rsid w:val="32FB6478"/>
    <w:rsid w:val="330B1D6A"/>
    <w:rsid w:val="33263B3F"/>
    <w:rsid w:val="33595EF9"/>
    <w:rsid w:val="336963EB"/>
    <w:rsid w:val="33816EEB"/>
    <w:rsid w:val="33B57786"/>
    <w:rsid w:val="33EB55CD"/>
    <w:rsid w:val="33EC4C02"/>
    <w:rsid w:val="340D2360"/>
    <w:rsid w:val="3410665D"/>
    <w:rsid w:val="341C57EF"/>
    <w:rsid w:val="34211214"/>
    <w:rsid w:val="342A2472"/>
    <w:rsid w:val="342C0B20"/>
    <w:rsid w:val="342E63AB"/>
    <w:rsid w:val="3438163E"/>
    <w:rsid w:val="343B518A"/>
    <w:rsid w:val="347D6A46"/>
    <w:rsid w:val="34950E68"/>
    <w:rsid w:val="34986E94"/>
    <w:rsid w:val="34AF62C9"/>
    <w:rsid w:val="34CB4388"/>
    <w:rsid w:val="34E41A87"/>
    <w:rsid w:val="34F258D9"/>
    <w:rsid w:val="34FA6E12"/>
    <w:rsid w:val="353C0A11"/>
    <w:rsid w:val="354A0FEA"/>
    <w:rsid w:val="354D7158"/>
    <w:rsid w:val="358D5588"/>
    <w:rsid w:val="359224E6"/>
    <w:rsid w:val="36014A89"/>
    <w:rsid w:val="363A3B40"/>
    <w:rsid w:val="365302AE"/>
    <w:rsid w:val="365366A3"/>
    <w:rsid w:val="36607A0A"/>
    <w:rsid w:val="366E227C"/>
    <w:rsid w:val="366F2E0D"/>
    <w:rsid w:val="367B6A5C"/>
    <w:rsid w:val="369411B6"/>
    <w:rsid w:val="36A74ADA"/>
    <w:rsid w:val="36AD60D5"/>
    <w:rsid w:val="36B224F9"/>
    <w:rsid w:val="36EC0CC9"/>
    <w:rsid w:val="37196928"/>
    <w:rsid w:val="373F410B"/>
    <w:rsid w:val="37CD285C"/>
    <w:rsid w:val="37EA4A17"/>
    <w:rsid w:val="37EE7094"/>
    <w:rsid w:val="381D2DBF"/>
    <w:rsid w:val="38296C89"/>
    <w:rsid w:val="383002EB"/>
    <w:rsid w:val="38414B85"/>
    <w:rsid w:val="38586797"/>
    <w:rsid w:val="385A62F6"/>
    <w:rsid w:val="38A255A2"/>
    <w:rsid w:val="38BC0149"/>
    <w:rsid w:val="38D87D1C"/>
    <w:rsid w:val="39086BBF"/>
    <w:rsid w:val="392437AF"/>
    <w:rsid w:val="39636459"/>
    <w:rsid w:val="396B7F6C"/>
    <w:rsid w:val="397E3D92"/>
    <w:rsid w:val="39874A94"/>
    <w:rsid w:val="39A24007"/>
    <w:rsid w:val="39B417A9"/>
    <w:rsid w:val="39F3713E"/>
    <w:rsid w:val="39FC5695"/>
    <w:rsid w:val="3A006D8E"/>
    <w:rsid w:val="3A350E30"/>
    <w:rsid w:val="3A3651E5"/>
    <w:rsid w:val="3A744481"/>
    <w:rsid w:val="3A8A161D"/>
    <w:rsid w:val="3A8C7BEF"/>
    <w:rsid w:val="3A906246"/>
    <w:rsid w:val="3AFC3538"/>
    <w:rsid w:val="3B0A6C0E"/>
    <w:rsid w:val="3B2349B7"/>
    <w:rsid w:val="3B404329"/>
    <w:rsid w:val="3B460847"/>
    <w:rsid w:val="3B616CFF"/>
    <w:rsid w:val="3B6259F6"/>
    <w:rsid w:val="3B742225"/>
    <w:rsid w:val="3B8C4AC1"/>
    <w:rsid w:val="3B976654"/>
    <w:rsid w:val="3BB43871"/>
    <w:rsid w:val="3BC01EFC"/>
    <w:rsid w:val="3BCA786A"/>
    <w:rsid w:val="3BD31E2F"/>
    <w:rsid w:val="3BF15831"/>
    <w:rsid w:val="3C105946"/>
    <w:rsid w:val="3C471448"/>
    <w:rsid w:val="3C5F759A"/>
    <w:rsid w:val="3C6C525A"/>
    <w:rsid w:val="3CCE23CB"/>
    <w:rsid w:val="3CD17D17"/>
    <w:rsid w:val="3CD554C0"/>
    <w:rsid w:val="3D3C7F39"/>
    <w:rsid w:val="3D4312FD"/>
    <w:rsid w:val="3D440F09"/>
    <w:rsid w:val="3D4504A0"/>
    <w:rsid w:val="3D4C2387"/>
    <w:rsid w:val="3D5F2E3B"/>
    <w:rsid w:val="3D8734BB"/>
    <w:rsid w:val="3D9A11D4"/>
    <w:rsid w:val="3DA16D89"/>
    <w:rsid w:val="3DA364BE"/>
    <w:rsid w:val="3DE041CB"/>
    <w:rsid w:val="3DE547B3"/>
    <w:rsid w:val="3DED05C4"/>
    <w:rsid w:val="3DF4321D"/>
    <w:rsid w:val="3E0D48F6"/>
    <w:rsid w:val="3E1868B4"/>
    <w:rsid w:val="3E377251"/>
    <w:rsid w:val="3E3C2C4E"/>
    <w:rsid w:val="3E42664B"/>
    <w:rsid w:val="3E55633E"/>
    <w:rsid w:val="3E5A7334"/>
    <w:rsid w:val="3E7B5D6B"/>
    <w:rsid w:val="3E843E66"/>
    <w:rsid w:val="3E8F51FE"/>
    <w:rsid w:val="3E926F87"/>
    <w:rsid w:val="3E9A59DE"/>
    <w:rsid w:val="3E9C6EB8"/>
    <w:rsid w:val="3EAF4836"/>
    <w:rsid w:val="3EC33DFA"/>
    <w:rsid w:val="3ED319E4"/>
    <w:rsid w:val="3F0021B2"/>
    <w:rsid w:val="3F060E16"/>
    <w:rsid w:val="3F157A9E"/>
    <w:rsid w:val="3F1D1096"/>
    <w:rsid w:val="3F2312C1"/>
    <w:rsid w:val="3F2F0234"/>
    <w:rsid w:val="3F6363FE"/>
    <w:rsid w:val="3F6A4337"/>
    <w:rsid w:val="3F756B8F"/>
    <w:rsid w:val="3F95482B"/>
    <w:rsid w:val="3FA06D36"/>
    <w:rsid w:val="3FAF598D"/>
    <w:rsid w:val="3FF06529"/>
    <w:rsid w:val="3FF40F59"/>
    <w:rsid w:val="401226B3"/>
    <w:rsid w:val="4019356B"/>
    <w:rsid w:val="40592157"/>
    <w:rsid w:val="406E1CAE"/>
    <w:rsid w:val="4081341A"/>
    <w:rsid w:val="40A0133A"/>
    <w:rsid w:val="40AB2726"/>
    <w:rsid w:val="40B1056C"/>
    <w:rsid w:val="40C31A53"/>
    <w:rsid w:val="40FF545D"/>
    <w:rsid w:val="410067C8"/>
    <w:rsid w:val="414106F2"/>
    <w:rsid w:val="41626E05"/>
    <w:rsid w:val="418F0D2A"/>
    <w:rsid w:val="41D01505"/>
    <w:rsid w:val="41D44A26"/>
    <w:rsid w:val="41F47070"/>
    <w:rsid w:val="42244E0B"/>
    <w:rsid w:val="42277FF1"/>
    <w:rsid w:val="42474939"/>
    <w:rsid w:val="424C3C57"/>
    <w:rsid w:val="42613FF3"/>
    <w:rsid w:val="42660D96"/>
    <w:rsid w:val="42705E47"/>
    <w:rsid w:val="428667D2"/>
    <w:rsid w:val="42B638B5"/>
    <w:rsid w:val="42CD1CE0"/>
    <w:rsid w:val="42E1381E"/>
    <w:rsid w:val="42ED6459"/>
    <w:rsid w:val="42FE58DD"/>
    <w:rsid w:val="430910DC"/>
    <w:rsid w:val="43174B3D"/>
    <w:rsid w:val="434B790E"/>
    <w:rsid w:val="4360274F"/>
    <w:rsid w:val="437937B5"/>
    <w:rsid w:val="43851473"/>
    <w:rsid w:val="438D20D6"/>
    <w:rsid w:val="43977AB6"/>
    <w:rsid w:val="439D1502"/>
    <w:rsid w:val="43A3342B"/>
    <w:rsid w:val="43C77C27"/>
    <w:rsid w:val="43DE09EE"/>
    <w:rsid w:val="44002FAD"/>
    <w:rsid w:val="441C1E15"/>
    <w:rsid w:val="444A4FC7"/>
    <w:rsid w:val="44862994"/>
    <w:rsid w:val="449101DD"/>
    <w:rsid w:val="44B85878"/>
    <w:rsid w:val="44CC349B"/>
    <w:rsid w:val="44DE1391"/>
    <w:rsid w:val="451B225C"/>
    <w:rsid w:val="452410C9"/>
    <w:rsid w:val="45317DFB"/>
    <w:rsid w:val="456D3CE4"/>
    <w:rsid w:val="4579042C"/>
    <w:rsid w:val="457F0571"/>
    <w:rsid w:val="45851176"/>
    <w:rsid w:val="459F2AFF"/>
    <w:rsid w:val="45C1250A"/>
    <w:rsid w:val="45C63B94"/>
    <w:rsid w:val="45DC7235"/>
    <w:rsid w:val="460E7DA5"/>
    <w:rsid w:val="46151868"/>
    <w:rsid w:val="46422483"/>
    <w:rsid w:val="46571DAF"/>
    <w:rsid w:val="4659254A"/>
    <w:rsid w:val="465B0637"/>
    <w:rsid w:val="465E3F0D"/>
    <w:rsid w:val="466A16E6"/>
    <w:rsid w:val="46893F2B"/>
    <w:rsid w:val="46C4686E"/>
    <w:rsid w:val="46EC02BC"/>
    <w:rsid w:val="47411859"/>
    <w:rsid w:val="477B778F"/>
    <w:rsid w:val="478203EC"/>
    <w:rsid w:val="47B025FA"/>
    <w:rsid w:val="48090CE1"/>
    <w:rsid w:val="4809698F"/>
    <w:rsid w:val="4811697D"/>
    <w:rsid w:val="48222B56"/>
    <w:rsid w:val="482A36C0"/>
    <w:rsid w:val="485B1C7A"/>
    <w:rsid w:val="487A3E25"/>
    <w:rsid w:val="488B5503"/>
    <w:rsid w:val="488B5B16"/>
    <w:rsid w:val="48937E21"/>
    <w:rsid w:val="489A0361"/>
    <w:rsid w:val="48B94FF3"/>
    <w:rsid w:val="48D33E39"/>
    <w:rsid w:val="48E37AAB"/>
    <w:rsid w:val="48FD4B4C"/>
    <w:rsid w:val="490A68E0"/>
    <w:rsid w:val="491055FE"/>
    <w:rsid w:val="49163B4E"/>
    <w:rsid w:val="49536F23"/>
    <w:rsid w:val="495F5B3E"/>
    <w:rsid w:val="496F77D7"/>
    <w:rsid w:val="497654FD"/>
    <w:rsid w:val="498E392B"/>
    <w:rsid w:val="49B64211"/>
    <w:rsid w:val="49F6167F"/>
    <w:rsid w:val="4A064FA0"/>
    <w:rsid w:val="4A16615C"/>
    <w:rsid w:val="4A4424D7"/>
    <w:rsid w:val="4A5A717C"/>
    <w:rsid w:val="4AB82D0F"/>
    <w:rsid w:val="4AB911E9"/>
    <w:rsid w:val="4AE80EAE"/>
    <w:rsid w:val="4AEB7664"/>
    <w:rsid w:val="4AFD7C19"/>
    <w:rsid w:val="4B0567D1"/>
    <w:rsid w:val="4B236AAE"/>
    <w:rsid w:val="4B513D1D"/>
    <w:rsid w:val="4B707271"/>
    <w:rsid w:val="4B8D0A73"/>
    <w:rsid w:val="4B8E10E1"/>
    <w:rsid w:val="4B9739F7"/>
    <w:rsid w:val="4BEE2503"/>
    <w:rsid w:val="4C245A30"/>
    <w:rsid w:val="4C3559D6"/>
    <w:rsid w:val="4C4B4C27"/>
    <w:rsid w:val="4C4F0870"/>
    <w:rsid w:val="4C6A7D36"/>
    <w:rsid w:val="4C7E0D91"/>
    <w:rsid w:val="4CB6685F"/>
    <w:rsid w:val="4CC367FE"/>
    <w:rsid w:val="4CDF6699"/>
    <w:rsid w:val="4D063625"/>
    <w:rsid w:val="4D077F3C"/>
    <w:rsid w:val="4D123355"/>
    <w:rsid w:val="4D2A3B31"/>
    <w:rsid w:val="4D312C52"/>
    <w:rsid w:val="4D905305"/>
    <w:rsid w:val="4D964A72"/>
    <w:rsid w:val="4D9C1254"/>
    <w:rsid w:val="4DA22108"/>
    <w:rsid w:val="4DAA3E4D"/>
    <w:rsid w:val="4E5A0A75"/>
    <w:rsid w:val="4E6C7DA2"/>
    <w:rsid w:val="4E793892"/>
    <w:rsid w:val="4E800872"/>
    <w:rsid w:val="4EC569ED"/>
    <w:rsid w:val="4ED50EA1"/>
    <w:rsid w:val="4EE65DC1"/>
    <w:rsid w:val="4EEC050C"/>
    <w:rsid w:val="4EFC6106"/>
    <w:rsid w:val="4F061B4E"/>
    <w:rsid w:val="4F104EC3"/>
    <w:rsid w:val="4F2A6663"/>
    <w:rsid w:val="4F4157A8"/>
    <w:rsid w:val="4F464194"/>
    <w:rsid w:val="4F47354A"/>
    <w:rsid w:val="4F545DEE"/>
    <w:rsid w:val="4F911C54"/>
    <w:rsid w:val="4FBD11DC"/>
    <w:rsid w:val="4FC40980"/>
    <w:rsid w:val="4FE625E0"/>
    <w:rsid w:val="5021480F"/>
    <w:rsid w:val="50962ECB"/>
    <w:rsid w:val="50A42E38"/>
    <w:rsid w:val="50A4577F"/>
    <w:rsid w:val="50B73D1F"/>
    <w:rsid w:val="50BD5BC9"/>
    <w:rsid w:val="50C11EEE"/>
    <w:rsid w:val="50E97CFC"/>
    <w:rsid w:val="50FA4028"/>
    <w:rsid w:val="510C4F21"/>
    <w:rsid w:val="510D65B7"/>
    <w:rsid w:val="511157AB"/>
    <w:rsid w:val="5142540C"/>
    <w:rsid w:val="51695F30"/>
    <w:rsid w:val="518832C8"/>
    <w:rsid w:val="51970C30"/>
    <w:rsid w:val="519D3C50"/>
    <w:rsid w:val="51A0432A"/>
    <w:rsid w:val="51A86090"/>
    <w:rsid w:val="51B7396D"/>
    <w:rsid w:val="522D5BCC"/>
    <w:rsid w:val="522E4CC3"/>
    <w:rsid w:val="5244713B"/>
    <w:rsid w:val="526112FD"/>
    <w:rsid w:val="52615633"/>
    <w:rsid w:val="526A34A2"/>
    <w:rsid w:val="526F4DE4"/>
    <w:rsid w:val="528E2DBE"/>
    <w:rsid w:val="52977FD4"/>
    <w:rsid w:val="52A25790"/>
    <w:rsid w:val="52A96B6F"/>
    <w:rsid w:val="52B45975"/>
    <w:rsid w:val="52D622CD"/>
    <w:rsid w:val="52D94AA4"/>
    <w:rsid w:val="52D970E6"/>
    <w:rsid w:val="52EA3A62"/>
    <w:rsid w:val="52F50BB8"/>
    <w:rsid w:val="5301449A"/>
    <w:rsid w:val="53097272"/>
    <w:rsid w:val="53544462"/>
    <w:rsid w:val="53720874"/>
    <w:rsid w:val="538177DD"/>
    <w:rsid w:val="5384494C"/>
    <w:rsid w:val="5397158E"/>
    <w:rsid w:val="53B75960"/>
    <w:rsid w:val="53CD5953"/>
    <w:rsid w:val="53D25BD1"/>
    <w:rsid w:val="54013861"/>
    <w:rsid w:val="54161D0D"/>
    <w:rsid w:val="544841C8"/>
    <w:rsid w:val="54487265"/>
    <w:rsid w:val="544D6070"/>
    <w:rsid w:val="54605E1E"/>
    <w:rsid w:val="54A5143A"/>
    <w:rsid w:val="54AA3110"/>
    <w:rsid w:val="54B3506A"/>
    <w:rsid w:val="54CA0D16"/>
    <w:rsid w:val="54DD4057"/>
    <w:rsid w:val="54E7490F"/>
    <w:rsid w:val="54ED6E78"/>
    <w:rsid w:val="550764A4"/>
    <w:rsid w:val="550B2BF6"/>
    <w:rsid w:val="55214EB5"/>
    <w:rsid w:val="55364EFD"/>
    <w:rsid w:val="553A2555"/>
    <w:rsid w:val="555D4828"/>
    <w:rsid w:val="557A4C8B"/>
    <w:rsid w:val="558931E1"/>
    <w:rsid w:val="55923347"/>
    <w:rsid w:val="55925180"/>
    <w:rsid w:val="55983B1B"/>
    <w:rsid w:val="55A8376B"/>
    <w:rsid w:val="55D27686"/>
    <w:rsid w:val="55DC29B6"/>
    <w:rsid w:val="55DD4241"/>
    <w:rsid w:val="562550B0"/>
    <w:rsid w:val="56580281"/>
    <w:rsid w:val="566635E3"/>
    <w:rsid w:val="56681C49"/>
    <w:rsid w:val="566A1B3F"/>
    <w:rsid w:val="566B6D1E"/>
    <w:rsid w:val="567F7FA4"/>
    <w:rsid w:val="568917D8"/>
    <w:rsid w:val="56905D0D"/>
    <w:rsid w:val="57032A2C"/>
    <w:rsid w:val="570F5219"/>
    <w:rsid w:val="572747E2"/>
    <w:rsid w:val="573B24FA"/>
    <w:rsid w:val="574047D4"/>
    <w:rsid w:val="57416C40"/>
    <w:rsid w:val="575D12B5"/>
    <w:rsid w:val="57610A87"/>
    <w:rsid w:val="576A4F9D"/>
    <w:rsid w:val="577B1140"/>
    <w:rsid w:val="577B7F21"/>
    <w:rsid w:val="577F181B"/>
    <w:rsid w:val="57921984"/>
    <w:rsid w:val="579737F0"/>
    <w:rsid w:val="57AB7B30"/>
    <w:rsid w:val="57AF5251"/>
    <w:rsid w:val="57B26373"/>
    <w:rsid w:val="57B63F04"/>
    <w:rsid w:val="57CD20C2"/>
    <w:rsid w:val="57CF5A61"/>
    <w:rsid w:val="57D675AB"/>
    <w:rsid w:val="57D95FDD"/>
    <w:rsid w:val="580953D4"/>
    <w:rsid w:val="580C1D0B"/>
    <w:rsid w:val="58230BD9"/>
    <w:rsid w:val="5879101D"/>
    <w:rsid w:val="58917D2F"/>
    <w:rsid w:val="5894085C"/>
    <w:rsid w:val="58AE4F0C"/>
    <w:rsid w:val="58B85899"/>
    <w:rsid w:val="58E363A9"/>
    <w:rsid w:val="591F0094"/>
    <w:rsid w:val="593561ED"/>
    <w:rsid w:val="593B1955"/>
    <w:rsid w:val="595E1678"/>
    <w:rsid w:val="596D5BD4"/>
    <w:rsid w:val="597E3DD8"/>
    <w:rsid w:val="597E78F0"/>
    <w:rsid w:val="59F80043"/>
    <w:rsid w:val="5A070E6D"/>
    <w:rsid w:val="5A09252F"/>
    <w:rsid w:val="5A0B2778"/>
    <w:rsid w:val="5A2A7C7B"/>
    <w:rsid w:val="5A3B1010"/>
    <w:rsid w:val="5A3E2560"/>
    <w:rsid w:val="5A5D3B6E"/>
    <w:rsid w:val="5A637A76"/>
    <w:rsid w:val="5A6D33BA"/>
    <w:rsid w:val="5A6D6E55"/>
    <w:rsid w:val="5A792B1F"/>
    <w:rsid w:val="5A874767"/>
    <w:rsid w:val="5AA85BE2"/>
    <w:rsid w:val="5AAA4CC5"/>
    <w:rsid w:val="5AAD6F28"/>
    <w:rsid w:val="5AB95C07"/>
    <w:rsid w:val="5AD63A24"/>
    <w:rsid w:val="5B0E5EC1"/>
    <w:rsid w:val="5B2E1A1D"/>
    <w:rsid w:val="5B432AC3"/>
    <w:rsid w:val="5B4524D2"/>
    <w:rsid w:val="5B6D0EC1"/>
    <w:rsid w:val="5B843A1C"/>
    <w:rsid w:val="5B873E3F"/>
    <w:rsid w:val="5C02690E"/>
    <w:rsid w:val="5C196DA7"/>
    <w:rsid w:val="5C2A048C"/>
    <w:rsid w:val="5C2F1EB8"/>
    <w:rsid w:val="5C444A95"/>
    <w:rsid w:val="5C666A3C"/>
    <w:rsid w:val="5C80234E"/>
    <w:rsid w:val="5C8A680C"/>
    <w:rsid w:val="5CA3555B"/>
    <w:rsid w:val="5D0C4701"/>
    <w:rsid w:val="5D0F0395"/>
    <w:rsid w:val="5D221076"/>
    <w:rsid w:val="5D2F5560"/>
    <w:rsid w:val="5D397964"/>
    <w:rsid w:val="5D417C9C"/>
    <w:rsid w:val="5D5A391C"/>
    <w:rsid w:val="5D5F10C0"/>
    <w:rsid w:val="5D6943F9"/>
    <w:rsid w:val="5D891B7B"/>
    <w:rsid w:val="5D966444"/>
    <w:rsid w:val="5DAD38EE"/>
    <w:rsid w:val="5DD34C72"/>
    <w:rsid w:val="5DEB5E15"/>
    <w:rsid w:val="5E006862"/>
    <w:rsid w:val="5E0207B9"/>
    <w:rsid w:val="5E111C1D"/>
    <w:rsid w:val="5E1834A1"/>
    <w:rsid w:val="5E261785"/>
    <w:rsid w:val="5E3A305D"/>
    <w:rsid w:val="5E4A7017"/>
    <w:rsid w:val="5E552BBA"/>
    <w:rsid w:val="5E611C10"/>
    <w:rsid w:val="5E7A0F3F"/>
    <w:rsid w:val="5E8F31E5"/>
    <w:rsid w:val="5EFC7377"/>
    <w:rsid w:val="5EFE3236"/>
    <w:rsid w:val="5F06174D"/>
    <w:rsid w:val="5F1E78C2"/>
    <w:rsid w:val="5F3A3602"/>
    <w:rsid w:val="5F45733B"/>
    <w:rsid w:val="5F50187E"/>
    <w:rsid w:val="5F6277C6"/>
    <w:rsid w:val="5F6D0B1D"/>
    <w:rsid w:val="5F7F1C04"/>
    <w:rsid w:val="5F8D0B82"/>
    <w:rsid w:val="5F9F29E3"/>
    <w:rsid w:val="5FCC5339"/>
    <w:rsid w:val="5FCD6357"/>
    <w:rsid w:val="5FD0035F"/>
    <w:rsid w:val="5FE34A5B"/>
    <w:rsid w:val="5FF7238D"/>
    <w:rsid w:val="5FFE1E36"/>
    <w:rsid w:val="60232584"/>
    <w:rsid w:val="60504142"/>
    <w:rsid w:val="60592246"/>
    <w:rsid w:val="6062071A"/>
    <w:rsid w:val="606D0BEE"/>
    <w:rsid w:val="607330CE"/>
    <w:rsid w:val="60825176"/>
    <w:rsid w:val="609F2AC4"/>
    <w:rsid w:val="60A52CFD"/>
    <w:rsid w:val="60FA2EE8"/>
    <w:rsid w:val="61054A27"/>
    <w:rsid w:val="610A52BC"/>
    <w:rsid w:val="611D2366"/>
    <w:rsid w:val="61421856"/>
    <w:rsid w:val="615227C4"/>
    <w:rsid w:val="61565A3F"/>
    <w:rsid w:val="61654E3F"/>
    <w:rsid w:val="6182292A"/>
    <w:rsid w:val="619F7F92"/>
    <w:rsid w:val="61A24252"/>
    <w:rsid w:val="61DD07C1"/>
    <w:rsid w:val="61F94C26"/>
    <w:rsid w:val="62000E56"/>
    <w:rsid w:val="62015D11"/>
    <w:rsid w:val="624F3E49"/>
    <w:rsid w:val="62632286"/>
    <w:rsid w:val="62744735"/>
    <w:rsid w:val="62885958"/>
    <w:rsid w:val="62F3BD3E"/>
    <w:rsid w:val="62F40B65"/>
    <w:rsid w:val="62F517E3"/>
    <w:rsid w:val="62FC2CFE"/>
    <w:rsid w:val="63024505"/>
    <w:rsid w:val="63267194"/>
    <w:rsid w:val="633F3EBC"/>
    <w:rsid w:val="634C7460"/>
    <w:rsid w:val="635600A5"/>
    <w:rsid w:val="635B1DB5"/>
    <w:rsid w:val="63616DA8"/>
    <w:rsid w:val="63684143"/>
    <w:rsid w:val="63711FED"/>
    <w:rsid w:val="63880DDC"/>
    <w:rsid w:val="638A18A9"/>
    <w:rsid w:val="638D750D"/>
    <w:rsid w:val="63AC6CC0"/>
    <w:rsid w:val="63FF17A4"/>
    <w:rsid w:val="64055776"/>
    <w:rsid w:val="64074201"/>
    <w:rsid w:val="64240056"/>
    <w:rsid w:val="643E143A"/>
    <w:rsid w:val="64430863"/>
    <w:rsid w:val="64491666"/>
    <w:rsid w:val="64790DAF"/>
    <w:rsid w:val="648B6EEF"/>
    <w:rsid w:val="64C158BF"/>
    <w:rsid w:val="64CE2EAA"/>
    <w:rsid w:val="64D97E64"/>
    <w:rsid w:val="6536104B"/>
    <w:rsid w:val="653C3090"/>
    <w:rsid w:val="6561540F"/>
    <w:rsid w:val="65652A5B"/>
    <w:rsid w:val="657263F2"/>
    <w:rsid w:val="65854376"/>
    <w:rsid w:val="658767BE"/>
    <w:rsid w:val="65892531"/>
    <w:rsid w:val="65D2639F"/>
    <w:rsid w:val="66033247"/>
    <w:rsid w:val="660800BE"/>
    <w:rsid w:val="66195831"/>
    <w:rsid w:val="662E75B1"/>
    <w:rsid w:val="66342C2E"/>
    <w:rsid w:val="663E784C"/>
    <w:rsid w:val="668B6A45"/>
    <w:rsid w:val="66B7F0B1"/>
    <w:rsid w:val="672F3F24"/>
    <w:rsid w:val="673E055F"/>
    <w:rsid w:val="67443D26"/>
    <w:rsid w:val="67551CE3"/>
    <w:rsid w:val="67A22552"/>
    <w:rsid w:val="67AE01CF"/>
    <w:rsid w:val="67B22DCC"/>
    <w:rsid w:val="67BA14E6"/>
    <w:rsid w:val="67BE71AA"/>
    <w:rsid w:val="67BF319C"/>
    <w:rsid w:val="67D2662F"/>
    <w:rsid w:val="67D90273"/>
    <w:rsid w:val="67DE5875"/>
    <w:rsid w:val="67E55852"/>
    <w:rsid w:val="67EB1AB4"/>
    <w:rsid w:val="67FA1285"/>
    <w:rsid w:val="68551F4F"/>
    <w:rsid w:val="68652C4B"/>
    <w:rsid w:val="687C10C9"/>
    <w:rsid w:val="68840C16"/>
    <w:rsid w:val="68876EFB"/>
    <w:rsid w:val="68884654"/>
    <w:rsid w:val="689F444F"/>
    <w:rsid w:val="68B96DBB"/>
    <w:rsid w:val="68CA2805"/>
    <w:rsid w:val="68DC3054"/>
    <w:rsid w:val="68E9232E"/>
    <w:rsid w:val="68E937A3"/>
    <w:rsid w:val="693E15D3"/>
    <w:rsid w:val="69591A99"/>
    <w:rsid w:val="69627681"/>
    <w:rsid w:val="6977531D"/>
    <w:rsid w:val="69800846"/>
    <w:rsid w:val="69CC2BFF"/>
    <w:rsid w:val="69D74AEB"/>
    <w:rsid w:val="69ED1722"/>
    <w:rsid w:val="69FD55B8"/>
    <w:rsid w:val="6A060881"/>
    <w:rsid w:val="6A0B1C62"/>
    <w:rsid w:val="6A2406C8"/>
    <w:rsid w:val="6A967AF0"/>
    <w:rsid w:val="6AAF0230"/>
    <w:rsid w:val="6AD62431"/>
    <w:rsid w:val="6ADE0BD1"/>
    <w:rsid w:val="6AE96859"/>
    <w:rsid w:val="6B0B7C00"/>
    <w:rsid w:val="6B147746"/>
    <w:rsid w:val="6B24787C"/>
    <w:rsid w:val="6B2D2965"/>
    <w:rsid w:val="6B573233"/>
    <w:rsid w:val="6B5B6274"/>
    <w:rsid w:val="6B935D53"/>
    <w:rsid w:val="6C0C59DE"/>
    <w:rsid w:val="6C196F71"/>
    <w:rsid w:val="6C226FCB"/>
    <w:rsid w:val="6C31226F"/>
    <w:rsid w:val="6C552F0B"/>
    <w:rsid w:val="6C7A0665"/>
    <w:rsid w:val="6C8C67B7"/>
    <w:rsid w:val="6C9D744C"/>
    <w:rsid w:val="6CE95D1F"/>
    <w:rsid w:val="6D150177"/>
    <w:rsid w:val="6D167928"/>
    <w:rsid w:val="6D26299B"/>
    <w:rsid w:val="6D4772EC"/>
    <w:rsid w:val="6D9078AF"/>
    <w:rsid w:val="6D953C72"/>
    <w:rsid w:val="6DAA3FEF"/>
    <w:rsid w:val="6DC0172B"/>
    <w:rsid w:val="6DCB690C"/>
    <w:rsid w:val="6DD14348"/>
    <w:rsid w:val="6DD37DA2"/>
    <w:rsid w:val="6DD41A5B"/>
    <w:rsid w:val="6DE83C82"/>
    <w:rsid w:val="6DF43C2E"/>
    <w:rsid w:val="6DF51CA3"/>
    <w:rsid w:val="6E02353D"/>
    <w:rsid w:val="6E0C49DE"/>
    <w:rsid w:val="6E110CEC"/>
    <w:rsid w:val="6E274917"/>
    <w:rsid w:val="6E4050A7"/>
    <w:rsid w:val="6E551B51"/>
    <w:rsid w:val="6E567DCD"/>
    <w:rsid w:val="6E8335BD"/>
    <w:rsid w:val="6E8E12EF"/>
    <w:rsid w:val="6E972936"/>
    <w:rsid w:val="6E9D5013"/>
    <w:rsid w:val="6EBC1DF5"/>
    <w:rsid w:val="6EBC7C2F"/>
    <w:rsid w:val="6ED446C5"/>
    <w:rsid w:val="6EF15980"/>
    <w:rsid w:val="6EF81CE3"/>
    <w:rsid w:val="6F2A7D94"/>
    <w:rsid w:val="6F3516F0"/>
    <w:rsid w:val="6F437971"/>
    <w:rsid w:val="6F8331F1"/>
    <w:rsid w:val="6FAE1A09"/>
    <w:rsid w:val="6FD75BF8"/>
    <w:rsid w:val="6FDE4770"/>
    <w:rsid w:val="701779A8"/>
    <w:rsid w:val="70207CAA"/>
    <w:rsid w:val="707723D0"/>
    <w:rsid w:val="70E55638"/>
    <w:rsid w:val="70F5661B"/>
    <w:rsid w:val="71360107"/>
    <w:rsid w:val="713B688E"/>
    <w:rsid w:val="71943EF9"/>
    <w:rsid w:val="71965AE1"/>
    <w:rsid w:val="71D43752"/>
    <w:rsid w:val="71DE1BCB"/>
    <w:rsid w:val="71F1796A"/>
    <w:rsid w:val="71F46723"/>
    <w:rsid w:val="720D0A22"/>
    <w:rsid w:val="72154626"/>
    <w:rsid w:val="72262B5D"/>
    <w:rsid w:val="72283FF7"/>
    <w:rsid w:val="722E7212"/>
    <w:rsid w:val="723A0474"/>
    <w:rsid w:val="72490A7C"/>
    <w:rsid w:val="725923E4"/>
    <w:rsid w:val="72864BF7"/>
    <w:rsid w:val="729023FC"/>
    <w:rsid w:val="72DC47C3"/>
    <w:rsid w:val="730563AE"/>
    <w:rsid w:val="73245E0D"/>
    <w:rsid w:val="734937D8"/>
    <w:rsid w:val="734B5983"/>
    <w:rsid w:val="735E08FE"/>
    <w:rsid w:val="737119CE"/>
    <w:rsid w:val="73855240"/>
    <w:rsid w:val="73C0646E"/>
    <w:rsid w:val="73C969C5"/>
    <w:rsid w:val="73D4493F"/>
    <w:rsid w:val="73F531FC"/>
    <w:rsid w:val="73FF37A0"/>
    <w:rsid w:val="74030AEB"/>
    <w:rsid w:val="742222F5"/>
    <w:rsid w:val="74476126"/>
    <w:rsid w:val="745C79AD"/>
    <w:rsid w:val="74706664"/>
    <w:rsid w:val="747F3682"/>
    <w:rsid w:val="749C4185"/>
    <w:rsid w:val="749F2E6A"/>
    <w:rsid w:val="74D31D78"/>
    <w:rsid w:val="75067759"/>
    <w:rsid w:val="752C669A"/>
    <w:rsid w:val="752E6DCD"/>
    <w:rsid w:val="7551380D"/>
    <w:rsid w:val="75600BE5"/>
    <w:rsid w:val="7564475C"/>
    <w:rsid w:val="7583797F"/>
    <w:rsid w:val="75D20F1D"/>
    <w:rsid w:val="75DA2C18"/>
    <w:rsid w:val="75F54412"/>
    <w:rsid w:val="760A085F"/>
    <w:rsid w:val="7618790C"/>
    <w:rsid w:val="761D08E0"/>
    <w:rsid w:val="76273515"/>
    <w:rsid w:val="76443A50"/>
    <w:rsid w:val="764F3F08"/>
    <w:rsid w:val="765D347C"/>
    <w:rsid w:val="7680773A"/>
    <w:rsid w:val="76826699"/>
    <w:rsid w:val="76862093"/>
    <w:rsid w:val="76C87133"/>
    <w:rsid w:val="76CD08D5"/>
    <w:rsid w:val="76D00F55"/>
    <w:rsid w:val="76DB4B92"/>
    <w:rsid w:val="77052AA4"/>
    <w:rsid w:val="770B1D26"/>
    <w:rsid w:val="77136511"/>
    <w:rsid w:val="772A533C"/>
    <w:rsid w:val="77340A39"/>
    <w:rsid w:val="77351FD0"/>
    <w:rsid w:val="77472422"/>
    <w:rsid w:val="77541594"/>
    <w:rsid w:val="777F31F2"/>
    <w:rsid w:val="77A6321D"/>
    <w:rsid w:val="77D1700D"/>
    <w:rsid w:val="77EC04CC"/>
    <w:rsid w:val="78530F2F"/>
    <w:rsid w:val="786A50A4"/>
    <w:rsid w:val="78775729"/>
    <w:rsid w:val="78A42DB0"/>
    <w:rsid w:val="78A656AB"/>
    <w:rsid w:val="78AD2039"/>
    <w:rsid w:val="78B2245C"/>
    <w:rsid w:val="78E172CC"/>
    <w:rsid w:val="78EA1D1F"/>
    <w:rsid w:val="7904172F"/>
    <w:rsid w:val="790F7E27"/>
    <w:rsid w:val="792A231A"/>
    <w:rsid w:val="79316829"/>
    <w:rsid w:val="794D10FB"/>
    <w:rsid w:val="797E66A9"/>
    <w:rsid w:val="798518A4"/>
    <w:rsid w:val="7987599C"/>
    <w:rsid w:val="799040F2"/>
    <w:rsid w:val="79A97383"/>
    <w:rsid w:val="79B92378"/>
    <w:rsid w:val="79BE37A2"/>
    <w:rsid w:val="79D02741"/>
    <w:rsid w:val="79DB5012"/>
    <w:rsid w:val="79E064AE"/>
    <w:rsid w:val="79E27E8B"/>
    <w:rsid w:val="79F37AB5"/>
    <w:rsid w:val="79F850CE"/>
    <w:rsid w:val="79FC1788"/>
    <w:rsid w:val="79FD443C"/>
    <w:rsid w:val="7A090A44"/>
    <w:rsid w:val="7A0E1FCA"/>
    <w:rsid w:val="7A1D1975"/>
    <w:rsid w:val="7A3E5150"/>
    <w:rsid w:val="7A4670D6"/>
    <w:rsid w:val="7A480529"/>
    <w:rsid w:val="7A534B63"/>
    <w:rsid w:val="7A615382"/>
    <w:rsid w:val="7A62202B"/>
    <w:rsid w:val="7A67303B"/>
    <w:rsid w:val="7A6B5537"/>
    <w:rsid w:val="7A8157E9"/>
    <w:rsid w:val="7A9E53BF"/>
    <w:rsid w:val="7AA5729F"/>
    <w:rsid w:val="7AAB1D04"/>
    <w:rsid w:val="7ABA4368"/>
    <w:rsid w:val="7AD05746"/>
    <w:rsid w:val="7B0501D6"/>
    <w:rsid w:val="7B0577E3"/>
    <w:rsid w:val="7B10180C"/>
    <w:rsid w:val="7B1A6751"/>
    <w:rsid w:val="7B257FFD"/>
    <w:rsid w:val="7B343476"/>
    <w:rsid w:val="7B5A2978"/>
    <w:rsid w:val="7B5A7E4C"/>
    <w:rsid w:val="7B667AF9"/>
    <w:rsid w:val="7B7468F8"/>
    <w:rsid w:val="7BBE74B7"/>
    <w:rsid w:val="7BCC5C5D"/>
    <w:rsid w:val="7BEE0103"/>
    <w:rsid w:val="7BF83D8C"/>
    <w:rsid w:val="7C0A0FE4"/>
    <w:rsid w:val="7C254906"/>
    <w:rsid w:val="7C590818"/>
    <w:rsid w:val="7C6B5475"/>
    <w:rsid w:val="7C6D071B"/>
    <w:rsid w:val="7C7B3325"/>
    <w:rsid w:val="7C7C10F6"/>
    <w:rsid w:val="7C853BEA"/>
    <w:rsid w:val="7C881368"/>
    <w:rsid w:val="7CB00608"/>
    <w:rsid w:val="7CE27788"/>
    <w:rsid w:val="7D0C32F1"/>
    <w:rsid w:val="7D0C7F34"/>
    <w:rsid w:val="7D0F408D"/>
    <w:rsid w:val="7D2B70C2"/>
    <w:rsid w:val="7D491C6C"/>
    <w:rsid w:val="7D5429C0"/>
    <w:rsid w:val="7D6E6D43"/>
    <w:rsid w:val="7D766CDB"/>
    <w:rsid w:val="7DB57A34"/>
    <w:rsid w:val="7DD55CA8"/>
    <w:rsid w:val="7DE60973"/>
    <w:rsid w:val="7DE85681"/>
    <w:rsid w:val="7DEF0916"/>
    <w:rsid w:val="7E1C1574"/>
    <w:rsid w:val="7E1E5218"/>
    <w:rsid w:val="7E676BEC"/>
    <w:rsid w:val="7E9A4E1F"/>
    <w:rsid w:val="7E9E3AD3"/>
    <w:rsid w:val="7EA7723A"/>
    <w:rsid w:val="7EF56FBB"/>
    <w:rsid w:val="7EF72EBA"/>
    <w:rsid w:val="7F0768EB"/>
    <w:rsid w:val="7F143BEC"/>
    <w:rsid w:val="7F3C8781"/>
    <w:rsid w:val="7F715AF2"/>
    <w:rsid w:val="7F886E69"/>
    <w:rsid w:val="7FA82817"/>
    <w:rsid w:val="7FE92795"/>
    <w:rsid w:val="BB7FA927"/>
    <w:rsid w:val="F5FFD31F"/>
    <w:rsid w:val="FFBF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28"/>
      <w:szCs w:val="44"/>
    </w:rPr>
  </w:style>
  <w:style w:type="paragraph" w:styleId="5">
    <w:name w:val="heading 2"/>
    <w:basedOn w:val="1"/>
    <w:next w:val="1"/>
    <w:qFormat/>
    <w:uiPriority w:val="9"/>
    <w:pPr>
      <w:keepNext/>
      <w:keepLines/>
      <w:tabs>
        <w:tab w:val="left" w:pos="432"/>
      </w:tabs>
      <w:adjustRightInd/>
      <w:spacing w:before="60" w:after="60" w:line="360" w:lineRule="auto"/>
      <w:ind w:firstLine="482" w:firstLineChars="200"/>
      <w:jc w:val="left"/>
      <w:outlineLvl w:val="1"/>
    </w:pPr>
    <w:rPr>
      <w:rFonts w:ascii="仿宋_GB2312" w:hAnsi="仿宋_GB2312"/>
      <w:b/>
      <w:bCs/>
      <w:sz w:val="24"/>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line="360" w:lineRule="auto"/>
      <w:ind w:firstLine="482" w:firstLineChars="200"/>
      <w:outlineLvl w:val="3"/>
    </w:pPr>
    <w:rPr>
      <w:rFonts w:ascii="Arial" w:hAnsi="Arial"/>
      <w:b/>
      <w:bCs/>
      <w:szCs w:val="28"/>
      <w:lang w:val="zh-CN"/>
    </w:rPr>
  </w:style>
  <w:style w:type="paragraph" w:styleId="9">
    <w:name w:val="heading 5"/>
    <w:basedOn w:val="1"/>
    <w:next w:val="1"/>
    <w:link w:val="293"/>
    <w:qFormat/>
    <w:uiPriority w:val="0"/>
    <w:pPr>
      <w:keepNext/>
      <w:keepLines/>
      <w:tabs>
        <w:tab w:val="left" w:pos="1008"/>
      </w:tabs>
      <w:spacing w:line="360" w:lineRule="auto"/>
      <w:ind w:firstLine="482" w:firstLineChars="200"/>
      <w:outlineLvl w:val="4"/>
    </w:pPr>
    <w:rPr>
      <w:b/>
      <w:bCs/>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5"/>
    <w:qFormat/>
    <w:uiPriority w:val="0"/>
    <w:pPr>
      <w:spacing w:line="480" w:lineRule="exact"/>
      <w:ind w:firstLine="480" w:firstLineChars="200"/>
    </w:pPr>
    <w:rPr>
      <w:rFonts w:ascii="宋体" w:hAnsi="宋体"/>
      <w:sz w:val="24"/>
    </w:rPr>
  </w:style>
  <w:style w:type="paragraph" w:styleId="3">
    <w:name w:val="Body Text First Indent 2"/>
    <w:basedOn w:val="2"/>
    <w:next w:val="1"/>
    <w:link w:val="121"/>
    <w:qFormat/>
    <w:uiPriority w:val="0"/>
    <w:pPr>
      <w:adjustRightInd/>
      <w:spacing w:after="120" w:line="240" w:lineRule="auto"/>
      <w:ind w:left="420" w:leftChars="200" w:firstLine="210"/>
    </w:pPr>
    <w:rPr>
      <w:sz w:val="21"/>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5"/>
    <w:qFormat/>
    <w:uiPriority w:val="0"/>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w:basedOn w:val="25"/>
    <w:next w:val="1"/>
    <w:link w:val="322"/>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9"/>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firstLine="0"/>
      <w:jc w:val="center"/>
    </w:pPr>
    <w:rPr>
      <w:rFonts w:ascii="Calibri" w:hAnsi="Calibri"/>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color w:val="000000"/>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4"/>
    <w:qFormat/>
    <w:uiPriority w:val="9"/>
    <w:rPr>
      <w:rFonts w:ascii="Times New Roman" w:hAnsi="Times New Roman" w:eastAsia="宋体"/>
      <w:b/>
      <w:bCs/>
      <w:kern w:val="44"/>
      <w:sz w:val="28"/>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9"/>
    <w:qFormat/>
    <w:uiPriority w:val="9"/>
    <w:rPr>
      <w:rFonts w:ascii="Times New Roman" w:hAnsi="Times New Roman" w:eastAsia="宋体"/>
      <w:b/>
      <w:bCs/>
      <w:kern w:val="2"/>
      <w:sz w:val="21"/>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4"/>
    <w:qFormat/>
    <w:uiPriority w:val="0"/>
    <w:pPr>
      <w:tabs>
        <w:tab w:val="left" w:pos="2356"/>
        <w:tab w:val="clear" w:pos="864"/>
      </w:tabs>
      <w:adjustRightInd/>
      <w:ind w:left="1984" w:leftChars="75" w:hanging="708"/>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1"/>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321"/>
    <w:link w:val="319"/>
    <w:qFormat/>
    <w:uiPriority w:val="0"/>
    <w:pPr>
      <w:tabs>
        <w:tab w:val="right" w:leader="dot" w:pos="8268"/>
      </w:tabs>
      <w:adjustRightInd/>
    </w:pPr>
    <w:rPr>
      <w:rFonts w:ascii="宋体"/>
      <w:kern w:val="0"/>
      <w:sz w:val="20"/>
      <w:szCs w:val="20"/>
    </w:rPr>
  </w:style>
  <w:style w:type="paragraph" w:customStyle="1" w:styleId="321">
    <w:name w:val="正文1"/>
    <w:basedOn w:val="32"/>
    <w:next w:val="1"/>
    <w:qFormat/>
    <w:uiPriority w:val="0"/>
    <w:pPr>
      <w:ind w:left="0" w:leftChars="0" w:firstLine="480" w:firstLineChars="200"/>
    </w:pPr>
    <w:rPr>
      <w:rFonts w:ascii="仿宋_GB2312" w:hAnsi="Courier New" w:eastAsia="仿宋_GB2312"/>
      <w:kern w:val="28"/>
      <w:sz w:val="24"/>
    </w:rPr>
  </w:style>
  <w:style w:type="character" w:customStyle="1" w:styleId="322">
    <w:name w:val="正文文本首行缩进 字符"/>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8"/>
    <w:qFormat/>
    <w:uiPriority w:val="9"/>
    <w:rPr>
      <w:rFonts w:ascii="Arial" w:hAnsi="Arial" w:eastAsia="宋体"/>
      <w:b/>
      <w:bCs/>
      <w:kern w:val="2"/>
      <w:sz w:val="21"/>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qFormat/>
    <w:uiPriority w:val="99"/>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69"/>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pPr>
    <w:rPr>
      <w:rFonts w:ascii="Verdana" w:eastAsia="Verdana"/>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firstLine="200"/>
      <w:jc w:val="both"/>
    </w:pPr>
    <w:rPr>
      <w:rFonts w:ascii="宋体" w:hAnsi="Cambria"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firstLine="0"/>
      <w:jc w:val="both"/>
    </w:pPr>
    <w:rPr>
      <w:rFonts w:ascii="宋体" w:hAnsi="Arial"/>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link w:val="969"/>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_Style 10"/>
    <w:basedOn w:val="1"/>
    <w:qFormat/>
    <w:uiPriority w:val="34"/>
    <w:pPr>
      <w:widowControl/>
      <w:ind w:firstLine="420" w:firstLineChars="200"/>
      <w:jc w:val="left"/>
    </w:pPr>
    <w:rPr>
      <w:rFonts w:ascii="宋体" w:hAnsi="宋体" w:cs="宋体"/>
      <w:kern w:val="0"/>
      <w:sz w:val="24"/>
    </w:rPr>
  </w:style>
  <w:style w:type="paragraph" w:customStyle="1" w:styleId="966">
    <w:name w:val="Normal Indent1"/>
    <w:basedOn w:val="1"/>
    <w:qFormat/>
    <w:uiPriority w:val="0"/>
    <w:pPr>
      <w:ind w:firstLine="420" w:firstLineChars="200"/>
    </w:pPr>
  </w:style>
  <w:style w:type="paragraph" w:customStyle="1" w:styleId="96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969">
    <w:name w:val="样式1 Char Char"/>
    <w:link w:val="725"/>
    <w:qFormat/>
    <w:uiPriority w:val="0"/>
    <w:rPr>
      <w:rFonts w:ascii="宋体" w:hAnsi="宋体"/>
      <w:sz w:val="24"/>
    </w:rPr>
  </w:style>
  <w:style w:type="paragraph" w:customStyle="1" w:styleId="970">
    <w:name w:val="WPSOffice手动目录 1"/>
    <w:qFormat/>
    <w:uiPriority w:val="0"/>
    <w:rPr>
      <w:rFonts w:ascii="Times New Roman" w:hAnsi="Times New Roman" w:eastAsia="宋体" w:cs="Times New Roman"/>
      <w:lang w:val="en-US" w:eastAsia="zh-CN" w:bidi="ar-SA"/>
    </w:rPr>
  </w:style>
  <w:style w:type="table" w:customStyle="1" w:styleId="971">
    <w:name w:val="Table Normal"/>
    <w:semiHidden/>
    <w:unhideWhenUsed/>
    <w:qFormat/>
    <w:uiPriority w:val="0"/>
    <w:tblPr>
      <w:tblCellMar>
        <w:top w:w="0" w:type="dxa"/>
        <w:left w:w="0" w:type="dxa"/>
        <w:bottom w:w="0" w:type="dxa"/>
        <w:right w:w="0" w:type="dxa"/>
      </w:tblCellMar>
    </w:tblPr>
  </w:style>
  <w:style w:type="paragraph" w:customStyle="1" w:styleId="972">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3352</Words>
  <Characters>3768</Characters>
  <Lines>1792</Lines>
  <Paragraphs>1844</Paragraphs>
  <TotalTime>22</TotalTime>
  <ScaleCrop>false</ScaleCrop>
  <LinksUpToDate>false</LinksUpToDate>
  <CharactersWithSpaces>3902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2024-05-07T23:57:00Z</dcterms:created>
  <dc:creator>Hyy</dc:creator>
  <cp:lastModifiedBy>盈盈</cp:lastModifiedBy>
  <cp:lastPrinted>2024-04-27T09:37:00Z</cp:lastPrinted>
  <dcterms:modified xsi:type="dcterms:W3CDTF">2025-07-03T11:22:20Z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6C6C4E4A5A5541A791B278A2EF83ACBD_13</vt:lpwstr>
  </property>
  <property fmtid="{D5CDD505-2E9C-101B-9397-08002B2CF9AE}" pid="5" name="KSOTemplateDocerSaveRecord">
    <vt:lpwstr>eyJoZGlkIjoiYmE2OGIxYzZjMTgyN2YzODY3MmEzZDcyZmU2Yjc1MmYiLCJ1c2VySWQiOiI1MzU3NzU5NDcifQ==</vt:lpwstr>
  </property>
</Properties>
</file>