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rPr>
          <w:sz w:val="40"/>
          <w:szCs w:val="36"/>
        </w:rPr>
      </w:pPr>
    </w:p>
    <w:p>
      <w:pPr>
        <w:jc w:val="center"/>
        <w:outlineLvl w:val="0"/>
        <w:rPr>
          <w:rFonts w:hint="eastAsia" w:eastAsia="宋体"/>
          <w:lang w:eastAsia="zh-CN"/>
        </w:rPr>
      </w:pPr>
      <w:r>
        <w:rPr>
          <w:rFonts w:hint="eastAsia"/>
          <w:spacing w:val="45"/>
          <w:sz w:val="52"/>
          <w:szCs w:val="48"/>
          <w:lang w:eastAsia="zh-CN"/>
        </w:rPr>
        <w:t>岱山县化塑产业大脑能力中心组件项目</w:t>
      </w:r>
    </w:p>
    <w:p>
      <w:pPr>
        <w:pStyle w:val="14"/>
        <w:snapToGrid w:val="0"/>
        <w:spacing w:before="120" w:after="120" w:line="360" w:lineRule="auto"/>
        <w:jc w:val="both"/>
        <w:rPr>
          <w:rFonts w:hAnsi="宋体" w:eastAsia="宋体" w:cs="宋体"/>
          <w:bCs/>
          <w:sz w:val="84"/>
          <w:szCs w:val="84"/>
        </w:rPr>
      </w:pPr>
    </w:p>
    <w:p>
      <w:pPr>
        <w:pStyle w:val="14"/>
        <w:snapToGrid w:val="0"/>
        <w:spacing w:before="120" w:after="120" w:line="360" w:lineRule="auto"/>
        <w:jc w:val="center"/>
        <w:rPr>
          <w:rFonts w:hAnsi="宋体" w:eastAsia="宋体" w:cs="宋体"/>
          <w:b/>
          <w:sz w:val="24"/>
          <w:szCs w:val="24"/>
        </w:rPr>
      </w:pPr>
      <w:r>
        <w:rPr>
          <w:rFonts w:hint="eastAsia" w:hAnsi="宋体" w:eastAsia="宋体" w:cs="宋体"/>
          <w:bCs/>
          <w:sz w:val="84"/>
          <w:szCs w:val="84"/>
        </w:rPr>
        <w:t>磋商文件</w:t>
      </w:r>
    </w:p>
    <w:p/>
    <w:p>
      <w:pPr>
        <w:pStyle w:val="14"/>
        <w:snapToGrid w:val="0"/>
        <w:spacing w:before="120" w:after="120" w:line="360" w:lineRule="auto"/>
        <w:rPr>
          <w:rFonts w:hAnsi="宋体" w:eastAsia="宋体" w:cs="宋体"/>
          <w:b/>
          <w:sz w:val="24"/>
          <w:szCs w:val="24"/>
        </w:rPr>
      </w:pPr>
    </w:p>
    <w:p>
      <w:pPr>
        <w:pStyle w:val="55"/>
        <w:widowControl w:val="0"/>
        <w:spacing w:line="720" w:lineRule="auto"/>
        <w:ind w:firstLine="1960" w:firstLineChars="700"/>
        <w:rPr>
          <w:rFonts w:hint="eastAsia" w:ascii="宋体" w:hAnsi="宋体" w:eastAsia="宋体" w:cs="宋体"/>
          <w:sz w:val="28"/>
          <w:szCs w:val="28"/>
          <w:lang w:eastAsia="zh-CN"/>
        </w:rPr>
      </w:pPr>
      <w:r>
        <w:rPr>
          <w:rFonts w:hint="eastAsia" w:ascii="宋体" w:hAnsi="宋体" w:cs="宋体"/>
          <w:sz w:val="28"/>
          <w:szCs w:val="28"/>
        </w:rPr>
        <w:t>项目编号：</w:t>
      </w:r>
      <w:r>
        <w:rPr>
          <w:rFonts w:hint="eastAsia" w:ascii="宋体" w:hAnsi="宋体" w:cs="宋体"/>
          <w:sz w:val="28"/>
          <w:szCs w:val="28"/>
          <w:lang w:eastAsia="zh-CN"/>
        </w:rPr>
        <w:t>TQZSCG-2024-004</w:t>
      </w:r>
    </w:p>
    <w:p>
      <w:pPr>
        <w:spacing w:line="720" w:lineRule="auto"/>
        <w:ind w:firstLine="1960" w:firstLineChars="700"/>
        <w:rPr>
          <w:rFonts w:hint="eastAsia" w:ascii="宋体" w:hAnsi="宋体" w:eastAsia="宋体" w:cs="宋体"/>
          <w:sz w:val="28"/>
          <w:szCs w:val="28"/>
          <w:lang w:eastAsia="zh-CN"/>
        </w:rPr>
      </w:pPr>
      <w:r>
        <w:rPr>
          <w:rFonts w:hint="eastAsia" w:ascii="宋体" w:hAnsi="宋体" w:cs="宋体"/>
          <w:sz w:val="28"/>
          <w:szCs w:val="28"/>
        </w:rPr>
        <w:t>项目名称：</w:t>
      </w:r>
      <w:r>
        <w:rPr>
          <w:rFonts w:hint="eastAsia" w:ascii="宋体" w:hAnsi="宋体" w:cs="宋体"/>
          <w:sz w:val="28"/>
          <w:szCs w:val="28"/>
          <w:lang w:eastAsia="zh-CN"/>
        </w:rPr>
        <w:t>岱山县化塑产业大脑能力中心组件项目</w:t>
      </w:r>
    </w:p>
    <w:p>
      <w:pPr>
        <w:spacing w:line="720" w:lineRule="auto"/>
        <w:ind w:firstLine="1960" w:firstLineChars="700"/>
        <w:rPr>
          <w:rFonts w:ascii="宋体" w:hAnsi="宋体" w:cs="宋体"/>
          <w:sz w:val="28"/>
          <w:szCs w:val="28"/>
        </w:rPr>
      </w:pPr>
      <w:r>
        <w:rPr>
          <w:rFonts w:hint="eastAsia" w:ascii="宋体" w:hAnsi="宋体" w:cs="宋体"/>
          <w:sz w:val="28"/>
          <w:szCs w:val="28"/>
        </w:rPr>
        <w:t>采 购 人：</w:t>
      </w:r>
      <w:r>
        <w:rPr>
          <w:rFonts w:hint="eastAsia" w:ascii="宋体" w:hAnsi="宋体" w:cs="宋体"/>
          <w:sz w:val="28"/>
          <w:szCs w:val="28"/>
          <w:highlight w:val="none"/>
          <w:lang w:eastAsia="zh-CN"/>
        </w:rPr>
        <w:t>岱山县经济和信息化局</w:t>
      </w:r>
      <w:r>
        <w:rPr>
          <w:rFonts w:hint="eastAsia" w:ascii="宋体" w:hAnsi="宋体" w:cs="宋体"/>
          <w:sz w:val="28"/>
          <w:szCs w:val="28"/>
        </w:rPr>
        <w:t>（盖章）</w:t>
      </w:r>
    </w:p>
    <w:p>
      <w:pPr>
        <w:spacing w:line="720" w:lineRule="auto"/>
        <w:ind w:firstLine="1960" w:firstLineChars="700"/>
        <w:rPr>
          <w:rFonts w:ascii="宋体" w:hAnsi="宋体" w:cs="宋体"/>
          <w:sz w:val="28"/>
          <w:szCs w:val="28"/>
        </w:rPr>
      </w:pPr>
      <w:r>
        <w:rPr>
          <w:rFonts w:hint="eastAsia" w:ascii="宋体" w:hAnsi="宋体" w:cs="宋体"/>
          <w:sz w:val="28"/>
          <w:szCs w:val="28"/>
        </w:rPr>
        <w:t>代理机构：</w:t>
      </w:r>
      <w:r>
        <w:rPr>
          <w:rFonts w:hint="eastAsia" w:ascii="宋体" w:hAnsi="宋体" w:cs="宋体"/>
          <w:sz w:val="28"/>
          <w:szCs w:val="28"/>
          <w:lang w:eastAsia="zh-CN"/>
        </w:rPr>
        <w:t>浙江天勤信息技术监理有限公司</w:t>
      </w:r>
      <w:r>
        <w:rPr>
          <w:rFonts w:hint="eastAsia" w:ascii="宋体" w:hAnsi="宋体" w:cs="宋体"/>
          <w:sz w:val="28"/>
          <w:szCs w:val="28"/>
        </w:rPr>
        <w:t>（盖章）</w:t>
      </w:r>
    </w:p>
    <w:p>
      <w:pPr>
        <w:pStyle w:val="14"/>
        <w:spacing w:before="120" w:after="120" w:line="360" w:lineRule="auto"/>
        <w:ind w:firstLine="1960" w:firstLineChars="700"/>
        <w:rPr>
          <w:rFonts w:hint="eastAsia" w:hAnsi="宋体" w:eastAsia="宋体" w:cs="宋体"/>
          <w:sz w:val="24"/>
          <w:szCs w:val="24"/>
          <w:lang w:eastAsia="zh-CN"/>
        </w:rPr>
      </w:pPr>
      <w:r>
        <w:rPr>
          <w:rFonts w:hint="eastAsia" w:hAnsi="宋体" w:eastAsia="宋体" w:cs="宋体"/>
          <w:bCs/>
          <w:sz w:val="28"/>
          <w:szCs w:val="28"/>
        </w:rPr>
        <w:t>日    期：</w:t>
      </w:r>
      <w:r>
        <w:rPr>
          <w:rFonts w:hint="eastAsia" w:hAnsi="宋体" w:eastAsia="宋体" w:cs="宋体"/>
          <w:bCs/>
          <w:sz w:val="28"/>
          <w:szCs w:val="28"/>
          <w:lang w:eastAsia="zh-CN"/>
        </w:rPr>
        <w:t>二〇二四年五月</w:t>
      </w:r>
    </w:p>
    <w:p>
      <w:pPr>
        <w:pStyle w:val="14"/>
        <w:spacing w:before="120" w:after="120" w:line="600" w:lineRule="auto"/>
        <w:rPr>
          <w:rFonts w:hAnsi="宋体" w:eastAsia="宋体" w:cs="宋体"/>
          <w:sz w:val="24"/>
          <w:szCs w:val="24"/>
        </w:rPr>
      </w:pPr>
    </w:p>
    <w:p>
      <w:pPr>
        <w:pStyle w:val="14"/>
        <w:spacing w:before="120" w:after="120" w:line="600" w:lineRule="auto"/>
        <w:jc w:val="center"/>
        <w:rPr>
          <w:rFonts w:hAnsi="宋体" w:eastAsia="宋体" w:cs="宋体"/>
          <w:sz w:val="36"/>
          <w:szCs w:val="36"/>
        </w:rPr>
        <w:sectPr>
          <w:headerReference r:id="rId5" w:type="first"/>
          <w:headerReference r:id="rId3" w:type="default"/>
          <w:headerReference r:id="rId4" w:type="even"/>
          <w:footerReference r:id="rId6" w:type="even"/>
          <w:pgSz w:w="11906" w:h="16838"/>
          <w:pgMar w:top="1531" w:right="992" w:bottom="737" w:left="992" w:header="851" w:footer="584" w:gutter="0"/>
          <w:cols w:space="720" w:num="1"/>
          <w:titlePg/>
          <w:docGrid w:type="lines" w:linePitch="312" w:charSpace="0"/>
        </w:sectPr>
      </w:pPr>
    </w:p>
    <w:p>
      <w:pPr>
        <w:pStyle w:val="14"/>
        <w:spacing w:before="120" w:after="120" w:line="600" w:lineRule="auto"/>
        <w:jc w:val="center"/>
        <w:outlineLvl w:val="0"/>
        <w:rPr>
          <w:rFonts w:hAnsi="宋体" w:eastAsia="宋体" w:cs="宋体"/>
          <w:sz w:val="36"/>
          <w:szCs w:val="36"/>
        </w:rPr>
      </w:pPr>
      <w:r>
        <w:rPr>
          <w:rFonts w:hint="eastAsia" w:hAnsi="宋体" w:eastAsia="宋体" w:cs="宋体"/>
          <w:sz w:val="36"/>
          <w:szCs w:val="36"/>
        </w:rPr>
        <w:t>目    录</w:t>
      </w:r>
    </w:p>
    <w:p>
      <w:pPr>
        <w:spacing w:before="120" w:line="552" w:lineRule="auto"/>
        <w:ind w:firstLine="840" w:firstLineChars="300"/>
        <w:rPr>
          <w:rFonts w:ascii="宋体" w:hAnsi="宋体" w:cs="宋体"/>
          <w:sz w:val="28"/>
          <w:szCs w:val="28"/>
        </w:rPr>
      </w:pPr>
      <w:r>
        <w:rPr>
          <w:rFonts w:hint="eastAsia" w:ascii="宋体" w:hAnsi="宋体" w:cs="宋体"/>
          <w:sz w:val="28"/>
          <w:szCs w:val="28"/>
        </w:rPr>
        <w:t>第一章  竞争性磋商公告</w:t>
      </w:r>
    </w:p>
    <w:p>
      <w:pPr>
        <w:spacing w:before="120" w:line="552" w:lineRule="auto"/>
        <w:ind w:firstLine="840" w:firstLineChars="300"/>
        <w:rPr>
          <w:rFonts w:ascii="宋体" w:hAnsi="宋体" w:cs="宋体"/>
          <w:sz w:val="28"/>
          <w:szCs w:val="28"/>
        </w:rPr>
      </w:pPr>
      <w:r>
        <w:rPr>
          <w:rFonts w:hint="eastAsia" w:ascii="宋体" w:hAnsi="宋体" w:cs="宋体"/>
          <w:sz w:val="28"/>
          <w:szCs w:val="28"/>
        </w:rPr>
        <w:t>第二章  采购需求</w:t>
      </w:r>
    </w:p>
    <w:p>
      <w:pPr>
        <w:spacing w:before="120" w:line="552" w:lineRule="auto"/>
        <w:ind w:firstLine="840" w:firstLineChars="300"/>
        <w:rPr>
          <w:rFonts w:ascii="宋体" w:hAnsi="宋体" w:cs="宋体"/>
          <w:sz w:val="28"/>
          <w:szCs w:val="28"/>
        </w:rPr>
      </w:pPr>
      <w:r>
        <w:rPr>
          <w:rFonts w:hint="eastAsia" w:ascii="宋体" w:hAnsi="宋体" w:cs="宋体"/>
          <w:sz w:val="28"/>
          <w:szCs w:val="28"/>
        </w:rPr>
        <w:t>第三章  响应人须知</w:t>
      </w:r>
    </w:p>
    <w:p>
      <w:pPr>
        <w:spacing w:before="120" w:line="552" w:lineRule="auto"/>
        <w:ind w:firstLine="1960" w:firstLineChars="700"/>
        <w:rPr>
          <w:rFonts w:ascii="宋体" w:hAnsi="宋体" w:cs="宋体"/>
          <w:sz w:val="28"/>
          <w:szCs w:val="28"/>
        </w:rPr>
      </w:pPr>
      <w:r>
        <w:rPr>
          <w:rFonts w:hint="eastAsia" w:ascii="宋体" w:hAnsi="宋体" w:cs="宋体"/>
          <w:sz w:val="28"/>
          <w:szCs w:val="28"/>
        </w:rPr>
        <w:t xml:space="preserve">前附表 </w:t>
      </w:r>
    </w:p>
    <w:p>
      <w:pPr>
        <w:spacing w:before="120" w:line="552" w:lineRule="auto"/>
        <w:ind w:firstLine="1400" w:firstLineChars="500"/>
        <w:rPr>
          <w:rFonts w:ascii="宋体" w:hAnsi="宋体" w:cs="宋体"/>
          <w:sz w:val="28"/>
          <w:szCs w:val="28"/>
        </w:rPr>
      </w:pPr>
      <w:r>
        <w:rPr>
          <w:rFonts w:hint="eastAsia" w:ascii="宋体" w:hAnsi="宋体" w:cs="宋体"/>
          <w:sz w:val="28"/>
          <w:szCs w:val="28"/>
        </w:rPr>
        <w:t>一、总 则</w:t>
      </w:r>
    </w:p>
    <w:p>
      <w:pPr>
        <w:spacing w:before="120" w:line="552" w:lineRule="auto"/>
        <w:ind w:firstLine="1400" w:firstLineChars="500"/>
        <w:rPr>
          <w:rFonts w:ascii="宋体" w:hAnsi="宋体" w:cs="宋体"/>
          <w:sz w:val="28"/>
          <w:szCs w:val="28"/>
        </w:rPr>
      </w:pPr>
      <w:r>
        <w:rPr>
          <w:rFonts w:hint="eastAsia" w:ascii="宋体" w:hAnsi="宋体" w:cs="宋体"/>
          <w:sz w:val="28"/>
          <w:szCs w:val="28"/>
        </w:rPr>
        <w:t>二、磋商文件</w:t>
      </w:r>
    </w:p>
    <w:p>
      <w:pPr>
        <w:spacing w:before="120" w:line="552" w:lineRule="auto"/>
        <w:ind w:firstLine="1400" w:firstLineChars="500"/>
        <w:rPr>
          <w:rFonts w:ascii="宋体" w:hAnsi="宋体" w:cs="宋体"/>
          <w:sz w:val="28"/>
          <w:szCs w:val="28"/>
        </w:rPr>
      </w:pPr>
      <w:r>
        <w:rPr>
          <w:rFonts w:hint="eastAsia" w:ascii="宋体" w:hAnsi="宋体" w:cs="宋体"/>
          <w:sz w:val="28"/>
          <w:szCs w:val="28"/>
        </w:rPr>
        <w:t>三、响应文件的编制</w:t>
      </w:r>
    </w:p>
    <w:p>
      <w:pPr>
        <w:spacing w:before="120" w:line="552" w:lineRule="auto"/>
        <w:ind w:firstLine="1400" w:firstLineChars="500"/>
        <w:rPr>
          <w:rFonts w:ascii="宋体" w:hAnsi="宋体" w:cs="宋体"/>
          <w:sz w:val="28"/>
          <w:szCs w:val="28"/>
        </w:rPr>
      </w:pPr>
      <w:r>
        <w:rPr>
          <w:rFonts w:hint="eastAsia" w:ascii="宋体" w:hAnsi="宋体" w:cs="宋体"/>
          <w:sz w:val="28"/>
          <w:szCs w:val="28"/>
        </w:rPr>
        <w:t>四、开标</w:t>
      </w:r>
    </w:p>
    <w:p>
      <w:pPr>
        <w:spacing w:before="120" w:line="552" w:lineRule="auto"/>
        <w:ind w:firstLine="1400" w:firstLineChars="500"/>
        <w:rPr>
          <w:rFonts w:ascii="宋体" w:hAnsi="宋体" w:cs="宋体"/>
          <w:sz w:val="28"/>
          <w:szCs w:val="28"/>
        </w:rPr>
      </w:pPr>
      <w:r>
        <w:rPr>
          <w:rFonts w:hint="eastAsia" w:ascii="宋体" w:hAnsi="宋体" w:cs="宋体"/>
          <w:sz w:val="28"/>
          <w:szCs w:val="28"/>
        </w:rPr>
        <w:t>五、评标</w:t>
      </w:r>
    </w:p>
    <w:p>
      <w:pPr>
        <w:spacing w:before="120" w:line="552" w:lineRule="auto"/>
        <w:ind w:firstLine="1400" w:firstLineChars="500"/>
        <w:rPr>
          <w:rFonts w:ascii="宋体" w:hAnsi="宋体" w:cs="宋体"/>
          <w:sz w:val="28"/>
          <w:szCs w:val="28"/>
        </w:rPr>
      </w:pPr>
      <w:r>
        <w:rPr>
          <w:rFonts w:hint="eastAsia" w:ascii="宋体" w:hAnsi="宋体" w:cs="宋体"/>
          <w:sz w:val="28"/>
          <w:szCs w:val="28"/>
        </w:rPr>
        <w:t>六、废标</w:t>
      </w:r>
    </w:p>
    <w:p>
      <w:pPr>
        <w:spacing w:before="120" w:line="552" w:lineRule="auto"/>
        <w:ind w:firstLine="1400" w:firstLineChars="500"/>
        <w:rPr>
          <w:rFonts w:ascii="宋体" w:hAnsi="宋体" w:cs="宋体"/>
          <w:sz w:val="28"/>
          <w:szCs w:val="28"/>
        </w:rPr>
      </w:pPr>
      <w:r>
        <w:rPr>
          <w:rFonts w:hint="eastAsia" w:ascii="宋体" w:hAnsi="宋体" w:cs="宋体"/>
          <w:sz w:val="28"/>
          <w:szCs w:val="28"/>
        </w:rPr>
        <w:t>七、定标</w:t>
      </w:r>
    </w:p>
    <w:p>
      <w:pPr>
        <w:spacing w:before="120" w:line="552" w:lineRule="auto"/>
        <w:ind w:firstLine="1400" w:firstLineChars="500"/>
        <w:rPr>
          <w:rFonts w:ascii="宋体" w:hAnsi="宋体" w:cs="宋体"/>
          <w:sz w:val="28"/>
          <w:szCs w:val="28"/>
        </w:rPr>
      </w:pPr>
      <w:r>
        <w:rPr>
          <w:rFonts w:hint="eastAsia" w:ascii="宋体" w:hAnsi="宋体" w:cs="宋体"/>
          <w:sz w:val="28"/>
          <w:szCs w:val="28"/>
        </w:rPr>
        <w:t>八、合同授予</w:t>
      </w:r>
    </w:p>
    <w:p>
      <w:pPr>
        <w:spacing w:before="120" w:line="552" w:lineRule="auto"/>
        <w:ind w:firstLine="840" w:firstLineChars="300"/>
        <w:rPr>
          <w:rFonts w:ascii="宋体" w:hAnsi="宋体" w:cs="宋体"/>
          <w:sz w:val="28"/>
          <w:szCs w:val="28"/>
        </w:rPr>
      </w:pPr>
      <w:r>
        <w:rPr>
          <w:rFonts w:hint="eastAsia" w:ascii="宋体" w:hAnsi="宋体" w:cs="宋体"/>
          <w:sz w:val="28"/>
          <w:szCs w:val="28"/>
        </w:rPr>
        <w:t>第四章  评标办法及标准</w:t>
      </w:r>
    </w:p>
    <w:p>
      <w:pPr>
        <w:spacing w:before="120" w:line="552" w:lineRule="auto"/>
        <w:ind w:firstLine="840" w:firstLineChars="300"/>
        <w:rPr>
          <w:rFonts w:ascii="宋体" w:hAnsi="宋体" w:cs="宋体"/>
          <w:sz w:val="28"/>
          <w:szCs w:val="28"/>
        </w:rPr>
      </w:pPr>
      <w:r>
        <w:rPr>
          <w:rFonts w:hint="eastAsia" w:ascii="宋体" w:hAnsi="宋体" w:cs="宋体"/>
          <w:sz w:val="28"/>
          <w:szCs w:val="28"/>
        </w:rPr>
        <w:t>第五章  合同主要条款</w:t>
      </w:r>
    </w:p>
    <w:p>
      <w:pPr>
        <w:spacing w:before="120" w:line="552" w:lineRule="auto"/>
        <w:ind w:firstLine="840" w:firstLineChars="300"/>
        <w:rPr>
          <w:rFonts w:ascii="宋体" w:hAnsi="宋体" w:cs="宋体"/>
          <w:sz w:val="24"/>
          <w:szCs w:val="24"/>
        </w:rPr>
      </w:pPr>
      <w:r>
        <w:rPr>
          <w:rFonts w:hint="eastAsia" w:ascii="宋体" w:hAnsi="宋体" w:cs="宋体"/>
          <w:sz w:val="28"/>
          <w:szCs w:val="28"/>
        </w:rPr>
        <w:t>第六章  响应文件组成</w:t>
      </w:r>
    </w:p>
    <w:p>
      <w:pPr>
        <w:jc w:val="center"/>
        <w:outlineLvl w:val="0"/>
        <w:rPr>
          <w:rFonts w:ascii="宋体" w:hAnsi="宋体" w:cs="宋体"/>
          <w:b/>
          <w:sz w:val="28"/>
          <w:szCs w:val="28"/>
        </w:rPr>
      </w:pPr>
      <w:r>
        <w:rPr>
          <w:rFonts w:hint="eastAsia" w:ascii="宋体" w:hAnsi="宋体" w:cs="宋体"/>
          <w:b/>
          <w:sz w:val="28"/>
          <w:szCs w:val="28"/>
        </w:rPr>
        <w:br w:type="page"/>
      </w:r>
      <w:r>
        <w:rPr>
          <w:rFonts w:hint="eastAsia" w:ascii="宋体" w:hAnsi="宋体" w:cs="宋体"/>
          <w:b/>
          <w:sz w:val="28"/>
          <w:szCs w:val="28"/>
        </w:rPr>
        <w:t xml:space="preserve">第一章 </w:t>
      </w:r>
      <w:bookmarkStart w:id="0" w:name="OLE_LINK3"/>
      <w:r>
        <w:rPr>
          <w:rFonts w:hint="eastAsia" w:ascii="宋体" w:hAnsi="宋体" w:cs="宋体"/>
          <w:b/>
          <w:sz w:val="28"/>
          <w:szCs w:val="28"/>
        </w:rPr>
        <w:t xml:space="preserve"> </w:t>
      </w:r>
      <w:bookmarkStart w:id="1" w:name="OLE_LINK4"/>
      <w:bookmarkStart w:id="2" w:name="OLE_LINK2"/>
      <w:r>
        <w:rPr>
          <w:rFonts w:hint="eastAsia" w:ascii="宋体" w:hAnsi="宋体" w:cs="宋体"/>
          <w:b/>
          <w:sz w:val="28"/>
          <w:szCs w:val="28"/>
        </w:rPr>
        <w:t>竞争性磋商公告</w:t>
      </w:r>
    </w:p>
    <w:bookmarkEnd w:id="0"/>
    <w:bookmarkEnd w:id="1"/>
    <w:bookmarkEnd w:id="2"/>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4" w:type="dxa"/>
          </w:tcPr>
          <w:p>
            <w:pPr>
              <w:pStyle w:val="22"/>
              <w:spacing w:before="0" w:beforeAutospacing="0" w:after="0" w:afterAutospacing="0" w:line="360" w:lineRule="auto"/>
              <w:ind w:firstLine="360"/>
              <w:jc w:val="both"/>
              <w:rPr>
                <w:rFonts w:hint="eastAsia" w:ascii="宋体" w:hAnsi="宋体" w:eastAsia="宋体" w:cs="宋体"/>
                <w:b w:val="0"/>
                <w:bCs w:val="0"/>
                <w:i w:val="0"/>
                <w:iCs w:val="0"/>
                <w:caps w:val="0"/>
                <w:color w:val="000000"/>
                <w:spacing w:val="0"/>
                <w:sz w:val="21"/>
                <w:szCs w:val="21"/>
              </w:rPr>
            </w:pPr>
            <w:r>
              <w:rPr>
                <w:rFonts w:hint="eastAsia" w:ascii="宋体" w:hAnsi="宋体" w:eastAsia="宋体" w:cs="宋体"/>
                <w:b w:val="0"/>
                <w:bCs w:val="0"/>
                <w:i w:val="0"/>
                <w:iCs w:val="0"/>
                <w:caps w:val="0"/>
                <w:color w:val="000000"/>
                <w:spacing w:val="0"/>
                <w:sz w:val="21"/>
                <w:szCs w:val="21"/>
              </w:rPr>
              <w:t>项目概况</w:t>
            </w:r>
          </w:p>
          <w:p>
            <w:pPr>
              <w:pStyle w:val="22"/>
              <w:spacing w:before="0" w:beforeAutospacing="0" w:after="0" w:afterAutospacing="0" w:line="360" w:lineRule="auto"/>
              <w:ind w:firstLine="360"/>
              <w:jc w:val="both"/>
              <w:rPr>
                <w:rStyle w:val="29"/>
                <w:rFonts w:ascii="宋体" w:hAnsi="宋体" w:cs="宋体"/>
                <w:color w:val="000000"/>
                <w:sz w:val="21"/>
                <w:szCs w:val="21"/>
              </w:rPr>
            </w:pPr>
            <w:r>
              <w:rPr>
                <w:rFonts w:hint="eastAsia" w:cs="宋体"/>
                <w:b w:val="0"/>
                <w:bCs w:val="0"/>
                <w:i w:val="0"/>
                <w:iCs w:val="0"/>
                <w:caps w:val="0"/>
                <w:color w:val="000000"/>
                <w:spacing w:val="0"/>
                <w:sz w:val="21"/>
                <w:szCs w:val="21"/>
                <w:lang w:eastAsia="zh-CN"/>
              </w:rPr>
              <w:t>岱山县化塑产业大脑能力中心组件项目</w:t>
            </w:r>
            <w:r>
              <w:rPr>
                <w:rFonts w:hint="eastAsia" w:ascii="宋体" w:hAnsi="宋体" w:eastAsia="宋体" w:cs="宋体"/>
                <w:b w:val="0"/>
                <w:bCs w:val="0"/>
                <w:i w:val="0"/>
                <w:iCs w:val="0"/>
                <w:caps w:val="0"/>
                <w:color w:val="000000"/>
                <w:spacing w:val="0"/>
                <w:sz w:val="21"/>
                <w:szCs w:val="21"/>
              </w:rPr>
              <w:t>采购项目的潜在供应商应在浙江政府采购网http://zfcg.czt.zj.gov.cn/（用“政采云”注册账号、密码登录系统后获取磋商文件）获取（下载）采购文件，并于</w:t>
            </w:r>
            <w:r>
              <w:rPr>
                <w:rFonts w:hint="eastAsia" w:cs="宋体"/>
                <w:b w:val="0"/>
                <w:bCs w:val="0"/>
                <w:i w:val="0"/>
                <w:iCs w:val="0"/>
                <w:caps w:val="0"/>
                <w:color w:val="000000"/>
                <w:spacing w:val="0"/>
                <w:sz w:val="21"/>
                <w:szCs w:val="21"/>
                <w:lang w:eastAsia="zh-CN"/>
              </w:rPr>
              <w:t>2024年6月3日 14:30</w:t>
            </w:r>
            <w:r>
              <w:rPr>
                <w:rFonts w:hint="eastAsia" w:ascii="宋体" w:hAnsi="宋体" w:eastAsia="宋体" w:cs="宋体"/>
                <w:b w:val="0"/>
                <w:bCs w:val="0"/>
                <w:i w:val="0"/>
                <w:iCs w:val="0"/>
                <w:caps w:val="0"/>
                <w:color w:val="000000"/>
                <w:spacing w:val="0"/>
                <w:sz w:val="21"/>
                <w:szCs w:val="21"/>
              </w:rPr>
              <w:t>（北京时间）前提交（上传）响应文件。</w:t>
            </w:r>
          </w:p>
        </w:tc>
      </w:tr>
    </w:tbl>
    <w:p>
      <w:pPr>
        <w:pStyle w:val="22"/>
        <w:keepNext w:val="0"/>
        <w:keepLines w:val="0"/>
        <w:widowControl/>
        <w:suppressLineNumbers w:val="0"/>
        <w:spacing w:before="255" w:beforeAutospacing="0" w:after="255" w:afterAutospacing="0" w:line="450" w:lineRule="atLeast"/>
        <w:ind w:left="0" w:right="0"/>
        <w:jc w:val="both"/>
        <w:rPr>
          <w:rFonts w:hint="eastAsia" w:ascii="宋体" w:hAnsi="宋体" w:eastAsia="宋体" w:cs="宋体"/>
          <w:sz w:val="21"/>
          <w:szCs w:val="21"/>
        </w:rPr>
      </w:pPr>
      <w:r>
        <w:rPr>
          <w:rStyle w:val="29"/>
          <w:rFonts w:hint="eastAsia" w:ascii="宋体" w:hAnsi="宋体" w:eastAsia="宋体" w:cs="宋体"/>
          <w:i w:val="0"/>
          <w:iCs w:val="0"/>
          <w:caps w:val="0"/>
          <w:color w:val="000000"/>
          <w:spacing w:val="0"/>
          <w:sz w:val="21"/>
          <w:szCs w:val="21"/>
        </w:rPr>
        <w:t>一、项目基本情况</w:t>
      </w:r>
    </w:p>
    <w:p>
      <w:pPr>
        <w:pStyle w:val="22"/>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lang w:eastAsia="zh-CN"/>
        </w:rPr>
      </w:pPr>
      <w:r>
        <w:rPr>
          <w:rFonts w:hint="eastAsia" w:ascii="宋体" w:hAnsi="宋体" w:eastAsia="宋体" w:cs="宋体"/>
          <w:i w:val="0"/>
          <w:iCs w:val="0"/>
          <w:caps w:val="0"/>
          <w:color w:val="000000"/>
          <w:spacing w:val="0"/>
          <w:sz w:val="21"/>
          <w:szCs w:val="21"/>
        </w:rPr>
        <w:t>    项目编号：</w:t>
      </w:r>
      <w:r>
        <w:rPr>
          <w:rFonts w:hint="eastAsia" w:cs="宋体"/>
          <w:i w:val="0"/>
          <w:iCs w:val="0"/>
          <w:caps w:val="0"/>
          <w:color w:val="000000"/>
          <w:spacing w:val="0"/>
          <w:sz w:val="21"/>
          <w:szCs w:val="21"/>
          <w:lang w:eastAsia="zh-CN"/>
        </w:rPr>
        <w:t>TQZSCG-2024-004</w:t>
      </w:r>
    </w:p>
    <w:p>
      <w:pPr>
        <w:pStyle w:val="22"/>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lang w:eastAsia="zh-CN"/>
        </w:rPr>
      </w:pPr>
      <w:r>
        <w:rPr>
          <w:rFonts w:hint="eastAsia" w:ascii="宋体" w:hAnsi="宋体" w:eastAsia="宋体" w:cs="宋体"/>
          <w:i w:val="0"/>
          <w:iCs w:val="0"/>
          <w:caps w:val="0"/>
          <w:color w:val="000000"/>
          <w:spacing w:val="0"/>
          <w:sz w:val="21"/>
          <w:szCs w:val="21"/>
        </w:rPr>
        <w:t>    项目名称：</w:t>
      </w:r>
      <w:r>
        <w:rPr>
          <w:rFonts w:hint="eastAsia" w:cs="宋体"/>
          <w:i w:val="0"/>
          <w:iCs w:val="0"/>
          <w:caps w:val="0"/>
          <w:color w:val="000000"/>
          <w:spacing w:val="0"/>
          <w:sz w:val="21"/>
          <w:szCs w:val="21"/>
          <w:lang w:eastAsia="zh-CN"/>
        </w:rPr>
        <w:t>岱山县化塑产业大脑能力中心组件项目</w:t>
      </w:r>
    </w:p>
    <w:p>
      <w:pPr>
        <w:pStyle w:val="22"/>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采购方式：竞争性磋商</w:t>
      </w:r>
    </w:p>
    <w:p>
      <w:pPr>
        <w:pStyle w:val="22"/>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lang w:eastAsia="zh-CN"/>
        </w:rPr>
      </w:pPr>
      <w:r>
        <w:rPr>
          <w:rFonts w:hint="eastAsia" w:ascii="宋体" w:hAnsi="宋体" w:eastAsia="宋体" w:cs="宋体"/>
          <w:i w:val="0"/>
          <w:iCs w:val="0"/>
          <w:caps w:val="0"/>
          <w:color w:val="000000"/>
          <w:spacing w:val="0"/>
          <w:sz w:val="21"/>
          <w:szCs w:val="21"/>
        </w:rPr>
        <w:t>    预算金额（元）：</w:t>
      </w:r>
      <w:r>
        <w:rPr>
          <w:rFonts w:hint="eastAsia" w:cs="宋体"/>
          <w:i w:val="0"/>
          <w:iCs w:val="0"/>
          <w:caps w:val="0"/>
          <w:color w:val="000000"/>
          <w:spacing w:val="0"/>
          <w:sz w:val="21"/>
          <w:szCs w:val="21"/>
          <w:lang w:eastAsia="zh-CN"/>
        </w:rPr>
        <w:t>1230000</w:t>
      </w:r>
    </w:p>
    <w:p>
      <w:pPr>
        <w:pStyle w:val="22"/>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lang w:eastAsia="zh-CN"/>
        </w:rPr>
      </w:pPr>
      <w:r>
        <w:rPr>
          <w:rFonts w:hint="eastAsia" w:ascii="宋体" w:hAnsi="宋体" w:eastAsia="宋体" w:cs="宋体"/>
          <w:i w:val="0"/>
          <w:iCs w:val="0"/>
          <w:caps w:val="0"/>
          <w:color w:val="000000"/>
          <w:spacing w:val="0"/>
          <w:sz w:val="21"/>
          <w:szCs w:val="21"/>
        </w:rPr>
        <w:t>    最高限价（元）：</w:t>
      </w:r>
      <w:r>
        <w:rPr>
          <w:rFonts w:hint="eastAsia" w:cs="宋体"/>
          <w:i w:val="0"/>
          <w:iCs w:val="0"/>
          <w:caps w:val="0"/>
          <w:color w:val="000000"/>
          <w:spacing w:val="0"/>
          <w:sz w:val="21"/>
          <w:szCs w:val="21"/>
          <w:lang w:eastAsia="zh-CN"/>
        </w:rPr>
        <w:t>1230000</w:t>
      </w:r>
    </w:p>
    <w:p>
      <w:pPr>
        <w:pStyle w:val="22"/>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采购需求：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7F7F7"/>
        <w:spacing w:line="300" w:lineRule="atLeast"/>
        <w:ind w:left="0" w:firstLine="0"/>
        <w:jc w:val="left"/>
        <w:rPr>
          <w:rFonts w:hint="eastAsia" w:ascii="宋体" w:hAnsi="宋体" w:eastAsia="宋体" w:cs="宋体"/>
          <w:i w:val="0"/>
          <w:iCs w:val="0"/>
          <w:caps w:val="0"/>
          <w:color w:val="000000"/>
          <w:spacing w:val="0"/>
          <w:kern w:val="0"/>
          <w:sz w:val="21"/>
          <w:szCs w:val="21"/>
          <w:shd w:val="clear" w:fill="F7F7F7"/>
          <w:lang w:val="en-US" w:eastAsia="zh-CN" w:bidi="ar"/>
        </w:rPr>
      </w:pPr>
      <w:r>
        <w:rPr>
          <w:rFonts w:hint="eastAsia" w:ascii="宋体" w:hAnsi="宋体" w:eastAsia="宋体" w:cs="宋体"/>
          <w:i w:val="0"/>
          <w:iCs w:val="0"/>
          <w:caps w:val="0"/>
          <w:color w:val="000000"/>
          <w:spacing w:val="0"/>
          <w:kern w:val="0"/>
          <w:sz w:val="21"/>
          <w:szCs w:val="21"/>
          <w:shd w:val="clear" w:fill="F7F7F7"/>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7F7F7"/>
        <w:spacing w:line="300" w:lineRule="atLeast"/>
        <w:ind w:lef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shd w:val="clear" w:fill="F7F7F7"/>
          <w:lang w:val="en-US" w:eastAsia="zh-CN" w:bidi="ar"/>
        </w:rPr>
        <w:t>    数量：1       </w:t>
      </w:r>
    </w:p>
    <w:p>
      <w:pPr>
        <w:pStyle w:val="22"/>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lang w:eastAsia="zh-CN"/>
        </w:rPr>
      </w:pPr>
      <w:r>
        <w:rPr>
          <w:rFonts w:hint="eastAsia" w:ascii="宋体" w:hAnsi="宋体" w:eastAsia="宋体" w:cs="宋体"/>
          <w:i w:val="0"/>
          <w:iCs w:val="0"/>
          <w:caps w:val="0"/>
          <w:color w:val="000000"/>
          <w:spacing w:val="0"/>
          <w:sz w:val="21"/>
          <w:szCs w:val="21"/>
          <w:shd w:val="clear" w:fill="F7F7F7"/>
        </w:rPr>
        <w:t>    预算金额（元）：</w:t>
      </w:r>
      <w:r>
        <w:rPr>
          <w:rFonts w:hint="eastAsia" w:cs="宋体"/>
          <w:i w:val="0"/>
          <w:iCs w:val="0"/>
          <w:caps w:val="0"/>
          <w:color w:val="000000"/>
          <w:spacing w:val="0"/>
          <w:sz w:val="21"/>
          <w:szCs w:val="21"/>
          <w:shd w:val="clear" w:fill="F7F7F7"/>
          <w:lang w:eastAsia="zh-CN"/>
        </w:rPr>
        <w:t>1230000</w:t>
      </w:r>
    </w:p>
    <w:p>
      <w:pPr>
        <w:pStyle w:val="22"/>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shd w:val="clear" w:fill="F7F7F7"/>
        </w:rPr>
        <w:t>    单位：项</w:t>
      </w:r>
    </w:p>
    <w:p>
      <w:pPr>
        <w:pStyle w:val="22"/>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shd w:val="clear" w:fill="F7F7F7"/>
        </w:rPr>
        <w:t>    简要规格描述：详见采购文件</w:t>
      </w:r>
    </w:p>
    <w:p>
      <w:pPr>
        <w:pStyle w:val="22"/>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shd w:val="clear" w:fill="F7F7F7"/>
        </w:rPr>
        <w:t>    备注：</w:t>
      </w:r>
    </w:p>
    <w:p>
      <w:pPr>
        <w:pStyle w:val="22"/>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lang w:eastAsia="zh-CN"/>
        </w:rPr>
      </w:pPr>
      <w:r>
        <w:rPr>
          <w:rFonts w:hint="eastAsia" w:ascii="宋体" w:hAnsi="宋体" w:eastAsia="宋体" w:cs="宋体"/>
          <w:i w:val="0"/>
          <w:iCs w:val="0"/>
          <w:caps w:val="0"/>
          <w:color w:val="000000"/>
          <w:spacing w:val="0"/>
          <w:sz w:val="21"/>
          <w:szCs w:val="21"/>
        </w:rPr>
        <w:t>    合同履约期限：标项 1，</w:t>
      </w:r>
      <w:r>
        <w:rPr>
          <w:rFonts w:hint="eastAsia" w:cs="宋体"/>
          <w:i w:val="0"/>
          <w:iCs w:val="0"/>
          <w:caps w:val="0"/>
          <w:color w:val="000000"/>
          <w:spacing w:val="0"/>
          <w:sz w:val="21"/>
          <w:szCs w:val="21"/>
          <w:lang w:eastAsia="zh-CN"/>
        </w:rPr>
        <w:t>合同签订后15天内完成上线布置，并使各项功能达到采购人要求后进行项目初验，初验合格后进入为期三个月的试运行阶段，在此期间所有功能运行正常无误后，进行项目终验。</w:t>
      </w:r>
    </w:p>
    <w:p>
      <w:pPr>
        <w:pStyle w:val="22"/>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本项目（否）接受联合体投标。</w:t>
      </w:r>
    </w:p>
    <w:p>
      <w:pPr>
        <w:pStyle w:val="22"/>
        <w:keepNext w:val="0"/>
        <w:keepLines w:val="0"/>
        <w:widowControl/>
        <w:suppressLineNumbers w:val="0"/>
        <w:spacing w:before="255" w:beforeAutospacing="0" w:after="255" w:afterAutospacing="0" w:line="450" w:lineRule="atLeast"/>
        <w:ind w:left="0" w:right="0"/>
        <w:jc w:val="both"/>
        <w:rPr>
          <w:rFonts w:hint="eastAsia" w:ascii="宋体" w:hAnsi="宋体" w:eastAsia="宋体" w:cs="宋体"/>
          <w:sz w:val="21"/>
          <w:szCs w:val="21"/>
        </w:rPr>
      </w:pPr>
      <w:r>
        <w:rPr>
          <w:rStyle w:val="29"/>
          <w:rFonts w:hint="eastAsia" w:ascii="宋体" w:hAnsi="宋体" w:eastAsia="宋体" w:cs="宋体"/>
          <w:i w:val="0"/>
          <w:iCs w:val="0"/>
          <w:caps w:val="0"/>
          <w:color w:val="000000"/>
          <w:spacing w:val="0"/>
          <w:sz w:val="21"/>
          <w:szCs w:val="21"/>
        </w:rPr>
        <w:t>二、申请人的资格要求：</w:t>
      </w:r>
    </w:p>
    <w:p>
      <w:pPr>
        <w:pStyle w:val="22"/>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1.满足《中华人民共和国政府采购法》第二十二条规定；未被“信用中国”（www.creditchina.gov.cn)、中国政府采购网（www.ccgp.gov.cn）列入失信被执行人、重大税收违法失信主体、政府采购严重违法失信行为记录名单。</w:t>
      </w:r>
    </w:p>
    <w:p>
      <w:pPr>
        <w:pStyle w:val="22"/>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lang w:eastAsia="zh-CN"/>
        </w:rPr>
      </w:pPr>
      <w:r>
        <w:rPr>
          <w:rFonts w:hint="eastAsia" w:ascii="宋体" w:hAnsi="宋体" w:eastAsia="宋体" w:cs="宋体"/>
          <w:i w:val="0"/>
          <w:iCs w:val="0"/>
          <w:caps w:val="0"/>
          <w:color w:val="000000"/>
          <w:spacing w:val="0"/>
          <w:sz w:val="21"/>
          <w:szCs w:val="21"/>
        </w:rPr>
        <w:t>    2.落实政府采购政策需满足的资格要求：标项1：</w:t>
      </w:r>
      <w:r>
        <w:rPr>
          <w:rFonts w:hint="eastAsia" w:cs="宋体"/>
          <w:i w:val="0"/>
          <w:iCs w:val="0"/>
          <w:caps w:val="0"/>
          <w:color w:val="000000"/>
          <w:spacing w:val="0"/>
          <w:sz w:val="21"/>
          <w:szCs w:val="21"/>
          <w:lang w:val="en-US" w:eastAsia="zh-CN"/>
        </w:rPr>
        <w:t>无</w:t>
      </w:r>
    </w:p>
    <w:p>
      <w:pPr>
        <w:pStyle w:val="22"/>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3.本项目的特定资格要求：无</w:t>
      </w:r>
    </w:p>
    <w:p>
      <w:pPr>
        <w:pStyle w:val="22"/>
        <w:keepNext w:val="0"/>
        <w:keepLines w:val="0"/>
        <w:widowControl/>
        <w:suppressLineNumbers w:val="0"/>
        <w:spacing w:before="255" w:beforeAutospacing="0" w:after="255" w:afterAutospacing="0" w:line="450" w:lineRule="atLeast"/>
        <w:ind w:left="0" w:right="0"/>
        <w:jc w:val="both"/>
        <w:rPr>
          <w:rFonts w:hint="eastAsia" w:ascii="宋体" w:hAnsi="宋体" w:eastAsia="宋体" w:cs="宋体"/>
          <w:sz w:val="21"/>
          <w:szCs w:val="21"/>
        </w:rPr>
      </w:pPr>
      <w:r>
        <w:rPr>
          <w:rStyle w:val="29"/>
          <w:rFonts w:hint="eastAsia" w:ascii="宋体" w:hAnsi="宋体" w:eastAsia="宋体" w:cs="宋体"/>
          <w:i w:val="0"/>
          <w:iCs w:val="0"/>
          <w:caps w:val="0"/>
          <w:color w:val="000000"/>
          <w:spacing w:val="0"/>
          <w:sz w:val="21"/>
          <w:szCs w:val="21"/>
        </w:rPr>
        <w:t>三、获取（下载）采购文件</w:t>
      </w:r>
    </w:p>
    <w:p>
      <w:pPr>
        <w:pStyle w:val="22"/>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时间：/至</w:t>
      </w:r>
      <w:r>
        <w:rPr>
          <w:rFonts w:hint="eastAsia" w:cs="宋体"/>
          <w:i w:val="0"/>
          <w:iCs w:val="0"/>
          <w:caps w:val="0"/>
          <w:color w:val="000000"/>
          <w:spacing w:val="0"/>
          <w:sz w:val="21"/>
          <w:szCs w:val="21"/>
          <w:lang w:eastAsia="zh-CN"/>
        </w:rPr>
        <w:t>至2024年6月3日</w:t>
      </w:r>
      <w:r>
        <w:rPr>
          <w:rFonts w:hint="eastAsia" w:ascii="宋体" w:hAnsi="宋体" w:eastAsia="宋体" w:cs="宋体"/>
          <w:i w:val="0"/>
          <w:iCs w:val="0"/>
          <w:caps w:val="0"/>
          <w:color w:val="000000"/>
          <w:spacing w:val="0"/>
          <w:sz w:val="21"/>
          <w:szCs w:val="21"/>
        </w:rPr>
        <w:t>，每天上午00:00至12:00，下午12:00至23:59（北京时间，线上获取法定节假日均可，线下获取文件法定节假日除外）</w:t>
      </w:r>
    </w:p>
    <w:p>
      <w:pPr>
        <w:pStyle w:val="22"/>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地点（网址）：浙江政府采购网http://zfcg.czt.zj.gov.cn/（用“政采云”注册账号、密码登录系统后获取磋商文件）</w:t>
      </w:r>
    </w:p>
    <w:p>
      <w:pPr>
        <w:pStyle w:val="22"/>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方式：网上获取。免费注册网址：浙江政府采购网（供应商注册页面）：https://middle.zcygov.cn/settle-front/#/registry“政采云”，已经注册成功的供应商无需重复注册，本项目实行电子投标。响应人在使用系统进行投标的过程中涉及平台使用的任何问题可致电政采云平台技术支持热线：95763。</w:t>
      </w:r>
    </w:p>
    <w:p>
      <w:pPr>
        <w:pStyle w:val="22"/>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售价（元）：0</w:t>
      </w:r>
    </w:p>
    <w:p>
      <w:pPr>
        <w:pStyle w:val="22"/>
        <w:keepNext w:val="0"/>
        <w:keepLines w:val="0"/>
        <w:widowControl/>
        <w:suppressLineNumbers w:val="0"/>
        <w:spacing w:before="255" w:beforeAutospacing="0" w:after="255" w:afterAutospacing="0" w:line="450" w:lineRule="atLeast"/>
        <w:ind w:left="0" w:right="0"/>
        <w:jc w:val="both"/>
        <w:rPr>
          <w:rFonts w:hint="eastAsia" w:ascii="宋体" w:hAnsi="宋体" w:eastAsia="宋体" w:cs="宋体"/>
          <w:sz w:val="21"/>
          <w:szCs w:val="21"/>
        </w:rPr>
      </w:pPr>
      <w:r>
        <w:rPr>
          <w:rStyle w:val="29"/>
          <w:rFonts w:hint="eastAsia" w:ascii="宋体" w:hAnsi="宋体" w:eastAsia="宋体" w:cs="宋体"/>
          <w:i w:val="0"/>
          <w:iCs w:val="0"/>
          <w:caps w:val="0"/>
          <w:color w:val="000000"/>
          <w:spacing w:val="0"/>
          <w:sz w:val="21"/>
          <w:szCs w:val="21"/>
        </w:rPr>
        <w:t>四、响应文件提交（上传）</w:t>
      </w:r>
    </w:p>
    <w:p>
      <w:pPr>
        <w:pStyle w:val="22"/>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截止时间：</w:t>
      </w:r>
      <w:r>
        <w:rPr>
          <w:rFonts w:hint="eastAsia" w:cs="宋体"/>
          <w:i w:val="0"/>
          <w:iCs w:val="0"/>
          <w:caps w:val="0"/>
          <w:color w:val="000000"/>
          <w:spacing w:val="0"/>
          <w:sz w:val="21"/>
          <w:szCs w:val="21"/>
          <w:lang w:eastAsia="zh-CN"/>
        </w:rPr>
        <w:t>2024年6月3日 14:30</w:t>
      </w:r>
      <w:r>
        <w:rPr>
          <w:rFonts w:hint="eastAsia" w:ascii="宋体" w:hAnsi="宋体" w:eastAsia="宋体" w:cs="宋体"/>
          <w:i w:val="0"/>
          <w:iCs w:val="0"/>
          <w:caps w:val="0"/>
          <w:color w:val="000000"/>
          <w:spacing w:val="0"/>
          <w:sz w:val="21"/>
          <w:szCs w:val="21"/>
        </w:rPr>
        <w:t>（北京时间）</w:t>
      </w:r>
    </w:p>
    <w:p>
      <w:pPr>
        <w:pStyle w:val="22"/>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地点（网址）：本项目不要求供应商授权代表参加现场开标、开启响应文件活动。响应人将加密的电子版投标文件于投标截止时间前上传到政采云系统中。响应人将备份投标文件于</w:t>
      </w:r>
      <w:r>
        <w:rPr>
          <w:rFonts w:hint="eastAsia" w:cs="宋体"/>
          <w:i w:val="0"/>
          <w:iCs w:val="0"/>
          <w:caps w:val="0"/>
          <w:color w:val="000000"/>
          <w:spacing w:val="0"/>
          <w:sz w:val="21"/>
          <w:szCs w:val="21"/>
          <w:lang w:eastAsia="zh-CN"/>
        </w:rPr>
        <w:t>2024年5月31日17:00</w:t>
      </w:r>
      <w:r>
        <w:rPr>
          <w:rFonts w:hint="eastAsia" w:ascii="宋体" w:hAnsi="宋体" w:eastAsia="宋体" w:cs="宋体"/>
          <w:i w:val="0"/>
          <w:iCs w:val="0"/>
          <w:caps w:val="0"/>
          <w:color w:val="000000"/>
          <w:spacing w:val="0"/>
          <w:sz w:val="21"/>
          <w:szCs w:val="21"/>
        </w:rPr>
        <w:t>（北京时间）前通过邮寄或派人递送的方式送交到采购代理机构处（地址：</w:t>
      </w:r>
      <w:r>
        <w:rPr>
          <w:rFonts w:hint="eastAsia" w:cs="宋体"/>
          <w:i w:val="0"/>
          <w:iCs w:val="0"/>
          <w:caps w:val="0"/>
          <w:color w:val="000000"/>
          <w:spacing w:val="0"/>
          <w:sz w:val="21"/>
          <w:szCs w:val="21"/>
          <w:lang w:eastAsia="zh-CN"/>
        </w:rPr>
        <w:t>浙江省舟山市定海区港岛路98号高智大厦1303室</w:t>
      </w:r>
      <w:r>
        <w:rPr>
          <w:rFonts w:hint="eastAsia" w:ascii="宋体" w:hAnsi="宋体" w:eastAsia="宋体" w:cs="宋体"/>
          <w:i w:val="0"/>
          <w:iCs w:val="0"/>
          <w:caps w:val="0"/>
          <w:color w:val="000000"/>
          <w:spacing w:val="0"/>
          <w:sz w:val="21"/>
          <w:szCs w:val="21"/>
        </w:rPr>
        <w:t>；联系人：</w:t>
      </w:r>
      <w:r>
        <w:rPr>
          <w:rFonts w:hint="eastAsia" w:cs="宋体"/>
          <w:i w:val="0"/>
          <w:iCs w:val="0"/>
          <w:caps w:val="0"/>
          <w:color w:val="000000"/>
          <w:spacing w:val="0"/>
          <w:sz w:val="21"/>
          <w:szCs w:val="21"/>
          <w:lang w:eastAsia="zh-CN"/>
        </w:rPr>
        <w:t>尹思寒</w:t>
      </w:r>
      <w:r>
        <w:rPr>
          <w:rFonts w:hint="eastAsia" w:ascii="宋体" w:hAnsi="宋体" w:eastAsia="宋体" w:cs="宋体"/>
          <w:i w:val="0"/>
          <w:iCs w:val="0"/>
          <w:caps w:val="0"/>
          <w:color w:val="000000"/>
          <w:spacing w:val="0"/>
          <w:sz w:val="21"/>
          <w:szCs w:val="21"/>
        </w:rPr>
        <w:t>；联系方式：</w:t>
      </w:r>
      <w:r>
        <w:rPr>
          <w:rFonts w:hint="eastAsia" w:cs="宋体"/>
          <w:i w:val="0"/>
          <w:iCs w:val="0"/>
          <w:caps w:val="0"/>
          <w:color w:val="000000"/>
          <w:spacing w:val="0"/>
          <w:sz w:val="21"/>
          <w:szCs w:val="21"/>
          <w:lang w:eastAsia="zh-CN"/>
        </w:rPr>
        <w:t>0580-8177988</w:t>
      </w:r>
      <w:r>
        <w:rPr>
          <w:rFonts w:hint="eastAsia" w:ascii="宋体" w:hAnsi="宋体" w:eastAsia="宋体" w:cs="宋体"/>
          <w:i w:val="0"/>
          <w:iCs w:val="0"/>
          <w:caps w:val="0"/>
          <w:color w:val="000000"/>
          <w:spacing w:val="0"/>
          <w:sz w:val="21"/>
          <w:szCs w:val="21"/>
        </w:rPr>
        <w:t>），也可以在开标时间前送至开标地点，未按时送达的自行承担风险。备份投标文件须密封完好，并注明响应人单位名称。响应人未按规定递交的备份投标文件，采购人有权拒收。</w:t>
      </w:r>
    </w:p>
    <w:p>
      <w:pPr>
        <w:pStyle w:val="22"/>
        <w:keepNext w:val="0"/>
        <w:keepLines w:val="0"/>
        <w:widowControl/>
        <w:suppressLineNumbers w:val="0"/>
        <w:spacing w:before="255" w:beforeAutospacing="0" w:after="255" w:afterAutospacing="0" w:line="450" w:lineRule="atLeast"/>
        <w:ind w:left="0" w:right="0"/>
        <w:jc w:val="both"/>
        <w:rPr>
          <w:rFonts w:hint="eastAsia" w:ascii="宋体" w:hAnsi="宋体" w:eastAsia="宋体" w:cs="宋体"/>
          <w:sz w:val="21"/>
          <w:szCs w:val="21"/>
        </w:rPr>
      </w:pPr>
      <w:r>
        <w:rPr>
          <w:rStyle w:val="29"/>
          <w:rFonts w:hint="eastAsia" w:ascii="宋体" w:hAnsi="宋体" w:eastAsia="宋体" w:cs="宋体"/>
          <w:i w:val="0"/>
          <w:iCs w:val="0"/>
          <w:caps w:val="0"/>
          <w:color w:val="000000"/>
          <w:spacing w:val="0"/>
          <w:sz w:val="21"/>
          <w:szCs w:val="21"/>
        </w:rPr>
        <w:t>五、响应文件开启</w:t>
      </w:r>
    </w:p>
    <w:p>
      <w:pPr>
        <w:pStyle w:val="22"/>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开启时间：</w:t>
      </w:r>
      <w:r>
        <w:rPr>
          <w:rFonts w:hint="eastAsia" w:cs="宋体"/>
          <w:i w:val="0"/>
          <w:iCs w:val="0"/>
          <w:caps w:val="0"/>
          <w:color w:val="000000"/>
          <w:spacing w:val="0"/>
          <w:sz w:val="21"/>
          <w:szCs w:val="21"/>
          <w:lang w:eastAsia="zh-CN"/>
        </w:rPr>
        <w:t>2024年6月3日 14:30</w:t>
      </w:r>
      <w:r>
        <w:rPr>
          <w:rFonts w:hint="eastAsia" w:ascii="宋体" w:hAnsi="宋体" w:eastAsia="宋体" w:cs="宋体"/>
          <w:i w:val="0"/>
          <w:iCs w:val="0"/>
          <w:caps w:val="0"/>
          <w:color w:val="000000"/>
          <w:spacing w:val="0"/>
          <w:sz w:val="21"/>
          <w:szCs w:val="21"/>
        </w:rPr>
        <w:t>（北京时间）</w:t>
      </w:r>
    </w:p>
    <w:p>
      <w:pPr>
        <w:pStyle w:val="22"/>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地点（网址）：</w:t>
      </w:r>
      <w:r>
        <w:rPr>
          <w:rFonts w:hint="eastAsia" w:ascii="宋体" w:hAnsi="宋体" w:eastAsia="宋体" w:cs="宋体"/>
          <w:i w:val="0"/>
          <w:iCs w:val="0"/>
          <w:caps w:val="0"/>
          <w:color w:val="000000"/>
          <w:spacing w:val="0"/>
          <w:sz w:val="21"/>
          <w:szCs w:val="21"/>
          <w:highlight w:val="none"/>
        </w:rPr>
        <w:t>岱山县高亭镇星河路250号3楼（交通大楼裙楼3楼）</w:t>
      </w:r>
    </w:p>
    <w:p>
      <w:pPr>
        <w:pStyle w:val="22"/>
        <w:keepNext w:val="0"/>
        <w:keepLines w:val="0"/>
        <w:widowControl/>
        <w:suppressLineNumbers w:val="0"/>
        <w:spacing w:before="255" w:beforeAutospacing="0" w:after="255" w:afterAutospacing="0" w:line="300" w:lineRule="atLeast"/>
        <w:ind w:left="0" w:right="0"/>
        <w:jc w:val="both"/>
        <w:rPr>
          <w:rFonts w:hint="eastAsia" w:ascii="宋体" w:hAnsi="宋体" w:eastAsia="宋体" w:cs="宋体"/>
          <w:sz w:val="21"/>
          <w:szCs w:val="21"/>
        </w:rPr>
      </w:pPr>
      <w:r>
        <w:rPr>
          <w:rStyle w:val="29"/>
          <w:rFonts w:hint="eastAsia" w:ascii="宋体" w:hAnsi="宋体" w:eastAsia="宋体" w:cs="宋体"/>
          <w:i w:val="0"/>
          <w:iCs w:val="0"/>
          <w:caps w:val="0"/>
          <w:color w:val="000000"/>
          <w:spacing w:val="0"/>
          <w:sz w:val="21"/>
          <w:szCs w:val="21"/>
        </w:rPr>
        <w:t>六、采购意向公开链接</w:t>
      </w:r>
    </w:p>
    <w:p>
      <w:pPr>
        <w:pStyle w:val="22"/>
        <w:keepNext w:val="0"/>
        <w:keepLines w:val="0"/>
        <w:widowControl/>
        <w:suppressLineNumbers w:val="0"/>
        <w:spacing w:before="255" w:beforeAutospacing="0" w:after="255" w:afterAutospacing="0" w:line="300" w:lineRule="atLeast"/>
        <w:ind w:left="0" w:right="0"/>
        <w:jc w:val="both"/>
        <w:rPr>
          <w:rFonts w:hint="eastAsia" w:ascii="宋体" w:hAnsi="宋体" w:eastAsia="宋体" w:cs="宋体"/>
          <w:sz w:val="21"/>
          <w:szCs w:val="21"/>
          <w:lang w:eastAsia="zh-CN"/>
        </w:rPr>
      </w:pPr>
      <w:r>
        <w:rPr>
          <w:rFonts w:hint="eastAsia" w:ascii="宋体" w:hAnsi="宋体" w:eastAsia="宋体" w:cs="宋体"/>
          <w:i w:val="0"/>
          <w:iCs w:val="0"/>
          <w:caps w:val="0"/>
          <w:color w:val="000000"/>
          <w:spacing w:val="0"/>
          <w:sz w:val="21"/>
          <w:szCs w:val="21"/>
        </w:rPr>
        <w:t>    </w:t>
      </w:r>
      <w:r>
        <w:rPr>
          <w:rStyle w:val="33"/>
          <w:rFonts w:hint="eastAsia" w:cs="宋体"/>
          <w:i w:val="0"/>
          <w:iCs w:val="0"/>
          <w:caps w:val="0"/>
          <w:color w:val="000000"/>
          <w:spacing w:val="0"/>
          <w:sz w:val="21"/>
          <w:szCs w:val="21"/>
          <w:lang w:eastAsia="zh-CN"/>
        </w:rPr>
        <w:t>https://zfcg.czt.zj.gov.cn/site/detail?parentId=600007&amp;articleId=i1DXZ%2F8sQwl%2FrPoDaF0nKw%3D%3D&amp;utm=site.site-PC-37000.979-pc-websitegroup-zhejiang-secondPage-front.1.b19054c00b7511efb18573e890ab20b</w:t>
      </w:r>
    </w:p>
    <w:p>
      <w:pPr>
        <w:pStyle w:val="22"/>
        <w:keepNext w:val="0"/>
        <w:keepLines w:val="0"/>
        <w:widowControl/>
        <w:suppressLineNumbers w:val="0"/>
        <w:spacing w:before="255" w:beforeAutospacing="0" w:after="255" w:afterAutospacing="0" w:line="450" w:lineRule="atLeast"/>
        <w:ind w:left="0" w:right="0"/>
        <w:jc w:val="both"/>
        <w:rPr>
          <w:rFonts w:hint="eastAsia" w:ascii="宋体" w:hAnsi="宋体" w:eastAsia="宋体" w:cs="宋体"/>
          <w:sz w:val="21"/>
          <w:szCs w:val="21"/>
        </w:rPr>
      </w:pPr>
      <w:r>
        <w:rPr>
          <w:rStyle w:val="29"/>
          <w:rFonts w:hint="eastAsia" w:ascii="宋体" w:hAnsi="宋体" w:eastAsia="宋体" w:cs="宋体"/>
          <w:i w:val="0"/>
          <w:iCs w:val="0"/>
          <w:caps w:val="0"/>
          <w:color w:val="000000"/>
          <w:spacing w:val="0"/>
          <w:sz w:val="21"/>
          <w:szCs w:val="21"/>
        </w:rPr>
        <w:t>七、公告期限</w:t>
      </w:r>
    </w:p>
    <w:p>
      <w:pPr>
        <w:pStyle w:val="22"/>
        <w:keepNext w:val="0"/>
        <w:keepLines w:val="0"/>
        <w:widowControl/>
        <w:suppressLineNumbers w:val="0"/>
        <w:spacing w:before="75" w:beforeAutospacing="0" w:after="75" w:afterAutospacing="0"/>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自本公告发布之日起3个工作日。</w:t>
      </w:r>
    </w:p>
    <w:p>
      <w:pPr>
        <w:pStyle w:val="22"/>
        <w:keepNext w:val="0"/>
        <w:keepLines w:val="0"/>
        <w:widowControl/>
        <w:suppressLineNumbers w:val="0"/>
        <w:spacing w:before="255" w:beforeAutospacing="0" w:after="255" w:afterAutospacing="0" w:line="450" w:lineRule="atLeast"/>
        <w:ind w:left="0" w:right="0"/>
        <w:jc w:val="both"/>
        <w:rPr>
          <w:rFonts w:hint="eastAsia" w:ascii="宋体" w:hAnsi="宋体" w:eastAsia="宋体" w:cs="宋体"/>
          <w:sz w:val="21"/>
          <w:szCs w:val="21"/>
        </w:rPr>
      </w:pPr>
      <w:r>
        <w:rPr>
          <w:rStyle w:val="29"/>
          <w:rFonts w:hint="eastAsia" w:ascii="宋体" w:hAnsi="宋体" w:eastAsia="宋体" w:cs="宋体"/>
          <w:i w:val="0"/>
          <w:iCs w:val="0"/>
          <w:caps w:val="0"/>
          <w:color w:val="000000"/>
          <w:spacing w:val="0"/>
          <w:sz w:val="21"/>
          <w:szCs w:val="21"/>
        </w:rPr>
        <w:t>八、其他补充事宜</w:t>
      </w:r>
    </w:p>
    <w:p>
      <w:pPr>
        <w:pStyle w:val="22"/>
        <w:keepNext w:val="0"/>
        <w:keepLines w:val="0"/>
        <w:widowControl/>
        <w:suppressLineNumbers w:val="0"/>
        <w:spacing w:before="75" w:beforeAutospacing="0" w:after="75" w:afterAutospacing="0" w:line="315"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22"/>
        <w:keepNext w:val="0"/>
        <w:keepLines w:val="0"/>
        <w:widowControl/>
        <w:suppressLineNumbers w:val="0"/>
        <w:spacing w:before="75" w:beforeAutospacing="0" w:after="75" w:afterAutospacing="0" w:line="315"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22"/>
        <w:keepNext w:val="0"/>
        <w:keepLines w:val="0"/>
        <w:widowControl/>
        <w:suppressLineNumbers w:val="0"/>
        <w:spacing w:before="75" w:beforeAutospacing="0" w:after="75" w:afterAutospacing="0" w:line="315" w:lineRule="atLeast"/>
        <w:ind w:left="0" w:right="0"/>
        <w:rPr>
          <w:rFonts w:hint="eastAsia" w:ascii="宋体" w:hAnsi="宋体" w:eastAsia="宋体" w:cs="宋体"/>
          <w:i w:val="0"/>
          <w:iCs w:val="0"/>
          <w:caps w:val="0"/>
          <w:color w:val="000000"/>
          <w:spacing w:val="0"/>
          <w:sz w:val="21"/>
          <w:szCs w:val="21"/>
          <w:lang w:eastAsia="zh-CN"/>
        </w:rPr>
      </w:pPr>
      <w:r>
        <w:rPr>
          <w:rFonts w:hint="eastAsia" w:ascii="宋体" w:hAnsi="宋体" w:eastAsia="宋体" w:cs="宋体"/>
          <w:i w:val="0"/>
          <w:iCs w:val="0"/>
          <w:caps w:val="0"/>
          <w:color w:val="000000"/>
          <w:spacing w:val="0"/>
          <w:sz w:val="21"/>
          <w:szCs w:val="21"/>
        </w:rPr>
        <w:t>　　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22"/>
        <w:keepNext w:val="0"/>
        <w:keepLines w:val="0"/>
        <w:widowControl/>
        <w:suppressLineNumbers w:val="0"/>
        <w:spacing w:before="75" w:beforeAutospacing="0" w:after="75" w:afterAutospacing="0" w:line="315"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4.其他事项：（1）响应文件的制作及递交：1）响应人须在线获取CA数字证书（完成CA数字证书办理预计一周左右，建议各响应人自行把握时间），并登录“浙江政府采购网”（ http://zfcg.czt.zj.gov.cn/），进入“下载专区”下载“电子交易客户端”，制作响应文件。2）具体的响应文件加密上传等操作详见政采云平台操作指南（https://edu.zcygov.cn/luban/e-biding?utm=a0004.2ef5001f.0001.0109.da8b35e0da8611e98d8937b7ef8a3544）。3）根据《浙江省政府采购项目电子交易管理暂行办法》第二十条规定，本次投标允许响应人递交备份投标文件，仅提交备份投标文件的，投标无效。（2）响应人应在合同签订前成为浙江政府采购网正式注册供应商。</w:t>
      </w:r>
    </w:p>
    <w:p>
      <w:pPr>
        <w:pStyle w:val="22"/>
        <w:keepNext w:val="0"/>
        <w:keepLines w:val="0"/>
        <w:widowControl/>
        <w:suppressLineNumbers w:val="0"/>
        <w:spacing w:before="75" w:beforeAutospacing="0" w:after="75" w:afterAutospacing="0" w:line="315" w:lineRule="atLeast"/>
        <w:ind w:left="0" w:right="0"/>
        <w:rPr>
          <w:rFonts w:hint="eastAsia" w:ascii="宋体" w:hAnsi="宋体" w:eastAsia="宋体" w:cs="宋体"/>
          <w:sz w:val="21"/>
          <w:szCs w:val="21"/>
        </w:rPr>
      </w:pPr>
    </w:p>
    <w:p>
      <w:pPr>
        <w:pStyle w:val="22"/>
        <w:keepNext w:val="0"/>
        <w:keepLines w:val="0"/>
        <w:widowControl/>
        <w:suppressLineNumbers w:val="0"/>
        <w:spacing w:before="255" w:beforeAutospacing="0" w:after="255" w:afterAutospacing="0" w:line="480" w:lineRule="atLeast"/>
        <w:ind w:left="0" w:right="0"/>
        <w:jc w:val="both"/>
        <w:rPr>
          <w:rFonts w:hint="eastAsia" w:ascii="宋体" w:hAnsi="宋体" w:eastAsia="宋体" w:cs="宋体"/>
          <w:sz w:val="21"/>
          <w:szCs w:val="21"/>
        </w:rPr>
      </w:pPr>
      <w:r>
        <w:rPr>
          <w:rStyle w:val="29"/>
          <w:rFonts w:hint="eastAsia" w:ascii="宋体" w:hAnsi="宋体" w:eastAsia="宋体" w:cs="宋体"/>
          <w:i w:val="0"/>
          <w:iCs w:val="0"/>
          <w:caps w:val="0"/>
          <w:color w:val="000000"/>
          <w:spacing w:val="0"/>
          <w:sz w:val="21"/>
          <w:szCs w:val="21"/>
        </w:rPr>
        <w:t>九、凡对本次招标提出询问、质疑、投诉，请按以下方式联系</w:t>
      </w:r>
    </w:p>
    <w:p>
      <w:pPr>
        <w:pStyle w:val="22"/>
        <w:keepNext w:val="0"/>
        <w:keepLines w:val="0"/>
        <w:widowControl/>
        <w:suppressLineNumbers w:val="0"/>
        <w:spacing w:before="75" w:beforeAutospacing="0" w:after="75" w:afterAutospacing="0" w:line="240" w:lineRule="auto"/>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1.采购人信息</w:t>
      </w:r>
    </w:p>
    <w:p>
      <w:pPr>
        <w:pStyle w:val="22"/>
        <w:keepNext w:val="0"/>
        <w:keepLines w:val="0"/>
        <w:widowControl/>
        <w:suppressLineNumbers w:val="0"/>
        <w:spacing w:before="75" w:beforeAutospacing="0" w:after="75" w:afterAutospacing="0" w:line="240" w:lineRule="auto"/>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名 称：岱山县经济和信息化局</w:t>
      </w:r>
    </w:p>
    <w:p>
      <w:pPr>
        <w:pStyle w:val="22"/>
        <w:keepNext w:val="0"/>
        <w:keepLines w:val="0"/>
        <w:widowControl/>
        <w:suppressLineNumbers w:val="0"/>
        <w:spacing w:before="75" w:beforeAutospacing="0" w:after="75" w:afterAutospacing="0" w:line="240" w:lineRule="auto"/>
        <w:ind w:left="0" w:right="0"/>
        <w:rPr>
          <w:rFonts w:hint="eastAsia" w:ascii="宋体" w:hAnsi="宋体" w:eastAsia="宋体" w:cs="宋体"/>
          <w:sz w:val="21"/>
          <w:szCs w:val="21"/>
          <w:lang w:eastAsia="zh-CN"/>
        </w:rPr>
      </w:pPr>
      <w:r>
        <w:rPr>
          <w:rFonts w:hint="eastAsia" w:ascii="宋体" w:hAnsi="宋体" w:eastAsia="宋体" w:cs="宋体"/>
          <w:i w:val="0"/>
          <w:iCs w:val="0"/>
          <w:caps w:val="0"/>
          <w:color w:val="000000"/>
          <w:spacing w:val="0"/>
          <w:sz w:val="21"/>
          <w:szCs w:val="21"/>
        </w:rPr>
        <w:t>    地 址：</w:t>
      </w:r>
      <w:r>
        <w:rPr>
          <w:rFonts w:hint="eastAsia" w:cs="宋体"/>
          <w:i w:val="0"/>
          <w:iCs w:val="0"/>
          <w:caps w:val="0"/>
          <w:color w:val="000000"/>
          <w:spacing w:val="0"/>
          <w:sz w:val="21"/>
          <w:szCs w:val="21"/>
          <w:lang w:eastAsia="zh-CN"/>
        </w:rPr>
        <w:t>浙江省岱山县鱼山大道681号</w:t>
      </w:r>
    </w:p>
    <w:p>
      <w:pPr>
        <w:pStyle w:val="22"/>
        <w:keepNext w:val="0"/>
        <w:keepLines w:val="0"/>
        <w:widowControl/>
        <w:suppressLineNumbers w:val="0"/>
        <w:spacing w:before="75" w:beforeAutospacing="0" w:after="75" w:afterAutospacing="0" w:line="240" w:lineRule="auto"/>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传 真：</w:t>
      </w:r>
    </w:p>
    <w:p>
      <w:pPr>
        <w:pStyle w:val="22"/>
        <w:keepNext w:val="0"/>
        <w:keepLines w:val="0"/>
        <w:widowControl/>
        <w:suppressLineNumbers w:val="0"/>
        <w:spacing w:before="75" w:beforeAutospacing="0" w:after="75" w:afterAutospacing="0" w:line="240" w:lineRule="auto"/>
        <w:ind w:left="0" w:right="0"/>
        <w:rPr>
          <w:rFonts w:hint="eastAsia" w:ascii="宋体" w:hAnsi="宋体" w:eastAsia="宋体" w:cs="宋体"/>
          <w:sz w:val="21"/>
          <w:szCs w:val="21"/>
          <w:lang w:eastAsia="zh-CN"/>
        </w:rPr>
      </w:pPr>
      <w:r>
        <w:rPr>
          <w:rFonts w:hint="eastAsia" w:ascii="宋体" w:hAnsi="宋体" w:eastAsia="宋体" w:cs="宋体"/>
          <w:i w:val="0"/>
          <w:iCs w:val="0"/>
          <w:caps w:val="0"/>
          <w:color w:val="000000"/>
          <w:spacing w:val="0"/>
          <w:sz w:val="21"/>
          <w:szCs w:val="21"/>
        </w:rPr>
        <w:t>    项目联系人（询问）：</w:t>
      </w:r>
      <w:r>
        <w:rPr>
          <w:rFonts w:hint="eastAsia" w:cs="宋体"/>
          <w:i w:val="0"/>
          <w:iCs w:val="0"/>
          <w:caps w:val="0"/>
          <w:color w:val="000000"/>
          <w:spacing w:val="0"/>
          <w:sz w:val="21"/>
          <w:szCs w:val="21"/>
          <w:lang w:eastAsia="zh-CN"/>
        </w:rPr>
        <w:t>胡斌</w:t>
      </w:r>
    </w:p>
    <w:p>
      <w:pPr>
        <w:pStyle w:val="22"/>
        <w:keepNext w:val="0"/>
        <w:keepLines w:val="0"/>
        <w:widowControl/>
        <w:suppressLineNumbers w:val="0"/>
        <w:spacing w:before="75" w:beforeAutospacing="0" w:after="75" w:afterAutospacing="0" w:line="240" w:lineRule="auto"/>
        <w:ind w:left="0" w:right="0"/>
        <w:rPr>
          <w:rFonts w:hint="eastAsia" w:ascii="宋体" w:hAnsi="宋体" w:eastAsia="宋体" w:cs="宋体"/>
          <w:sz w:val="21"/>
          <w:szCs w:val="21"/>
          <w:lang w:eastAsia="zh-CN"/>
        </w:rPr>
      </w:pPr>
      <w:r>
        <w:rPr>
          <w:rFonts w:hint="eastAsia" w:ascii="宋体" w:hAnsi="宋体" w:eastAsia="宋体" w:cs="宋体"/>
          <w:i w:val="0"/>
          <w:iCs w:val="0"/>
          <w:caps w:val="0"/>
          <w:color w:val="000000"/>
          <w:spacing w:val="0"/>
          <w:sz w:val="21"/>
          <w:szCs w:val="21"/>
        </w:rPr>
        <w:t>    项目联系方式（询问）：</w:t>
      </w:r>
      <w:r>
        <w:rPr>
          <w:rFonts w:hint="eastAsia" w:cs="宋体"/>
          <w:i w:val="0"/>
          <w:iCs w:val="0"/>
          <w:caps w:val="0"/>
          <w:color w:val="000000"/>
          <w:spacing w:val="0"/>
          <w:sz w:val="21"/>
          <w:szCs w:val="21"/>
          <w:lang w:eastAsia="zh-CN"/>
        </w:rPr>
        <w:t>13906800380</w:t>
      </w:r>
    </w:p>
    <w:p>
      <w:pPr>
        <w:pStyle w:val="22"/>
        <w:keepNext w:val="0"/>
        <w:keepLines w:val="0"/>
        <w:widowControl/>
        <w:suppressLineNumbers w:val="0"/>
        <w:spacing w:before="75" w:beforeAutospacing="0" w:after="75" w:afterAutospacing="0" w:line="240" w:lineRule="auto"/>
        <w:ind w:left="0" w:right="0"/>
        <w:rPr>
          <w:rFonts w:hint="eastAsia" w:ascii="宋体" w:hAnsi="宋体" w:eastAsia="宋体" w:cs="宋体"/>
          <w:sz w:val="21"/>
          <w:szCs w:val="21"/>
          <w:lang w:eastAsia="zh-CN"/>
        </w:rPr>
      </w:pPr>
      <w:r>
        <w:rPr>
          <w:rFonts w:hint="eastAsia" w:ascii="宋体" w:hAnsi="宋体" w:eastAsia="宋体" w:cs="宋体"/>
          <w:i w:val="0"/>
          <w:iCs w:val="0"/>
          <w:caps w:val="0"/>
          <w:color w:val="000000"/>
          <w:spacing w:val="0"/>
          <w:sz w:val="21"/>
          <w:szCs w:val="21"/>
        </w:rPr>
        <w:t>    质疑联系人：</w:t>
      </w:r>
      <w:r>
        <w:rPr>
          <w:rFonts w:hint="eastAsia" w:cs="宋体"/>
          <w:i w:val="0"/>
          <w:iCs w:val="0"/>
          <w:caps w:val="0"/>
          <w:color w:val="000000"/>
          <w:spacing w:val="0"/>
          <w:sz w:val="21"/>
          <w:szCs w:val="21"/>
          <w:lang w:val="en-US" w:eastAsia="zh-CN"/>
        </w:rPr>
        <w:t>童良波</w:t>
      </w:r>
    </w:p>
    <w:p>
      <w:pPr>
        <w:pStyle w:val="22"/>
        <w:keepNext w:val="0"/>
        <w:keepLines w:val="0"/>
        <w:widowControl/>
        <w:suppressLineNumbers w:val="0"/>
        <w:spacing w:before="75" w:beforeAutospacing="0" w:after="75" w:afterAutospacing="0" w:line="240" w:lineRule="auto"/>
        <w:ind w:left="0" w:right="0"/>
        <w:rPr>
          <w:rFonts w:hint="eastAsia" w:ascii="宋体" w:hAnsi="宋体" w:eastAsia="宋体" w:cs="宋体"/>
          <w:sz w:val="21"/>
          <w:szCs w:val="21"/>
          <w:lang w:eastAsia="zh-CN"/>
        </w:rPr>
      </w:pPr>
      <w:r>
        <w:rPr>
          <w:rFonts w:hint="eastAsia" w:ascii="宋体" w:hAnsi="宋体" w:eastAsia="宋体" w:cs="宋体"/>
          <w:i w:val="0"/>
          <w:iCs w:val="0"/>
          <w:caps w:val="0"/>
          <w:color w:val="000000"/>
          <w:spacing w:val="0"/>
          <w:sz w:val="21"/>
          <w:szCs w:val="21"/>
        </w:rPr>
        <w:t>    质疑联系方式：</w:t>
      </w:r>
      <w:r>
        <w:rPr>
          <w:rFonts w:hint="eastAsia" w:cs="宋体"/>
          <w:i w:val="0"/>
          <w:iCs w:val="0"/>
          <w:caps w:val="0"/>
          <w:color w:val="000000"/>
          <w:spacing w:val="0"/>
          <w:sz w:val="21"/>
          <w:szCs w:val="21"/>
          <w:lang w:val="en-US" w:eastAsia="zh-CN"/>
        </w:rPr>
        <w:t>13750727540</w:t>
      </w:r>
    </w:p>
    <w:p>
      <w:pPr>
        <w:pStyle w:val="22"/>
        <w:keepNext w:val="0"/>
        <w:keepLines w:val="0"/>
        <w:widowControl/>
        <w:suppressLineNumbers w:val="0"/>
        <w:spacing w:before="75" w:beforeAutospacing="0" w:after="75" w:afterAutospacing="0" w:line="240" w:lineRule="auto"/>
        <w:ind w:left="0" w:right="0"/>
        <w:rPr>
          <w:rFonts w:hint="eastAsia" w:ascii="宋体" w:hAnsi="宋体" w:eastAsia="宋体" w:cs="宋体"/>
          <w:i w:val="0"/>
          <w:iCs w:val="0"/>
          <w:caps w:val="0"/>
          <w:color w:val="000000"/>
          <w:spacing w:val="0"/>
          <w:sz w:val="21"/>
          <w:szCs w:val="21"/>
          <w:lang w:eastAsia="zh-CN"/>
        </w:rPr>
      </w:pPr>
    </w:p>
    <w:p>
      <w:pPr>
        <w:pStyle w:val="22"/>
        <w:keepNext w:val="0"/>
        <w:keepLines w:val="0"/>
        <w:widowControl/>
        <w:suppressLineNumbers w:val="0"/>
        <w:spacing w:before="75" w:beforeAutospacing="0" w:after="75" w:afterAutospacing="0" w:line="240" w:lineRule="auto"/>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2.采购代理机构信息</w:t>
      </w:r>
    </w:p>
    <w:p>
      <w:pPr>
        <w:pStyle w:val="22"/>
        <w:keepNext w:val="0"/>
        <w:keepLines w:val="0"/>
        <w:widowControl/>
        <w:suppressLineNumbers w:val="0"/>
        <w:spacing w:before="75" w:beforeAutospacing="0" w:after="75" w:afterAutospacing="0" w:line="240" w:lineRule="auto"/>
        <w:ind w:left="0" w:right="0"/>
        <w:rPr>
          <w:rFonts w:hint="eastAsia" w:ascii="宋体" w:hAnsi="宋体" w:eastAsia="宋体" w:cs="宋体"/>
          <w:sz w:val="21"/>
          <w:szCs w:val="21"/>
          <w:lang w:eastAsia="zh-CN"/>
        </w:rPr>
      </w:pPr>
      <w:r>
        <w:rPr>
          <w:rFonts w:hint="eastAsia" w:ascii="宋体" w:hAnsi="宋体" w:eastAsia="宋体" w:cs="宋体"/>
          <w:i w:val="0"/>
          <w:iCs w:val="0"/>
          <w:caps w:val="0"/>
          <w:color w:val="000000"/>
          <w:spacing w:val="0"/>
          <w:sz w:val="21"/>
          <w:szCs w:val="21"/>
        </w:rPr>
        <w:t>    名 称：</w:t>
      </w:r>
      <w:r>
        <w:rPr>
          <w:rFonts w:hint="eastAsia" w:cs="宋体"/>
          <w:i w:val="0"/>
          <w:iCs w:val="0"/>
          <w:caps w:val="0"/>
          <w:color w:val="000000"/>
          <w:spacing w:val="0"/>
          <w:sz w:val="21"/>
          <w:szCs w:val="21"/>
          <w:lang w:eastAsia="zh-CN"/>
        </w:rPr>
        <w:t>浙江天勤信息技术监理有限公司</w:t>
      </w:r>
    </w:p>
    <w:p>
      <w:pPr>
        <w:pStyle w:val="22"/>
        <w:keepNext w:val="0"/>
        <w:keepLines w:val="0"/>
        <w:widowControl/>
        <w:suppressLineNumbers w:val="0"/>
        <w:spacing w:before="75" w:beforeAutospacing="0" w:after="75" w:afterAutospacing="0" w:line="240" w:lineRule="auto"/>
        <w:ind w:left="0" w:right="0"/>
        <w:rPr>
          <w:rFonts w:hint="eastAsia" w:ascii="宋体" w:hAnsi="宋体" w:eastAsia="宋体" w:cs="宋体"/>
          <w:sz w:val="21"/>
          <w:szCs w:val="21"/>
          <w:lang w:eastAsia="zh-CN"/>
        </w:rPr>
      </w:pPr>
      <w:r>
        <w:rPr>
          <w:rFonts w:hint="eastAsia" w:ascii="宋体" w:hAnsi="宋体" w:eastAsia="宋体" w:cs="宋体"/>
          <w:i w:val="0"/>
          <w:iCs w:val="0"/>
          <w:caps w:val="0"/>
          <w:color w:val="000000"/>
          <w:spacing w:val="0"/>
          <w:sz w:val="21"/>
          <w:szCs w:val="21"/>
        </w:rPr>
        <w:t>    地 址：</w:t>
      </w:r>
      <w:r>
        <w:rPr>
          <w:rFonts w:hint="eastAsia" w:cs="宋体"/>
          <w:i w:val="0"/>
          <w:iCs w:val="0"/>
          <w:caps w:val="0"/>
          <w:color w:val="000000"/>
          <w:spacing w:val="0"/>
          <w:sz w:val="21"/>
          <w:szCs w:val="21"/>
          <w:lang w:eastAsia="zh-CN"/>
        </w:rPr>
        <w:t>浙江省舟山市定海区港岛路98号高智大厦1303室</w:t>
      </w:r>
    </w:p>
    <w:p>
      <w:pPr>
        <w:pStyle w:val="22"/>
        <w:keepNext w:val="0"/>
        <w:keepLines w:val="0"/>
        <w:widowControl/>
        <w:suppressLineNumbers w:val="0"/>
        <w:spacing w:before="75" w:beforeAutospacing="0" w:after="75" w:afterAutospacing="0" w:line="240" w:lineRule="auto"/>
        <w:ind w:left="0" w:right="0"/>
        <w:rPr>
          <w:rFonts w:hint="eastAsia" w:ascii="宋体" w:hAnsi="宋体" w:eastAsia="宋体" w:cs="宋体"/>
          <w:sz w:val="21"/>
          <w:szCs w:val="21"/>
          <w:lang w:val="en-US" w:eastAsia="zh-CN"/>
        </w:rPr>
      </w:pPr>
      <w:r>
        <w:rPr>
          <w:rFonts w:hint="eastAsia" w:ascii="宋体" w:hAnsi="宋体" w:eastAsia="宋体" w:cs="宋体"/>
          <w:i w:val="0"/>
          <w:iCs w:val="0"/>
          <w:caps w:val="0"/>
          <w:color w:val="000000"/>
          <w:spacing w:val="0"/>
          <w:sz w:val="21"/>
          <w:szCs w:val="21"/>
        </w:rPr>
        <w:t>    传 真：</w:t>
      </w:r>
      <w:r>
        <w:rPr>
          <w:rFonts w:hint="eastAsia" w:cs="宋体"/>
          <w:i w:val="0"/>
          <w:iCs w:val="0"/>
          <w:caps w:val="0"/>
          <w:color w:val="000000"/>
          <w:spacing w:val="0"/>
          <w:sz w:val="21"/>
          <w:szCs w:val="21"/>
          <w:lang w:val="en-US" w:eastAsia="zh-CN"/>
        </w:rPr>
        <w:t>/</w:t>
      </w:r>
    </w:p>
    <w:p>
      <w:pPr>
        <w:pStyle w:val="22"/>
        <w:keepNext w:val="0"/>
        <w:keepLines w:val="0"/>
        <w:widowControl/>
        <w:suppressLineNumbers w:val="0"/>
        <w:spacing w:before="75" w:beforeAutospacing="0" w:after="75" w:afterAutospacing="0" w:line="240" w:lineRule="auto"/>
        <w:ind w:left="0" w:right="0"/>
        <w:rPr>
          <w:rFonts w:hint="eastAsia" w:ascii="宋体" w:hAnsi="宋体" w:eastAsia="宋体" w:cs="宋体"/>
          <w:sz w:val="21"/>
          <w:szCs w:val="21"/>
          <w:lang w:eastAsia="zh-CN"/>
        </w:rPr>
      </w:pPr>
      <w:r>
        <w:rPr>
          <w:rFonts w:hint="eastAsia" w:ascii="宋体" w:hAnsi="宋体" w:eastAsia="宋体" w:cs="宋体"/>
          <w:i w:val="0"/>
          <w:iCs w:val="0"/>
          <w:caps w:val="0"/>
          <w:color w:val="000000"/>
          <w:spacing w:val="0"/>
          <w:sz w:val="21"/>
          <w:szCs w:val="21"/>
        </w:rPr>
        <w:t>    项目联系人（询问）：</w:t>
      </w:r>
      <w:r>
        <w:rPr>
          <w:rFonts w:hint="eastAsia" w:cs="宋体"/>
          <w:i w:val="0"/>
          <w:iCs w:val="0"/>
          <w:caps w:val="0"/>
          <w:color w:val="000000"/>
          <w:spacing w:val="0"/>
          <w:sz w:val="21"/>
          <w:szCs w:val="21"/>
          <w:lang w:eastAsia="zh-CN"/>
        </w:rPr>
        <w:t>尹思寒</w:t>
      </w:r>
    </w:p>
    <w:p>
      <w:pPr>
        <w:pStyle w:val="22"/>
        <w:keepNext w:val="0"/>
        <w:keepLines w:val="0"/>
        <w:widowControl/>
        <w:suppressLineNumbers w:val="0"/>
        <w:spacing w:before="75" w:beforeAutospacing="0" w:after="75" w:afterAutospacing="0" w:line="240" w:lineRule="auto"/>
        <w:ind w:left="0" w:right="0"/>
        <w:rPr>
          <w:rFonts w:hint="eastAsia" w:ascii="宋体" w:hAnsi="宋体" w:eastAsia="宋体" w:cs="宋体"/>
          <w:sz w:val="21"/>
          <w:szCs w:val="21"/>
          <w:lang w:eastAsia="zh-CN"/>
        </w:rPr>
      </w:pPr>
      <w:r>
        <w:rPr>
          <w:rFonts w:hint="eastAsia" w:ascii="宋体" w:hAnsi="宋体" w:eastAsia="宋体" w:cs="宋体"/>
          <w:i w:val="0"/>
          <w:iCs w:val="0"/>
          <w:caps w:val="0"/>
          <w:color w:val="000000"/>
          <w:spacing w:val="0"/>
          <w:sz w:val="21"/>
          <w:szCs w:val="21"/>
        </w:rPr>
        <w:t>    项目联系方式（询问）：</w:t>
      </w:r>
      <w:r>
        <w:rPr>
          <w:rFonts w:hint="eastAsia" w:cs="宋体"/>
          <w:i w:val="0"/>
          <w:iCs w:val="0"/>
          <w:caps w:val="0"/>
          <w:color w:val="000000"/>
          <w:spacing w:val="0"/>
          <w:sz w:val="21"/>
          <w:szCs w:val="21"/>
          <w:lang w:eastAsia="zh-CN"/>
        </w:rPr>
        <w:t>0580-8177988</w:t>
      </w:r>
      <w:r>
        <w:rPr>
          <w:rFonts w:hint="eastAsia" w:ascii="宋体" w:hAnsi="宋体" w:eastAsia="宋体" w:cs="宋体"/>
          <w:i w:val="0"/>
          <w:iCs w:val="0"/>
          <w:caps w:val="0"/>
          <w:color w:val="000000"/>
          <w:spacing w:val="0"/>
          <w:sz w:val="21"/>
          <w:szCs w:val="21"/>
        </w:rPr>
        <w:t>/</w:t>
      </w:r>
      <w:r>
        <w:rPr>
          <w:rFonts w:hint="eastAsia" w:cs="宋体"/>
          <w:i w:val="0"/>
          <w:iCs w:val="0"/>
          <w:caps w:val="0"/>
          <w:color w:val="000000"/>
          <w:spacing w:val="0"/>
          <w:sz w:val="21"/>
          <w:szCs w:val="21"/>
          <w:lang w:eastAsia="zh-CN"/>
        </w:rPr>
        <w:t>13732523540</w:t>
      </w:r>
    </w:p>
    <w:p>
      <w:pPr>
        <w:pStyle w:val="22"/>
        <w:keepNext w:val="0"/>
        <w:keepLines w:val="0"/>
        <w:widowControl/>
        <w:suppressLineNumbers w:val="0"/>
        <w:spacing w:before="75" w:beforeAutospacing="0" w:after="75" w:afterAutospacing="0" w:line="240" w:lineRule="auto"/>
        <w:ind w:left="0" w:right="0"/>
        <w:rPr>
          <w:rFonts w:hint="eastAsia" w:ascii="宋体" w:hAnsi="宋体" w:eastAsia="宋体" w:cs="宋体"/>
          <w:sz w:val="21"/>
          <w:szCs w:val="21"/>
          <w:lang w:eastAsia="zh-CN"/>
        </w:rPr>
      </w:pPr>
      <w:r>
        <w:rPr>
          <w:rFonts w:hint="eastAsia" w:ascii="宋体" w:hAnsi="宋体" w:eastAsia="宋体" w:cs="宋体"/>
          <w:i w:val="0"/>
          <w:iCs w:val="0"/>
          <w:caps w:val="0"/>
          <w:color w:val="000000"/>
          <w:spacing w:val="0"/>
          <w:sz w:val="21"/>
          <w:szCs w:val="21"/>
        </w:rPr>
        <w:t>    质疑联系人：</w:t>
      </w:r>
      <w:r>
        <w:rPr>
          <w:rFonts w:hint="eastAsia" w:cs="宋体"/>
          <w:i w:val="0"/>
          <w:iCs w:val="0"/>
          <w:caps w:val="0"/>
          <w:color w:val="000000"/>
          <w:spacing w:val="0"/>
          <w:sz w:val="21"/>
          <w:szCs w:val="21"/>
          <w:lang w:eastAsia="zh-CN"/>
        </w:rPr>
        <w:t>陈佳琪</w:t>
      </w:r>
    </w:p>
    <w:p>
      <w:pPr>
        <w:pStyle w:val="22"/>
        <w:keepNext w:val="0"/>
        <w:keepLines w:val="0"/>
        <w:widowControl/>
        <w:suppressLineNumbers w:val="0"/>
        <w:spacing w:before="75" w:beforeAutospacing="0" w:after="75" w:afterAutospacing="0" w:line="240" w:lineRule="auto"/>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质疑联系方式：0580-8177988</w:t>
      </w:r>
    </w:p>
    <w:p>
      <w:pPr>
        <w:pStyle w:val="22"/>
        <w:keepNext w:val="0"/>
        <w:keepLines w:val="0"/>
        <w:widowControl/>
        <w:suppressLineNumbers w:val="0"/>
        <w:spacing w:before="75" w:beforeAutospacing="0" w:after="75" w:afterAutospacing="0" w:line="240" w:lineRule="auto"/>
        <w:ind w:left="0" w:right="0"/>
        <w:rPr>
          <w:rFonts w:hint="eastAsia" w:ascii="宋体" w:hAnsi="宋体" w:eastAsia="宋体" w:cs="宋体"/>
          <w:i w:val="0"/>
          <w:iCs w:val="0"/>
          <w:caps w:val="0"/>
          <w:color w:val="000000"/>
          <w:spacing w:val="0"/>
          <w:sz w:val="21"/>
          <w:szCs w:val="21"/>
          <w:lang w:eastAsia="zh-CN"/>
        </w:rPr>
      </w:pPr>
    </w:p>
    <w:p>
      <w:pPr>
        <w:pStyle w:val="22"/>
        <w:keepNext w:val="0"/>
        <w:keepLines w:val="0"/>
        <w:widowControl/>
        <w:suppressLineNumbers w:val="0"/>
        <w:spacing w:before="75" w:beforeAutospacing="0" w:after="75" w:afterAutospacing="0" w:line="240" w:lineRule="auto"/>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3. </w:t>
      </w:r>
      <w:r>
        <w:rPr>
          <w:rStyle w:val="33"/>
          <w:rFonts w:hint="eastAsia" w:ascii="宋体" w:hAnsi="宋体" w:eastAsia="宋体" w:cs="宋体"/>
          <w:i w:val="0"/>
          <w:iCs w:val="0"/>
          <w:caps w:val="0"/>
          <w:color w:val="000000"/>
          <w:spacing w:val="0"/>
          <w:sz w:val="21"/>
          <w:szCs w:val="21"/>
        </w:rPr>
        <w:t>同级政府采购监督管理部门</w:t>
      </w:r>
    </w:p>
    <w:p>
      <w:pPr>
        <w:pStyle w:val="22"/>
        <w:keepNext w:val="0"/>
        <w:keepLines w:val="0"/>
        <w:widowControl/>
        <w:suppressLineNumbers w:val="0"/>
        <w:spacing w:before="75" w:beforeAutospacing="0" w:after="75" w:afterAutospacing="0" w:line="45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名    称：岱山县财政局政府采购监管科</w:t>
      </w:r>
    </w:p>
    <w:p>
      <w:pPr>
        <w:pStyle w:val="22"/>
        <w:keepNext w:val="0"/>
        <w:keepLines w:val="0"/>
        <w:widowControl/>
        <w:suppressLineNumbers w:val="0"/>
        <w:spacing w:before="75" w:beforeAutospacing="0" w:after="75" w:afterAutospacing="0" w:line="45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地    址：岱山县高亭镇鱼山大道671号</w:t>
      </w:r>
    </w:p>
    <w:p>
      <w:pPr>
        <w:pStyle w:val="22"/>
        <w:keepNext w:val="0"/>
        <w:keepLines w:val="0"/>
        <w:widowControl/>
        <w:suppressLineNumbers w:val="0"/>
        <w:spacing w:before="75" w:beforeAutospacing="0" w:after="75" w:afterAutospacing="0" w:line="450" w:lineRule="atLeast"/>
        <w:ind w:left="0" w:right="0"/>
        <w:rPr>
          <w:rFonts w:hint="eastAsia" w:ascii="宋体" w:hAnsi="宋体" w:eastAsia="宋体" w:cs="宋体"/>
          <w:sz w:val="21"/>
          <w:szCs w:val="21"/>
          <w:lang w:val="en-US" w:eastAsia="zh-CN"/>
        </w:rPr>
      </w:pPr>
      <w:r>
        <w:rPr>
          <w:rFonts w:hint="eastAsia" w:ascii="宋体" w:hAnsi="宋体" w:eastAsia="宋体" w:cs="宋体"/>
          <w:i w:val="0"/>
          <w:iCs w:val="0"/>
          <w:caps w:val="0"/>
          <w:color w:val="000000"/>
          <w:spacing w:val="0"/>
          <w:sz w:val="21"/>
          <w:szCs w:val="21"/>
        </w:rPr>
        <w:t>    传    真：</w:t>
      </w:r>
      <w:r>
        <w:rPr>
          <w:rFonts w:hint="eastAsia" w:cs="宋体"/>
          <w:i w:val="0"/>
          <w:iCs w:val="0"/>
          <w:caps w:val="0"/>
          <w:color w:val="000000"/>
          <w:spacing w:val="0"/>
          <w:sz w:val="21"/>
          <w:szCs w:val="21"/>
          <w:lang w:val="en-US" w:eastAsia="zh-CN"/>
        </w:rPr>
        <w:t>/</w:t>
      </w:r>
    </w:p>
    <w:p>
      <w:pPr>
        <w:pStyle w:val="22"/>
        <w:keepNext w:val="0"/>
        <w:keepLines w:val="0"/>
        <w:widowControl/>
        <w:suppressLineNumbers w:val="0"/>
        <w:spacing w:before="75" w:beforeAutospacing="0" w:after="75" w:afterAutospacing="0" w:line="45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联 系 人：何先生</w:t>
      </w:r>
    </w:p>
    <w:p>
      <w:pPr>
        <w:pStyle w:val="22"/>
        <w:keepNext w:val="0"/>
        <w:keepLines w:val="0"/>
        <w:widowControl/>
        <w:suppressLineNumbers w:val="0"/>
        <w:spacing w:before="75" w:beforeAutospacing="0" w:after="75" w:afterAutospacing="0" w:line="45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监督投诉电话：0580-4472749</w:t>
      </w:r>
    </w:p>
    <w:p>
      <w:pPr>
        <w:keepNext w:val="0"/>
        <w:keepLines w:val="0"/>
        <w:widowControl/>
        <w:suppressLineNumbers w:val="0"/>
        <w:spacing w:line="450" w:lineRule="atLeast"/>
        <w:ind w:lef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jc w:val="left"/>
        <w:rPr>
          <w:rFonts w:hint="eastAsia" w:ascii="宋体" w:hAnsi="宋体" w:eastAsia="宋体" w:cs="宋体"/>
          <w:i w:val="0"/>
          <w:iCs w:val="0"/>
          <w:caps w:val="0"/>
          <w:color w:val="000000"/>
          <w:spacing w:val="0"/>
          <w:kern w:val="0"/>
          <w:sz w:val="21"/>
          <w:szCs w:val="21"/>
          <w:lang w:val="en-US" w:eastAsia="zh-CN" w:bidi="ar"/>
        </w:rPr>
      </w:pPr>
    </w:p>
    <w:p>
      <w:pPr>
        <w:keepNext w:val="0"/>
        <w:keepLines w:val="0"/>
        <w:widowControl/>
        <w:suppressLineNumbers w:val="0"/>
        <w:jc w:val="left"/>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pStyle w:val="22"/>
        <w:keepNext w:val="0"/>
        <w:keepLines w:val="0"/>
        <w:widowControl/>
        <w:suppressLineNumbers w:val="0"/>
        <w:spacing w:before="75" w:beforeAutospacing="0" w:after="75" w:afterAutospacing="0"/>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若对项目采购电子交易系统操作有疑问，可登录政采云（https://www.zcygov.cn/），点击右侧咨询小采，获取采小蜜智能服务管家帮助，或拨打政采云服务热线95763获取热线服务帮助。</w:t>
      </w:r>
    </w:p>
    <w:p>
      <w:pPr>
        <w:pStyle w:val="22"/>
        <w:keepNext w:val="0"/>
        <w:keepLines w:val="0"/>
        <w:widowControl/>
        <w:suppressLineNumbers w:val="0"/>
        <w:spacing w:before="75" w:beforeAutospacing="0" w:after="75" w:afterAutospacing="0"/>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CA问题联系电话（人工）：汇信CA 400-888-4636；天谷CA 400-087-8198。</w:t>
      </w:r>
    </w:p>
    <w:p>
      <w:pPr>
        <w:pStyle w:val="22"/>
        <w:spacing w:before="0" w:beforeAutospacing="0" w:after="0" w:afterAutospacing="0" w:line="360" w:lineRule="auto"/>
        <w:ind w:firstLine="420" w:firstLineChars="200"/>
        <w:jc w:val="both"/>
        <w:rPr>
          <w:sz w:val="21"/>
          <w:szCs w:val="21"/>
        </w:rPr>
      </w:pPr>
    </w:p>
    <w:p>
      <w:pPr>
        <w:widowControl/>
        <w:spacing w:line="360" w:lineRule="auto"/>
        <w:ind w:firstLine="420" w:firstLineChars="200"/>
        <w:rPr>
          <w:rFonts w:ascii="宋体" w:hAnsi="宋体" w:cs="宋体"/>
          <w:szCs w:val="21"/>
        </w:rPr>
      </w:pPr>
      <w:r>
        <w:rPr>
          <w:rFonts w:hint="eastAsia" w:ascii="宋体" w:hAnsi="宋体" w:cs="宋体"/>
          <w:color w:val="000000"/>
          <w:kern w:val="0"/>
          <w:szCs w:val="21"/>
          <w:lang w:bidi="ar"/>
        </w:rPr>
        <w:t> </w:t>
      </w:r>
    </w:p>
    <w:p>
      <w:pPr>
        <w:widowControl/>
        <w:jc w:val="left"/>
        <w:rPr>
          <w:rFonts w:ascii="仿宋" w:hAnsi="仿宋" w:eastAsia="仿宋" w:cs="仿宋"/>
          <w:color w:val="000000"/>
          <w:sz w:val="20"/>
        </w:rPr>
      </w:pPr>
      <w:r>
        <w:rPr>
          <w:rFonts w:hint="eastAsia" w:ascii="仿宋" w:hAnsi="仿宋" w:eastAsia="仿宋" w:cs="仿宋"/>
          <w:color w:val="000000"/>
          <w:kern w:val="0"/>
          <w:sz w:val="20"/>
          <w:lang w:bidi="ar"/>
        </w:rPr>
        <w:t> </w:t>
      </w:r>
    </w:p>
    <w:p>
      <w:pPr>
        <w:widowControl/>
        <w:jc w:val="left"/>
        <w:rPr>
          <w:rFonts w:ascii="仿宋" w:hAnsi="仿宋" w:eastAsia="仿宋" w:cs="仿宋"/>
          <w:color w:val="000000"/>
          <w:sz w:val="20"/>
        </w:rPr>
      </w:pPr>
      <w:r>
        <w:rPr>
          <w:rFonts w:hint="eastAsia" w:ascii="仿宋" w:hAnsi="仿宋" w:eastAsia="仿宋" w:cs="仿宋"/>
          <w:color w:val="000000"/>
          <w:kern w:val="0"/>
          <w:sz w:val="20"/>
          <w:lang w:bidi="ar"/>
        </w:rPr>
        <w:t> </w:t>
      </w:r>
    </w:p>
    <w:p>
      <w:pPr>
        <w:widowControl/>
        <w:jc w:val="left"/>
        <w:rPr>
          <w:rFonts w:ascii="仿宋" w:hAnsi="仿宋" w:eastAsia="仿宋" w:cs="仿宋"/>
          <w:szCs w:val="21"/>
        </w:rPr>
      </w:pPr>
      <w:r>
        <w:rPr>
          <w:rFonts w:hint="eastAsia" w:ascii="仿宋" w:hAnsi="仿宋" w:eastAsia="仿宋" w:cs="仿宋"/>
          <w:color w:val="000000"/>
          <w:kern w:val="0"/>
          <w:szCs w:val="21"/>
          <w:lang w:bidi="ar"/>
        </w:rPr>
        <w:t> </w:t>
      </w:r>
    </w:p>
    <w:p>
      <w:pPr>
        <w:pStyle w:val="22"/>
        <w:spacing w:before="75" w:beforeAutospacing="0" w:after="75" w:afterAutospacing="0"/>
      </w:pPr>
    </w:p>
    <w:p>
      <w:pPr>
        <w:spacing w:line="360" w:lineRule="auto"/>
        <w:jc w:val="center"/>
        <w:outlineLvl w:val="0"/>
        <w:rPr>
          <w:rFonts w:ascii="宋体" w:hAnsi="宋体" w:cs="宋体"/>
          <w:b/>
          <w:sz w:val="28"/>
          <w:szCs w:val="28"/>
        </w:rPr>
        <w:sectPr>
          <w:footerReference r:id="rId7" w:type="default"/>
          <w:pgSz w:w="11906" w:h="16838"/>
          <w:pgMar w:top="1531" w:right="1179" w:bottom="737" w:left="1179" w:header="851" w:footer="584" w:gutter="0"/>
          <w:pgNumType w:fmt="decimal" w:start="2"/>
          <w:cols w:space="720" w:num="1"/>
          <w:docGrid w:type="lines" w:linePitch="312" w:charSpace="0"/>
        </w:sectPr>
      </w:pPr>
    </w:p>
    <w:p>
      <w:pPr>
        <w:spacing w:line="360" w:lineRule="auto"/>
        <w:jc w:val="center"/>
        <w:outlineLvl w:val="0"/>
        <w:rPr>
          <w:rFonts w:ascii="宋体" w:hAnsi="宋体" w:cs="宋体"/>
          <w:b/>
          <w:bCs/>
          <w:szCs w:val="21"/>
        </w:rPr>
      </w:pPr>
      <w:r>
        <w:rPr>
          <w:rFonts w:hint="eastAsia" w:ascii="宋体" w:hAnsi="宋体" w:cs="宋体"/>
          <w:b/>
          <w:sz w:val="28"/>
          <w:szCs w:val="28"/>
        </w:rPr>
        <w:t>第二章 采购需求</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sz w:val="24"/>
          <w:szCs w:val="22"/>
          <w:lang w:val="en-US" w:eastAsia="zh-CN"/>
        </w:rPr>
      </w:pPr>
      <w:r>
        <w:rPr>
          <w:rFonts w:hint="eastAsia" w:ascii="Times New Roman" w:hAnsi="Times New Roman" w:eastAsia="宋体" w:cs="Times New Roman"/>
          <w:b/>
          <w:bCs/>
          <w:sz w:val="24"/>
          <w:szCs w:val="22"/>
          <w:lang w:val="en-US" w:eastAsia="zh-CN"/>
        </w:rPr>
        <w:t>建设目标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本次项目建设是在省经信指导建设的产业大脑能力中心（网址</w:t>
      </w:r>
      <w:r>
        <w:rPr>
          <w:rFonts w:hint="default" w:ascii="Times New Roman" w:hAnsi="Times New Roman" w:eastAsia="宋体" w:cs="Times New Roman"/>
          <w:sz w:val="24"/>
          <w:szCs w:val="24"/>
        </w:rPr>
        <w:t>https://mall.industrybd.cn/#/home/index</w:t>
      </w:r>
      <w:r>
        <w:rPr>
          <w:rFonts w:hint="eastAsia" w:ascii="宋体" w:hAnsi="宋体" w:eastAsia="宋体" w:cs="宋体"/>
          <w:color w:val="000000"/>
          <w:kern w:val="0"/>
          <w:sz w:val="21"/>
          <w:szCs w:val="21"/>
          <w:lang w:val="en-US" w:eastAsia="zh-CN" w:bidi="ar"/>
        </w:rPr>
        <w:t>）平台上，进行二次开发，引入先进的智能制造设备系统和数字化管理系统，实现对产业大脑内知识组件、工具组件和应用组件等应用模块的增加，形成具备多样化形态各种功能单元的能力组件，并在产业大脑能力中心平台上完成上架。本次建设77个能力组件，实现相关的能力和应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其中，能力组件是指构建现代产业体系的工业技术、运营管理、行业知识与模型等可重复使用的数字化基本单元，具有独立性、通用性和可移植性。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color w:val="000000"/>
          <w:kern w:val="0"/>
          <w:sz w:val="21"/>
          <w:szCs w:val="21"/>
          <w:lang w:val="en-US" w:eastAsia="zh-CN" w:bidi="ar"/>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sz w:val="24"/>
          <w:szCs w:val="22"/>
          <w:lang w:val="en-US" w:eastAsia="zh-CN"/>
        </w:rPr>
      </w:pPr>
      <w:r>
        <w:rPr>
          <w:rFonts w:hint="eastAsia" w:ascii="Times New Roman" w:hAnsi="Times New Roman" w:eastAsia="宋体" w:cs="Times New Roman"/>
          <w:b/>
          <w:bCs/>
          <w:sz w:val="24"/>
          <w:szCs w:val="22"/>
          <w:lang w:val="en-US" w:eastAsia="zh-CN"/>
        </w:rPr>
        <w:t>建设内容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本次项目建设并上架77个能力组件，详细见附件《能力组件清单及功能列表》，介绍各能力组件名称及对应功能。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完成开发的能力组件需按照省产业大脑能力中心平台的《能力组件上架规范及操作说明》，准备每个能力组件所需技术文档提审能力组件，通过平台审核即完成上架。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8"/>
        <w:gridCol w:w="3228"/>
        <w:gridCol w:w="46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方正仿宋_GB2312" w:hAnsi="方正仿宋_GB2312" w:eastAsia="方正仿宋_GB2312" w:cs="方正仿宋_GB2312"/>
                <w:b/>
                <w:bCs/>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b/>
                <w:bCs/>
                <w:i w:val="0"/>
                <w:iCs w:val="0"/>
                <w:color w:val="000000" w:themeColor="text1"/>
                <w:kern w:val="0"/>
                <w:sz w:val="21"/>
                <w:szCs w:val="21"/>
                <w:u w:val="none"/>
                <w:lang w:val="en-US" w:eastAsia="zh-CN" w:bidi="ar"/>
                <w14:textFill>
                  <w14:solidFill>
                    <w14:schemeClr w14:val="tx1"/>
                  </w14:solidFill>
                </w14:textFill>
              </w:rPr>
              <w:t>建设内容清单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b/>
                <w:bCs/>
                <w:i w:val="0"/>
                <w:iCs w:val="0"/>
                <w:color w:val="000000" w:themeColor="text1"/>
                <w:kern w:val="0"/>
                <w:sz w:val="21"/>
                <w:szCs w:val="21"/>
                <w:u w:val="none"/>
                <w:lang w:val="en-US" w:eastAsia="zh-CN" w:bidi="ar"/>
                <w14:textFill>
                  <w14:solidFill>
                    <w14:schemeClr w14:val="tx1"/>
                  </w14:solidFill>
                </w14:textFill>
              </w:rPr>
              <w:t>序号</w:t>
            </w:r>
          </w:p>
        </w:tc>
        <w:tc>
          <w:tcPr>
            <w:tcW w:w="3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b/>
                <w:bCs/>
                <w:i w:val="0"/>
                <w:iCs w:val="0"/>
                <w:color w:val="000000" w:themeColor="text1"/>
                <w:kern w:val="0"/>
                <w:sz w:val="21"/>
                <w:szCs w:val="21"/>
                <w:u w:val="none"/>
                <w:lang w:val="en-US" w:eastAsia="zh-CN" w:bidi="ar"/>
                <w14:textFill>
                  <w14:solidFill>
                    <w14:schemeClr w14:val="tx1"/>
                  </w14:solidFill>
                </w14:textFill>
              </w:rPr>
              <w:t>一级模块</w:t>
            </w:r>
          </w:p>
        </w:tc>
        <w:tc>
          <w:tcPr>
            <w:tcW w:w="46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b/>
                <w:bCs/>
                <w:i w:val="0"/>
                <w:iCs w:val="0"/>
                <w:color w:val="000000" w:themeColor="text1"/>
                <w:kern w:val="0"/>
                <w:sz w:val="21"/>
                <w:szCs w:val="21"/>
                <w:u w:val="none"/>
                <w:lang w:val="en-US" w:eastAsia="zh-CN" w:bidi="ar"/>
                <w14:textFill>
                  <w14:solidFill>
                    <w14:schemeClr w14:val="tx1"/>
                  </w14:solidFill>
                </w14:textFill>
              </w:rPr>
              <w:t>二级模块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b/>
                <w:bCs/>
                <w:i w:val="0"/>
                <w:iCs w:val="0"/>
                <w:color w:val="000000" w:themeColor="text1"/>
                <w:sz w:val="21"/>
                <w:szCs w:val="21"/>
                <w:u w:val="none"/>
                <w14:textFill>
                  <w14:solidFill>
                    <w14:schemeClr w14:val="tx1"/>
                  </w14:solidFill>
                </w14:textFill>
              </w:rPr>
            </w:pPr>
          </w:p>
        </w:tc>
        <w:tc>
          <w:tcPr>
            <w:tcW w:w="3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b/>
                <w:bCs/>
                <w:i w:val="0"/>
                <w:iCs w:val="0"/>
                <w:color w:val="000000" w:themeColor="text1"/>
                <w:kern w:val="0"/>
                <w:sz w:val="21"/>
                <w:szCs w:val="21"/>
                <w:u w:val="none"/>
                <w:lang w:val="en-US" w:eastAsia="zh-CN" w:bidi="ar"/>
                <w14:textFill>
                  <w14:solidFill>
                    <w14:schemeClr w14:val="tx1"/>
                  </w14:solidFill>
                </w14:textFill>
              </w:rPr>
              <w:t>（组件名称）</w:t>
            </w:r>
          </w:p>
        </w:tc>
        <w:tc>
          <w:tcPr>
            <w:tcW w:w="4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b/>
                <w:bCs/>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项目过程管控系统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项目管理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工程管理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与我协作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数智图纸系统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个人网盘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我的项目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我的分享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我的消息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图纸打印申请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日常巡查系统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跑滑日常巡查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机坪日常巡查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机位巡查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徒步调查评价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保洁和安全巡护系统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机坪保洁记录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跑道保洁记录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定期清扫记录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航空器扎胎记录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雪情通告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ACN-PCN测算系统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ACN-PCN测试计划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ACN-PCN测试记录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PCN计算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ACN-PCN评价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FOD风险分析</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机坪外来物记录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跑道外来物记录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外来物来源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外来物所在区域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决策计划</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多年期规划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年度维护计划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道面性能预估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道面簇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决策库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8</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标志线管理</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标志线日常巡查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标志线报修记录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标志线定期维护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标志线维修记录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9</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服务车道管理</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服务车道日常巡查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服务车道报修记录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日常施工任务单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定期施工任务单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维修记录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10</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土面区管理</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土面区日常巡查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土面区报修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定期维护计划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土面区维修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分区密实度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11</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排水设施管理</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排水设施日常巡查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排水设施报修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日常施工任务单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维修记录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12</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围界管理系统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围界日常巡查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围界报修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日常施工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定期施工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维修记录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13</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应急指挥系统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应急事件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通知公告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14</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Style w:val="96"/>
                <w:color w:val="000000" w:themeColor="text1"/>
                <w:lang w:val="en-US" w:eastAsia="zh-CN" w:bidi="ar"/>
                <w14:textFill>
                  <w14:solidFill>
                    <w14:schemeClr w14:val="tx1"/>
                  </w14:solidFill>
                </w14:textFill>
              </w:rPr>
              <w:t>物资管理</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Style w:val="96"/>
                <w:color w:val="000000" w:themeColor="text1"/>
                <w:lang w:val="en-US" w:eastAsia="zh-CN" w:bidi="ar"/>
                <w14:textFill>
                  <w14:solidFill>
                    <w14:schemeClr w14:val="tx1"/>
                  </w14:solidFill>
                </w14:textFill>
              </w:rPr>
              <w:t>在库管理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Style w:val="96"/>
                <w:color w:val="000000" w:themeColor="text1"/>
                <w:lang w:val="en-US" w:eastAsia="zh-CN" w:bidi="ar"/>
                <w14:textFill>
                  <w14:solidFill>
                    <w14:schemeClr w14:val="tx1"/>
                  </w14:solidFill>
                </w14:textFill>
              </w:rPr>
              <w:t>材料管理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Style w:val="96"/>
                <w:color w:val="000000" w:themeColor="text1"/>
                <w:lang w:val="en-US" w:eastAsia="zh-CN" w:bidi="ar"/>
                <w14:textFill>
                  <w14:solidFill>
                    <w14:schemeClr w14:val="tx1"/>
                  </w14:solidFill>
                </w14:textFill>
              </w:rPr>
              <w:t>库存分析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Style w:val="96"/>
                <w:color w:val="000000" w:themeColor="text1"/>
                <w:lang w:val="en-US" w:eastAsia="zh-CN" w:bidi="ar"/>
                <w14:textFill>
                  <w14:solidFill>
                    <w14:schemeClr w14:val="tx1"/>
                  </w14:solidFill>
                </w14:textFill>
              </w:rPr>
              <w:t>库存量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15</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供应商管理</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供应商管理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供应商黑名单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采购单位管理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16</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项目管理系统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生成项目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采购文件管理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模板管理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项目概况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项目统计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17</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工作计划管理</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周计划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月度计划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年度计划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18</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E键消缺</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消缺库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消缺统计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E键消缺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19</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固定资产管理</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资产管理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资产领用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资产确认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资产维修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资产送检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资产借用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资产清查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20</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资源管理系统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运行管理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班组管理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外协工管理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车辆管理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21</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工单积分管理</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考核管理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员工积分管理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工作项目管理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年休假管理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22</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客户管理</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客户性质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23</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采购及库存管理</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采购管理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库存业务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库存控制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库存分析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24</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低压工程管理</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分包工程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工程统计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分包结算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青苗赔偿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临时用工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25</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人才管理系统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招聘管理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人事异动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培训活动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后备人才库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班组建设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工会管理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党团建设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26</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报表管理</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条件查询管理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驱动管理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数据源管理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SQL管理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模板管理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27</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工程预结算</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工程概况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工程预算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结算资料提交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工程结算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审计工程校对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其他工程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月度统计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28</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塑料原料牌号价格查询工具</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牌号价格查询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订阅牌号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牌号详情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29</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聚丙烯（PP）市场报告生成器</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新建报告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我的报告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30</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聚丙烯（PP）产业链-图谱定制工具</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产业链总览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区域地图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我的产业链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新建产业链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企业详情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31</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长链变短链工具</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创建短链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链接列表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32</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塑料原料利润计算工具</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利润计算器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计算结果记录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33</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蚁塑通CRM系统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客户查询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公海客户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客户分群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拜访记录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黑名单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脱落规则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部门设置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员工设置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34</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小象羽-供应链集成管理系统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个人中心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合同管理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供应链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自营仓储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平台支撑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35</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原料与上游单体价格相关度分析</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价格相关度计算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分析结果记录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36</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蚁塑通--ERP管理系统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营销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采购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销售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库存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发票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商品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审批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37</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活动签到管理系统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控制台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活动列表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活动统计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活动标签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38</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化塑原料区域均价管理系统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控制台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订阅管理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对比趋势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价格分析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品类详情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39</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化塑原料物性对比管理系统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物性对比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我的收藏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物性详情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40</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代理记账管理软件系统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单位组织信息录入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基础数据录入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人员信息管理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客户信息录入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业务信息录入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业务进度管理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财务开票收款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统计报表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41</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家族族谱统一管理平台</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开通登录页面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通知公告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家族文化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族谱管理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家族管理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素材中心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42</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企业经营安全等级管理系统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开通登录页面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工厂管理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安全检查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安全教育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宣传图管理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43</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环保管家</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开通登录页面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企业管理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检查管理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成果报告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44</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智慧垃圾分类管理平台</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内容管理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运营管理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数据管理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积分管理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45</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“红领带”楼宇党建服务平台</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企业员工管理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企业管理员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物业管理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普通党员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联合党委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街道党组织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46</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A-QMS智能化质量管理系统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APQP管理中心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供应商较绩效管理中心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供应商变更管理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量检具管理中心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供应商信息管理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文件管理中心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质量过程审核中心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来料检模块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问题解决模块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47</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商业情报平台系统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登录页面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招商分析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企业商业情报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企业风险预警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项目线索功能说明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机构库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当地政府库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跟进管理系统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跟进记录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48</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国有资产管理系统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系统登录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工作流程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资产管理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合同管理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收付管理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项目管理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统计报表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运营管理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作废管理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快捷方式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49</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会计师事务所管理软件</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登录系统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首页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项目管理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知识文档管理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行政管理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人事管理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财务管理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统计报表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50</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船舶设备智能运维系统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登录系统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退出系统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机舱大数据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设备诊断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状态预测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全景运维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维护保养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51</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航标可视化管理平台</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登录系统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退出系统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修改密码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智慧云控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CCTV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管理中心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52</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设备监测云SaaS系统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登录系统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退出系统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设备管理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告警管理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意见反馈管理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小程序端首页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小程序端消息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小程序端我的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53</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配液设备智能运维平台</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登录系统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退出系统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设备管理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告警管理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订单统计/结算对账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账号管理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个人信息设置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54</w:t>
            </w:r>
          </w:p>
        </w:tc>
        <w:tc>
          <w:tcPr>
            <w:tcW w:w="3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全国化塑原料产能数据API接口</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API接口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55</w:t>
            </w:r>
          </w:p>
        </w:tc>
        <w:tc>
          <w:tcPr>
            <w:tcW w:w="3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化塑原料品类价格数据集</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API接口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56</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数字交易</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产品详情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筛选项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57</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行情数据</w:t>
            </w:r>
          </w:p>
        </w:tc>
        <w:tc>
          <w:tcPr>
            <w:tcW w:w="46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区域均价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行情播报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重点牌号市场参考价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每日评述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进口量/出口量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开工率/产量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表观消费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利润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每周评述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每月评述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上游单体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58</w:t>
            </w:r>
          </w:p>
        </w:tc>
        <w:tc>
          <w:tcPr>
            <w:tcW w:w="3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供应链金融</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落地页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59</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进销存管理</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落地页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表单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60</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工业APP</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工业APP列表页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工业APP介绍落地页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61</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数字工厂</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机器监视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注塑客户分布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设备产能性能稼动率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物料清单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实际产能/标准产能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62</w:t>
            </w:r>
          </w:p>
        </w:tc>
        <w:tc>
          <w:tcPr>
            <w:tcW w:w="3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产业动态</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化塑行业热点新闻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63</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行情指数</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重点牌号市场、出厂价对比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上周原料产量对比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近7日品类浏览量走势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品类浏览总量TOP5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上月原料进出口量对比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重点品类区域均价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近12月原料表观消费对比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64</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化塑总览</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行情信息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热门牌号询盘TOP3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核心产业链TOP3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浙江化塑产能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数字工厂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交易动态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产业地图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应用中心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65</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化塑地图</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浙江省化塑企业分布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全国化塑企业分布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浙江材料产能分布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全国材料产能分布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66</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产业地图</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现有产能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未来规划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终端工厂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67</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综评报送系统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登录页面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用户管理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项目管理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权限管理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信息管理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信息录入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信息审核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数据（无法导入）处理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数据（学生不通过）处理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数据（学生申诉）处理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数据共享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68</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智慧采购云</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登录页面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供应商管理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项目管理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开评标管理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财务管理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69</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会展管理系统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登录页面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订单管理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佣金管理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房型剩余数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活动宴会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会展酒店管理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统计分析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70</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电力工程施工总承包ERP系统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用户登录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个人中心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启动起草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项目管理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协同办公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报表管理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工作流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规章制度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财务查询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71</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基于大数据融合诊断的人力资源健康管理和辅助决策平台</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登录页面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员工成长树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选人用人智荐中心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人工工效监督中心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人力资源共享中心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事项提醒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72</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日常测试管理系统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登录页面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账户管理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系统运行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73</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证书资质管理</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资质管理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数据维护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74</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工程图纸资料库管理系统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工程图纸管理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工程图纸类别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工程图纸专职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工程图纸专业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75</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生产管理辅助平台</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首页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今日安排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工作预览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E键报表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班组领料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76</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科技之星评比系统</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学校管理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学生管理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公司管理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活动序列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区级推荐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申报项目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历届项目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通知公告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视频管理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77</w:t>
            </w:r>
          </w:p>
        </w:tc>
        <w:tc>
          <w:tcPr>
            <w:tcW w:w="3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会议日程管理</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本周安排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我的日程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3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pPr>
            <w:r>
              <w:rPr>
                <w:rFonts w:hint="eastAsia"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t>78</w:t>
            </w:r>
          </w:p>
        </w:tc>
        <w:tc>
          <w:tcPr>
            <w:tcW w:w="3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pPr>
            <w:r>
              <w:rPr>
                <w:rFonts w:hint="eastAsia" w:ascii="宋体" w:hAnsi="宋体" w:cs="宋体"/>
                <w:i w:val="0"/>
                <w:iCs w:val="0"/>
                <w:color w:val="auto"/>
                <w:kern w:val="0"/>
                <w:sz w:val="21"/>
                <w:szCs w:val="21"/>
                <w:u w:val="none"/>
                <w:lang w:val="en-US" w:eastAsia="zh-CN" w:bidi="ar"/>
              </w:rPr>
              <w:t>★</w:t>
            </w:r>
            <w:r>
              <w:rPr>
                <w:rFonts w:hint="eastAsia"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t>代码检测</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t>代码检测</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sz w:val="24"/>
          <w:szCs w:val="22"/>
          <w:lang w:val="en-US" w:eastAsia="zh-CN"/>
        </w:rPr>
      </w:pPr>
      <w:r>
        <w:rPr>
          <w:rFonts w:hint="eastAsia" w:ascii="Times New Roman" w:hAnsi="Times New Roman" w:eastAsia="宋体" w:cs="Times New Roman"/>
          <w:b/>
          <w:bCs/>
          <w:sz w:val="24"/>
          <w:szCs w:val="22"/>
          <w:lang w:val="en-US" w:eastAsia="zh-CN"/>
        </w:rPr>
        <w:t>项目要求</w:t>
      </w:r>
    </w:p>
    <w:p>
      <w:pPr>
        <w:keepNext w:val="0"/>
        <w:keepLines w:val="0"/>
        <w:pageBreakBefore w:val="0"/>
        <w:widowControl w:val="0"/>
        <w:numPr>
          <w:ilvl w:val="1"/>
          <w:numId w:val="2"/>
        </w:numPr>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eastAsia"/>
          <w:lang w:val="en-US" w:eastAsia="zh-CN"/>
        </w:rPr>
        <w:t>建设并上架77个能力组件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lang w:val="en-US" w:eastAsia="zh-CN"/>
        </w:rPr>
      </w:pPr>
      <w:r>
        <w:rPr>
          <w:rFonts w:hint="eastAsia"/>
          <w:lang w:val="en-US" w:eastAsia="zh-CN"/>
        </w:rPr>
        <w:t>按照附件《能力组件清单及功能列表》完成各能力组件开发，并在省产业大脑能力中心平台按照相关标准完成提审，通过平台审核完成上架流程。</w:t>
      </w:r>
    </w:p>
    <w:p>
      <w:pPr>
        <w:keepNext w:val="0"/>
        <w:keepLines w:val="0"/>
        <w:pageBreakBefore w:val="0"/>
        <w:widowControl w:val="0"/>
        <w:numPr>
          <w:ilvl w:val="1"/>
          <w:numId w:val="2"/>
        </w:numPr>
        <w:kinsoku/>
        <w:wordWrap/>
        <w:overflowPunct/>
        <w:topLinePunct w:val="0"/>
        <w:autoSpaceDE/>
        <w:autoSpaceDN/>
        <w:bidi w:val="0"/>
        <w:adjustRightInd/>
        <w:snapToGrid/>
        <w:spacing w:line="360" w:lineRule="auto"/>
        <w:ind w:left="0" w:leftChars="0" w:firstLine="0" w:firstLineChars="0"/>
        <w:jc w:val="both"/>
        <w:textAlignment w:val="auto"/>
        <w:rPr>
          <w:rFonts w:hint="default"/>
          <w:lang w:val="en-US" w:eastAsia="zh-CN"/>
        </w:rPr>
      </w:pPr>
      <w:r>
        <w:rPr>
          <w:rFonts w:hint="eastAsia"/>
          <w:lang w:val="en-US" w:eastAsia="zh-CN"/>
        </w:rPr>
        <w:t>数据来源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lang w:val="en-US" w:eastAsia="zh-CN"/>
        </w:rPr>
      </w:pPr>
      <w:r>
        <w:rPr>
          <w:rFonts w:hint="eastAsia"/>
          <w:lang w:val="en-US" w:eastAsia="zh-CN"/>
        </w:rPr>
        <w:t>对于能力组件清单中的塑料原料牌号价格查询工具、聚丙烯（PP）市场报告生成器、聚丙烯（PP）产业链图谱定制工具、塑料原料利润计算工具、原料与上游单体价格相关度分析、化塑原料区域均价管理系统、化塑原料物性对比管理系统、全国化塑原料产能数据API接口、化塑原料品类价格数据集等组件对于化塑行业数据依赖度高，要求数据源稳定且能满足时间及数量要求。</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jc w:val="both"/>
        <w:textAlignment w:val="auto"/>
        <w:rPr>
          <w:rFonts w:hint="eastAsia"/>
          <w:lang w:val="en-US" w:eastAsia="zh-CN"/>
        </w:rPr>
      </w:pPr>
      <w:r>
        <w:rPr>
          <w:rFonts w:hint="eastAsia"/>
          <w:lang w:val="en-US" w:eastAsia="zh-CN"/>
        </w:rPr>
        <w:t>塑料原料牌号价格查询工具，要求数据源稳定，所提供原料牌号数量需超过3500个；</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jc w:val="both"/>
        <w:textAlignment w:val="auto"/>
        <w:rPr>
          <w:rFonts w:hint="default"/>
          <w:lang w:val="en-US" w:eastAsia="zh-CN"/>
        </w:rPr>
      </w:pPr>
      <w:r>
        <w:rPr>
          <w:rFonts w:hint="eastAsia"/>
          <w:lang w:val="en-US" w:eastAsia="zh-CN"/>
        </w:rPr>
        <w:t>聚丙烯（PP）市场报告生成器，要求数据源稳定，报告需要包括区域均价、牌号市场参考价、牌号出厂参考价、上游单体、产量、利润等模块数据，除产量模块外，其余模块需至少可提供近1年的数据；</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jc w:val="both"/>
        <w:textAlignment w:val="auto"/>
        <w:rPr>
          <w:rFonts w:hint="default"/>
          <w:lang w:val="en-US" w:eastAsia="zh-CN"/>
        </w:rPr>
      </w:pPr>
      <w:r>
        <w:rPr>
          <w:rFonts w:hint="eastAsia"/>
          <w:lang w:val="en-US" w:eastAsia="zh-CN"/>
        </w:rPr>
        <w:t>聚丙烯（PP）产业链图谱定制工具，要求数据源稳定，所提供的企业数量需多于6000家，可提供的产业节点数量需多于50个；</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jc w:val="both"/>
        <w:textAlignment w:val="auto"/>
        <w:rPr>
          <w:rFonts w:hint="default"/>
          <w:lang w:val="en-US" w:eastAsia="zh-CN"/>
        </w:rPr>
      </w:pPr>
      <w:r>
        <w:rPr>
          <w:rFonts w:hint="eastAsia"/>
          <w:lang w:val="en-US" w:eastAsia="zh-CN"/>
        </w:rPr>
        <w:t>塑料原料利润计算工具，要求数据源稳定，可提供每种原料及对应工艺的算法备查；</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jc w:val="both"/>
        <w:textAlignment w:val="auto"/>
        <w:rPr>
          <w:rFonts w:hint="default"/>
          <w:lang w:val="en-US" w:eastAsia="zh-CN"/>
        </w:rPr>
      </w:pPr>
      <w:r>
        <w:rPr>
          <w:rFonts w:hint="eastAsia"/>
          <w:lang w:val="en-US" w:eastAsia="zh-CN"/>
        </w:rPr>
        <w:t>原料与上游单体价格相关度分析，要求数据源稳定，除新材料PBT以外，其他原料及其配套上游单体可提供近3年的价格；</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jc w:val="both"/>
        <w:textAlignment w:val="auto"/>
        <w:rPr>
          <w:rFonts w:hint="default"/>
          <w:lang w:val="en-US" w:eastAsia="zh-CN"/>
        </w:rPr>
      </w:pPr>
      <w:r>
        <w:rPr>
          <w:rFonts w:hint="eastAsia"/>
          <w:lang w:val="en-US" w:eastAsia="zh-CN"/>
        </w:rPr>
        <w:t>化塑原料区域均价管理系统，要求数据源稳定，所提供的原料品类种类超过12个；</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jc w:val="both"/>
        <w:textAlignment w:val="auto"/>
        <w:rPr>
          <w:rFonts w:hint="default"/>
          <w:lang w:val="en-US" w:eastAsia="zh-CN"/>
        </w:rPr>
      </w:pPr>
      <w:r>
        <w:rPr>
          <w:rFonts w:hint="eastAsia"/>
          <w:lang w:val="en-US" w:eastAsia="zh-CN"/>
        </w:rPr>
        <w:t>化塑原料物性对比管理系统，要求数据源稳定，所提供的原料牌号不少于4000个；</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jc w:val="both"/>
        <w:textAlignment w:val="auto"/>
        <w:rPr>
          <w:rFonts w:hint="default"/>
          <w:lang w:val="en-US" w:eastAsia="zh-CN"/>
        </w:rPr>
      </w:pPr>
      <w:r>
        <w:rPr>
          <w:rFonts w:hint="eastAsia"/>
          <w:lang w:val="en-US" w:eastAsia="zh-CN"/>
        </w:rPr>
        <w:t>全国化塑原料产能数据API接口，要求数据源稳定，所提供产能数据条数需超800条；</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jc w:val="both"/>
        <w:textAlignment w:val="auto"/>
        <w:rPr>
          <w:rFonts w:hint="default"/>
          <w:lang w:val="en-US" w:eastAsia="zh-CN"/>
        </w:rPr>
      </w:pPr>
      <w:r>
        <w:rPr>
          <w:rFonts w:hint="eastAsia"/>
          <w:lang w:val="en-US" w:eastAsia="zh-CN"/>
        </w:rPr>
        <w:t>化塑原料品类价格数据集，要求数据源稳定，所提供原料品类种类超过12个。</w:t>
      </w:r>
    </w:p>
    <w:p>
      <w:pPr>
        <w:keepNext w:val="0"/>
        <w:keepLines w:val="0"/>
        <w:pageBreakBefore w:val="0"/>
        <w:widowControl w:val="0"/>
        <w:numPr>
          <w:ilvl w:val="1"/>
          <w:numId w:val="2"/>
        </w:numPr>
        <w:kinsoku/>
        <w:wordWrap/>
        <w:overflowPunct/>
        <w:topLinePunct w:val="0"/>
        <w:autoSpaceDE/>
        <w:autoSpaceDN/>
        <w:bidi w:val="0"/>
        <w:adjustRightInd/>
        <w:snapToGrid/>
        <w:spacing w:line="360" w:lineRule="auto"/>
        <w:ind w:left="0" w:leftChars="0" w:firstLine="0" w:firstLineChars="0"/>
        <w:jc w:val="both"/>
        <w:textAlignment w:val="auto"/>
        <w:rPr>
          <w:rFonts w:hint="default"/>
          <w:lang w:val="en-US" w:eastAsia="zh-CN"/>
        </w:rPr>
      </w:pPr>
      <w:r>
        <w:rPr>
          <w:rFonts w:hint="eastAsia"/>
          <w:lang w:val="en-US" w:eastAsia="zh-CN"/>
        </w:rPr>
        <w:t>数据更新维护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对于能力组件清单中的塑料原料牌号价格查询工具、聚丙烯（PP）市场报告生成器、塑料原料利润计算工具、原料与上游单体价格相关度分析、行情数据、化塑原料区域均价管理系统、行情指数等组件对于化塑行业数据依赖度高，要求数据按照特定周期进行更新维护。</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both"/>
        <w:textAlignment w:val="auto"/>
        <w:rPr>
          <w:rFonts w:hint="default"/>
          <w:lang w:val="en-US" w:eastAsia="zh-CN"/>
        </w:rPr>
      </w:pPr>
      <w:r>
        <w:rPr>
          <w:rFonts w:hint="eastAsia"/>
          <w:lang w:val="en-US" w:eastAsia="zh-CN"/>
        </w:rPr>
        <w:t>塑料原料牌号价格查询工具，除市场暂停报价的牌号外，其他牌号价格按照日度更新，更新时间为法定工作日；</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both"/>
        <w:textAlignment w:val="auto"/>
        <w:rPr>
          <w:rFonts w:hint="default"/>
          <w:lang w:val="en-US" w:eastAsia="zh-CN"/>
        </w:rPr>
      </w:pPr>
      <w:r>
        <w:rPr>
          <w:rFonts w:hint="eastAsia"/>
          <w:lang w:val="en-US" w:eastAsia="zh-CN"/>
        </w:rPr>
        <w:t>塑料原料利润计算工具，要求所提供的上游单体的参考价格，能够按照日度更新，更新时间为法定工作日；</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rPr>
          <w:rFonts w:hint="default"/>
          <w:lang w:val="en-US" w:eastAsia="zh-CN"/>
        </w:rPr>
      </w:pPr>
      <w:r>
        <w:rPr>
          <w:rFonts w:hint="eastAsia"/>
          <w:lang w:val="en-US" w:eastAsia="zh-CN"/>
        </w:rPr>
        <w:t>原料与上游单体价格相关度分析，要求所提供的原料区域均价与上游单体价格能够按照日度更新，更新时间为法定工作日；</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rPr>
          <w:rFonts w:hint="default"/>
          <w:lang w:val="en-US" w:eastAsia="zh-CN"/>
        </w:rPr>
      </w:pPr>
      <w:r>
        <w:rPr>
          <w:rFonts w:hint="eastAsia"/>
          <w:lang w:val="en-US" w:eastAsia="zh-CN"/>
        </w:rPr>
        <w:t>行情数据，区域均价、行情播报、重点牌号市场参考价、每日评述、上游单体等按照日度更新，更新时间为法定工作日；进口量/出口量、表观消费，按照月度更新；开工率/产量、利润等按照周度更新，更新时间为法定工作日；</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rPr>
          <w:rFonts w:hint="default"/>
          <w:lang w:val="en-US" w:eastAsia="zh-CN"/>
        </w:rPr>
      </w:pPr>
      <w:r>
        <w:rPr>
          <w:rFonts w:hint="eastAsia"/>
          <w:lang w:val="en-US" w:eastAsia="zh-CN"/>
        </w:rPr>
        <w:t>化塑原料区域均价管理系统，要求数据按照日度更新，更新时间为法定工作日；</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rPr>
          <w:rFonts w:hint="default"/>
          <w:lang w:val="en-US" w:eastAsia="zh-CN"/>
        </w:rPr>
      </w:pPr>
      <w:r>
        <w:rPr>
          <w:rFonts w:hint="eastAsia"/>
          <w:lang w:val="en-US" w:eastAsia="zh-CN"/>
        </w:rPr>
        <w:t>行情指数，重点牌号市场及出厂价对比、近7日品类浏览量走势、品类浏览总量TOP5等指标数据要求按照日度更新，更新时间为法定工作日；上周原料产量对比，周度更新，更新时间为法定工作日；近12月原料表观消费对比，月度更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CN"/>
        </w:rPr>
      </w:pPr>
    </w:p>
    <w:p>
      <w:pPr>
        <w:keepNext w:val="0"/>
        <w:keepLines w:val="0"/>
        <w:pageBreakBefore w:val="0"/>
        <w:widowControl w:val="0"/>
        <w:numPr>
          <w:ilvl w:val="1"/>
          <w:numId w:val="2"/>
        </w:numPr>
        <w:kinsoku/>
        <w:wordWrap/>
        <w:overflowPunct/>
        <w:topLinePunct w:val="0"/>
        <w:autoSpaceDE/>
        <w:autoSpaceDN/>
        <w:bidi w:val="0"/>
        <w:adjustRightInd/>
        <w:snapToGrid/>
        <w:spacing w:line="360" w:lineRule="auto"/>
        <w:ind w:left="0" w:leftChars="0" w:firstLine="0" w:firstLineChars="0"/>
        <w:jc w:val="both"/>
        <w:textAlignment w:val="auto"/>
        <w:rPr>
          <w:rFonts w:hint="eastAsia"/>
          <w:lang w:val="en-US" w:eastAsia="zh-CN"/>
        </w:rPr>
      </w:pPr>
      <w:r>
        <w:rPr>
          <w:rFonts w:hint="eastAsia"/>
          <w:lang w:val="en-US" w:eastAsia="zh-CN"/>
        </w:rPr>
        <w:t>详细技术参数要求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85"/>
        <w:gridCol w:w="689"/>
        <w:gridCol w:w="2201"/>
        <w:gridCol w:w="2148"/>
        <w:gridCol w:w="4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trPr>
        <w:tc>
          <w:tcPr>
            <w:tcW w:w="5000" w:type="pct"/>
            <w:gridSpan w:val="5"/>
            <w:shd w:val="clear" w:color="auto" w:fill="auto"/>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b/>
                <w:bCs/>
                <w:i w:val="0"/>
                <w:iCs w:val="0"/>
                <w:color w:val="000000" w:themeColor="text1"/>
                <w:sz w:val="21"/>
                <w:szCs w:val="21"/>
                <w:u w:val="none"/>
                <w:lang w:val="en-US"/>
                <w14:textFill>
                  <w14:solidFill>
                    <w14:schemeClr w14:val="tx1"/>
                  </w14:solidFill>
                </w14:textFill>
              </w:rPr>
            </w:pPr>
            <w:r>
              <w:rPr>
                <w:rFonts w:hint="eastAsia" w:ascii="宋体" w:hAnsi="宋体" w:cs="宋体"/>
                <w:i w:val="0"/>
                <w:iCs w:val="0"/>
                <w:color w:val="auto"/>
                <w:kern w:val="0"/>
                <w:sz w:val="21"/>
                <w:szCs w:val="21"/>
                <w:u w:val="none"/>
                <w:lang w:val="en-US" w:eastAsia="zh-CN" w:bidi="ar"/>
              </w:rPr>
              <w:t>★</w:t>
            </w:r>
            <w:r>
              <w:rPr>
                <w:rFonts w:hint="eastAsia" w:ascii="方正仿宋_GB2312" w:hAnsi="方正仿宋_GB2312" w:eastAsia="方正仿宋_GB2312" w:cs="方正仿宋_GB2312"/>
                <w:b/>
                <w:bCs/>
                <w:i w:val="0"/>
                <w:iCs w:val="0"/>
                <w:color w:val="000000" w:themeColor="text1"/>
                <w:kern w:val="0"/>
                <w:sz w:val="21"/>
                <w:szCs w:val="21"/>
                <w:u w:val="none"/>
                <w:lang w:val="en-US" w:eastAsia="zh-CN" w:bidi="ar"/>
                <w14:textFill>
                  <w14:solidFill>
                    <w14:schemeClr w14:val="tx1"/>
                  </w14:solidFill>
                </w14:textFill>
              </w:rPr>
              <w:t>能力组件清单及参数要求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205DDA"/>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b/>
                <w:bCs/>
                <w:i w:val="0"/>
                <w:iCs w:val="0"/>
                <w:color w:val="000000" w:themeColor="text1"/>
                <w:kern w:val="0"/>
                <w:sz w:val="21"/>
                <w:szCs w:val="21"/>
                <w:u w:val="none"/>
                <w:lang w:val="en-US" w:eastAsia="zh-CN" w:bidi="ar"/>
                <w14:textFill>
                  <w14:solidFill>
                    <w14:schemeClr w14:val="tx1"/>
                  </w14:solidFill>
                </w14:textFill>
              </w:rPr>
              <w:t>序号</w:t>
            </w:r>
          </w:p>
        </w:tc>
        <w:tc>
          <w:tcPr>
            <w:tcW w:w="353" w:type="pct"/>
            <w:shd w:val="clear" w:color="auto" w:fill="205DDA"/>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b/>
                <w:bCs/>
                <w:i w:val="0"/>
                <w:iCs w:val="0"/>
                <w:color w:val="000000" w:themeColor="text1"/>
                <w:kern w:val="0"/>
                <w:sz w:val="21"/>
                <w:szCs w:val="21"/>
                <w:u w:val="none"/>
                <w:lang w:val="en-US" w:eastAsia="zh-CN" w:bidi="ar"/>
                <w14:textFill>
                  <w14:solidFill>
                    <w14:schemeClr w14:val="tx1"/>
                  </w14:solidFill>
                </w14:textFill>
              </w:rPr>
              <w:t>数量</w:t>
            </w:r>
          </w:p>
        </w:tc>
        <w:tc>
          <w:tcPr>
            <w:tcW w:w="1127" w:type="pct"/>
            <w:shd w:val="clear" w:color="auto" w:fill="205DDA"/>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b/>
                <w:bCs/>
                <w:i w:val="0"/>
                <w:iCs w:val="0"/>
                <w:color w:val="000000" w:themeColor="text1"/>
                <w:kern w:val="0"/>
                <w:sz w:val="21"/>
                <w:szCs w:val="21"/>
                <w:u w:val="none"/>
                <w:lang w:val="en-US" w:eastAsia="zh-CN" w:bidi="ar"/>
                <w14:textFill>
                  <w14:solidFill>
                    <w14:schemeClr w14:val="tx1"/>
                  </w14:solidFill>
                </w14:textFill>
              </w:rPr>
              <w:t>一级模块</w:t>
            </w:r>
          </w:p>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b/>
                <w:bCs/>
                <w:i w:val="0"/>
                <w:iCs w:val="0"/>
                <w:color w:val="000000" w:themeColor="text1"/>
                <w:kern w:val="0"/>
                <w:sz w:val="21"/>
                <w:szCs w:val="21"/>
                <w:u w:val="none"/>
                <w:lang w:val="en-US" w:eastAsia="zh-CN" w:bidi="ar"/>
                <w14:textFill>
                  <w14:solidFill>
                    <w14:schemeClr w14:val="tx1"/>
                  </w14:solidFill>
                </w14:textFill>
              </w:rPr>
              <w:t>（组件名称）</w:t>
            </w:r>
          </w:p>
        </w:tc>
        <w:tc>
          <w:tcPr>
            <w:tcW w:w="1100" w:type="pct"/>
            <w:shd w:val="clear" w:color="auto" w:fill="205DDA"/>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b/>
                <w:bCs/>
                <w:i w:val="0"/>
                <w:iCs w:val="0"/>
                <w:color w:val="000000" w:themeColor="text1"/>
                <w:kern w:val="0"/>
                <w:sz w:val="21"/>
                <w:szCs w:val="21"/>
                <w:u w:val="none"/>
                <w:lang w:val="en-US" w:eastAsia="zh-CN" w:bidi="ar"/>
                <w14:textFill>
                  <w14:solidFill>
                    <w14:schemeClr w14:val="tx1"/>
                  </w14:solidFill>
                </w14:textFill>
              </w:rPr>
              <w:t>二级模块</w:t>
            </w:r>
          </w:p>
        </w:tc>
        <w:tc>
          <w:tcPr>
            <w:tcW w:w="2068" w:type="pct"/>
            <w:shd w:val="clear" w:color="auto" w:fill="205DDA"/>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b/>
                <w:bCs/>
                <w:i w:val="0"/>
                <w:iCs w:val="0"/>
                <w:color w:val="000000" w:themeColor="text1"/>
                <w:kern w:val="0"/>
                <w:sz w:val="21"/>
                <w:szCs w:val="21"/>
                <w:u w:val="none"/>
                <w:lang w:val="en-US" w:eastAsia="zh-CN" w:bidi="ar"/>
                <w14:textFill>
                  <w14:solidFill>
                    <w14:schemeClr w14:val="tx1"/>
                  </w14:solidFill>
                </w14:textFill>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项目过程管控系统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项目管理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对所有进行管控的项目进行维护，包括项目的基本信息，项目执行者等。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工程管理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项目下下设具体的工程，在此模块进行维护管理。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与我协作</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展示所有需要我进行协作的工程，并进行进度反馈。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数智图纸系统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个人网盘</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上传并维护属于私人的文件信息，并可分享给其他人。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我的项目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展示并维护与自己工程相关的文件信息，可上传、分享，并按项目类型预生成固定的文件夹。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我的分享</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展示自己分享的以及别人分享给我的文件，并可再次分享给别人。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我的消息</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展示各项系统的通知和动态，包括我参与的项目的进度。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图纸打印申请</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部分图纸需要线下打印并寄送，此处可以申请打印。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9</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日常巡查系统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跑滑日常巡查</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展示并记录跑道、滑行道日常巡查记录，包括天气、温度、发现的异常等。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机坪日常巡查</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展示并记录机坪日常巡查记录，包括天气、温度、发现的异常等。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机位巡查</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分类展示所有的机位信息，图表显示是否已巡查、巡查时间等信息。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徒步调查评价</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展示并记录徒步调查的信息，并按照既定的计算模型，得出评价等级及维护建议措施。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展示并设置相关基础信息，包括部位、区域、单元、板块等信息。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14</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保洁和安全巡护系统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机坪保洁记录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展示并记录机坪保洁的记录，包括天气、温度、保洁的区域、措施等。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跑道保洁记录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展示并记录跑道保洁的记录，包括天气、温度、保洁的区域、措施等。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定期清扫记录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展示并记录定期清扫的计划、区域、使用的车辆、工具等信息。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航空器扎胎记录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展示并记录航空器扎胎的记录信息，包括发生的航空器信息、发生的区域、时间等。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雪情通告</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展示并记录机场的雪情信息，采取的除雪措施、使用的车辆、工具等。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19</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ACN-PCN测算系统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ACN-PCN测试计划</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制定ACN-PCN测试的计划信息，包括需要测试的区域、方法、时间等。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ACN-PCN测试记录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制定测试方案，根据计划信息记录实际的测试信息，包括各个传感器记录的各区域的板边、板中、板角值等。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PCN计算</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通过测试记录的信息，按照设定好的数学模型，根据水泥混凝土板弯拉强度(MPa)、水泥混凝土板弯拉弹性模量(GPa)、基层顶面当量反应模量(MN/m3)计算得出PCN值。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ACN-PCN评价</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通过测试记录的信息，按照设定好的数学模型，区域PCN、ACN值得出评价等级，提供相应的维护措施。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展示并设置相关基础信息，包括测试区域、ACN参数、ACN-PCN评价等级参数等信息。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24</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FOD风险分析</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机坪外来物记录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展示并记录机坪外来物的信息，包括外来物的来源、所在区域等。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跑道外来物记录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展示并记录跑道外来物的信息，包括外来物的来源、所在区域等。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外来物来源</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管理并设置所有外来物来源。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外来物所在区域</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管理并设置外来物所在区域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展示并设置相关基础信息，包括外来物等信息。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29</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决策计划</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多年期规划</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根据设定的数学计算模型，制定并展示各区域多年的养护规划信息。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年度维护计划</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展示当年各区域的损坏及病害信息，并自动给出相应的维护措施。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道面性能预估</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根据数学模型，对各区域当前、3年、5年的PCI值做出预估，并提供相应的养护措施。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道面簇</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维护各区域的PCI预测系数，并分析数据。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决策库</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对各个病害根据PCI评价等级，设置相应的维护、养护措施。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34</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8</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标志线管理</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标志线日常巡查</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展示并记录标志线日常巡查记录，包括标志线编号、标志线类别、空间位置、异常内容、损坏数量等信息。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标志线报修记录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展示并记录标志线报修记录，包括现场照片信息、报修内容等。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标志线定期维护</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展示并记录标志线定期维护记录，包括维护周期、作业人数、作业车辆、油漆用量、涂料颜色等，记录各项施工记录。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标志线维修记录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展示记录标志线实际维修时的记录，包括施工内容、施工性质、涂料、玻璃珠等信息。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展示并设置相关基础信息，包括标志线分区、标志线异常类别、涂料性质等信息。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39</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9</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服务车道管理</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服务车道日常巡查</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展示并记录服务车道日常巡查记录，包括服务车道编号、位置距离、空间位置、异常内容等信息。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服务车道报修记录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展示并记录服务车道报修记录，包括现场照片信息、报修内容等。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日常施工任务单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展示并记录日常施工任务单信息，包括指派人员、维修时间、所需材料等信息，并可生成指定格式的任务单文档。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定期施工任务单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展示并记录服务车道定期维护记录，包括维护周期、施工单位、施工要求及注意事项等信息。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维修记录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展示记录服务车道实际维修时的记录，包括位置距离、维修数量、施工材料等信息。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展示并设置相关基础信息，包括服务车道分区、服务车道异常类别、施工单位等信息。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45</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10</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土面区管理</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土面区日常巡查</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展示并记录土面区日常巡查记录，包括土面区编号、土面区类别、空间位置、异常内容、损坏数量等信息。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土面区报修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展示并记录土面区报修记录，包括现场照片信息、报修内容等。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定期维护计划</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展示并记录土面区定期维护记录，包括维护时间要求、注意事项、施工内容方法、施工单位信息、监理单位信息等。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土面区维修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展示记录土面区实际维修时的记录，包括作业内容、天气、作业方式、工作量等信息。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分区密实度</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展示并设置各区域的土面密实度。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展示并设置相关基础信息，包括土面区分区、土面区异常类别、监管人、负责人等信息。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51</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11</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排水设施管理</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排水设施日常巡查</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展示并记录排水设施日常巡查记录，包括排水设施编号、位置距离、空间位置、异常内容、天气、检查人员等信息。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排水设施报修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展示并记录排水设施报修记录，包括现场照片信息、报修内容等。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日常施工任务单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展示并记录日常施工任务单信息，包括指派人员、施工区域、时间要求，并根据计算模型给出智能决策信息，并可生成指定格式的任务单文档。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维修记录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展示记录排水设施实际维修时的记录，包括位置距离、维修数量、施工材料等信息。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展示并设置相关基础信息，包括排水设施编号、排水设施异常类别、排水沟等信息。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56</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12</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围界管理系统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围界日常巡查</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展示并记录围界日常巡查记录，包括围界编号、位置距离、空间位置、异常内容等信息。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围界报修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展示并记录围界报修记录，包括现场照片信息、报修内容等。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日常施工</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展示并记录日常施工任务单信息，包括指派人员、施工区域、时间要求，并根据计算模型给出智能决策信息，并可生成指定格式的任务单文档。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定期施工</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展示并记录围界定期维护记录，包括维护周期、施工单位、施工要求及注意事项等信息。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维修记录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展示记录围界实际维修时的记录，包括位置距离、维修数量、施工材料等信息。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展示并设置相关基础信息，包括围界分区、围界异常类别、施工单位等信息。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62</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13</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应急指挥系统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应急事件</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对突发应急事件进行记录，并进行紧急响应，包括人员、车辆、物资、专家调配，实时监控响应过程。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通知公告</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对应急突发事件发布相应的通知公告信息。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设置相关的基础信息。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65</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14</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pPr>
            <w:r>
              <w:rPr>
                <w:rFonts w:hint="eastAsia"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t>物资管理</w:t>
            </w:r>
          </w:p>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pPr>
            <w:r>
              <w:rPr>
                <w:rFonts w:hint="eastAsia"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t>在库管理</w:t>
            </w:r>
          </w:p>
        </w:tc>
        <w:tc>
          <w:tcPr>
            <w:tcW w:w="2068" w:type="pct"/>
            <w:shd w:val="clear" w:color="auto" w:fill="auto"/>
            <w:vAlign w:val="center"/>
          </w:tcPr>
          <w:p>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pPr>
            <w:r>
              <w:rPr>
                <w:rFonts w:hint="eastAsia"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t>在库管理菜单，包括左侧仓库信息、中间库位信息、仓管员信息右侧仓储材料信息。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pPr>
            <w:r>
              <w:rPr>
                <w:rFonts w:hint="eastAsia"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t>材料管理</w:t>
            </w:r>
          </w:p>
        </w:tc>
        <w:tc>
          <w:tcPr>
            <w:tcW w:w="2068" w:type="pct"/>
            <w:shd w:val="clear" w:color="auto" w:fill="auto"/>
            <w:vAlign w:val="center"/>
          </w:tcPr>
          <w:p>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pPr>
            <w:r>
              <w:rPr>
                <w:rFonts w:hint="eastAsia"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t>包括左侧材料类别，右侧材料信息（条件搜索、重置、新增材料、删除材料、置为失效、置为正常）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pPr>
            <w:r>
              <w:rPr>
                <w:rFonts w:hint="eastAsia"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t>库存分析</w:t>
            </w:r>
          </w:p>
        </w:tc>
        <w:tc>
          <w:tcPr>
            <w:tcW w:w="2068" w:type="pct"/>
            <w:shd w:val="clear" w:color="auto" w:fill="auto"/>
            <w:vAlign w:val="center"/>
          </w:tcPr>
          <w:p>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pPr>
            <w:r>
              <w:rPr>
                <w:rFonts w:hint="eastAsia"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t>库存分析菜单，包括左侧仓库信息，中间（条件搜索），右侧库存分析（条件搜索、码符明细、导出数据）。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pPr>
            <w:r>
              <w:rPr>
                <w:rFonts w:hint="eastAsia"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t>库存量</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库存量菜单，包括条件搜索、重置和导出数据。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69</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15</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供应商管理</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供应商管理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记录和展示供应商，包括供应商名称、地址、联系人、联系方式等基本信息，用于标识和识别供应商。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供应商黑名单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用于记录和管理不良供应商信息的系统模块。它提供了一种集中管理供应商黑名单的方式，以便组织能够更好地识别和避免与不良供应商进行合作。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采购单位管理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用于管理和维护采购单位信息的系统模块。它提供了一种集中管理采购单位信息的方式，以便组织能够更好地与采购单位进行合作和沟通。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对基本信息及数据的维护，包括供应商性质、采购单位类别等。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73</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16</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pPr>
            <w:r>
              <w:rPr>
                <w:rFonts w:hint="eastAsia"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t>项目管理系统</w:t>
            </w:r>
          </w:p>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themeColor="text1"/>
                <w:sz w:val="21"/>
                <w:szCs w:val="21"/>
                <w:u w:val="none"/>
                <w:lang w:val="en-US" w:eastAsia="zh-CN"/>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生成项目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通过该模块对项目信息进行集中管理，包括项目的基本信息、项目任务书、委托单位等信息。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采购文件管理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采购文件管理模块是一个用于管理和维护采购文件的系统模块。它提供了一种集中管理采购文件的方式，以便组织能够更好地组织、存储和检索采购文件。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模板管理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用于管理各种模板资源的功能模块。用户可以方便地浏览和选择适合的模板，也可以根据需要进行定制化编辑，最终实现快速生成符合要求的文档。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项目概况</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用于描述和梳理项目基本信息的功能模块。该模块通常包括项目名称、项目描述、项目负责人、项目周期、项目目标等信息的记录和展示。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项目统计</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用于收集、整理和展示项目数据和中标金额、服务费金额的功能模块。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78</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17</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工作计划管理</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周计划</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用于制定和管理班组成员一周内工作计划，包括车辆、外协工、司机调度等信息。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月度计划</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根据周计划信息，制定班组相关的月度工作计划信息。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80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年度计划</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根据月度计划信息，制定班组相关的年度工作计划信息。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81</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18</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E键消缺</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消缺库</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用于管理和控制企业内部或外部的缺陷处理过程的系统功能。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82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消缺统计</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根据消缺填报记录，分类统计消缺分类信息。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83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E键消缺</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综合只能查询针对缺陷处理的相关材料，包括隐患排查、厂家说明书、电网典型故障诊断与处理等。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84</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19</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固定资产管理</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资产管理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用于企业内部或外部的固定资产采购、登记、入库管理。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85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资产领用</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用于管理和控制企业内部或外部的固定资产领取过程的系统功能。包括领用资产名称、数量等。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86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资产确认</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用于企业或组织在进行财务会计时，根据相关会计准则或规定，对符合固定资产定义和确认条件的资产进行正式记账。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87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资产维修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用于管理和控制企业内部或外部的固定资产维修过程的系统功能，包括维修申请、审批，进度跟踪。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88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资产送检</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用于登记固定资产的送检情况，包括送检周期、送检单位、联系人等。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89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资产借用</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用于登记固定资产的借用情况，包括借出人、借出单位、借出理由、预期归还时间等。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90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资产清查</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用于对各类别的固定资产盘点、清查，并登记造册。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91</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20</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资源管理系统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运行管理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运行班信息维护登记。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92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班组管理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班组信息维护登记，设定所辖变电所，班组成员维护，班组成员等级评定等。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93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外协工管理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外协工信息管理维护，包括辅助工、电焊工、二次工等。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94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车辆管理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各类车辆信息分类维护，包括工程车、小车、升高车等，并可对车辆司机人员信息进行维护。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95</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21</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工单积分管理</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考核管理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用于管理和控制企业内部员工的作业执行情况考核。记录票种、难度系数、质量系数、工单积分、安全责任积分等。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96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员工积分管理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用于登记记录员工的工单数量、业绩积分、能力积分、贡献积分、绩效积分，并按积分排名。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97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工作项目管理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用于维护工作项目信息。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98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年休假管理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用于记录维护员工的年休假信息。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99</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22</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客户管理</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客户单位</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用于组织和管理客户信息，基本信息（如姓名、地址、联系方式等），销售机会、联系人等。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100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联系人</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用于管理客户联系人信息，由字母拼音、姓氏进行快速检索，可绑定相应的客户信息。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101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客户性质</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管理维护客户性质信息。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102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客户片区</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管理维护客户所属片区信息。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103</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23</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采购及库存管理</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采购管理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用于创建、追踪和管理采购订单。用户可以在系统中创建采购订单，并跟踪订单的状态、交付日期和付款信息等。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104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库存业务</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用于管理和控制物料或产品的库存情况。它包含了从库存管理、入库、出库、盘点到库存调整等多个方面的功能模块。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105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库存控制</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用于确保企业的库存水平在合理范围内，并避免过高或过低的库存持有，包括库存预测、安全库存设置等。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106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库存分析</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用于对企业的库存数据进行深入的分析和洞察，包括库存状况、库存指标分析等。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107</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24</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低压工程管理</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分包工程</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用于管理创建、审批和执行分包工程。用户可以通过该模块创建分包工程，并跟踪工程的执行情况、并导出开工审批单。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108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工程统计</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按分类统计工程进度情况。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109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工程量清单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用于管理维护工程量明细信息，并可导出相关明细信息。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110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分包结算</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用于管理和维护分包结算信息，并可导出结算单。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111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青苗赔偿</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用于管理和维护青苗赔偿信息，并可导出相关文档信息。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112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临时用工</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用于管理和维护临时用工信息，包括使用原因、申请人等信息。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113</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25</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人才管理系统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招聘管理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用于管理和维护单位招聘信息，包括招聘的部门、岗位、职级、招聘人数等信息。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114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人事异动</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用于管理维护单位人员调动记录，包括调出、调入及调动原因等信息。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115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培训活动</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用于管理维护单位的培训活动，包括培训时间、培训内容、培训地点、参与培训的人员等信息。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116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后备人才库</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用于管理和维护单位的后备人才库信息，包括后备人才基本信息，后备部门、后备岗位等信息。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117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班组建设</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用于管理维护单位的班组建设信息，包括对班组的分类，相关的成立文件、学习文件等。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118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工会管理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用于管理和维护单位的工会信息，并可维护每个工会的成员信息。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119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党团建设</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用于管理和维护单位的党支部、党员、入党申请等。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120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用于管理维护基础信息，包括调动申请状态、培训类型、培训类别、员工信息等。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121</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26</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报表管理</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条件查询管理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用于管理和维护定制报表的查询条件信息。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122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驱动管理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用于管理和维护定制报表的数据库驱动信息。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123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数据源管理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用于管理和维护报表的数据库数据源信息。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124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SQL管理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用于管理和维护报表查询的sql语句信息。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125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模板管理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用于管理和维护报表生成所使用的模板文件。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126</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27</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工程预结算</w:t>
            </w:r>
          </w:p>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工程概况</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用于管理维护预结算工程的信息，包括工程的名称、编号、地点、类型、规模、预算单等信息。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127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工程预算</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用对工程项目所需资金的估计和规划，包括各项费用的预测、分配和控制。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128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结算资料提交</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用于对工程计算资料的管理与维护。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129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工程结算</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用于对工程结算的管理与维护，包括决算内容、结算金额、审价方式等信息。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130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审计工程校对</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用于对工程预算审计、工程结算、分包结算进行综合查询，并可导出指定格式的文档信息。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131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其他工程</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对其他工程进行分类统计，包括分包预算、审计工程和对数、外部市场招标数等。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132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月度统计</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按年、月分类统计月完成决算工程数量、分包预算、审计工程和对数、外部市场招标数等，并可导出指定格式文档。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133</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28</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塑料原料牌号价格查询工具</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牌号价格查询</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综合查询化塑原料牌号的历最新均价，包括品类、牌号、厂商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134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订阅牌号</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用于管理已订阅的牌号信息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135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牌号详情</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用于查看牌号的最新均价、价格走势、历史价格、报价城市，支持选择时间范围、导出价格数据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136</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29</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聚丙烯（PP）市场报告生成器</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新建报告</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用于新建市场报告，包括基础信息填写，区域均价、牌号市场参考价、牌号出厂参考价、上游单体、产量、利润的数据选择，报告生成，下载报告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137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我的报告</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用于查看已生成的历史报告，支持查看详情、下载、删除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138</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30</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聚丙烯（PP）产业链-图谱定制工具</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产业链总览</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用于查看聚丙烯PP产业链，统计链上企业数量包括企业总数、规上企业、成立3年及以上企业、产业链节点，展示企业注册资本分布以及企业年龄分布。支持对企业列表进行成立年份、注册资本、经营模式进行筛选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139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区域地图</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展示全国以及浙江省各市在聚丙烯产业链上企业，支持对企业列表进行产业链节点筛选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140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我的产业链</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用于查看已生成的产业链，支持查看详情、删除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141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新建产业链</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用于创建产业链，包括添加产业链名称，选择上游节点、中游节点、下游节点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142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企业详情</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展示企业相关信息，包括工商信息、企业概况、产业分类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143</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31</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长链变短链工具</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创建短链</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用于创建短链，包括目标链接、短链设置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144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链接列表</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用于查看已生成的短链，支持查看详情、删除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145</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32</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塑料原料利润计算工具</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利润计算器</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用于计算不同原料品类的利润，包括制备工艺选择、上游单体参考和填写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146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计算结果记录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保存已计算的利润结果，支持筛选原料品类以及计算时间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147</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33</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蚁塑通CRM系统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客户查询</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综合查询客户，包括长期流失客户、新客户、流失客户、睡眠客户、重点召回客户、重点活跃用户，支持新增、修改、删除、退回公海池、查看销售往来明细等操作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148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公海客户</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分配用户列表，支持新增、修改、删除、批量分配等操作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149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客户分群</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用于客户分群管理，支持自定义客户群和系统客户群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150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拜访记录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用于记录拜访客户列表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151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黑名单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用于管理黑名单用户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152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脱落规则</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用于设置客户脱落规则</w:t>
            </w:r>
          </w:p>
        </w:tc>
      </w:tr>
      <w:tr>
        <w:tblPrEx>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153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部门设置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用于设置部门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154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员工设置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用于设置员工，分配部门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155</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34</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小象羽-供应链集成管理系统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个人中心</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用于密码修改、短消息管理、审批管理。工可以查看和编辑个人信息，管理者可以设置和查看员工权限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156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客商管理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用于客户关系管理、客商管理、基本设置、客商分析，包括客户和供应商的资料信息，如公司名称、地址、联系方式等，以及交易记录、信用状况等。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157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合同管理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用于流程组设置、预评估管理、合同列表查看、经营合同管理、其他经营合同管理、非经营合同管理、合同分析。涵盖了供应链中所有合同的创建、审批、签署、执行和终止等环节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158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供应链</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用于采购管理、销售管理、存货管理、生产加工管理、结算管理、应付应收管理、资金管理、暂估管理、综合报表查看，包括了订单处理、生产计划、物流管理、库存管理等环节。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159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自营仓储</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用于合同管理、仓储管理、质押管理、生产加工管理、财务管理、综合报表查看可以实时监控库存水平，进行库存预警，以及进行库存货物的移库、盘点等操作。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160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平台支撑</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用于基础设置、系统管理、初始化、平台管理，包括用户权限管理、系统设置、数据报表生成等功能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161</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35</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原料与上游单体价格相关度分析</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价格相关度计算</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用于计算分析价格相关度系数，包括选择区域均价、上游单体、时间范围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162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分析结果记录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保存已计算的分析结果，支持筛选原料品类以及计算时间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163</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36</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蚁塑通--ERP管理系统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营销</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用于线索挖掘、智能推送、产品报价、店铺装修、整体分析。营销板块是ERP系统中负责制定营销策略和活动的部分。它包括市场分析、目标市场定位、产品定价、促销活动等模块。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164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采购</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用于管理采购订单、采购入库、采购退款、采购退货退款。采购板块负责企业的采购活动，包括供应商管理、采购订单处理、采购合同管理等功能。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165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销售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用于管理销售订单、现货提单、销售退款、销售退货退款。销售板块负责管理企业的销售活动。它包括销售订单处理、销售预测、销售数据分析等功能。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166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加工</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用于管理加工领料单、加工入库单。加工板块负责管理企业的生产过程，包括生产计划、生产排程、生产控制等功能。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167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库存</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库存汇总、批次库存、库存流水、进销存汇总、现货出库、销售退货入库、销售实提明细、库存调出、库存调入、库存调整、库存损溢。库存板块负责管理企业的库存，包括库存管理、库存移动、库存盘点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168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资金</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代付款、付款申请、付款单、付款申请明细、付款核销明细、代收款、收款单、收款核销明细、账户收支、账户转账、账户收支明细、账户余额、费用单、其他应付单、其他应收单资金板块负责管理企业的财务活动，包括账务处理、财务报表编制、现金流管理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169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发票</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用于管理进项未收票、进项发票、收票核销记录、销项未开票、销项发票申请、销项发票、开票核销记录、发票库存、发票流水。发票板块负责管理企业的开票活动，包括发票开具、发票审核、发票结算等功能。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170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报表</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采购汇总、采购往来明细、订单执行报表、财务往来明细、销售汇总、销售往来明细、销售逾期报表、订单执行报表、财务往来明细、应付汇总、应收汇总、经营毛利汇总、采销往来明细、采销关联表、销售提成汇总、往来单位余额表、销货单、收款现结单、进货单、付款现结单。报表板块负责生成和分析各种财务报表，包括资产负债表、损益表、现金流量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171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设置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角色、机构、岗位、组织、往来单位设置、额度流水、商品设置、规格设置、自定义商品字段、仓库设置、库位设置、开户银行设置、公司账户设置、收支名称设置、币别设置、自动核销、费用名称设置、印章设置、提成规则、数据字典、菜单、参数设置、子系统、单据类型维护、期初采购应付、期初库存、期初费用未到票、期初费用未开票、期初采购未到票、期初销售未开票、期初销售应收、期初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172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用于管理客户查询、公海客户、客户分群、拜访记录、黑名单、脱落规则，包括客户资料管理、客户订单跟踪、客户服务支持等功能。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173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商品</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用于管理客户报价单，包括产品资料管理、产品定价策略、产品销售分析等功能。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174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审批</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用于管理审批任务、审批流设置，包括业务流程审批、费用审批、采购订单审批等功能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175</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37</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活动签到管理系统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控制台</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展示活动统计数据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176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活动列表</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用于管理活动列表，包括创建活动、查看详情、编辑、上/下线、复制链接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177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活动统计</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用于统计所有活动的预约人数以及签到人数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178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活动标签</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用于管理活动标签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179</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38</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化塑原料区域均价管理系统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控制台</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用于操作订阅、对比、分析，查看原料品类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180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订阅管理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用于管理已订阅的品类信息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181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对比趋势</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用于对比不同时间范围内的区域均价最高价、最低价、平均价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182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价格分析</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用于计算分析价格关联度系数，包括选择原料品类、市场均价、上游单体、时间范围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183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品类详情</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展示不同区域的品类均价，支持时间筛选、到处价格数据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184</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39</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化塑原料物性对比管理系统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物性对比</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展示化塑原料的物性列表，包括品类、厂商、牌号、特性及用途，支持对比不同化塑原料的物性，密度、熔融流量、弯曲强度、热变形温度、拉伸强度排序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185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我的收藏</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用于管理已收藏的化塑原料，支持筛选、查看详情、取消收藏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186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物性详情</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展示牌号对应的物性参数包括流变性能、机械性能、热性能，支持下载完整物性表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187</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40</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代理记账管理软件系统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单位组织信息录入</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包括公司信息、部门信息、角色信息设置对话框及角色管理模块，用于企业组织设定、角色授权和节点设置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188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基础数据录入</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提供公司产品与服务详细信息录入窗口，填写公司所提供的服务信息，点击确定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189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人员信息管理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新增人员信息管理，点击新增按钮，填写相关信息，点击确认进行保存；账号创建管理，人员新增成功后，点击创建账号，添加相关账号信息，添加完成后，即可到角色管理内，将该账号添加到对应的角色内；人员离职操作，编辑状态为【离职】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190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客户信息录入</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线索客户录入模块，对有意向与本公司合作的客户信息进行登记，对某有意向与本公司合作的客户进行持续跟进，记录跟进情况；正式客户录入模块，当意向客户确认与本公司合作后，将该公司转为正式客户，直接进行正式客户信息的录入，对转为正式客户的信息进行完善，添加客户的联系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7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191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业务信息录入</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代理记账业务模块，添加业务合同，添加派工信息，选择派工人员，指定开始时间和结束时间；企业证照业务，添加企业证照业务合同，并添加提供的产品和服务，对业务合同提供的服务事项进行派工；人事代理服务及其他业务，与企业证照类业务一样，添加产品和服务后进行派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192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业务进度管理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包括业务事项查看，对企业证照类业务事项进行业务进度推进；进度推进登记，选择一条事项，点击新增按钮，选择当前进度，与日期（默认当前时间），点击确认，当前事项新增一条进度记录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193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财务开票收款</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签订业务合同后，对业务合同进行开票收款操作，包括开票、收款、查看业务收款记录等模块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194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统计报表</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统计销售人员绩效、代理记账人员绩效、收款报表、应收账款报表等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195</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41</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家族族谱统一管理平台</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开通登录页面</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系统项目登录页面，提供账号密码录入对话框，输入账号密码后，即可登录系统，若忘记密码，请联系系统最高管理员重置密码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196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通知公告</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包括新增/编辑公告，新增公告时，可选择发布状态，填写公告内容，公告顺序等；公告管理模块，公告列表中，可搜索公告，或筛选公告状态、排序等，可根据标题、内容进行排序等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197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家族文化</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文章分类，主要用于管理家族文章的分类，可以自由添加、修改、删除分类；家族文章，主要用来发表文章，可以自由添加、修改、删除文章，可自有编辑文章；大事记，主要用于记录家族发生的大事记；家族红榜，用于记录家族内有贡献或者有成就的内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198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族谱管理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包括添加成员，在最开始需要先添加“新增根数据”，而后根据根数据，逐级进行添加，可以选择添加子女或配偶，不限层级；成员管理，点击成员名称， 即可进入成员详情进行编辑；族谱管理等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199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家族管理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包括家族人员，主要用于账号管理，可以按实际情况添加、编辑、删除家族人员；组别管理，将家族进行分组，常见的可以按血脉、亲情关系进行分组，又或者按家族字辈进行分组等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200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素材中心</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家族内的相关文件、图片、视频，均可通过素材中心进行上传，保存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201</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42</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企业经营安全等级管理系统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开通登录页面</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系统项目登录页面，提供账号密码录入对话框，输入账号密码后，即可登录系统，若忘记密码，请联系系统最高管理员重置密码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202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工厂管理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新增/编辑工厂信息，新增工厂时，需严格按照要求进行填写，每个工厂可能没有设立安全负责人，需要联系工厂设立安全负责人；工厂管理，工厂列表中，可搜索工厂或者按工厂的经营状态、法人、安全负责人等信息进行搜索、筛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203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安全检查</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新增检查，新增检查时，需要选择检查日期以及从系统中选择“检查工厂”，工厂信息在“工厂管理”模块中进行录入、登记；检查管理，在检查管理中，可按检查内容进行搜索，也可以针对每个字段进行搜索、筛选或排序，并支持批量删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204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安全教育</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包括新增教育内容；安全教育管理，可按文章内容进行搜索，也可以针对每个字段进行搜索、筛选或排序，并支持批量删除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205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宣传图管理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包括新增管理、宣传图管理等，在宣传图管理中，可按宣传图说明进行搜索，也可以针对每个字段进行搜索、筛选或排序，并支持批量删除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206</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43</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环保管家</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开通登录页面</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系统项目登录页面，提供账号密码录入对话框，输入账号密码后，即可登录系统，若忘记密码，请联系系统最高管理员重置密码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207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企业管理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企业管理模块，主要是对平台内所有环保企业信息进行统一录入、管理。包括新增/编辑企业，新增企业时，可根据企业实际情况，填写相关企业信息；企业管理，企业列表中，可搜索企业或者按企业的类型、企业名称、企业污染物种类、企业地址等信息进行搜索、筛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208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检查管理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新增检查，需要选择检查日期以及从系统中选择“检查企业”，企业信息在“企业管理”模块中进行录入、登记；检查管理，在检查管理中，可按检查内容进行搜索，也可以针对每个字段进行搜索、筛选或排序，并支持批量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209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成果报告</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包括新增报告、报告管理等，其中在报告管理中，可按报告名称进行搜索，也可以针对每个字段进行搜索、筛选或排序，并支持批量删除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210</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44</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智慧垃圾分类管理平台</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包括新增/导入居民、居民类型、局面管理、新增/导入垃圾点、垃圾点管理、新增/导入督导员、督导员管理等模块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211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内容管理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包括系统公告、居民公告、督导公告，系统公告将通知所有居民以及督导员，居民公告将只有居民可见，督导员通知将只有督导员可见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212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运营管理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户登录小程序绑定居民账号、解绑居民账号、参与垃圾分类投放获得积分、督导员工作打卡、督导员抽检居民投放的垃圾，都需要在小程序中完成，后台只做记录展示、查询、导出功能，详细使用方法，可见小程序操作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213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数据管理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针对系统内核心数据进行统一汇总，并支持将居民数据做导出，以便存档、管理，可根据实际运营情况开放数据接口，以便其他第三方平台调用、使用系统数据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214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积分管理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包括新增积分活动、活动管理、积分兑换、兑换记录等模块，平台可定期或不定期开展积分兑换活动，居民可使用参与垃圾分类获得的积分，在活动时间范围内进行兑换商品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215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包括考勤设置、积分设置、用户管理、角色管理、系统设置等模块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216</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45</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“红领带”楼宇党建服务平台</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客商管理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包括通知公告、政策咨询、楼宇招租、学习教育及积分排行等板块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217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企业员工管理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包括账号注册或登录页面、通知公告、政策资讯、楼宇招租、楼宇活动、志愿活动、一键通达、学习交易、公家单位、积分兑换及兑换记录、积分排行、个人信息等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218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企业管理员</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包括账号登录、楼宇经济、企心愿及员工管理等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219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物业管理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包括账号登录、一键通达处理、后台楼宇管理、后台企业管理等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220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普通党员</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包括账号登录页面、党建工作、学习教育（可获得学时）、每月一测、我的党组织、我的学时等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221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联合党委</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包括账号登录、楼宇经济（收到信息，可在后台查看）、企心愿（收到信息，可在后台查看）、积分兑换（可作为管理员提供兑换服务）、联合党委、后台相关管理功能等；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222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街道党组织</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包括账号登录、街道党组织、楼宇管理及后台相关管理功能等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223</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46</w:t>
            </w:r>
          </w:p>
        </w:tc>
        <w:tc>
          <w:tcPr>
            <w:tcW w:w="1127" w:type="pct"/>
            <w:vMerge w:val="restart"/>
            <w:shd w:val="clear" w:color="auto" w:fill="auto"/>
            <w:vAlign w:val="center"/>
          </w:tcPr>
          <w:p>
            <w:pPr>
              <w:keepNext w:val="0"/>
              <w:keepLines w:val="0"/>
              <w:widowControl/>
              <w:numPr>
                <w:ilvl w:val="0"/>
                <w:numId w:val="5"/>
              </w:numPr>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QMS智能化质量管理系统</w:t>
            </w:r>
          </w:p>
          <w:p>
            <w:pPr>
              <w:keepNext w:val="0"/>
              <w:keepLines w:val="0"/>
              <w:widowControl/>
              <w:numPr>
                <w:ilvl w:val="0"/>
                <w:numId w:val="0"/>
              </w:numPr>
              <w:suppressLineNumbers w:val="0"/>
              <w:jc w:val="both"/>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APQP管理中心</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包括入口、设置中心、APQP管理中心、PPAP、我的APQP任务；个人中心，包括今日工作内容和数据统计信息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224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供应商较绩效管理中心</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包括设置中心、绩效管理中心、绩效考核管理、绩效考核审核、能力提升管理、能力提升任务、处置意见管理、处置意见执行及绩效统计看板；另外，个人中心，包括今日工作内容和数据统计查看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225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供应商变更管理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包括变更申请的发起、变更申请的初审与变更的基本要求、变更申请评估与变更的准备工作、变更信息的审核、变更任务的执行与审核、变更记录等；另外，个人中心，包括今日工作内容和数据统计查看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226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量检具管理中心</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管理员台账，管理台账、采购预验收管理、维修任务、发放与归还管理、定检管理等；量检具信息台账，包括领量检具信息台账、我的申购申请、我的量检具等；采购任务；审批管理；我的验收任务；另外，个人中心，包括今日工作内容和数据统计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227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供应商信息管理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包括新供应商需求发起、新供应商需求审批、新供应商乒清单、潜在供应商问卷掉渣填写与提交、潜在供应商问卷筛选、潜在供应商评审、潜在供应商管理、潜在供应商审核及合格供应商等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7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228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文件管理中心</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文件类型管理、默认受控审批人设置管理、操作日志查询、水印管理、PDF原始文档管理、新增文档、文档审批、文档审核、文档批准、文档受控、文档下发、文档更新、撤销文档上传、纸质版回收数据提示、电子档文档阅读与文档信息查阅、电子档文档收藏、受控文档下发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229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质量过程审核中心</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包括入口、审核员管理、问题报警升级机制、审批流、电子签名、过程审核提问条款查看、过程审核、审核计划管理、审核记录管理、申报报告管理、结果传达管理、问题管理、任务执行方式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230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来料检模块</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包括入口、检测级别设置、检验员设置、核准人设置、不合格信息通知对象设置、作业指导书设置、个人中心、新增报检任务、执行任务、待核准任务执行、不合格任务跟踪、台账管理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231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问题解决模块</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包括入口、问题分配人设置、问题确认人设置、问题描述选项设置、新建问题、分配问题、问题处理、问题确认等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232</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47</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商业情报平台系统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登录页面</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系统登录页面，账号登陆与手机号登陆，点击登录按钮进入招商分析系统；点击退出，退出系统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233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招商分析</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在此页面对系统中已有园区企业数据进行管理，可进行查询区域总览、外来投资、产业链等操作，包括区域总览现状页面、产业概况展示、产业园区展示、生活配套页面、区域政策、外来投资页面、产业链页面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234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企业商业情报</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包括企业查询、历史查询数据、文件中心等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235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企业风险预警</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包括最新简报列表、企业监控、本企业、竞争对手、供应商、查询列表等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236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项目线索功能说明</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包括项目库，于存储、记录以及管理与潜在项目或商机相关的重要信息；项目库页面，分为独家投资及推荐项目两个列表；筛选项目库，用户首先需要从一组可用的查询条件中进行选择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237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机构库</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包括机构库，存储和管理各种投资机构的关键信息和投资事件；筛选机构库，选择查询条件、输入查询值、点击查询按钮、显示查询结果、点击重置按钮、重新选择查询条件等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238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当地政府库</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存储和管理与当地政府机构有关的投资项目信息，包括当地政府库、新增当地政府库、筛选当地成府库、删除当地城府数据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239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跟进管理系统</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包括产品介绍、文档说明、跟进企业、跟进企业页面、查案跟进记录、删除跟进企业、筛选跟进企业等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240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跟进记录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包括新增跟进记录、删除跟进记录、查看跟进记录、筛选跟进记录、跟进记录列表、权限控制、跟进记录页面等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241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包括账号管理，进行查询账号、新建账号编辑账号等操作；消费记录，查询积分消耗记录、积分消耗总计、剩余积分等操作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242</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48</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国有资产管理系统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系统登录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提供用户登陆账号和密码（向系统管理员申请注册）窗口，输入正确后，点击登陆--进入系统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243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工作流程</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包括待办事项、已办流程、权利管理、直管公房、社会租入、其他权证等内容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7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244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资产管理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资产信息，可以查看物业信息、房地产信息、房屋信息、权利信息、资产使用信息等；一房一价，用于资产信息出租；资产地图，用于在统计资产信息的录入数据，在链接到百度地图上，进行数据分析，也可直接查看信息；安全管理，用于管理安全信息统计，可以进行统计全部资产信息的整改以及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245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客户信息。客户信息主要登记自身公司的客户信息，可进行修改添加。操作步骤为点击客户管理模块，点击客户信息，弹出资产客户信息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246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合同管理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包括新增合同，主要是为添加、修改、删除、导出和查看合同信息的界面；补充协议，主要显示合同补充协议信息；合同信息，所有已经通过审批并且签约备案的合同，均先进入合同信息页面三部分内容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247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收付管理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包括租金收缴计划、租金开票、租金收款、租金均摊况、其他费用管理、保证金管理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248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项目管理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包括施工单位，主要显示所有施工单位信息；项目合同管理，主要显示所有项目合同信息管理；工程款支付台账，主要显示所有已经工程款支付信息的台账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249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统计报表</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包括用户信息统计表，主要显示个用户信息显示数据统计；资产基本信息统计表，显示资产信息所出租和合同信息的管理以及收纳；租赁信息台账，显示所有租赁信息收缴金额信息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250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运营管理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包括通知，主要显示公司内部通知信息；文档信息，主要显示文档模板信息；公告，主要显示公司公告信息三部分内容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251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作废管理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包括权证数据、直管公房数据、社会租入数据、客户数据、合同数据、保证金数据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252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快捷方式</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包括快过期合同，主要显示即将过期的合同信息；欠款信息，主要显示所有的欠款信息；空置房源，主要显示房地产信息空置状态的资产；本月收缴，主要显示本月应当收缴的合同信息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253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单位组织，主要用于用户以及部门信息的管理；通用字典，主要用于通用字典信息显示；单据编号，主要是各类编号的生成显示；数据库管理，主要为管理数据库进行操作；系统日志，主要为管理数据库进行操作；系统功能，主要为管理数据库进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254</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49</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会计师事务所管理软件</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登录系统</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在地址栏输入登录地址，输入用户名和密码，即可进入到系统中来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255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首页</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包括待办事宜、通知公告、通讯录、我的项目、我的任务、我的工时、快速链接、请假申请、加班申请、外出申请、报销申请、报告复核流程、修改密码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256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包括潜在客户信息，潜在的客户信息查询；跟进信息，主要是执行修改删除复制等操作；客户信息，主要是查询和维护已有的客户信息；供应商信息，主要是查看和维护供应商信息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257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项目管理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包括合同管理，主要是合同信息的在线管理；项目信息登记，主要是在线派工、年报审计、专项审计、验资报告、咨询服务等内容；项目收款，主要是项目收款信息管理；项目文档，主要是文档编写、收档等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258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知识文档管理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包含知识体系、政策法规、业务知识等内容，用户可在各个板块增删内容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259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行政管理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包含行政文档查询，即查询已在系统里的文档信息；通讯录，主要包括对离职、在职、合伙人进行分类查阅；通知管理，主要是发布通告，可添加日期和主要内容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260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人事管理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包括人事信息，可填写个人基本信息，纳入系统中来；请假管理，通过关键字搜索请假的人数和请假的基本情况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261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财务管理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开票查询，主要是开票信息的查询、开具发票、报销流程等内容；收款，主要包括收票状态、项目名称、客户名称、业务类型、累计开票、合同金额等内容；应收款查询，主要包括应收款状态、项目名称、累计开票、合同金额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262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统计报表</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包括开票统计查阅、收款统计查阅、应收款统计查阅等三部分内容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263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包括财务部、行政人事部、系统管理测试部、登录用户等四部分内容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266</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50</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船舶设备智能运维系统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登录系统</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在浏览器地址栏中输入网址，浏览器将会打开登录界面，输入用户名和密码，点击登录，验证通过后，浏览器将会打开机舱三维主界面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267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退出系统</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在机舱三维主界面上，将鼠标移动到图标上点击退出登录按钮退出系统，退出成功，浏览器将会跳转登录界面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0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268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机舱大数据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机舱大数据分析功能主要对机舱主机等关键设备采集的柴油机转速(rpm)、增压器转速(rpm)、负荷(%)、正时齿条位置(deg)、扭振高峰值(deg)、燃油齿条位置(mm)、排期温度等各参数数据，进行图表化展示、支持数据动态变化及趋势图展示。包括机舱大数据分析、导入运行数据、运行数据管理、机舱设备信息、主机状态监测、辅机状态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269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设备诊断</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设备运行状态诊断主要对船舶机电设备的运行状态在线监测。一旦发现船舶机电设备出现故障，能够快速诊断出发生故障位置以及发生故障原因，从而及时采取有针对性的维修措施，提高船舶机电设备维修效率，减少船舶发生故障的概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270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状态预测</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集成预测模型库，支持对机舱关键设备的运行监测数据进行分析趋势分析及预测。包含故模型库管理、数据筛选、算法预测，算法比较分析及历史查询等功能。包括趋势分析模型库、创建故障预测、故障预测查询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271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全景运维</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全景运维，按照机舱实景1:1比例进行3D建模，支持全景浏览、场景漫游、场景切换、设备信息展示、多个虚拟人培训教学，查看设备详细信息，执行对该设备的算法分析，智能预测；机舱大数据，机舱驾驶舱；智能预测，主要是设备趋势越策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272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维护保养</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支持定时制、定期制、临时工作卡管理，包含设备标准编码、设备台账、工作卡、维护保养、备品备件库存、物料库存管理，船舶能耗管理，船舶污染物管理，船舶检验管理，船舶轮机日志管理等功能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275</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51</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航标可视化管理平台</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登录系统</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在浏览器地址栏中输入网址，浏览器将会打开登录界面，输入用户名和密码，点击登录，验证通过后，浏览器将会打开智慧云控主界面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276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退出系统</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在智慧云控主界面上，将鼠标移动到图标上点击退出登录按钮退出系统，退出成功，浏览器将会跳转登录界面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277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修改密码</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鼠标移动到系统右上角个人中心图标点击修改密码弹跳出修改密码按钮进行修改，弹框列表内容显示为原密码新密码和确认密码，将原密码正确输入进去，继续输入新密码，新密码不得小于6位不得超过16位数字或字母，输入信息不正确将修改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7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278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智慧云控</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以航道地图为中心，包含航标地图、数据总览、航标看板等内容。航标地图支持显示航标坐标、状态，点击可进入航标全景界面。数据总览支持航标统计数据、数据采集统计数据、报警统计数据展示。航标看板支持航标在线、离线、报警统计数据图表化展示。报警看板支持漂移报警、翻倾报警、碰撞报警、其它报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279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CCTV</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包括监控列表，监控列表功能可按航标查看视频列表；实时监控，点击视频列表，可打开实时监控界面；视频回拨，针对已在云端缓存的航标视频，可调用媒体服务的视频回播功能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280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管理中心</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组织机构，对组织机构进行管理，支持组织机构增加、修改和删除；终端管理，支持对5G智能终端进行管理；航标管理，对航标基本信息进行管理；实时状态，支持查看航标最新监测数据；安全证书，支持智能终端通信加解密安全证书的查询和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283</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52</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设备监测云SaaS系统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登录系统</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在浏览器地址栏中输入网址，浏览器将会打开登录界面，输入用户名和密码，点击登录，验证通过后，浏览器将会打设备监测云SaaS系统主界面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284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退出系统</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在监测云SaaS后台管理系统主界面上，将鼠标移动到图标上点击退出登录按钮退出系统，退出成功，浏览器将会跳转登录界面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285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设备管理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包含设备名称、设备编码、设备所在区域、设备主账户、设备状态、设备运行状态及时间的管理，可根据筛选条件进行数据查询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286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包含主账户名称、头像、电话、绑定售后信息、主账户状态及设备创建时间和对账户进行激活、禁用的功能，可根据筛选条件进行数据查询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287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告警管理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包含设备名称、设备编码、所在区域、故障来源、发生时间、状态、处理人信息及处理时间的功能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288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意见反馈管理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意见反馈管理包含反馈账户名称、联系方式、反馈内容】图片及处理反馈时间的功能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289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小程序端首页</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管理端/首页，首页主要监测设备实时运行状态，设备数量，设备列表、智能预测等功能首次进入会提示绑定售后工程师；售后工程师端/首页，售后工程师点击授权登录小程序后，接收绑定关系，此时主账户和设备已与售后绑定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290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小程序端消息</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管理端消息主要是小程序内部消息及订阅号推送消息；售后工程师端/消息主要是小程序内部消息及订阅号推送消息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291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小程序端我的</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管理端/我的主要是更改基础信息及常见功能设置；售后工程师端/我的主要是是小程序更改基础信息及常见功能设置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294</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53</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配液设备智能运维平台</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登录系统</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在浏览器地址栏中输入网址，浏览器将会打开登录界面，输入用户名和密码，点击登录，验证通过后，浏览器将会打配液设备主界面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295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退出系统</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在配液设备后台管理系统主界面上，将鼠标移动到图标上点击退出登录按钮退出系统，退出成功，浏览器将会跳转登录界面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296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包含客户名称、客户账户密码、客户联系方式、客户地址。支持修改客户数据、管理员删除客户数据，支持添加设备时获取客户信息数据等功能。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297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设备管理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添加设备，可按选择客户、添加（扫一扫）设备编码进行激活设备与客户绑定设备；设备管理，包含查询数据、设备基本信息、各端设备数据交互、设备信息统计分析等功能；设备实时管理，包含正常、故障、离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298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告警管理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告警主要对设备故障和库存不足进行报警，小程序端实时推送消息、后台管理系统可查询数据、设备控制端实时提示消息，包含小程序管理端、后台管理端等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299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订单统计/结算对账</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订单统计主要是用户可随时查看订单统计数据；结算对账主要有未结算和已结算两大模块；可视化监测端体现设备地图点击查看详细数据；后台端体现设备对标的客户查询订单数据页面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300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账号管理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小程序管理端，主要体现在进入小程序需要授权在后台管理授权才可以进入；后台管理端，主要体现账号管理页面，可对进入小程序权限控制，也可新增账户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301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个人信息设置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小程序端主要体现在功能页我的，在个人中心点击个人设置或点击所有页面头像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302</w:t>
            </w:r>
          </w:p>
        </w:tc>
        <w:tc>
          <w:tcPr>
            <w:tcW w:w="353"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54</w:t>
            </w:r>
          </w:p>
        </w:tc>
        <w:tc>
          <w:tcPr>
            <w:tcW w:w="1127"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全国化塑原料产能数据API接口</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API接口</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用于查询全国7大地区13种原料品类的现有产能以及未来规划，包括城市、厂商、产能、投产时间、期数等数据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303</w:t>
            </w:r>
          </w:p>
        </w:tc>
        <w:tc>
          <w:tcPr>
            <w:tcW w:w="353"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55</w:t>
            </w:r>
          </w:p>
        </w:tc>
        <w:tc>
          <w:tcPr>
            <w:tcW w:w="1127"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化塑原料品类价格数据集</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API接口</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用于查询16种原料品类的区域均价，包括品类、区域、价格、日期等数据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304</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56</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数字交易</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产品详情</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包括产品名称，格式为品类/厂商/牌号；价格，单位；发货地；库存；提货方式；关注按钮；电话联系等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305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筛选项</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提供品类、厂商、牌号三个维度的筛选功能，三个字段之间存在多级联动逻辑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306</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57</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行情数据</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区域均价</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一级页面，展示包括13+品类、四大区域价格走势图，时间筛选项包括近1周、近1月、近3月、近6月、近1年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307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点击更多进入二级页面，暂时某一品类不同地区走势图，时间筛选项包括近1周、近1月、近3月、近6月、近1年；下方按照倒序展示不同区域价格及日涨跌幅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308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行情播报</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一级页面展示行情播报内容，按照时间倒序滚动播出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309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点击进入二级页面，按时间倒序展示某一品类下的行情播报内容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310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重点牌号市场参考价</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一级页面展示品类、厂商、牌号、最近均价、日涨跌幅、报价城市等字段信息，滚动播出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311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点击进入二级页面，展示产品在不同城市的价格走势，时间筛选项包括近1周、近1月、近3月、近6月、近1年，页面下方按照时间倒序展示不同城市历史价格数据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312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每日评述</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一级页面展示最新7天每日评述标题及发布时间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313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点击更多进入二级页面，按照时间倒序展示某一品类所有每日评述标题及发布时间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314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点击标题进入对应每日评述详情页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315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进口量/出口量</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一级页面展示近1年进口量、出口量走势及增长率走势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316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点击更多进入二级页面，二级页面展示品类进口量近1年走势图，点击出口量展示品类出口量近1年走势图，下方按照时间倒序展示进口量、出口量内容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317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开工率/产量</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一级页面展示近3月开工率走势图、近3月产量及增长率走势图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318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点击跟多进入二级页面，根据实际数据情况展示开工率走势图、产量及增长率走势图，下方按照时间倒序展示产量变化内容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319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表观消费</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一级页面展示近1年表观消费量及增长率走势图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320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点击更多进入二级页面，上方根据实际数据情况展示品类产量及增长率走势图，下方按照时间倒序展示品类产量内容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321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利润</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一级页面展示近3月产品利润走势图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322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点击更多进入二级页面，根据实际数据情况展示某一产品利润走势图，下方按照时间倒序展示利润内容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323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每周评述</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一级页面展示最新7天每周评述标题及发布时间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324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点击更多进入二级页面，按照时间倒序展示某一品类所有每周评述标题及发布时间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325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点击标题进入对应每周评述详情页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326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每月评述</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一级页面展示最新7天每月评述标题及发布时间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327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点击更多进入二级页面，按照时间倒序展示某一品类所有每月评述标题及发布时间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328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点击标题进入对应每月评述详情页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329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上游单体</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一级页面展示某一上游单体价格走势图，时间筛选项包括近1周、近1月、近3月、近6月、近1年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330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点击更多进入二级页面，展示某一上游单体价格走势图，下方按照时间倒序展示历史价格数据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331</w:t>
            </w:r>
          </w:p>
        </w:tc>
        <w:tc>
          <w:tcPr>
            <w:tcW w:w="353"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58</w:t>
            </w:r>
          </w:p>
        </w:tc>
        <w:tc>
          <w:tcPr>
            <w:tcW w:w="1127"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供应链金融</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落地页</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供应链金融服务详情落地页，展示不同融资类型的服务方向和详细服务内容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332</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59</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进销存管理</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落地页</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蚁塑通ERP管理系统解决方案详情落地页，展示方案服务的主营业务、经营场景、数字化应用场景，针对不同流程节点提供的功能，展示服务客户案例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333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表单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提供免费试用入口，字段包括公司名称、联系人及联系电话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334</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60</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工业APP</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工业APP列表页</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展示工业APP列表，包括APP名称、摘要等内容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335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工业APP介绍落地页</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APP功能介绍落地页，包括落地页的设计开合及表单嵌入等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336</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61</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数字工厂</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机器监视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统计超9500台注塑机开工状态，如生产、待机、停机等，滚动展示企业名称、对应设备数量、利用率等详细数据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337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注塑客户分布</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注塑行业企业国内重点城市分布地图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338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设备产能性能稼动率</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联网注塑机设备综合性能稼动率及动态变化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339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物料清单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联网企业生产数据、余单数量，滚动展示订单产品描述、计划数量、生产数量、实际用料及剩余用料等详细数据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340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实际产能/标准产能</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联网企业各自标准产能和实际产能柱状图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341</w:t>
            </w:r>
          </w:p>
        </w:tc>
        <w:tc>
          <w:tcPr>
            <w:tcW w:w="353"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62</w:t>
            </w:r>
          </w:p>
        </w:tc>
        <w:tc>
          <w:tcPr>
            <w:tcW w:w="1127"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产业动态</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化塑行业热点新闻</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更新化塑行业龙头企业动态、热点时事新闻、行业政策、安全事故、技术工艺、分析报告等内容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342</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63</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行情指数</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重点牌号市场、出厂价对比</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化塑行业5000+重点牌号产品出厂均价、市场均价、日涨跌幅等数据对比， 每日更新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343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上周原料产量对比</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化塑行业15+品类周度产量柱状图及涨跌幅，每周更新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344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近7日品类浏览量走势</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近7日平台品类浏览总量走势图，每日更新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345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品类浏览总量TOP5</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平台各品类浏览总量TOP5柱状图，每日更新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346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上月原料进出口量对比</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化塑行业15+品类进口量、出口量柱状图，每月更新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347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重点品类区域均价</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化塑行业15+品类区域均价动态展示，每日更新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348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近12月原料表观消费对比</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近12月PP、PC、ABS等主要品类原料下游消费需求量走势图，每月更新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349</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64</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化塑总览</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行情信息</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重点品类区域均价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350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热门牌号询盘TOP3</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平台被询盘数量最多的TOP3产品，以平台业务数据为基础，结合算法，每日更新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351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核心产业链TOP3</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平台核心产业链覆盖企业数量TOP3及动态变化情况，每日更新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352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浙江化塑产能</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浙江省内化塑产能城市占比及动态变化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353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数字工厂</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展示OEE、良品率、时间稼动率及开机率等注塑机核心指标数据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354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交易动态</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展示交易业务涉及石化厂商数量、覆盖行业数量、塑料企业数量及贸易撮合交易数量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355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产业地图</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浙江省内化塑产能城市分布地图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356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应用中心</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提供数字交易、蚁塑通、产业动态机产业地图等功能便捷入口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357</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65</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化塑地图</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浙江省化塑企业分布</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化塑行业企业在浙江省主要城市分布数量和分布地区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358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全国化塑企业分布</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全国华东地区、华南地区等七大地区化塑行业企业分布数量及分布地图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359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浙江材料产能分布</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浙江省内化塑材料产能现有产能及未来三年规划产能数据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360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全国材料产能分布</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全国范围内化塑材料产能现有产能及未来三年规划产能数据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361</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66</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产业地图</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现有产能</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13+化塑品类目前已投产装置产能在华东、华南、华北等七个行政大区分布情况，分地区展示投产城市、厂商名称及产能数据，地区可选，数据跟随所选地区变化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362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未来规划</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13+化塑品类未来五年规划及在建产能在华东、华南、华北等七个行政大区分布情况，分地区展示投产城市、厂商名称及产能数据，地区可选，数据跟随所选地区变化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363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终端工厂</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化塑行业15大终端领域介绍，包括汽车、家电、3C、工业制品、生活制品等76万+所属企业及企业全息画像，包含企业基本工商信息、主营化塑产品等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364</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67</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综评报送系统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登录页面</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系统登录页面，输入用户名和密码后，点击登录按钮登录系统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365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用户管理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查询本区所有用户信息，并对本区的教师及非教师账户进行管理，</w:t>
            </w:r>
          </w:p>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包括新增、导入、修改、删除等操作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366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项目管理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可导出所有的活动信息、以及设置某活动是否有效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367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权限管理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对本区的所有用户进行角色分配以及负责活动的分配。为多个用户设置多个权限，可选择导入功能。点击【下载导入模板】按钮，按照模板内容填写相应的用户权限设置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368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信息管理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查询本区所有的综评报送信息，并按条件导出数据。点击顶部导航的【信息管理】菜单进入，默认将会显示所有批次信息，可按条件查询信息，并可导出数据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369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信息录入</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左侧功能区为批次信息，默认隐藏，可展开进行批次选择切换；页面中部为信息展示及功能区域，可按条件查询录入的信息，下载导入模板以及查看本批次的报送时间及要求；页面右侧为数据操作功能区，包括新增数据、导入数据、提交数据、导出数据、删除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370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信息审核</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对所负责条线的初中生综评信息进行信息审核，可查看录入员上报的详细信息，并对信息进行审核通过操作和撤回修改操作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371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数据（无法导入）处理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在填报阶段，市级管理员将审核通过的数据推送至初中综合素质评价系统。初中综合素质评价系统会对数据进行校验，如发现错误，将返回至综评报送系统。此时综评报送系统将发送短信息给相关录入员，录入员进行信息核实修改后，提交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372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数据（学生不通过）处理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在确认阶段，初中综合素质评价系统会将确认不通过的数据推送至综评报送系统。此时综评报送系统将发送短信息给相关录入员，录入员进行信息核实修改后，提交审核。审核员对信息进行审核。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373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数据（学生申诉）处理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在公示及问题处理阶段，初中综合素质评价系统会将学生申诉的信息推送至综评报送系统，此时综评报送系统将发送短信息给相关录</w:t>
            </w:r>
          </w:p>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入员，录入员进行信息核实修改后，提交审核。审核员对信息进行审核。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374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数据共享</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其他业务系统可以将符合报送要求的学生成绩信息推送至综评报送系统。市级管理员可查看信息，市级/区级录入员可进行入库操作。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375</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68</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智慧采购云</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登录页面</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系统登录页面，输入用户名和密码后，点击登录按钮登录系统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376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供应商管理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包括供应商黑名单、采购单位管理、专家库、供应商类别、供应商性质、采购单位性质、公司所有制、开票类型、专家职称、专家学历、专家评标专业等，提供新增、修改和删除信息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377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项目管理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包括生成项目、采购文件管理、模板管理、项目概况、项目统计等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378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开评标管理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包括投标人管理、专家抽取、标包分配、开标管理、中标管理等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379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财务管理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包括标书费收取、财务费收取、保证金收取、保证金退回等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380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包括采购方式、项目区划、付款方式、保证金形式、项目类别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381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系统设置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包括用户管理和流程管理，其中流程管理包括流程用户、流程设计等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382</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69</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会展管理系统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登录页面</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系统登录页面，输入用户名和密码后，点击登录按钮登录系统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383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订单管理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包括列表条件搜索，可以根据展会、类型、时间等搜索相关订单信息；新增信息和修改信息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384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佣金管理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展示佣金信息，包括列表条件搜索，可根据展会、酒店搜索相关佣金信息；导出信息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385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房型剩余数</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展示展会酒店房型剩余数统计的信息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386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活动宴会</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展示活动、宴会信息，包括列表条件搜索，新增信息和修改信息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387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会展酒店管理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展示会展酒店管理的信息，包括列表条件搜索、新增信息和修改信息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388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客户管理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展示客户信息，包括列表条件搜索、新增信息和修改信息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389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统计分析</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展示统计分析，可按展会-总用房数和酒店总用房数进行统计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390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对系统的基础信息尽心设置，包括展会信息、酒店信息、房型信息等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391</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70</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电力工程施工总承包ERP系统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用户登录</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系统登录页面，正确输入用户名、密码和验证码完成个人登录后，进入ERP平台的默认页面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392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个人中心</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包括页面布局，分为责任事项、内部邮件、已办事项、通知公告；个性化定制，勾选显示和隐藏的功能区块，控制页面要出现的版块；修改密码；待岗设置；电子签章等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393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启动起草</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物资相关，包括供应商登记、供应商评级、月价格信息发布、采购订单、入库单、采购核销、库间借条、还料单、调拨单、仓库年度盘点、仓库零星盘点；工程相关；零售；协同办公；营销部流程、合同流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394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项目管理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包括客户关系管理、工程概况、进度计划管理、采购及库存管理、图纸文档管理、数据字典等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395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协同办公</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包括内部邮件、手机短息、通讯录、通知公告、工作联系单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396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报表管理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包括条件查询管理、模版管理、驱动管理、数据源管理、SQL管理等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397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工作流</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包括流程管理、表单管理、实例管理、监控台等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398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规章制度</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包括新增文件、删除文件、点击下载等功能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399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财务查询</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包括入库统计、出库统计、明细账查询、合同成本、综合查询及月结信息查询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400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系统设置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包括用户管理、权限管理、角色管理、模块管理及初始密码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401</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71</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基于大数据融合诊断的人力资源健康管理和辅助决策平台</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登录页面</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系统登录页面，正确输入用户名、密码和验证码完成个人登录后，进入ERP平台的默认页面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402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员工成长树</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员工成长树页面，点击员工职业生涯典型示案例，进入页面，这里可以看到员工职业生涯的详细；点击进入个人成长中心按钮，进入页面，这里可以查看每个员工当前所在的岗位，可以根据部门，输入关键词进行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7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403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选人用人智荐中心</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高级查询，可添加查询条件，将选择条件保存为方案；人才盘点；人才对比，可按照分部、分公司、部门进行搜索；组合标签，选择组合条件对员工进行筛选，点击列表员工数据，进入员工详细页面，可查看员工基本信息、盘点表位置、员工画像、近三年考核结果变电趋势、员工成长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404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人工工效监督中心</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包括指标中心，可查看人均产值、人均利润、人事费用率、人工成本利润、人均贡献毛益等；加班热力图，可查看各个分工几班情况统计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405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人力资源共享中心</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包括资质人才、项目经理、兼职培训师等，可根据分部、关键词搜索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406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事项提醒</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包括员工退休、员工退职、员工转正、合同到期、员工绩效等可根据分部、关键词等进行搜索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407</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72</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日常测试管理系统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登录页面</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系统登录页面，正确输入用户名、密码和验证码完成个人登录后，进入ERP平台的默认页面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408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账户管理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包括市级管理员、区管理、学校管理等，可根据条件进行搜索，提供新增、修改、删除、导出等功能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409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基础数据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包括体能项目管理、技能项目管理、项目分数管理、技能项目等，可根据关键词进行查询，提供新增、修改、删除等操作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410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系统运行</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登录日志查询，可以根据时间、IP、事件查询数据等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411</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73</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证书资质管理</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资质管理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包括项目经理、兼职培训师等，可按照分部、关键词进行搜索，展示所获注册证书名称、专业、参与项目名称、姓名、证件号、注册证书编号、注册有效期等字段信息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412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数据维护</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包括数据导入、职业资格、职称、资质证书等，点击可查看版本列表和查看详细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413</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74</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工程图纸资料库管理系统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工程图纸管理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包括工程管理，可按照工程类别、工程编号/名称、工作班组等进行搜索，可新增工程；资料文件夹，可根据文件夹名称搜索，可新增文件夹；资料文件，可按照文件名称搜索，可上传文件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414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工程图纸类别</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展示图纸状态、资料列别、排序，可新增数据和删除数据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415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工程图纸专职</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展示专利类别信息和创建时间，可新增数据和删除数据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416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工程图纸专业</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展示专业类别信息和创建时间，可新增数据和删除数据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417</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75</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生产管理辅助平台</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首页</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展示近一周工作安排明细，包括班组、班组负责人、工作班成员、变电所、计划工作内容、车辆、备注等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418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今日安排</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展示当天工作安排明细，包括班组负责人、变电所、工作班组、计划工作内容、车辆等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419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工作预览</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包括年度计划、月度计划和周计划，记录工作地点、设备类别、设备名称、工作内容、作业状态、电压登记、涉及线路名称等，可按照关键词查询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420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E键报表</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包括工单积分管理、考核鱼粉、考核任务、考核明细等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421</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班组领料</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包括领料单、未闭环出库单预警、借料单、未闭环借料单预警，可按照状态、领料人、关键字等进行筛选和搜索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422</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76</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科技之星评比系统</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学校管理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市级管理员依据学校实际情况，设置完善学校帐户信息。可根据需要，新增账户、修改信息、删除信息、锁定信息、挂历密码等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423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学生管理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市级管理员查看学生注册的帐户，管理其帐户信息。可查看学生详细信息；锁定学生账户；解锁学生账户；管理密码登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424</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公司管理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市级管理员依据公司实际情况，设置完善公司帐户信息。可新增账户、保存信息、修改信息、删除信息、锁定公司账户信息、解锁公司账户信息、管理密码等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425</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活动序列</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市级管理员管理发布项目申报活动。可新增数据、修改活动信息、发布活动信息、删除活动信息、查看活动联系人、选择区域操作等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426</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区级推荐</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市级管理员可查看区级推荐项目的相关信息。可查看项目相关信息、生成PDF格式的品系概念活动申报表再下载导出、导出区县统计信息、导出学科信息、导出汇总信息、下载项目报告等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427</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申报项目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可以按照区县、项目名称、关键词查询数据信息。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428</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历届项目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市级管理员管理历届项目。可新增项目信息、修改信息、删除项目行、导入数据、下载模板、上传文件等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429</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通知公告</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市级管理员管理发布项目的通知公告和视频。可新增数据发布新公告、修改保存信息、删除通知公告等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430</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视频管理</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可搜索活动名称，填写上传并保存相关信息，管理新视频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431</w:t>
            </w:r>
          </w:p>
        </w:tc>
        <w:tc>
          <w:tcPr>
            <w:tcW w:w="353"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77</w:t>
            </w:r>
          </w:p>
        </w:tc>
        <w:tc>
          <w:tcPr>
            <w:tcW w:w="1127" w:type="pct"/>
            <w:vMerge w:val="restar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会议日程管理</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（需提供相关功能截图）</w:t>
            </w: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本周安排</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包括单位日常、部门日程、私人日程和日程综合查询，展示近一周的日常安排，每天按照上午、下午分别展示，可导出日程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432</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我的日程</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包括公务日程、私人日程、单位日程、部门日常、会议室等，可根据日期查询，按照小时进行统计展示，可进行数据清理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51"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433</w:t>
            </w:r>
          </w:p>
        </w:tc>
        <w:tc>
          <w:tcPr>
            <w:tcW w:w="353"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27" w:type="pct"/>
            <w:vMerge w:val="continue"/>
            <w:shd w:val="clear" w:color="auto" w:fill="auto"/>
            <w:vAlign w:val="center"/>
          </w:tcPr>
          <w:p>
            <w:pPr>
              <w:jc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p>
        </w:tc>
        <w:tc>
          <w:tcPr>
            <w:tcW w:w="1100" w:type="pct"/>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基础设置</w:t>
            </w:r>
          </w:p>
        </w:tc>
        <w:tc>
          <w:tcPr>
            <w:tcW w:w="2068" w:type="pct"/>
            <w:shd w:val="clear" w:color="auto" w:fill="auto"/>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themeColor="text1"/>
                <w:sz w:val="21"/>
                <w:szCs w:val="21"/>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21"/>
                <w:szCs w:val="21"/>
                <w:u w:val="none"/>
                <w:lang w:val="en-US" w:eastAsia="zh-CN" w:bidi="ar"/>
                <w14:textFill>
                  <w14:solidFill>
                    <w14:schemeClr w14:val="tx1"/>
                  </w14:solidFill>
                </w14:textFill>
              </w:rPr>
              <w:t>设置事项类别、事项子类别、事项状态、会议室、参与领导、参与部门等基础信息</w:t>
            </w:r>
          </w:p>
        </w:tc>
      </w:tr>
    </w:tbl>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sz w:val="24"/>
          <w:szCs w:val="22"/>
          <w:lang w:val="en-US" w:eastAsia="zh-CN"/>
        </w:rPr>
      </w:pPr>
      <w:r>
        <w:rPr>
          <w:rFonts w:hint="eastAsia" w:ascii="Times New Roman" w:hAnsi="Times New Roman" w:eastAsia="宋体" w:cs="Times New Roman"/>
          <w:b/>
          <w:bCs/>
          <w:sz w:val="24"/>
          <w:szCs w:val="22"/>
          <w:lang w:val="en-US" w:eastAsia="zh-CN"/>
        </w:rPr>
        <w:t>商务要求</w:t>
      </w:r>
    </w:p>
    <w:p>
      <w:pPr>
        <w:spacing w:line="360" w:lineRule="auto"/>
        <w:ind w:firstLine="420" w:firstLineChars="200"/>
        <w:rPr>
          <w:rFonts w:ascii="宋体" w:hAnsi="宋体"/>
          <w:szCs w:val="21"/>
        </w:rPr>
      </w:pPr>
      <w:r>
        <w:rPr>
          <w:rFonts w:hint="eastAsia" w:ascii="宋体" w:hAnsi="宋体"/>
          <w:szCs w:val="21"/>
        </w:rPr>
        <w:t>1、付款方式和条件</w:t>
      </w:r>
    </w:p>
    <w:p>
      <w:pPr>
        <w:spacing w:line="360" w:lineRule="auto"/>
        <w:ind w:firstLine="420" w:firstLineChars="200"/>
        <w:rPr>
          <w:rFonts w:hint="eastAsia" w:ascii="宋体" w:hAnsi="宋体"/>
          <w:szCs w:val="21"/>
        </w:rPr>
      </w:pPr>
      <w:r>
        <w:rPr>
          <w:rFonts w:hint="eastAsia" w:ascii="宋体" w:hAnsi="宋体"/>
          <w:szCs w:val="21"/>
          <w:lang w:eastAsia="zh-CN"/>
        </w:rPr>
        <w:t>（</w:t>
      </w:r>
      <w:r>
        <w:rPr>
          <w:rFonts w:hint="eastAsia" w:ascii="宋体" w:hAnsi="宋体"/>
          <w:szCs w:val="21"/>
          <w:lang w:val="en-US" w:eastAsia="zh-CN"/>
        </w:rPr>
        <w:t>1</w:t>
      </w:r>
      <w:r>
        <w:rPr>
          <w:rFonts w:hint="eastAsia" w:ascii="宋体" w:hAnsi="宋体"/>
          <w:szCs w:val="21"/>
          <w:lang w:eastAsia="zh-CN"/>
        </w:rPr>
        <w:t>）</w:t>
      </w:r>
      <w:r>
        <w:rPr>
          <w:rFonts w:hint="eastAsia" w:ascii="宋体" w:hAnsi="宋体"/>
          <w:szCs w:val="21"/>
        </w:rPr>
        <w:t>合同签订完成，甲方收到乙方正规发票7个工作日内，支付合同总额的40%。</w:t>
      </w:r>
    </w:p>
    <w:p>
      <w:pPr>
        <w:spacing w:line="360" w:lineRule="auto"/>
        <w:ind w:firstLine="420" w:firstLineChars="200"/>
        <w:rPr>
          <w:rFonts w:hint="eastAsia" w:ascii="宋体" w:hAnsi="宋体"/>
          <w:szCs w:val="21"/>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完成试运行并通过项目竣工验收，甲方收到乙方正规发票7个工作日内，支付合同总额的</w:t>
      </w:r>
      <w:r>
        <w:rPr>
          <w:rFonts w:hint="eastAsia" w:ascii="宋体" w:hAnsi="宋体"/>
          <w:szCs w:val="21"/>
          <w:lang w:val="en-US" w:eastAsia="zh-CN"/>
        </w:rPr>
        <w:t>6</w:t>
      </w:r>
      <w:r>
        <w:rPr>
          <w:rFonts w:hint="eastAsia" w:ascii="宋体" w:hAnsi="宋体"/>
          <w:szCs w:val="21"/>
        </w:rPr>
        <w:t>0%。</w:t>
      </w:r>
    </w:p>
    <w:p>
      <w:pPr>
        <w:spacing w:line="360" w:lineRule="auto"/>
        <w:ind w:firstLine="420" w:firstLineChars="200"/>
        <w:rPr>
          <w:rFonts w:ascii="宋体" w:hAnsi="宋体"/>
          <w:szCs w:val="21"/>
        </w:rPr>
      </w:pPr>
      <w:r>
        <w:rPr>
          <w:rFonts w:hint="eastAsia" w:ascii="宋体" w:hAnsi="宋体" w:cs="宋体"/>
          <w:szCs w:val="21"/>
          <w:lang w:val="en-US" w:eastAsia="zh-CN"/>
        </w:rPr>
        <w:t xml:space="preserve">    </w:t>
      </w:r>
      <w:r>
        <w:rPr>
          <w:rFonts w:hint="eastAsia" w:ascii="宋体" w:hAnsi="宋体"/>
          <w:szCs w:val="21"/>
        </w:rPr>
        <w:t>2、</w:t>
      </w:r>
      <w:r>
        <w:rPr>
          <w:rFonts w:hint="eastAsia" w:ascii="宋体" w:hAnsi="宋体"/>
          <w:szCs w:val="21"/>
          <w:lang w:val="en-US" w:eastAsia="zh-CN"/>
        </w:rPr>
        <w:t>验收</w:t>
      </w:r>
      <w:r>
        <w:rPr>
          <w:rFonts w:hint="eastAsia" w:ascii="宋体" w:hAnsi="宋体"/>
          <w:szCs w:val="21"/>
        </w:rPr>
        <w:t>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lang w:eastAsia="zh-CN"/>
        </w:rPr>
      </w:pPr>
      <w:r>
        <w:rPr>
          <w:rFonts w:hint="eastAsia" w:hAnsi="宋体" w:eastAsia="宋体" w:cs="宋体"/>
          <w:sz w:val="21"/>
          <w:szCs w:val="21"/>
        </w:rPr>
        <w:t>▲</w:t>
      </w:r>
      <w:r>
        <w:rPr>
          <w:rFonts w:hint="eastAsia" w:ascii="宋体" w:hAnsi="宋体"/>
          <w:szCs w:val="21"/>
          <w:lang w:eastAsia="zh-CN"/>
        </w:rPr>
        <w:t>（</w:t>
      </w:r>
      <w:r>
        <w:rPr>
          <w:rFonts w:hint="eastAsia" w:ascii="宋体" w:hAnsi="宋体"/>
          <w:szCs w:val="21"/>
          <w:lang w:val="en-US" w:eastAsia="zh-CN"/>
        </w:rPr>
        <w:t>1</w:t>
      </w:r>
      <w:r>
        <w:rPr>
          <w:rFonts w:hint="eastAsia" w:ascii="宋体" w:hAnsi="宋体"/>
          <w:szCs w:val="21"/>
          <w:lang w:eastAsia="zh-CN"/>
        </w:rPr>
        <w:t>）合同签订后15天内完成上线布置，并使各项功能达到采购人要求后进行项目初验，初验合格后进入为期三个月的试运行阶段，在此期间所有功能运行正常无误后，进行项目终验。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szCs w:val="21"/>
          <w:lang w:eastAsia="zh-CN"/>
        </w:rPr>
      </w:pPr>
      <w:r>
        <w:rPr>
          <w:rFonts w:hint="eastAsia" w:ascii="宋体" w:hAnsi="宋体" w:eastAsia="宋体" w:cs="Times New Roman"/>
          <w:szCs w:val="21"/>
          <w:lang w:eastAsia="zh-CN"/>
        </w:rPr>
        <w:t>（</w:t>
      </w:r>
      <w:r>
        <w:rPr>
          <w:rFonts w:hint="eastAsia" w:ascii="宋体" w:hAnsi="宋体" w:eastAsia="宋体" w:cs="Times New Roman"/>
          <w:szCs w:val="21"/>
          <w:lang w:val="en-US" w:eastAsia="zh-CN"/>
        </w:rPr>
        <w:t>2</w:t>
      </w:r>
      <w:r>
        <w:rPr>
          <w:rFonts w:hint="eastAsia" w:ascii="宋体" w:hAnsi="宋体" w:eastAsia="宋体" w:cs="Times New Roman"/>
          <w:szCs w:val="21"/>
          <w:lang w:eastAsia="zh-CN"/>
        </w:rPr>
        <w:t>）通过测试判断产品质量是否符合产品需求、功能实现是否正确，性能方面是否符合运行要求，并且产品可以最终上线。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szCs w:val="21"/>
          <w:lang w:eastAsia="zh-CN"/>
        </w:rPr>
      </w:pPr>
      <w:r>
        <w:rPr>
          <w:rFonts w:hint="eastAsia" w:ascii="宋体" w:hAnsi="宋体" w:eastAsia="宋体" w:cs="Times New Roman"/>
          <w:szCs w:val="21"/>
          <w:lang w:eastAsia="zh-CN"/>
        </w:rPr>
        <w:t>（</w:t>
      </w:r>
      <w:r>
        <w:rPr>
          <w:rFonts w:hint="eastAsia" w:ascii="宋体" w:hAnsi="宋体" w:eastAsia="宋体" w:cs="Times New Roman"/>
          <w:szCs w:val="21"/>
          <w:lang w:val="en-US" w:eastAsia="zh-CN"/>
        </w:rPr>
        <w:t>3</w:t>
      </w:r>
      <w:r>
        <w:rPr>
          <w:rFonts w:hint="eastAsia" w:ascii="宋体" w:hAnsi="宋体" w:eastAsia="宋体" w:cs="Times New Roman"/>
          <w:szCs w:val="21"/>
          <w:lang w:eastAsia="zh-CN"/>
        </w:rPr>
        <w:t>）采购人负责组织验收小组及第三方监理单位共同参与项目验收。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szCs w:val="21"/>
          <w:lang w:eastAsia="zh-CN"/>
        </w:rPr>
      </w:pPr>
      <w:r>
        <w:rPr>
          <w:rFonts w:hint="eastAsia" w:ascii="宋体" w:hAnsi="宋体" w:eastAsia="宋体" w:cs="Times New Roman"/>
          <w:szCs w:val="21"/>
          <w:lang w:eastAsia="zh-CN"/>
        </w:rPr>
        <w:t>（</w:t>
      </w:r>
      <w:r>
        <w:rPr>
          <w:rFonts w:hint="eastAsia" w:ascii="宋体" w:hAnsi="宋体" w:eastAsia="宋体" w:cs="Times New Roman"/>
          <w:szCs w:val="21"/>
          <w:lang w:val="en-US" w:eastAsia="zh-CN"/>
        </w:rPr>
        <w:t>4</w:t>
      </w:r>
      <w:r>
        <w:rPr>
          <w:rFonts w:hint="eastAsia" w:ascii="宋体" w:hAnsi="宋体" w:eastAsia="宋体" w:cs="Times New Roman"/>
          <w:szCs w:val="21"/>
          <w:lang w:eastAsia="zh-CN"/>
        </w:rPr>
        <w:t>）供货安装完成后，中标供应商应该向采购人提交申请验收报告，并且提供主要检测报告等完整的技术档案资料，若中标供应商未能按照上述要求履行的，导致无法及时验收的，则须由中标供应商承担一切责任。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szCs w:val="21"/>
          <w:lang w:eastAsia="zh-CN"/>
        </w:rPr>
      </w:pPr>
      <w:r>
        <w:rPr>
          <w:rFonts w:hint="eastAsia" w:ascii="宋体" w:hAnsi="宋体" w:eastAsia="宋体" w:cs="Times New Roman"/>
          <w:szCs w:val="21"/>
          <w:lang w:eastAsia="zh-CN"/>
        </w:rPr>
        <w:t>（</w:t>
      </w:r>
      <w:r>
        <w:rPr>
          <w:rFonts w:hint="eastAsia" w:ascii="宋体" w:hAnsi="宋体" w:eastAsia="宋体" w:cs="Times New Roman"/>
          <w:szCs w:val="21"/>
          <w:lang w:val="en-US" w:eastAsia="zh-CN"/>
        </w:rPr>
        <w:t>5</w:t>
      </w:r>
      <w:r>
        <w:rPr>
          <w:rFonts w:hint="eastAsia" w:ascii="宋体" w:hAnsi="宋体" w:eastAsia="宋体" w:cs="Times New Roman"/>
          <w:szCs w:val="21"/>
          <w:lang w:eastAsia="zh-CN"/>
        </w:rPr>
        <w:t>）免费提供后期相关建设项目的参考方案以及与其它相关系统设备的提供商合作。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szCs w:val="21"/>
          <w:lang w:eastAsia="zh-CN"/>
        </w:rPr>
      </w:pPr>
      <w:r>
        <w:rPr>
          <w:rFonts w:hint="eastAsia" w:ascii="宋体" w:hAnsi="宋体" w:eastAsia="宋体" w:cs="Times New Roman"/>
          <w:szCs w:val="21"/>
          <w:lang w:eastAsia="zh-CN"/>
        </w:rPr>
        <w:t>（</w:t>
      </w:r>
      <w:r>
        <w:rPr>
          <w:rFonts w:hint="eastAsia" w:ascii="宋体" w:hAnsi="宋体" w:eastAsia="宋体" w:cs="Times New Roman"/>
          <w:szCs w:val="21"/>
          <w:lang w:val="en-US" w:eastAsia="zh-CN"/>
        </w:rPr>
        <w:t>6</w:t>
      </w:r>
      <w:r>
        <w:rPr>
          <w:rFonts w:hint="eastAsia" w:ascii="宋体" w:hAnsi="宋体" w:eastAsia="宋体" w:cs="Times New Roman"/>
          <w:szCs w:val="21"/>
          <w:lang w:eastAsia="zh-CN"/>
        </w:rPr>
        <w:t>）如中标人无法如期完成设备安装调试、系统配置、项目验收等情况的，逾期每日向采购人支付合同额的万分之五作为违约金。中标人超过约定日期30个工作日仍不能完成相关服务的，采购人可解除本合同。中标人因未能如期提供相关服务或其他违约行为导致采购人解除合同的，中标人应向采购人支付合同额的10%作为违约金，如造成采购人损失超过违约金的，超出部分由中标人继续承担赔付责任。</w:t>
      </w:r>
    </w:p>
    <w:p>
      <w:pPr>
        <w:spacing w:line="360" w:lineRule="auto"/>
        <w:ind w:firstLine="840" w:firstLineChars="400"/>
        <w:rPr>
          <w:rFonts w:ascii="宋体" w:hAnsi="宋体"/>
          <w:szCs w:val="21"/>
        </w:rPr>
      </w:pPr>
      <w:r>
        <w:rPr>
          <w:rFonts w:hint="eastAsia" w:ascii="宋体" w:hAnsi="宋体"/>
          <w:szCs w:val="21"/>
        </w:rPr>
        <w:t>3、售后服务要求</w:t>
      </w:r>
    </w:p>
    <w:p>
      <w:pPr>
        <w:spacing w:line="360" w:lineRule="auto"/>
        <w:ind w:firstLine="420" w:firstLineChars="200"/>
        <w:rPr>
          <w:rFonts w:ascii="宋体" w:hAnsi="宋体" w:cs="等线"/>
          <w:szCs w:val="21"/>
        </w:rPr>
      </w:pPr>
      <w:r>
        <w:rPr>
          <w:rFonts w:hint="eastAsia" w:ascii="宋体" w:hAnsi="宋体" w:cs="等线"/>
          <w:szCs w:val="21"/>
        </w:rPr>
        <w:t>（1）质保期：自项目通过验收之日起，</w:t>
      </w:r>
      <w:r>
        <w:rPr>
          <w:rFonts w:hint="eastAsia" w:ascii="宋体" w:hAnsi="宋体" w:cs="等线"/>
          <w:szCs w:val="21"/>
          <w:lang w:eastAsia="zh-CN"/>
        </w:rPr>
        <w:t>所有</w:t>
      </w:r>
      <w:r>
        <w:rPr>
          <w:rFonts w:hint="eastAsia" w:ascii="宋体" w:hAnsi="宋体" w:cs="等线"/>
          <w:szCs w:val="21"/>
          <w:lang w:val="en-US" w:eastAsia="zh-CN"/>
        </w:rPr>
        <w:t>软件</w:t>
      </w:r>
      <w:r>
        <w:rPr>
          <w:rFonts w:hint="eastAsia" w:ascii="宋体" w:hAnsi="宋体" w:cs="等线"/>
          <w:szCs w:val="21"/>
          <w:lang w:eastAsia="zh-CN"/>
        </w:rPr>
        <w:t>免费质保期不得低于</w:t>
      </w:r>
      <w:r>
        <w:rPr>
          <w:rFonts w:hint="eastAsia" w:ascii="宋体" w:hAnsi="宋体" w:cs="等线"/>
          <w:szCs w:val="21"/>
          <w:lang w:val="en-US" w:eastAsia="zh-CN"/>
        </w:rPr>
        <w:t>1</w:t>
      </w:r>
      <w:r>
        <w:rPr>
          <w:rFonts w:hint="eastAsia" w:ascii="宋体" w:hAnsi="宋体" w:cs="等线"/>
          <w:szCs w:val="21"/>
          <w:lang w:eastAsia="zh-CN"/>
        </w:rPr>
        <w:t>年</w:t>
      </w:r>
      <w:r>
        <w:rPr>
          <w:rFonts w:hint="eastAsia" w:ascii="宋体" w:hAnsi="宋体" w:cs="等线"/>
          <w:szCs w:val="21"/>
        </w:rPr>
        <w:t>。</w:t>
      </w:r>
    </w:p>
    <w:p>
      <w:pPr>
        <w:spacing w:line="360" w:lineRule="auto"/>
        <w:ind w:firstLine="420" w:firstLineChars="200"/>
        <w:rPr>
          <w:rFonts w:ascii="宋体" w:hAnsi="宋体" w:cs="等线"/>
          <w:b/>
          <w:bCs/>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w:t>
      </w:r>
      <w:r>
        <w:rPr>
          <w:rFonts w:hint="eastAsia" w:ascii="宋体" w:hAnsi="宋体" w:cs="等线"/>
          <w:szCs w:val="21"/>
        </w:rPr>
        <w:t>根据此次项目的实际情况，</w:t>
      </w:r>
      <w:r>
        <w:rPr>
          <w:rFonts w:hint="eastAsia" w:ascii="宋体" w:hAnsi="宋体"/>
          <w:szCs w:val="21"/>
        </w:rPr>
        <w:t>中标人</w:t>
      </w:r>
      <w:r>
        <w:rPr>
          <w:rFonts w:hint="eastAsia" w:ascii="宋体" w:hAnsi="宋体" w:cs="等线"/>
          <w:szCs w:val="21"/>
        </w:rPr>
        <w:t>须提供专业化的培训和技术交流，帮助业主单位提高技术水平和解决常见故障的能力。根据业主单位的需求经行技术培训，培训不少于1天。培训采用现场培训方式，培训内容包括但不限于：设备的功能介绍、日常操作、维护。</w:t>
      </w:r>
    </w:p>
    <w:p>
      <w:pPr>
        <w:spacing w:line="360" w:lineRule="auto"/>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）中标人须指派专人负责与采购人联系售后服务事宜，售后服务至少包含以下内容：</w:t>
      </w:r>
    </w:p>
    <w:p>
      <w:pPr>
        <w:widowControl/>
        <w:numPr>
          <w:ilvl w:val="0"/>
          <w:numId w:val="6"/>
        </w:numPr>
        <w:spacing w:line="360" w:lineRule="auto"/>
        <w:ind w:left="0" w:firstLine="426"/>
        <w:rPr>
          <w:rFonts w:ascii="宋体" w:hAnsi="宋体"/>
          <w:b/>
          <w:bCs/>
          <w:szCs w:val="21"/>
        </w:rPr>
      </w:pPr>
      <w:r>
        <w:rPr>
          <w:rFonts w:hint="eastAsia" w:ascii="宋体" w:hAnsi="宋体"/>
          <w:b/>
          <w:bCs/>
          <w:szCs w:val="21"/>
        </w:rPr>
        <w:t>7x24电话支持响应</w:t>
      </w:r>
    </w:p>
    <w:p>
      <w:pPr>
        <w:widowControl/>
        <w:spacing w:line="360" w:lineRule="auto"/>
        <w:ind w:firstLine="420" w:firstLineChars="200"/>
        <w:rPr>
          <w:rFonts w:ascii="宋体" w:hAnsi="宋体"/>
          <w:szCs w:val="21"/>
        </w:rPr>
      </w:pPr>
      <w:r>
        <w:rPr>
          <w:rFonts w:hint="eastAsia" w:ascii="宋体" w:hAnsi="宋体"/>
          <w:szCs w:val="21"/>
        </w:rPr>
        <w:t>要求提供7x24不间断的电话服务支持，不限次。业主单位工作人员在项目范围内的软硬件设备如遇到问题,无论是软件或硬件,都随时可以从中标方得到电话支持与帮助。中标方需指定一名主要联系人及一名替补联系人与业主单位联系。一旦接到业主单位请求电话,投标方的技术人员将在规定时间内通过电话解决或回答业主单位所提出的问题。若中标方指定工程师如果因特殊原因离职或更换电话，及时通知业主单位，并指定合格的接替人员。</w:t>
      </w:r>
    </w:p>
    <w:p>
      <w:pPr>
        <w:widowControl/>
        <w:numPr>
          <w:ilvl w:val="0"/>
          <w:numId w:val="6"/>
        </w:numPr>
        <w:spacing w:line="360" w:lineRule="auto"/>
        <w:ind w:left="0" w:firstLine="426"/>
        <w:rPr>
          <w:rFonts w:ascii="宋体" w:hAnsi="宋体"/>
          <w:b/>
          <w:bCs/>
          <w:szCs w:val="21"/>
        </w:rPr>
      </w:pPr>
      <w:r>
        <w:rPr>
          <w:rFonts w:hint="eastAsia" w:ascii="宋体" w:hAnsi="宋体"/>
          <w:b/>
          <w:bCs/>
          <w:szCs w:val="21"/>
        </w:rPr>
        <w:t>日常操作技术支持</w:t>
      </w:r>
    </w:p>
    <w:p>
      <w:pPr>
        <w:widowControl/>
        <w:spacing w:line="360" w:lineRule="auto"/>
        <w:ind w:firstLine="420" w:firstLineChars="200"/>
        <w:rPr>
          <w:rFonts w:hint="eastAsia" w:ascii="宋体" w:hAnsi="宋体"/>
          <w:szCs w:val="21"/>
        </w:rPr>
      </w:pPr>
      <w:r>
        <w:rPr>
          <w:rFonts w:hint="eastAsia" w:ascii="宋体" w:hAnsi="宋体"/>
          <w:szCs w:val="21"/>
        </w:rPr>
        <w:t>中标方需要对业主单位提供日常的技术支持，针对业主单位无法完成的操作，提供远程和电话技术支持，以及到现场提供技术支持。）</w:t>
      </w:r>
    </w:p>
    <w:p>
      <w:pPr>
        <w:widowControl/>
        <w:numPr>
          <w:ilvl w:val="0"/>
          <w:numId w:val="6"/>
        </w:numPr>
        <w:spacing w:line="360" w:lineRule="auto"/>
        <w:ind w:left="0" w:firstLine="426"/>
        <w:rPr>
          <w:rFonts w:hint="eastAsia" w:ascii="宋体" w:hAnsi="宋体" w:eastAsia="宋体" w:cs="Times New Roman"/>
          <w:b/>
          <w:bCs/>
          <w:szCs w:val="21"/>
        </w:rPr>
      </w:pPr>
      <w:r>
        <w:rPr>
          <w:rFonts w:hint="eastAsia" w:ascii="宋体" w:hAnsi="宋体" w:eastAsia="宋体" w:cs="Times New Roman"/>
          <w:b/>
          <w:bCs/>
          <w:szCs w:val="21"/>
        </w:rPr>
        <w:t>免费运维服务（等同于质保期）</w:t>
      </w:r>
    </w:p>
    <w:p>
      <w:pPr>
        <w:widowControl/>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系统调试开通移交后，甲方（采购人）组织人员在设备乙方（供应商）的指导下上岗操作，乙方进行系统维护；运维期同质保期。</w:t>
      </w:r>
    </w:p>
    <w:p>
      <w:pPr>
        <w:widowControl/>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设立专业的运行维护服务队伍：</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Times New Roman"/>
          <w:szCs w:val="21"/>
        </w:rPr>
      </w:pPr>
      <w:r>
        <w:rPr>
          <w:rFonts w:hint="eastAsia" w:ascii="宋体" w:hAnsi="宋体" w:eastAsia="宋体" w:cs="Times New Roman"/>
          <w:szCs w:val="21"/>
        </w:rPr>
        <w:t>提供7*24小时电话技术支持。1小时现场响应，对于4小时内不能排除系统、设备故障的，应提供必要的备机备件，以确保各系统的正常运行。</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Times New Roman"/>
          <w:szCs w:val="21"/>
        </w:rPr>
      </w:pPr>
      <w:r>
        <w:rPr>
          <w:rFonts w:hint="eastAsia" w:ascii="宋体" w:hAnsi="宋体" w:eastAsia="宋体" w:cs="Times New Roman"/>
          <w:szCs w:val="21"/>
        </w:rPr>
        <w:t>定期、日常维护巡检。每一季度进行一次系统设备的状态和运行情况、对专用设备进行清洁维护保养等工作。</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Times New Roman"/>
          <w:szCs w:val="21"/>
        </w:rPr>
      </w:pPr>
      <w:r>
        <w:rPr>
          <w:rFonts w:hint="eastAsia" w:ascii="宋体" w:hAnsi="宋体" w:eastAsia="宋体" w:cs="Times New Roman"/>
          <w:szCs w:val="21"/>
        </w:rPr>
        <w:t>如遇重大活动，接到甲方通知后，必须无条件派工程师实行现场技术保障，确保系统在活动期间正常运行。</w:t>
      </w:r>
    </w:p>
    <w:p>
      <w:pPr>
        <w:rPr>
          <w:rFonts w:hint="eastAsia" w:ascii="宋体" w:hAnsi="宋体" w:cs="宋体"/>
          <w:b/>
          <w:sz w:val="28"/>
          <w:szCs w:val="28"/>
        </w:rPr>
      </w:pPr>
      <w:r>
        <w:rPr>
          <w:rFonts w:hint="eastAsia" w:ascii="宋体" w:hAnsi="宋体" w:eastAsia="宋体" w:cs="Times New Roman"/>
          <w:szCs w:val="21"/>
        </w:rPr>
        <w:t>免费提供后期相关建设项目的参考方案以及与其它相关系统设备的提供商合作，包括软硬件数据协议接口。</w:t>
      </w:r>
      <w:r>
        <w:rPr>
          <w:rFonts w:hint="eastAsia" w:ascii="宋体" w:hAnsi="宋体" w:cs="宋体"/>
          <w:b/>
          <w:sz w:val="28"/>
          <w:szCs w:val="28"/>
        </w:rPr>
        <w:br w:type="page"/>
      </w:r>
    </w:p>
    <w:p>
      <w:pPr>
        <w:jc w:val="center"/>
        <w:outlineLvl w:val="0"/>
        <w:rPr>
          <w:rFonts w:ascii="宋体" w:hAnsi="宋体" w:cs="宋体"/>
          <w:b/>
          <w:sz w:val="28"/>
          <w:szCs w:val="28"/>
        </w:rPr>
      </w:pPr>
      <w:r>
        <w:rPr>
          <w:rFonts w:hint="eastAsia" w:ascii="宋体" w:hAnsi="宋体" w:cs="宋体"/>
          <w:b/>
          <w:sz w:val="28"/>
          <w:szCs w:val="28"/>
        </w:rPr>
        <w:t>第三章  响应人须知</w:t>
      </w:r>
    </w:p>
    <w:p>
      <w:pPr>
        <w:snapToGrid w:val="0"/>
        <w:spacing w:line="276" w:lineRule="auto"/>
        <w:jc w:val="center"/>
        <w:outlineLvl w:val="1"/>
        <w:rPr>
          <w:rFonts w:ascii="宋体" w:hAnsi="宋体" w:cs="宋体"/>
          <w:b/>
          <w:szCs w:val="21"/>
        </w:rPr>
      </w:pPr>
      <w:r>
        <w:rPr>
          <w:rFonts w:hint="eastAsia" w:ascii="宋体" w:hAnsi="宋体" w:cs="宋体"/>
          <w:b/>
          <w:szCs w:val="21"/>
        </w:rPr>
        <w:t>前附表</w:t>
      </w:r>
    </w:p>
    <w:tbl>
      <w:tblPr>
        <w:tblStyle w:val="26"/>
        <w:tblW w:w="10081" w:type="dxa"/>
        <w:tblCellSpacing w:w="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47"/>
        <w:gridCol w:w="1757"/>
        <w:gridCol w:w="7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trPr>
        <w:tc>
          <w:tcPr>
            <w:tcW w:w="626"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序号</w:t>
            </w:r>
          </w:p>
        </w:tc>
        <w:tc>
          <w:tcPr>
            <w:tcW w:w="9413" w:type="dxa"/>
            <w:gridSpan w:val="2"/>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内容说明及要求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trPr>
        <w:tc>
          <w:tcPr>
            <w:tcW w:w="626"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1</w:t>
            </w:r>
          </w:p>
        </w:tc>
        <w:tc>
          <w:tcPr>
            <w:tcW w:w="1743"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项目名称</w:t>
            </w:r>
          </w:p>
        </w:tc>
        <w:tc>
          <w:tcPr>
            <w:tcW w:w="7656" w:type="dxa"/>
            <w:shd w:val="clear" w:color="auto" w:fill="FFFFFF"/>
            <w:vAlign w:val="center"/>
          </w:tcPr>
          <w:p>
            <w:pPr>
              <w:spacing w:line="360" w:lineRule="auto"/>
              <w:rPr>
                <w:rFonts w:hint="eastAsia" w:ascii="宋体" w:hAnsi="宋体" w:eastAsia="宋体" w:cs="宋体"/>
                <w:szCs w:val="21"/>
                <w:lang w:eastAsia="zh-CN"/>
              </w:rPr>
            </w:pPr>
            <w:r>
              <w:rPr>
                <w:rFonts w:hint="eastAsia" w:ascii="宋体" w:hAnsi="宋体" w:cs="宋体"/>
                <w:szCs w:val="21"/>
                <w:lang w:eastAsia="zh-CN"/>
              </w:rPr>
              <w:t>岱山县化塑产业大脑能力中心组件项目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trPr>
        <w:tc>
          <w:tcPr>
            <w:tcW w:w="626"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2</w:t>
            </w:r>
          </w:p>
        </w:tc>
        <w:tc>
          <w:tcPr>
            <w:tcW w:w="1743" w:type="dxa"/>
            <w:shd w:val="clear" w:color="auto" w:fill="E0E0E0"/>
            <w:vAlign w:val="center"/>
          </w:tcPr>
          <w:p>
            <w:pPr>
              <w:spacing w:line="360" w:lineRule="auto"/>
              <w:jc w:val="center"/>
              <w:rPr>
                <w:rFonts w:ascii="宋体" w:hAnsi="宋体" w:cs="宋体"/>
                <w:b/>
                <w:szCs w:val="21"/>
                <w:highlight w:val="none"/>
              </w:rPr>
            </w:pPr>
            <w:r>
              <w:rPr>
                <w:rFonts w:hint="eastAsia" w:ascii="宋体" w:hAnsi="宋体" w:cs="宋体"/>
                <w:b/>
                <w:szCs w:val="21"/>
                <w:highlight w:val="none"/>
              </w:rPr>
              <w:t>采购人名称</w:t>
            </w:r>
          </w:p>
        </w:tc>
        <w:tc>
          <w:tcPr>
            <w:tcW w:w="7656" w:type="dxa"/>
            <w:shd w:val="clear" w:color="auto" w:fill="FFFFFF"/>
            <w:vAlign w:val="center"/>
          </w:tcPr>
          <w:p>
            <w:pPr>
              <w:spacing w:line="360" w:lineRule="auto"/>
              <w:rPr>
                <w:rFonts w:hint="eastAsia" w:ascii="宋体" w:hAnsi="宋体" w:eastAsia="宋体" w:cs="宋体"/>
                <w:szCs w:val="21"/>
                <w:highlight w:val="none"/>
                <w:lang w:eastAsia="zh-CN"/>
              </w:rPr>
            </w:pPr>
            <w:r>
              <w:rPr>
                <w:rFonts w:hint="eastAsia" w:ascii="宋体" w:hAnsi="宋体" w:cs="宋体"/>
                <w:szCs w:val="21"/>
                <w:highlight w:val="none"/>
                <w:lang w:eastAsia="zh-CN"/>
              </w:rPr>
              <w:t>岱山县经济和信息化局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trPr>
        <w:tc>
          <w:tcPr>
            <w:tcW w:w="626"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3</w:t>
            </w:r>
          </w:p>
        </w:tc>
        <w:tc>
          <w:tcPr>
            <w:tcW w:w="1743"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采购内容</w:t>
            </w:r>
          </w:p>
        </w:tc>
        <w:tc>
          <w:tcPr>
            <w:tcW w:w="7656" w:type="dxa"/>
            <w:shd w:val="clear" w:color="auto" w:fill="FFFFFF"/>
            <w:vAlign w:val="center"/>
          </w:tcPr>
          <w:p>
            <w:pPr>
              <w:spacing w:line="360" w:lineRule="auto"/>
              <w:rPr>
                <w:rFonts w:ascii="宋体" w:hAnsi="宋体" w:cs="宋体"/>
                <w:bCs/>
                <w:szCs w:val="21"/>
              </w:rPr>
            </w:pPr>
            <w:r>
              <w:rPr>
                <w:rFonts w:hint="eastAsia" w:ascii="宋体" w:hAnsi="宋体" w:cs="宋体"/>
                <w:bCs/>
                <w:szCs w:val="21"/>
              </w:rPr>
              <w:t>本项目主要建设内容为企业调研、企业数字化诊断及改造方案编制、基础功能模块推广、相关知识技能培训等，具体内容详见采购需求。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tblCellSpacing w:w="7" w:type="dxa"/>
        </w:trPr>
        <w:tc>
          <w:tcPr>
            <w:tcW w:w="626"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4</w:t>
            </w:r>
          </w:p>
        </w:tc>
        <w:tc>
          <w:tcPr>
            <w:tcW w:w="1743" w:type="dxa"/>
            <w:shd w:val="clear" w:color="auto" w:fill="E0E0E0"/>
            <w:vAlign w:val="center"/>
          </w:tcPr>
          <w:p>
            <w:pPr>
              <w:spacing w:line="360" w:lineRule="auto"/>
              <w:jc w:val="center"/>
              <w:rPr>
                <w:rFonts w:hint="default" w:ascii="宋体" w:hAnsi="宋体" w:eastAsia="宋体" w:cs="宋体"/>
                <w:b/>
                <w:szCs w:val="21"/>
                <w:highlight w:val="none"/>
                <w:lang w:val="en-US" w:eastAsia="zh-CN"/>
              </w:rPr>
            </w:pPr>
            <w:r>
              <w:rPr>
                <w:rFonts w:hint="eastAsia" w:ascii="宋体" w:hAnsi="宋体" w:cs="宋体"/>
                <w:b/>
                <w:szCs w:val="21"/>
                <w:highlight w:val="none"/>
                <w:lang w:val="en-US" w:eastAsia="zh-CN"/>
              </w:rPr>
              <w:t>预算金额</w:t>
            </w:r>
          </w:p>
        </w:tc>
        <w:tc>
          <w:tcPr>
            <w:tcW w:w="7656" w:type="dxa"/>
            <w:shd w:val="clear" w:color="auto" w:fill="FFFFFF"/>
            <w:vAlign w:val="center"/>
          </w:tcPr>
          <w:p>
            <w:pPr>
              <w:widowControl/>
              <w:textAlignment w:val="center"/>
              <w:rPr>
                <w:rFonts w:ascii="宋体" w:hAnsi="宋体" w:cs="宋体"/>
                <w:color w:val="000000"/>
                <w:sz w:val="22"/>
                <w:szCs w:val="22"/>
                <w:highlight w:val="none"/>
              </w:rPr>
            </w:pPr>
            <w:r>
              <w:rPr>
                <w:rFonts w:hint="eastAsia" w:ascii="宋体" w:hAnsi="宋体" w:cs="宋体"/>
                <w:szCs w:val="21"/>
                <w:highlight w:val="none"/>
                <w:lang w:val="en-US" w:eastAsia="zh-CN"/>
              </w:rPr>
              <w:t>1230000.00</w:t>
            </w:r>
            <w:r>
              <w:rPr>
                <w:rFonts w:hint="eastAsia" w:ascii="宋体" w:hAnsi="宋体" w:cs="宋体"/>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trPr>
        <w:tc>
          <w:tcPr>
            <w:tcW w:w="626"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5</w:t>
            </w:r>
          </w:p>
        </w:tc>
        <w:tc>
          <w:tcPr>
            <w:tcW w:w="1743"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工期要求</w:t>
            </w:r>
          </w:p>
        </w:tc>
        <w:tc>
          <w:tcPr>
            <w:tcW w:w="7656" w:type="dxa"/>
            <w:shd w:val="clear" w:color="auto" w:fill="FFFFFF"/>
            <w:vAlign w:val="center"/>
          </w:tcPr>
          <w:p>
            <w:pPr>
              <w:spacing w:line="360" w:lineRule="auto"/>
              <w:rPr>
                <w:rFonts w:hint="eastAsia" w:ascii="宋体" w:hAnsi="宋体" w:eastAsia="宋体" w:cs="宋体"/>
                <w:szCs w:val="21"/>
                <w:lang w:eastAsia="zh-CN"/>
              </w:rPr>
            </w:pPr>
            <w:r>
              <w:rPr>
                <w:rFonts w:hint="eastAsia" w:ascii="宋体" w:hAnsi="宋体" w:cs="宋体"/>
                <w:szCs w:val="21"/>
                <w:lang w:eastAsia="zh-CN"/>
              </w:rPr>
              <w:t>合同签订后15天内完成上线布置，并使各项功能达到采购人要求后进行项目初验，初验合格后进入为期三个月的试运行阶段，在此期间所有功能运行正常无误后，进行项目终验。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trPr>
        <w:tc>
          <w:tcPr>
            <w:tcW w:w="626"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6</w:t>
            </w:r>
          </w:p>
        </w:tc>
        <w:tc>
          <w:tcPr>
            <w:tcW w:w="1743"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投标有效期</w:t>
            </w:r>
          </w:p>
        </w:tc>
        <w:tc>
          <w:tcPr>
            <w:tcW w:w="7656" w:type="dxa"/>
            <w:shd w:val="clear" w:color="auto" w:fill="FFFFFF"/>
            <w:vAlign w:val="center"/>
          </w:tcPr>
          <w:p>
            <w:pPr>
              <w:spacing w:line="360" w:lineRule="auto"/>
              <w:rPr>
                <w:rFonts w:ascii="宋体" w:hAnsi="宋体" w:cs="宋体"/>
                <w:szCs w:val="21"/>
              </w:rPr>
            </w:pPr>
            <w:r>
              <w:rPr>
                <w:rFonts w:hint="eastAsia" w:ascii="宋体" w:hAnsi="宋体" w:cs="宋体"/>
                <w:szCs w:val="21"/>
                <w:u w:val="single"/>
              </w:rPr>
              <w:t>90日</w:t>
            </w:r>
            <w:r>
              <w:rPr>
                <w:rFonts w:hint="eastAsia" w:ascii="宋体" w:hAnsi="宋体" w:cs="宋体"/>
                <w:szCs w:val="21"/>
              </w:rPr>
              <w:t>历天。（从投标截止之日算起）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trPr>
        <w:tc>
          <w:tcPr>
            <w:tcW w:w="626"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7</w:t>
            </w:r>
          </w:p>
        </w:tc>
        <w:tc>
          <w:tcPr>
            <w:tcW w:w="1743"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评标办法</w:t>
            </w:r>
          </w:p>
        </w:tc>
        <w:tc>
          <w:tcPr>
            <w:tcW w:w="7656" w:type="dxa"/>
            <w:shd w:val="clear" w:color="auto" w:fill="FFFFFF"/>
            <w:vAlign w:val="center"/>
          </w:tcPr>
          <w:p>
            <w:pPr>
              <w:spacing w:line="360" w:lineRule="auto"/>
              <w:rPr>
                <w:rFonts w:ascii="宋体" w:hAnsi="宋体" w:cs="宋体"/>
                <w:szCs w:val="21"/>
              </w:rPr>
            </w:pPr>
            <w:r>
              <w:rPr>
                <w:rFonts w:hint="eastAsia" w:ascii="宋体" w:hAnsi="宋体" w:cs="宋体"/>
                <w:szCs w:val="21"/>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trPr>
        <w:tc>
          <w:tcPr>
            <w:tcW w:w="626"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8</w:t>
            </w:r>
          </w:p>
        </w:tc>
        <w:tc>
          <w:tcPr>
            <w:tcW w:w="1743"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付款方式</w:t>
            </w:r>
          </w:p>
        </w:tc>
        <w:tc>
          <w:tcPr>
            <w:tcW w:w="7656" w:type="dxa"/>
            <w:shd w:val="clear" w:color="auto" w:fill="FFFFFF"/>
            <w:vAlign w:val="center"/>
          </w:tcPr>
          <w:p>
            <w:pPr>
              <w:spacing w:line="360" w:lineRule="auto"/>
              <w:rPr>
                <w:rFonts w:hint="eastAsia" w:ascii="宋体" w:hAnsi="宋体" w:cs="宋体"/>
                <w:bCs/>
                <w:color w:val="000000"/>
                <w:szCs w:val="21"/>
              </w:rPr>
            </w:pPr>
            <w:r>
              <w:rPr>
                <w:rFonts w:hint="eastAsia" w:ascii="宋体" w:hAnsi="宋体" w:cs="宋体"/>
                <w:bCs/>
                <w:color w:val="000000"/>
                <w:szCs w:val="21"/>
              </w:rPr>
              <w:t>（1）合同签订完成，甲方收到乙方正规发票7个工作日内，支付合同总额的40%。</w:t>
            </w:r>
          </w:p>
          <w:p>
            <w:pPr>
              <w:spacing w:line="360" w:lineRule="auto"/>
              <w:rPr>
                <w:rFonts w:ascii="宋体" w:hAnsi="宋体" w:cs="宋体"/>
                <w:szCs w:val="21"/>
              </w:rPr>
            </w:pPr>
            <w:r>
              <w:rPr>
                <w:rFonts w:hint="eastAsia" w:ascii="宋体" w:hAnsi="宋体" w:cs="宋体"/>
                <w:bCs/>
                <w:color w:val="000000"/>
                <w:szCs w:val="21"/>
              </w:rPr>
              <w:t>（2）完成试运行并通过项目竣工验收，甲方收到乙方正规发票7个工作日内，支付合同总额的60%。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trPr>
        <w:tc>
          <w:tcPr>
            <w:tcW w:w="626"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9</w:t>
            </w:r>
          </w:p>
        </w:tc>
        <w:tc>
          <w:tcPr>
            <w:tcW w:w="1743" w:type="dxa"/>
            <w:shd w:val="clear" w:color="auto" w:fill="E0E0E0"/>
            <w:vAlign w:val="center"/>
          </w:tcPr>
          <w:p>
            <w:pPr>
              <w:spacing w:line="360" w:lineRule="auto"/>
              <w:jc w:val="center"/>
              <w:rPr>
                <w:rFonts w:ascii="宋体" w:hAnsi="宋体" w:cs="宋体"/>
                <w:b/>
                <w:szCs w:val="21"/>
                <w:highlight w:val="none"/>
              </w:rPr>
            </w:pPr>
            <w:r>
              <w:rPr>
                <w:rFonts w:hint="eastAsia" w:ascii="宋体" w:hAnsi="宋体" w:cs="宋体"/>
                <w:b/>
                <w:szCs w:val="21"/>
                <w:highlight w:val="none"/>
              </w:rPr>
              <w:t>磋商报价</w:t>
            </w:r>
          </w:p>
          <w:p>
            <w:pPr>
              <w:spacing w:line="360" w:lineRule="auto"/>
              <w:jc w:val="center"/>
              <w:rPr>
                <w:rFonts w:ascii="宋体" w:hAnsi="宋体" w:cs="宋体"/>
                <w:b/>
                <w:szCs w:val="21"/>
              </w:rPr>
            </w:pPr>
            <w:r>
              <w:rPr>
                <w:rFonts w:hint="eastAsia" w:ascii="宋体" w:hAnsi="宋体" w:cs="宋体"/>
                <w:b/>
                <w:szCs w:val="21"/>
                <w:highlight w:val="none"/>
              </w:rPr>
              <w:t>与相关费用</w:t>
            </w:r>
          </w:p>
        </w:tc>
        <w:tc>
          <w:tcPr>
            <w:tcW w:w="7656" w:type="dxa"/>
            <w:shd w:val="clear" w:color="auto" w:fill="FFFFFF"/>
            <w:vAlign w:val="center"/>
          </w:tcPr>
          <w:p>
            <w:pPr>
              <w:spacing w:line="360" w:lineRule="auto"/>
              <w:rPr>
                <w:rFonts w:ascii="宋体" w:hAnsi="宋体" w:cs="宋体"/>
                <w:szCs w:val="21"/>
              </w:rPr>
            </w:pPr>
            <w:r>
              <w:rPr>
                <w:rFonts w:hint="eastAsia" w:ascii="宋体" w:hAnsi="宋体" w:cs="宋体"/>
                <w:szCs w:val="21"/>
              </w:rPr>
              <w:t>1.响应人所投报的磋商报价为响应人所能承受的整个项目的一次性最终最低合同总价，包括完成本项目工作内容所需的一切费用。合同总价不得超过本项目对应的预算金额。</w:t>
            </w:r>
          </w:p>
          <w:p>
            <w:pPr>
              <w:spacing w:line="360" w:lineRule="auto"/>
              <w:rPr>
                <w:rFonts w:ascii="宋体" w:hAnsi="宋体" w:cs="宋体"/>
                <w:szCs w:val="21"/>
              </w:rPr>
            </w:pPr>
            <w:r>
              <w:rPr>
                <w:rFonts w:hint="eastAsia" w:ascii="宋体" w:hAnsi="宋体" w:cs="宋体"/>
                <w:szCs w:val="21"/>
              </w:rPr>
              <w:t>2.按国家规定由成交人缴纳的各种税收已包含在磋商报价内，由成交人向税务机关缴纳相关费用。</w:t>
            </w:r>
          </w:p>
          <w:p>
            <w:pPr>
              <w:spacing w:line="360" w:lineRule="auto"/>
              <w:rPr>
                <w:rFonts w:hint="eastAsia" w:ascii="宋体" w:hAnsi="宋体" w:cs="宋体"/>
                <w:szCs w:val="21"/>
              </w:rPr>
            </w:pPr>
            <w:r>
              <w:rPr>
                <w:rFonts w:hint="eastAsia" w:ascii="宋体" w:hAnsi="宋体" w:cs="宋体"/>
                <w:szCs w:val="21"/>
              </w:rPr>
              <w:t>3.响应人应承担其参加本磋商活动自身所发生的费用。</w:t>
            </w:r>
          </w:p>
          <w:p>
            <w:pPr>
              <w:spacing w:line="360" w:lineRule="auto"/>
              <w:rPr>
                <w:rFonts w:hint="eastAsia" w:ascii="宋体" w:hAnsi="宋体" w:cs="宋体"/>
                <w:szCs w:val="21"/>
              </w:rPr>
            </w:pPr>
            <w:r>
              <w:rPr>
                <w:rFonts w:hint="eastAsia" w:ascii="宋体" w:hAnsi="宋体" w:cs="宋体"/>
                <w:szCs w:val="21"/>
              </w:rPr>
              <w:t>4</w:t>
            </w:r>
            <w:r>
              <w:rPr>
                <w:rFonts w:hint="eastAsia" w:ascii="宋体" w:hAnsi="宋体" w:cs="宋体"/>
                <w:szCs w:val="21"/>
                <w:highlight w:val="none"/>
              </w:rPr>
              <w:t>、中标人须缴纳招标代理服务费，收费标准金额为：</w:t>
            </w:r>
            <w:r>
              <w:rPr>
                <w:rFonts w:hint="eastAsia" w:ascii="宋体" w:hAnsi="宋体" w:cs="宋体"/>
                <w:szCs w:val="21"/>
                <w:highlight w:val="none"/>
                <w:u w:val="single"/>
              </w:rPr>
              <w:t>一次性收费人民币</w:t>
            </w:r>
            <w:r>
              <w:rPr>
                <w:rFonts w:hint="eastAsia" w:ascii="宋体" w:hAnsi="宋体" w:cs="宋体"/>
                <w:szCs w:val="21"/>
                <w:highlight w:val="none"/>
                <w:u w:val="single"/>
                <w:lang w:val="en-US" w:eastAsia="zh-CN"/>
              </w:rPr>
              <w:t>壹万玖仟</w:t>
            </w:r>
            <w:r>
              <w:rPr>
                <w:rFonts w:hint="eastAsia" w:ascii="宋体" w:hAnsi="宋体" w:cs="宋体"/>
                <w:szCs w:val="21"/>
                <w:highlight w:val="none"/>
                <w:u w:val="single"/>
              </w:rPr>
              <w:t>元</w:t>
            </w:r>
            <w:r>
              <w:rPr>
                <w:rFonts w:hint="eastAsia"/>
                <w:highlight w:val="none"/>
                <w:lang w:val="en-US" w:eastAsia="zh-CN"/>
              </w:rPr>
              <w:t>整</w:t>
            </w:r>
            <w:r>
              <w:rPr>
                <w:rFonts w:hint="eastAsia" w:ascii="宋体" w:hAnsi="宋体" w:cs="宋体"/>
                <w:szCs w:val="21"/>
                <w:highlight w:val="none"/>
                <w:u w:val="single"/>
              </w:rPr>
              <w:t>（</w:t>
            </w:r>
            <w:r>
              <w:rPr>
                <w:rFonts w:hint="eastAsia" w:ascii="宋体" w:hAnsi="宋体" w:cs="宋体"/>
                <w:szCs w:val="21"/>
                <w:highlight w:val="none"/>
                <w:u w:val="single"/>
                <w:lang w:val="en-US" w:eastAsia="zh-CN"/>
              </w:rPr>
              <w:t>19000.00</w:t>
            </w:r>
            <w:r>
              <w:rPr>
                <w:rFonts w:hint="eastAsia" w:ascii="宋体" w:hAnsi="宋体" w:cs="宋体"/>
                <w:szCs w:val="21"/>
                <w:highlight w:val="none"/>
                <w:u w:val="single"/>
              </w:rPr>
              <w:t>元整）</w:t>
            </w:r>
            <w:r>
              <w:rPr>
                <w:rFonts w:hint="eastAsia" w:ascii="宋体" w:hAnsi="宋体" w:cs="宋体"/>
                <w:szCs w:val="21"/>
                <w:highlight w:val="none"/>
              </w:rPr>
              <w:t>。</w:t>
            </w:r>
            <w:r>
              <w:rPr>
                <w:rFonts w:hint="eastAsia" w:ascii="宋体" w:hAnsi="宋体" w:cs="宋体"/>
                <w:szCs w:val="21"/>
              </w:rPr>
              <w:t>支付方式及时间为：中标通知书发出后5个工作日内一次性支付给招标代理机构。</w:t>
            </w:r>
          </w:p>
          <w:p>
            <w:pPr>
              <w:spacing w:line="360" w:lineRule="auto"/>
              <w:rPr>
                <w:rFonts w:hint="eastAsia" w:ascii="宋体" w:hAnsi="宋体" w:cs="宋体"/>
                <w:szCs w:val="21"/>
              </w:rPr>
            </w:pPr>
            <w:r>
              <w:rPr>
                <w:rFonts w:hint="eastAsia" w:ascii="宋体" w:hAnsi="宋体" w:cs="宋体"/>
                <w:szCs w:val="21"/>
              </w:rPr>
              <w:t>收款单位名称：</w:t>
            </w:r>
            <w:r>
              <w:rPr>
                <w:rFonts w:hint="eastAsia" w:ascii="宋体" w:hAnsi="宋体" w:cs="宋体"/>
                <w:szCs w:val="21"/>
                <w:lang w:eastAsia="zh-CN"/>
              </w:rPr>
              <w:t>浙江天勤信息技术监理有限公司</w:t>
            </w:r>
            <w:r>
              <w:rPr>
                <w:rFonts w:hint="eastAsia" w:ascii="宋体" w:hAnsi="宋体" w:cs="宋体"/>
                <w:szCs w:val="21"/>
              </w:rPr>
              <w:t>舟山分公司</w:t>
            </w:r>
          </w:p>
          <w:p>
            <w:pPr>
              <w:spacing w:line="360" w:lineRule="auto"/>
              <w:rPr>
                <w:rFonts w:hint="eastAsia" w:ascii="宋体" w:hAnsi="宋体" w:cs="宋体"/>
                <w:szCs w:val="21"/>
              </w:rPr>
            </w:pPr>
            <w:r>
              <w:rPr>
                <w:rFonts w:hint="eastAsia" w:ascii="宋体" w:hAnsi="宋体" w:cs="宋体"/>
                <w:szCs w:val="21"/>
              </w:rPr>
              <w:t>开户银行：浙江舟山定海海洋农村商业银行股份有限公司新城支行</w:t>
            </w:r>
          </w:p>
          <w:p>
            <w:pPr>
              <w:spacing w:line="360" w:lineRule="auto"/>
              <w:rPr>
                <w:rFonts w:ascii="宋体" w:hAnsi="宋体" w:cs="宋体"/>
                <w:szCs w:val="21"/>
              </w:rPr>
            </w:pPr>
            <w:r>
              <w:rPr>
                <w:rFonts w:hint="eastAsia" w:ascii="宋体" w:hAnsi="宋体" w:cs="宋体"/>
                <w:szCs w:val="21"/>
              </w:rPr>
              <w:t>银行账号：201000331660833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trPr>
        <w:tc>
          <w:tcPr>
            <w:tcW w:w="626"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10</w:t>
            </w:r>
          </w:p>
        </w:tc>
        <w:tc>
          <w:tcPr>
            <w:tcW w:w="1743"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响应文件的组成</w:t>
            </w:r>
          </w:p>
        </w:tc>
        <w:tc>
          <w:tcPr>
            <w:tcW w:w="7656" w:type="dxa"/>
            <w:shd w:val="clear" w:color="auto" w:fill="FFFFFF"/>
            <w:vAlign w:val="center"/>
          </w:tcPr>
          <w:p>
            <w:pPr>
              <w:spacing w:line="360" w:lineRule="auto"/>
              <w:rPr>
                <w:rFonts w:ascii="宋体" w:hAnsi="宋体" w:cs="宋体"/>
                <w:szCs w:val="21"/>
              </w:rPr>
            </w:pPr>
            <w:r>
              <w:rPr>
                <w:rFonts w:hint="eastAsia" w:ascii="宋体" w:hAnsi="宋体" w:cs="宋体"/>
                <w:szCs w:val="21"/>
              </w:rPr>
              <w:t>本项目实行网上投标。</w:t>
            </w:r>
          </w:p>
          <w:p>
            <w:pPr>
              <w:spacing w:line="360" w:lineRule="auto"/>
              <w:rPr>
                <w:rFonts w:ascii="宋体" w:hAnsi="宋体" w:cs="宋体"/>
                <w:szCs w:val="21"/>
              </w:rPr>
            </w:pPr>
            <w:r>
              <w:rPr>
                <w:rFonts w:hint="eastAsia" w:ascii="宋体" w:hAnsi="宋体" w:cs="宋体"/>
                <w:szCs w:val="21"/>
              </w:rPr>
              <w:t>响应人应准备电子投标文件、以介质存储的数据电文形式的备份投标文件：</w:t>
            </w:r>
          </w:p>
          <w:p>
            <w:pPr>
              <w:spacing w:line="360" w:lineRule="auto"/>
              <w:rPr>
                <w:rFonts w:ascii="宋体" w:hAnsi="宋体" w:cs="宋体"/>
                <w:szCs w:val="21"/>
              </w:rPr>
            </w:pPr>
            <w:r>
              <w:rPr>
                <w:rFonts w:hint="eastAsia" w:ascii="宋体" w:hAnsi="宋体" w:cs="宋体"/>
                <w:szCs w:val="21"/>
              </w:rPr>
              <w:t>（1）电子投标文件，按政采云供应商项目采购-电子招投标操作指南及本磋商文件要求制作，加密并递交。</w:t>
            </w:r>
          </w:p>
          <w:p>
            <w:pPr>
              <w:pStyle w:val="9"/>
              <w:spacing w:after="0" w:line="360" w:lineRule="auto"/>
              <w:rPr>
                <w:rFonts w:ascii="宋体" w:hAnsi="宋体" w:eastAsia="宋体" w:cs="宋体"/>
                <w:sz w:val="21"/>
                <w:szCs w:val="21"/>
              </w:rPr>
            </w:pPr>
            <w:r>
              <w:rPr>
                <w:rFonts w:hint="eastAsia" w:ascii="宋体" w:hAnsi="宋体" w:eastAsia="宋体" w:cs="宋体"/>
                <w:b/>
                <w:bCs/>
                <w:sz w:val="21"/>
                <w:szCs w:val="21"/>
              </w:rPr>
              <w:t>（2）以介质存储的数据电文形式的备份投标文件，按政采云供应商项目采购-电子招投标操作指南中制作的电子投标文件，以DVD光盘或U盘形式提供。数量为1份。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trPr>
        <w:tc>
          <w:tcPr>
            <w:tcW w:w="626"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11</w:t>
            </w:r>
          </w:p>
        </w:tc>
        <w:tc>
          <w:tcPr>
            <w:tcW w:w="1743"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开标地点</w:t>
            </w:r>
          </w:p>
        </w:tc>
        <w:tc>
          <w:tcPr>
            <w:tcW w:w="7656" w:type="dxa"/>
            <w:shd w:val="clear" w:color="auto" w:fill="FFFFFF"/>
            <w:vAlign w:val="center"/>
          </w:tcPr>
          <w:p>
            <w:pPr>
              <w:spacing w:line="360" w:lineRule="auto"/>
              <w:rPr>
                <w:rFonts w:ascii="宋体" w:hAnsi="宋体" w:cs="宋体"/>
                <w:szCs w:val="21"/>
              </w:rPr>
            </w:pPr>
            <w:r>
              <w:rPr>
                <w:rFonts w:hint="eastAsia" w:ascii="宋体" w:hAnsi="宋体" w:cs="宋体"/>
                <w:szCs w:val="21"/>
                <w:highlight w:val="none"/>
              </w:rPr>
              <w:t>岱山县高亭镇星河路250号3楼（交通大楼裙楼3楼）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trPr>
        <w:tc>
          <w:tcPr>
            <w:tcW w:w="626"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12</w:t>
            </w:r>
          </w:p>
        </w:tc>
        <w:tc>
          <w:tcPr>
            <w:tcW w:w="1743"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响应文件的递交</w:t>
            </w:r>
          </w:p>
        </w:tc>
        <w:tc>
          <w:tcPr>
            <w:tcW w:w="7656" w:type="dxa"/>
            <w:shd w:val="clear" w:color="auto" w:fill="FFFFFF"/>
            <w:vAlign w:val="center"/>
          </w:tcPr>
          <w:p>
            <w:pPr>
              <w:adjustRightInd w:val="0"/>
              <w:snapToGrid w:val="0"/>
              <w:spacing w:line="360" w:lineRule="auto"/>
              <w:ind w:firstLine="420" w:firstLineChars="200"/>
              <w:rPr>
                <w:rFonts w:ascii="宋体" w:hAnsi="宋体" w:cs="宋体"/>
                <w:szCs w:val="21"/>
              </w:rPr>
            </w:pPr>
            <w:r>
              <w:rPr>
                <w:rFonts w:hint="eastAsia" w:ascii="宋体" w:hAnsi="宋体" w:cs="宋体"/>
                <w:szCs w:val="21"/>
              </w:rPr>
              <w:t>响应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送达的投标、响应文件，将被政采云平台拒收。</w:t>
            </w:r>
          </w:p>
          <w:p>
            <w:pPr>
              <w:snapToGrid w:val="0"/>
              <w:spacing w:line="360" w:lineRule="auto"/>
              <w:ind w:firstLine="420" w:firstLineChars="200"/>
              <w:jc w:val="left"/>
              <w:rPr>
                <w:rFonts w:ascii="宋体" w:hAnsi="宋体" w:cs="宋体"/>
                <w:szCs w:val="21"/>
              </w:rPr>
            </w:pPr>
            <w:r>
              <w:rPr>
                <w:rFonts w:hint="eastAsia" w:ascii="宋体" w:hAnsi="宋体" w:cs="宋体"/>
                <w:szCs w:val="21"/>
              </w:rPr>
              <w:t>响应人将加密的电子版投标文件于投标截止时间前上传到政采云系统中。响应人将备份投标文件于</w:t>
            </w:r>
            <w:r>
              <w:rPr>
                <w:rFonts w:hint="eastAsia" w:ascii="宋体" w:hAnsi="宋体" w:cs="宋体"/>
                <w:szCs w:val="21"/>
                <w:lang w:eastAsia="zh-CN"/>
              </w:rPr>
              <w:t>2024年5月31日</w:t>
            </w:r>
            <w:r>
              <w:rPr>
                <w:rFonts w:hint="eastAsia" w:ascii="宋体" w:hAnsi="宋体" w:cs="宋体"/>
                <w:szCs w:val="21"/>
              </w:rPr>
              <w:t>1</w:t>
            </w:r>
            <w:r>
              <w:rPr>
                <w:rFonts w:hint="eastAsia" w:ascii="宋体" w:hAnsi="宋体" w:cs="宋体"/>
                <w:szCs w:val="21"/>
                <w:lang w:val="en-US" w:eastAsia="zh-CN"/>
              </w:rPr>
              <w:t>7</w:t>
            </w:r>
            <w:r>
              <w:rPr>
                <w:rFonts w:hint="eastAsia" w:ascii="宋体" w:hAnsi="宋体" w:cs="宋体"/>
                <w:szCs w:val="21"/>
              </w:rPr>
              <w:t>:00（北京时间）前通过邮寄或派人递送的方式送交到采购代理机构处（地址：</w:t>
            </w:r>
            <w:r>
              <w:rPr>
                <w:rFonts w:hint="eastAsia" w:ascii="宋体" w:hAnsi="宋体" w:cs="宋体"/>
                <w:szCs w:val="21"/>
                <w:lang w:eastAsia="zh-CN"/>
              </w:rPr>
              <w:t>浙江省舟山市定海区港岛路98号高智大厦1303室</w:t>
            </w:r>
            <w:r>
              <w:rPr>
                <w:rFonts w:hint="eastAsia" w:ascii="宋体" w:hAnsi="宋体" w:cs="宋体"/>
                <w:szCs w:val="21"/>
              </w:rPr>
              <w:t>；联系人：</w:t>
            </w:r>
            <w:r>
              <w:rPr>
                <w:rFonts w:hint="eastAsia" w:ascii="宋体" w:hAnsi="宋体" w:cs="宋体"/>
                <w:szCs w:val="21"/>
                <w:lang w:val="en-US" w:eastAsia="zh-CN"/>
              </w:rPr>
              <w:t>尹思寒</w:t>
            </w:r>
            <w:r>
              <w:rPr>
                <w:rFonts w:hint="eastAsia" w:ascii="宋体" w:hAnsi="宋体" w:cs="宋体"/>
                <w:szCs w:val="21"/>
              </w:rPr>
              <w:t>；联系方式：</w:t>
            </w:r>
            <w:r>
              <w:rPr>
                <w:rFonts w:hint="eastAsia" w:ascii="宋体" w:hAnsi="宋体" w:cs="宋体"/>
                <w:szCs w:val="21"/>
                <w:lang w:eastAsia="zh-CN"/>
              </w:rPr>
              <w:t>0580-8177988</w:t>
            </w:r>
            <w:r>
              <w:rPr>
                <w:rFonts w:hint="eastAsia" w:ascii="宋体" w:hAnsi="宋体" w:cs="宋体"/>
                <w:szCs w:val="21"/>
              </w:rPr>
              <w:t>），也可以在开标时间前送至开标地点，未按时送达的自行承担风险。备份投标文件须密封完好，并注明响应人单位名称。响应人未按规定递交的备份投标文件，采购人有权拒收。</w:t>
            </w:r>
          </w:p>
          <w:p>
            <w:pPr>
              <w:snapToGrid w:val="0"/>
              <w:spacing w:line="360" w:lineRule="auto"/>
              <w:ind w:firstLine="420" w:firstLineChars="200"/>
              <w:jc w:val="left"/>
              <w:rPr>
                <w:rFonts w:ascii="宋体" w:hAnsi="宋体" w:cs="宋体"/>
                <w:szCs w:val="21"/>
              </w:rPr>
            </w:pPr>
            <w:r>
              <w:rPr>
                <w:rFonts w:hint="eastAsia" w:ascii="宋体" w:hAnsi="宋体" w:cs="宋体"/>
                <w:szCs w:val="21"/>
              </w:rPr>
              <w:t>响应人递交备份投标文件时，如出现下列情况之一的，将被拒收：</w:t>
            </w:r>
          </w:p>
          <w:p>
            <w:pPr>
              <w:snapToGrid w:val="0"/>
              <w:spacing w:line="360" w:lineRule="auto"/>
              <w:ind w:firstLine="420" w:firstLineChars="200"/>
              <w:jc w:val="left"/>
              <w:rPr>
                <w:rFonts w:ascii="宋体" w:hAnsi="宋体" w:cs="宋体"/>
                <w:szCs w:val="21"/>
              </w:rPr>
            </w:pPr>
            <w:r>
              <w:rPr>
                <w:rFonts w:hint="eastAsia" w:ascii="宋体" w:hAnsi="宋体" w:cs="宋体"/>
                <w:szCs w:val="21"/>
              </w:rPr>
              <w:t>1、未按规定密封或标记的投标文件；</w:t>
            </w:r>
          </w:p>
          <w:p>
            <w:pPr>
              <w:snapToGrid w:val="0"/>
              <w:spacing w:line="360" w:lineRule="auto"/>
              <w:ind w:firstLine="420" w:firstLineChars="200"/>
              <w:jc w:val="left"/>
              <w:rPr>
                <w:rFonts w:ascii="宋体" w:hAnsi="宋体" w:cs="宋体"/>
                <w:szCs w:val="21"/>
              </w:rPr>
            </w:pPr>
            <w:r>
              <w:rPr>
                <w:rFonts w:hint="eastAsia" w:ascii="宋体" w:hAnsi="宋体" w:cs="宋体"/>
                <w:szCs w:val="21"/>
              </w:rPr>
              <w:t>2、由于包装不妥，在送交途中严重破损或失散的；</w:t>
            </w:r>
          </w:p>
          <w:p>
            <w:pPr>
              <w:snapToGrid w:val="0"/>
              <w:spacing w:line="360" w:lineRule="auto"/>
              <w:ind w:firstLine="420" w:firstLineChars="200"/>
              <w:jc w:val="left"/>
              <w:rPr>
                <w:rFonts w:ascii="宋体" w:hAnsi="宋体" w:cs="宋体"/>
                <w:szCs w:val="21"/>
              </w:rPr>
            </w:pPr>
            <w:r>
              <w:rPr>
                <w:rFonts w:hint="eastAsia" w:ascii="宋体" w:hAnsi="宋体" w:cs="宋体"/>
                <w:szCs w:val="21"/>
              </w:rPr>
              <w:t>3、超过投标截止时间送达的。</w:t>
            </w:r>
          </w:p>
          <w:p>
            <w:pPr>
              <w:autoSpaceDE w:val="0"/>
              <w:autoSpaceDN w:val="0"/>
              <w:snapToGrid w:val="0"/>
              <w:spacing w:line="360" w:lineRule="auto"/>
              <w:ind w:firstLine="420" w:firstLineChars="200"/>
              <w:jc w:val="left"/>
              <w:textAlignment w:val="bottom"/>
              <w:rPr>
                <w:rFonts w:ascii="宋体" w:hAnsi="宋体" w:cs="宋体"/>
                <w:szCs w:val="21"/>
              </w:rPr>
            </w:pPr>
            <w:r>
              <w:rPr>
                <w:rFonts w:hint="eastAsia" w:ascii="宋体" w:hAnsi="宋体" w:cs="宋体"/>
                <w:szCs w:val="21"/>
              </w:rPr>
              <w:t>4、仅提供备份投标文件的。</w:t>
            </w:r>
          </w:p>
          <w:p>
            <w:pPr>
              <w:spacing w:line="360" w:lineRule="auto"/>
              <w:ind w:firstLine="420" w:firstLineChars="200"/>
              <w:rPr>
                <w:rFonts w:ascii="宋体" w:hAnsi="宋体" w:cs="宋体"/>
                <w:b/>
                <w:kern w:val="0"/>
                <w:szCs w:val="21"/>
              </w:rPr>
            </w:pPr>
            <w:r>
              <w:rPr>
                <w:rFonts w:hint="eastAsia" w:ascii="宋体" w:hAnsi="宋体" w:cs="宋体"/>
                <w:szCs w:val="21"/>
              </w:rPr>
              <w:t>当发生解密失败或未按时解密的，响应人提供了备份投标文件的，以备份投标文件为依据，否则视为投标文件撤回。投标文件已按时解密的，备份投标文件自动失效。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trPr>
        <w:tc>
          <w:tcPr>
            <w:tcW w:w="626"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13</w:t>
            </w:r>
          </w:p>
        </w:tc>
        <w:tc>
          <w:tcPr>
            <w:tcW w:w="1743"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演示视频递交</w:t>
            </w:r>
          </w:p>
        </w:tc>
        <w:tc>
          <w:tcPr>
            <w:tcW w:w="7656" w:type="dxa"/>
            <w:shd w:val="clear" w:color="auto" w:fill="FFFFFF"/>
            <w:vAlign w:val="center"/>
          </w:tcPr>
          <w:p>
            <w:pPr>
              <w:pStyle w:val="9"/>
              <w:spacing w:after="0" w:line="360" w:lineRule="auto"/>
              <w:rPr>
                <w:rFonts w:ascii="宋体" w:hAnsi="宋体" w:eastAsia="宋体" w:cs="宋体"/>
                <w:b/>
                <w:sz w:val="21"/>
                <w:szCs w:val="21"/>
              </w:rPr>
            </w:pPr>
            <w:r>
              <w:rPr>
                <w:rFonts w:hint="eastAsia" w:ascii="宋体" w:hAnsi="宋体" w:eastAsia="宋体" w:cs="宋体"/>
                <w:b/>
                <w:sz w:val="21"/>
                <w:szCs w:val="21"/>
              </w:rPr>
              <w:t>1、响应人需进行录屏演示，如录屏演示不清晰影响后续评审，响应人自行承担风险。</w:t>
            </w:r>
          </w:p>
          <w:p>
            <w:pPr>
              <w:spacing w:line="360" w:lineRule="auto"/>
              <w:rPr>
                <w:rFonts w:ascii="宋体" w:hAnsi="宋体" w:cs="宋体"/>
                <w:szCs w:val="21"/>
              </w:rPr>
            </w:pPr>
            <w:r>
              <w:rPr>
                <w:rFonts w:hint="eastAsia" w:ascii="宋体" w:hAnsi="宋体" w:cs="宋体"/>
                <w:b/>
                <w:szCs w:val="21"/>
              </w:rPr>
              <w:t>2、响应人将视频存储于u盘中，于</w:t>
            </w:r>
            <w:r>
              <w:rPr>
                <w:rFonts w:hint="eastAsia" w:ascii="宋体" w:hAnsi="宋体" w:cs="宋体"/>
                <w:b/>
                <w:szCs w:val="21"/>
                <w:lang w:eastAsia="zh-CN"/>
              </w:rPr>
              <w:t>2024年5月31日</w:t>
            </w:r>
            <w:r>
              <w:rPr>
                <w:rFonts w:hint="eastAsia" w:ascii="宋体" w:hAnsi="宋体" w:cs="宋体"/>
                <w:b/>
                <w:szCs w:val="21"/>
              </w:rPr>
              <w:t>1</w:t>
            </w:r>
            <w:r>
              <w:rPr>
                <w:rFonts w:hint="eastAsia" w:ascii="宋体" w:hAnsi="宋体" w:cs="宋体"/>
                <w:b/>
                <w:szCs w:val="21"/>
                <w:lang w:val="en-US" w:eastAsia="zh-CN"/>
              </w:rPr>
              <w:t>7</w:t>
            </w:r>
            <w:r>
              <w:rPr>
                <w:rFonts w:hint="eastAsia" w:ascii="宋体" w:hAnsi="宋体" w:cs="宋体"/>
                <w:b/>
                <w:szCs w:val="21"/>
              </w:rPr>
              <w:t>:00（北京时间）前通过邮寄或派人递送的方式送交到采购代理机构处（地址：</w:t>
            </w:r>
            <w:r>
              <w:rPr>
                <w:rFonts w:hint="eastAsia" w:ascii="宋体" w:hAnsi="宋体" w:cs="宋体"/>
                <w:b/>
                <w:szCs w:val="21"/>
                <w:lang w:eastAsia="zh-CN"/>
              </w:rPr>
              <w:t>浙江省舟山市定海区港岛路98号高智大厦1303室</w:t>
            </w:r>
            <w:r>
              <w:rPr>
                <w:rFonts w:hint="eastAsia" w:ascii="宋体" w:hAnsi="宋体" w:cs="宋体"/>
                <w:b/>
                <w:szCs w:val="21"/>
              </w:rPr>
              <w:t>；联系人：</w:t>
            </w:r>
            <w:r>
              <w:rPr>
                <w:rFonts w:hint="eastAsia" w:ascii="宋体" w:hAnsi="宋体" w:cs="宋体"/>
                <w:b/>
                <w:szCs w:val="21"/>
                <w:lang w:val="en-US" w:eastAsia="zh-CN"/>
              </w:rPr>
              <w:t>尹思寒</w:t>
            </w:r>
            <w:r>
              <w:rPr>
                <w:rFonts w:hint="eastAsia" w:ascii="宋体" w:hAnsi="宋体" w:cs="宋体"/>
                <w:b/>
                <w:szCs w:val="21"/>
              </w:rPr>
              <w:t>；联系方式：</w:t>
            </w:r>
            <w:r>
              <w:rPr>
                <w:rFonts w:hint="eastAsia" w:ascii="宋体" w:hAnsi="宋体" w:cs="宋体"/>
                <w:b/>
                <w:szCs w:val="21"/>
                <w:lang w:eastAsia="zh-CN"/>
              </w:rPr>
              <w:t>0580-8177988</w:t>
            </w:r>
            <w:r>
              <w:rPr>
                <w:rFonts w:hint="eastAsia" w:ascii="宋体" w:hAnsi="宋体" w:cs="宋体"/>
                <w:b/>
                <w:szCs w:val="21"/>
              </w:rPr>
              <w:t>），也可以在开标时间前送至开标地点，未按时送达的自行承担风险。演示视频须密封完好，并注明响应人单位名称。响应人未按规定递交的演示视频，采购人有权拒收。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trPr>
        <w:tc>
          <w:tcPr>
            <w:tcW w:w="626"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14</w:t>
            </w:r>
          </w:p>
        </w:tc>
        <w:tc>
          <w:tcPr>
            <w:tcW w:w="1743" w:type="dxa"/>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投标文件提交截止时间及开标时间</w:t>
            </w:r>
          </w:p>
        </w:tc>
        <w:tc>
          <w:tcPr>
            <w:tcW w:w="7656" w:type="dxa"/>
            <w:shd w:val="clear" w:color="auto" w:fill="FFFFFF"/>
            <w:vAlign w:val="center"/>
          </w:tcPr>
          <w:p>
            <w:pPr>
              <w:spacing w:line="360" w:lineRule="auto"/>
              <w:jc w:val="left"/>
              <w:rPr>
                <w:rFonts w:ascii="宋体" w:hAnsi="宋体" w:cs="宋体"/>
                <w:b/>
                <w:szCs w:val="21"/>
              </w:rPr>
            </w:pPr>
            <w:r>
              <w:rPr>
                <w:rFonts w:hint="eastAsia" w:ascii="宋体" w:hAnsi="宋体" w:cs="宋体"/>
                <w:b/>
                <w:kern w:val="0"/>
                <w:szCs w:val="21"/>
                <w:lang w:eastAsia="zh-CN"/>
              </w:rPr>
              <w:t>2024年6月3日14:30</w:t>
            </w:r>
            <w:r>
              <w:rPr>
                <w:rFonts w:hint="eastAsia" w:ascii="宋体" w:hAnsi="宋体" w:cs="宋体"/>
                <w:b/>
                <w:szCs w:val="21"/>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CellSpacing w:w="7" w:type="dxa"/>
        </w:trPr>
        <w:tc>
          <w:tcPr>
            <w:tcW w:w="626" w:type="dxa"/>
            <w:vMerge w:val="restart"/>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15</w:t>
            </w:r>
          </w:p>
        </w:tc>
        <w:tc>
          <w:tcPr>
            <w:tcW w:w="1743" w:type="dxa"/>
            <w:vMerge w:val="restart"/>
            <w:shd w:val="clear" w:color="auto" w:fill="E0E0E0"/>
            <w:vAlign w:val="center"/>
          </w:tcPr>
          <w:p>
            <w:pPr>
              <w:spacing w:line="360" w:lineRule="auto"/>
              <w:jc w:val="center"/>
              <w:rPr>
                <w:rFonts w:ascii="宋体" w:hAnsi="宋体" w:cs="宋体"/>
                <w:b/>
                <w:szCs w:val="21"/>
              </w:rPr>
            </w:pPr>
            <w:r>
              <w:rPr>
                <w:rFonts w:hint="eastAsia" w:ascii="宋体" w:hAnsi="宋体" w:cs="宋体"/>
                <w:b/>
                <w:szCs w:val="21"/>
              </w:rPr>
              <w:t>中小企业</w:t>
            </w:r>
          </w:p>
          <w:p>
            <w:pPr>
              <w:spacing w:line="360" w:lineRule="auto"/>
              <w:jc w:val="center"/>
              <w:rPr>
                <w:rFonts w:ascii="宋体" w:hAnsi="宋体" w:cs="宋体"/>
                <w:b/>
                <w:szCs w:val="21"/>
              </w:rPr>
            </w:pPr>
            <w:r>
              <w:rPr>
                <w:rFonts w:hint="eastAsia" w:ascii="宋体" w:hAnsi="宋体" w:cs="宋体"/>
                <w:b/>
                <w:szCs w:val="21"/>
              </w:rPr>
              <w:t>扶持政策</w:t>
            </w:r>
          </w:p>
        </w:tc>
        <w:tc>
          <w:tcPr>
            <w:tcW w:w="7656" w:type="dxa"/>
            <w:shd w:val="clear" w:color="auto" w:fill="FFFFFF"/>
            <w:vAlign w:val="center"/>
          </w:tcPr>
          <w:p>
            <w:pPr>
              <w:spacing w:line="360" w:lineRule="auto"/>
              <w:jc w:val="left"/>
              <w:rPr>
                <w:rFonts w:ascii="宋体" w:hAnsi="宋体" w:cs="宋体"/>
                <w:b/>
                <w:kern w:val="0"/>
                <w:szCs w:val="21"/>
              </w:rPr>
            </w:pPr>
            <w:r>
              <w:rPr>
                <w:rFonts w:hint="eastAsia" w:ascii="宋体" w:hAnsi="宋体" w:cs="宋体"/>
                <w:b/>
                <w:kern w:val="0"/>
                <w:szCs w:val="21"/>
              </w:rPr>
              <w:t>本项目为专门面向中小企业采购的采购项目。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8" w:hRule="atLeast"/>
          <w:tblCellSpacing w:w="7" w:type="dxa"/>
        </w:trPr>
        <w:tc>
          <w:tcPr>
            <w:tcW w:w="626" w:type="dxa"/>
            <w:vMerge w:val="continue"/>
            <w:shd w:val="clear" w:color="auto" w:fill="E0E0E0"/>
            <w:vAlign w:val="center"/>
          </w:tcPr>
          <w:p>
            <w:pPr>
              <w:spacing w:line="360" w:lineRule="auto"/>
              <w:jc w:val="center"/>
              <w:rPr>
                <w:rFonts w:ascii="宋体" w:hAnsi="宋体" w:cs="宋体"/>
                <w:b/>
                <w:szCs w:val="21"/>
              </w:rPr>
            </w:pPr>
          </w:p>
        </w:tc>
        <w:tc>
          <w:tcPr>
            <w:tcW w:w="1743" w:type="dxa"/>
            <w:vMerge w:val="continue"/>
            <w:shd w:val="clear" w:color="auto" w:fill="E0E0E0"/>
            <w:vAlign w:val="center"/>
          </w:tcPr>
          <w:p>
            <w:pPr>
              <w:spacing w:line="360" w:lineRule="auto"/>
              <w:jc w:val="center"/>
              <w:rPr>
                <w:rFonts w:ascii="宋体" w:hAnsi="宋体" w:cs="宋体"/>
                <w:b/>
                <w:szCs w:val="21"/>
              </w:rPr>
            </w:pPr>
          </w:p>
        </w:tc>
        <w:tc>
          <w:tcPr>
            <w:tcW w:w="7656" w:type="dxa"/>
            <w:shd w:val="clear" w:color="auto" w:fill="FFFFFF"/>
            <w:vAlign w:val="center"/>
          </w:tcPr>
          <w:p>
            <w:pPr>
              <w:spacing w:line="360" w:lineRule="auto"/>
              <w:jc w:val="left"/>
              <w:rPr>
                <w:rFonts w:ascii="宋体" w:hAnsi="宋体" w:cs="宋体"/>
                <w:b/>
                <w:kern w:val="0"/>
                <w:szCs w:val="21"/>
              </w:rPr>
            </w:pPr>
            <w:r>
              <w:rPr>
                <w:rFonts w:hint="eastAsia" w:ascii="宋体" w:hAnsi="宋体" w:cs="宋体"/>
                <w:b/>
                <w:kern w:val="0"/>
                <w:szCs w:val="21"/>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trPr>
        <w:tc>
          <w:tcPr>
            <w:tcW w:w="626" w:type="dxa"/>
            <w:vMerge w:val="continue"/>
            <w:shd w:val="clear" w:color="auto" w:fill="E0E0E0"/>
            <w:vAlign w:val="center"/>
          </w:tcPr>
          <w:p>
            <w:pPr>
              <w:spacing w:line="360" w:lineRule="auto"/>
              <w:jc w:val="center"/>
              <w:rPr>
                <w:rFonts w:ascii="宋体" w:hAnsi="宋体" w:cs="宋体"/>
                <w:b/>
                <w:szCs w:val="21"/>
              </w:rPr>
            </w:pPr>
          </w:p>
        </w:tc>
        <w:tc>
          <w:tcPr>
            <w:tcW w:w="1743" w:type="dxa"/>
            <w:vMerge w:val="continue"/>
            <w:shd w:val="clear" w:color="auto" w:fill="E0E0E0"/>
            <w:vAlign w:val="center"/>
          </w:tcPr>
          <w:p>
            <w:pPr>
              <w:spacing w:line="360" w:lineRule="auto"/>
              <w:jc w:val="center"/>
              <w:rPr>
                <w:rFonts w:ascii="宋体" w:hAnsi="宋体" w:cs="宋体"/>
                <w:b/>
                <w:szCs w:val="21"/>
              </w:rPr>
            </w:pPr>
          </w:p>
        </w:tc>
        <w:tc>
          <w:tcPr>
            <w:tcW w:w="7656" w:type="dxa"/>
            <w:shd w:val="clear" w:color="auto" w:fill="FFFFFF"/>
            <w:vAlign w:val="center"/>
          </w:tcPr>
          <w:p>
            <w:pPr>
              <w:spacing w:line="300" w:lineRule="auto"/>
              <w:jc w:val="left"/>
              <w:rPr>
                <w:rFonts w:ascii="宋体" w:hAnsi="宋体" w:cs="宋体"/>
                <w:b/>
                <w:bCs/>
                <w:szCs w:val="21"/>
              </w:rPr>
            </w:pPr>
            <w:r>
              <w:rPr>
                <w:rFonts w:hint="eastAsia" w:ascii="宋体" w:hAnsi="宋体" w:cs="宋体"/>
                <w:b/>
                <w:bCs/>
                <w:szCs w:val="21"/>
              </w:rPr>
              <w:t>本项目不允许转包。</w:t>
            </w:r>
          </w:p>
          <w:p>
            <w:pPr>
              <w:spacing w:line="360" w:lineRule="auto"/>
              <w:jc w:val="left"/>
              <w:rPr>
                <w:rFonts w:ascii="宋体" w:hAnsi="宋体" w:cs="宋体"/>
                <w:b/>
                <w:kern w:val="0"/>
                <w:szCs w:val="21"/>
              </w:rPr>
            </w:pPr>
            <w:r>
              <w:rPr>
                <w:rFonts w:hint="eastAsia" w:ascii="宋体" w:hAnsi="宋体" w:cs="宋体"/>
                <w:b/>
                <w:bCs/>
                <w:szCs w:val="21"/>
              </w:rPr>
              <w:t>本项目不允许分包。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tblCellSpacing w:w="7" w:type="dxa"/>
        </w:trPr>
        <w:tc>
          <w:tcPr>
            <w:tcW w:w="626" w:type="dxa"/>
            <w:vMerge w:val="continue"/>
            <w:shd w:val="clear" w:color="auto" w:fill="E0E0E0"/>
            <w:vAlign w:val="center"/>
          </w:tcPr>
          <w:p>
            <w:pPr>
              <w:spacing w:line="360" w:lineRule="auto"/>
              <w:jc w:val="center"/>
              <w:rPr>
                <w:rFonts w:ascii="宋体" w:hAnsi="宋体" w:cs="宋体"/>
                <w:b/>
                <w:szCs w:val="21"/>
              </w:rPr>
            </w:pPr>
          </w:p>
        </w:tc>
        <w:tc>
          <w:tcPr>
            <w:tcW w:w="1743" w:type="dxa"/>
            <w:vMerge w:val="continue"/>
            <w:shd w:val="clear" w:color="auto" w:fill="E0E0E0"/>
            <w:vAlign w:val="center"/>
          </w:tcPr>
          <w:p>
            <w:pPr>
              <w:spacing w:line="360" w:lineRule="auto"/>
              <w:jc w:val="center"/>
              <w:rPr>
                <w:rFonts w:ascii="宋体" w:hAnsi="宋体" w:cs="宋体"/>
                <w:b/>
                <w:szCs w:val="21"/>
              </w:rPr>
            </w:pPr>
          </w:p>
        </w:tc>
        <w:tc>
          <w:tcPr>
            <w:tcW w:w="7656" w:type="dxa"/>
            <w:shd w:val="clear" w:color="auto" w:fill="FFFFFF"/>
            <w:vAlign w:val="center"/>
          </w:tcPr>
          <w:p>
            <w:pPr>
              <w:spacing w:line="360" w:lineRule="auto"/>
              <w:jc w:val="left"/>
              <w:rPr>
                <w:rFonts w:ascii="宋体" w:hAnsi="宋体" w:cs="宋体"/>
                <w:b/>
                <w:kern w:val="0"/>
                <w:szCs w:val="21"/>
              </w:rPr>
            </w:pPr>
            <w:r>
              <w:rPr>
                <w:rFonts w:hint="eastAsia" w:ascii="宋体" w:hAnsi="宋体" w:cs="宋体"/>
                <w:b/>
                <w:kern w:val="0"/>
                <w:szCs w:val="21"/>
              </w:rPr>
              <w:t>本项目采购标的对应的中小企业划分标准所属行业：软件和信息技术服务业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2" w:hRule="atLeast"/>
          <w:tblCellSpacing w:w="7" w:type="dxa"/>
        </w:trPr>
        <w:tc>
          <w:tcPr>
            <w:tcW w:w="626" w:type="dxa"/>
            <w:vMerge w:val="continue"/>
            <w:shd w:val="clear" w:color="auto" w:fill="E0E0E0"/>
            <w:vAlign w:val="center"/>
          </w:tcPr>
          <w:p>
            <w:pPr>
              <w:spacing w:line="360" w:lineRule="auto"/>
              <w:jc w:val="center"/>
              <w:rPr>
                <w:rFonts w:ascii="宋体" w:hAnsi="宋体" w:cs="宋体"/>
                <w:b/>
                <w:szCs w:val="21"/>
              </w:rPr>
            </w:pPr>
          </w:p>
        </w:tc>
        <w:tc>
          <w:tcPr>
            <w:tcW w:w="1743" w:type="dxa"/>
            <w:vMerge w:val="continue"/>
            <w:shd w:val="clear" w:color="auto" w:fill="E0E0E0"/>
            <w:vAlign w:val="center"/>
          </w:tcPr>
          <w:p>
            <w:pPr>
              <w:spacing w:line="360" w:lineRule="auto"/>
              <w:jc w:val="center"/>
              <w:rPr>
                <w:rFonts w:ascii="宋体" w:hAnsi="宋体" w:cs="宋体"/>
                <w:b/>
                <w:szCs w:val="21"/>
              </w:rPr>
            </w:pPr>
          </w:p>
        </w:tc>
        <w:tc>
          <w:tcPr>
            <w:tcW w:w="7656" w:type="dxa"/>
            <w:shd w:val="clear" w:color="auto" w:fill="FFFFFF"/>
            <w:vAlign w:val="center"/>
          </w:tcPr>
          <w:p>
            <w:pPr>
              <w:spacing w:line="360" w:lineRule="auto"/>
              <w:jc w:val="left"/>
              <w:rPr>
                <w:rFonts w:ascii="宋体" w:hAnsi="宋体" w:cs="宋体"/>
                <w:b/>
                <w:kern w:val="0"/>
                <w:szCs w:val="21"/>
              </w:rPr>
            </w:pPr>
            <w:r>
              <w:rPr>
                <w:rFonts w:hint="eastAsia" w:ascii="宋体" w:hAnsi="宋体" w:cs="宋体"/>
                <w:b/>
                <w:kern w:val="0"/>
                <w:szCs w:val="21"/>
              </w:rPr>
              <w:t>本项目为服务类采购项目。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trPr>
        <w:tc>
          <w:tcPr>
            <w:tcW w:w="626" w:type="dxa"/>
            <w:vMerge w:val="continue"/>
            <w:shd w:val="clear" w:color="auto" w:fill="E0E0E0"/>
            <w:vAlign w:val="center"/>
          </w:tcPr>
          <w:p>
            <w:pPr>
              <w:spacing w:line="360" w:lineRule="auto"/>
              <w:jc w:val="center"/>
              <w:rPr>
                <w:rFonts w:ascii="宋体" w:hAnsi="宋体" w:cs="宋体"/>
                <w:b/>
                <w:szCs w:val="21"/>
              </w:rPr>
            </w:pPr>
          </w:p>
        </w:tc>
        <w:tc>
          <w:tcPr>
            <w:tcW w:w="1743" w:type="dxa"/>
            <w:vMerge w:val="continue"/>
            <w:shd w:val="clear" w:color="auto" w:fill="E0E0E0"/>
            <w:vAlign w:val="center"/>
          </w:tcPr>
          <w:p>
            <w:pPr>
              <w:spacing w:line="360" w:lineRule="auto"/>
              <w:jc w:val="center"/>
              <w:rPr>
                <w:rFonts w:ascii="宋体" w:hAnsi="宋体" w:cs="宋体"/>
                <w:b/>
                <w:szCs w:val="21"/>
              </w:rPr>
            </w:pPr>
          </w:p>
        </w:tc>
        <w:tc>
          <w:tcPr>
            <w:tcW w:w="7656" w:type="dxa"/>
            <w:shd w:val="clear" w:color="auto" w:fill="FFFFFF"/>
            <w:vAlign w:val="center"/>
          </w:tcPr>
          <w:p>
            <w:pPr>
              <w:spacing w:line="360" w:lineRule="auto"/>
              <w:jc w:val="left"/>
              <w:rPr>
                <w:rFonts w:ascii="宋体" w:hAnsi="宋体" w:cs="宋体"/>
                <w:b/>
                <w:kern w:val="0"/>
                <w:szCs w:val="21"/>
              </w:rPr>
            </w:pPr>
            <w:r>
              <w:rPr>
                <w:rFonts w:hint="eastAsia" w:ascii="宋体" w:hAnsi="宋体" w:cs="宋体"/>
                <w:b/>
                <w:kern w:val="0"/>
                <w:szCs w:val="21"/>
              </w:rPr>
              <w:t>根据《政府采购促进中小企业发展管理办法》（财库[2020]46号）规定：</w:t>
            </w:r>
          </w:p>
          <w:p>
            <w:pPr>
              <w:spacing w:line="360" w:lineRule="auto"/>
              <w:jc w:val="left"/>
              <w:rPr>
                <w:rFonts w:ascii="宋体" w:hAnsi="宋体" w:cs="宋体"/>
                <w:b/>
                <w:kern w:val="0"/>
                <w:szCs w:val="21"/>
              </w:rPr>
            </w:pPr>
            <w:r>
              <w:rPr>
                <w:rFonts w:hint="eastAsia" w:ascii="宋体" w:hAnsi="宋体" w:cs="宋体"/>
                <w:b/>
                <w:kern w:val="0"/>
                <w:szCs w:val="21"/>
              </w:rPr>
              <w:t xml:space="preserve">1、本办法所称中小企业，是指在中华人民共和国境内依法设立，依据国务院批准的中小企业划分标准确定的中型企业、小型企业和微型企业，但与大企业的负责人为同一人，或者与大企业存在直接控股、管理关系的除外。 </w:t>
            </w:r>
          </w:p>
          <w:p>
            <w:pPr>
              <w:spacing w:line="360" w:lineRule="auto"/>
              <w:jc w:val="left"/>
              <w:rPr>
                <w:rFonts w:ascii="宋体" w:hAnsi="宋体" w:cs="宋体"/>
                <w:b/>
                <w:kern w:val="0"/>
                <w:szCs w:val="21"/>
              </w:rPr>
            </w:pPr>
            <w:r>
              <w:rPr>
                <w:rFonts w:hint="eastAsia" w:ascii="宋体" w:hAnsi="宋体" w:cs="宋体"/>
                <w:b/>
                <w:kern w:val="0"/>
                <w:szCs w:val="21"/>
              </w:rPr>
              <w:t>符合中小企业划分标准的个体工商户，在政府采购活动中视同中小企业。</w:t>
            </w:r>
          </w:p>
          <w:p>
            <w:pPr>
              <w:spacing w:line="360" w:lineRule="auto"/>
              <w:jc w:val="left"/>
              <w:rPr>
                <w:rFonts w:ascii="宋体" w:hAnsi="宋体" w:cs="宋体"/>
                <w:b/>
                <w:kern w:val="0"/>
                <w:szCs w:val="21"/>
              </w:rPr>
            </w:pPr>
            <w:r>
              <w:rPr>
                <w:rFonts w:hint="eastAsia" w:ascii="宋体" w:hAnsi="宋体" w:cs="宋体"/>
                <w:b/>
                <w:kern w:val="0"/>
                <w:szCs w:val="21"/>
              </w:rPr>
              <w:t>2、在政府采购活动中，供应商提供的货物、工程或者服务符合下列情形的，享受本办法规定的中小企业扶持政策：</w:t>
            </w:r>
          </w:p>
          <w:p>
            <w:pPr>
              <w:spacing w:line="360" w:lineRule="auto"/>
              <w:jc w:val="left"/>
              <w:rPr>
                <w:rFonts w:ascii="宋体" w:hAnsi="宋体" w:cs="宋体"/>
                <w:b/>
                <w:kern w:val="0"/>
                <w:szCs w:val="21"/>
              </w:rPr>
            </w:pPr>
            <w:r>
              <w:rPr>
                <w:rFonts w:hint="eastAsia" w:ascii="宋体" w:hAnsi="宋体" w:cs="宋体"/>
                <w:b/>
                <w:kern w:val="0"/>
                <w:szCs w:val="21"/>
              </w:rPr>
              <w:t xml:space="preserve">（1）在货物采购项目中，货物由中小企业制造，即货物由中小企业生产且使用该中小企业商号或者注册商标； </w:t>
            </w:r>
          </w:p>
          <w:p>
            <w:pPr>
              <w:spacing w:line="360" w:lineRule="auto"/>
              <w:jc w:val="left"/>
              <w:rPr>
                <w:rFonts w:ascii="宋体" w:hAnsi="宋体" w:cs="宋体"/>
                <w:b/>
                <w:kern w:val="0"/>
                <w:szCs w:val="21"/>
              </w:rPr>
            </w:pPr>
            <w:r>
              <w:rPr>
                <w:rFonts w:hint="eastAsia" w:ascii="宋体" w:hAnsi="宋体" w:cs="宋体"/>
                <w:b/>
                <w:kern w:val="0"/>
                <w:szCs w:val="21"/>
              </w:rPr>
              <w:t xml:space="preserve">（2）在工程采购项目中，工程由中小企业承建，即工程施工单位为中小企业； </w:t>
            </w:r>
          </w:p>
          <w:p>
            <w:pPr>
              <w:spacing w:line="360" w:lineRule="auto"/>
              <w:jc w:val="left"/>
              <w:rPr>
                <w:rFonts w:ascii="宋体" w:hAnsi="宋体" w:cs="宋体"/>
                <w:b/>
                <w:kern w:val="0"/>
                <w:szCs w:val="21"/>
              </w:rPr>
            </w:pPr>
            <w:r>
              <w:rPr>
                <w:rFonts w:hint="eastAsia" w:ascii="宋体" w:hAnsi="宋体" w:cs="宋体"/>
                <w:b/>
                <w:kern w:val="0"/>
                <w:szCs w:val="21"/>
              </w:rPr>
              <w:t xml:space="preserve">（3）在服务采购项目中，服务由中小企业承接，即提供服务的人员为中小企业依照《中华人民共和国劳动合同法》订立劳动合同的从业人员。 </w:t>
            </w:r>
          </w:p>
          <w:p>
            <w:pPr>
              <w:spacing w:line="360" w:lineRule="auto"/>
              <w:jc w:val="left"/>
              <w:rPr>
                <w:rFonts w:ascii="宋体" w:hAnsi="宋体" w:cs="宋体"/>
                <w:b/>
                <w:kern w:val="0"/>
                <w:szCs w:val="21"/>
              </w:rPr>
            </w:pPr>
            <w:r>
              <w:rPr>
                <w:rFonts w:hint="eastAsia" w:ascii="宋体" w:hAnsi="宋体" w:cs="宋体"/>
                <w:b/>
                <w:kern w:val="0"/>
                <w:szCs w:val="21"/>
              </w:rPr>
              <w:t>在货物采购项目中，供应商提供的货物既有中小企业制造货物，也有大型企业制造货物的，不享受本办法规定的中小企业扶持政策。</w:t>
            </w:r>
          </w:p>
          <w:p>
            <w:pPr>
              <w:spacing w:line="360" w:lineRule="auto"/>
              <w:jc w:val="left"/>
              <w:rPr>
                <w:rFonts w:ascii="宋体" w:hAnsi="宋体" w:cs="宋体"/>
                <w:b/>
                <w:kern w:val="0"/>
                <w:szCs w:val="21"/>
              </w:rPr>
            </w:pPr>
            <w:r>
              <w:rPr>
                <w:rFonts w:hint="eastAsia" w:ascii="宋体" w:hAnsi="宋体" w:cs="宋体"/>
                <w:b/>
                <w:kern w:val="0"/>
                <w:szCs w:val="21"/>
              </w:rPr>
              <w:t>3、在政府采购活动中，监狱企业、残疾人福利性单位视同小型、微型企业，享受本办法规定的中小企业扶持政策；监狱企业、残疾人福利性单位属于小型、微型企业的，不重复享受政策。</w:t>
            </w:r>
          </w:p>
          <w:p>
            <w:pPr>
              <w:spacing w:line="360" w:lineRule="auto"/>
              <w:jc w:val="left"/>
              <w:rPr>
                <w:rFonts w:ascii="宋体" w:hAnsi="宋体" w:cs="宋体"/>
                <w:b/>
                <w:kern w:val="0"/>
                <w:szCs w:val="21"/>
              </w:rPr>
            </w:pPr>
            <w:r>
              <w:rPr>
                <w:rFonts w:hint="eastAsia" w:ascii="宋体" w:hAnsi="宋体" w:cs="宋体"/>
                <w:b/>
                <w:kern w:val="0"/>
                <w:szCs w:val="21"/>
              </w:rPr>
              <w:t>本项目中小企业扶持政策：</w:t>
            </w:r>
          </w:p>
          <w:p>
            <w:pPr>
              <w:spacing w:line="300" w:lineRule="auto"/>
              <w:jc w:val="left"/>
              <w:rPr>
                <w:rFonts w:ascii="宋体" w:hAnsi="宋体" w:cs="宋体"/>
                <w:b/>
                <w:kern w:val="0"/>
                <w:szCs w:val="21"/>
              </w:rPr>
            </w:pPr>
            <w:r>
              <w:rPr>
                <w:rFonts w:hint="eastAsia" w:ascii="宋体" w:hAnsi="宋体" w:cs="宋体"/>
                <w:b/>
                <w:kern w:val="0"/>
                <w:szCs w:val="21"/>
              </w:rPr>
              <w:t>本项目专门面向中小企业采购，供应商应为中小企业（监狱企业、残疾人福利性单位视同小型、微型企业）：</w:t>
            </w:r>
          </w:p>
          <w:p>
            <w:pPr>
              <w:spacing w:line="360" w:lineRule="auto"/>
              <w:jc w:val="left"/>
              <w:rPr>
                <w:rFonts w:ascii="宋体" w:hAnsi="宋体" w:cs="宋体"/>
                <w:b/>
                <w:kern w:val="0"/>
                <w:szCs w:val="21"/>
              </w:rPr>
            </w:pPr>
            <w:r>
              <w:rPr>
                <w:rFonts w:hint="eastAsia" w:ascii="宋体" w:hAnsi="宋体" w:cs="宋体"/>
                <w:b/>
                <w:kern w:val="0"/>
                <w:szCs w:val="21"/>
              </w:rPr>
              <w:t>（1）中小企业须提供《中小企业声明函》，附在资格证明文件内，否则不享受预留份额政策；</w:t>
            </w:r>
          </w:p>
          <w:p>
            <w:pPr>
              <w:spacing w:line="360" w:lineRule="auto"/>
              <w:jc w:val="left"/>
              <w:rPr>
                <w:rFonts w:ascii="宋体" w:hAnsi="宋体" w:cs="宋体"/>
                <w:b/>
                <w:kern w:val="0"/>
                <w:szCs w:val="21"/>
              </w:rPr>
            </w:pPr>
            <w:r>
              <w:rPr>
                <w:rFonts w:hint="eastAsia" w:ascii="宋体" w:hAnsi="宋体" w:cs="宋体"/>
                <w:b/>
                <w:kern w:val="0"/>
                <w:szCs w:val="21"/>
              </w:rPr>
              <w:t>（2）监狱企业须提供由省级以上监狱管理局、戒毒管理局（含新疆生产建设兵团）出具的属于监狱企业的证明文件，附在资格证明文件内，否则不享受预留份额政策；</w:t>
            </w:r>
          </w:p>
          <w:p>
            <w:pPr>
              <w:spacing w:line="360" w:lineRule="auto"/>
              <w:jc w:val="left"/>
              <w:rPr>
                <w:rFonts w:ascii="宋体" w:hAnsi="宋体" w:cs="宋体"/>
                <w:b/>
                <w:kern w:val="0"/>
                <w:szCs w:val="21"/>
              </w:rPr>
            </w:pPr>
            <w:r>
              <w:rPr>
                <w:rFonts w:hint="eastAsia" w:ascii="宋体" w:hAnsi="宋体" w:cs="宋体"/>
                <w:b/>
                <w:kern w:val="0"/>
                <w:szCs w:val="21"/>
              </w:rPr>
              <w:t xml:space="preserve">（3）残疾人福利性单位须提供《残疾人福利性单位声明函》，附在资格证明文件内，否则不享受预留份额政策。 </w:t>
            </w:r>
          </w:p>
        </w:tc>
      </w:tr>
    </w:tbl>
    <w:p>
      <w:pPr>
        <w:rPr>
          <w:rFonts w:ascii="宋体" w:hAnsi="宋体" w:cs="宋体"/>
          <w:b/>
          <w:szCs w:val="21"/>
        </w:rPr>
      </w:pPr>
    </w:p>
    <w:p>
      <w:pPr>
        <w:jc w:val="center"/>
        <w:outlineLvl w:val="1"/>
        <w:rPr>
          <w:rFonts w:ascii="宋体" w:hAnsi="宋体" w:cs="宋体"/>
          <w:b/>
          <w:szCs w:val="21"/>
        </w:rPr>
      </w:pPr>
      <w:r>
        <w:rPr>
          <w:rFonts w:hint="eastAsia" w:ascii="宋体" w:hAnsi="宋体" w:cs="宋体"/>
          <w:b/>
          <w:szCs w:val="21"/>
        </w:rPr>
        <w:t>一、总  则</w:t>
      </w:r>
    </w:p>
    <w:p>
      <w:pPr>
        <w:pStyle w:val="14"/>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（一）适用范围</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本磋商文件适用于本次项目的评标、定标、验收、合同履约、付款等（法律、法规另有规定的，从其规定）。</w:t>
      </w:r>
    </w:p>
    <w:p>
      <w:pPr>
        <w:snapToGrid w:val="0"/>
        <w:spacing w:line="360" w:lineRule="auto"/>
        <w:ind w:firstLine="422" w:firstLineChars="200"/>
        <w:rPr>
          <w:rFonts w:ascii="宋体" w:hAnsi="宋体" w:cs="宋体"/>
          <w:b/>
          <w:szCs w:val="21"/>
        </w:rPr>
      </w:pPr>
      <w:r>
        <w:rPr>
          <w:rFonts w:hint="eastAsia" w:ascii="宋体" w:hAnsi="宋体" w:cs="宋体"/>
          <w:b/>
          <w:szCs w:val="21"/>
        </w:rPr>
        <w:t>（二）定义</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1、“采购人”系指组织本次采购的单位</w:t>
      </w:r>
      <w:r>
        <w:rPr>
          <w:rFonts w:hint="eastAsia" w:hAnsi="宋体" w:eastAsia="宋体" w:cs="宋体"/>
          <w:sz w:val="21"/>
          <w:szCs w:val="21"/>
          <w:highlight w:val="none"/>
        </w:rPr>
        <w:t>：</w:t>
      </w:r>
      <w:r>
        <w:rPr>
          <w:rFonts w:hint="eastAsia" w:hAnsi="宋体" w:eastAsia="宋体" w:cs="宋体"/>
          <w:sz w:val="21"/>
          <w:szCs w:val="21"/>
          <w:highlight w:val="none"/>
          <w:lang w:eastAsia="zh-CN"/>
        </w:rPr>
        <w:t>岱山县经济和信息化局</w:t>
      </w:r>
      <w:r>
        <w:rPr>
          <w:rFonts w:hint="eastAsia" w:hAnsi="宋体" w:eastAsia="宋体" w:cs="宋体"/>
          <w:sz w:val="21"/>
          <w:szCs w:val="21"/>
          <w:highlight w:val="none"/>
        </w:rPr>
        <w:t>。</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2、“招标代理机构”系指</w:t>
      </w:r>
      <w:r>
        <w:rPr>
          <w:rFonts w:hint="eastAsia" w:hAnsi="宋体" w:eastAsia="宋体" w:cs="宋体"/>
          <w:sz w:val="21"/>
          <w:szCs w:val="21"/>
          <w:lang w:eastAsia="zh-CN"/>
        </w:rPr>
        <w:t>浙江天勤信息技术监理有限公司</w:t>
      </w:r>
      <w:r>
        <w:rPr>
          <w:rFonts w:hint="eastAsia" w:hAnsi="宋体" w:eastAsia="宋体" w:cs="宋体"/>
          <w:sz w:val="21"/>
          <w:szCs w:val="21"/>
        </w:rPr>
        <w:t>。</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3、“响应人”系指向招标代理机构提交响应文件的供应商。</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4、“成交人”系指经磋商小组评定，且审查通过，并经公示无异议的合格响应人。</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5、“响应人代表”系指全权代表响应人参加本次磋商活动并签署响应文件的人，如果响应人代表不是响应人的法定代表人，须提供《法定代表人授权函》。</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6、“产品”系指按磋商文件规定，须向采购人提供的一切产品、保险、税金、备品备件、工具、手册及其它有关技术资料和材料。</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7、“服务”系指磋商文件规定响应人须承担的须承担的安装、调试、技术协助、校准、培训、数据服务以及其他类似的义务。</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8、“项目”系指响应人按磋商文件规定向采购人提供的产品和服务。</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9、“书面形式”包括信函、传真、快递、电报等。</w:t>
      </w:r>
    </w:p>
    <w:p>
      <w:pPr>
        <w:snapToGrid w:val="0"/>
        <w:spacing w:line="360" w:lineRule="auto"/>
        <w:ind w:firstLine="422" w:firstLineChars="200"/>
        <w:outlineLvl w:val="9"/>
        <w:rPr>
          <w:rFonts w:ascii="宋体" w:hAnsi="宋体" w:cs="宋体"/>
          <w:b/>
          <w:szCs w:val="21"/>
        </w:rPr>
      </w:pPr>
      <w:r>
        <w:rPr>
          <w:rFonts w:hint="eastAsia" w:ascii="宋体" w:hAnsi="宋体" w:cs="宋体"/>
          <w:b/>
          <w:szCs w:val="21"/>
        </w:rPr>
        <w:t>（三）采购方式</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本次采用竞争性磋商方式进行。</w:t>
      </w:r>
    </w:p>
    <w:p>
      <w:pPr>
        <w:pStyle w:val="14"/>
        <w:snapToGrid w:val="0"/>
        <w:spacing w:line="360" w:lineRule="auto"/>
        <w:ind w:firstLine="422" w:firstLineChars="200"/>
        <w:rPr>
          <w:rFonts w:hint="default" w:hAnsi="宋体" w:eastAsia="宋体" w:cs="宋体"/>
          <w:b/>
          <w:sz w:val="21"/>
          <w:szCs w:val="21"/>
          <w:lang w:val="en-US" w:eastAsia="zh-CN"/>
        </w:rPr>
      </w:pPr>
      <w:r>
        <w:rPr>
          <w:rFonts w:hint="eastAsia" w:hAnsi="宋体" w:eastAsia="宋体" w:cs="宋体"/>
          <w:b/>
          <w:sz w:val="21"/>
          <w:szCs w:val="21"/>
        </w:rPr>
        <w:t>（四）</w:t>
      </w:r>
      <w:r>
        <w:rPr>
          <w:rFonts w:hint="eastAsia" w:hAnsi="宋体" w:eastAsia="宋体" w:cs="宋体"/>
          <w:b/>
          <w:sz w:val="21"/>
          <w:szCs w:val="21"/>
          <w:lang w:val="en-US" w:eastAsia="zh-CN"/>
        </w:rPr>
        <w:t>预算金额</w:t>
      </w:r>
    </w:p>
    <w:p>
      <w:pPr>
        <w:shd w:val="clear"/>
        <w:snapToGrid w:val="0"/>
        <w:spacing w:line="360" w:lineRule="auto"/>
        <w:ind w:firstLine="422" w:firstLineChars="200"/>
        <w:rPr>
          <w:rFonts w:hint="eastAsia" w:ascii="宋体" w:hAnsi="宋体" w:cs="宋体"/>
          <w:b/>
          <w:szCs w:val="21"/>
        </w:rPr>
      </w:pPr>
      <w:r>
        <w:rPr>
          <w:rFonts w:hint="eastAsia" w:ascii="宋体" w:hAnsi="宋体" w:cs="宋体"/>
          <w:b/>
          <w:szCs w:val="21"/>
          <w:shd w:val="clear"/>
        </w:rPr>
        <w:t>本项目</w:t>
      </w:r>
      <w:r>
        <w:rPr>
          <w:rFonts w:hint="eastAsia" w:hAnsi="宋体" w:eastAsia="宋体" w:cs="宋体"/>
          <w:b/>
          <w:sz w:val="21"/>
          <w:szCs w:val="21"/>
          <w:lang w:val="en-US" w:eastAsia="zh-CN"/>
        </w:rPr>
        <w:t>预算金额</w:t>
      </w:r>
      <w:r>
        <w:rPr>
          <w:rFonts w:hint="eastAsia" w:ascii="宋体" w:hAnsi="宋体" w:cs="宋体"/>
          <w:b/>
          <w:szCs w:val="21"/>
          <w:shd w:val="clear"/>
          <w:lang w:val="en-US" w:eastAsia="zh-CN"/>
        </w:rPr>
        <w:t>1230000.00</w:t>
      </w:r>
      <w:r>
        <w:rPr>
          <w:rFonts w:hint="eastAsia" w:ascii="宋体" w:hAnsi="宋体" w:cs="宋体"/>
          <w:b/>
          <w:bCs/>
          <w:szCs w:val="21"/>
          <w:shd w:val="clear"/>
        </w:rPr>
        <w:t>元</w:t>
      </w:r>
      <w:r>
        <w:rPr>
          <w:rFonts w:hint="eastAsia" w:ascii="宋体" w:hAnsi="宋体" w:cs="宋体"/>
          <w:b/>
          <w:szCs w:val="21"/>
        </w:rPr>
        <w:t>，超过作投标无效处理。</w:t>
      </w:r>
    </w:p>
    <w:p>
      <w:pPr>
        <w:shd w:val="clear"/>
        <w:snapToGrid w:val="0"/>
        <w:spacing w:line="360" w:lineRule="auto"/>
        <w:ind w:firstLine="422" w:firstLineChars="200"/>
        <w:rPr>
          <w:rFonts w:ascii="宋体" w:hAnsi="宋体" w:cs="宋体"/>
          <w:b/>
          <w:szCs w:val="21"/>
        </w:rPr>
      </w:pPr>
      <w:r>
        <w:rPr>
          <w:rFonts w:hint="eastAsia" w:ascii="宋体" w:hAnsi="宋体" w:cs="宋体"/>
          <w:b/>
          <w:szCs w:val="21"/>
        </w:rPr>
        <w:t>（五）联合体投标</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不接受联合体投标。</w:t>
      </w:r>
    </w:p>
    <w:p>
      <w:pPr>
        <w:snapToGrid w:val="0"/>
        <w:spacing w:line="360" w:lineRule="auto"/>
        <w:ind w:firstLine="422" w:firstLineChars="200"/>
        <w:outlineLvl w:val="9"/>
        <w:rPr>
          <w:rFonts w:ascii="宋体" w:hAnsi="宋体" w:cs="宋体"/>
          <w:b/>
          <w:szCs w:val="21"/>
        </w:rPr>
      </w:pPr>
      <w:r>
        <w:rPr>
          <w:rFonts w:hint="eastAsia" w:ascii="宋体" w:hAnsi="宋体" w:cs="宋体"/>
          <w:b/>
          <w:szCs w:val="21"/>
        </w:rPr>
        <w:t>（六）转包与分包</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本项目不允许转包。</w:t>
      </w:r>
    </w:p>
    <w:p>
      <w:pPr>
        <w:pStyle w:val="14"/>
        <w:snapToGrid w:val="0"/>
        <w:spacing w:line="360" w:lineRule="auto"/>
        <w:ind w:firstLine="420" w:firstLineChars="200"/>
      </w:pPr>
      <w:r>
        <w:rPr>
          <w:rFonts w:hint="eastAsia" w:hAnsi="宋体" w:eastAsia="宋体" w:cs="宋体"/>
          <w:sz w:val="21"/>
          <w:szCs w:val="21"/>
        </w:rPr>
        <w:t>本项目不允许分包。</w:t>
      </w:r>
    </w:p>
    <w:p>
      <w:pPr>
        <w:snapToGrid w:val="0"/>
        <w:spacing w:line="360" w:lineRule="auto"/>
        <w:ind w:firstLine="422" w:firstLineChars="200"/>
        <w:outlineLvl w:val="9"/>
        <w:rPr>
          <w:rFonts w:ascii="宋体" w:hAnsi="宋体" w:cs="宋体"/>
          <w:b/>
          <w:szCs w:val="21"/>
        </w:rPr>
      </w:pPr>
      <w:r>
        <w:rPr>
          <w:rFonts w:hint="eastAsia" w:ascii="宋体" w:hAnsi="宋体" w:cs="宋体"/>
          <w:b/>
          <w:szCs w:val="21"/>
        </w:rPr>
        <w:t>（七）磋商相关费用</w:t>
      </w:r>
    </w:p>
    <w:p>
      <w:pPr>
        <w:snapToGrid w:val="0"/>
        <w:spacing w:line="360" w:lineRule="auto"/>
        <w:ind w:firstLine="420" w:firstLineChars="200"/>
        <w:rPr>
          <w:rFonts w:ascii="宋体" w:hAnsi="宋体" w:cs="宋体"/>
          <w:szCs w:val="21"/>
        </w:rPr>
      </w:pPr>
      <w:r>
        <w:rPr>
          <w:rFonts w:hint="eastAsia" w:ascii="宋体" w:hAnsi="宋体" w:cs="宋体"/>
          <w:szCs w:val="21"/>
        </w:rPr>
        <w:t>不论竞争性磋商结果如何，响应人均应自行承担所有与磋商响应有关的全部费用。</w:t>
      </w:r>
    </w:p>
    <w:p>
      <w:pPr>
        <w:pStyle w:val="14"/>
        <w:snapToGrid w:val="0"/>
        <w:spacing w:line="360" w:lineRule="auto"/>
        <w:ind w:firstLine="422" w:firstLineChars="200"/>
        <w:outlineLvl w:val="9"/>
        <w:rPr>
          <w:rFonts w:hAnsi="宋体" w:eastAsia="宋体" w:cs="宋体"/>
          <w:b/>
          <w:kern w:val="0"/>
          <w:sz w:val="21"/>
          <w:szCs w:val="21"/>
        </w:rPr>
      </w:pPr>
      <w:r>
        <w:rPr>
          <w:rFonts w:hint="eastAsia" w:hAnsi="宋体" w:eastAsia="宋体" w:cs="宋体"/>
          <w:b/>
          <w:kern w:val="0"/>
          <w:sz w:val="21"/>
          <w:szCs w:val="21"/>
        </w:rPr>
        <w:t>（八）答疑与澄清</w:t>
      </w:r>
    </w:p>
    <w:p>
      <w:pPr>
        <w:pStyle w:val="14"/>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outlineLvl w:val="9"/>
        <w:rPr>
          <w:rFonts w:hAnsi="宋体" w:eastAsia="宋体" w:cs="宋体"/>
          <w:kern w:val="0"/>
          <w:sz w:val="21"/>
          <w:szCs w:val="21"/>
        </w:rPr>
      </w:pPr>
      <w:r>
        <w:rPr>
          <w:rFonts w:hint="eastAsia" w:hAnsi="宋体" w:eastAsia="宋体" w:cs="宋体"/>
          <w:kern w:val="0"/>
          <w:sz w:val="21"/>
          <w:szCs w:val="21"/>
        </w:rPr>
        <w:t>响应人如认为磋商文件表述不清晰、存在歧视性、排他性或者其他违法内容的，应当于</w:t>
      </w:r>
      <w:r>
        <w:rPr>
          <w:rFonts w:hint="eastAsia" w:hAnsi="宋体" w:eastAsia="宋体" w:cs="宋体"/>
          <w:kern w:val="0"/>
          <w:sz w:val="21"/>
          <w:szCs w:val="21"/>
          <w:lang w:eastAsia="zh-CN"/>
        </w:rPr>
        <w:t>2024年5月27日17：00</w:t>
      </w:r>
      <w:r>
        <w:rPr>
          <w:rFonts w:hint="eastAsia" w:hAnsi="宋体" w:eastAsia="宋体" w:cs="宋体"/>
          <w:kern w:val="0"/>
          <w:sz w:val="21"/>
          <w:szCs w:val="21"/>
        </w:rPr>
        <w:t>前，以书面形式要求采购人作出书面解释、澄清或者向采购人提出一次性书面质疑；采购人将组织答疑；答疑内容是磋商文件的组成部份，并将以书面形式送达所有已依法获取磋商文件的响应人。</w:t>
      </w:r>
    </w:p>
    <w:p>
      <w:pPr>
        <w:pStyle w:val="14"/>
        <w:snapToGrid w:val="0"/>
        <w:spacing w:line="360" w:lineRule="auto"/>
        <w:ind w:firstLine="420" w:firstLineChars="200"/>
        <w:outlineLvl w:val="9"/>
        <w:rPr>
          <w:rFonts w:hAnsi="宋体" w:eastAsia="宋体" w:cs="宋体"/>
          <w:kern w:val="0"/>
          <w:sz w:val="21"/>
          <w:szCs w:val="21"/>
        </w:rPr>
      </w:pPr>
      <w:r>
        <w:rPr>
          <w:rFonts w:hint="eastAsia" w:hAnsi="宋体" w:eastAsia="宋体" w:cs="宋体"/>
          <w:kern w:val="0"/>
          <w:sz w:val="21"/>
          <w:szCs w:val="21"/>
        </w:rPr>
        <w:t>1、根据《中华人民共和国政府采购法实施条例》第五十三条：政府采购法第五十二条规定的供应商应知其权益受到损害之日，是指：</w:t>
      </w:r>
    </w:p>
    <w:p>
      <w:pPr>
        <w:pStyle w:val="14"/>
        <w:snapToGrid w:val="0"/>
        <w:spacing w:line="360" w:lineRule="auto"/>
        <w:ind w:firstLine="420" w:firstLineChars="200"/>
        <w:outlineLvl w:val="9"/>
        <w:rPr>
          <w:rFonts w:hAnsi="宋体" w:eastAsia="宋体" w:cs="宋体"/>
          <w:kern w:val="0"/>
          <w:sz w:val="21"/>
          <w:szCs w:val="21"/>
        </w:rPr>
      </w:pPr>
      <w:r>
        <w:rPr>
          <w:rFonts w:hint="eastAsia" w:hAnsi="宋体" w:eastAsia="宋体" w:cs="宋体"/>
          <w:kern w:val="0"/>
          <w:sz w:val="21"/>
          <w:szCs w:val="21"/>
        </w:rPr>
        <w:t>①对可以质疑的采购文件提出质疑的，为收到采购文件之日或者采购文件公告期限届满之日；</w:t>
      </w:r>
    </w:p>
    <w:p>
      <w:pPr>
        <w:pStyle w:val="14"/>
        <w:snapToGrid w:val="0"/>
        <w:spacing w:line="360" w:lineRule="auto"/>
        <w:ind w:firstLine="420" w:firstLineChars="200"/>
        <w:outlineLvl w:val="9"/>
        <w:rPr>
          <w:rFonts w:hAnsi="宋体" w:eastAsia="宋体" w:cs="宋体"/>
          <w:kern w:val="0"/>
          <w:sz w:val="21"/>
          <w:szCs w:val="21"/>
        </w:rPr>
      </w:pPr>
      <w:r>
        <w:rPr>
          <w:rFonts w:hint="eastAsia" w:hAnsi="宋体" w:eastAsia="宋体" w:cs="宋体"/>
          <w:kern w:val="0"/>
          <w:sz w:val="21"/>
          <w:szCs w:val="21"/>
        </w:rPr>
        <w:t>②对采购过程提出质疑的，为各采购程序环节结束之日；</w:t>
      </w:r>
    </w:p>
    <w:p>
      <w:pPr>
        <w:pStyle w:val="14"/>
        <w:snapToGrid w:val="0"/>
        <w:spacing w:line="360" w:lineRule="auto"/>
        <w:ind w:firstLine="420" w:firstLineChars="200"/>
        <w:outlineLvl w:val="9"/>
        <w:rPr>
          <w:rFonts w:hAnsi="宋体" w:eastAsia="宋体" w:cs="宋体"/>
          <w:kern w:val="0"/>
          <w:sz w:val="21"/>
          <w:szCs w:val="21"/>
        </w:rPr>
      </w:pPr>
      <w:r>
        <w:rPr>
          <w:rFonts w:hint="eastAsia" w:hAnsi="宋体" w:eastAsia="宋体" w:cs="宋体"/>
          <w:kern w:val="0"/>
          <w:sz w:val="21"/>
          <w:szCs w:val="21"/>
        </w:rPr>
        <w:t>③对中标或者成交结果提出质疑的，为中标或者成交结果公告期限届满之日。</w:t>
      </w:r>
    </w:p>
    <w:p>
      <w:pPr>
        <w:pStyle w:val="14"/>
        <w:snapToGrid w:val="0"/>
        <w:spacing w:line="360" w:lineRule="auto"/>
        <w:ind w:firstLine="420" w:firstLineChars="200"/>
        <w:outlineLvl w:val="9"/>
        <w:rPr>
          <w:rFonts w:hAnsi="宋体" w:eastAsia="宋体" w:cs="宋体"/>
          <w:kern w:val="0"/>
          <w:sz w:val="21"/>
          <w:szCs w:val="21"/>
        </w:rPr>
      </w:pPr>
      <w:r>
        <w:rPr>
          <w:rFonts w:hint="eastAsia" w:hAnsi="宋体" w:eastAsia="宋体" w:cs="宋体"/>
          <w:kern w:val="0"/>
          <w:sz w:val="21"/>
          <w:szCs w:val="21"/>
        </w:rPr>
        <w:t>2、质疑书应包括下列主要内容：</w:t>
      </w:r>
    </w:p>
    <w:p>
      <w:pPr>
        <w:pStyle w:val="14"/>
        <w:snapToGrid w:val="0"/>
        <w:spacing w:line="360" w:lineRule="auto"/>
        <w:ind w:firstLine="420" w:firstLineChars="200"/>
        <w:outlineLvl w:val="9"/>
        <w:rPr>
          <w:rFonts w:hAnsi="宋体" w:eastAsia="宋体" w:cs="宋体"/>
          <w:kern w:val="0"/>
          <w:sz w:val="21"/>
          <w:szCs w:val="21"/>
        </w:rPr>
      </w:pPr>
      <w:r>
        <w:rPr>
          <w:rFonts w:hint="eastAsia" w:hAnsi="宋体" w:eastAsia="宋体" w:cs="宋体"/>
          <w:kern w:val="0"/>
          <w:sz w:val="21"/>
          <w:szCs w:val="21"/>
        </w:rPr>
        <w:t>①质疑人的名称、地址、邮政编码、联系人、联系电话，以及被质疑人名称及联系方式；</w:t>
      </w:r>
    </w:p>
    <w:p>
      <w:pPr>
        <w:pStyle w:val="14"/>
        <w:snapToGrid w:val="0"/>
        <w:spacing w:line="360" w:lineRule="auto"/>
        <w:ind w:firstLine="420" w:firstLineChars="200"/>
        <w:outlineLvl w:val="9"/>
        <w:rPr>
          <w:rFonts w:hAnsi="宋体" w:eastAsia="宋体" w:cs="宋体"/>
          <w:kern w:val="0"/>
          <w:sz w:val="21"/>
          <w:szCs w:val="21"/>
        </w:rPr>
      </w:pPr>
      <w:r>
        <w:rPr>
          <w:rFonts w:hint="eastAsia" w:hAnsi="宋体" w:eastAsia="宋体" w:cs="宋体"/>
          <w:kern w:val="0"/>
          <w:sz w:val="21"/>
          <w:szCs w:val="21"/>
        </w:rPr>
        <w:t>②被质疑采购项目名称、编号及采购内容；</w:t>
      </w:r>
    </w:p>
    <w:p>
      <w:pPr>
        <w:pStyle w:val="14"/>
        <w:snapToGrid w:val="0"/>
        <w:spacing w:line="360" w:lineRule="auto"/>
        <w:ind w:firstLine="420" w:firstLineChars="200"/>
        <w:outlineLvl w:val="9"/>
        <w:rPr>
          <w:rFonts w:hAnsi="宋体" w:eastAsia="宋体" w:cs="宋体"/>
          <w:kern w:val="0"/>
          <w:sz w:val="21"/>
          <w:szCs w:val="21"/>
        </w:rPr>
      </w:pPr>
      <w:r>
        <w:rPr>
          <w:rFonts w:hint="eastAsia" w:hAnsi="宋体" w:eastAsia="宋体" w:cs="宋体"/>
          <w:kern w:val="0"/>
          <w:sz w:val="21"/>
          <w:szCs w:val="21"/>
        </w:rPr>
        <w:t>③具体的质疑事项及事实依据；</w:t>
      </w:r>
    </w:p>
    <w:p>
      <w:pPr>
        <w:pStyle w:val="14"/>
        <w:snapToGrid w:val="0"/>
        <w:spacing w:line="360" w:lineRule="auto"/>
        <w:ind w:firstLine="420" w:firstLineChars="200"/>
        <w:outlineLvl w:val="9"/>
        <w:rPr>
          <w:rFonts w:hAnsi="宋体" w:eastAsia="宋体" w:cs="宋体"/>
          <w:kern w:val="0"/>
          <w:sz w:val="21"/>
          <w:szCs w:val="21"/>
        </w:rPr>
      </w:pPr>
      <w:r>
        <w:rPr>
          <w:rFonts w:hint="eastAsia" w:hAnsi="宋体" w:eastAsia="宋体" w:cs="宋体"/>
          <w:kern w:val="0"/>
          <w:sz w:val="21"/>
          <w:szCs w:val="21"/>
        </w:rPr>
        <w:t>④认为自己合法权益受到损害或可能受到损害的相关证据材料；</w:t>
      </w:r>
    </w:p>
    <w:p>
      <w:pPr>
        <w:pStyle w:val="14"/>
        <w:snapToGrid w:val="0"/>
        <w:spacing w:line="360" w:lineRule="auto"/>
        <w:ind w:firstLine="420" w:firstLineChars="200"/>
        <w:outlineLvl w:val="9"/>
        <w:rPr>
          <w:rFonts w:hAnsi="宋体" w:eastAsia="宋体" w:cs="宋体"/>
          <w:kern w:val="0"/>
          <w:sz w:val="21"/>
          <w:szCs w:val="21"/>
        </w:rPr>
      </w:pPr>
      <w:r>
        <w:rPr>
          <w:rFonts w:hint="eastAsia" w:hAnsi="宋体" w:eastAsia="宋体" w:cs="宋体"/>
          <w:kern w:val="0"/>
          <w:sz w:val="21"/>
          <w:szCs w:val="21"/>
        </w:rPr>
        <w:t>⑤提出质疑的日期。</w:t>
      </w:r>
    </w:p>
    <w:p>
      <w:pPr>
        <w:pStyle w:val="14"/>
        <w:snapToGrid w:val="0"/>
        <w:spacing w:line="360" w:lineRule="auto"/>
        <w:ind w:firstLine="420" w:firstLineChars="200"/>
        <w:outlineLvl w:val="9"/>
        <w:rPr>
          <w:rFonts w:hAnsi="宋体" w:eastAsia="宋体" w:cs="宋体"/>
          <w:kern w:val="0"/>
          <w:sz w:val="21"/>
          <w:szCs w:val="21"/>
        </w:rPr>
      </w:pPr>
      <w:r>
        <w:rPr>
          <w:rFonts w:hint="eastAsia" w:hAnsi="宋体" w:eastAsia="宋体" w:cs="宋体"/>
          <w:kern w:val="0"/>
          <w:sz w:val="21"/>
          <w:szCs w:val="21"/>
        </w:rPr>
        <w:t>3、采购人或者招标代理机构应当在3个工作日内对供应商依法提出的询问作出答复。采购人或者招标代理机构应当在7个工作日内对供应商依法提出的质疑作出答复。供应商提出的询问或者质疑超出采购人对招标代理机构委托授权范围的，招标代理机构应当告知供应商向采购人提出。政府采购评审专家应当配合采购人或者招标代理机构答复供应商的询问和质疑。</w:t>
      </w:r>
    </w:p>
    <w:p>
      <w:pPr>
        <w:pStyle w:val="14"/>
        <w:snapToGrid w:val="0"/>
        <w:spacing w:line="360" w:lineRule="auto"/>
        <w:ind w:firstLine="420" w:firstLineChars="200"/>
        <w:outlineLvl w:val="9"/>
        <w:rPr>
          <w:rFonts w:hAnsi="宋体" w:eastAsia="宋体" w:cs="宋体"/>
          <w:kern w:val="0"/>
          <w:sz w:val="21"/>
          <w:szCs w:val="21"/>
        </w:rPr>
      </w:pPr>
      <w:r>
        <w:rPr>
          <w:rFonts w:hint="eastAsia" w:hAnsi="宋体" w:eastAsia="宋体" w:cs="宋体"/>
          <w:kern w:val="0"/>
          <w:sz w:val="21"/>
          <w:szCs w:val="21"/>
        </w:rPr>
        <w:t>4、质疑供应商对采购人、招标代理机构的答复不满意或者采购人、招标代理机构未在规定的时间内作出答复的，可以在答复期满后15个工作日内向同级政府采购监督管理部门投诉。</w:t>
      </w:r>
    </w:p>
    <w:p>
      <w:pPr>
        <w:pStyle w:val="14"/>
        <w:snapToGrid w:val="0"/>
        <w:spacing w:line="360" w:lineRule="auto"/>
        <w:ind w:firstLine="420" w:firstLineChars="200"/>
        <w:outlineLvl w:val="9"/>
        <w:rPr>
          <w:rFonts w:hAnsi="宋体" w:eastAsia="宋体" w:cs="宋体"/>
          <w:b/>
          <w:kern w:val="0"/>
          <w:sz w:val="21"/>
          <w:szCs w:val="21"/>
        </w:rPr>
      </w:pPr>
      <w:r>
        <w:rPr>
          <w:rFonts w:hint="eastAsia" w:hAnsi="宋体" w:eastAsia="宋体" w:cs="宋体"/>
          <w:kern w:val="0"/>
          <w:sz w:val="21"/>
          <w:szCs w:val="21"/>
        </w:rPr>
        <w:t>5、供应商质疑、投诉应当有明确的请求和必要的证明材料。供应商投诉的事项不得超出已质疑事项的范围。投诉人捏造事实、提供虚假材料或者以非法手段取得证明材料进行投诉的，财政部门应当予以驳回。财政部门受理投诉后，投诉人书面申请撤回投诉的，财政部门应当终止投诉处理程序。</w:t>
      </w:r>
    </w:p>
    <w:p>
      <w:pPr>
        <w:snapToGrid w:val="0"/>
        <w:spacing w:line="360" w:lineRule="auto"/>
        <w:ind w:firstLine="422" w:firstLineChars="200"/>
        <w:outlineLvl w:val="9"/>
        <w:rPr>
          <w:rFonts w:ascii="宋体" w:hAnsi="宋体" w:cs="宋体"/>
          <w:b/>
          <w:szCs w:val="21"/>
        </w:rPr>
      </w:pPr>
      <w:r>
        <w:rPr>
          <w:rFonts w:hint="eastAsia" w:ascii="宋体" w:hAnsi="宋体" w:cs="宋体"/>
          <w:b/>
          <w:szCs w:val="21"/>
        </w:rPr>
        <w:t>（九）信用记录：</w:t>
      </w:r>
    </w:p>
    <w:p>
      <w:pPr>
        <w:snapToGrid w:val="0"/>
        <w:spacing w:line="360" w:lineRule="auto"/>
        <w:ind w:firstLine="420" w:firstLineChars="200"/>
        <w:outlineLvl w:val="9"/>
        <w:rPr>
          <w:rFonts w:ascii="宋体" w:hAnsi="宋体" w:cs="宋体"/>
          <w:szCs w:val="21"/>
        </w:rPr>
      </w:pPr>
      <w:r>
        <w:rPr>
          <w:rFonts w:hint="eastAsia" w:ascii="宋体" w:hAnsi="宋体" w:cs="宋体"/>
          <w:szCs w:val="21"/>
        </w:rPr>
        <w:t>根据财库[2016]125号《关于在政府采购活动中查询及使用信用记录有关问题的通知》要求，招标代理机构会对供应商信用记录进行查询并甄别。</w:t>
      </w:r>
    </w:p>
    <w:p>
      <w:pPr>
        <w:snapToGrid w:val="0"/>
        <w:spacing w:line="360" w:lineRule="auto"/>
        <w:ind w:firstLine="420" w:firstLineChars="200"/>
        <w:outlineLvl w:val="9"/>
        <w:rPr>
          <w:rFonts w:ascii="宋体" w:hAnsi="宋体" w:cs="宋体"/>
          <w:szCs w:val="21"/>
        </w:rPr>
      </w:pPr>
      <w:r>
        <w:rPr>
          <w:rFonts w:hint="eastAsia" w:ascii="宋体" w:hAnsi="宋体" w:cs="宋体"/>
          <w:szCs w:val="21"/>
        </w:rPr>
        <w:t>1、信用信息查询的截止时点：投标截止时间前查询；</w:t>
      </w:r>
    </w:p>
    <w:p>
      <w:pPr>
        <w:snapToGrid w:val="0"/>
        <w:spacing w:line="360" w:lineRule="auto"/>
        <w:ind w:firstLine="420" w:firstLineChars="200"/>
        <w:outlineLvl w:val="9"/>
        <w:rPr>
          <w:rFonts w:ascii="宋体" w:hAnsi="宋体" w:cs="宋体"/>
          <w:szCs w:val="21"/>
        </w:rPr>
      </w:pPr>
      <w:r>
        <w:rPr>
          <w:rFonts w:hint="eastAsia" w:ascii="宋体" w:hAnsi="宋体" w:cs="宋体"/>
          <w:szCs w:val="21"/>
        </w:rPr>
        <w:t>2、查询渠道：</w:t>
      </w:r>
    </w:p>
    <w:p>
      <w:pPr>
        <w:snapToGrid w:val="0"/>
        <w:spacing w:line="360" w:lineRule="auto"/>
        <w:ind w:firstLine="420" w:firstLineChars="200"/>
        <w:outlineLvl w:val="9"/>
        <w:rPr>
          <w:rFonts w:ascii="宋体" w:hAnsi="宋体" w:cs="宋体"/>
          <w:szCs w:val="21"/>
        </w:rPr>
      </w:pPr>
      <w:r>
        <w:rPr>
          <w:rFonts w:hint="eastAsia" w:ascii="宋体" w:hAnsi="宋体" w:cs="宋体"/>
          <w:szCs w:val="21"/>
        </w:rPr>
        <w:t>信用中国（www.creditchina.gov.cn）；</w:t>
      </w:r>
    </w:p>
    <w:p>
      <w:pPr>
        <w:snapToGrid w:val="0"/>
        <w:spacing w:line="360" w:lineRule="auto"/>
        <w:ind w:firstLine="420" w:firstLineChars="200"/>
        <w:outlineLvl w:val="9"/>
        <w:rPr>
          <w:rFonts w:ascii="宋体" w:hAnsi="宋体" w:cs="宋体"/>
          <w:szCs w:val="21"/>
        </w:rPr>
      </w:pPr>
      <w:r>
        <w:rPr>
          <w:rFonts w:hint="eastAsia" w:ascii="宋体" w:hAnsi="宋体" w:cs="宋体"/>
          <w:szCs w:val="21"/>
        </w:rPr>
        <w:t>中国政府采购网（www.ccgp.gov.cn）；</w:t>
      </w:r>
    </w:p>
    <w:p>
      <w:pPr>
        <w:snapToGrid w:val="0"/>
        <w:spacing w:line="360" w:lineRule="auto"/>
        <w:ind w:firstLine="420" w:firstLineChars="200"/>
        <w:outlineLvl w:val="9"/>
        <w:rPr>
          <w:rFonts w:ascii="宋体" w:hAnsi="宋体" w:cs="宋体"/>
          <w:szCs w:val="21"/>
        </w:rPr>
      </w:pPr>
      <w:r>
        <w:rPr>
          <w:rFonts w:hint="eastAsia" w:ascii="宋体" w:hAnsi="宋体" w:cs="宋体"/>
          <w:szCs w:val="21"/>
        </w:rPr>
        <w:t>3、信用信息查询记录和证据留存具体方式：招标代理机构经办人和监督人员将查询网页打印、签字与其他采购文件一并保存；</w:t>
      </w:r>
    </w:p>
    <w:p>
      <w:pPr>
        <w:snapToGrid w:val="0"/>
        <w:spacing w:line="360" w:lineRule="auto"/>
        <w:ind w:firstLine="420" w:firstLineChars="200"/>
        <w:outlineLvl w:val="9"/>
        <w:rPr>
          <w:rFonts w:ascii="宋体" w:hAnsi="宋体" w:cs="宋体"/>
          <w:szCs w:val="21"/>
        </w:rPr>
      </w:pPr>
      <w:r>
        <w:rPr>
          <w:rFonts w:hint="eastAsia" w:ascii="宋体" w:hAnsi="宋体" w:cs="宋体"/>
          <w:szCs w:val="21"/>
        </w:rPr>
        <w:t>4、信用信息的使用规则：响应人存在不良信用记录的，其投标将被作为无效响应被拒绝。</w:t>
      </w:r>
    </w:p>
    <w:p>
      <w:pPr>
        <w:snapToGrid w:val="0"/>
        <w:spacing w:line="360" w:lineRule="auto"/>
        <w:ind w:firstLine="420" w:firstLineChars="200"/>
        <w:outlineLvl w:val="9"/>
        <w:rPr>
          <w:rFonts w:ascii="宋体" w:hAnsi="宋体" w:cs="宋体"/>
          <w:szCs w:val="21"/>
        </w:rPr>
      </w:pPr>
      <w:r>
        <w:rPr>
          <w:rFonts w:hint="eastAsia" w:ascii="宋体" w:hAnsi="宋体" w:cs="宋体"/>
          <w:szCs w:val="21"/>
        </w:rPr>
        <w:t>不良信用记录指：被列入失信被执行人、重大税收违法案件当事人名单、政府采购严重违法失信行为记录名单。</w:t>
      </w:r>
    </w:p>
    <w:p>
      <w:pPr>
        <w:snapToGrid w:val="0"/>
        <w:spacing w:line="360" w:lineRule="auto"/>
        <w:ind w:firstLine="422" w:firstLineChars="200"/>
        <w:rPr>
          <w:rFonts w:ascii="宋体" w:hAnsi="宋体" w:cs="宋体"/>
          <w:b/>
          <w:bCs/>
          <w:szCs w:val="21"/>
        </w:rPr>
      </w:pPr>
      <w:r>
        <w:rPr>
          <w:rFonts w:hint="eastAsia" w:ascii="宋体" w:hAnsi="宋体" w:cs="宋体"/>
          <w:b/>
          <w:bCs/>
          <w:szCs w:val="21"/>
        </w:rPr>
        <w:t>（十）信贷政策</w:t>
      </w:r>
    </w:p>
    <w:p>
      <w:pPr>
        <w:snapToGrid w:val="0"/>
        <w:spacing w:line="360" w:lineRule="auto"/>
        <w:ind w:firstLine="420" w:firstLineChars="200"/>
        <w:rPr>
          <w:rFonts w:ascii="宋体" w:hAnsi="宋体" w:cs="宋体"/>
          <w:szCs w:val="21"/>
        </w:rPr>
      </w:pPr>
      <w:r>
        <w:rPr>
          <w:rFonts w:hint="eastAsia" w:ascii="宋体" w:hAnsi="宋体" w:cs="宋体"/>
          <w:szCs w:val="21"/>
        </w:rPr>
        <w:t>1、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有关的合作银行详见下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6"/>
        <w:gridCol w:w="3706"/>
        <w:gridCol w:w="1605"/>
        <w:gridCol w:w="1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4"/>
            <w:vAlign w:val="center"/>
          </w:tcPr>
          <w:p>
            <w:pPr>
              <w:spacing w:line="360" w:lineRule="auto"/>
              <w:ind w:firstLine="422" w:firstLineChars="200"/>
              <w:jc w:val="center"/>
              <w:rPr>
                <w:rFonts w:ascii="宋体" w:hAnsi="宋体" w:cs="宋体"/>
                <w:b/>
                <w:szCs w:val="21"/>
              </w:rPr>
            </w:pPr>
            <w:r>
              <w:rPr>
                <w:rFonts w:hint="eastAsia" w:ascii="宋体" w:hAnsi="宋体" w:cs="宋体"/>
                <w:b/>
                <w:szCs w:val="21"/>
              </w:rPr>
              <w:t>舟山市政府采购信用融资合作银行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1360" w:type="pct"/>
            <w:vAlign w:val="center"/>
          </w:tcPr>
          <w:p>
            <w:pPr>
              <w:spacing w:line="360" w:lineRule="auto"/>
              <w:jc w:val="center"/>
              <w:rPr>
                <w:rFonts w:ascii="宋体" w:hAnsi="宋体" w:cs="宋体"/>
                <w:b/>
                <w:szCs w:val="21"/>
              </w:rPr>
            </w:pPr>
            <w:r>
              <w:rPr>
                <w:rFonts w:hint="eastAsia" w:ascii="宋体" w:hAnsi="宋体" w:cs="宋体"/>
                <w:b/>
                <w:szCs w:val="21"/>
              </w:rPr>
              <w:t>银行名称</w:t>
            </w:r>
          </w:p>
        </w:tc>
        <w:tc>
          <w:tcPr>
            <w:tcW w:w="1898" w:type="pct"/>
            <w:vAlign w:val="center"/>
          </w:tcPr>
          <w:p>
            <w:pPr>
              <w:spacing w:line="360" w:lineRule="auto"/>
              <w:jc w:val="center"/>
              <w:rPr>
                <w:rFonts w:ascii="宋体" w:hAnsi="宋体" w:cs="宋体"/>
                <w:b/>
                <w:szCs w:val="21"/>
              </w:rPr>
            </w:pPr>
            <w:r>
              <w:rPr>
                <w:rFonts w:hint="eastAsia" w:ascii="宋体" w:hAnsi="宋体" w:cs="宋体"/>
                <w:b/>
                <w:szCs w:val="21"/>
              </w:rPr>
              <w:t>产品特点</w:t>
            </w:r>
          </w:p>
        </w:tc>
        <w:tc>
          <w:tcPr>
            <w:tcW w:w="822" w:type="pct"/>
            <w:vAlign w:val="center"/>
          </w:tcPr>
          <w:p>
            <w:pPr>
              <w:spacing w:line="360" w:lineRule="auto"/>
              <w:jc w:val="center"/>
              <w:rPr>
                <w:rFonts w:ascii="宋体" w:hAnsi="宋体" w:cs="宋体"/>
                <w:b/>
                <w:szCs w:val="21"/>
              </w:rPr>
            </w:pPr>
            <w:r>
              <w:rPr>
                <w:rFonts w:hint="eastAsia" w:ascii="宋体" w:hAnsi="宋体" w:cs="宋体"/>
                <w:b/>
                <w:szCs w:val="21"/>
              </w:rPr>
              <w:t>经办人</w:t>
            </w:r>
          </w:p>
        </w:tc>
        <w:tc>
          <w:tcPr>
            <w:tcW w:w="917" w:type="pct"/>
            <w:vAlign w:val="center"/>
          </w:tcPr>
          <w:p>
            <w:pPr>
              <w:spacing w:line="360" w:lineRule="auto"/>
              <w:jc w:val="center"/>
              <w:rPr>
                <w:rFonts w:ascii="宋体" w:hAnsi="宋体" w:cs="宋体"/>
                <w:b/>
                <w:szCs w:val="21"/>
              </w:rPr>
            </w:pPr>
            <w:r>
              <w:rPr>
                <w:rFonts w:hint="eastAsia" w:ascii="宋体" w:hAnsi="宋体" w:cs="宋体"/>
                <w:b/>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4" w:hRule="atLeast"/>
          <w:jc w:val="center"/>
        </w:trPr>
        <w:tc>
          <w:tcPr>
            <w:tcW w:w="1360" w:type="pct"/>
            <w:vAlign w:val="center"/>
          </w:tcPr>
          <w:p>
            <w:pPr>
              <w:spacing w:line="360" w:lineRule="auto"/>
              <w:jc w:val="center"/>
              <w:rPr>
                <w:rFonts w:ascii="宋体" w:hAnsi="宋体" w:cs="宋体"/>
                <w:bCs/>
                <w:szCs w:val="21"/>
              </w:rPr>
            </w:pPr>
            <w:r>
              <w:rPr>
                <w:rFonts w:hint="eastAsia" w:ascii="宋体" w:hAnsi="宋体" w:cs="宋体"/>
                <w:bCs/>
                <w:szCs w:val="21"/>
              </w:rPr>
              <w:t>中国工商银行股份有限公司舟山分行</w:t>
            </w:r>
          </w:p>
        </w:tc>
        <w:tc>
          <w:tcPr>
            <w:tcW w:w="1898" w:type="pct"/>
            <w:vAlign w:val="center"/>
          </w:tcPr>
          <w:p>
            <w:pPr>
              <w:spacing w:line="360" w:lineRule="auto"/>
              <w:rPr>
                <w:rFonts w:ascii="宋体" w:hAnsi="宋体" w:cs="宋体"/>
                <w:bCs/>
                <w:szCs w:val="21"/>
              </w:rPr>
            </w:pPr>
            <w:r>
              <w:rPr>
                <w:rFonts w:hint="eastAsia" w:ascii="宋体" w:hAnsi="宋体" w:cs="宋体"/>
                <w:bCs/>
                <w:szCs w:val="21"/>
              </w:rPr>
              <w:t>“采购贷”业务是指符合条件的中小企业供应商客户，在其取得政府采购合同后，以合同项下的预期销货款抵押为基础，为其提供的融资业务。融资额度根据政府采购合同实有金额（合同哦金额减去预收货款）及供应商资金需求确定，融资本息最高可达政府采购合同实有金额的100%。</w:t>
            </w:r>
          </w:p>
        </w:tc>
        <w:tc>
          <w:tcPr>
            <w:tcW w:w="822" w:type="pct"/>
            <w:vAlign w:val="center"/>
          </w:tcPr>
          <w:p>
            <w:pPr>
              <w:spacing w:line="360" w:lineRule="auto"/>
              <w:jc w:val="center"/>
              <w:rPr>
                <w:rFonts w:ascii="宋体" w:hAnsi="宋体" w:cs="宋体"/>
                <w:bCs/>
                <w:szCs w:val="21"/>
              </w:rPr>
            </w:pPr>
            <w:r>
              <w:rPr>
                <w:rFonts w:hint="eastAsia" w:ascii="宋体" w:hAnsi="宋体" w:cs="宋体"/>
                <w:bCs/>
                <w:szCs w:val="21"/>
              </w:rPr>
              <w:t>柳超颖</w:t>
            </w:r>
          </w:p>
        </w:tc>
        <w:tc>
          <w:tcPr>
            <w:tcW w:w="917" w:type="pct"/>
            <w:vAlign w:val="center"/>
          </w:tcPr>
          <w:p>
            <w:pPr>
              <w:spacing w:line="360" w:lineRule="auto"/>
              <w:jc w:val="center"/>
              <w:rPr>
                <w:rFonts w:ascii="宋体" w:hAnsi="宋体" w:cs="宋体"/>
                <w:bCs/>
                <w:szCs w:val="21"/>
              </w:rPr>
            </w:pPr>
            <w:r>
              <w:rPr>
                <w:rFonts w:hint="eastAsia" w:ascii="宋体" w:hAnsi="宋体" w:cs="宋体"/>
                <w:bCs/>
                <w:szCs w:val="21"/>
              </w:rPr>
              <w:t>15858076468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360" w:type="pct"/>
            <w:vAlign w:val="center"/>
          </w:tcPr>
          <w:p>
            <w:pPr>
              <w:spacing w:line="360" w:lineRule="auto"/>
              <w:jc w:val="center"/>
              <w:rPr>
                <w:rFonts w:ascii="宋体" w:hAnsi="宋体" w:cs="宋体"/>
                <w:bCs/>
                <w:szCs w:val="21"/>
              </w:rPr>
            </w:pPr>
            <w:r>
              <w:rPr>
                <w:rFonts w:hint="eastAsia" w:ascii="宋体" w:hAnsi="宋体" w:cs="宋体"/>
                <w:bCs/>
                <w:szCs w:val="21"/>
              </w:rPr>
              <w:t>中国建设银行股份有限公司舟山分行</w:t>
            </w:r>
          </w:p>
        </w:tc>
        <w:tc>
          <w:tcPr>
            <w:tcW w:w="1898" w:type="pct"/>
            <w:vAlign w:val="center"/>
          </w:tcPr>
          <w:p>
            <w:pPr>
              <w:numPr>
                <w:ilvl w:val="0"/>
                <w:numId w:val="8"/>
              </w:numPr>
              <w:spacing w:line="360" w:lineRule="auto"/>
              <w:rPr>
                <w:rFonts w:ascii="宋体" w:hAnsi="宋体" w:cs="宋体"/>
                <w:bCs/>
                <w:szCs w:val="21"/>
              </w:rPr>
            </w:pPr>
            <w:r>
              <w:rPr>
                <w:rFonts w:hint="eastAsia" w:ascii="宋体" w:hAnsi="宋体" w:cs="宋体"/>
                <w:bCs/>
                <w:szCs w:val="21"/>
              </w:rPr>
              <w:t>快速便捷：全流程线上操作，通过浙江省政府采购网数据审核信用额度，建行供应链平台快速放款。</w:t>
            </w:r>
          </w:p>
          <w:p>
            <w:pPr>
              <w:numPr>
                <w:ilvl w:val="0"/>
                <w:numId w:val="8"/>
              </w:numPr>
              <w:spacing w:line="360" w:lineRule="auto"/>
              <w:rPr>
                <w:rFonts w:ascii="宋体" w:hAnsi="宋体" w:cs="宋体"/>
                <w:bCs/>
                <w:szCs w:val="21"/>
              </w:rPr>
            </w:pPr>
            <w:r>
              <w:rPr>
                <w:rFonts w:hint="eastAsia" w:ascii="宋体" w:hAnsi="宋体" w:cs="宋体"/>
                <w:bCs/>
                <w:szCs w:val="21"/>
              </w:rPr>
              <w:t>申请额度高：单笔融资额度最高可达政府采购合同金额的90%，单户额度最高可达3000万。</w:t>
            </w:r>
          </w:p>
          <w:p>
            <w:pPr>
              <w:numPr>
                <w:ilvl w:val="0"/>
                <w:numId w:val="8"/>
              </w:numPr>
              <w:spacing w:line="360" w:lineRule="auto"/>
              <w:rPr>
                <w:rFonts w:ascii="宋体" w:hAnsi="宋体" w:cs="宋体"/>
                <w:bCs/>
                <w:szCs w:val="21"/>
              </w:rPr>
            </w:pPr>
            <w:r>
              <w:rPr>
                <w:rFonts w:hint="eastAsia" w:ascii="宋体" w:hAnsi="宋体" w:cs="宋体"/>
                <w:bCs/>
                <w:szCs w:val="21"/>
              </w:rPr>
              <w:t>无需额外抵押：以浙江省政府采购网备案公示的政府采购合同进行融资，无需额外抵押担保。</w:t>
            </w:r>
          </w:p>
          <w:p>
            <w:pPr>
              <w:numPr>
                <w:ilvl w:val="0"/>
                <w:numId w:val="8"/>
              </w:numPr>
              <w:spacing w:line="360" w:lineRule="auto"/>
              <w:rPr>
                <w:rFonts w:ascii="宋体" w:hAnsi="宋体" w:cs="宋体"/>
                <w:bCs/>
                <w:szCs w:val="21"/>
              </w:rPr>
            </w:pPr>
            <w:r>
              <w:rPr>
                <w:rFonts w:hint="eastAsia" w:ascii="宋体" w:hAnsi="宋体" w:cs="宋体"/>
                <w:bCs/>
                <w:szCs w:val="21"/>
              </w:rPr>
              <w:t>利率优惠：给予流动资金贷款最优惠利率。</w:t>
            </w:r>
          </w:p>
        </w:tc>
        <w:tc>
          <w:tcPr>
            <w:tcW w:w="822" w:type="pct"/>
            <w:vAlign w:val="center"/>
          </w:tcPr>
          <w:p>
            <w:pPr>
              <w:spacing w:line="360" w:lineRule="auto"/>
              <w:jc w:val="center"/>
              <w:rPr>
                <w:rFonts w:ascii="宋体" w:hAnsi="宋体" w:cs="宋体"/>
                <w:bCs/>
                <w:szCs w:val="21"/>
              </w:rPr>
            </w:pPr>
            <w:r>
              <w:rPr>
                <w:rFonts w:hint="eastAsia" w:ascii="宋体" w:hAnsi="宋体" w:cs="宋体"/>
                <w:bCs/>
                <w:szCs w:val="21"/>
              </w:rPr>
              <w:t>普陀片区：</w:t>
            </w:r>
          </w:p>
          <w:p>
            <w:pPr>
              <w:spacing w:line="360" w:lineRule="auto"/>
              <w:jc w:val="center"/>
              <w:rPr>
                <w:rFonts w:ascii="宋体" w:hAnsi="宋体" w:cs="宋体"/>
                <w:bCs/>
                <w:szCs w:val="21"/>
              </w:rPr>
            </w:pPr>
            <w:r>
              <w:rPr>
                <w:rFonts w:hint="eastAsia" w:ascii="宋体" w:hAnsi="宋体" w:cs="宋体"/>
                <w:bCs/>
                <w:szCs w:val="21"/>
              </w:rPr>
              <w:t>蔡妮妮</w:t>
            </w:r>
          </w:p>
          <w:p>
            <w:pPr>
              <w:spacing w:line="360" w:lineRule="auto"/>
              <w:jc w:val="center"/>
              <w:rPr>
                <w:rFonts w:ascii="宋体" w:hAnsi="宋体" w:cs="宋体"/>
                <w:bCs/>
                <w:szCs w:val="21"/>
              </w:rPr>
            </w:pPr>
            <w:r>
              <w:rPr>
                <w:rFonts w:hint="eastAsia" w:ascii="宋体" w:hAnsi="宋体" w:cs="宋体"/>
                <w:bCs/>
                <w:szCs w:val="21"/>
              </w:rPr>
              <w:t>定海片区：</w:t>
            </w:r>
          </w:p>
          <w:p>
            <w:pPr>
              <w:spacing w:line="360" w:lineRule="auto"/>
              <w:jc w:val="center"/>
              <w:rPr>
                <w:rFonts w:ascii="宋体" w:hAnsi="宋体" w:cs="宋体"/>
                <w:bCs/>
                <w:szCs w:val="21"/>
              </w:rPr>
            </w:pPr>
            <w:r>
              <w:rPr>
                <w:rFonts w:hint="eastAsia" w:ascii="宋体" w:hAnsi="宋体" w:cs="宋体"/>
                <w:bCs/>
                <w:szCs w:val="21"/>
              </w:rPr>
              <w:t>杨莹</w:t>
            </w:r>
          </w:p>
          <w:p>
            <w:pPr>
              <w:spacing w:line="360" w:lineRule="auto"/>
              <w:jc w:val="center"/>
              <w:rPr>
                <w:rFonts w:ascii="宋体" w:hAnsi="宋体" w:cs="宋体"/>
                <w:bCs/>
                <w:szCs w:val="21"/>
              </w:rPr>
            </w:pPr>
            <w:r>
              <w:rPr>
                <w:rFonts w:hint="eastAsia" w:ascii="宋体" w:hAnsi="宋体" w:cs="宋体"/>
                <w:bCs/>
                <w:szCs w:val="21"/>
              </w:rPr>
              <w:t>自贸区片区：郑佳奇</w:t>
            </w:r>
          </w:p>
        </w:tc>
        <w:tc>
          <w:tcPr>
            <w:tcW w:w="917" w:type="pct"/>
            <w:vAlign w:val="center"/>
          </w:tcPr>
          <w:p>
            <w:pPr>
              <w:spacing w:line="360" w:lineRule="auto"/>
              <w:jc w:val="center"/>
              <w:rPr>
                <w:rFonts w:ascii="宋体" w:hAnsi="宋体" w:cs="宋体"/>
                <w:bCs/>
                <w:szCs w:val="21"/>
              </w:rPr>
            </w:pPr>
            <w:r>
              <w:rPr>
                <w:rFonts w:hint="eastAsia" w:ascii="宋体" w:hAnsi="宋体" w:cs="宋体"/>
                <w:bCs/>
                <w:szCs w:val="21"/>
              </w:rPr>
              <w:t>普陀片区：13957201791</w:t>
            </w:r>
          </w:p>
          <w:p>
            <w:pPr>
              <w:spacing w:line="360" w:lineRule="auto"/>
              <w:jc w:val="center"/>
              <w:rPr>
                <w:rFonts w:ascii="宋体" w:hAnsi="宋体" w:cs="宋体"/>
                <w:bCs/>
                <w:szCs w:val="21"/>
              </w:rPr>
            </w:pPr>
            <w:r>
              <w:rPr>
                <w:rFonts w:hint="eastAsia" w:ascii="宋体" w:hAnsi="宋体" w:cs="宋体"/>
                <w:bCs/>
                <w:szCs w:val="21"/>
              </w:rPr>
              <w:t>定海片区：13655803997</w:t>
            </w:r>
          </w:p>
          <w:p>
            <w:pPr>
              <w:spacing w:line="360" w:lineRule="auto"/>
              <w:jc w:val="center"/>
              <w:rPr>
                <w:rFonts w:ascii="宋体" w:hAnsi="宋体" w:cs="宋体"/>
                <w:bCs/>
                <w:szCs w:val="21"/>
              </w:rPr>
            </w:pPr>
            <w:r>
              <w:rPr>
                <w:rFonts w:hint="eastAsia" w:ascii="宋体" w:hAnsi="宋体" w:cs="宋体"/>
                <w:bCs/>
                <w:szCs w:val="21"/>
              </w:rPr>
              <w:t>自贸区片区：13857208408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0" w:type="pct"/>
            <w:vAlign w:val="center"/>
          </w:tcPr>
          <w:p>
            <w:pPr>
              <w:spacing w:line="360" w:lineRule="auto"/>
              <w:jc w:val="center"/>
              <w:rPr>
                <w:rFonts w:ascii="宋体" w:hAnsi="宋体" w:cs="宋体"/>
                <w:bCs/>
                <w:szCs w:val="21"/>
              </w:rPr>
            </w:pPr>
            <w:r>
              <w:rPr>
                <w:rFonts w:hint="eastAsia" w:ascii="宋体" w:hAnsi="宋体" w:cs="宋体"/>
                <w:bCs/>
                <w:szCs w:val="21"/>
              </w:rPr>
              <w:t>杭州银行股份有限公司舟山市分行</w:t>
            </w:r>
          </w:p>
        </w:tc>
        <w:tc>
          <w:tcPr>
            <w:tcW w:w="1898" w:type="pct"/>
            <w:vAlign w:val="center"/>
          </w:tcPr>
          <w:p>
            <w:pPr>
              <w:spacing w:line="360" w:lineRule="auto"/>
              <w:rPr>
                <w:rFonts w:ascii="宋体" w:hAnsi="宋体" w:cs="宋体"/>
                <w:bCs/>
                <w:szCs w:val="21"/>
              </w:rPr>
            </w:pPr>
            <w:r>
              <w:rPr>
                <w:rFonts w:hint="eastAsia" w:ascii="宋体" w:hAnsi="宋体" w:cs="宋体"/>
                <w:bCs/>
                <w:szCs w:val="21"/>
              </w:rPr>
              <w:t>“云采贷”是杭州银行为政府采购供应商提供的纯信用贷款产品。客户申请、签约、放款全流程线上化，平台注册入库并取得采购合同即可申请，融资比例最高达采购订单的80%，单户、单笔最高可达3000万，最长期限一年。</w:t>
            </w:r>
          </w:p>
        </w:tc>
        <w:tc>
          <w:tcPr>
            <w:tcW w:w="822" w:type="pct"/>
            <w:vAlign w:val="center"/>
          </w:tcPr>
          <w:p>
            <w:pPr>
              <w:spacing w:line="360" w:lineRule="auto"/>
              <w:jc w:val="center"/>
              <w:rPr>
                <w:rFonts w:ascii="宋体" w:hAnsi="宋体" w:cs="宋体"/>
                <w:bCs/>
                <w:szCs w:val="21"/>
              </w:rPr>
            </w:pPr>
            <w:r>
              <w:rPr>
                <w:rFonts w:hint="eastAsia" w:ascii="宋体" w:hAnsi="宋体" w:cs="宋体"/>
                <w:bCs/>
                <w:szCs w:val="21"/>
              </w:rPr>
              <w:t>方经理</w:t>
            </w:r>
          </w:p>
        </w:tc>
        <w:tc>
          <w:tcPr>
            <w:tcW w:w="917" w:type="pct"/>
            <w:vAlign w:val="center"/>
          </w:tcPr>
          <w:p>
            <w:pPr>
              <w:spacing w:line="360" w:lineRule="auto"/>
              <w:jc w:val="center"/>
              <w:rPr>
                <w:rFonts w:ascii="宋体" w:hAnsi="宋体" w:cs="宋体"/>
                <w:bCs/>
                <w:szCs w:val="21"/>
              </w:rPr>
            </w:pPr>
            <w:r>
              <w:rPr>
                <w:rFonts w:hint="eastAsia" w:ascii="宋体" w:hAnsi="宋体" w:cs="宋体"/>
                <w:bCs/>
                <w:szCs w:val="21"/>
              </w:rPr>
              <w:t>0580-2185201、18205800451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0" w:type="pct"/>
            <w:vAlign w:val="center"/>
          </w:tcPr>
          <w:p>
            <w:pPr>
              <w:spacing w:line="360" w:lineRule="auto"/>
              <w:jc w:val="center"/>
              <w:rPr>
                <w:rFonts w:ascii="宋体" w:hAnsi="宋体" w:cs="宋体"/>
                <w:bCs/>
                <w:szCs w:val="21"/>
              </w:rPr>
            </w:pPr>
            <w:r>
              <w:rPr>
                <w:rFonts w:hint="eastAsia" w:ascii="宋体" w:hAnsi="宋体" w:cs="宋体"/>
                <w:bCs/>
                <w:szCs w:val="21"/>
              </w:rPr>
              <w:t>招商银行股份有限公司浙江自贸试验区舟山分行</w:t>
            </w:r>
          </w:p>
        </w:tc>
        <w:tc>
          <w:tcPr>
            <w:tcW w:w="1898" w:type="pct"/>
            <w:vAlign w:val="center"/>
          </w:tcPr>
          <w:p>
            <w:pPr>
              <w:spacing w:line="360" w:lineRule="auto"/>
              <w:rPr>
                <w:rFonts w:ascii="宋体" w:hAnsi="宋体" w:cs="宋体"/>
                <w:bCs/>
                <w:szCs w:val="21"/>
              </w:rPr>
            </w:pPr>
            <w:r>
              <w:rPr>
                <w:rFonts w:hint="eastAsia" w:ascii="宋体" w:hAnsi="宋体" w:cs="宋体"/>
                <w:bCs/>
                <w:szCs w:val="21"/>
              </w:rPr>
              <w:t>小企业政采贷是招商银行为政府采购中标供应商提供的用于履行政府采购合同的专属融资产品。优势：一、额度高。根据企业上一年或近一年获得政府采购中标及成交通知的一定比例给予额度，最高可达3000万元。二、操作简便、模式丰富。客户通过我行一网通等渠道在线申请。支持线上用款，按日计息，随借随还。三、担保方式灵活。实际控制人夫妇担保＋融资项下应收账款质押作为辅助，无需抵押，一次性签署合作协议。</w:t>
            </w:r>
          </w:p>
        </w:tc>
        <w:tc>
          <w:tcPr>
            <w:tcW w:w="822" w:type="pct"/>
            <w:vAlign w:val="center"/>
          </w:tcPr>
          <w:p>
            <w:pPr>
              <w:spacing w:line="360" w:lineRule="auto"/>
              <w:jc w:val="center"/>
              <w:rPr>
                <w:rFonts w:ascii="宋体" w:hAnsi="宋体" w:cs="宋体"/>
                <w:bCs/>
                <w:szCs w:val="21"/>
              </w:rPr>
            </w:pPr>
            <w:r>
              <w:rPr>
                <w:rFonts w:hint="eastAsia" w:ascii="宋体" w:hAnsi="宋体" w:cs="宋体"/>
                <w:bCs/>
                <w:szCs w:val="21"/>
              </w:rPr>
              <w:t>李玲</w:t>
            </w:r>
          </w:p>
        </w:tc>
        <w:tc>
          <w:tcPr>
            <w:tcW w:w="917" w:type="pct"/>
            <w:vAlign w:val="center"/>
          </w:tcPr>
          <w:p>
            <w:pPr>
              <w:spacing w:line="360" w:lineRule="auto"/>
              <w:jc w:val="center"/>
              <w:rPr>
                <w:rFonts w:ascii="宋体" w:hAnsi="宋体" w:cs="宋体"/>
                <w:bCs/>
                <w:szCs w:val="21"/>
              </w:rPr>
            </w:pPr>
            <w:r>
              <w:rPr>
                <w:rFonts w:hint="eastAsia" w:ascii="宋体" w:hAnsi="宋体" w:cs="宋体"/>
                <w:bCs/>
                <w:szCs w:val="21"/>
              </w:rPr>
              <w:t>0580-2061710、13957227971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1360" w:type="pct"/>
            <w:vAlign w:val="center"/>
          </w:tcPr>
          <w:p>
            <w:pPr>
              <w:spacing w:line="360" w:lineRule="auto"/>
              <w:jc w:val="center"/>
              <w:rPr>
                <w:rFonts w:ascii="宋体" w:hAnsi="宋体" w:cs="宋体"/>
                <w:bCs/>
                <w:szCs w:val="21"/>
              </w:rPr>
            </w:pPr>
            <w:r>
              <w:rPr>
                <w:rFonts w:hint="eastAsia" w:ascii="宋体" w:hAnsi="宋体" w:cs="宋体"/>
                <w:bCs/>
                <w:szCs w:val="21"/>
              </w:rPr>
              <w:t>温州银行股份有限公司舟山市分行</w:t>
            </w:r>
          </w:p>
        </w:tc>
        <w:tc>
          <w:tcPr>
            <w:tcW w:w="1898" w:type="pct"/>
            <w:vAlign w:val="center"/>
          </w:tcPr>
          <w:p>
            <w:pPr>
              <w:spacing w:line="360" w:lineRule="auto"/>
              <w:rPr>
                <w:rFonts w:ascii="宋体" w:hAnsi="宋体" w:cs="宋体"/>
                <w:bCs/>
                <w:szCs w:val="21"/>
              </w:rPr>
            </w:pPr>
            <w:r>
              <w:rPr>
                <w:rFonts w:hint="eastAsia" w:ascii="宋体" w:hAnsi="宋体" w:cs="宋体"/>
                <w:bCs/>
                <w:szCs w:val="21"/>
              </w:rPr>
              <w:t>“政采订单贷” ：单户授信最高为500万，单笔申请最高可按中标金额0.8折，贷款期限最少三个月、最长一年，可通过政采云平台向本行发起政采订单贷业务申请。</w:t>
            </w:r>
          </w:p>
        </w:tc>
        <w:tc>
          <w:tcPr>
            <w:tcW w:w="822" w:type="pct"/>
            <w:vAlign w:val="center"/>
          </w:tcPr>
          <w:p>
            <w:pPr>
              <w:spacing w:line="360" w:lineRule="auto"/>
              <w:jc w:val="center"/>
              <w:rPr>
                <w:rFonts w:ascii="宋体" w:hAnsi="宋体" w:cs="宋体"/>
                <w:bCs/>
                <w:szCs w:val="21"/>
              </w:rPr>
            </w:pPr>
            <w:r>
              <w:rPr>
                <w:rFonts w:hint="eastAsia" w:ascii="宋体" w:hAnsi="宋体" w:cs="宋体"/>
                <w:bCs/>
                <w:szCs w:val="21"/>
              </w:rPr>
              <w:t>郑贤栋</w:t>
            </w:r>
          </w:p>
        </w:tc>
        <w:tc>
          <w:tcPr>
            <w:tcW w:w="917" w:type="pct"/>
            <w:vAlign w:val="center"/>
          </w:tcPr>
          <w:p>
            <w:pPr>
              <w:spacing w:line="360" w:lineRule="auto"/>
              <w:jc w:val="center"/>
              <w:rPr>
                <w:rFonts w:ascii="宋体" w:hAnsi="宋体" w:cs="宋体"/>
                <w:bCs/>
                <w:szCs w:val="21"/>
              </w:rPr>
            </w:pPr>
            <w:r>
              <w:rPr>
                <w:rFonts w:hint="eastAsia" w:ascii="宋体" w:hAnsi="宋体" w:cs="宋体"/>
                <w:bCs/>
                <w:szCs w:val="21"/>
              </w:rPr>
              <w:t>0580—8866086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0" w:type="pct"/>
            <w:vAlign w:val="center"/>
          </w:tcPr>
          <w:p>
            <w:pPr>
              <w:spacing w:line="360" w:lineRule="auto"/>
              <w:jc w:val="center"/>
              <w:rPr>
                <w:rFonts w:ascii="宋体" w:hAnsi="宋体" w:cs="宋体"/>
                <w:bCs/>
                <w:szCs w:val="21"/>
              </w:rPr>
            </w:pPr>
            <w:r>
              <w:rPr>
                <w:rFonts w:hint="eastAsia" w:ascii="宋体" w:hAnsi="宋体" w:cs="宋体"/>
                <w:bCs/>
                <w:szCs w:val="21"/>
              </w:rPr>
              <w:t>交通银行股份有限公司舟山分行</w:t>
            </w:r>
          </w:p>
        </w:tc>
        <w:tc>
          <w:tcPr>
            <w:tcW w:w="1898" w:type="pct"/>
            <w:vAlign w:val="center"/>
          </w:tcPr>
          <w:p>
            <w:pPr>
              <w:spacing w:line="360" w:lineRule="auto"/>
              <w:rPr>
                <w:rFonts w:ascii="宋体" w:hAnsi="宋体" w:cs="宋体"/>
                <w:bCs/>
                <w:szCs w:val="21"/>
              </w:rPr>
            </w:pPr>
            <w:r>
              <w:rPr>
                <w:rFonts w:hint="eastAsia" w:ascii="宋体" w:hAnsi="宋体" w:cs="宋体"/>
                <w:bCs/>
                <w:szCs w:val="21"/>
              </w:rPr>
              <w:t>交通银行政采贷，最长期限1年，融资金额一般不超过1000万元，单笔提款金额最高至采购合同金额的70%。担保方式为信用（附加该笔业务项下未来应收账款质押、实际控制人及配偶个人保证），随借随还，利率最低至当期LPR。</w:t>
            </w:r>
          </w:p>
        </w:tc>
        <w:tc>
          <w:tcPr>
            <w:tcW w:w="822" w:type="pct"/>
            <w:vAlign w:val="center"/>
          </w:tcPr>
          <w:p>
            <w:pPr>
              <w:spacing w:line="360" w:lineRule="auto"/>
              <w:jc w:val="center"/>
              <w:rPr>
                <w:rFonts w:ascii="宋体" w:hAnsi="宋体" w:cs="宋体"/>
                <w:bCs/>
                <w:szCs w:val="21"/>
              </w:rPr>
            </w:pPr>
            <w:r>
              <w:rPr>
                <w:rFonts w:hint="eastAsia" w:ascii="宋体" w:hAnsi="宋体" w:cs="宋体"/>
                <w:bCs/>
                <w:szCs w:val="21"/>
              </w:rPr>
              <w:t>赵争艳</w:t>
            </w:r>
          </w:p>
        </w:tc>
        <w:tc>
          <w:tcPr>
            <w:tcW w:w="917" w:type="pct"/>
            <w:vAlign w:val="center"/>
          </w:tcPr>
          <w:p>
            <w:pPr>
              <w:spacing w:line="360" w:lineRule="auto"/>
              <w:jc w:val="center"/>
              <w:rPr>
                <w:rFonts w:ascii="宋体" w:hAnsi="宋体" w:cs="宋体"/>
                <w:bCs/>
                <w:szCs w:val="21"/>
              </w:rPr>
            </w:pPr>
            <w:r>
              <w:rPr>
                <w:rFonts w:hint="eastAsia" w:ascii="宋体" w:hAnsi="宋体" w:cs="宋体"/>
                <w:bCs/>
                <w:szCs w:val="21"/>
              </w:rPr>
              <w:t>0580-2260728、</w:t>
            </w:r>
          </w:p>
          <w:p>
            <w:pPr>
              <w:spacing w:line="360" w:lineRule="auto"/>
              <w:jc w:val="center"/>
              <w:rPr>
                <w:rFonts w:ascii="宋体" w:hAnsi="宋体" w:cs="宋体"/>
                <w:bCs/>
                <w:szCs w:val="21"/>
              </w:rPr>
            </w:pPr>
            <w:r>
              <w:rPr>
                <w:rFonts w:hint="eastAsia" w:ascii="宋体" w:hAnsi="宋体" w:cs="宋体"/>
                <w:bCs/>
                <w:szCs w:val="21"/>
              </w:rPr>
              <w:t>13758007280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60" w:type="pct"/>
            <w:vAlign w:val="center"/>
          </w:tcPr>
          <w:p>
            <w:pPr>
              <w:spacing w:line="360" w:lineRule="auto"/>
              <w:jc w:val="center"/>
              <w:rPr>
                <w:rFonts w:ascii="宋体" w:hAnsi="宋体" w:cs="宋体"/>
                <w:bCs/>
                <w:szCs w:val="21"/>
              </w:rPr>
            </w:pPr>
            <w:r>
              <w:rPr>
                <w:rFonts w:hint="eastAsia" w:ascii="宋体" w:hAnsi="宋体" w:cs="宋体"/>
                <w:bCs/>
                <w:szCs w:val="21"/>
              </w:rPr>
              <w:t>中信银行股份有限公司舟山分行</w:t>
            </w:r>
          </w:p>
        </w:tc>
        <w:tc>
          <w:tcPr>
            <w:tcW w:w="1898" w:type="pct"/>
            <w:vAlign w:val="center"/>
          </w:tcPr>
          <w:p>
            <w:pPr>
              <w:spacing w:line="360" w:lineRule="auto"/>
              <w:rPr>
                <w:rFonts w:ascii="宋体" w:hAnsi="宋体" w:cs="宋体"/>
                <w:bCs/>
                <w:szCs w:val="21"/>
              </w:rPr>
            </w:pPr>
            <w:r>
              <w:rPr>
                <w:rFonts w:hint="eastAsia" w:ascii="宋体" w:hAnsi="宋体" w:cs="宋体"/>
                <w:bCs/>
                <w:szCs w:val="21"/>
              </w:rPr>
              <w:t>中信银行“政采e贷”产品特点：根据政府采购中标通知书或合同，以政府财政支付资金为主要还款来源，为中标小微企业提供流动资金贷款。产品实现预授信、贷款申请、应收账款质押、授信审批、自助提款等环节的线上化、自动化处理，操作便利，授信额度最高不超过1000万元，贷款期限最长1年，利率低。</w:t>
            </w:r>
          </w:p>
        </w:tc>
        <w:tc>
          <w:tcPr>
            <w:tcW w:w="822" w:type="pct"/>
            <w:vAlign w:val="center"/>
          </w:tcPr>
          <w:p>
            <w:pPr>
              <w:spacing w:line="360" w:lineRule="auto"/>
              <w:jc w:val="center"/>
              <w:rPr>
                <w:rFonts w:ascii="宋体" w:hAnsi="宋体" w:cs="宋体"/>
                <w:bCs/>
                <w:szCs w:val="21"/>
              </w:rPr>
            </w:pPr>
            <w:r>
              <w:rPr>
                <w:rFonts w:hint="eastAsia" w:ascii="宋体" w:hAnsi="宋体" w:cs="宋体"/>
                <w:bCs/>
                <w:szCs w:val="21"/>
              </w:rPr>
              <w:t>杨莉丹</w:t>
            </w:r>
          </w:p>
        </w:tc>
        <w:tc>
          <w:tcPr>
            <w:tcW w:w="917" w:type="pct"/>
            <w:vAlign w:val="center"/>
          </w:tcPr>
          <w:p>
            <w:pPr>
              <w:spacing w:line="360" w:lineRule="auto"/>
              <w:jc w:val="center"/>
              <w:rPr>
                <w:rFonts w:ascii="宋体" w:hAnsi="宋体" w:cs="宋体"/>
                <w:bCs/>
                <w:szCs w:val="21"/>
              </w:rPr>
            </w:pPr>
            <w:r>
              <w:rPr>
                <w:rFonts w:hint="eastAsia" w:ascii="宋体" w:hAnsi="宋体" w:cs="宋体"/>
                <w:bCs/>
                <w:szCs w:val="21"/>
              </w:rPr>
              <w:t>13905809681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60" w:type="pct"/>
            <w:vAlign w:val="center"/>
          </w:tcPr>
          <w:p>
            <w:pPr>
              <w:spacing w:line="360" w:lineRule="auto"/>
              <w:jc w:val="center"/>
              <w:rPr>
                <w:rFonts w:ascii="宋体" w:hAnsi="宋体" w:cs="宋体"/>
                <w:bCs/>
                <w:szCs w:val="21"/>
              </w:rPr>
            </w:pPr>
            <w:r>
              <w:rPr>
                <w:rFonts w:hint="eastAsia" w:ascii="宋体" w:hAnsi="宋体" w:cs="宋体"/>
                <w:bCs/>
                <w:szCs w:val="21"/>
              </w:rPr>
              <w:t>泰隆银行舟山市分行</w:t>
            </w:r>
          </w:p>
        </w:tc>
        <w:tc>
          <w:tcPr>
            <w:tcW w:w="1898" w:type="pct"/>
            <w:vAlign w:val="center"/>
          </w:tcPr>
          <w:p>
            <w:pPr>
              <w:spacing w:line="360" w:lineRule="auto"/>
              <w:rPr>
                <w:rFonts w:ascii="宋体" w:hAnsi="宋体" w:cs="宋体"/>
                <w:bCs/>
                <w:szCs w:val="21"/>
              </w:rPr>
            </w:pPr>
            <w:r>
              <w:rPr>
                <w:rFonts w:hint="eastAsia" w:ascii="宋体" w:hAnsi="宋体" w:cs="宋体"/>
                <w:bCs/>
                <w:szCs w:val="21"/>
              </w:rPr>
              <w:t>符合我行基本准入，期限对照订单最长不超过1年，额度最高1000万，担保方式享受信用贷款执行，可由中标企业或其实际控制人出面申请，利率最低可至当期LPR ，对于合同期限确实超过一年的，可享受无还本续</w:t>
            </w:r>
          </w:p>
          <w:p>
            <w:pPr>
              <w:spacing w:line="360" w:lineRule="auto"/>
              <w:rPr>
                <w:rFonts w:ascii="宋体" w:hAnsi="宋体" w:cs="宋体"/>
                <w:bCs/>
                <w:szCs w:val="21"/>
              </w:rPr>
            </w:pPr>
            <w:r>
              <w:rPr>
                <w:rFonts w:hint="eastAsia" w:ascii="宋体" w:hAnsi="宋体" w:cs="宋体"/>
                <w:bCs/>
                <w:szCs w:val="21"/>
              </w:rPr>
              <w:t>贷至合同付款日。</w:t>
            </w:r>
          </w:p>
        </w:tc>
        <w:tc>
          <w:tcPr>
            <w:tcW w:w="822" w:type="pct"/>
            <w:vAlign w:val="center"/>
          </w:tcPr>
          <w:p>
            <w:pPr>
              <w:spacing w:line="360" w:lineRule="auto"/>
              <w:jc w:val="center"/>
              <w:rPr>
                <w:rFonts w:ascii="宋体" w:hAnsi="宋体" w:cs="宋体"/>
                <w:bCs/>
                <w:szCs w:val="21"/>
              </w:rPr>
            </w:pPr>
            <w:r>
              <w:rPr>
                <w:rFonts w:hint="eastAsia" w:ascii="宋体" w:hAnsi="宋体" w:cs="宋体"/>
                <w:bCs/>
                <w:szCs w:val="21"/>
              </w:rPr>
              <w:t>胡亢宇</w:t>
            </w:r>
          </w:p>
        </w:tc>
        <w:tc>
          <w:tcPr>
            <w:tcW w:w="917" w:type="pct"/>
            <w:vAlign w:val="center"/>
          </w:tcPr>
          <w:p>
            <w:pPr>
              <w:spacing w:line="360" w:lineRule="auto"/>
              <w:jc w:val="center"/>
              <w:rPr>
                <w:rFonts w:ascii="宋体" w:hAnsi="宋体" w:cs="宋体"/>
                <w:bCs/>
                <w:szCs w:val="21"/>
              </w:rPr>
            </w:pPr>
            <w:r>
              <w:rPr>
                <w:rFonts w:hint="eastAsia" w:ascii="宋体" w:hAnsi="宋体" w:cs="宋体"/>
                <w:bCs/>
                <w:szCs w:val="21"/>
              </w:rPr>
              <w:t>17605868703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60" w:type="pct"/>
            <w:vAlign w:val="center"/>
          </w:tcPr>
          <w:p>
            <w:pPr>
              <w:spacing w:line="360" w:lineRule="auto"/>
              <w:jc w:val="center"/>
              <w:rPr>
                <w:rFonts w:ascii="宋体" w:hAnsi="宋体" w:cs="宋体"/>
                <w:bCs/>
                <w:szCs w:val="21"/>
              </w:rPr>
            </w:pPr>
            <w:r>
              <w:rPr>
                <w:rFonts w:hint="eastAsia" w:ascii="宋体" w:hAnsi="宋体" w:cs="宋体"/>
                <w:bCs/>
                <w:szCs w:val="21"/>
              </w:rPr>
              <w:t>中国农业银行股份有限公司舟山分行</w:t>
            </w:r>
          </w:p>
        </w:tc>
        <w:tc>
          <w:tcPr>
            <w:tcW w:w="1898" w:type="pct"/>
            <w:vAlign w:val="center"/>
          </w:tcPr>
          <w:p>
            <w:pPr>
              <w:spacing w:line="360" w:lineRule="auto"/>
              <w:rPr>
                <w:rFonts w:ascii="宋体" w:hAnsi="宋体" w:cs="宋体"/>
                <w:bCs/>
                <w:szCs w:val="21"/>
              </w:rPr>
            </w:pPr>
            <w:r>
              <w:rPr>
                <w:rFonts w:hint="eastAsia" w:ascii="宋体" w:hAnsi="宋体" w:cs="宋体"/>
                <w:bCs/>
                <w:szCs w:val="21"/>
              </w:rPr>
              <w:t>政采贷业务是指农业银行向政府采购中标供应商发放的，用于满足其采购货物、服务等资金需求，并以该政府采购合同项下预期销售收入为主要还款来源的中短期信用业务，适用对象为在政府采购中标的中小微企业。贷款额度原则上不超过政府采购合同实有金额的80%,单户借款额度不超过500万元。</w:t>
            </w:r>
          </w:p>
        </w:tc>
        <w:tc>
          <w:tcPr>
            <w:tcW w:w="822" w:type="pct"/>
            <w:vAlign w:val="center"/>
          </w:tcPr>
          <w:p>
            <w:pPr>
              <w:spacing w:line="360" w:lineRule="auto"/>
              <w:jc w:val="center"/>
              <w:rPr>
                <w:rFonts w:ascii="宋体" w:hAnsi="宋体" w:cs="宋体"/>
                <w:bCs/>
                <w:szCs w:val="21"/>
              </w:rPr>
            </w:pPr>
            <w:r>
              <w:rPr>
                <w:rFonts w:hint="eastAsia" w:ascii="宋体" w:hAnsi="宋体" w:cs="宋体"/>
                <w:bCs/>
                <w:szCs w:val="21"/>
              </w:rPr>
              <w:t>邵琼</w:t>
            </w:r>
          </w:p>
        </w:tc>
        <w:tc>
          <w:tcPr>
            <w:tcW w:w="917" w:type="pct"/>
            <w:vAlign w:val="center"/>
          </w:tcPr>
          <w:p>
            <w:pPr>
              <w:spacing w:line="360" w:lineRule="auto"/>
              <w:jc w:val="center"/>
              <w:rPr>
                <w:rFonts w:ascii="宋体" w:hAnsi="宋体" w:cs="宋体"/>
                <w:bCs/>
                <w:szCs w:val="21"/>
              </w:rPr>
            </w:pPr>
            <w:r>
              <w:rPr>
                <w:rFonts w:hint="eastAsia" w:ascii="宋体" w:hAnsi="宋体" w:cs="宋体"/>
                <w:bCs/>
                <w:szCs w:val="21"/>
              </w:rPr>
              <w:t>13587049595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60" w:type="pct"/>
            <w:vAlign w:val="center"/>
          </w:tcPr>
          <w:p>
            <w:pPr>
              <w:spacing w:line="360" w:lineRule="auto"/>
              <w:jc w:val="center"/>
              <w:rPr>
                <w:rFonts w:ascii="宋体" w:hAnsi="宋体" w:cs="宋体"/>
                <w:bCs/>
                <w:szCs w:val="21"/>
              </w:rPr>
            </w:pPr>
            <w:r>
              <w:rPr>
                <w:rFonts w:hint="eastAsia" w:ascii="宋体" w:hAnsi="宋体" w:cs="宋体"/>
                <w:bCs/>
                <w:szCs w:val="21"/>
              </w:rPr>
              <w:t>中国邮政储蓄银行股份有限公司舟山市分行</w:t>
            </w:r>
          </w:p>
        </w:tc>
        <w:tc>
          <w:tcPr>
            <w:tcW w:w="1898" w:type="pct"/>
            <w:vAlign w:val="center"/>
          </w:tcPr>
          <w:p>
            <w:pPr>
              <w:spacing w:line="360" w:lineRule="auto"/>
              <w:rPr>
                <w:rFonts w:ascii="宋体" w:hAnsi="宋体" w:cs="宋体"/>
                <w:bCs/>
                <w:szCs w:val="21"/>
              </w:rPr>
            </w:pPr>
            <w:r>
              <w:rPr>
                <w:rFonts w:hint="eastAsia" w:ascii="宋体" w:hAnsi="宋体" w:cs="宋体"/>
                <w:bCs/>
                <w:szCs w:val="21"/>
              </w:rPr>
              <w:t>邮储银行“政采贷”产品指我行向在政府采购活动中中标的企业发放的，用于中标企业合法生产经营活动的短期流动资金贷款。融资模式根据融资行为所处采购合同的履行阶段确定，包括应收账款融资模式与采购合同融资模式。授信金额最高不超过500万元，期限最长不超过1年。</w:t>
            </w:r>
          </w:p>
        </w:tc>
        <w:tc>
          <w:tcPr>
            <w:tcW w:w="822" w:type="pct"/>
            <w:vAlign w:val="center"/>
          </w:tcPr>
          <w:p>
            <w:pPr>
              <w:spacing w:line="360" w:lineRule="auto"/>
              <w:jc w:val="center"/>
              <w:rPr>
                <w:rFonts w:ascii="宋体" w:hAnsi="宋体" w:cs="宋体"/>
                <w:bCs/>
                <w:szCs w:val="21"/>
              </w:rPr>
            </w:pPr>
            <w:r>
              <w:rPr>
                <w:rFonts w:hint="eastAsia" w:ascii="宋体" w:hAnsi="宋体" w:cs="宋体"/>
                <w:bCs/>
                <w:szCs w:val="21"/>
              </w:rPr>
              <w:t>曾超</w:t>
            </w:r>
          </w:p>
        </w:tc>
        <w:tc>
          <w:tcPr>
            <w:tcW w:w="917" w:type="pct"/>
            <w:vAlign w:val="center"/>
          </w:tcPr>
          <w:p>
            <w:pPr>
              <w:spacing w:line="360" w:lineRule="auto"/>
              <w:jc w:val="center"/>
              <w:rPr>
                <w:rFonts w:ascii="宋体" w:hAnsi="宋体" w:cs="宋体"/>
                <w:bCs/>
                <w:szCs w:val="21"/>
              </w:rPr>
            </w:pPr>
            <w:r>
              <w:rPr>
                <w:rFonts w:hint="eastAsia" w:ascii="宋体" w:hAnsi="宋体" w:cs="宋体"/>
                <w:bCs/>
                <w:szCs w:val="21"/>
              </w:rPr>
              <w:t>15924008387</w:t>
            </w:r>
          </w:p>
        </w:tc>
      </w:tr>
    </w:tbl>
    <w:p>
      <w:pPr>
        <w:spacing w:line="360" w:lineRule="auto"/>
        <w:ind w:firstLine="420" w:firstLineChars="200"/>
        <w:rPr>
          <w:rFonts w:ascii="宋体" w:hAnsi="宋体" w:cs="宋体"/>
          <w:bCs/>
          <w:szCs w:val="21"/>
        </w:rPr>
      </w:pPr>
      <w:r>
        <w:rPr>
          <w:rFonts w:hint="eastAsia" w:ascii="宋体" w:hAnsi="宋体" w:cs="宋体"/>
          <w:bCs/>
          <w:szCs w:val="21"/>
        </w:rPr>
        <w:t>2、一般步骤</w:t>
      </w:r>
    </w:p>
    <w:p>
      <w:pPr>
        <w:spacing w:line="360" w:lineRule="auto"/>
        <w:ind w:firstLine="420" w:firstLineChars="200"/>
        <w:rPr>
          <w:rFonts w:ascii="宋体" w:hAnsi="宋体" w:cs="宋体"/>
          <w:bCs/>
          <w:szCs w:val="21"/>
        </w:rPr>
      </w:pPr>
      <w:r>
        <w:rPr>
          <w:rFonts w:hint="eastAsia" w:ascii="宋体" w:hAnsi="宋体" w:cs="宋体"/>
          <w:bCs/>
          <w:szCs w:val="21"/>
        </w:rPr>
        <w:t>（1）供应商先与银行对接，办理融资前期手续；</w:t>
      </w:r>
    </w:p>
    <w:p>
      <w:pPr>
        <w:spacing w:line="360" w:lineRule="auto"/>
        <w:ind w:firstLine="420" w:firstLineChars="200"/>
        <w:rPr>
          <w:rFonts w:ascii="宋体" w:hAnsi="宋体" w:cs="宋体"/>
          <w:bCs/>
          <w:szCs w:val="21"/>
        </w:rPr>
      </w:pPr>
      <w:r>
        <w:rPr>
          <w:rFonts w:hint="eastAsia" w:ascii="宋体" w:hAnsi="宋体" w:cs="宋体"/>
          <w:bCs/>
          <w:szCs w:val="21"/>
        </w:rPr>
        <w:t>（2）供应商中标后，凭中标通知书等材料，向相关合作银行发出融资申请；</w:t>
      </w:r>
    </w:p>
    <w:p>
      <w:pPr>
        <w:spacing w:line="360" w:lineRule="auto"/>
        <w:ind w:firstLine="420" w:firstLineChars="200"/>
        <w:rPr>
          <w:rFonts w:ascii="宋体" w:hAnsi="宋体" w:cs="宋体"/>
          <w:bCs/>
          <w:szCs w:val="21"/>
        </w:rPr>
      </w:pPr>
      <w:r>
        <w:rPr>
          <w:rFonts w:hint="eastAsia" w:ascii="宋体" w:hAnsi="宋体" w:cs="宋体"/>
          <w:bCs/>
          <w:szCs w:val="21"/>
        </w:rPr>
        <w:t>（3）银行、供应商线上办理审批、放贷事宜。</w:t>
      </w:r>
    </w:p>
    <w:p>
      <w:pPr>
        <w:spacing w:line="360" w:lineRule="auto"/>
        <w:ind w:firstLine="420" w:firstLineChars="200"/>
        <w:rPr>
          <w:rFonts w:ascii="宋体" w:hAnsi="宋体" w:cs="宋体"/>
          <w:bCs/>
          <w:szCs w:val="21"/>
        </w:rPr>
      </w:pPr>
      <w:r>
        <w:rPr>
          <w:rFonts w:hint="eastAsia" w:ascii="宋体" w:hAnsi="宋体" w:cs="宋体"/>
          <w:bCs/>
          <w:szCs w:val="21"/>
        </w:rPr>
        <w:t>3、注意事项</w:t>
      </w:r>
    </w:p>
    <w:p>
      <w:pPr>
        <w:spacing w:line="360" w:lineRule="auto"/>
        <w:ind w:firstLine="420" w:firstLineChars="200"/>
        <w:rPr>
          <w:rFonts w:ascii="宋体" w:hAnsi="宋体" w:cs="宋体"/>
          <w:bCs/>
          <w:szCs w:val="21"/>
        </w:rPr>
      </w:pPr>
      <w:r>
        <w:rPr>
          <w:rFonts w:hint="eastAsia" w:ascii="宋体" w:hAnsi="宋体" w:cs="宋体"/>
          <w:bCs/>
          <w:szCs w:val="21"/>
        </w:rPr>
        <w:t>（1）中标供应商需确保政府采购合同的收款账户与融资银行开户账户一致。</w:t>
      </w:r>
    </w:p>
    <w:p>
      <w:pPr>
        <w:spacing w:line="360" w:lineRule="auto"/>
        <w:ind w:firstLine="420" w:firstLineChars="200"/>
        <w:rPr>
          <w:rFonts w:ascii="宋体" w:hAnsi="宋体" w:cs="宋体"/>
          <w:bCs/>
          <w:szCs w:val="21"/>
        </w:rPr>
      </w:pPr>
      <w:r>
        <w:rPr>
          <w:rFonts w:hint="eastAsia" w:ascii="宋体" w:hAnsi="宋体" w:cs="宋体"/>
          <w:bCs/>
          <w:szCs w:val="21"/>
        </w:rPr>
        <w:t>（2）用于政府采购信用融资的政府采购合同，应当包含如下条款：“第</w:t>
      </w:r>
      <w:r>
        <w:rPr>
          <w:rFonts w:hint="eastAsia" w:ascii="宋体" w:hAnsi="宋体" w:cs="宋体"/>
          <w:bCs/>
          <w:szCs w:val="21"/>
          <w:u w:val="single"/>
        </w:rPr>
        <w:t xml:space="preserve">   </w:t>
      </w:r>
      <w:r>
        <w:rPr>
          <w:rFonts w:hint="eastAsia" w:ascii="宋体" w:hAnsi="宋体" w:cs="宋体"/>
          <w:bCs/>
          <w:szCs w:val="21"/>
        </w:rPr>
        <w:t>条：政府采购合同贷款</w:t>
      </w:r>
    </w:p>
    <w:p>
      <w:pPr>
        <w:spacing w:line="360" w:lineRule="auto"/>
        <w:ind w:firstLine="420" w:firstLineChars="200"/>
        <w:rPr>
          <w:rFonts w:ascii="宋体" w:hAnsi="宋体" w:cs="宋体"/>
          <w:bCs/>
          <w:szCs w:val="21"/>
        </w:rPr>
      </w:pPr>
      <w:r>
        <w:rPr>
          <w:rFonts w:hint="eastAsia" w:ascii="宋体" w:hAnsi="宋体" w:cs="宋体"/>
          <w:bCs/>
          <w:szCs w:val="21"/>
        </w:rPr>
        <w:t xml:space="preserve">本合同同时用于乙方向 </w:t>
      </w:r>
      <w:r>
        <w:rPr>
          <w:rFonts w:hint="eastAsia" w:ascii="宋体" w:hAnsi="宋体" w:cs="宋体"/>
          <w:bCs/>
          <w:szCs w:val="21"/>
          <w:u w:val="single"/>
        </w:rPr>
        <w:t xml:space="preserve">     </w:t>
      </w:r>
      <w:r>
        <w:rPr>
          <w:rFonts w:hint="eastAsia" w:ascii="宋体" w:hAnsi="宋体" w:cs="宋体"/>
          <w:bCs/>
          <w:szCs w:val="21"/>
        </w:rPr>
        <w:t>银行（金融机构）申请政府采购信用贷款。</w:t>
      </w:r>
    </w:p>
    <w:p>
      <w:pPr>
        <w:spacing w:line="360" w:lineRule="auto"/>
        <w:ind w:firstLine="420" w:firstLineChars="200"/>
        <w:rPr>
          <w:rFonts w:ascii="宋体" w:hAnsi="宋体" w:cs="宋体"/>
          <w:szCs w:val="21"/>
        </w:rPr>
      </w:pPr>
      <w:r>
        <w:rPr>
          <w:rFonts w:hint="eastAsia" w:ascii="宋体" w:hAnsi="宋体" w:cs="宋体"/>
          <w:bCs/>
          <w:szCs w:val="21"/>
        </w:rPr>
        <w:t>本合同一经签订，原则上不得更改乙方收款账户信息。确须更改的，乙方应取得原合同收款账户开户银行书面同意，否则修改后的合同不予备案，采购资金不予支付。”</w:t>
      </w:r>
    </w:p>
    <w:p>
      <w:pPr>
        <w:snapToGrid w:val="0"/>
        <w:spacing w:line="360" w:lineRule="auto"/>
        <w:ind w:firstLine="422" w:firstLineChars="200"/>
        <w:rPr>
          <w:rFonts w:ascii="宋体" w:hAnsi="宋体" w:cs="宋体"/>
          <w:b/>
          <w:szCs w:val="21"/>
        </w:rPr>
      </w:pPr>
      <w:r>
        <w:rPr>
          <w:rFonts w:hint="eastAsia" w:ascii="宋体" w:hAnsi="宋体" w:cs="宋体"/>
          <w:b/>
          <w:szCs w:val="21"/>
        </w:rPr>
        <w:t>（十一）</w:t>
      </w:r>
      <w:r>
        <w:rPr>
          <w:rFonts w:hint="eastAsia" w:ascii="宋体" w:hAnsi="宋体" w:cs="宋体"/>
          <w:b/>
          <w:szCs w:val="21"/>
          <w:lang w:eastAsia="zh-CN"/>
        </w:rPr>
        <w:t>浙江天勤信息技术监理有限公司</w:t>
      </w:r>
      <w:r>
        <w:rPr>
          <w:rFonts w:hint="eastAsia" w:ascii="宋体" w:hAnsi="宋体" w:cs="宋体"/>
          <w:b/>
          <w:szCs w:val="21"/>
        </w:rPr>
        <w:t>拥有本磋商文件最终解释权。</w:t>
      </w:r>
    </w:p>
    <w:p>
      <w:pPr>
        <w:snapToGrid w:val="0"/>
        <w:spacing w:line="360" w:lineRule="auto"/>
        <w:jc w:val="center"/>
        <w:rPr>
          <w:rFonts w:hint="eastAsia" w:ascii="宋体" w:hAnsi="宋体" w:cs="宋体"/>
          <w:b/>
          <w:szCs w:val="21"/>
        </w:rPr>
      </w:pPr>
    </w:p>
    <w:p>
      <w:pPr>
        <w:snapToGrid w:val="0"/>
        <w:spacing w:line="360" w:lineRule="auto"/>
        <w:jc w:val="center"/>
        <w:outlineLvl w:val="1"/>
        <w:rPr>
          <w:rFonts w:ascii="宋体" w:hAnsi="宋体" w:cs="宋体"/>
          <w:b/>
          <w:szCs w:val="21"/>
        </w:rPr>
      </w:pPr>
      <w:r>
        <w:rPr>
          <w:rFonts w:hint="eastAsia" w:ascii="宋体" w:hAnsi="宋体" w:cs="宋体"/>
          <w:b/>
          <w:szCs w:val="21"/>
        </w:rPr>
        <w:t>二、磋商文件</w:t>
      </w:r>
    </w:p>
    <w:p>
      <w:pPr>
        <w:snapToGrid w:val="0"/>
        <w:spacing w:line="360" w:lineRule="auto"/>
        <w:ind w:firstLine="422" w:firstLineChars="200"/>
        <w:rPr>
          <w:rFonts w:ascii="宋体" w:hAnsi="宋体" w:cs="宋体"/>
          <w:b/>
          <w:szCs w:val="21"/>
        </w:rPr>
      </w:pPr>
      <w:r>
        <w:rPr>
          <w:rFonts w:hint="eastAsia" w:ascii="宋体" w:hAnsi="宋体" w:cs="宋体"/>
          <w:b/>
          <w:szCs w:val="21"/>
        </w:rPr>
        <w:t>（一）磋商文件的构成</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第一章  竞争性磋商公告</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第二章  采购需求</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第三章  响应人须知</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第四章  评标办法及标准</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第五章  合同主要条款</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第六章  响应文件组成</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其他有关补充文件</w:t>
      </w:r>
    </w:p>
    <w:p>
      <w:pPr>
        <w:pStyle w:val="6"/>
        <w:widowControl w:val="0"/>
        <w:snapToGrid w:val="0"/>
        <w:spacing w:after="0" w:afterLines="0" w:line="360" w:lineRule="auto"/>
        <w:ind w:left="0" w:firstLine="422" w:firstLineChars="200"/>
        <w:jc w:val="both"/>
        <w:rPr>
          <w:rFonts w:ascii="宋体" w:hAnsi="宋体" w:cs="宋体"/>
          <w:b/>
          <w:kern w:val="2"/>
          <w:sz w:val="21"/>
          <w:szCs w:val="21"/>
        </w:rPr>
      </w:pPr>
      <w:r>
        <w:rPr>
          <w:rFonts w:hint="eastAsia" w:ascii="宋体" w:hAnsi="宋体" w:cs="宋体"/>
          <w:b/>
          <w:sz w:val="21"/>
          <w:szCs w:val="21"/>
        </w:rPr>
        <w:t>（</w:t>
      </w:r>
      <w:r>
        <w:rPr>
          <w:rFonts w:hint="eastAsia" w:ascii="宋体" w:hAnsi="宋体" w:cs="宋体"/>
          <w:b/>
          <w:kern w:val="2"/>
          <w:sz w:val="21"/>
          <w:szCs w:val="21"/>
        </w:rPr>
        <w:t xml:space="preserve">二）磋商文件的澄清与修改 </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1、响应人应认真阅读本磋商文件，发现其中有误或有要求不合理的，响应人必须在投标截止前5天内以书面形式要求采购人澄清。响应人对已发出的磋商文件进行必要澄清、答复、修改或补充的，应当在磋商文件要求提交响应文件截止时间5天前，在相关的采购信息发布媒体上发布更正公告，并通知所有已购买磋商文件的潜在响应人。</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2、采购人以书面形式答复响应人要求澄清的问题，并将不包含问题来源的答复书面通知所有购买磋商文件的潜在响应人；除书面答复以外的其他澄清方式及澄清内容均无效。</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3、磋商文件的答复、澄清、修改、补充通知实质上改变采购需求相关内容，且自磋商文件的答复、澄清、修改、补充通知发出之日起至投标截止时间止不足5天的，采购人可视情况推迟投标截止时间和开标时间，按规定在相关的采购信息发布媒体上发布变更公告，并将变更后的时间通知所有已购买磋商文件的潜在响应人。</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4、磋商文件澄清、答复、修改、补充的内容为磋商文件的组成部分。当磋商文件与磋商文件的答复、澄清、修改、补充通知就同一内容的表述不一致时，以最后发出的书面文件为准。</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5、磋商文件的澄清、答复、修改或补充都应该通过本招标代理机构以法定形式发布，采购人非通过本招标代理机构的，不得擅自澄清、答复、修改或补充磋商文件。</w:t>
      </w:r>
    </w:p>
    <w:p>
      <w:pPr>
        <w:pStyle w:val="14"/>
        <w:snapToGrid w:val="0"/>
        <w:spacing w:line="360" w:lineRule="auto"/>
        <w:ind w:firstLine="415" w:firstLineChars="198"/>
        <w:rPr>
          <w:rFonts w:hAnsi="宋体" w:eastAsia="宋体" w:cs="宋体"/>
          <w:sz w:val="21"/>
          <w:szCs w:val="21"/>
        </w:rPr>
      </w:pPr>
    </w:p>
    <w:p>
      <w:pPr>
        <w:snapToGrid w:val="0"/>
        <w:spacing w:line="360" w:lineRule="auto"/>
        <w:jc w:val="center"/>
        <w:outlineLvl w:val="1"/>
        <w:rPr>
          <w:rFonts w:ascii="宋体" w:hAnsi="宋体" w:cs="宋体"/>
          <w:b/>
          <w:szCs w:val="21"/>
        </w:rPr>
      </w:pPr>
      <w:r>
        <w:rPr>
          <w:rFonts w:hint="eastAsia" w:ascii="宋体" w:hAnsi="宋体" w:cs="宋体"/>
          <w:b/>
          <w:szCs w:val="21"/>
        </w:rPr>
        <w:t>三、响应文件的编制</w:t>
      </w:r>
    </w:p>
    <w:p>
      <w:pPr>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（一）响应文件的形式和效力</w:t>
      </w:r>
    </w:p>
    <w:p>
      <w:pPr>
        <w:adjustRightInd w:val="0"/>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响应文件分为电子投标文件以及备份投标文件，备份投标文件为以介质存储的数据电文形式的投标文件。</w:t>
      </w:r>
    </w:p>
    <w:p>
      <w:pPr>
        <w:adjustRightInd w:val="0"/>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1、电子投标文件，按“政采云供应商项目采购-电子招投标操作指南”及本磋商文件要求制作、加密并递交。</w:t>
      </w:r>
    </w:p>
    <w:p>
      <w:pPr>
        <w:adjustRightInd w:val="0"/>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2、以介质存储的数据电文形式的备份投标文件，按政采云供应商项目采购-电子招投标操作指南中制作的电子投标文件。</w:t>
      </w:r>
    </w:p>
    <w:p>
      <w:pPr>
        <w:adjustRightInd w:val="0"/>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投标文件的启用，按先后顺位分别为电子投标文件、以介质存储的数据电文形式的备份投标文件。在下一顺位的投标文件启用时，前一顺位的投标文件自动失效。</w:t>
      </w:r>
    </w:p>
    <w:p>
      <w:pPr>
        <w:snapToGrid w:val="0"/>
        <w:spacing w:line="360" w:lineRule="auto"/>
        <w:ind w:firstLine="422" w:firstLineChars="200"/>
        <w:outlineLvl w:val="9"/>
        <w:rPr>
          <w:rFonts w:ascii="宋体" w:hAnsi="宋体" w:cs="宋体"/>
          <w:b/>
          <w:color w:val="000000"/>
          <w:szCs w:val="21"/>
        </w:rPr>
      </w:pPr>
      <w:r>
        <w:rPr>
          <w:rFonts w:hint="eastAsia" w:ascii="宋体" w:hAnsi="宋体" w:cs="宋体"/>
          <w:b/>
          <w:color w:val="000000"/>
          <w:szCs w:val="21"/>
        </w:rPr>
        <w:t>（二）响应文件的组成</w:t>
      </w:r>
    </w:p>
    <w:p>
      <w:pPr>
        <w:snapToGrid w:val="0"/>
        <w:spacing w:line="360" w:lineRule="auto"/>
        <w:ind w:firstLine="420" w:firstLineChars="200"/>
        <w:rPr>
          <w:rFonts w:ascii="宋体" w:hAnsi="宋体" w:cs="宋体"/>
          <w:color w:val="000000"/>
          <w:szCs w:val="21"/>
        </w:rPr>
      </w:pPr>
      <w:r>
        <w:rPr>
          <w:rFonts w:hint="eastAsia" w:ascii="宋体" w:hAnsi="宋体" w:cs="宋体"/>
          <w:szCs w:val="21"/>
        </w:rPr>
        <w:t>响应文件由磋商报价文件、资格证明文件、商务文件、技术文件组成。</w:t>
      </w:r>
      <w:r>
        <w:rPr>
          <w:rFonts w:hint="eastAsia" w:ascii="宋体" w:hAnsi="宋体" w:cs="宋体"/>
          <w:color w:val="000000"/>
          <w:szCs w:val="21"/>
        </w:rPr>
        <w:t>电子投标文件中所须加盖公章部分均采用CA签章。（具体要求详见第六章 响应文件组成）</w:t>
      </w:r>
    </w:p>
    <w:p>
      <w:pPr>
        <w:snapToGrid w:val="0"/>
        <w:spacing w:line="360" w:lineRule="auto"/>
        <w:ind w:firstLine="422" w:firstLineChars="200"/>
        <w:outlineLvl w:val="9"/>
        <w:rPr>
          <w:rFonts w:ascii="宋体" w:hAnsi="宋体" w:cs="宋体"/>
          <w:b/>
          <w:szCs w:val="21"/>
        </w:rPr>
      </w:pPr>
      <w:r>
        <w:rPr>
          <w:rFonts w:hint="eastAsia" w:ascii="宋体" w:hAnsi="宋体" w:cs="宋体"/>
          <w:b/>
          <w:szCs w:val="21"/>
        </w:rPr>
        <w:t>（三）响应文件的语言及计量</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1、响应文件以及响应人与招标代理机构就有关投标事宜的所有来往函电，均应以中文汉语书写。除签名、盖章、专用名称、特殊证明材料等情形外，以中文汉语以外的文字表述的响应文件视同未提供。</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2、投标计量单位，应采用中华人民共和国法定计量单位（货币单位：人民币元），否则视同未响应。</w:t>
      </w:r>
    </w:p>
    <w:p>
      <w:pPr>
        <w:snapToGrid w:val="0"/>
        <w:spacing w:line="360" w:lineRule="auto"/>
        <w:ind w:firstLine="422" w:firstLineChars="200"/>
        <w:outlineLvl w:val="9"/>
        <w:rPr>
          <w:rFonts w:ascii="宋体" w:hAnsi="宋体" w:cs="宋体"/>
          <w:b/>
          <w:szCs w:val="21"/>
        </w:rPr>
      </w:pPr>
      <w:r>
        <w:rPr>
          <w:rFonts w:hint="eastAsia" w:ascii="宋体" w:hAnsi="宋体" w:cs="宋体"/>
          <w:b/>
          <w:szCs w:val="21"/>
        </w:rPr>
        <w:t>（四）磋商报价与相关费用</w:t>
      </w:r>
    </w:p>
    <w:p>
      <w:pPr>
        <w:pStyle w:val="14"/>
        <w:snapToGrid w:val="0"/>
        <w:spacing w:line="360" w:lineRule="auto"/>
        <w:ind w:firstLine="420" w:firstLineChars="200"/>
        <w:rPr>
          <w:rFonts w:hAnsi="宋体" w:eastAsia="宋体" w:cs="宋体"/>
          <w:bCs/>
          <w:sz w:val="21"/>
          <w:szCs w:val="21"/>
        </w:rPr>
      </w:pPr>
      <w:r>
        <w:rPr>
          <w:rFonts w:hint="eastAsia" w:hAnsi="宋体" w:eastAsia="宋体" w:cs="宋体"/>
          <w:bCs/>
          <w:sz w:val="21"/>
          <w:szCs w:val="21"/>
        </w:rPr>
        <w:t>详见《响应人须知前附表》</w:t>
      </w:r>
    </w:p>
    <w:p>
      <w:pPr>
        <w:pStyle w:val="14"/>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（五）响应文件的有效期</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1、自投标截止日起90天响应文件应保持有效。有效期不足的响应文件将被拒绝。</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2、在特殊情况下，采购人可与响应人协商延长响应文件的有效期，这种要求和答复均以书面形式进行。</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3、成交人的响应文件自开标之日起至合同履行完毕止均应保持有效。</w:t>
      </w:r>
    </w:p>
    <w:p>
      <w:pPr>
        <w:snapToGrid w:val="0"/>
        <w:spacing w:line="360" w:lineRule="auto"/>
        <w:ind w:firstLine="422" w:firstLineChars="200"/>
        <w:outlineLvl w:val="9"/>
        <w:rPr>
          <w:rFonts w:ascii="宋体" w:hAnsi="宋体" w:cs="宋体"/>
          <w:b/>
          <w:szCs w:val="21"/>
        </w:rPr>
      </w:pPr>
      <w:r>
        <w:rPr>
          <w:rFonts w:hint="eastAsia" w:ascii="宋体" w:hAnsi="宋体" w:cs="宋体"/>
          <w:b/>
          <w:szCs w:val="21"/>
        </w:rPr>
        <w:t>（六）响应文件的签署和编制</w:t>
      </w:r>
    </w:p>
    <w:p>
      <w:pPr>
        <w:adjustRightInd w:val="0"/>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1、电子投标文件部分：</w:t>
      </w:r>
    </w:p>
    <w:p>
      <w:pPr>
        <w:adjustRightInd w:val="0"/>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响应人应根据“政采云供应商项目采购-电子招投标操作指南”及本磋商文件规定的格式和顺序编制电子投标文件并进行关联定位。</w:t>
      </w:r>
    </w:p>
    <w:p>
      <w:pPr>
        <w:adjustRightInd w:val="0"/>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2、以介质存储的数据电文形式的备份投标文件部分：</w:t>
      </w:r>
    </w:p>
    <w:p>
      <w:pPr>
        <w:adjustRightInd w:val="0"/>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备份电子投标文件，以DVD光盘、U盘形式存储。</w:t>
      </w:r>
    </w:p>
    <w:p>
      <w:pPr>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（七）备份投标文件的修改和撤回</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响应人在投标截止时间之前，可以对已提交的响应文件进行修改或撤回，并书面形式（响应人代表签字）通知招标代理机构；投标截止时间后，响应人不得撤回、修改响应文件。修改后重新递交的响应文件应当按本磋商文件的要求密封和签字。</w:t>
      </w:r>
    </w:p>
    <w:p>
      <w:pPr>
        <w:snapToGrid w:val="0"/>
        <w:spacing w:line="360" w:lineRule="auto"/>
        <w:ind w:firstLine="422" w:firstLineChars="200"/>
        <w:outlineLvl w:val="9"/>
        <w:rPr>
          <w:rFonts w:ascii="宋体" w:hAnsi="宋体" w:cs="宋体"/>
          <w:b/>
          <w:szCs w:val="21"/>
        </w:rPr>
      </w:pPr>
      <w:r>
        <w:rPr>
          <w:rFonts w:hint="eastAsia" w:ascii="宋体" w:hAnsi="宋体" w:cs="宋体"/>
          <w:b/>
          <w:szCs w:val="21"/>
        </w:rPr>
        <w:t>（八）响应无效的情形</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实质上没有响应磋商文件要求的投标将被视为无效投标。响应人不得通过修正或撤消不合要求的偏离或保留从而使其投标成为实质上响应的投标。经磋商小组认定属于响应人笔误所造成的差错，应当允许其在评标结束之前进行修改或者补正（可以是复印件、传真件等）。修改或者补正响应文件必须以书面形式进行，并应在中标结果公告之前查核原件。限期内不补正或经补正后仍不符合磋商文件要求的，应认定其投标无效。响应人修改、补正响应文件后，不影响磋商小组对其响应文件所作的评价和评分结果。</w:t>
      </w:r>
    </w:p>
    <w:p>
      <w:pPr>
        <w:pStyle w:val="14"/>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1、在符合性审查和商务评审时，如发现下列情形之一的，响应文件将被视为无效响应：</w:t>
      </w:r>
    </w:p>
    <w:p>
      <w:pPr>
        <w:snapToGrid w:val="0"/>
        <w:spacing w:line="360" w:lineRule="auto"/>
        <w:ind w:firstLine="422" w:firstLineChars="200"/>
        <w:rPr>
          <w:rFonts w:ascii="宋体" w:hAnsi="宋体" w:cs="宋体"/>
          <w:b/>
          <w:bCs/>
          <w:color w:val="000000"/>
          <w:szCs w:val="21"/>
        </w:rPr>
      </w:pPr>
      <w:r>
        <w:rPr>
          <w:rFonts w:hint="eastAsia" w:ascii="宋体" w:hAnsi="宋体" w:cs="宋体"/>
          <w:b/>
          <w:bCs/>
          <w:color w:val="000000"/>
          <w:szCs w:val="21"/>
        </w:rPr>
        <w:t>1.1电子投标文件解密失败的，且未在规定时间内提交有效备份投标文件的；</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1.2未按磋商文件要求密封、签字、盖章的；</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1.3资格证明文件不全的，或者不符合磋商文件标明的资格要求的；</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1.4响应文件组成不全的；</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1.5响应文件的实质性内容未使用中文表述、意思表述不明确、前后矛盾或者使用计量单位不符合磋商文件要求的；（经磋商小组认定允许其当场更正的笔误除外）</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1.6响应文件的关键内容字迹模糊、无法辨认的，或者响应文件中经修正的内容字迹模糊难以辩认或者修改处未按规定签名盖章的；</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1.7实质性条款不能满足磋商文件要求的；</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1.8不响应磋商文件要求或者响应文件有采购人不能接受的附加条件的；</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1.9 响应文件没有按磋商文件要求提供有标“▲”的条款的资料和材料的；</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1.10响应文件资格证明、商务、技术部分中出现磋商报价信息的。</w:t>
      </w:r>
    </w:p>
    <w:p>
      <w:pPr>
        <w:pStyle w:val="14"/>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2、在技术评审时，如发现下列情形之一的，响应文件将被视为无效响应标：</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2.1响应文件标明的响应或偏离与事实不符或虚假响应的；</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2.2明显不符合磋商文件中标“▲”的技术指标、主要功能项目发生实质性偏离的；</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2.3响应技术方案不明确，存在一个或一个以上备选（替代）响应的；</w:t>
      </w:r>
    </w:p>
    <w:p>
      <w:pPr>
        <w:pStyle w:val="14"/>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3、在磋商报价文件评审时，如发现下列情形之一的，投标文件将被视为无效响应：</w:t>
      </w:r>
    </w:p>
    <w:p>
      <w:pPr>
        <w:pStyle w:val="14"/>
        <w:tabs>
          <w:tab w:val="left" w:pos="1680"/>
        </w:tabs>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3.1超过项目的</w:t>
      </w:r>
      <w:r>
        <w:rPr>
          <w:rFonts w:hint="eastAsia" w:hAnsi="宋体" w:eastAsia="宋体" w:cs="宋体"/>
          <w:b/>
          <w:sz w:val="21"/>
          <w:szCs w:val="21"/>
          <w:lang w:val="en-US" w:eastAsia="zh-CN"/>
        </w:rPr>
        <w:t>预算金额</w:t>
      </w:r>
      <w:r>
        <w:rPr>
          <w:rFonts w:hint="eastAsia" w:hAnsi="宋体" w:eastAsia="宋体" w:cs="宋体"/>
          <w:b/>
          <w:sz w:val="21"/>
          <w:szCs w:val="21"/>
        </w:rPr>
        <w:t>的；</w:t>
      </w:r>
    </w:p>
    <w:p>
      <w:pPr>
        <w:pStyle w:val="14"/>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3.2有选择或有条件的报价的；</w:t>
      </w:r>
    </w:p>
    <w:p>
      <w:pPr>
        <w:pStyle w:val="14"/>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3.3 报价文件中缺失报价的。</w:t>
      </w:r>
    </w:p>
    <w:p>
      <w:pPr>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（九）出现以下情形，导致电子交易平台无法正常运行，或者无法保证电子交易的公平、公正和安全时，中止电子交易活动：</w:t>
      </w:r>
    </w:p>
    <w:p>
      <w:pPr>
        <w:snapToGrid w:val="0"/>
        <w:spacing w:line="360" w:lineRule="auto"/>
        <w:ind w:firstLine="420" w:firstLineChars="200"/>
        <w:rPr>
          <w:rFonts w:ascii="宋体" w:hAnsi="宋体" w:cs="宋体"/>
          <w:bCs/>
          <w:color w:val="000000"/>
          <w:szCs w:val="21"/>
        </w:rPr>
      </w:pPr>
      <w:r>
        <w:rPr>
          <w:rFonts w:hint="eastAsia" w:ascii="宋体" w:hAnsi="宋体" w:cs="宋体"/>
          <w:bCs/>
          <w:color w:val="000000"/>
          <w:szCs w:val="21"/>
        </w:rPr>
        <w:t>1、电子交易平台发生故障而无法登录访问的；</w:t>
      </w:r>
    </w:p>
    <w:p>
      <w:pPr>
        <w:snapToGrid w:val="0"/>
        <w:spacing w:line="360" w:lineRule="auto"/>
        <w:ind w:firstLine="420" w:firstLineChars="200"/>
        <w:rPr>
          <w:rFonts w:ascii="宋体" w:hAnsi="宋体" w:cs="宋体"/>
          <w:bCs/>
          <w:color w:val="000000"/>
          <w:szCs w:val="21"/>
        </w:rPr>
      </w:pPr>
      <w:r>
        <w:rPr>
          <w:rFonts w:hint="eastAsia" w:ascii="宋体" w:hAnsi="宋体" w:cs="宋体"/>
          <w:bCs/>
          <w:color w:val="000000"/>
          <w:szCs w:val="21"/>
        </w:rPr>
        <w:t>2、电子交易平台应用或数据库出现错误，不能进行正常操作的；</w:t>
      </w:r>
    </w:p>
    <w:p>
      <w:pPr>
        <w:snapToGrid w:val="0"/>
        <w:spacing w:line="360" w:lineRule="auto"/>
        <w:ind w:firstLine="420" w:firstLineChars="200"/>
        <w:rPr>
          <w:rFonts w:ascii="宋体" w:hAnsi="宋体" w:cs="宋体"/>
          <w:bCs/>
          <w:color w:val="000000"/>
          <w:szCs w:val="21"/>
        </w:rPr>
      </w:pPr>
      <w:r>
        <w:rPr>
          <w:rFonts w:hint="eastAsia" w:ascii="宋体" w:hAnsi="宋体" w:cs="宋体"/>
          <w:bCs/>
          <w:color w:val="000000"/>
          <w:szCs w:val="21"/>
        </w:rPr>
        <w:t>3、电子交易平台发现严重安全漏洞，有潜在泄密危险的；</w:t>
      </w:r>
    </w:p>
    <w:p>
      <w:pPr>
        <w:snapToGrid w:val="0"/>
        <w:spacing w:line="360" w:lineRule="auto"/>
        <w:ind w:firstLine="420" w:firstLineChars="200"/>
        <w:rPr>
          <w:rFonts w:ascii="宋体" w:hAnsi="宋体" w:cs="宋体"/>
          <w:bCs/>
          <w:color w:val="000000"/>
          <w:szCs w:val="21"/>
        </w:rPr>
      </w:pPr>
      <w:r>
        <w:rPr>
          <w:rFonts w:hint="eastAsia" w:ascii="宋体" w:hAnsi="宋体" w:cs="宋体"/>
          <w:bCs/>
          <w:color w:val="000000"/>
          <w:szCs w:val="21"/>
        </w:rPr>
        <w:t>4、病毒发作导致不能进行正常操作的；</w:t>
      </w:r>
    </w:p>
    <w:p>
      <w:pPr>
        <w:snapToGrid w:val="0"/>
        <w:spacing w:line="360" w:lineRule="auto"/>
        <w:ind w:firstLine="420" w:firstLineChars="200"/>
        <w:rPr>
          <w:rFonts w:ascii="宋体" w:hAnsi="宋体" w:cs="宋体"/>
          <w:bCs/>
          <w:color w:val="000000"/>
          <w:szCs w:val="21"/>
        </w:rPr>
      </w:pPr>
      <w:r>
        <w:rPr>
          <w:rFonts w:hint="eastAsia" w:ascii="宋体" w:hAnsi="宋体" w:cs="宋体"/>
          <w:bCs/>
          <w:color w:val="000000"/>
          <w:szCs w:val="21"/>
        </w:rPr>
        <w:t>5、其他无法保证电子交易的公平、公正和安全的情况。</w:t>
      </w:r>
    </w:p>
    <w:p>
      <w:pPr>
        <w:snapToGrid w:val="0"/>
        <w:spacing w:line="360" w:lineRule="auto"/>
        <w:ind w:firstLine="420" w:firstLineChars="200"/>
        <w:rPr>
          <w:rFonts w:ascii="宋体" w:hAnsi="宋体" w:cs="宋体"/>
          <w:bCs/>
          <w:color w:val="00B050"/>
          <w:szCs w:val="21"/>
        </w:rPr>
      </w:pPr>
      <w:r>
        <w:rPr>
          <w:rFonts w:hint="eastAsia" w:ascii="宋体" w:hAnsi="宋体" w:cs="宋体"/>
          <w:bCs/>
          <w:color w:val="000000"/>
          <w:szCs w:val="21"/>
        </w:rPr>
        <w:t>出现前款规定情形，不影响采购公平、公正性的，招标代理机构可以待上述情形消除后继续组织电子交易活动，也可以决定某些环节以纸质形式进行；影响或可能影响采购公平、公正性的，重新采购。</w:t>
      </w:r>
    </w:p>
    <w:p>
      <w:pPr>
        <w:snapToGrid w:val="0"/>
        <w:spacing w:line="360" w:lineRule="auto"/>
        <w:jc w:val="center"/>
        <w:rPr>
          <w:rFonts w:ascii="宋体" w:hAnsi="宋体" w:cs="宋体"/>
          <w:b/>
          <w:szCs w:val="21"/>
        </w:rPr>
      </w:pPr>
    </w:p>
    <w:p>
      <w:pPr>
        <w:snapToGrid w:val="0"/>
        <w:spacing w:line="360" w:lineRule="auto"/>
        <w:jc w:val="center"/>
        <w:outlineLvl w:val="1"/>
        <w:rPr>
          <w:rFonts w:ascii="宋体" w:hAnsi="宋体" w:cs="宋体"/>
          <w:b/>
          <w:szCs w:val="21"/>
        </w:rPr>
      </w:pPr>
      <w:r>
        <w:rPr>
          <w:rFonts w:hint="eastAsia" w:ascii="宋体" w:hAnsi="宋体" w:cs="宋体"/>
          <w:b/>
          <w:szCs w:val="21"/>
        </w:rPr>
        <w:t>四、开标</w:t>
      </w:r>
    </w:p>
    <w:p>
      <w:pPr>
        <w:pStyle w:val="14"/>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（一）开标准备</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招标代理机构将在规定的时间和地点进行开标。本项目不要求响应人授权代表参加现场开标、开启响应文件活动。</w:t>
      </w:r>
    </w:p>
    <w:p>
      <w:pPr>
        <w:pStyle w:val="14"/>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（二）开标程序</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1、开标会由招标代理机构相关工作人员主持，主持人宣布开标会议开始。</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2、介绍参加开标会的人员名单。</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3、宣布开标纪律和有关事项，告知应当回避的情形，提请有关人员回避。</w:t>
      </w:r>
    </w:p>
    <w:p>
      <w:pPr>
        <w:snapToGrid w:val="0"/>
        <w:spacing w:line="360" w:lineRule="auto"/>
        <w:ind w:firstLine="422" w:firstLineChars="200"/>
        <w:rPr>
          <w:rFonts w:ascii="宋体" w:hAnsi="宋体" w:cs="宋体"/>
          <w:b/>
          <w:bCs/>
          <w:color w:val="000000"/>
          <w:szCs w:val="21"/>
        </w:rPr>
      </w:pPr>
      <w:r>
        <w:rPr>
          <w:rFonts w:hint="eastAsia" w:ascii="宋体" w:hAnsi="宋体" w:cs="宋体"/>
          <w:b/>
          <w:bCs/>
          <w:color w:val="000000"/>
          <w:szCs w:val="21"/>
        </w:rPr>
        <w:t>4、电子招投标开标及评审程序</w:t>
      </w:r>
    </w:p>
    <w:p>
      <w:pPr>
        <w:spacing w:line="360" w:lineRule="auto"/>
        <w:ind w:firstLine="422" w:firstLineChars="200"/>
        <w:rPr>
          <w:rFonts w:ascii="宋体" w:hAnsi="宋体" w:cs="宋体"/>
          <w:b/>
          <w:bCs/>
          <w:color w:val="000000"/>
          <w:szCs w:val="21"/>
        </w:rPr>
      </w:pPr>
      <w:r>
        <w:rPr>
          <w:rFonts w:hint="eastAsia" w:ascii="宋体" w:hAnsi="宋体" w:cs="宋体"/>
          <w:b/>
          <w:bCs/>
          <w:color w:val="000000"/>
          <w:szCs w:val="21"/>
        </w:rPr>
        <w:t>4.1投标截止时间后，响应人登录政采云平台，用“项目采购-开标评标”功能对电子投标文件进行在线解密。</w:t>
      </w:r>
    </w:p>
    <w:p>
      <w:pPr>
        <w:spacing w:line="360" w:lineRule="auto"/>
        <w:ind w:firstLine="422" w:firstLineChars="200"/>
        <w:rPr>
          <w:rFonts w:ascii="宋体" w:hAnsi="宋体" w:cs="宋体"/>
          <w:b/>
          <w:bCs/>
          <w:color w:val="000000"/>
          <w:szCs w:val="21"/>
        </w:rPr>
      </w:pPr>
      <w:r>
        <w:rPr>
          <w:rFonts w:hint="eastAsia" w:ascii="宋体" w:hAnsi="宋体" w:cs="宋体"/>
          <w:b/>
          <w:bCs/>
          <w:color w:val="000000"/>
          <w:szCs w:val="21"/>
        </w:rPr>
        <w:t>4.2磋商小组对资格进行评审；</w:t>
      </w:r>
    </w:p>
    <w:p>
      <w:pPr>
        <w:spacing w:line="360" w:lineRule="auto"/>
        <w:ind w:firstLine="422" w:firstLineChars="200"/>
        <w:rPr>
          <w:rFonts w:ascii="宋体" w:hAnsi="宋体" w:cs="宋体"/>
          <w:b/>
          <w:bCs/>
          <w:color w:val="000000"/>
          <w:szCs w:val="21"/>
        </w:rPr>
      </w:pPr>
      <w:r>
        <w:rPr>
          <w:rFonts w:hint="eastAsia" w:ascii="宋体" w:hAnsi="宋体" w:cs="宋体"/>
          <w:b/>
          <w:bCs/>
          <w:color w:val="000000"/>
          <w:szCs w:val="21"/>
        </w:rPr>
        <w:t>4.3公布资格评审结果；</w:t>
      </w:r>
    </w:p>
    <w:p>
      <w:pPr>
        <w:spacing w:line="360" w:lineRule="auto"/>
        <w:ind w:firstLine="422" w:firstLineChars="200"/>
        <w:rPr>
          <w:rFonts w:ascii="宋体" w:hAnsi="宋体" w:cs="宋体"/>
          <w:b/>
          <w:bCs/>
          <w:color w:val="000000"/>
          <w:szCs w:val="21"/>
        </w:rPr>
      </w:pPr>
      <w:r>
        <w:rPr>
          <w:rFonts w:hint="eastAsia" w:ascii="宋体" w:hAnsi="宋体" w:cs="宋体"/>
          <w:b/>
          <w:bCs/>
          <w:color w:val="000000"/>
          <w:szCs w:val="21"/>
        </w:rPr>
        <w:t>4.4磋商小组就价格、服务等认为需要磋商的内容分别与各响应人进行磋商。</w:t>
      </w:r>
    </w:p>
    <w:p>
      <w:pPr>
        <w:spacing w:line="360" w:lineRule="auto"/>
        <w:ind w:firstLine="422" w:firstLineChars="200"/>
        <w:rPr>
          <w:rFonts w:ascii="宋体" w:hAnsi="宋体" w:cs="宋体"/>
          <w:b/>
          <w:bCs/>
          <w:color w:val="000000"/>
          <w:szCs w:val="21"/>
        </w:rPr>
      </w:pPr>
      <w:r>
        <w:rPr>
          <w:rFonts w:hint="eastAsia" w:ascii="宋体" w:hAnsi="宋体" w:cs="宋体"/>
          <w:b/>
          <w:bCs/>
          <w:color w:val="000000"/>
          <w:szCs w:val="21"/>
        </w:rPr>
        <w:t>4.5磋商小组对商务技术响应文件进行评审；</w:t>
      </w:r>
    </w:p>
    <w:p>
      <w:pPr>
        <w:spacing w:line="360" w:lineRule="auto"/>
        <w:ind w:firstLine="422" w:firstLineChars="200"/>
        <w:rPr>
          <w:rFonts w:ascii="宋体" w:hAnsi="宋体" w:cs="宋体"/>
          <w:b/>
          <w:bCs/>
          <w:color w:val="000000"/>
          <w:szCs w:val="21"/>
        </w:rPr>
      </w:pPr>
      <w:r>
        <w:rPr>
          <w:rFonts w:hint="eastAsia" w:ascii="宋体" w:hAnsi="宋体" w:cs="宋体"/>
          <w:b/>
          <w:bCs/>
          <w:color w:val="000000"/>
          <w:szCs w:val="21"/>
        </w:rPr>
        <w:t>4.6各响应人在规定时间内于系统上提交最终报价，最终报价不得超过自身的初次报价。</w:t>
      </w:r>
    </w:p>
    <w:p>
      <w:pPr>
        <w:spacing w:line="360" w:lineRule="auto"/>
        <w:ind w:firstLine="422" w:firstLineChars="200"/>
        <w:rPr>
          <w:rFonts w:ascii="宋体" w:hAnsi="宋体" w:cs="宋体"/>
          <w:b/>
          <w:bCs/>
          <w:color w:val="000000"/>
          <w:szCs w:val="21"/>
        </w:rPr>
      </w:pPr>
      <w:r>
        <w:rPr>
          <w:rFonts w:hint="eastAsia" w:ascii="宋体" w:hAnsi="宋体" w:cs="宋体"/>
          <w:b/>
          <w:bCs/>
          <w:color w:val="000000"/>
          <w:szCs w:val="21"/>
        </w:rPr>
        <w:t>4.7公布商务技术评审结果；</w:t>
      </w:r>
    </w:p>
    <w:p>
      <w:pPr>
        <w:spacing w:line="360" w:lineRule="auto"/>
        <w:ind w:firstLine="422" w:firstLineChars="200"/>
        <w:rPr>
          <w:rFonts w:ascii="宋体" w:hAnsi="宋体" w:cs="宋体"/>
          <w:b/>
          <w:bCs/>
          <w:color w:val="000000"/>
          <w:szCs w:val="21"/>
        </w:rPr>
      </w:pPr>
      <w:r>
        <w:rPr>
          <w:rFonts w:hint="eastAsia" w:ascii="宋体" w:hAnsi="宋体" w:cs="宋体"/>
          <w:b/>
          <w:bCs/>
          <w:color w:val="000000"/>
          <w:szCs w:val="21"/>
        </w:rPr>
        <w:t>4.8公布报价开标情况；</w:t>
      </w:r>
    </w:p>
    <w:p>
      <w:pPr>
        <w:spacing w:line="360" w:lineRule="auto"/>
        <w:ind w:firstLine="422" w:firstLineChars="200"/>
        <w:rPr>
          <w:rFonts w:ascii="宋体" w:hAnsi="宋体" w:cs="宋体"/>
          <w:b/>
          <w:bCs/>
          <w:color w:val="000000"/>
          <w:szCs w:val="21"/>
        </w:rPr>
      </w:pPr>
      <w:r>
        <w:rPr>
          <w:rFonts w:hint="eastAsia" w:ascii="宋体" w:hAnsi="宋体" w:cs="宋体"/>
          <w:b/>
          <w:bCs/>
          <w:color w:val="000000"/>
          <w:szCs w:val="21"/>
        </w:rPr>
        <w:t>4.9磋商小组对报价情况进行评审；</w:t>
      </w:r>
    </w:p>
    <w:p>
      <w:pPr>
        <w:spacing w:line="360" w:lineRule="auto"/>
        <w:ind w:firstLine="422" w:firstLineChars="200"/>
        <w:rPr>
          <w:rFonts w:ascii="宋体" w:hAnsi="宋体" w:cs="宋体"/>
          <w:b/>
          <w:bCs/>
          <w:color w:val="000000"/>
          <w:szCs w:val="21"/>
        </w:rPr>
      </w:pPr>
      <w:r>
        <w:rPr>
          <w:rFonts w:hint="eastAsia" w:ascii="宋体" w:hAnsi="宋体" w:cs="宋体"/>
          <w:b/>
          <w:bCs/>
          <w:color w:val="000000"/>
          <w:szCs w:val="21"/>
        </w:rPr>
        <w:t>4.10公布评审结果。</w:t>
      </w:r>
    </w:p>
    <w:p>
      <w:pPr>
        <w:spacing w:line="360" w:lineRule="auto"/>
        <w:ind w:firstLine="422" w:firstLineChars="200"/>
        <w:rPr>
          <w:rFonts w:ascii="宋体" w:hAnsi="宋体" w:cs="宋体"/>
          <w:b/>
          <w:bCs/>
          <w:color w:val="000000"/>
          <w:szCs w:val="21"/>
        </w:rPr>
      </w:pPr>
      <w:r>
        <w:rPr>
          <w:rFonts w:hint="eastAsia" w:ascii="宋体" w:hAnsi="宋体" w:cs="宋体"/>
          <w:b/>
          <w:bCs/>
          <w:color w:val="000000"/>
          <w:szCs w:val="21"/>
        </w:rPr>
        <w:t>特别说明：政采云公司如对电子化开标及评审程序有调整的，按调整后的程序操作。</w:t>
      </w:r>
    </w:p>
    <w:p>
      <w:pPr>
        <w:spacing w:line="360" w:lineRule="auto"/>
        <w:ind w:firstLine="422" w:firstLineChars="200"/>
        <w:rPr>
          <w:rFonts w:ascii="宋体" w:hAnsi="宋体" w:cs="宋体"/>
          <w:b/>
          <w:bCs/>
          <w:color w:val="000000"/>
          <w:szCs w:val="21"/>
        </w:rPr>
      </w:pPr>
      <w:r>
        <w:rPr>
          <w:rFonts w:hint="eastAsia" w:ascii="宋体" w:hAnsi="宋体" w:cs="宋体"/>
          <w:b/>
          <w:bCs/>
          <w:color w:val="000000"/>
          <w:szCs w:val="21"/>
        </w:rPr>
        <w:t>5、如遇电子招投标系统故障的，启用备份投标文件</w:t>
      </w:r>
    </w:p>
    <w:p>
      <w:pPr>
        <w:snapToGrid w:val="0"/>
        <w:spacing w:line="360" w:lineRule="auto"/>
        <w:ind w:firstLine="422" w:firstLineChars="200"/>
        <w:rPr>
          <w:rFonts w:ascii="宋体" w:hAnsi="宋体" w:cs="宋体"/>
          <w:b/>
          <w:bCs/>
          <w:color w:val="000000"/>
          <w:szCs w:val="21"/>
        </w:rPr>
      </w:pPr>
      <w:r>
        <w:rPr>
          <w:rFonts w:hint="eastAsia" w:ascii="宋体" w:hAnsi="宋体" w:cs="宋体"/>
          <w:b/>
          <w:bCs/>
          <w:color w:val="000000"/>
          <w:szCs w:val="21"/>
        </w:rPr>
        <w:t>6、本项目原则上采用政采云电子招投标开标及评审程序，但若响应人在规定时间内无法解密或解密失败，招标代理机构将开启未能在规定时间内解密的响应人递交的备份投标文件。</w:t>
      </w:r>
    </w:p>
    <w:p>
      <w:pPr>
        <w:snapToGrid w:val="0"/>
        <w:spacing w:line="360" w:lineRule="auto"/>
        <w:ind w:firstLine="422" w:firstLineChars="200"/>
        <w:jc w:val="center"/>
        <w:rPr>
          <w:rFonts w:ascii="宋体" w:hAnsi="宋体" w:cs="宋体"/>
          <w:b/>
          <w:szCs w:val="21"/>
        </w:rPr>
      </w:pPr>
    </w:p>
    <w:p>
      <w:pPr>
        <w:snapToGrid w:val="0"/>
        <w:spacing w:line="360" w:lineRule="auto"/>
        <w:jc w:val="center"/>
        <w:outlineLvl w:val="1"/>
        <w:rPr>
          <w:rFonts w:ascii="宋体" w:hAnsi="宋体" w:cs="宋体"/>
          <w:b/>
          <w:szCs w:val="21"/>
        </w:rPr>
      </w:pPr>
      <w:r>
        <w:rPr>
          <w:rFonts w:hint="eastAsia" w:ascii="宋体" w:hAnsi="宋体" w:cs="宋体"/>
          <w:b/>
          <w:szCs w:val="21"/>
        </w:rPr>
        <w:t>五、评标</w:t>
      </w:r>
    </w:p>
    <w:p>
      <w:pPr>
        <w:pStyle w:val="14"/>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（一）组建磋商小组</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 xml:space="preserve">磋商小组由采购人代表和评审专家共 </w:t>
      </w:r>
      <w:r>
        <w:rPr>
          <w:rFonts w:hint="eastAsia" w:hAnsi="宋体" w:eastAsia="宋体" w:cs="宋体"/>
          <w:sz w:val="21"/>
          <w:szCs w:val="21"/>
          <w:lang w:val="en-US" w:eastAsia="zh-CN"/>
        </w:rPr>
        <w:t>5</w:t>
      </w:r>
      <w:r>
        <w:rPr>
          <w:rFonts w:hint="eastAsia" w:hAnsi="宋体" w:eastAsia="宋体" w:cs="宋体"/>
          <w:sz w:val="21"/>
          <w:szCs w:val="21"/>
        </w:rPr>
        <w:t xml:space="preserve"> 人以上单数组成，其中评审专家人数不得少于磋商小组成员总数的 2/3。</w:t>
      </w:r>
    </w:p>
    <w:p>
      <w:pPr>
        <w:pStyle w:val="14"/>
        <w:snapToGrid w:val="0"/>
        <w:spacing w:line="360" w:lineRule="auto"/>
        <w:ind w:firstLine="422" w:firstLineChars="200"/>
        <w:rPr>
          <w:rFonts w:hAnsi="宋体" w:eastAsia="宋体" w:cs="宋体"/>
          <w:sz w:val="21"/>
          <w:szCs w:val="21"/>
        </w:rPr>
      </w:pPr>
      <w:r>
        <w:rPr>
          <w:rFonts w:hint="eastAsia" w:hAnsi="宋体" w:eastAsia="宋体" w:cs="宋体"/>
          <w:b/>
          <w:sz w:val="21"/>
          <w:szCs w:val="21"/>
        </w:rPr>
        <w:t>（二）评标程序</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1、资格审查</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磋商小组对响应人的资格进行审查。</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2、实质审查与比较</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2.1磋商小组审查响应文件的实质性内容是否符合磋商文件的实质性要求。</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2.2磋商小组将根据响应人的响应文件进行审查、核对，如有疑问，将对响应人进行询标，响应人要向磋商小组澄清有关问题，并最终以书面形式进行答复。</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2.3响应人代表未到场或者拒绝澄清或者澄清的内容改变了响应文件的实质性内容的，磋商小组有权对该响应文件作出不利于响应人的评判。</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2.4各响应人的商务技术得分由指定专人进行计算复核。</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2.5各响应人报价得分根据评分标准计算。</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2.6磋商小组完成评标后，对各部分得分汇总，得出本项目最终得分，磋商小组按评标原则推荐成交候选人同时起草评审报告。</w:t>
      </w:r>
    </w:p>
    <w:p>
      <w:pPr>
        <w:snapToGrid w:val="0"/>
        <w:spacing w:line="360" w:lineRule="auto"/>
        <w:ind w:firstLine="422" w:firstLineChars="200"/>
        <w:rPr>
          <w:rFonts w:ascii="宋体" w:hAnsi="宋体" w:cs="宋体"/>
          <w:b/>
          <w:szCs w:val="21"/>
        </w:rPr>
      </w:pPr>
      <w:r>
        <w:rPr>
          <w:rFonts w:hint="eastAsia" w:ascii="宋体" w:hAnsi="宋体" w:cs="宋体"/>
          <w:b/>
          <w:szCs w:val="21"/>
        </w:rPr>
        <w:t>（三）澄清问题的形式</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对响应文件中含义不明确、同类问题表述不一致或者有明显文字和计算错误的内容，磋商小组可要求响应人作出必要的澄清、说明或者纠正。响应人的澄清、说明或者补正应当采用书面形式，由其全权代表签字或盖章确认，并不得超出响应文件的范围或者改变响应文件的实质性内容。</w:t>
      </w:r>
    </w:p>
    <w:p>
      <w:pPr>
        <w:spacing w:line="360" w:lineRule="auto"/>
        <w:ind w:firstLine="422" w:firstLineChars="200"/>
        <w:rPr>
          <w:rFonts w:ascii="宋体" w:hAnsi="宋体" w:cs="宋体"/>
          <w:b/>
          <w:bCs/>
          <w:color w:val="000000"/>
          <w:szCs w:val="21"/>
        </w:rPr>
      </w:pPr>
      <w:r>
        <w:rPr>
          <w:rFonts w:hint="eastAsia" w:ascii="宋体" w:hAnsi="宋体" w:cs="宋体"/>
          <w:b/>
          <w:bCs/>
          <w:color w:val="000000"/>
          <w:szCs w:val="21"/>
        </w:rPr>
        <w:t>（四）报价错误修正</w:t>
      </w:r>
    </w:p>
    <w:p>
      <w:pPr>
        <w:spacing w:line="360" w:lineRule="auto"/>
        <w:ind w:firstLine="420" w:firstLineChars="200"/>
        <w:rPr>
          <w:rFonts w:ascii="宋体" w:hAnsi="宋体" w:cs="宋体"/>
          <w:szCs w:val="21"/>
        </w:rPr>
      </w:pPr>
      <w:r>
        <w:rPr>
          <w:rFonts w:hint="eastAsia" w:ascii="宋体" w:hAnsi="宋体" w:cs="宋体"/>
          <w:color w:val="000000"/>
          <w:szCs w:val="21"/>
        </w:rPr>
        <w:t>评标委员会对确定响应文件为实质上响应磋商文件要求的，磋商文件报价出现前后不一致的，按照下列规定修正：</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color w:val="000000"/>
          <w:szCs w:val="21"/>
          <w:shd w:val="clear" w:color="auto" w:fill="FFFFFF"/>
        </w:rPr>
        <w:t>响应文件开标一览表（报价表）内容与响应文件中相应内容不一致的，以开标一览表（报价表）为准；</w:t>
      </w:r>
    </w:p>
    <w:p>
      <w:pPr>
        <w:spacing w:line="360" w:lineRule="auto"/>
        <w:ind w:firstLine="420" w:firstLineChars="200"/>
        <w:rPr>
          <w:rFonts w:ascii="宋体" w:hAnsi="宋体" w:cs="宋体"/>
          <w:szCs w:val="21"/>
        </w:rPr>
      </w:pPr>
      <w:r>
        <w:rPr>
          <w:rFonts w:hint="eastAsia" w:ascii="宋体" w:hAnsi="宋体" w:cs="宋体"/>
          <w:color w:val="000000"/>
          <w:szCs w:val="21"/>
          <w:shd w:val="clear" w:color="auto" w:fill="FFFFFF"/>
        </w:rPr>
        <w:t>2、大写金额和小写金额不一致的，以大写金额为准；</w:t>
      </w:r>
    </w:p>
    <w:p>
      <w:pPr>
        <w:spacing w:line="360" w:lineRule="auto"/>
        <w:ind w:firstLine="420" w:firstLineChars="200"/>
        <w:rPr>
          <w:rFonts w:ascii="宋体" w:hAnsi="宋体" w:cs="宋体"/>
          <w:szCs w:val="21"/>
        </w:rPr>
      </w:pPr>
      <w:r>
        <w:rPr>
          <w:rFonts w:hint="eastAsia" w:ascii="宋体" w:hAnsi="宋体" w:cs="宋体"/>
          <w:color w:val="000000"/>
          <w:szCs w:val="21"/>
          <w:shd w:val="clear" w:color="auto" w:fill="FFFFFF"/>
        </w:rPr>
        <w:t>3、单价金额小数点或者百分比有明显错位的，以开标一览表的总价为准，并修改单价；</w:t>
      </w:r>
    </w:p>
    <w:p>
      <w:pPr>
        <w:spacing w:line="360" w:lineRule="auto"/>
        <w:ind w:firstLine="420" w:firstLineChars="200"/>
        <w:rPr>
          <w:rFonts w:ascii="宋体" w:hAnsi="宋体" w:cs="宋体"/>
          <w:color w:val="000000"/>
          <w:szCs w:val="21"/>
          <w:shd w:val="clear" w:color="auto" w:fill="FFFFFF"/>
        </w:rPr>
      </w:pPr>
      <w:r>
        <w:rPr>
          <w:rFonts w:hint="eastAsia" w:ascii="宋体" w:hAnsi="宋体" w:cs="宋体"/>
          <w:color w:val="000000"/>
          <w:szCs w:val="21"/>
          <w:shd w:val="clear" w:color="auto" w:fill="FFFFFF"/>
        </w:rPr>
        <w:t>4、总价金额与按单价汇总金额不一致的，以单价金额计算结果为准。</w:t>
      </w:r>
    </w:p>
    <w:p>
      <w:pPr>
        <w:spacing w:line="360" w:lineRule="auto"/>
        <w:ind w:firstLine="420" w:firstLineChars="200"/>
        <w:rPr>
          <w:rFonts w:ascii="宋体" w:hAnsi="宋体" w:cs="宋体"/>
          <w:szCs w:val="21"/>
        </w:rPr>
      </w:pPr>
      <w:r>
        <w:rPr>
          <w:rFonts w:hint="eastAsia" w:ascii="宋体" w:hAnsi="宋体" w:cs="宋体"/>
          <w:color w:val="000000"/>
          <w:szCs w:val="21"/>
          <w:shd w:val="clear" w:color="auto" w:fill="FFFFFF"/>
        </w:rPr>
        <w:t>5、</w:t>
      </w:r>
      <w:r>
        <w:rPr>
          <w:rFonts w:hint="eastAsia" w:ascii="宋体" w:hAnsi="宋体" w:cs="宋体"/>
          <w:szCs w:val="21"/>
        </w:rPr>
        <w:t>电子交易平台客户端里开标一览表录入的信息与投标文件不一致的，以投标文件为准；</w:t>
      </w:r>
    </w:p>
    <w:p>
      <w:pPr>
        <w:pStyle w:val="14"/>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同时出现两种以上不一致的，按上述顺序修正；按上述修正错误的原则及方法调整或修正响应文件的投磋商报价，响应人同意并签字确认后，调整后的磋商报价对响应人具有约束作用。如果响应人不接受修正后的报价，则其投标将作为无效投标处理。</w:t>
      </w:r>
    </w:p>
    <w:p>
      <w:pPr>
        <w:pStyle w:val="14"/>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（五）评标原则和评标办法</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1、磋商小组必须公平、公正、客观，不带任何倾向性和启发性；不得向外界透露任何与评标有关的内容；任何单位和个人不得干扰、影响评标的正常进行；磋商小组及有关工作人员不得私下与响应人接触。</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2、评标办法。本项目评标办法是</w:t>
      </w:r>
      <w:r>
        <w:rPr>
          <w:rFonts w:hint="eastAsia" w:hAnsi="宋体" w:eastAsia="宋体" w:cs="宋体"/>
          <w:sz w:val="21"/>
          <w:szCs w:val="21"/>
          <w:u w:val="single"/>
        </w:rPr>
        <w:t>综合评分法</w:t>
      </w:r>
      <w:r>
        <w:rPr>
          <w:rFonts w:hint="eastAsia" w:hAnsi="宋体" w:eastAsia="宋体" w:cs="宋体"/>
          <w:sz w:val="21"/>
          <w:szCs w:val="21"/>
        </w:rPr>
        <w:t>，具体评标内容及评分标准等详见《第四章：评标办法及评分标准》。</w:t>
      </w:r>
    </w:p>
    <w:p>
      <w:pPr>
        <w:pStyle w:val="14"/>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（六）磋商过程的监控</w:t>
      </w:r>
    </w:p>
    <w:p>
      <w:pPr>
        <w:pStyle w:val="14"/>
        <w:snapToGrid w:val="0"/>
        <w:spacing w:line="360" w:lineRule="auto"/>
        <w:ind w:firstLine="420" w:firstLineChars="200"/>
        <w:rPr>
          <w:rFonts w:hAnsi="宋体" w:eastAsia="宋体" w:cs="宋体"/>
          <w:b/>
          <w:sz w:val="21"/>
          <w:szCs w:val="21"/>
        </w:rPr>
      </w:pPr>
      <w:r>
        <w:rPr>
          <w:rFonts w:hint="eastAsia" w:hAnsi="宋体" w:eastAsia="宋体" w:cs="宋体"/>
          <w:sz w:val="21"/>
          <w:szCs w:val="21"/>
        </w:rPr>
        <w:t>本项目磋商过程实行全程录音、录像监控，响应人在磋商过程中所进行的试图影响评标结果的不公正活动，可能导致其响应被拒绝。</w:t>
      </w:r>
    </w:p>
    <w:p>
      <w:pPr>
        <w:snapToGrid w:val="0"/>
        <w:spacing w:line="360" w:lineRule="auto"/>
        <w:jc w:val="center"/>
        <w:rPr>
          <w:rFonts w:ascii="宋体" w:hAnsi="宋体" w:cs="宋体"/>
          <w:b/>
          <w:szCs w:val="21"/>
        </w:rPr>
      </w:pPr>
    </w:p>
    <w:p>
      <w:pPr>
        <w:snapToGrid w:val="0"/>
        <w:spacing w:line="360" w:lineRule="auto"/>
        <w:jc w:val="center"/>
        <w:outlineLvl w:val="1"/>
        <w:rPr>
          <w:rFonts w:ascii="宋体" w:hAnsi="宋体" w:cs="宋体"/>
          <w:b/>
          <w:szCs w:val="21"/>
        </w:rPr>
      </w:pPr>
      <w:r>
        <w:rPr>
          <w:rFonts w:hint="eastAsia" w:ascii="宋体" w:hAnsi="宋体" w:cs="宋体"/>
          <w:b/>
          <w:szCs w:val="21"/>
        </w:rPr>
        <w:t>六、废标</w:t>
      </w:r>
    </w:p>
    <w:p>
      <w:pPr>
        <w:snapToGrid w:val="0"/>
        <w:spacing w:line="360" w:lineRule="auto"/>
        <w:ind w:firstLine="420" w:firstLineChars="200"/>
        <w:rPr>
          <w:rFonts w:ascii="宋体" w:hAnsi="宋体" w:cs="宋体"/>
          <w:szCs w:val="21"/>
        </w:rPr>
      </w:pPr>
      <w:r>
        <w:rPr>
          <w:rFonts w:hint="eastAsia" w:ascii="宋体" w:hAnsi="宋体" w:cs="宋体"/>
          <w:szCs w:val="21"/>
        </w:rPr>
        <w:t>根据《财政部关于政府采购竞争性磋商采购人式管理暂行办法有关问题的补充通知》：</w:t>
      </w:r>
    </w:p>
    <w:p>
      <w:pPr>
        <w:snapToGrid w:val="0"/>
        <w:spacing w:line="360" w:lineRule="auto"/>
        <w:ind w:firstLine="420" w:firstLineChars="200"/>
        <w:rPr>
          <w:rFonts w:ascii="宋体" w:hAnsi="宋体" w:cs="宋体"/>
          <w:szCs w:val="21"/>
        </w:rPr>
      </w:pPr>
      <w:r>
        <w:rPr>
          <w:rFonts w:hint="eastAsia" w:ascii="宋体" w:hAnsi="宋体" w:cs="宋体"/>
          <w:szCs w:val="21"/>
        </w:rPr>
        <w:t>采用竞争性磋商采购人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招标代理机构应当终止竞争性磋商采购活动，发布项目终止公告并说明原因，重新开展采购活动。</w:t>
      </w:r>
    </w:p>
    <w:p>
      <w:pPr>
        <w:snapToGrid w:val="0"/>
        <w:spacing w:line="360" w:lineRule="auto"/>
        <w:rPr>
          <w:rFonts w:ascii="宋体" w:hAnsi="宋体" w:cs="宋体"/>
          <w:b/>
          <w:szCs w:val="21"/>
        </w:rPr>
      </w:pPr>
    </w:p>
    <w:p>
      <w:pPr>
        <w:snapToGrid w:val="0"/>
        <w:spacing w:line="360" w:lineRule="auto"/>
        <w:jc w:val="center"/>
        <w:outlineLvl w:val="1"/>
        <w:rPr>
          <w:rFonts w:ascii="宋体" w:hAnsi="宋体" w:cs="宋体"/>
          <w:b/>
          <w:szCs w:val="21"/>
        </w:rPr>
      </w:pPr>
      <w:r>
        <w:rPr>
          <w:rFonts w:hint="eastAsia" w:ascii="宋体" w:hAnsi="宋体" w:cs="宋体"/>
          <w:b/>
          <w:szCs w:val="21"/>
        </w:rPr>
        <w:t>七、定标</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（一）确定成交人。本项目由采购人事先授权磋商小组确定成交候选人3名。推荐第一名成交候选人为成交人，经采购人确认后，确定项目成交人，同时发布采购结果公告，发出成交通知书。</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1、招标代理机构在评标结束后在2个工作日内将评审报告交采购人确认。</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2、采购人应当自收到评审报告之日起5个工作日内在评审报告推荐的中标或者成交候选人中按顺序确定中标或者成交供应商。</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3、采购人或者招标代理机构应当自成交人确定之日起2个工作日内，在省级以上财政部门指定的媒体上公告中标结果，磋商文件应当随中标结果同时公告。在公告中标结果的同时，采购人或者招标代理机构应当向成交人发出成交通知书。</w:t>
      </w:r>
    </w:p>
    <w:p>
      <w:pPr>
        <w:pStyle w:val="14"/>
        <w:snapToGrid w:val="0"/>
        <w:spacing w:line="360" w:lineRule="auto"/>
        <w:ind w:firstLine="420" w:firstLineChars="200"/>
        <w:rPr>
          <w:rFonts w:hAnsi="宋体" w:cs="宋体"/>
          <w:b/>
          <w:szCs w:val="21"/>
        </w:rPr>
      </w:pPr>
      <w:r>
        <w:rPr>
          <w:rFonts w:hint="eastAsia" w:hAnsi="宋体" w:eastAsia="宋体" w:cs="宋体"/>
          <w:sz w:val="21"/>
          <w:szCs w:val="21"/>
        </w:rPr>
        <w:t>（二）成交人因自身原因放弃中标或因不可抗力不能履行合同的；经质疑，招标代理机构审查确认因成交人在本次采购活动中存在违法违规行为或其他原因使质疑成立的，如发生上述两种情况的，采购人可以与排位在成交人之后第一位的成交候选人签订采购合同，以此类推。</w:t>
      </w:r>
    </w:p>
    <w:p>
      <w:pPr>
        <w:snapToGrid w:val="0"/>
        <w:spacing w:line="360" w:lineRule="auto"/>
        <w:jc w:val="center"/>
        <w:rPr>
          <w:rFonts w:ascii="宋体" w:hAnsi="宋体" w:cs="宋体"/>
          <w:b/>
          <w:szCs w:val="21"/>
        </w:rPr>
      </w:pPr>
    </w:p>
    <w:p>
      <w:pPr>
        <w:snapToGrid w:val="0"/>
        <w:spacing w:line="360" w:lineRule="auto"/>
        <w:jc w:val="center"/>
        <w:outlineLvl w:val="1"/>
        <w:rPr>
          <w:rFonts w:ascii="宋体" w:hAnsi="宋体" w:cs="宋体"/>
          <w:b/>
          <w:szCs w:val="21"/>
        </w:rPr>
      </w:pPr>
      <w:r>
        <w:rPr>
          <w:rFonts w:hint="eastAsia" w:ascii="宋体" w:hAnsi="宋体" w:cs="宋体"/>
          <w:b/>
          <w:szCs w:val="21"/>
        </w:rPr>
        <w:t>八、合同授予</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（一）签订合同</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1、成交人应自接到成交通知书后30日内与采购人签定合同。同时，招标代理机构对合同内容进行审查，如发现与采购结果和响应承诺内容不一致的，应予以纠正。</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2、成交人拖延、拒签合同的，将被取消中标资格。</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3、成交人和采购人签订合同，按合同约定执行。</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4、中标或者成交供应商拒绝与采购人签订合同的，采购人可以按照评审报告推荐的中标或者成交候选人名单排序，确定下一候选人为中标或者成交供应商，也可以重新开展政府采购活动。</w:t>
      </w:r>
    </w:p>
    <w:p>
      <w:pPr>
        <w:pStyle w:val="14"/>
        <w:snapToGrid w:val="0"/>
        <w:spacing w:line="360" w:lineRule="auto"/>
        <w:ind w:firstLine="420" w:firstLineChars="200"/>
        <w:rPr>
          <w:rFonts w:hAnsi="宋体" w:eastAsia="宋体" w:cs="宋体"/>
          <w:sz w:val="21"/>
          <w:szCs w:val="21"/>
        </w:rPr>
      </w:pPr>
      <w:r>
        <w:rPr>
          <w:rFonts w:hint="eastAsia" w:hAnsi="宋体" w:eastAsia="宋体" w:cs="宋体"/>
          <w:sz w:val="21"/>
          <w:szCs w:val="21"/>
        </w:rPr>
        <w:t>（二）合同公告：采购人应当自政府采购合同签订之日起2个工作日内，将政府采购合同在省级以上人民政府财政部门指定的媒体上公告，但政府采购合同中涉及国家秘密、商业秘密的内容除外。</w:t>
      </w:r>
    </w:p>
    <w:p>
      <w:pPr>
        <w:pStyle w:val="14"/>
        <w:snapToGrid w:val="0"/>
        <w:spacing w:before="120" w:after="120" w:line="360" w:lineRule="auto"/>
        <w:jc w:val="center"/>
        <w:outlineLvl w:val="0"/>
        <w:rPr>
          <w:rFonts w:hAnsi="宋体" w:eastAsia="宋体" w:cs="宋体"/>
          <w:b/>
          <w:sz w:val="28"/>
          <w:szCs w:val="28"/>
        </w:rPr>
      </w:pPr>
      <w:r>
        <w:rPr>
          <w:rFonts w:hint="eastAsia" w:hAnsi="宋体" w:eastAsia="宋体" w:cs="宋体"/>
          <w:b/>
          <w:sz w:val="28"/>
          <w:szCs w:val="28"/>
        </w:rPr>
        <w:br w:type="page"/>
      </w:r>
      <w:r>
        <w:rPr>
          <w:rFonts w:hint="eastAsia" w:hAnsi="宋体" w:eastAsia="宋体" w:cs="宋体"/>
          <w:b/>
          <w:sz w:val="28"/>
          <w:szCs w:val="28"/>
        </w:rPr>
        <w:t>第四章  评标办法及标准</w:t>
      </w:r>
    </w:p>
    <w:p>
      <w:pPr>
        <w:spacing w:line="360" w:lineRule="auto"/>
        <w:ind w:firstLine="420" w:firstLineChars="200"/>
        <w:rPr>
          <w:rFonts w:ascii="宋体" w:hAnsi="宋体" w:cs="宋体"/>
          <w:szCs w:val="21"/>
        </w:rPr>
      </w:pPr>
      <w:r>
        <w:rPr>
          <w:rFonts w:hint="eastAsia" w:ascii="宋体" w:hAnsi="宋体" w:cs="宋体"/>
          <w:szCs w:val="21"/>
        </w:rPr>
        <w:t>为公正、公平、科学地选择成交人，根据《中华人民共和国政府采购法》等有关法律法规的规定，并结合本项目的实际，制定本办法，本办法适用本项目的评标。</w:t>
      </w:r>
    </w:p>
    <w:p>
      <w:pPr>
        <w:autoSpaceDE w:val="0"/>
        <w:autoSpaceDN w:val="0"/>
        <w:adjustRightInd w:val="0"/>
        <w:spacing w:line="360" w:lineRule="auto"/>
        <w:outlineLvl w:val="1"/>
        <w:rPr>
          <w:rFonts w:ascii="宋体" w:hAnsi="宋体" w:cs="宋体"/>
          <w:b/>
          <w:szCs w:val="21"/>
        </w:rPr>
      </w:pPr>
      <w:r>
        <w:rPr>
          <w:rFonts w:hint="eastAsia" w:ascii="宋体" w:hAnsi="宋体" w:cs="宋体"/>
          <w:b/>
          <w:szCs w:val="21"/>
        </w:rPr>
        <w:t>一、资格审查</w:t>
      </w:r>
    </w:p>
    <w:p>
      <w:pPr>
        <w:autoSpaceDE w:val="0"/>
        <w:autoSpaceDN w:val="0"/>
        <w:adjustRightInd w:val="0"/>
        <w:spacing w:line="360" w:lineRule="auto"/>
        <w:ind w:firstLine="420" w:firstLineChars="200"/>
        <w:rPr>
          <w:rFonts w:ascii="宋体" w:hAnsi="宋体" w:cs="宋体"/>
          <w:szCs w:val="21"/>
          <w:lang w:val="zh-CN"/>
        </w:rPr>
      </w:pPr>
      <w:r>
        <w:rPr>
          <w:rFonts w:hint="eastAsia" w:ascii="宋体" w:hAnsi="宋体" w:cs="宋体"/>
          <w:szCs w:val="21"/>
          <w:lang w:val="zh-CN"/>
        </w:rPr>
        <w:t>1、由</w:t>
      </w:r>
      <w:r>
        <w:rPr>
          <w:rFonts w:hint="eastAsia" w:ascii="宋体" w:hAnsi="宋体" w:cs="宋体"/>
          <w:szCs w:val="21"/>
        </w:rPr>
        <w:t>磋商小组</w:t>
      </w:r>
      <w:r>
        <w:rPr>
          <w:rFonts w:hint="eastAsia" w:ascii="宋体" w:hAnsi="宋体" w:cs="宋体"/>
          <w:szCs w:val="21"/>
          <w:lang w:val="zh-CN"/>
        </w:rPr>
        <w:t>对</w:t>
      </w:r>
      <w:r>
        <w:rPr>
          <w:rFonts w:hint="eastAsia" w:ascii="宋体" w:hAnsi="宋体" w:cs="宋体"/>
          <w:szCs w:val="21"/>
        </w:rPr>
        <w:t>响应</w:t>
      </w:r>
      <w:r>
        <w:rPr>
          <w:rFonts w:hint="eastAsia" w:ascii="宋体" w:hAnsi="宋体" w:cs="宋体"/>
          <w:szCs w:val="21"/>
          <w:lang w:val="zh-CN"/>
        </w:rPr>
        <w:t>人的资格进行审查。</w:t>
      </w:r>
    </w:p>
    <w:p>
      <w:pPr>
        <w:autoSpaceDE w:val="0"/>
        <w:autoSpaceDN w:val="0"/>
        <w:adjustRightInd w:val="0"/>
        <w:spacing w:line="360" w:lineRule="auto"/>
        <w:ind w:firstLine="420" w:firstLineChars="200"/>
        <w:rPr>
          <w:rFonts w:ascii="宋体" w:hAnsi="宋体" w:cs="宋体"/>
          <w:szCs w:val="21"/>
          <w:lang w:val="zh-CN"/>
        </w:rPr>
      </w:pPr>
      <w:r>
        <w:rPr>
          <w:rFonts w:hint="eastAsia" w:ascii="宋体" w:hAnsi="宋体" w:cs="宋体"/>
          <w:szCs w:val="21"/>
          <w:lang w:val="zh-CN"/>
        </w:rPr>
        <w:t>2、按以下内容审核</w:t>
      </w:r>
      <w:r>
        <w:rPr>
          <w:rFonts w:hint="eastAsia" w:ascii="宋体" w:hAnsi="宋体" w:cs="宋体"/>
          <w:szCs w:val="21"/>
        </w:rPr>
        <w:t>响应</w:t>
      </w:r>
      <w:r>
        <w:rPr>
          <w:rFonts w:hint="eastAsia" w:ascii="宋体" w:hAnsi="宋体" w:cs="宋体"/>
          <w:szCs w:val="21"/>
          <w:lang w:val="zh-CN"/>
        </w:rPr>
        <w:t>文件是否符合</w:t>
      </w:r>
      <w:r>
        <w:rPr>
          <w:rFonts w:hint="eastAsia" w:ascii="宋体" w:hAnsi="宋体" w:cs="宋体"/>
          <w:szCs w:val="21"/>
        </w:rPr>
        <w:t>磋商</w:t>
      </w:r>
      <w:r>
        <w:rPr>
          <w:rFonts w:hint="eastAsia" w:ascii="宋体" w:hAnsi="宋体" w:cs="宋体"/>
          <w:szCs w:val="21"/>
          <w:lang w:val="zh-CN"/>
        </w:rPr>
        <w:t>文件的资格文件要求。</w:t>
      </w:r>
    </w:p>
    <w:tbl>
      <w:tblPr>
        <w:tblStyle w:val="26"/>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6675"/>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trPr>
        <w:tc>
          <w:tcPr>
            <w:tcW w:w="1196" w:type="dxa"/>
            <w:vAlign w:val="center"/>
          </w:tcPr>
          <w:p>
            <w:pPr>
              <w:spacing w:line="360" w:lineRule="auto"/>
              <w:jc w:val="center"/>
              <w:rPr>
                <w:rFonts w:ascii="宋体" w:hAnsi="宋体" w:cs="宋体"/>
                <w:b/>
                <w:szCs w:val="21"/>
              </w:rPr>
            </w:pPr>
            <w:r>
              <w:rPr>
                <w:rFonts w:hint="eastAsia" w:ascii="宋体" w:hAnsi="宋体" w:cs="宋体"/>
                <w:b/>
                <w:szCs w:val="21"/>
              </w:rPr>
              <w:t>序号</w:t>
            </w:r>
          </w:p>
        </w:tc>
        <w:tc>
          <w:tcPr>
            <w:tcW w:w="6675" w:type="dxa"/>
            <w:tcBorders>
              <w:tl2br w:val="single" w:color="auto" w:sz="4" w:space="0"/>
            </w:tcBorders>
          </w:tcPr>
          <w:p>
            <w:pPr>
              <w:spacing w:line="360" w:lineRule="auto"/>
              <w:jc w:val="right"/>
              <w:rPr>
                <w:rFonts w:ascii="宋体" w:hAnsi="宋体" w:cs="宋体"/>
                <w:b/>
                <w:szCs w:val="21"/>
              </w:rPr>
            </w:pPr>
            <w:r>
              <w:rPr>
                <w:rFonts w:hint="eastAsia" w:ascii="宋体" w:hAnsi="宋体" w:cs="宋体"/>
                <w:b/>
                <w:szCs w:val="21"/>
              </w:rPr>
              <w:t>响应人</w:t>
            </w:r>
          </w:p>
          <w:p>
            <w:pPr>
              <w:spacing w:line="360" w:lineRule="auto"/>
              <w:rPr>
                <w:rFonts w:ascii="宋体" w:hAnsi="宋体" w:cs="宋体"/>
                <w:b/>
                <w:szCs w:val="21"/>
              </w:rPr>
            </w:pPr>
            <w:r>
              <w:rPr>
                <w:rFonts w:hint="eastAsia" w:ascii="宋体" w:hAnsi="宋体" w:cs="宋体"/>
                <w:b/>
                <w:szCs w:val="21"/>
              </w:rPr>
              <w:t>内容</w:t>
            </w:r>
          </w:p>
        </w:tc>
        <w:tc>
          <w:tcPr>
            <w:tcW w:w="2004" w:type="dxa"/>
            <w:vAlign w:val="center"/>
          </w:tcPr>
          <w:p>
            <w:pPr>
              <w:spacing w:line="360" w:lineRule="auto"/>
              <w:jc w:val="center"/>
              <w:rPr>
                <w:rFonts w:ascii="宋体" w:hAnsi="宋体" w:cs="宋体"/>
                <w:b/>
                <w:szCs w:val="21"/>
              </w:rPr>
            </w:pPr>
            <w:r>
              <w:rPr>
                <w:rFonts w:hint="eastAsia" w:ascii="宋体" w:hAnsi="宋体" w:cs="宋体"/>
                <w:b/>
                <w:szCs w:val="21"/>
              </w:rPr>
              <w:t>审核标准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196" w:type="dxa"/>
            <w:vAlign w:val="center"/>
          </w:tcPr>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jc w:val="center"/>
              <w:textAlignment w:val="auto"/>
              <w:rPr>
                <w:rFonts w:ascii="宋体" w:hAnsi="宋体" w:cs="宋体"/>
                <w:szCs w:val="21"/>
              </w:rPr>
            </w:pPr>
          </w:p>
        </w:tc>
        <w:tc>
          <w:tcPr>
            <w:tcW w:w="6675" w:type="dxa"/>
            <w:vAlign w:val="center"/>
          </w:tcPr>
          <w:p>
            <w:pPr>
              <w:spacing w:line="360" w:lineRule="auto"/>
              <w:rPr>
                <w:rFonts w:hint="eastAsia" w:ascii="宋体" w:hAnsi="宋体" w:cs="宋体"/>
                <w:szCs w:val="21"/>
              </w:rPr>
            </w:pPr>
            <w:r>
              <w:rPr>
                <w:rFonts w:hint="eastAsia" w:ascii="宋体" w:hAnsi="宋体" w:cs="宋体"/>
                <w:szCs w:val="21"/>
              </w:rPr>
              <w:t>享受中小企业预留份额政策相关证明文件</w:t>
            </w:r>
            <w:bookmarkStart w:id="5" w:name="_GoBack"/>
            <w:bookmarkEnd w:id="5"/>
          </w:p>
        </w:tc>
        <w:tc>
          <w:tcPr>
            <w:tcW w:w="2004"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196" w:type="dxa"/>
            <w:vAlign w:val="center"/>
          </w:tcPr>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jc w:val="center"/>
              <w:textAlignment w:val="auto"/>
              <w:rPr>
                <w:rFonts w:ascii="宋体" w:hAnsi="宋体" w:cs="宋体"/>
                <w:szCs w:val="21"/>
              </w:rPr>
            </w:pPr>
          </w:p>
        </w:tc>
        <w:tc>
          <w:tcPr>
            <w:tcW w:w="6675" w:type="dxa"/>
            <w:vAlign w:val="center"/>
          </w:tcPr>
          <w:p>
            <w:pPr>
              <w:spacing w:line="360" w:lineRule="auto"/>
              <w:rPr>
                <w:rFonts w:ascii="宋体" w:hAnsi="宋体" w:cs="宋体"/>
                <w:szCs w:val="21"/>
              </w:rPr>
            </w:pPr>
            <w:r>
              <w:rPr>
                <w:rFonts w:hint="eastAsia" w:ascii="宋体" w:hAnsi="宋体" w:cs="宋体"/>
                <w:szCs w:val="21"/>
              </w:rPr>
              <w:t>投标人具有独立承担民事责任的能力证明资料</w:t>
            </w:r>
          </w:p>
        </w:tc>
        <w:tc>
          <w:tcPr>
            <w:tcW w:w="2004"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196" w:type="dxa"/>
            <w:vAlign w:val="center"/>
          </w:tcPr>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jc w:val="center"/>
              <w:textAlignment w:val="auto"/>
              <w:rPr>
                <w:rFonts w:ascii="宋体" w:hAnsi="宋体" w:cs="宋体"/>
                <w:szCs w:val="21"/>
              </w:rPr>
            </w:pPr>
          </w:p>
        </w:tc>
        <w:tc>
          <w:tcPr>
            <w:tcW w:w="6675" w:type="dxa"/>
            <w:vAlign w:val="center"/>
          </w:tcPr>
          <w:p>
            <w:pPr>
              <w:spacing w:line="360" w:lineRule="auto"/>
              <w:rPr>
                <w:rFonts w:ascii="宋体" w:hAnsi="宋体" w:cs="宋体"/>
                <w:szCs w:val="21"/>
              </w:rPr>
            </w:pPr>
            <w:r>
              <w:rPr>
                <w:rFonts w:hint="eastAsia" w:ascii="宋体" w:hAnsi="宋体" w:cs="宋体"/>
                <w:szCs w:val="21"/>
              </w:rPr>
              <w:t>资格承诺函</w:t>
            </w:r>
          </w:p>
        </w:tc>
        <w:tc>
          <w:tcPr>
            <w:tcW w:w="2004"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196" w:type="dxa"/>
            <w:vAlign w:val="center"/>
          </w:tcPr>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cs="宋体"/>
                <w:szCs w:val="21"/>
              </w:rPr>
            </w:pPr>
          </w:p>
        </w:tc>
        <w:tc>
          <w:tcPr>
            <w:tcW w:w="6675"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szCs w:val="21"/>
              </w:rPr>
            </w:pPr>
            <w:r>
              <w:rPr>
                <w:rFonts w:hint="eastAsia" w:ascii="宋体" w:hAnsi="宋体" w:cs="宋体"/>
                <w:szCs w:val="21"/>
              </w:rPr>
              <w:t>未被“信用中国”（www.creditchina.gov.cn）、中国政府采购网（www.ccgp.gov.cn）列入失信被执行人、重大税收违法案件当事人名单、政府采购严重违法失信行为记录名单。（具体以开标现场网页查询结果为准）</w:t>
            </w:r>
          </w:p>
        </w:tc>
        <w:tc>
          <w:tcPr>
            <w:tcW w:w="2004"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196" w:type="dxa"/>
            <w:vAlign w:val="center"/>
          </w:tcPr>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jc w:val="center"/>
              <w:textAlignment w:val="auto"/>
              <w:rPr>
                <w:rFonts w:ascii="宋体" w:hAnsi="宋体" w:cs="宋体"/>
                <w:szCs w:val="21"/>
              </w:rPr>
            </w:pPr>
          </w:p>
        </w:tc>
        <w:tc>
          <w:tcPr>
            <w:tcW w:w="6675" w:type="dxa"/>
            <w:vAlign w:val="center"/>
          </w:tcPr>
          <w:p>
            <w:pPr>
              <w:spacing w:line="360" w:lineRule="auto"/>
              <w:rPr>
                <w:rFonts w:ascii="宋体" w:hAnsi="宋体" w:cs="宋体"/>
                <w:szCs w:val="21"/>
              </w:rPr>
            </w:pPr>
            <w:r>
              <w:rPr>
                <w:rFonts w:hint="eastAsia" w:ascii="宋体" w:hAnsi="宋体" w:cs="宋体"/>
                <w:szCs w:val="21"/>
              </w:rPr>
              <w:t>响应人法定代表人身份证复印件</w:t>
            </w:r>
          </w:p>
        </w:tc>
        <w:tc>
          <w:tcPr>
            <w:tcW w:w="2004"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196" w:type="dxa"/>
            <w:vAlign w:val="center"/>
          </w:tcPr>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jc w:val="center"/>
              <w:textAlignment w:val="auto"/>
              <w:rPr>
                <w:rFonts w:ascii="宋体" w:hAnsi="宋体" w:cs="宋体"/>
                <w:szCs w:val="21"/>
              </w:rPr>
            </w:pPr>
          </w:p>
        </w:tc>
        <w:tc>
          <w:tcPr>
            <w:tcW w:w="6675" w:type="dxa"/>
            <w:vAlign w:val="center"/>
          </w:tcPr>
          <w:p>
            <w:pPr>
              <w:spacing w:line="360" w:lineRule="auto"/>
              <w:rPr>
                <w:rFonts w:ascii="宋体" w:hAnsi="宋体" w:cs="宋体"/>
                <w:szCs w:val="21"/>
              </w:rPr>
            </w:pPr>
            <w:r>
              <w:rPr>
                <w:rFonts w:hint="eastAsia" w:hAnsi="宋体" w:cs="宋体"/>
                <w:szCs w:val="21"/>
              </w:rPr>
              <w:t>投标函</w:t>
            </w:r>
          </w:p>
        </w:tc>
        <w:tc>
          <w:tcPr>
            <w:tcW w:w="2004"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1196" w:type="dxa"/>
            <w:vAlign w:val="center"/>
          </w:tcPr>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jc w:val="center"/>
              <w:textAlignment w:val="auto"/>
              <w:rPr>
                <w:rFonts w:ascii="宋体" w:hAnsi="宋体" w:cs="宋体"/>
                <w:szCs w:val="21"/>
              </w:rPr>
            </w:pPr>
          </w:p>
        </w:tc>
        <w:tc>
          <w:tcPr>
            <w:tcW w:w="6675" w:type="dxa"/>
            <w:vAlign w:val="center"/>
          </w:tcPr>
          <w:p>
            <w:pPr>
              <w:spacing w:line="360" w:lineRule="auto"/>
              <w:rPr>
                <w:rFonts w:ascii="宋体" w:hAnsi="宋体" w:cs="宋体"/>
                <w:szCs w:val="21"/>
              </w:rPr>
            </w:pPr>
            <w:r>
              <w:rPr>
                <w:rFonts w:hint="eastAsia" w:ascii="宋体" w:hAnsi="宋体" w:cs="宋体"/>
                <w:szCs w:val="21"/>
              </w:rPr>
              <w:t>法定代表人授权函，非法定代表人参加磋商时提供</w:t>
            </w:r>
          </w:p>
        </w:tc>
        <w:tc>
          <w:tcPr>
            <w:tcW w:w="2004"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1196" w:type="dxa"/>
            <w:vAlign w:val="center"/>
          </w:tcPr>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jc w:val="center"/>
              <w:textAlignment w:val="auto"/>
              <w:rPr>
                <w:rFonts w:ascii="宋体" w:hAnsi="宋体" w:cs="宋体"/>
                <w:szCs w:val="21"/>
              </w:rPr>
            </w:pPr>
          </w:p>
        </w:tc>
        <w:tc>
          <w:tcPr>
            <w:tcW w:w="6675" w:type="dxa"/>
            <w:vAlign w:val="center"/>
          </w:tcPr>
          <w:p>
            <w:pPr>
              <w:spacing w:line="360" w:lineRule="auto"/>
              <w:rPr>
                <w:rFonts w:ascii="宋体" w:hAnsi="宋体" w:cs="宋体"/>
                <w:szCs w:val="21"/>
              </w:rPr>
            </w:pPr>
            <w:r>
              <w:rPr>
                <w:rFonts w:hint="eastAsia" w:ascii="宋体" w:hAnsi="宋体" w:cs="宋体"/>
                <w:szCs w:val="21"/>
              </w:rPr>
              <w:t>响应人代表身份证复印件，非法定代表人参加磋商时提供</w:t>
            </w:r>
          </w:p>
        </w:tc>
        <w:tc>
          <w:tcPr>
            <w:tcW w:w="2004"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 w:hRule="atLeast"/>
        </w:trPr>
        <w:tc>
          <w:tcPr>
            <w:tcW w:w="7871" w:type="dxa"/>
            <w:gridSpan w:val="2"/>
          </w:tcPr>
          <w:p>
            <w:pPr>
              <w:pStyle w:val="15"/>
              <w:spacing w:line="360" w:lineRule="auto"/>
              <w:ind w:left="0" w:firstLine="0" w:firstLineChars="0"/>
              <w:jc w:val="center"/>
              <w:rPr>
                <w:rFonts w:ascii="宋体" w:hAnsi="宋体" w:cs="宋体"/>
                <w:b/>
                <w:sz w:val="21"/>
                <w:szCs w:val="21"/>
              </w:rPr>
            </w:pPr>
            <w:r>
              <w:rPr>
                <w:rFonts w:hint="eastAsia" w:ascii="宋体" w:hAnsi="宋体" w:cs="宋体"/>
                <w:b/>
                <w:sz w:val="21"/>
                <w:szCs w:val="21"/>
              </w:rPr>
              <w:t>结   论</w:t>
            </w:r>
          </w:p>
        </w:tc>
        <w:tc>
          <w:tcPr>
            <w:tcW w:w="2004" w:type="dxa"/>
            <w:vAlign w:val="center"/>
          </w:tcPr>
          <w:p>
            <w:pPr>
              <w:spacing w:line="360" w:lineRule="auto"/>
              <w:jc w:val="center"/>
              <w:rPr>
                <w:rFonts w:ascii="宋体" w:hAnsi="宋体" w:cs="宋体"/>
                <w:b/>
                <w:szCs w:val="21"/>
              </w:rPr>
            </w:pPr>
          </w:p>
        </w:tc>
      </w:tr>
    </w:tbl>
    <w:p>
      <w:pPr>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lang w:val="zh-CN"/>
        </w:rPr>
        <w:t>注：1、表中只需填写“√”或“×”；</w:t>
      </w:r>
      <w:r>
        <w:rPr>
          <w:rFonts w:hint="eastAsia" w:ascii="宋体" w:hAnsi="宋体" w:cs="宋体"/>
          <w:szCs w:val="21"/>
        </w:rPr>
        <w:t xml:space="preserve"> </w:t>
      </w:r>
      <w:r>
        <w:rPr>
          <w:rFonts w:hint="eastAsia" w:ascii="宋体" w:hAnsi="宋体" w:cs="宋体"/>
          <w:szCs w:val="21"/>
          <w:lang w:val="zh-CN"/>
        </w:rPr>
        <w:t>2、在结论栏中填写“合格”或“不合格”。</w:t>
      </w:r>
    </w:p>
    <w:p>
      <w:pPr>
        <w:autoSpaceDE w:val="0"/>
        <w:autoSpaceDN w:val="0"/>
        <w:adjustRightInd w:val="0"/>
        <w:spacing w:line="360" w:lineRule="auto"/>
        <w:outlineLvl w:val="1"/>
        <w:rPr>
          <w:rFonts w:ascii="宋体" w:hAnsi="宋体" w:cs="宋体"/>
          <w:b/>
          <w:szCs w:val="21"/>
        </w:rPr>
      </w:pPr>
      <w:r>
        <w:rPr>
          <w:rFonts w:hint="eastAsia" w:ascii="宋体" w:hAnsi="宋体" w:cs="宋体"/>
          <w:b/>
          <w:szCs w:val="21"/>
        </w:rPr>
        <w:t>二、</w:t>
      </w:r>
      <w:r>
        <w:rPr>
          <w:rFonts w:ascii="宋体" w:hAnsi="宋体" w:cs="宋体"/>
          <w:b/>
          <w:szCs w:val="21"/>
        </w:rPr>
        <w:t>成交</w:t>
      </w:r>
      <w:r>
        <w:rPr>
          <w:rFonts w:hint="eastAsia" w:ascii="宋体" w:hAnsi="宋体" w:cs="宋体"/>
          <w:b/>
          <w:szCs w:val="21"/>
        </w:rPr>
        <w:t>候选人的选取</w:t>
      </w:r>
    </w:p>
    <w:p>
      <w:pPr>
        <w:spacing w:line="360" w:lineRule="auto"/>
        <w:ind w:firstLine="420" w:firstLineChars="200"/>
        <w:rPr>
          <w:rFonts w:ascii="宋体" w:hAnsi="宋体" w:cs="宋体"/>
          <w:b/>
          <w:szCs w:val="21"/>
          <w:lang w:val="zh-CN"/>
        </w:rPr>
      </w:pPr>
      <w:r>
        <w:rPr>
          <w:rFonts w:hint="eastAsia" w:ascii="宋体" w:hAnsi="宋体" w:cs="宋体"/>
          <w:szCs w:val="21"/>
        </w:rPr>
        <w:t>将综合评估分从高到低排序，得出响应人名次,按照综合评估分名次推荐成交候选人3名。综合评估分相同时，按磋商报价由低到高顺序排列，综合评估分且磋商报价相同的，抽签决定排序（弃权视为自动放弃中标资格）。</w:t>
      </w:r>
    </w:p>
    <w:p>
      <w:pPr>
        <w:spacing w:line="360" w:lineRule="auto"/>
        <w:outlineLvl w:val="1"/>
        <w:rPr>
          <w:rFonts w:ascii="宋体" w:hAnsi="宋体" w:cs="宋体"/>
          <w:b/>
          <w:szCs w:val="21"/>
        </w:rPr>
      </w:pPr>
      <w:r>
        <w:rPr>
          <w:rFonts w:hint="eastAsia" w:ascii="宋体" w:hAnsi="宋体" w:cs="宋体"/>
          <w:b/>
          <w:szCs w:val="21"/>
        </w:rPr>
        <w:t>三、成交人选取依据</w:t>
      </w:r>
    </w:p>
    <w:p>
      <w:pPr>
        <w:spacing w:line="360" w:lineRule="auto"/>
        <w:ind w:firstLine="420" w:firstLineChars="200"/>
        <w:rPr>
          <w:rFonts w:ascii="宋体" w:hAnsi="宋体" w:cs="宋体"/>
          <w:szCs w:val="21"/>
        </w:rPr>
      </w:pPr>
      <w:r>
        <w:rPr>
          <w:rFonts w:hint="eastAsia" w:ascii="宋体" w:hAnsi="宋体" w:cs="宋体"/>
          <w:szCs w:val="21"/>
        </w:rPr>
        <w:t xml:space="preserve">磋商小组根据综合评估分得分排序，推荐第一名成交候选人为成交人，经采购人确认后，确定项目成交人，同时发布采购结果公告，发出成交通知书。 </w:t>
      </w:r>
    </w:p>
    <w:p>
      <w:pPr>
        <w:spacing w:line="360" w:lineRule="auto"/>
        <w:outlineLvl w:val="1"/>
        <w:rPr>
          <w:rFonts w:ascii="宋体" w:hAnsi="宋体" w:cs="宋体"/>
          <w:b/>
          <w:szCs w:val="21"/>
        </w:rPr>
      </w:pPr>
      <w:r>
        <w:rPr>
          <w:rFonts w:hint="eastAsia" w:ascii="宋体" w:hAnsi="宋体" w:cs="宋体"/>
          <w:b/>
          <w:szCs w:val="21"/>
        </w:rPr>
        <w:t>四、综合评估分计分方法</w:t>
      </w:r>
    </w:p>
    <w:p>
      <w:pPr>
        <w:autoSpaceDE w:val="0"/>
        <w:autoSpaceDN w:val="0"/>
        <w:adjustRightInd w:val="0"/>
        <w:spacing w:line="360" w:lineRule="auto"/>
        <w:ind w:firstLine="420" w:firstLineChars="200"/>
        <w:rPr>
          <w:rFonts w:ascii="宋体" w:hAnsi="宋体" w:cs="宋体"/>
          <w:szCs w:val="21"/>
          <w:lang w:val="zh-CN"/>
        </w:rPr>
      </w:pPr>
      <w:r>
        <w:rPr>
          <w:rFonts w:hint="eastAsia" w:ascii="宋体" w:hAnsi="宋体" w:cs="宋体"/>
          <w:szCs w:val="21"/>
          <w:lang w:val="zh-CN"/>
        </w:rPr>
        <w:t>满足</w:t>
      </w:r>
      <w:r>
        <w:rPr>
          <w:rFonts w:hint="eastAsia" w:ascii="宋体" w:hAnsi="宋体" w:cs="宋体"/>
          <w:szCs w:val="21"/>
        </w:rPr>
        <w:t>磋商</w:t>
      </w:r>
      <w:r>
        <w:rPr>
          <w:rFonts w:hint="eastAsia" w:ascii="宋体" w:hAnsi="宋体" w:cs="宋体"/>
          <w:szCs w:val="21"/>
          <w:lang w:val="zh-CN"/>
        </w:rPr>
        <w:t>文件要求且</w:t>
      </w:r>
      <w:r>
        <w:rPr>
          <w:rFonts w:hint="eastAsia" w:ascii="宋体" w:hAnsi="宋体" w:cs="宋体"/>
          <w:szCs w:val="21"/>
        </w:rPr>
        <w:t>最后报价最低的供应商的价格为磋商基准价</w:t>
      </w:r>
      <w:r>
        <w:rPr>
          <w:rFonts w:hint="eastAsia" w:ascii="宋体" w:hAnsi="宋体" w:cs="宋体"/>
          <w:szCs w:val="21"/>
          <w:lang w:val="zh-CN"/>
        </w:rPr>
        <w:t>，其价格分为满分。其他</w:t>
      </w:r>
      <w:r>
        <w:rPr>
          <w:rFonts w:hint="eastAsia" w:ascii="宋体" w:hAnsi="宋体" w:cs="宋体"/>
          <w:szCs w:val="21"/>
        </w:rPr>
        <w:t>供应商</w:t>
      </w:r>
      <w:r>
        <w:rPr>
          <w:rFonts w:hint="eastAsia" w:ascii="宋体" w:hAnsi="宋体" w:cs="宋体"/>
          <w:szCs w:val="21"/>
          <w:lang w:val="zh-CN"/>
        </w:rPr>
        <w:t>的价格分</w:t>
      </w:r>
      <w:r>
        <w:rPr>
          <w:rFonts w:hint="eastAsia" w:ascii="宋体" w:hAnsi="宋体" w:cs="宋体"/>
          <w:szCs w:val="21"/>
        </w:rPr>
        <w:t>统一按照下</w:t>
      </w:r>
      <w:r>
        <w:rPr>
          <w:rFonts w:hint="eastAsia" w:ascii="宋体" w:hAnsi="宋体" w:cs="宋体"/>
          <w:szCs w:val="21"/>
          <w:lang w:val="zh-CN"/>
        </w:rPr>
        <w:t>列公式计算：</w:t>
      </w:r>
      <w:r>
        <w:rPr>
          <w:rFonts w:hint="eastAsia" w:ascii="宋体" w:hAnsi="宋体" w:cs="宋体"/>
          <w:szCs w:val="21"/>
        </w:rPr>
        <w:t>磋商</w:t>
      </w:r>
      <w:r>
        <w:rPr>
          <w:rFonts w:hint="eastAsia" w:ascii="宋体" w:hAnsi="宋体" w:cs="宋体"/>
          <w:szCs w:val="21"/>
          <w:lang w:val="zh-CN"/>
        </w:rPr>
        <w:t>报价得分＝（</w:t>
      </w:r>
      <w:r>
        <w:rPr>
          <w:rFonts w:hint="eastAsia" w:ascii="宋体" w:hAnsi="宋体" w:cs="宋体"/>
          <w:szCs w:val="21"/>
        </w:rPr>
        <w:t>磋商</w:t>
      </w:r>
      <w:r>
        <w:rPr>
          <w:rFonts w:hint="eastAsia" w:ascii="宋体" w:hAnsi="宋体" w:cs="宋体"/>
          <w:szCs w:val="21"/>
          <w:lang w:val="zh-CN"/>
        </w:rPr>
        <w:t>基准价/</w:t>
      </w:r>
      <w:r>
        <w:rPr>
          <w:rFonts w:hint="eastAsia" w:ascii="宋体" w:hAnsi="宋体" w:cs="宋体"/>
          <w:szCs w:val="21"/>
        </w:rPr>
        <w:t>最后磋商</w:t>
      </w:r>
      <w:r>
        <w:rPr>
          <w:rFonts w:hint="eastAsia" w:ascii="宋体" w:hAnsi="宋体" w:cs="宋体"/>
          <w:szCs w:val="21"/>
          <w:lang w:val="zh-CN"/>
        </w:rPr>
        <w:t>报价）×价格权重×100。</w:t>
      </w:r>
    </w:p>
    <w:p>
      <w:pPr>
        <w:autoSpaceDE w:val="0"/>
        <w:autoSpaceDN w:val="0"/>
        <w:adjustRightInd w:val="0"/>
        <w:spacing w:line="360" w:lineRule="auto"/>
        <w:ind w:firstLine="420" w:firstLineChars="200"/>
        <w:rPr>
          <w:rFonts w:ascii="宋体" w:hAnsi="宋体"/>
          <w:szCs w:val="21"/>
        </w:rPr>
      </w:pPr>
      <w:r>
        <w:rPr>
          <w:rFonts w:hint="eastAsia" w:ascii="宋体" w:hAnsi="宋体"/>
          <w:szCs w:val="21"/>
        </w:rPr>
        <w:t>根据相关法律法规：磋商小组认为响应人的报价明显低于其他通过符合性审查响应人的报价，有可能影响产品质量或者不能诚信履约的，应当要求其在评标现场合理的时间内提供书面说明，必要时提交相关证明材料；响应人不能证明其报价合理性的，磋商小组应当将其作为无效投标处理。</w:t>
      </w:r>
    </w:p>
    <w:p>
      <w:pPr>
        <w:autoSpaceDE w:val="0"/>
        <w:autoSpaceDN w:val="0"/>
        <w:adjustRightInd w:val="0"/>
        <w:spacing w:line="360" w:lineRule="auto"/>
        <w:ind w:firstLine="420" w:firstLineChars="200"/>
        <w:rPr>
          <w:rFonts w:ascii="宋体" w:hAnsi="宋体" w:cs="宋体"/>
          <w:szCs w:val="21"/>
          <w:lang w:val="zh-CN"/>
        </w:rPr>
      </w:pPr>
      <w:r>
        <w:rPr>
          <w:rFonts w:hint="eastAsia" w:ascii="宋体" w:hAnsi="宋体" w:cs="宋体"/>
          <w:szCs w:val="21"/>
        </w:rPr>
        <w:t>在评分时，各响应人磋商报价得分保留小数点后二位，第三位四舍五入。评审专家打分准确到小数点后一位，综合评估分=商务技术部分得分＋投标报价得分，商务技术部分得分为所有评委评分的算术平均值，得分保留小数点后二位。</w:t>
      </w:r>
    </w:p>
    <w:p>
      <w:pPr>
        <w:autoSpaceDE w:val="0"/>
        <w:autoSpaceDN w:val="0"/>
        <w:adjustRightInd w:val="0"/>
        <w:spacing w:line="360" w:lineRule="auto"/>
        <w:outlineLvl w:val="1"/>
        <w:rPr>
          <w:rFonts w:ascii="宋体" w:hAnsi="宋体" w:cs="宋体"/>
          <w:b/>
          <w:szCs w:val="21"/>
          <w:lang w:val="zh-CN"/>
        </w:rPr>
      </w:pPr>
      <w:r>
        <w:rPr>
          <w:rFonts w:hint="eastAsia" w:ascii="宋体" w:hAnsi="宋体" w:cs="宋体"/>
          <w:b/>
          <w:szCs w:val="21"/>
        </w:rPr>
        <w:t>五、</w:t>
      </w:r>
      <w:r>
        <w:rPr>
          <w:rFonts w:hint="eastAsia" w:ascii="宋体" w:hAnsi="宋体" w:cs="宋体"/>
          <w:b/>
          <w:szCs w:val="21"/>
          <w:lang w:val="zh-CN"/>
        </w:rPr>
        <w:t>评分表</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3"/>
        <w:gridCol w:w="2379"/>
        <w:gridCol w:w="3352"/>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3" w:type="pct"/>
            <w:vAlign w:val="center"/>
          </w:tcPr>
          <w:p>
            <w:pPr>
              <w:spacing w:line="360" w:lineRule="auto"/>
              <w:jc w:val="center"/>
              <w:rPr>
                <w:rFonts w:ascii="宋体" w:hAnsi="宋体" w:cs="宋体"/>
                <w:szCs w:val="21"/>
              </w:rPr>
            </w:pPr>
            <w:r>
              <w:rPr>
                <w:rFonts w:hint="eastAsia" w:ascii="宋体" w:hAnsi="宋体" w:cs="宋体"/>
                <w:szCs w:val="21"/>
              </w:rPr>
              <w:t>评标指标</w:t>
            </w:r>
          </w:p>
        </w:tc>
        <w:tc>
          <w:tcPr>
            <w:tcW w:w="1218" w:type="pct"/>
            <w:vAlign w:val="center"/>
          </w:tcPr>
          <w:p>
            <w:pPr>
              <w:spacing w:line="360" w:lineRule="auto"/>
              <w:jc w:val="center"/>
              <w:rPr>
                <w:rFonts w:ascii="宋体" w:hAnsi="宋体" w:cs="宋体"/>
                <w:szCs w:val="21"/>
              </w:rPr>
            </w:pPr>
            <w:r>
              <w:rPr>
                <w:rFonts w:hint="eastAsia" w:ascii="宋体" w:hAnsi="宋体" w:cs="宋体"/>
                <w:szCs w:val="21"/>
              </w:rPr>
              <w:t>磋商报价</w:t>
            </w:r>
          </w:p>
        </w:tc>
        <w:tc>
          <w:tcPr>
            <w:tcW w:w="1716" w:type="pct"/>
            <w:vAlign w:val="center"/>
          </w:tcPr>
          <w:p>
            <w:pPr>
              <w:spacing w:line="360" w:lineRule="auto"/>
              <w:jc w:val="center"/>
              <w:rPr>
                <w:rFonts w:ascii="宋体" w:hAnsi="宋体" w:cs="宋体"/>
                <w:szCs w:val="21"/>
              </w:rPr>
            </w:pPr>
            <w:r>
              <w:rPr>
                <w:rFonts w:hint="eastAsia" w:ascii="宋体" w:hAnsi="宋体" w:cs="宋体"/>
                <w:szCs w:val="21"/>
              </w:rPr>
              <w:t>商务技术部分</w:t>
            </w:r>
          </w:p>
        </w:tc>
        <w:tc>
          <w:tcPr>
            <w:tcW w:w="721" w:type="pct"/>
            <w:vAlign w:val="center"/>
          </w:tcPr>
          <w:p>
            <w:pPr>
              <w:spacing w:line="360" w:lineRule="auto"/>
              <w:jc w:val="center"/>
              <w:rPr>
                <w:rFonts w:ascii="宋体" w:hAnsi="宋体" w:cs="宋体"/>
                <w:szCs w:val="21"/>
              </w:rPr>
            </w:pPr>
            <w:r>
              <w:rPr>
                <w:rFonts w:hint="eastAsia" w:ascii="宋体" w:hAnsi="宋体" w:cs="宋体"/>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3" w:type="pct"/>
            <w:vAlign w:val="center"/>
          </w:tcPr>
          <w:p>
            <w:pPr>
              <w:spacing w:line="360" w:lineRule="auto"/>
              <w:jc w:val="center"/>
              <w:rPr>
                <w:rFonts w:ascii="宋体" w:hAnsi="宋体" w:cs="宋体"/>
                <w:szCs w:val="21"/>
              </w:rPr>
            </w:pPr>
            <w:r>
              <w:rPr>
                <w:rFonts w:hint="eastAsia" w:ascii="宋体" w:hAnsi="宋体" w:cs="宋体"/>
                <w:szCs w:val="21"/>
              </w:rPr>
              <w:t>权重（%）</w:t>
            </w:r>
          </w:p>
        </w:tc>
        <w:tc>
          <w:tcPr>
            <w:tcW w:w="1218" w:type="pct"/>
            <w:vAlign w:val="center"/>
          </w:tcPr>
          <w:p>
            <w:pPr>
              <w:spacing w:line="360" w:lineRule="auto"/>
              <w:jc w:val="center"/>
              <w:rPr>
                <w:rFonts w:ascii="宋体" w:hAnsi="宋体" w:cs="宋体"/>
                <w:szCs w:val="21"/>
              </w:rPr>
            </w:pPr>
            <w:r>
              <w:rPr>
                <w:rFonts w:hint="eastAsia" w:ascii="宋体" w:hAnsi="宋体" w:cs="宋体"/>
                <w:szCs w:val="21"/>
              </w:rPr>
              <w:t>10</w:t>
            </w:r>
          </w:p>
        </w:tc>
        <w:tc>
          <w:tcPr>
            <w:tcW w:w="1716" w:type="pct"/>
            <w:vAlign w:val="center"/>
          </w:tcPr>
          <w:p>
            <w:pPr>
              <w:spacing w:line="360" w:lineRule="auto"/>
              <w:jc w:val="center"/>
              <w:rPr>
                <w:rFonts w:ascii="宋体" w:hAnsi="宋体" w:cs="宋体"/>
                <w:szCs w:val="21"/>
              </w:rPr>
            </w:pPr>
            <w:r>
              <w:rPr>
                <w:rFonts w:hint="eastAsia" w:ascii="宋体" w:hAnsi="宋体" w:cs="宋体"/>
                <w:szCs w:val="21"/>
              </w:rPr>
              <w:t>90</w:t>
            </w:r>
          </w:p>
        </w:tc>
        <w:tc>
          <w:tcPr>
            <w:tcW w:w="721" w:type="pct"/>
            <w:vAlign w:val="center"/>
          </w:tcPr>
          <w:p>
            <w:pPr>
              <w:spacing w:line="360" w:lineRule="auto"/>
              <w:jc w:val="center"/>
              <w:rPr>
                <w:rFonts w:ascii="宋体" w:hAnsi="宋体" w:cs="宋体"/>
                <w:szCs w:val="21"/>
              </w:rPr>
            </w:pPr>
            <w:r>
              <w:rPr>
                <w:rFonts w:hint="eastAsia" w:ascii="宋体" w:hAnsi="宋体" w:cs="宋体"/>
                <w:szCs w:val="21"/>
              </w:rPr>
              <w:t>100</w:t>
            </w:r>
          </w:p>
        </w:tc>
      </w:tr>
    </w:tbl>
    <w:p>
      <w:pPr>
        <w:rPr>
          <w:rFonts w:ascii="宋体"/>
          <w:b/>
          <w:bCs/>
          <w:highlight w:val="none"/>
        </w:rPr>
      </w:pPr>
    </w:p>
    <w:p>
      <w:pPr>
        <w:outlineLvl w:val="9"/>
        <w:rPr>
          <w:rFonts w:ascii="宋体" w:hAnsi="宋体" w:cs="宋体"/>
          <w:b/>
          <w:bCs/>
          <w:sz w:val="28"/>
          <w:szCs w:val="28"/>
          <w:highlight w:val="none"/>
        </w:rPr>
      </w:pPr>
      <w:r>
        <w:rPr>
          <w:rFonts w:hint="eastAsia" w:ascii="宋体"/>
          <w:b/>
          <w:bCs/>
          <w:highlight w:val="none"/>
          <w:lang w:eastAsia="zh-CN"/>
        </w:rPr>
        <w:t>岱山县化塑产业大脑能力中心组件项目</w:t>
      </w:r>
      <w:r>
        <w:rPr>
          <w:rFonts w:hint="eastAsia" w:ascii="宋体"/>
          <w:b/>
          <w:bCs/>
          <w:highlight w:val="none"/>
        </w:rPr>
        <w:t>商务技术评分表</w:t>
      </w:r>
    </w:p>
    <w:tbl>
      <w:tblPr>
        <w:tblStyle w:val="26"/>
        <w:tblW w:w="498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78"/>
        <w:gridCol w:w="1304"/>
        <w:gridCol w:w="731"/>
        <w:gridCol w:w="5366"/>
        <w:gridCol w:w="10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5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类别</w:t>
            </w:r>
          </w:p>
        </w:tc>
        <w:tc>
          <w:tcPr>
            <w:tcW w:w="669"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评审内容</w:t>
            </w:r>
          </w:p>
        </w:tc>
        <w:tc>
          <w:tcPr>
            <w:tcW w:w="375" w:type="pc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类别</w:t>
            </w:r>
          </w:p>
        </w:tc>
        <w:tc>
          <w:tcPr>
            <w:tcW w:w="2752" w:type="pc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评分标准</w:t>
            </w:r>
          </w:p>
        </w:tc>
        <w:tc>
          <w:tcPr>
            <w:tcW w:w="546" w:type="pc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7" w:hRule="atLeast"/>
        </w:trPr>
        <w:tc>
          <w:tcPr>
            <w:tcW w:w="656" w:type="pct"/>
            <w:vMerge w:val="restart"/>
            <w:tcBorders>
              <w:top w:val="nil"/>
              <w:left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商务部分（12分）</w:t>
            </w:r>
          </w:p>
        </w:tc>
        <w:tc>
          <w:tcPr>
            <w:tcW w:w="66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投标人项目业绩</w:t>
            </w:r>
          </w:p>
        </w:tc>
        <w:tc>
          <w:tcPr>
            <w:tcW w:w="375"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客观</w:t>
            </w:r>
          </w:p>
        </w:tc>
        <w:tc>
          <w:tcPr>
            <w:tcW w:w="275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2021年1月1日以来投标人承担同类项目（合同内容需体现组件上架等相关信息），每个项目得1分，最高1分。</w:t>
            </w:r>
          </w:p>
          <w:p>
            <w:pPr>
              <w:keepNext w:val="0"/>
              <w:keepLines w:val="0"/>
              <w:widowControl/>
              <w:suppressLineNumbers w:val="0"/>
              <w:jc w:val="left"/>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注：需提供采购合同</w:t>
            </w:r>
            <w:r>
              <w:rPr>
                <w:rFonts w:hint="eastAsia" w:ascii="宋体" w:hAnsi="宋体" w:eastAsia="宋体" w:cs="宋体"/>
                <w:i w:val="0"/>
                <w:iCs w:val="0"/>
                <w:color w:val="auto"/>
                <w:kern w:val="0"/>
                <w:sz w:val="21"/>
                <w:szCs w:val="21"/>
                <w:u w:val="none"/>
                <w:lang w:val="en-US" w:eastAsia="zh-CN" w:bidi="ar"/>
              </w:rPr>
              <w:t>复印件</w:t>
            </w:r>
            <w:r>
              <w:rPr>
                <w:rFonts w:hint="eastAsia" w:ascii="宋体" w:hAnsi="宋体" w:eastAsia="宋体" w:cs="宋体"/>
                <w:b/>
                <w:bCs/>
                <w:i w:val="0"/>
                <w:iCs w:val="0"/>
                <w:color w:val="auto"/>
                <w:kern w:val="0"/>
                <w:sz w:val="21"/>
                <w:szCs w:val="21"/>
                <w:u w:val="none"/>
                <w:lang w:val="en-US" w:eastAsia="zh-CN" w:bidi="ar"/>
              </w:rPr>
              <w:t>证明材料，提供不全或未提供上述证明材料复印件者不得分。</w:t>
            </w:r>
          </w:p>
        </w:tc>
        <w:tc>
          <w:tcPr>
            <w:tcW w:w="54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656"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69"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项目成员</w:t>
            </w:r>
          </w:p>
        </w:tc>
        <w:tc>
          <w:tcPr>
            <w:tcW w:w="375" w:type="pct"/>
            <w:vMerge w:val="restar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客观</w:t>
            </w:r>
          </w:p>
        </w:tc>
        <w:tc>
          <w:tcPr>
            <w:tcW w:w="2752" w:type="pct"/>
            <w:tcBorders>
              <w:top w:val="nil"/>
              <w:left w:val="nil"/>
              <w:bottom w:val="nil"/>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投标人拟派的项目经理具备高级信息系统项目管理师、中级信息系统集成项目管理师、PM</w:t>
            </w:r>
            <w:r>
              <w:rPr>
                <w:rFonts w:hint="eastAsia" w:ascii="宋体" w:hAnsi="宋体" w:cs="宋体"/>
                <w:i w:val="0"/>
                <w:iCs w:val="0"/>
                <w:color w:val="auto"/>
                <w:kern w:val="0"/>
                <w:sz w:val="21"/>
                <w:szCs w:val="21"/>
                <w:u w:val="none"/>
                <w:lang w:val="en-US" w:eastAsia="zh-CN" w:bidi="ar"/>
              </w:rPr>
              <w:t>I</w:t>
            </w:r>
            <w:r>
              <w:rPr>
                <w:rFonts w:hint="eastAsia" w:ascii="宋体" w:hAnsi="宋体" w:eastAsia="宋体" w:cs="宋体"/>
                <w:i w:val="0"/>
                <w:iCs w:val="0"/>
                <w:color w:val="auto"/>
                <w:kern w:val="0"/>
                <w:sz w:val="21"/>
                <w:szCs w:val="21"/>
                <w:u w:val="none"/>
                <w:lang w:val="en-US" w:eastAsia="zh-CN" w:bidi="ar"/>
              </w:rPr>
              <w:t>认证；全部提供得3分，每缺少一本扣1分。</w:t>
            </w:r>
          </w:p>
        </w:tc>
        <w:tc>
          <w:tcPr>
            <w:tcW w:w="546"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656"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69"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375"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75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（提供有效期内的相关证书和最近三个月任意一个月的社保证明，复印件加盖公章）</w:t>
            </w:r>
          </w:p>
        </w:tc>
        <w:tc>
          <w:tcPr>
            <w:tcW w:w="546"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656"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69"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375" w:type="pct"/>
            <w:vMerge w:val="restar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客观</w:t>
            </w:r>
          </w:p>
        </w:tc>
        <w:tc>
          <w:tcPr>
            <w:tcW w:w="2752" w:type="pct"/>
            <w:tcBorders>
              <w:top w:val="nil"/>
              <w:left w:val="nil"/>
              <w:bottom w:val="nil"/>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投标人拟派的技术负责人具备系统集成项目管理工程师、高级软件工程师；全部提供得2分。（每提供1本得1分，共2分）。</w:t>
            </w:r>
          </w:p>
        </w:tc>
        <w:tc>
          <w:tcPr>
            <w:tcW w:w="546"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656"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69"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375"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75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（提供有效期内的相关证书和最近三个月任意一个月的社保证明，复印件加盖公章）</w:t>
            </w:r>
          </w:p>
        </w:tc>
        <w:tc>
          <w:tcPr>
            <w:tcW w:w="546"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5" w:hRule="atLeast"/>
        </w:trPr>
        <w:tc>
          <w:tcPr>
            <w:tcW w:w="656"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69"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375" w:type="pct"/>
            <w:vMerge w:val="restar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客观</w:t>
            </w:r>
          </w:p>
        </w:tc>
        <w:tc>
          <w:tcPr>
            <w:tcW w:w="2752" w:type="pct"/>
            <w:tcBorders>
              <w:top w:val="nil"/>
              <w:left w:val="nil"/>
              <w:bottom w:val="nil"/>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投标人需提供项目团队成员至少两名（除项目经理和技术负责人），项目团队成员每人至少具备下列证书中任意1本：高级软件架构设计师、高级系统分析师、高级数据库管理师、高级信息系统项目管理师。</w:t>
            </w:r>
          </w:p>
        </w:tc>
        <w:tc>
          <w:tcPr>
            <w:tcW w:w="546"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56"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69"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375"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752" w:type="pct"/>
            <w:tcBorders>
              <w:top w:val="nil"/>
              <w:left w:val="nil"/>
              <w:bottom w:val="nil"/>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（每提供1本得1分，共4分。一人多证或多人同证的不重复得分。）</w:t>
            </w:r>
          </w:p>
        </w:tc>
        <w:tc>
          <w:tcPr>
            <w:tcW w:w="546"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656"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69"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375"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75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（提供有效期内的相关证书和投标人为其缴纳的项目最近三个月任意一个月的社保证明，复印件加盖公章）</w:t>
            </w:r>
          </w:p>
        </w:tc>
        <w:tc>
          <w:tcPr>
            <w:tcW w:w="546"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656"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69"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综合实力</w:t>
            </w:r>
          </w:p>
        </w:tc>
        <w:tc>
          <w:tcPr>
            <w:tcW w:w="375" w:type="pct"/>
            <w:vMerge w:val="restar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客观</w:t>
            </w:r>
          </w:p>
        </w:tc>
        <w:tc>
          <w:tcPr>
            <w:tcW w:w="2752" w:type="pct"/>
            <w:tcBorders>
              <w:top w:val="nil"/>
              <w:left w:val="nil"/>
              <w:bottom w:val="nil"/>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投标人需具备以下资质证书：</w:t>
            </w:r>
          </w:p>
        </w:tc>
        <w:tc>
          <w:tcPr>
            <w:tcW w:w="546"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56"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69"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375"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752" w:type="pct"/>
            <w:tcBorders>
              <w:top w:val="nil"/>
              <w:left w:val="nil"/>
              <w:bottom w:val="nil"/>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ISO9001质量管理体系认证证书</w:t>
            </w:r>
          </w:p>
        </w:tc>
        <w:tc>
          <w:tcPr>
            <w:tcW w:w="546"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56"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69"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375"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752" w:type="pct"/>
            <w:tcBorders>
              <w:top w:val="nil"/>
              <w:left w:val="nil"/>
              <w:bottom w:val="nil"/>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ISO20000信息技术服务管理体系认证证书</w:t>
            </w:r>
          </w:p>
        </w:tc>
        <w:tc>
          <w:tcPr>
            <w:tcW w:w="546"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56"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69"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375"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752" w:type="pct"/>
            <w:tcBorders>
              <w:top w:val="nil"/>
              <w:left w:val="nil"/>
              <w:bottom w:val="nil"/>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ISO27001信息安全管理体系认证证书</w:t>
            </w:r>
          </w:p>
        </w:tc>
        <w:tc>
          <w:tcPr>
            <w:tcW w:w="546"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56"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69"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375"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752" w:type="pct"/>
            <w:tcBorders>
              <w:top w:val="nil"/>
              <w:left w:val="nil"/>
              <w:bottom w:val="nil"/>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ISO45001职业健康安全管理体系认证证书 </w:t>
            </w:r>
          </w:p>
        </w:tc>
        <w:tc>
          <w:tcPr>
            <w:tcW w:w="546"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6"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69"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375"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752" w:type="pct"/>
            <w:tcBorders>
              <w:top w:val="nil"/>
              <w:left w:val="nil"/>
              <w:bottom w:val="nil"/>
              <w:right w:val="single" w:color="000000" w:sz="8" w:space="0"/>
            </w:tcBorders>
            <w:shd w:val="clear" w:color="auto" w:fill="auto"/>
            <w:noWrap/>
            <w:vAlign w:val="center"/>
          </w:tcPr>
          <w:p>
            <w:pPr>
              <w:rPr>
                <w:rFonts w:hint="eastAsia" w:ascii="宋体" w:hAnsi="宋体" w:eastAsia="宋体" w:cs="宋体"/>
                <w:i w:val="0"/>
                <w:iCs w:val="0"/>
                <w:color w:val="auto"/>
                <w:sz w:val="21"/>
                <w:szCs w:val="21"/>
                <w:u w:val="none"/>
              </w:rPr>
            </w:pPr>
          </w:p>
        </w:tc>
        <w:tc>
          <w:tcPr>
            <w:tcW w:w="546"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56"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69"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375"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752" w:type="pct"/>
            <w:tcBorders>
              <w:top w:val="nil"/>
              <w:left w:val="nil"/>
              <w:bottom w:val="nil"/>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（每提供1本得0.5分，共2分。）</w:t>
            </w:r>
          </w:p>
        </w:tc>
        <w:tc>
          <w:tcPr>
            <w:tcW w:w="546"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6" w:type="pct"/>
            <w:vMerge w:val="continue"/>
            <w:tcBorders>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69"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375"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75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注：投标人需提供在有效期内的证书复印件并加盖公章。</w:t>
            </w:r>
          </w:p>
        </w:tc>
        <w:tc>
          <w:tcPr>
            <w:tcW w:w="546"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4" w:hRule="atLeast"/>
        </w:trPr>
        <w:tc>
          <w:tcPr>
            <w:tcW w:w="656" w:type="pct"/>
            <w:vMerge w:val="restart"/>
            <w:tcBorders>
              <w:top w:val="nil"/>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技术部分（78分）</w:t>
            </w:r>
          </w:p>
        </w:tc>
        <w:tc>
          <w:tcPr>
            <w:tcW w:w="66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产品的技术指标</w:t>
            </w:r>
          </w:p>
        </w:tc>
        <w:tc>
          <w:tcPr>
            <w:tcW w:w="375"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客观</w:t>
            </w:r>
          </w:p>
        </w:tc>
        <w:tc>
          <w:tcPr>
            <w:tcW w:w="275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投标人所投产品的技术参数、模块、功能、配置的符合性，投标产品完全满足招标文件的所有技术指标得36分；标“★”的技术参数，每负偏离一项扣0.5分。</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特别说明：需提相关功能截图的内容，未提供的视为负偏离。</w:t>
            </w:r>
          </w:p>
        </w:tc>
        <w:tc>
          <w:tcPr>
            <w:tcW w:w="54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39分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2" w:hRule="atLeast"/>
        </w:trPr>
        <w:tc>
          <w:tcPr>
            <w:tcW w:w="656"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6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能力组件上架</w:t>
            </w:r>
          </w:p>
        </w:tc>
        <w:tc>
          <w:tcPr>
            <w:tcW w:w="375"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客观</w:t>
            </w:r>
          </w:p>
        </w:tc>
        <w:tc>
          <w:tcPr>
            <w:tcW w:w="275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基于投标人对开发完成的能力组件按照相关标准在省产业大脑能力中心平台完成提审，并能通过审核完成上架的情况进行评分：</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合同签订后，承诺10天内完成</w:t>
            </w:r>
            <w:r>
              <w:rPr>
                <w:rFonts w:hint="eastAsia" w:ascii="宋体" w:hAnsi="宋体" w:eastAsia="宋体" w:cs="宋体"/>
                <w:i w:val="0"/>
                <w:iCs w:val="0"/>
                <w:color w:val="auto"/>
                <w:kern w:val="0"/>
                <w:sz w:val="21"/>
                <w:szCs w:val="21"/>
                <w:u w:val="none"/>
                <w:lang w:val="en-US" w:eastAsia="zh-CN" w:bidi="ar"/>
              </w:rPr>
              <w:t>77个能力组件</w:t>
            </w:r>
            <w:r>
              <w:rPr>
                <w:rFonts w:hint="eastAsia" w:ascii="宋体" w:hAnsi="宋体" w:cs="宋体"/>
                <w:i w:val="0"/>
                <w:iCs w:val="0"/>
                <w:color w:val="auto"/>
                <w:kern w:val="0"/>
                <w:sz w:val="21"/>
                <w:szCs w:val="21"/>
                <w:u w:val="none"/>
                <w:lang w:val="en-US" w:eastAsia="zh-CN" w:bidi="ar"/>
              </w:rPr>
              <w:t>的全部开发并</w:t>
            </w:r>
            <w:r>
              <w:rPr>
                <w:rFonts w:hint="eastAsia" w:ascii="宋体" w:hAnsi="宋体" w:eastAsia="宋体" w:cs="宋体"/>
                <w:i w:val="0"/>
                <w:iCs w:val="0"/>
                <w:color w:val="auto"/>
                <w:kern w:val="0"/>
                <w:sz w:val="21"/>
                <w:szCs w:val="21"/>
                <w:u w:val="none"/>
                <w:lang w:val="en-US" w:eastAsia="zh-CN" w:bidi="ar"/>
              </w:rPr>
              <w:t>上架，得5分；</w:t>
            </w:r>
          </w:p>
          <w:p>
            <w:pPr>
              <w:keepNext w:val="0"/>
              <w:keepLines w:val="0"/>
              <w:widowControl/>
              <w:suppressLineNumbers w:val="0"/>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未承诺</w:t>
            </w:r>
            <w:r>
              <w:rPr>
                <w:rFonts w:hint="eastAsia" w:ascii="宋体" w:hAnsi="宋体" w:eastAsia="宋体" w:cs="宋体"/>
                <w:i w:val="0"/>
                <w:iCs w:val="0"/>
                <w:color w:val="auto"/>
                <w:kern w:val="0"/>
                <w:sz w:val="21"/>
                <w:szCs w:val="21"/>
                <w:u w:val="none"/>
                <w:lang w:val="en-US" w:eastAsia="zh-CN" w:bidi="ar"/>
              </w:rPr>
              <w:t>不得分；</w:t>
            </w:r>
          </w:p>
          <w:p>
            <w:pPr>
              <w:keepNext w:val="0"/>
              <w:keepLines w:val="0"/>
              <w:widowControl/>
              <w:suppressLineNumbers w:val="0"/>
              <w:jc w:val="both"/>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特别说明：需提提供承诺函并加盖公章。</w:t>
            </w:r>
          </w:p>
        </w:tc>
        <w:tc>
          <w:tcPr>
            <w:tcW w:w="54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7" w:hRule="atLeast"/>
        </w:trPr>
        <w:tc>
          <w:tcPr>
            <w:tcW w:w="656"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6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项目演示（Demo演示或者系统演示）</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演示时间为</w:t>
            </w:r>
            <w:r>
              <w:rPr>
                <w:rStyle w:val="108"/>
                <w:rFonts w:hint="eastAsia" w:ascii="宋体" w:hAnsi="宋体" w:eastAsia="宋体" w:cs="宋体"/>
                <w:color w:val="auto"/>
                <w:sz w:val="21"/>
                <w:szCs w:val="21"/>
                <w:lang w:val="en-US" w:eastAsia="zh-CN" w:bidi="ar"/>
              </w:rPr>
              <w:t>15</w:t>
            </w:r>
            <w:r>
              <w:rPr>
                <w:rStyle w:val="109"/>
                <w:rFonts w:hint="eastAsia" w:ascii="宋体" w:hAnsi="宋体" w:eastAsia="宋体" w:cs="宋体"/>
                <w:color w:val="auto"/>
                <w:sz w:val="21"/>
                <w:szCs w:val="21"/>
                <w:lang w:val="en-US" w:eastAsia="zh-CN" w:bidi="ar"/>
              </w:rPr>
              <w:t>分钟</w:t>
            </w:r>
          </w:p>
        </w:tc>
        <w:tc>
          <w:tcPr>
            <w:tcW w:w="375"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客观</w:t>
            </w:r>
          </w:p>
        </w:tc>
        <w:tc>
          <w:tcPr>
            <w:tcW w:w="275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1"/>
                <w:szCs w:val="21"/>
                <w:u w:val="none"/>
                <w:lang w:val="en-US" w:eastAsia="zh-CN" w:bidi="ar"/>
              </w:rPr>
            </w:pPr>
          </w:p>
          <w:p>
            <w:pPr>
              <w:keepNext w:val="0"/>
              <w:keepLines w:val="0"/>
              <w:widowControl/>
              <w:suppressLineNumbers w:val="0"/>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投标人需提供本项目业务相关的功能演示，</w:t>
            </w:r>
            <w:r>
              <w:rPr>
                <w:rStyle w:val="110"/>
                <w:rFonts w:hint="eastAsia" w:ascii="宋体" w:hAnsi="宋体" w:eastAsia="宋体" w:cs="宋体"/>
                <w:color w:val="auto"/>
                <w:sz w:val="21"/>
                <w:szCs w:val="21"/>
                <w:lang w:val="en-US" w:eastAsia="zh-CN" w:bidi="ar"/>
              </w:rPr>
              <w:t>以对聚丙烯（</w:t>
            </w:r>
            <w:r>
              <w:rPr>
                <w:rStyle w:val="111"/>
                <w:rFonts w:hint="eastAsia" w:ascii="宋体" w:hAnsi="宋体" w:eastAsia="宋体" w:cs="宋体"/>
                <w:color w:val="auto"/>
                <w:sz w:val="21"/>
                <w:szCs w:val="21"/>
                <w:lang w:val="en-US" w:eastAsia="zh-CN" w:bidi="ar"/>
              </w:rPr>
              <w:t>PP</w:t>
            </w:r>
            <w:r>
              <w:rPr>
                <w:rStyle w:val="110"/>
                <w:rFonts w:hint="eastAsia" w:ascii="宋体" w:hAnsi="宋体" w:eastAsia="宋体" w:cs="宋体"/>
                <w:color w:val="auto"/>
                <w:sz w:val="21"/>
                <w:szCs w:val="21"/>
                <w:lang w:val="en-US" w:eastAsia="zh-CN" w:bidi="ar"/>
              </w:rPr>
              <w:t>）市场报告生成器</w:t>
            </w:r>
            <w:r>
              <w:rPr>
                <w:rFonts w:hint="eastAsia" w:ascii="宋体" w:hAnsi="宋体" w:eastAsia="宋体" w:cs="宋体"/>
                <w:i w:val="0"/>
                <w:iCs w:val="0"/>
                <w:color w:val="auto"/>
                <w:kern w:val="0"/>
                <w:sz w:val="21"/>
                <w:szCs w:val="21"/>
                <w:u w:val="none"/>
                <w:lang w:val="en-US" w:eastAsia="zh-CN" w:bidi="ar"/>
              </w:rPr>
              <w:t>展示功能进行以下功能演示，具体要求如下：</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（1）基础信息，支持输入报告名称，选择数据区间，输入摘要说明内容，实现新建报告基础信息的编撰，包括报告名称、时间范围及摘要内容。</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（2）数据选择，支持选择配置区域均价、牌号市场参考价、牌号出厂参考价、上游单体、产量、利润等模块中的一个或多个，确定报告内容所包含内容模块。</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以选择所有模块为例，区域均价，支持选择区域，呈现对应区域的连续价格走势可视化展现，悬停展示点数据，支持输入内容，实现对单个区域内容的配置；支持添加多区域，完成区域均价模块内容的配置。</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牌号市场参考价，支持厂商、牌号、地区等三个字段复选，呈现对应牌号的连续价格走势可视化展示，悬停展示点数据，支持输入分析内容，实现对单个牌号内容的配置；支持添加多牌号，完成牌号市场参考价模块内容的配置。</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（5）上游单体，支持选择上游单体种类，呈现对应单体的连续价格走势，悬停展示点数据，支持输入内容，完成上游单体模块内容的配置。</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（6）产量及利润模块，支持可视化展现对应模块的走势曲线，悬停展示点数据，支持输入内容，完成对产量、利润等模块的配置。</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（7）生成报告，支持提示用户报告生成结果，引导查看报告或新建报告，支持以网页版</w:t>
            </w:r>
            <w:r>
              <w:rPr>
                <w:rStyle w:val="111"/>
                <w:rFonts w:hint="eastAsia" w:ascii="宋体" w:hAnsi="宋体" w:eastAsia="宋体" w:cs="宋体"/>
                <w:color w:val="auto"/>
                <w:sz w:val="21"/>
                <w:szCs w:val="21"/>
                <w:lang w:val="en-US" w:eastAsia="zh-CN" w:bidi="ar"/>
              </w:rPr>
              <w:t>PDF</w:t>
            </w:r>
            <w:r>
              <w:rPr>
                <w:rFonts w:hint="eastAsia" w:ascii="宋体" w:hAnsi="宋体" w:eastAsia="宋体" w:cs="宋体"/>
                <w:i w:val="0"/>
                <w:iCs w:val="0"/>
                <w:color w:val="auto"/>
                <w:kern w:val="0"/>
                <w:sz w:val="21"/>
                <w:szCs w:val="21"/>
                <w:u w:val="none"/>
                <w:lang w:val="en-US" w:eastAsia="zh-CN" w:bidi="ar"/>
              </w:rPr>
              <w:t>格式查看市场报告。</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（8）支持列表查看已生成报告，包括序号、报告名称、数据区间、创建时间、操作等；</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（9）支持查看报告，实现在线阅读目标报告内容；支持下载，将</w:t>
            </w:r>
            <w:r>
              <w:rPr>
                <w:rStyle w:val="111"/>
                <w:rFonts w:hint="eastAsia" w:ascii="宋体" w:hAnsi="宋体" w:eastAsia="宋体" w:cs="宋体"/>
                <w:color w:val="auto"/>
                <w:sz w:val="21"/>
                <w:szCs w:val="21"/>
                <w:lang w:val="en-US" w:eastAsia="zh-CN" w:bidi="ar"/>
              </w:rPr>
              <w:t>PDF</w:t>
            </w:r>
            <w:r>
              <w:rPr>
                <w:rFonts w:hint="eastAsia" w:ascii="宋体" w:hAnsi="宋体" w:eastAsia="宋体" w:cs="宋体"/>
                <w:i w:val="0"/>
                <w:iCs w:val="0"/>
                <w:color w:val="auto"/>
                <w:kern w:val="0"/>
                <w:sz w:val="21"/>
                <w:szCs w:val="21"/>
                <w:u w:val="none"/>
                <w:lang w:val="en-US" w:eastAsia="zh-CN" w:bidi="ar"/>
              </w:rPr>
              <w:t>版本报告下载保存至本地；支持删除，将所选报告从列表中除去。</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对上述</w:t>
            </w:r>
            <w:r>
              <w:rPr>
                <w:rStyle w:val="108"/>
                <w:rFonts w:hint="eastAsia" w:ascii="宋体" w:hAnsi="宋体" w:eastAsia="宋体" w:cs="宋体"/>
                <w:color w:val="auto"/>
                <w:sz w:val="21"/>
                <w:szCs w:val="21"/>
                <w:lang w:val="en-US" w:eastAsia="zh-CN" w:bidi="ar"/>
              </w:rPr>
              <w:t>9</w:t>
            </w:r>
            <w:r>
              <w:rPr>
                <w:rStyle w:val="109"/>
                <w:rFonts w:hint="eastAsia" w:ascii="宋体" w:hAnsi="宋体" w:eastAsia="宋体" w:cs="宋体"/>
                <w:color w:val="auto"/>
                <w:sz w:val="21"/>
                <w:szCs w:val="21"/>
                <w:lang w:val="en-US" w:eastAsia="zh-CN" w:bidi="ar"/>
              </w:rPr>
              <w:t>项演示要求完全具备，满足招标需求，得</w:t>
            </w:r>
            <w:r>
              <w:rPr>
                <w:rStyle w:val="108"/>
                <w:rFonts w:hint="eastAsia" w:ascii="宋体" w:hAnsi="宋体" w:eastAsia="宋体" w:cs="宋体"/>
                <w:color w:val="auto"/>
                <w:sz w:val="21"/>
                <w:szCs w:val="21"/>
                <w:lang w:val="en-US" w:eastAsia="zh-CN" w:bidi="ar"/>
              </w:rPr>
              <w:t>18</w:t>
            </w:r>
            <w:r>
              <w:rPr>
                <w:rStyle w:val="109"/>
                <w:rFonts w:hint="eastAsia" w:ascii="宋体" w:hAnsi="宋体" w:eastAsia="宋体" w:cs="宋体"/>
                <w:color w:val="auto"/>
                <w:sz w:val="21"/>
                <w:szCs w:val="21"/>
                <w:lang w:val="en-US" w:eastAsia="zh-CN" w:bidi="ar"/>
              </w:rPr>
              <w:t>分，有缺失或者不完整或不符合项目要求的，每一项扣</w:t>
            </w:r>
            <w:r>
              <w:rPr>
                <w:rStyle w:val="108"/>
                <w:rFonts w:hint="eastAsia" w:ascii="宋体" w:hAnsi="宋体" w:eastAsia="宋体" w:cs="宋体"/>
                <w:color w:val="auto"/>
                <w:sz w:val="21"/>
                <w:szCs w:val="21"/>
                <w:lang w:val="en-US" w:eastAsia="zh-CN" w:bidi="ar"/>
              </w:rPr>
              <w:t>2</w:t>
            </w:r>
            <w:r>
              <w:rPr>
                <w:rStyle w:val="109"/>
                <w:rFonts w:hint="eastAsia" w:ascii="宋体" w:hAnsi="宋体" w:eastAsia="宋体" w:cs="宋体"/>
                <w:color w:val="auto"/>
                <w:sz w:val="21"/>
                <w:szCs w:val="21"/>
                <w:lang w:val="en-US" w:eastAsia="zh-CN" w:bidi="ar"/>
              </w:rPr>
              <w:t>分，扣完为止。</w:t>
            </w:r>
          </w:p>
          <w:p>
            <w:pPr>
              <w:keepNext w:val="0"/>
              <w:keepLines w:val="0"/>
              <w:widowControl/>
              <w:suppressLineNumbers w:val="0"/>
              <w:jc w:val="both"/>
              <w:textAlignment w:val="center"/>
              <w:rPr>
                <w:rStyle w:val="112"/>
                <w:rFonts w:hint="eastAsia" w:ascii="宋体" w:hAnsi="宋体" w:eastAsia="宋体" w:cs="宋体"/>
                <w:color w:val="auto"/>
                <w:sz w:val="21"/>
                <w:szCs w:val="21"/>
                <w:lang w:val="en-US" w:eastAsia="zh-CN" w:bidi="ar"/>
              </w:rPr>
            </w:pPr>
            <w:r>
              <w:rPr>
                <w:rFonts w:hint="eastAsia" w:ascii="宋体" w:hAnsi="宋体" w:eastAsia="宋体" w:cs="宋体"/>
                <w:b/>
                <w:bCs/>
                <w:i w:val="0"/>
                <w:iCs w:val="0"/>
                <w:color w:val="auto"/>
                <w:kern w:val="0"/>
                <w:sz w:val="21"/>
                <w:szCs w:val="21"/>
                <w:u w:val="none"/>
                <w:lang w:val="en-US" w:eastAsia="zh-CN" w:bidi="ar"/>
              </w:rPr>
              <w:t>（注：本演示需使用真实系统、demo</w:t>
            </w:r>
            <w:r>
              <w:rPr>
                <w:rStyle w:val="112"/>
                <w:rFonts w:hint="eastAsia" w:ascii="宋体" w:hAnsi="宋体" w:eastAsia="宋体" w:cs="宋体"/>
                <w:color w:val="auto"/>
                <w:sz w:val="21"/>
                <w:szCs w:val="21"/>
                <w:lang w:val="en-US" w:eastAsia="zh-CN" w:bidi="ar"/>
              </w:rPr>
              <w:t>演示或基于两者演示条件下的录像；静态页面、</w:t>
            </w:r>
            <w:r>
              <w:rPr>
                <w:rFonts w:hint="eastAsia" w:ascii="宋体" w:hAnsi="宋体" w:eastAsia="宋体" w:cs="宋体"/>
                <w:b/>
                <w:bCs/>
                <w:i w:val="0"/>
                <w:iCs w:val="0"/>
                <w:color w:val="auto"/>
                <w:kern w:val="0"/>
                <w:sz w:val="21"/>
                <w:szCs w:val="21"/>
                <w:u w:val="none"/>
                <w:lang w:val="en-US" w:eastAsia="zh-CN" w:bidi="ar"/>
              </w:rPr>
              <w:t>PPT</w:t>
            </w:r>
            <w:r>
              <w:rPr>
                <w:rStyle w:val="112"/>
                <w:rFonts w:hint="eastAsia" w:ascii="宋体" w:hAnsi="宋体" w:eastAsia="宋体" w:cs="宋体"/>
                <w:color w:val="auto"/>
                <w:sz w:val="21"/>
                <w:szCs w:val="21"/>
                <w:lang w:val="en-US" w:eastAsia="zh-CN" w:bidi="ar"/>
              </w:rPr>
              <w:t>或截图的不得分。）</w:t>
            </w:r>
          </w:p>
          <w:p>
            <w:pPr>
              <w:pStyle w:val="9"/>
              <w:rPr>
                <w:rFonts w:hint="eastAsia" w:ascii="宋体" w:hAnsi="宋体" w:eastAsia="宋体" w:cs="宋体"/>
                <w:i w:val="0"/>
                <w:iCs w:val="0"/>
                <w:color w:val="auto"/>
                <w:sz w:val="21"/>
                <w:szCs w:val="21"/>
                <w:u w:val="none"/>
              </w:rPr>
            </w:pPr>
          </w:p>
        </w:tc>
        <w:tc>
          <w:tcPr>
            <w:tcW w:w="54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0" w:hRule="atLeast"/>
        </w:trPr>
        <w:tc>
          <w:tcPr>
            <w:tcW w:w="656"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6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系统设计方案</w:t>
            </w:r>
          </w:p>
        </w:tc>
        <w:tc>
          <w:tcPr>
            <w:tcW w:w="375"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主观</w:t>
            </w:r>
          </w:p>
        </w:tc>
        <w:tc>
          <w:tcPr>
            <w:tcW w:w="275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基于投标人的投标方案与需求的吻合程度、开发能力、上架平台技术路线是否切实可行，是否遵循行业标准，系统功能设计方案完整性、合理性、适用性、扩展性描述等情况进行评分：：</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设计方案完整合理，技术切实可行，描述清晰，得</w:t>
            </w:r>
            <w:r>
              <w:rPr>
                <w:rFonts w:hint="eastAsia" w:ascii="宋体" w:hAnsi="宋体" w:cs="宋体"/>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分；</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设计方案较完整，有一定前瞻性，描述较清晰，得</w:t>
            </w:r>
            <w:r>
              <w:rPr>
                <w:rFonts w:hint="eastAsia" w:ascii="宋体" w:hAnsi="宋体" w:cs="宋体"/>
                <w:i w:val="0"/>
                <w:iCs w:val="0"/>
                <w:color w:val="auto"/>
                <w:kern w:val="0"/>
                <w:sz w:val="21"/>
                <w:szCs w:val="21"/>
                <w:u w:val="none"/>
                <w:lang w:val="en-US" w:eastAsia="zh-CN" w:bidi="ar"/>
              </w:rPr>
              <w:t>2</w:t>
            </w:r>
            <w:r>
              <w:rPr>
                <w:rFonts w:hint="eastAsia" w:ascii="宋体" w:hAnsi="宋体" w:eastAsia="宋体" w:cs="宋体"/>
                <w:i w:val="0"/>
                <w:iCs w:val="0"/>
                <w:color w:val="auto"/>
                <w:kern w:val="0"/>
                <w:sz w:val="21"/>
                <w:szCs w:val="21"/>
                <w:u w:val="none"/>
                <w:lang w:val="en-US" w:eastAsia="zh-CN" w:bidi="ar"/>
              </w:rPr>
              <w:t>分；</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设计方案不够完整，描述笼统不清，得1分。</w:t>
            </w:r>
          </w:p>
          <w:p>
            <w:pPr>
              <w:keepNext w:val="0"/>
              <w:keepLines w:val="0"/>
              <w:widowControl/>
              <w:suppressLineNumbers w:val="0"/>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方案无法满足要求或未提供的不得分。</w:t>
            </w:r>
          </w:p>
        </w:tc>
        <w:tc>
          <w:tcPr>
            <w:tcW w:w="54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1" w:hRule="atLeast"/>
        </w:trPr>
        <w:tc>
          <w:tcPr>
            <w:tcW w:w="656"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69"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项目实施方案</w:t>
            </w:r>
          </w:p>
        </w:tc>
        <w:tc>
          <w:tcPr>
            <w:tcW w:w="375" w:type="pct"/>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主观</w:t>
            </w:r>
          </w:p>
        </w:tc>
        <w:tc>
          <w:tcPr>
            <w:tcW w:w="275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基于投标人的项目组织实施方案的科学性、合理性和规范性等。是否具有完备的管理组织、项目实施规范和管理制度，以及组织机构、工作时间进度表、工作程序和步骤、管理和协调方法、关键步骤的思路和要点等情况进行评分：</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方案规范、合理，完全满足招标文件需求得</w:t>
            </w:r>
            <w:r>
              <w:rPr>
                <w:rFonts w:hint="eastAsia" w:ascii="宋体" w:hAnsi="宋体" w:cs="宋体"/>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分；</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方案较规范、合理，基本满足招标文件需求得</w:t>
            </w:r>
            <w:r>
              <w:rPr>
                <w:rFonts w:hint="eastAsia" w:ascii="宋体" w:hAnsi="宋体" w:cs="宋体"/>
                <w:i w:val="0"/>
                <w:iCs w:val="0"/>
                <w:color w:val="auto"/>
                <w:kern w:val="0"/>
                <w:sz w:val="21"/>
                <w:szCs w:val="21"/>
                <w:u w:val="none"/>
                <w:lang w:val="en-US" w:eastAsia="zh-CN" w:bidi="ar"/>
              </w:rPr>
              <w:t>2</w:t>
            </w:r>
            <w:r>
              <w:rPr>
                <w:rFonts w:hint="eastAsia" w:ascii="宋体" w:hAnsi="宋体" w:eastAsia="宋体" w:cs="宋体"/>
                <w:i w:val="0"/>
                <w:iCs w:val="0"/>
                <w:color w:val="auto"/>
                <w:kern w:val="0"/>
                <w:sz w:val="21"/>
                <w:szCs w:val="21"/>
                <w:u w:val="none"/>
                <w:lang w:val="en-US" w:eastAsia="zh-CN" w:bidi="ar"/>
              </w:rPr>
              <w:t>分；</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方案不够完整，描述笼统不清的</w:t>
            </w:r>
            <w:r>
              <w:rPr>
                <w:rFonts w:hint="eastAsia" w:ascii="宋体" w:hAnsi="宋体" w:cs="宋体"/>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分；</w:t>
            </w:r>
          </w:p>
          <w:p>
            <w:pPr>
              <w:keepNext w:val="0"/>
              <w:keepLines w:val="0"/>
              <w:widowControl/>
              <w:suppressLineNumbers w:val="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方案缺乏针对性，无方案或方案不合理不得分。</w:t>
            </w:r>
          </w:p>
        </w:tc>
        <w:tc>
          <w:tcPr>
            <w:tcW w:w="546"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8" w:hRule="atLeast"/>
        </w:trPr>
        <w:tc>
          <w:tcPr>
            <w:tcW w:w="656"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69"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数据更新维护</w:t>
            </w:r>
          </w:p>
        </w:tc>
        <w:tc>
          <w:tcPr>
            <w:tcW w:w="375" w:type="pct"/>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主观</w:t>
            </w:r>
          </w:p>
        </w:tc>
        <w:tc>
          <w:tcPr>
            <w:tcW w:w="275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基于投标人的理解各类数据在能力组件中的应用情况及不同类型组件对于数据更新维护的要求，包括按照要求数据按照特定周期进行更新维护等情况进行评分：</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数据可按照要求更新维护，得</w:t>
            </w:r>
            <w:r>
              <w:rPr>
                <w:rFonts w:hint="eastAsia" w:ascii="宋体" w:hAnsi="宋体" w:cs="宋体"/>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分；</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部分数据可按照要求更新维护，得</w:t>
            </w:r>
            <w:r>
              <w:rPr>
                <w:rFonts w:hint="eastAsia" w:ascii="宋体" w:hAnsi="宋体" w:cs="宋体"/>
                <w:i w:val="0"/>
                <w:iCs w:val="0"/>
                <w:color w:val="auto"/>
                <w:kern w:val="0"/>
                <w:sz w:val="21"/>
                <w:szCs w:val="21"/>
                <w:u w:val="none"/>
                <w:lang w:val="en-US" w:eastAsia="zh-CN" w:bidi="ar"/>
              </w:rPr>
              <w:t>2</w:t>
            </w:r>
            <w:r>
              <w:rPr>
                <w:rFonts w:hint="eastAsia" w:ascii="宋体" w:hAnsi="宋体" w:eastAsia="宋体" w:cs="宋体"/>
                <w:i w:val="0"/>
                <w:iCs w:val="0"/>
                <w:color w:val="auto"/>
                <w:kern w:val="0"/>
                <w:sz w:val="21"/>
                <w:szCs w:val="21"/>
                <w:u w:val="none"/>
                <w:lang w:val="en-US" w:eastAsia="zh-CN" w:bidi="ar"/>
              </w:rPr>
              <w:t>分；</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数据难以按照要求更新维护，得1分；</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方案无法满足要求的不得分。</w:t>
            </w:r>
          </w:p>
        </w:tc>
        <w:tc>
          <w:tcPr>
            <w:tcW w:w="546"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9" w:hRule="atLeast"/>
        </w:trPr>
        <w:tc>
          <w:tcPr>
            <w:tcW w:w="656"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6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数据源</w:t>
            </w:r>
          </w:p>
        </w:tc>
        <w:tc>
          <w:tcPr>
            <w:tcW w:w="375"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主观</w:t>
            </w:r>
          </w:p>
        </w:tc>
        <w:tc>
          <w:tcPr>
            <w:tcW w:w="275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基于投标人的理解各类数据在能力组件中的应用情况及不同类型组件对于数据源的要求，包括数据源稳定、牌号数量要求、数据时间维度、产业链节点、原料品类种类数量、产能数据条数等情况进行评分：</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数据源稳定，满足各项数据要求，得</w:t>
            </w:r>
            <w:r>
              <w:rPr>
                <w:rFonts w:hint="eastAsia" w:ascii="宋体" w:hAnsi="宋体" w:cs="宋体"/>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分；</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数据源较稳定，部分满足数据要求，得</w:t>
            </w:r>
            <w:r>
              <w:rPr>
                <w:rFonts w:hint="eastAsia" w:ascii="宋体" w:hAnsi="宋体" w:cs="宋体"/>
                <w:i w:val="0"/>
                <w:iCs w:val="0"/>
                <w:color w:val="auto"/>
                <w:kern w:val="0"/>
                <w:sz w:val="21"/>
                <w:szCs w:val="21"/>
                <w:u w:val="none"/>
                <w:lang w:val="en-US" w:eastAsia="zh-CN" w:bidi="ar"/>
              </w:rPr>
              <w:t>2</w:t>
            </w:r>
            <w:r>
              <w:rPr>
                <w:rFonts w:hint="eastAsia" w:ascii="宋体" w:hAnsi="宋体" w:eastAsia="宋体" w:cs="宋体"/>
                <w:i w:val="0"/>
                <w:iCs w:val="0"/>
                <w:color w:val="auto"/>
                <w:kern w:val="0"/>
                <w:sz w:val="21"/>
                <w:szCs w:val="21"/>
                <w:u w:val="none"/>
                <w:lang w:val="en-US" w:eastAsia="zh-CN" w:bidi="ar"/>
              </w:rPr>
              <w:t>分；</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数据源不够稳定，数据要求难以满足，得1分；</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方案无法满足要求或未提供的不得分。</w:t>
            </w:r>
          </w:p>
        </w:tc>
        <w:tc>
          <w:tcPr>
            <w:tcW w:w="54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17" w:hRule="atLeast"/>
        </w:trPr>
        <w:tc>
          <w:tcPr>
            <w:tcW w:w="656"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6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培训方案</w:t>
            </w:r>
          </w:p>
        </w:tc>
        <w:tc>
          <w:tcPr>
            <w:tcW w:w="375"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主观</w:t>
            </w:r>
          </w:p>
        </w:tc>
        <w:tc>
          <w:tcPr>
            <w:tcW w:w="275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基于投标人培训方案内容合理、详细、培训时长、具有项目针对性等情况进行评分：</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培训方案详实、内容完整，进度安排合理，切实满足用户实际需要，得</w:t>
            </w:r>
            <w:r>
              <w:rPr>
                <w:rFonts w:hint="eastAsia" w:ascii="宋体" w:hAnsi="宋体" w:cs="宋体"/>
                <w:i w:val="0"/>
                <w:iCs w:val="0"/>
                <w:color w:val="auto"/>
                <w:kern w:val="0"/>
                <w:sz w:val="21"/>
                <w:szCs w:val="21"/>
                <w:u w:val="none"/>
                <w:lang w:val="en-US" w:eastAsia="zh-CN" w:bidi="ar"/>
              </w:rPr>
              <w:t>2</w:t>
            </w:r>
            <w:r>
              <w:rPr>
                <w:rFonts w:hint="eastAsia" w:ascii="宋体" w:hAnsi="宋体" w:eastAsia="宋体" w:cs="宋体"/>
                <w:i w:val="0"/>
                <w:iCs w:val="0"/>
                <w:color w:val="auto"/>
                <w:kern w:val="0"/>
                <w:sz w:val="21"/>
                <w:szCs w:val="21"/>
                <w:u w:val="none"/>
                <w:lang w:val="en-US" w:eastAsia="zh-CN" w:bidi="ar"/>
              </w:rPr>
              <w:t>分；</w:t>
            </w:r>
          </w:p>
          <w:p>
            <w:pPr>
              <w:keepNext w:val="0"/>
              <w:keepLines w:val="0"/>
              <w:widowControl/>
              <w:suppressLineNumbers w:val="0"/>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培训方案内容简单，内容基本完整，基本满足用户实际需要，得</w:t>
            </w:r>
            <w:r>
              <w:rPr>
                <w:rFonts w:hint="eastAsia" w:ascii="宋体" w:hAnsi="宋体" w:cs="宋体"/>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分；</w:t>
            </w:r>
          </w:p>
          <w:p>
            <w:pPr>
              <w:keepNext w:val="0"/>
              <w:keepLines w:val="0"/>
              <w:widowControl/>
              <w:suppressLineNumbers w:val="0"/>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未提供培训方案的不得分。</w:t>
            </w:r>
          </w:p>
        </w:tc>
        <w:tc>
          <w:tcPr>
            <w:tcW w:w="54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w:t>
            </w:r>
            <w:r>
              <w:rPr>
                <w:rFonts w:hint="eastAsia" w:ascii="宋体" w:hAnsi="宋体" w:eastAsia="宋体" w:cs="宋体"/>
                <w:i w:val="0"/>
                <w:iCs w:val="0"/>
                <w:color w:val="auto"/>
                <w:kern w:val="0"/>
                <w:sz w:val="21"/>
                <w:szCs w:val="21"/>
                <w:u w:val="none"/>
                <w:lang w:val="en-US" w:eastAsia="zh-CN"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17" w:hRule="atLeast"/>
        </w:trPr>
        <w:tc>
          <w:tcPr>
            <w:tcW w:w="656" w:type="pct"/>
            <w:vMerge w:val="continue"/>
            <w:tcBorders>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6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质保及售后服务响应</w:t>
            </w:r>
          </w:p>
        </w:tc>
        <w:tc>
          <w:tcPr>
            <w:tcW w:w="375"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客观</w:t>
            </w:r>
          </w:p>
        </w:tc>
        <w:tc>
          <w:tcPr>
            <w:tcW w:w="275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基于投标人根据招标文件要求，提供符合要求的售后服务与技术支持，并进行承诺。包含：项目的售后维护周期以及维护服务内容；响应时间；故障间隔时长、故障修复时长等的承诺等情况进行评分：</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响应优于招标文件，得</w:t>
            </w:r>
            <w:r>
              <w:rPr>
                <w:rFonts w:hint="eastAsia" w:ascii="宋体" w:hAnsi="宋体" w:cs="宋体"/>
                <w:i w:val="0"/>
                <w:iCs w:val="0"/>
                <w:color w:val="auto"/>
                <w:kern w:val="0"/>
                <w:sz w:val="21"/>
                <w:szCs w:val="21"/>
                <w:u w:val="none"/>
                <w:lang w:val="en-US" w:eastAsia="zh-CN" w:bidi="ar"/>
              </w:rPr>
              <w:t>2</w:t>
            </w:r>
            <w:r>
              <w:rPr>
                <w:rFonts w:hint="eastAsia" w:ascii="宋体" w:hAnsi="宋体" w:eastAsia="宋体" w:cs="宋体"/>
                <w:i w:val="0"/>
                <w:iCs w:val="0"/>
                <w:color w:val="auto"/>
                <w:kern w:val="0"/>
                <w:sz w:val="21"/>
                <w:szCs w:val="21"/>
                <w:u w:val="none"/>
                <w:lang w:val="en-US" w:eastAsia="zh-CN" w:bidi="ar"/>
              </w:rPr>
              <w:t>分；</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满足招标文件，得1分；</w:t>
            </w:r>
          </w:p>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不满足招标文件的不得分。</w:t>
            </w:r>
          </w:p>
        </w:tc>
        <w:tc>
          <w:tcPr>
            <w:tcW w:w="54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2</w:t>
            </w:r>
            <w:r>
              <w:rPr>
                <w:rFonts w:hint="eastAsia" w:ascii="宋体" w:hAnsi="宋体" w:eastAsia="宋体" w:cs="宋体"/>
                <w:i w:val="0"/>
                <w:iCs w:val="0"/>
                <w:color w:val="auto"/>
                <w:kern w:val="0"/>
                <w:sz w:val="21"/>
                <w:szCs w:val="21"/>
                <w:u w:val="none"/>
                <w:lang w:val="en-US" w:eastAsia="zh-CN"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4453" w:type="pct"/>
            <w:gridSpan w:val="4"/>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b/>
                <w:bCs/>
                <w:i w:val="0"/>
                <w:iCs w:val="0"/>
                <w:color w:val="auto"/>
                <w:sz w:val="21"/>
                <w:szCs w:val="21"/>
                <w:u w:val="none"/>
                <w:lang w:val="en-US" w:eastAsia="zh-CN"/>
              </w:rPr>
              <w:t>合计</w:t>
            </w:r>
          </w:p>
        </w:tc>
        <w:tc>
          <w:tcPr>
            <w:tcW w:w="546"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90分</w:t>
            </w:r>
          </w:p>
        </w:tc>
      </w:tr>
    </w:tbl>
    <w:p>
      <w:pPr>
        <w:rPr>
          <w:rFonts w:hint="eastAsia" w:ascii="宋体" w:hAnsi="宋体" w:cs="宋体"/>
          <w:b/>
          <w:sz w:val="28"/>
          <w:szCs w:val="28"/>
        </w:rPr>
      </w:pPr>
      <w:r>
        <w:rPr>
          <w:rFonts w:hint="eastAsia" w:ascii="宋体" w:hAnsi="宋体" w:cs="宋体"/>
          <w:b/>
          <w:sz w:val="28"/>
          <w:szCs w:val="28"/>
        </w:rPr>
        <w:br w:type="page"/>
      </w:r>
    </w:p>
    <w:p>
      <w:pPr>
        <w:jc w:val="center"/>
        <w:outlineLvl w:val="0"/>
        <w:rPr>
          <w:rFonts w:ascii="宋体" w:hAnsi="宋体" w:cs="宋体"/>
          <w:b/>
          <w:sz w:val="28"/>
          <w:szCs w:val="28"/>
        </w:rPr>
      </w:pPr>
      <w:r>
        <w:rPr>
          <w:rFonts w:hint="eastAsia" w:ascii="宋体" w:hAnsi="宋体" w:cs="宋体"/>
          <w:b/>
          <w:sz w:val="28"/>
          <w:szCs w:val="28"/>
        </w:rPr>
        <w:t xml:space="preserve">第五章 </w:t>
      </w:r>
      <w:r>
        <w:rPr>
          <w:rFonts w:hint="eastAsia" w:ascii="宋体" w:hAnsi="宋体" w:cs="宋体"/>
          <w:b/>
          <w:sz w:val="28"/>
          <w:szCs w:val="28"/>
          <w:highlight w:val="none"/>
        </w:rPr>
        <w:t xml:space="preserve"> 合同主要条款</w:t>
      </w:r>
    </w:p>
    <w:p>
      <w:pPr>
        <w:snapToGrid w:val="0"/>
        <w:spacing w:before="156" w:beforeLines="50" w:after="156" w:afterLines="50" w:line="360" w:lineRule="auto"/>
        <w:jc w:val="center"/>
        <w:rPr>
          <w:sz w:val="28"/>
          <w:szCs w:val="28"/>
        </w:rPr>
      </w:pPr>
      <w:r>
        <w:rPr>
          <w:rFonts w:hint="eastAsia" w:ascii="宋体" w:hAnsi="宋体" w:cs="宋体"/>
          <w:b/>
          <w:sz w:val="28"/>
          <w:szCs w:val="28"/>
        </w:rPr>
        <w:t>（具体条款以甲方为主协商确定）</w:t>
      </w:r>
    </w:p>
    <w:p>
      <w:pPr>
        <w:spacing w:line="360" w:lineRule="auto"/>
        <w:jc w:val="center"/>
        <w:rPr>
          <w:rFonts w:ascii="宋体" w:hAnsi="宋体" w:cs="宋体"/>
          <w:sz w:val="44"/>
        </w:rPr>
      </w:pPr>
    </w:p>
    <w:p>
      <w:pPr>
        <w:spacing w:line="360" w:lineRule="auto"/>
        <w:jc w:val="center"/>
        <w:rPr>
          <w:rFonts w:ascii="宋体" w:hAnsi="宋体" w:cs="宋体"/>
          <w:sz w:val="44"/>
        </w:rPr>
      </w:pPr>
    </w:p>
    <w:p>
      <w:pPr>
        <w:spacing w:line="360" w:lineRule="auto"/>
        <w:jc w:val="center"/>
        <w:rPr>
          <w:rFonts w:ascii="宋体" w:hAnsi="宋体" w:cs="宋体"/>
          <w:sz w:val="44"/>
        </w:rPr>
      </w:pPr>
    </w:p>
    <w:p>
      <w:pPr>
        <w:spacing w:line="360" w:lineRule="auto"/>
        <w:jc w:val="center"/>
        <w:rPr>
          <w:rFonts w:ascii="宋体" w:hAnsi="宋体" w:cs="宋体"/>
          <w:sz w:val="44"/>
        </w:rPr>
      </w:pPr>
      <w:r>
        <w:rPr>
          <w:rFonts w:hint="eastAsia" w:ascii="宋体" w:hAnsi="宋体" w:cs="宋体"/>
          <w:sz w:val="44"/>
        </w:rPr>
        <w:t>项目合同</w:t>
      </w:r>
    </w:p>
    <w:p>
      <w:pPr>
        <w:spacing w:line="276" w:lineRule="auto"/>
        <w:jc w:val="center"/>
        <w:rPr>
          <w:rFonts w:ascii="宋体" w:hAnsi="宋体" w:cs="宋体"/>
          <w:sz w:val="30"/>
          <w:szCs w:val="30"/>
        </w:rPr>
      </w:pPr>
    </w:p>
    <w:p>
      <w:pPr>
        <w:spacing w:line="700" w:lineRule="exact"/>
        <w:ind w:firstLine="1026" w:firstLineChars="342"/>
        <w:rPr>
          <w:rFonts w:ascii="宋体" w:hAnsi="宋体" w:cs="宋体"/>
          <w:sz w:val="30"/>
          <w:szCs w:val="30"/>
        </w:rPr>
      </w:pPr>
      <w:r>
        <w:rPr>
          <w:rFonts w:hint="eastAsia" w:ascii="宋体" w:hAnsi="宋体" w:cs="宋体"/>
          <w:sz w:val="30"/>
          <w:szCs w:val="30"/>
        </w:rPr>
        <w:t>项目名称：</w:t>
      </w:r>
      <w:r>
        <w:rPr>
          <w:rFonts w:hint="eastAsia" w:ascii="宋体" w:hAnsi="宋体" w:cs="宋体"/>
          <w:sz w:val="30"/>
          <w:szCs w:val="30"/>
          <w:u w:val="single"/>
        </w:rPr>
        <w:t xml:space="preserve">                                        </w:t>
      </w:r>
    </w:p>
    <w:p>
      <w:pPr>
        <w:spacing w:line="500" w:lineRule="exact"/>
        <w:ind w:firstLine="354" w:firstLineChars="118"/>
        <w:rPr>
          <w:rFonts w:ascii="宋体" w:hAnsi="宋体" w:cs="宋体"/>
          <w:sz w:val="30"/>
          <w:szCs w:val="30"/>
        </w:rPr>
      </w:pPr>
    </w:p>
    <w:p>
      <w:pPr>
        <w:spacing w:line="700" w:lineRule="exact"/>
        <w:ind w:firstLine="1026" w:firstLineChars="342"/>
        <w:rPr>
          <w:rFonts w:ascii="宋体" w:hAnsi="宋体" w:cs="宋体"/>
          <w:sz w:val="30"/>
          <w:szCs w:val="30"/>
          <w:u w:val="single"/>
        </w:rPr>
      </w:pPr>
      <w:r>
        <w:rPr>
          <w:rFonts w:hint="eastAsia" w:ascii="宋体" w:hAnsi="宋体" w:cs="宋体"/>
          <w:sz w:val="30"/>
          <w:szCs w:val="30"/>
        </w:rPr>
        <w:t>项目编号：</w:t>
      </w:r>
      <w:r>
        <w:rPr>
          <w:rFonts w:hint="eastAsia" w:ascii="宋体" w:hAnsi="宋体" w:cs="宋体"/>
          <w:sz w:val="30"/>
          <w:szCs w:val="30"/>
          <w:u w:val="single"/>
        </w:rPr>
        <w:t xml:space="preserve">                                        </w:t>
      </w:r>
    </w:p>
    <w:p>
      <w:pPr>
        <w:spacing w:line="500" w:lineRule="exact"/>
        <w:rPr>
          <w:rFonts w:ascii="宋体" w:hAnsi="宋体" w:cs="宋体"/>
          <w:sz w:val="28"/>
          <w:szCs w:val="28"/>
        </w:rPr>
      </w:pPr>
    </w:p>
    <w:p>
      <w:pPr>
        <w:spacing w:line="700" w:lineRule="exact"/>
        <w:rPr>
          <w:rFonts w:ascii="宋体" w:hAnsi="宋体" w:cs="宋体"/>
          <w:sz w:val="30"/>
          <w:szCs w:val="30"/>
        </w:rPr>
      </w:pPr>
    </w:p>
    <w:p>
      <w:pPr>
        <w:spacing w:line="700" w:lineRule="exact"/>
        <w:rPr>
          <w:rFonts w:ascii="宋体" w:hAnsi="宋体" w:cs="宋体"/>
          <w:sz w:val="30"/>
          <w:szCs w:val="30"/>
        </w:rPr>
      </w:pPr>
    </w:p>
    <w:p>
      <w:pPr>
        <w:spacing w:line="700" w:lineRule="exact"/>
        <w:rPr>
          <w:rFonts w:ascii="宋体" w:hAnsi="宋体" w:cs="宋体"/>
          <w:sz w:val="30"/>
          <w:szCs w:val="30"/>
        </w:rPr>
      </w:pPr>
    </w:p>
    <w:p>
      <w:pPr>
        <w:spacing w:line="700" w:lineRule="exact"/>
        <w:rPr>
          <w:rFonts w:ascii="宋体" w:hAnsi="宋体" w:cs="宋体"/>
          <w:sz w:val="30"/>
          <w:szCs w:val="30"/>
        </w:rPr>
      </w:pPr>
    </w:p>
    <w:p>
      <w:pPr>
        <w:spacing w:line="700" w:lineRule="exact"/>
        <w:ind w:firstLine="1026" w:firstLineChars="342"/>
        <w:rPr>
          <w:rFonts w:ascii="宋体" w:hAnsi="宋体" w:cs="宋体"/>
          <w:sz w:val="30"/>
          <w:szCs w:val="30"/>
        </w:rPr>
      </w:pPr>
      <w:r>
        <w:rPr>
          <w:rFonts w:hint="eastAsia" w:ascii="宋体" w:hAnsi="宋体" w:cs="宋体"/>
          <w:sz w:val="30"/>
          <w:szCs w:val="30"/>
        </w:rPr>
        <w:t>采购人（甲方）：</w:t>
      </w:r>
      <w:r>
        <w:rPr>
          <w:rFonts w:hint="eastAsia" w:ascii="宋体" w:hAnsi="宋体" w:cs="宋体"/>
          <w:sz w:val="36"/>
          <w:szCs w:val="36"/>
          <w:u w:val="single"/>
        </w:rPr>
        <w:t xml:space="preserve">                             </w:t>
      </w:r>
    </w:p>
    <w:p>
      <w:pPr>
        <w:spacing w:line="700" w:lineRule="exact"/>
        <w:ind w:firstLine="1026" w:firstLineChars="342"/>
        <w:rPr>
          <w:rFonts w:ascii="宋体" w:hAnsi="宋体" w:cs="宋体"/>
          <w:sz w:val="30"/>
          <w:szCs w:val="30"/>
        </w:rPr>
      </w:pPr>
      <w:r>
        <w:rPr>
          <w:rFonts w:hint="eastAsia" w:ascii="宋体" w:hAnsi="宋体" w:cs="宋体"/>
          <w:sz w:val="30"/>
          <w:szCs w:val="30"/>
        </w:rPr>
        <w:t>成交人（乙方）：</w:t>
      </w:r>
      <w:r>
        <w:rPr>
          <w:rFonts w:hint="eastAsia" w:ascii="宋体" w:hAnsi="宋体" w:cs="宋体"/>
          <w:sz w:val="36"/>
          <w:szCs w:val="36"/>
          <w:u w:val="single"/>
        </w:rPr>
        <w:t xml:space="preserve">                             </w:t>
      </w:r>
    </w:p>
    <w:p>
      <w:pPr>
        <w:spacing w:line="700" w:lineRule="exact"/>
        <w:ind w:firstLine="1026" w:firstLineChars="342"/>
        <w:rPr>
          <w:rFonts w:ascii="宋体" w:hAnsi="宋体" w:cs="宋体"/>
          <w:sz w:val="30"/>
          <w:szCs w:val="30"/>
        </w:rPr>
      </w:pPr>
      <w:r>
        <w:rPr>
          <w:rFonts w:hint="eastAsia" w:ascii="宋体" w:hAnsi="宋体" w:cs="宋体"/>
          <w:sz w:val="30"/>
          <w:szCs w:val="30"/>
        </w:rPr>
        <w:t>合同签定日：</w:t>
      </w:r>
      <w:r>
        <w:rPr>
          <w:rFonts w:hint="eastAsia" w:ascii="宋体" w:hAnsi="宋体" w:cs="宋体"/>
          <w:sz w:val="30"/>
          <w:szCs w:val="30"/>
          <w:u w:val="single"/>
        </w:rPr>
        <w:t xml:space="preserve"> 20  年   月   日                      </w:t>
      </w:r>
    </w:p>
    <w:p>
      <w:pPr>
        <w:spacing w:line="700" w:lineRule="exact"/>
        <w:ind w:firstLine="1026" w:firstLineChars="342"/>
        <w:rPr>
          <w:rFonts w:ascii="宋体" w:hAnsi="宋体" w:cs="宋体"/>
          <w:sz w:val="30"/>
          <w:szCs w:val="30"/>
        </w:rPr>
      </w:pPr>
      <w:r>
        <w:rPr>
          <w:rFonts w:hint="eastAsia" w:ascii="宋体" w:hAnsi="宋体" w:cs="宋体"/>
          <w:sz w:val="30"/>
          <w:szCs w:val="30"/>
        </w:rPr>
        <w:t>合同签定地点：</w:t>
      </w:r>
      <w:r>
        <w:rPr>
          <w:rFonts w:hint="eastAsia" w:ascii="宋体" w:hAnsi="宋体" w:cs="宋体"/>
          <w:sz w:val="30"/>
          <w:szCs w:val="30"/>
          <w:u w:val="single"/>
        </w:rPr>
        <w:t xml:space="preserve">舟山市      </w:t>
      </w:r>
      <w:r>
        <w:rPr>
          <w:rFonts w:hint="eastAsia" w:ascii="宋体" w:hAnsi="宋体" w:cs="宋体"/>
          <w:sz w:val="36"/>
          <w:szCs w:val="36"/>
          <w:u w:val="single"/>
        </w:rPr>
        <w:t xml:space="preserve">                     </w:t>
      </w:r>
    </w:p>
    <w:p>
      <w:pPr>
        <w:snapToGrid w:val="0"/>
        <w:spacing w:line="400" w:lineRule="exact"/>
        <w:rPr>
          <w:rFonts w:ascii="宋体" w:hAnsi="宋体" w:cs="宋体"/>
          <w:szCs w:val="21"/>
        </w:rPr>
      </w:pPr>
    </w:p>
    <w:p>
      <w:pPr>
        <w:snapToGrid w:val="0"/>
        <w:spacing w:line="400" w:lineRule="exact"/>
        <w:rPr>
          <w:rFonts w:ascii="宋体" w:hAnsi="宋体" w:cs="宋体"/>
          <w:szCs w:val="21"/>
        </w:rPr>
      </w:pPr>
    </w:p>
    <w:p>
      <w:pPr>
        <w:snapToGrid w:val="0"/>
        <w:spacing w:line="400" w:lineRule="exact"/>
        <w:rPr>
          <w:rFonts w:ascii="宋体" w:hAnsi="宋体" w:cs="宋体"/>
          <w:szCs w:val="21"/>
        </w:rPr>
      </w:pPr>
    </w:p>
    <w:p>
      <w:pPr>
        <w:spacing w:line="360" w:lineRule="auto"/>
        <w:ind w:right="6"/>
        <w:rPr>
          <w:rFonts w:ascii="宋体" w:hAnsi="宋体"/>
          <w:spacing w:val="4"/>
          <w:sz w:val="24"/>
          <w:szCs w:val="24"/>
        </w:rPr>
      </w:pPr>
    </w:p>
    <w:p>
      <w:pPr>
        <w:spacing w:line="360" w:lineRule="auto"/>
        <w:ind w:firstLine="436" w:firstLineChars="200"/>
        <w:rPr>
          <w:rFonts w:ascii="宋体" w:hAnsi="宋体" w:cs="宋体"/>
          <w:spacing w:val="4"/>
          <w:szCs w:val="21"/>
        </w:rPr>
      </w:pPr>
      <w:r>
        <w:rPr>
          <w:rFonts w:hint="eastAsia" w:ascii="宋体" w:hAnsi="宋体" w:cs="宋体"/>
          <w:spacing w:val="4"/>
          <w:szCs w:val="21"/>
        </w:rPr>
        <w:t>甲方对</w:t>
      </w:r>
      <w:r>
        <w:rPr>
          <w:rFonts w:hint="eastAsia" w:ascii="宋体" w:hAnsi="宋体" w:cs="宋体"/>
          <w:szCs w:val="21"/>
          <w:u w:val="single"/>
        </w:rPr>
        <w:t xml:space="preserve">                                                </w:t>
      </w:r>
      <w:r>
        <w:rPr>
          <w:rFonts w:hint="eastAsia" w:ascii="宋体" w:hAnsi="宋体" w:cs="宋体"/>
          <w:spacing w:val="4"/>
          <w:szCs w:val="21"/>
        </w:rPr>
        <w:t>进行竞争性磋商标。经磋商小组评定并最终审核通过，确定乙方为本项采购项目的成交人。甲乙双方根据《中华人民共和国政府采购法》、《中华人民共和国民法典》等相关法律法规及本项目磋商文件的规定，双方经平等协商达成一致意见，订立本合同。</w:t>
      </w:r>
    </w:p>
    <w:p>
      <w:pPr>
        <w:spacing w:line="360" w:lineRule="auto"/>
        <w:outlineLvl w:val="1"/>
        <w:rPr>
          <w:rFonts w:ascii="宋体" w:hAnsi="宋体" w:cs="宋体"/>
          <w:b/>
          <w:szCs w:val="21"/>
        </w:rPr>
      </w:pPr>
      <w:r>
        <w:rPr>
          <w:rFonts w:hint="eastAsia" w:ascii="宋体" w:hAnsi="宋体" w:cs="宋体"/>
          <w:b/>
          <w:szCs w:val="21"/>
        </w:rPr>
        <w:t>一、合同文件</w:t>
      </w:r>
    </w:p>
    <w:p>
      <w:pPr>
        <w:spacing w:line="360" w:lineRule="auto"/>
        <w:ind w:firstLine="420" w:firstLineChars="200"/>
        <w:rPr>
          <w:rFonts w:ascii="宋体" w:hAnsi="宋体" w:cs="宋体"/>
          <w:szCs w:val="21"/>
        </w:rPr>
      </w:pPr>
      <w:r>
        <w:rPr>
          <w:rFonts w:hint="eastAsia" w:ascii="宋体" w:hAnsi="宋体" w:cs="宋体"/>
          <w:szCs w:val="21"/>
        </w:rPr>
        <w:t>下列文件构成本合同的组成部分：</w:t>
      </w:r>
    </w:p>
    <w:p>
      <w:pPr>
        <w:numPr>
          <w:ilvl w:val="0"/>
          <w:numId w:val="10"/>
        </w:numPr>
        <w:adjustRightInd w:val="0"/>
        <w:spacing w:line="360" w:lineRule="auto"/>
        <w:ind w:left="0" w:firstLine="420" w:firstLineChars="200"/>
        <w:textAlignment w:val="baseline"/>
        <w:rPr>
          <w:rFonts w:ascii="宋体" w:hAnsi="宋体" w:cs="宋体"/>
          <w:szCs w:val="21"/>
        </w:rPr>
      </w:pPr>
      <w:r>
        <w:rPr>
          <w:rFonts w:hint="eastAsia" w:ascii="宋体" w:hAnsi="宋体" w:cs="宋体"/>
          <w:szCs w:val="21"/>
        </w:rPr>
        <w:t>磋商文件</w:t>
      </w:r>
    </w:p>
    <w:p>
      <w:pPr>
        <w:numPr>
          <w:ilvl w:val="0"/>
          <w:numId w:val="10"/>
        </w:numPr>
        <w:adjustRightInd w:val="0"/>
        <w:spacing w:line="360" w:lineRule="auto"/>
        <w:ind w:left="0" w:firstLine="420" w:firstLineChars="200"/>
        <w:textAlignment w:val="baseline"/>
        <w:rPr>
          <w:rFonts w:ascii="宋体" w:hAnsi="宋体" w:cs="宋体"/>
          <w:szCs w:val="21"/>
        </w:rPr>
      </w:pPr>
      <w:r>
        <w:rPr>
          <w:rFonts w:hint="eastAsia" w:ascii="宋体" w:hAnsi="宋体" w:cs="宋体"/>
          <w:szCs w:val="21"/>
        </w:rPr>
        <w:t>响应文件</w:t>
      </w:r>
    </w:p>
    <w:p>
      <w:pPr>
        <w:numPr>
          <w:ilvl w:val="0"/>
          <w:numId w:val="10"/>
        </w:numPr>
        <w:adjustRightInd w:val="0"/>
        <w:spacing w:line="360" w:lineRule="auto"/>
        <w:ind w:left="0" w:firstLine="420" w:firstLineChars="200"/>
        <w:textAlignment w:val="baseline"/>
        <w:rPr>
          <w:rFonts w:ascii="宋体" w:hAnsi="宋体" w:cs="宋体"/>
          <w:szCs w:val="21"/>
        </w:rPr>
      </w:pPr>
      <w:r>
        <w:rPr>
          <w:rFonts w:hint="eastAsia" w:ascii="宋体" w:hAnsi="宋体" w:cs="宋体"/>
          <w:szCs w:val="21"/>
        </w:rPr>
        <w:t>相关补充文件</w:t>
      </w:r>
    </w:p>
    <w:p>
      <w:pPr>
        <w:spacing w:line="360" w:lineRule="auto"/>
        <w:outlineLvl w:val="1"/>
        <w:rPr>
          <w:rFonts w:ascii="宋体" w:hAnsi="宋体" w:cs="宋体"/>
          <w:b/>
          <w:szCs w:val="21"/>
        </w:rPr>
      </w:pPr>
      <w:r>
        <w:rPr>
          <w:rFonts w:hint="eastAsia" w:ascii="宋体" w:hAnsi="宋体" w:cs="宋体"/>
          <w:b/>
          <w:szCs w:val="21"/>
        </w:rPr>
        <w:t>二、合同范围和条件</w:t>
      </w:r>
    </w:p>
    <w:p>
      <w:pPr>
        <w:spacing w:line="360" w:lineRule="auto"/>
        <w:ind w:firstLine="436" w:firstLineChars="200"/>
        <w:rPr>
          <w:rFonts w:ascii="宋体" w:hAnsi="宋体" w:cs="宋体"/>
          <w:spacing w:val="4"/>
          <w:szCs w:val="21"/>
        </w:rPr>
      </w:pPr>
      <w:r>
        <w:rPr>
          <w:rFonts w:hint="eastAsia" w:ascii="宋体" w:hAnsi="宋体" w:cs="宋体"/>
          <w:spacing w:val="4"/>
          <w:szCs w:val="21"/>
        </w:rPr>
        <w:t>本合同的范围和条件与上述规定的合同文件内容一致。</w:t>
      </w:r>
    </w:p>
    <w:p>
      <w:pPr>
        <w:spacing w:line="360" w:lineRule="auto"/>
        <w:outlineLvl w:val="1"/>
        <w:rPr>
          <w:rFonts w:ascii="宋体" w:hAnsi="宋体" w:cs="宋体"/>
          <w:b/>
          <w:szCs w:val="21"/>
        </w:rPr>
      </w:pPr>
      <w:r>
        <w:rPr>
          <w:rFonts w:hint="eastAsia" w:ascii="宋体" w:hAnsi="宋体" w:cs="宋体"/>
          <w:b/>
          <w:szCs w:val="21"/>
        </w:rPr>
        <w:t>三、产品的技术要求</w:t>
      </w:r>
    </w:p>
    <w:p>
      <w:pPr>
        <w:spacing w:line="360" w:lineRule="auto"/>
        <w:ind w:firstLine="436" w:firstLineChars="200"/>
        <w:rPr>
          <w:rFonts w:ascii="宋体" w:hAnsi="宋体" w:cs="宋体"/>
          <w:spacing w:val="4"/>
          <w:szCs w:val="21"/>
        </w:rPr>
      </w:pPr>
      <w:r>
        <w:rPr>
          <w:rFonts w:hint="eastAsia" w:ascii="宋体" w:hAnsi="宋体" w:cs="宋体"/>
          <w:spacing w:val="4"/>
          <w:szCs w:val="21"/>
        </w:rPr>
        <w:t>本产品的技术要求同磋商文件第二章项目</w:t>
      </w:r>
      <w:r>
        <w:rPr>
          <w:rFonts w:hint="eastAsia" w:ascii="宋体" w:hAnsi="宋体" w:cs="宋体"/>
          <w:spacing w:val="4"/>
          <w:szCs w:val="21"/>
          <w:lang w:val="en-US" w:eastAsia="zh-CN"/>
        </w:rPr>
        <w:t>要求</w:t>
      </w:r>
      <w:r>
        <w:rPr>
          <w:rFonts w:hint="eastAsia" w:ascii="宋体" w:hAnsi="宋体" w:cs="宋体"/>
          <w:spacing w:val="4"/>
          <w:szCs w:val="21"/>
        </w:rPr>
        <w:t>相同。</w:t>
      </w:r>
    </w:p>
    <w:p>
      <w:pPr>
        <w:spacing w:line="360" w:lineRule="auto"/>
        <w:outlineLvl w:val="1"/>
        <w:rPr>
          <w:rFonts w:ascii="宋体" w:hAnsi="宋体" w:cs="宋体"/>
          <w:b/>
          <w:szCs w:val="21"/>
        </w:rPr>
      </w:pPr>
      <w:r>
        <w:rPr>
          <w:rFonts w:hint="eastAsia" w:ascii="宋体" w:hAnsi="宋体" w:cs="宋体"/>
          <w:b/>
          <w:szCs w:val="21"/>
        </w:rPr>
        <w:t>四、合同金额</w:t>
      </w:r>
    </w:p>
    <w:p>
      <w:pPr>
        <w:spacing w:line="360" w:lineRule="auto"/>
        <w:ind w:firstLine="436" w:firstLineChars="200"/>
        <w:rPr>
          <w:rFonts w:ascii="宋体" w:hAnsi="宋体" w:cs="宋体"/>
          <w:b/>
          <w:szCs w:val="21"/>
        </w:rPr>
      </w:pPr>
      <w:r>
        <w:rPr>
          <w:rFonts w:hint="eastAsia" w:ascii="宋体" w:hAnsi="宋体" w:cs="宋体"/>
          <w:spacing w:val="4"/>
          <w:szCs w:val="21"/>
        </w:rPr>
        <w:t>本项目的</w:t>
      </w:r>
      <w:r>
        <w:rPr>
          <w:rFonts w:hint="eastAsia" w:ascii="宋体" w:hAnsi="宋体" w:cs="宋体"/>
          <w:szCs w:val="21"/>
        </w:rPr>
        <w:t>合同总价为</w:t>
      </w:r>
      <w:r>
        <w:rPr>
          <w:rFonts w:hint="eastAsia" w:ascii="宋体" w:hAnsi="宋体" w:cs="宋体"/>
          <w:szCs w:val="21"/>
          <w:u w:val="single"/>
        </w:rPr>
        <w:t xml:space="preserve">         </w:t>
      </w:r>
      <w:r>
        <w:rPr>
          <w:rFonts w:hint="eastAsia" w:ascii="宋体" w:hAnsi="宋体" w:cs="宋体"/>
          <w:szCs w:val="21"/>
        </w:rPr>
        <w:t>元人民币。</w:t>
      </w:r>
      <w:r>
        <w:rPr>
          <w:rFonts w:hint="eastAsia" w:ascii="宋体" w:hAnsi="宋体" w:cs="宋体"/>
        </w:rPr>
        <w:t>（含税）</w:t>
      </w:r>
    </w:p>
    <w:p>
      <w:pPr>
        <w:spacing w:line="360" w:lineRule="auto"/>
        <w:outlineLvl w:val="1"/>
        <w:rPr>
          <w:rFonts w:ascii="宋体" w:hAnsi="宋体" w:cs="宋体"/>
          <w:b/>
          <w:szCs w:val="21"/>
        </w:rPr>
      </w:pPr>
      <w:r>
        <w:rPr>
          <w:rFonts w:hint="eastAsia" w:ascii="宋体" w:hAnsi="宋体" w:cs="宋体"/>
          <w:b/>
          <w:szCs w:val="21"/>
        </w:rPr>
        <w:t>五、付款方式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highlight w:val="none"/>
        </w:rPr>
      </w:pPr>
      <w:r>
        <w:rPr>
          <w:rFonts w:hint="eastAsia" w:ascii="宋体" w:hAnsi="宋体" w:cs="宋体"/>
          <w:szCs w:val="21"/>
          <w:highlight w:val="none"/>
        </w:rPr>
        <w:t>（1）合同签订完成，甲方收到乙方正规发票7个工作日内，支付合同总额的40%。</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highlight w:val="none"/>
        </w:rPr>
      </w:pPr>
      <w:r>
        <w:rPr>
          <w:rFonts w:hint="eastAsia" w:ascii="宋体" w:hAnsi="宋体" w:cs="宋体"/>
          <w:szCs w:val="21"/>
          <w:highlight w:val="none"/>
        </w:rPr>
        <w:t>（2）完成试运行并通过项目竣工验收，甲方收到乙方正规发票7个工作日内，支付合同总额的60%。</w:t>
      </w:r>
    </w:p>
    <w:p>
      <w:pPr>
        <w:snapToGrid w:val="0"/>
        <w:spacing w:line="360" w:lineRule="auto"/>
        <w:outlineLvl w:val="1"/>
        <w:rPr>
          <w:rFonts w:ascii="宋体" w:hAnsi="宋体" w:cs="宋体"/>
          <w:b/>
          <w:szCs w:val="21"/>
        </w:rPr>
      </w:pPr>
      <w:r>
        <w:rPr>
          <w:rFonts w:hint="eastAsia" w:ascii="宋体" w:hAnsi="宋体" w:cs="宋体"/>
          <w:b/>
          <w:szCs w:val="21"/>
        </w:rPr>
        <w:t>六、</w:t>
      </w:r>
      <w:r>
        <w:rPr>
          <w:rFonts w:hint="eastAsia" w:ascii="宋体" w:hAnsi="宋体" w:cs="宋体"/>
          <w:b/>
          <w:szCs w:val="21"/>
          <w:shd w:val="clear"/>
        </w:rPr>
        <w:t>项目</w:t>
      </w:r>
      <w:r>
        <w:rPr>
          <w:rFonts w:hint="eastAsia" w:ascii="宋体" w:hAnsi="宋体" w:cs="宋体"/>
          <w:b/>
          <w:szCs w:val="21"/>
          <w:shd w:val="clear"/>
          <w:lang w:val="en-US" w:eastAsia="zh-CN"/>
        </w:rPr>
        <w:t>工期</w:t>
      </w:r>
      <w:r>
        <w:rPr>
          <w:rFonts w:hint="eastAsia" w:ascii="宋体" w:hAnsi="宋体" w:cs="宋体"/>
          <w:b/>
          <w:szCs w:val="21"/>
          <w:shd w:val="clear"/>
        </w:rPr>
        <w:t>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cs="宋体"/>
          <w:b w:val="0"/>
          <w:bCs/>
          <w:szCs w:val="21"/>
          <w:lang w:val="en-US" w:eastAsia="zh-CN"/>
        </w:rPr>
      </w:pPr>
      <w:r>
        <w:rPr>
          <w:rFonts w:hint="eastAsia" w:ascii="宋体" w:hAnsi="宋体" w:cs="宋体"/>
          <w:b w:val="0"/>
          <w:bCs/>
          <w:szCs w:val="21"/>
          <w:lang w:val="en-US" w:eastAsia="zh-CN"/>
        </w:rPr>
        <w:t>合同签订后15天内完成上线布置，并使各项功能达到采购人要求后进行项目初验，初验合格后进入为期三个月的试运行阶段，在此期间所有功能运行正常无误后，进行项目终验。</w:t>
      </w:r>
    </w:p>
    <w:p>
      <w:pPr>
        <w:numPr>
          <w:ilvl w:val="0"/>
          <w:numId w:val="11"/>
        </w:numPr>
        <w:spacing w:line="360" w:lineRule="auto"/>
        <w:outlineLvl w:val="1"/>
        <w:rPr>
          <w:rFonts w:hint="eastAsia" w:ascii="宋体" w:hAnsi="宋体" w:cs="宋体"/>
          <w:b/>
          <w:szCs w:val="21"/>
          <w:lang w:val="en-US" w:eastAsia="zh-CN"/>
        </w:rPr>
      </w:pPr>
      <w:r>
        <w:rPr>
          <w:rFonts w:hint="eastAsia" w:ascii="宋体" w:hAnsi="宋体" w:cs="宋体"/>
          <w:b/>
          <w:szCs w:val="21"/>
        </w:rPr>
        <w:t>工作内容清单</w:t>
      </w:r>
      <w:r>
        <w:rPr>
          <w:rFonts w:hint="eastAsia" w:ascii="宋体" w:hAnsi="宋体" w:cs="宋体"/>
          <w:b/>
          <w:szCs w:val="21"/>
          <w:lang w:eastAsia="zh-CN"/>
        </w:rPr>
        <w:t>、</w:t>
      </w:r>
      <w:r>
        <w:rPr>
          <w:rFonts w:hint="eastAsia" w:ascii="宋体" w:hAnsi="宋体" w:cs="宋体"/>
          <w:b/>
          <w:szCs w:val="21"/>
          <w:lang w:val="en-US" w:eastAsia="zh-CN"/>
        </w:rPr>
        <w:t>金额及运维管理服务期</w:t>
      </w:r>
    </w:p>
    <w:tbl>
      <w:tblPr>
        <w:tblStyle w:val="26"/>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43"/>
        <w:gridCol w:w="2147"/>
        <w:gridCol w:w="2234"/>
        <w:gridCol w:w="1205"/>
        <w:gridCol w:w="1205"/>
        <w:gridCol w:w="1205"/>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7" w:hRule="atLeast"/>
          <w:tblHeader/>
          <w:jc w:val="center"/>
        </w:trPr>
        <w:tc>
          <w:tcPr>
            <w:tcW w:w="260" w:type="pct"/>
            <w:vMerge w:val="restart"/>
            <w:tcBorders>
              <w:tl2br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bCs w:val="0"/>
                <w:color w:val="000000"/>
                <w:kern w:val="0"/>
                <w:sz w:val="21"/>
                <w:szCs w:val="21"/>
                <w:highlight w:val="none"/>
              </w:rPr>
            </w:pPr>
            <w:r>
              <w:rPr>
                <w:rFonts w:hint="eastAsia" w:ascii="宋体" w:hAnsi="宋体" w:eastAsia="宋体" w:cs="宋体"/>
                <w:b/>
                <w:bCs w:val="0"/>
                <w:color w:val="000000"/>
                <w:kern w:val="0"/>
                <w:sz w:val="21"/>
                <w:szCs w:val="21"/>
                <w:highlight w:val="none"/>
              </w:rPr>
              <w:t>序号</w:t>
            </w:r>
          </w:p>
        </w:tc>
        <w:tc>
          <w:tcPr>
            <w:tcW w:w="2254"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val="0"/>
                <w:color w:val="000000"/>
                <w:kern w:val="0"/>
                <w:sz w:val="21"/>
                <w:szCs w:val="21"/>
                <w:highlight w:val="none"/>
                <w:lang w:val="en-US" w:eastAsia="zh-CN"/>
              </w:rPr>
            </w:pPr>
            <w:r>
              <w:rPr>
                <w:rFonts w:hint="eastAsia" w:ascii="宋体" w:hAnsi="宋体" w:eastAsia="宋体" w:cs="宋体"/>
                <w:b/>
                <w:bCs w:val="0"/>
                <w:color w:val="000000"/>
                <w:kern w:val="0"/>
                <w:sz w:val="21"/>
                <w:szCs w:val="21"/>
                <w:highlight w:val="none"/>
              </w:rPr>
              <w:t>分项</w:t>
            </w:r>
          </w:p>
        </w:tc>
        <w:tc>
          <w:tcPr>
            <w:tcW w:w="621"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val="0"/>
                <w:color w:val="000000"/>
                <w:kern w:val="0"/>
                <w:sz w:val="21"/>
                <w:szCs w:val="21"/>
                <w:highlight w:val="none"/>
                <w:lang w:val="en-US" w:eastAsia="zh-CN"/>
              </w:rPr>
            </w:pPr>
            <w:r>
              <w:rPr>
                <w:rFonts w:hint="eastAsia" w:ascii="宋体" w:hAnsi="宋体" w:cs="宋体"/>
                <w:b/>
                <w:bCs w:val="0"/>
                <w:color w:val="000000"/>
                <w:kern w:val="0"/>
                <w:sz w:val="21"/>
                <w:szCs w:val="21"/>
                <w:highlight w:val="none"/>
                <w:lang w:val="en-US" w:eastAsia="zh-CN"/>
              </w:rPr>
              <w:t>数量/单位</w:t>
            </w:r>
          </w:p>
        </w:tc>
        <w:tc>
          <w:tcPr>
            <w:tcW w:w="621"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cs="宋体"/>
                <w:b/>
                <w:bCs w:val="0"/>
                <w:color w:val="000000"/>
                <w:kern w:val="0"/>
                <w:sz w:val="21"/>
                <w:szCs w:val="21"/>
                <w:highlight w:val="none"/>
                <w:lang w:val="en-US" w:eastAsia="zh-CN"/>
              </w:rPr>
            </w:pPr>
            <w:r>
              <w:rPr>
                <w:rFonts w:hint="eastAsia" w:ascii="宋体" w:hAnsi="宋体" w:cs="宋体"/>
                <w:b/>
                <w:bCs w:val="0"/>
                <w:color w:val="000000"/>
                <w:kern w:val="0"/>
                <w:sz w:val="21"/>
                <w:szCs w:val="21"/>
                <w:highlight w:val="none"/>
                <w:lang w:val="en-US" w:eastAsia="zh-CN"/>
              </w:rPr>
              <w:t>单价（元）</w:t>
            </w:r>
          </w:p>
        </w:tc>
        <w:tc>
          <w:tcPr>
            <w:tcW w:w="621"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cs="宋体"/>
                <w:b/>
                <w:bCs w:val="0"/>
                <w:color w:val="000000"/>
                <w:kern w:val="0"/>
                <w:sz w:val="21"/>
                <w:szCs w:val="21"/>
                <w:highlight w:val="none"/>
                <w:lang w:val="en-US" w:eastAsia="zh-CN"/>
              </w:rPr>
            </w:pPr>
            <w:r>
              <w:rPr>
                <w:rFonts w:hint="eastAsia" w:ascii="宋体" w:hAnsi="宋体" w:cs="宋体"/>
                <w:b/>
                <w:bCs w:val="0"/>
                <w:color w:val="000000"/>
                <w:kern w:val="0"/>
                <w:sz w:val="21"/>
                <w:szCs w:val="21"/>
                <w:highlight w:val="none"/>
                <w:lang w:val="en-US" w:eastAsia="zh-CN"/>
              </w:rPr>
              <w:t>总价（元）</w:t>
            </w:r>
          </w:p>
        </w:tc>
        <w:tc>
          <w:tcPr>
            <w:tcW w:w="621"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cs="宋体"/>
                <w:b/>
                <w:bCs w:val="0"/>
                <w:color w:val="000000"/>
                <w:kern w:val="0"/>
                <w:sz w:val="21"/>
                <w:szCs w:val="21"/>
                <w:highlight w:val="none"/>
                <w:lang w:val="en-US" w:eastAsia="zh-CN"/>
              </w:rPr>
            </w:pPr>
            <w:r>
              <w:rPr>
                <w:rFonts w:hint="eastAsia" w:ascii="宋体" w:hAnsi="宋体" w:cs="宋体"/>
                <w:b/>
                <w:bCs w:val="0"/>
                <w:color w:val="000000"/>
                <w:kern w:val="0"/>
                <w:sz w:val="21"/>
                <w:szCs w:val="21"/>
                <w:highlight w:val="none"/>
                <w:lang w:val="en-US" w:eastAsia="zh-CN"/>
              </w:rPr>
              <w:t>免费运维管理服务期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7" w:hRule="atLeast"/>
          <w:tblHeader/>
          <w:jc w:val="center"/>
        </w:trPr>
        <w:tc>
          <w:tcPr>
            <w:tcW w:w="260" w:type="pct"/>
            <w:vMerge w:val="continue"/>
            <w:tcBorders>
              <w:tl2br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pPr>
          </w:p>
        </w:tc>
        <w:tc>
          <w:tcPr>
            <w:tcW w:w="110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val="0"/>
                <w:color w:val="000000"/>
                <w:kern w:val="0"/>
                <w:sz w:val="21"/>
                <w:szCs w:val="21"/>
                <w:highlight w:val="none"/>
                <w:lang w:val="en-US" w:eastAsia="zh-CN"/>
              </w:rPr>
            </w:pPr>
            <w:r>
              <w:rPr>
                <w:rFonts w:hint="eastAsia" w:ascii="宋体" w:hAnsi="宋体" w:eastAsia="宋体" w:cs="宋体"/>
                <w:b/>
                <w:bCs w:val="0"/>
                <w:color w:val="000000"/>
                <w:kern w:val="0"/>
                <w:sz w:val="21"/>
                <w:szCs w:val="21"/>
                <w:highlight w:val="none"/>
                <w:lang w:val="en-US" w:eastAsia="zh-CN"/>
              </w:rPr>
              <w:t>一级模块</w:t>
            </w:r>
          </w:p>
        </w:tc>
        <w:tc>
          <w:tcPr>
            <w:tcW w:w="1148"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val="0"/>
                <w:color w:val="000000"/>
                <w:kern w:val="0"/>
                <w:sz w:val="21"/>
                <w:szCs w:val="21"/>
                <w:highlight w:val="none"/>
                <w:lang w:val="en-US" w:eastAsia="zh-CN"/>
              </w:rPr>
            </w:pPr>
            <w:r>
              <w:rPr>
                <w:rFonts w:hint="eastAsia" w:ascii="宋体" w:hAnsi="宋体" w:eastAsia="宋体" w:cs="宋体"/>
                <w:b/>
                <w:bCs w:val="0"/>
                <w:color w:val="000000"/>
                <w:kern w:val="0"/>
                <w:sz w:val="21"/>
                <w:szCs w:val="21"/>
                <w:highlight w:val="none"/>
                <w:lang w:val="en-US" w:eastAsia="zh-CN"/>
              </w:rPr>
              <w:t>二级模块</w:t>
            </w:r>
          </w:p>
        </w:tc>
        <w:tc>
          <w:tcPr>
            <w:tcW w:w="6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color w:val="000000"/>
                <w:kern w:val="0"/>
                <w:sz w:val="21"/>
                <w:szCs w:val="21"/>
                <w:highlight w:val="none"/>
              </w:rPr>
            </w:pPr>
          </w:p>
        </w:tc>
        <w:tc>
          <w:tcPr>
            <w:tcW w:w="6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color w:val="000000"/>
                <w:kern w:val="0"/>
                <w:sz w:val="21"/>
                <w:szCs w:val="21"/>
                <w:highlight w:val="none"/>
              </w:rPr>
            </w:pPr>
          </w:p>
        </w:tc>
        <w:tc>
          <w:tcPr>
            <w:tcW w:w="6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color w:val="000000"/>
                <w:kern w:val="0"/>
                <w:sz w:val="21"/>
                <w:szCs w:val="21"/>
                <w:highlight w:val="none"/>
              </w:rPr>
            </w:pPr>
          </w:p>
        </w:tc>
        <w:tc>
          <w:tcPr>
            <w:tcW w:w="6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shd w:val="clear" w:color="auto" w:fill="auto"/>
            <w:vAlign w:val="center"/>
          </w:tcPr>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jc w:val="center"/>
              <w:textAlignment w:val="auto"/>
              <w:rPr>
                <w:rFonts w:ascii="宋体" w:hAnsi="宋体" w:eastAsia="宋体" w:cs="宋体"/>
                <w:b w:val="0"/>
                <w:color w:val="000000"/>
                <w:kern w:val="0"/>
                <w:sz w:val="21"/>
                <w:szCs w:val="21"/>
                <w:highlight w:val="none"/>
              </w:rPr>
            </w:pPr>
          </w:p>
        </w:tc>
        <w:tc>
          <w:tcPr>
            <w:tcW w:w="110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kern w:val="0"/>
                <w:sz w:val="21"/>
                <w:szCs w:val="21"/>
                <w:highlight w:val="none"/>
                <w:lang w:val="en-US" w:eastAsia="zh-CN"/>
              </w:rPr>
            </w:pPr>
          </w:p>
        </w:tc>
        <w:tc>
          <w:tcPr>
            <w:tcW w:w="1148"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val="0"/>
                <w:color w:val="000000"/>
                <w:kern w:val="0"/>
                <w:sz w:val="21"/>
                <w:szCs w:val="21"/>
                <w:highlight w:val="none"/>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kern w:val="0"/>
                <w:sz w:val="21"/>
                <w:szCs w:val="21"/>
                <w:highlight w:val="none"/>
                <w:lang w:val="en-US" w:eastAsia="zh-CN"/>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shd w:val="clear" w:color="auto" w:fill="auto"/>
            <w:vAlign w:val="center"/>
          </w:tcPr>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color w:val="000000"/>
                <w:kern w:val="0"/>
                <w:sz w:val="21"/>
                <w:szCs w:val="21"/>
                <w:highlight w:val="none"/>
                <w:lang w:val="en-US" w:eastAsia="zh-CN"/>
              </w:rPr>
            </w:pPr>
          </w:p>
        </w:tc>
        <w:tc>
          <w:tcPr>
            <w:tcW w:w="110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val="0"/>
                <w:color w:val="000000"/>
                <w:kern w:val="0"/>
                <w:sz w:val="21"/>
                <w:szCs w:val="21"/>
                <w:highlight w:val="none"/>
              </w:rPr>
            </w:pPr>
          </w:p>
        </w:tc>
        <w:tc>
          <w:tcPr>
            <w:tcW w:w="1148"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val="0"/>
                <w:color w:val="000000"/>
                <w:kern w:val="0"/>
                <w:sz w:val="21"/>
                <w:szCs w:val="21"/>
                <w:highlight w:val="none"/>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kern w:val="0"/>
                <w:sz w:val="21"/>
                <w:szCs w:val="21"/>
                <w:highlight w:val="none"/>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60" w:type="pct"/>
            <w:shd w:val="clear" w:color="auto" w:fill="auto"/>
            <w:vAlign w:val="center"/>
          </w:tcPr>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color w:val="000000"/>
                <w:kern w:val="0"/>
                <w:sz w:val="21"/>
                <w:szCs w:val="21"/>
                <w:highlight w:val="none"/>
                <w:lang w:val="en-US" w:eastAsia="zh-CN"/>
              </w:rPr>
            </w:pPr>
          </w:p>
        </w:tc>
        <w:tc>
          <w:tcPr>
            <w:tcW w:w="110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val="0"/>
                <w:color w:val="000000"/>
                <w:kern w:val="0"/>
                <w:sz w:val="21"/>
                <w:szCs w:val="21"/>
                <w:highlight w:val="none"/>
              </w:rPr>
            </w:pPr>
          </w:p>
        </w:tc>
        <w:tc>
          <w:tcPr>
            <w:tcW w:w="1148"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val="0"/>
                <w:color w:val="000000"/>
                <w:kern w:val="0"/>
                <w:sz w:val="21"/>
                <w:szCs w:val="21"/>
                <w:highlight w:val="none"/>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kern w:val="0"/>
                <w:sz w:val="21"/>
                <w:szCs w:val="21"/>
                <w:highlight w:val="none"/>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60" w:type="pct"/>
            <w:shd w:val="clear" w:color="auto" w:fill="auto"/>
            <w:vAlign w:val="center"/>
          </w:tcPr>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color w:val="000000"/>
                <w:kern w:val="0"/>
                <w:sz w:val="21"/>
                <w:szCs w:val="21"/>
                <w:highlight w:val="none"/>
                <w:lang w:val="en-US" w:eastAsia="zh-CN"/>
              </w:rPr>
            </w:pPr>
          </w:p>
        </w:tc>
        <w:tc>
          <w:tcPr>
            <w:tcW w:w="110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kern w:val="0"/>
                <w:sz w:val="21"/>
                <w:szCs w:val="21"/>
                <w:highlight w:val="none"/>
                <w:lang w:val="en-US"/>
              </w:rPr>
            </w:pPr>
          </w:p>
        </w:tc>
        <w:tc>
          <w:tcPr>
            <w:tcW w:w="1148"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val="0"/>
                <w:color w:val="000000"/>
                <w:kern w:val="0"/>
                <w:sz w:val="21"/>
                <w:szCs w:val="21"/>
                <w:highlight w:val="none"/>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kern w:val="0"/>
                <w:sz w:val="21"/>
                <w:szCs w:val="21"/>
                <w:highlight w:val="none"/>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60" w:type="pct"/>
            <w:shd w:val="clear" w:color="auto" w:fill="auto"/>
            <w:vAlign w:val="center"/>
          </w:tcPr>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color w:val="000000"/>
                <w:kern w:val="0"/>
                <w:sz w:val="21"/>
                <w:szCs w:val="21"/>
                <w:highlight w:val="none"/>
                <w:lang w:val="en-US" w:eastAsia="zh-CN"/>
              </w:rPr>
            </w:pPr>
          </w:p>
        </w:tc>
        <w:tc>
          <w:tcPr>
            <w:tcW w:w="110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eastAsia="宋体" w:cs="宋体"/>
                <w:b w:val="0"/>
                <w:color w:val="000000"/>
                <w:kern w:val="0"/>
                <w:sz w:val="21"/>
                <w:szCs w:val="21"/>
                <w:highlight w:val="none"/>
              </w:rPr>
            </w:pPr>
          </w:p>
        </w:tc>
        <w:tc>
          <w:tcPr>
            <w:tcW w:w="1148"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val="0"/>
                <w:color w:val="000000"/>
                <w:kern w:val="0"/>
                <w:sz w:val="21"/>
                <w:szCs w:val="21"/>
                <w:highlight w:val="none"/>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kern w:val="0"/>
                <w:sz w:val="21"/>
                <w:szCs w:val="21"/>
                <w:highlight w:val="none"/>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shd w:val="clear" w:color="auto" w:fill="auto"/>
            <w:vAlign w:val="center"/>
          </w:tcPr>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color w:val="000000"/>
                <w:kern w:val="0"/>
                <w:sz w:val="21"/>
                <w:szCs w:val="21"/>
                <w:highlight w:val="none"/>
                <w:lang w:val="en-US" w:eastAsia="zh-CN"/>
              </w:rPr>
            </w:pPr>
          </w:p>
        </w:tc>
        <w:tc>
          <w:tcPr>
            <w:tcW w:w="110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eastAsia="宋体" w:cs="宋体"/>
                <w:b w:val="0"/>
                <w:color w:val="000000"/>
                <w:kern w:val="0"/>
                <w:sz w:val="21"/>
                <w:szCs w:val="21"/>
                <w:highlight w:val="none"/>
              </w:rPr>
            </w:pPr>
          </w:p>
        </w:tc>
        <w:tc>
          <w:tcPr>
            <w:tcW w:w="1148"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val="0"/>
                <w:color w:val="000000"/>
                <w:kern w:val="0"/>
                <w:sz w:val="21"/>
                <w:szCs w:val="21"/>
                <w:highlight w:val="none"/>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kern w:val="0"/>
                <w:sz w:val="21"/>
                <w:szCs w:val="21"/>
                <w:highlight w:val="none"/>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shd w:val="clear" w:color="auto" w:fill="auto"/>
            <w:vAlign w:val="center"/>
          </w:tcPr>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color w:val="000000"/>
                <w:kern w:val="0"/>
                <w:sz w:val="21"/>
                <w:szCs w:val="21"/>
                <w:highlight w:val="none"/>
                <w:lang w:val="en-US" w:eastAsia="zh-CN"/>
              </w:rPr>
            </w:pPr>
          </w:p>
        </w:tc>
        <w:tc>
          <w:tcPr>
            <w:tcW w:w="110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eastAsia="宋体" w:cs="宋体"/>
                <w:b w:val="0"/>
                <w:color w:val="000000"/>
                <w:kern w:val="0"/>
                <w:sz w:val="21"/>
                <w:szCs w:val="21"/>
                <w:highlight w:val="none"/>
              </w:rPr>
            </w:pPr>
          </w:p>
        </w:tc>
        <w:tc>
          <w:tcPr>
            <w:tcW w:w="1148"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val="0"/>
                <w:color w:val="000000"/>
                <w:kern w:val="0"/>
                <w:sz w:val="21"/>
                <w:szCs w:val="21"/>
                <w:highlight w:val="none"/>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kern w:val="0"/>
                <w:sz w:val="21"/>
                <w:szCs w:val="21"/>
                <w:highlight w:val="none"/>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60" w:type="pct"/>
            <w:shd w:val="clear" w:color="auto" w:fill="auto"/>
            <w:vAlign w:val="center"/>
          </w:tcPr>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color w:val="000000"/>
                <w:kern w:val="0"/>
                <w:sz w:val="21"/>
                <w:szCs w:val="21"/>
                <w:highlight w:val="none"/>
                <w:lang w:val="en-US" w:eastAsia="zh-CN"/>
              </w:rPr>
            </w:pPr>
          </w:p>
        </w:tc>
        <w:tc>
          <w:tcPr>
            <w:tcW w:w="110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eastAsia="宋体" w:cs="宋体"/>
                <w:b w:val="0"/>
                <w:color w:val="000000"/>
                <w:kern w:val="0"/>
                <w:sz w:val="21"/>
                <w:szCs w:val="21"/>
                <w:highlight w:val="none"/>
              </w:rPr>
            </w:pPr>
          </w:p>
        </w:tc>
        <w:tc>
          <w:tcPr>
            <w:tcW w:w="1148"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val="0"/>
                <w:color w:val="000000"/>
                <w:kern w:val="0"/>
                <w:sz w:val="21"/>
                <w:szCs w:val="21"/>
                <w:highlight w:val="none"/>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kern w:val="0"/>
                <w:sz w:val="21"/>
                <w:szCs w:val="21"/>
                <w:highlight w:val="none"/>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60" w:type="pct"/>
            <w:shd w:val="clear" w:color="auto" w:fill="auto"/>
            <w:vAlign w:val="center"/>
          </w:tcPr>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color w:val="000000"/>
                <w:kern w:val="0"/>
                <w:sz w:val="21"/>
                <w:szCs w:val="21"/>
                <w:highlight w:val="none"/>
                <w:lang w:val="en-US" w:eastAsia="zh-CN"/>
              </w:rPr>
            </w:pPr>
          </w:p>
        </w:tc>
        <w:tc>
          <w:tcPr>
            <w:tcW w:w="110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eastAsia="宋体" w:cs="宋体"/>
                <w:b w:val="0"/>
                <w:color w:val="000000"/>
                <w:kern w:val="0"/>
                <w:sz w:val="21"/>
                <w:szCs w:val="21"/>
                <w:highlight w:val="none"/>
              </w:rPr>
            </w:pPr>
          </w:p>
        </w:tc>
        <w:tc>
          <w:tcPr>
            <w:tcW w:w="1148"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val="0"/>
                <w:color w:val="000000"/>
                <w:kern w:val="0"/>
                <w:sz w:val="21"/>
                <w:szCs w:val="21"/>
                <w:highlight w:val="none"/>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kern w:val="0"/>
                <w:sz w:val="21"/>
                <w:szCs w:val="21"/>
                <w:highlight w:val="none"/>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60" w:type="pct"/>
            <w:shd w:val="clear" w:color="auto" w:fill="auto"/>
            <w:vAlign w:val="center"/>
          </w:tcPr>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宋体" w:hAnsi="宋体" w:eastAsia="宋体" w:cs="宋体"/>
                <w:b w:val="0"/>
                <w:color w:val="000000"/>
                <w:kern w:val="0"/>
                <w:sz w:val="21"/>
                <w:szCs w:val="21"/>
                <w:highlight w:val="none"/>
                <w:lang w:val="en-US" w:eastAsia="zh-CN"/>
              </w:rPr>
            </w:pPr>
          </w:p>
        </w:tc>
        <w:tc>
          <w:tcPr>
            <w:tcW w:w="110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eastAsia="宋体" w:cs="宋体"/>
                <w:b w:val="0"/>
                <w:color w:val="000000"/>
                <w:kern w:val="0"/>
                <w:sz w:val="21"/>
                <w:szCs w:val="21"/>
                <w:highlight w:val="none"/>
              </w:rPr>
            </w:pPr>
          </w:p>
        </w:tc>
        <w:tc>
          <w:tcPr>
            <w:tcW w:w="1148"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val="0"/>
                <w:color w:val="000000"/>
                <w:kern w:val="0"/>
                <w:sz w:val="21"/>
                <w:szCs w:val="21"/>
                <w:highlight w:val="none"/>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kern w:val="0"/>
                <w:sz w:val="21"/>
                <w:szCs w:val="21"/>
                <w:highlight w:val="none"/>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60" w:type="pct"/>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default" w:ascii="宋体" w:hAnsi="宋体" w:eastAsia="宋体" w:cs="宋体"/>
                <w:b w:val="0"/>
                <w:color w:val="000000"/>
                <w:kern w:val="0"/>
                <w:sz w:val="21"/>
                <w:szCs w:val="21"/>
                <w:highlight w:val="none"/>
                <w:lang w:val="en-US" w:eastAsia="zh-CN"/>
              </w:rPr>
            </w:pPr>
            <w:r>
              <w:rPr>
                <w:rFonts w:hint="eastAsia" w:ascii="宋体" w:hAnsi="宋体" w:cs="宋体"/>
                <w:spacing w:val="4"/>
                <w:szCs w:val="21"/>
              </w:rPr>
              <w:t>...</w:t>
            </w:r>
          </w:p>
        </w:tc>
        <w:tc>
          <w:tcPr>
            <w:tcW w:w="110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eastAsia="宋体" w:cs="宋体"/>
                <w:b w:val="0"/>
                <w:color w:val="000000"/>
                <w:kern w:val="0"/>
                <w:sz w:val="21"/>
                <w:szCs w:val="21"/>
                <w:highlight w:val="none"/>
              </w:rPr>
            </w:pPr>
          </w:p>
        </w:tc>
        <w:tc>
          <w:tcPr>
            <w:tcW w:w="1148"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val="0"/>
                <w:color w:val="000000"/>
                <w:kern w:val="0"/>
                <w:sz w:val="21"/>
                <w:szCs w:val="21"/>
                <w:highlight w:val="none"/>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kern w:val="0"/>
                <w:sz w:val="21"/>
                <w:szCs w:val="21"/>
                <w:highlight w:val="none"/>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c>
          <w:tcPr>
            <w:tcW w:w="6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val="0"/>
                <w:color w:val="000000"/>
                <w:kern w:val="0"/>
                <w:sz w:val="21"/>
                <w:szCs w:val="21"/>
                <w:highlight w:val="no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cs="宋体"/>
          <w:b/>
          <w:szCs w:val="21"/>
          <w:lang w:val="en-US" w:eastAsia="zh-CN"/>
        </w:rPr>
      </w:pPr>
    </w:p>
    <w:p>
      <w:pPr>
        <w:spacing w:line="360" w:lineRule="auto"/>
        <w:outlineLvl w:val="1"/>
        <w:rPr>
          <w:rFonts w:ascii="宋体" w:hAnsi="宋体" w:cs="宋体"/>
          <w:b/>
          <w:szCs w:val="21"/>
        </w:rPr>
      </w:pPr>
      <w:r>
        <w:rPr>
          <w:rFonts w:hint="eastAsia" w:ascii="宋体" w:hAnsi="宋体" w:cs="宋体"/>
          <w:b/>
          <w:szCs w:val="21"/>
        </w:rPr>
        <w:t>八、项目组织及实施要求</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9"/>
        <w:gridCol w:w="2769"/>
        <w:gridCol w:w="2531"/>
        <w:gridCol w:w="2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88" w:type="pct"/>
            <w:vAlign w:val="center"/>
          </w:tcPr>
          <w:p>
            <w:pPr>
              <w:spacing w:line="360" w:lineRule="auto"/>
              <w:jc w:val="center"/>
              <w:rPr>
                <w:rFonts w:ascii="宋体" w:hAnsi="宋体" w:cs="宋体"/>
                <w:b/>
                <w:bCs/>
                <w:spacing w:val="4"/>
                <w:szCs w:val="21"/>
              </w:rPr>
            </w:pPr>
            <w:r>
              <w:rPr>
                <w:rFonts w:hint="eastAsia" w:ascii="宋体" w:hAnsi="宋体" w:cs="宋体"/>
                <w:b/>
                <w:bCs/>
                <w:spacing w:val="4"/>
                <w:szCs w:val="21"/>
              </w:rPr>
              <w:t>序号</w:t>
            </w:r>
          </w:p>
        </w:tc>
        <w:tc>
          <w:tcPr>
            <w:tcW w:w="1418" w:type="pct"/>
            <w:vAlign w:val="center"/>
          </w:tcPr>
          <w:p>
            <w:pPr>
              <w:spacing w:line="360" w:lineRule="auto"/>
              <w:jc w:val="center"/>
              <w:rPr>
                <w:rFonts w:ascii="宋体" w:hAnsi="宋体" w:cs="宋体"/>
                <w:b/>
                <w:bCs/>
                <w:spacing w:val="4"/>
                <w:szCs w:val="21"/>
              </w:rPr>
            </w:pPr>
            <w:r>
              <w:rPr>
                <w:rFonts w:hint="eastAsia" w:ascii="宋体" w:hAnsi="宋体" w:cs="宋体"/>
                <w:b/>
                <w:bCs/>
                <w:spacing w:val="4"/>
                <w:szCs w:val="21"/>
              </w:rPr>
              <w:t>姓名</w:t>
            </w:r>
          </w:p>
        </w:tc>
        <w:tc>
          <w:tcPr>
            <w:tcW w:w="1296" w:type="pct"/>
            <w:vAlign w:val="center"/>
          </w:tcPr>
          <w:p>
            <w:pPr>
              <w:spacing w:line="360" w:lineRule="auto"/>
              <w:jc w:val="center"/>
              <w:rPr>
                <w:rFonts w:ascii="宋体" w:hAnsi="宋体" w:cs="宋体"/>
                <w:b/>
                <w:bCs/>
                <w:spacing w:val="4"/>
                <w:szCs w:val="21"/>
              </w:rPr>
            </w:pPr>
            <w:r>
              <w:rPr>
                <w:rFonts w:hint="eastAsia" w:ascii="宋体" w:hAnsi="宋体" w:cs="宋体"/>
                <w:b/>
                <w:bCs/>
                <w:spacing w:val="4"/>
                <w:szCs w:val="21"/>
              </w:rPr>
              <w:t>职责</w:t>
            </w:r>
          </w:p>
        </w:tc>
        <w:tc>
          <w:tcPr>
            <w:tcW w:w="1296" w:type="pct"/>
            <w:vAlign w:val="center"/>
          </w:tcPr>
          <w:p>
            <w:pPr>
              <w:spacing w:line="360" w:lineRule="auto"/>
              <w:jc w:val="center"/>
              <w:rPr>
                <w:rFonts w:ascii="宋体" w:hAnsi="宋体" w:cs="宋体"/>
                <w:b/>
                <w:bCs/>
                <w:spacing w:val="4"/>
                <w:szCs w:val="21"/>
              </w:rPr>
            </w:pPr>
            <w:r>
              <w:rPr>
                <w:rFonts w:hint="eastAsia" w:ascii="宋体" w:hAnsi="宋体" w:cs="宋体"/>
                <w:b/>
                <w:bCs/>
                <w:spacing w:val="4"/>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pct"/>
            <w:vAlign w:val="center"/>
          </w:tcPr>
          <w:p>
            <w:pPr>
              <w:spacing w:line="360" w:lineRule="auto"/>
              <w:jc w:val="center"/>
              <w:rPr>
                <w:rFonts w:ascii="宋体" w:hAnsi="宋体" w:cs="宋体"/>
                <w:spacing w:val="4"/>
                <w:szCs w:val="21"/>
              </w:rPr>
            </w:pPr>
            <w:r>
              <w:rPr>
                <w:rFonts w:hint="eastAsia" w:ascii="宋体" w:hAnsi="宋体" w:cs="宋体"/>
                <w:spacing w:val="4"/>
                <w:szCs w:val="21"/>
              </w:rPr>
              <w:t>1</w:t>
            </w:r>
          </w:p>
        </w:tc>
        <w:tc>
          <w:tcPr>
            <w:tcW w:w="1418" w:type="pct"/>
            <w:vAlign w:val="center"/>
          </w:tcPr>
          <w:p>
            <w:pPr>
              <w:spacing w:line="360" w:lineRule="auto"/>
              <w:jc w:val="center"/>
              <w:rPr>
                <w:rFonts w:ascii="宋体" w:hAnsi="宋体" w:cs="宋体"/>
                <w:spacing w:val="4"/>
                <w:szCs w:val="21"/>
              </w:rPr>
            </w:pPr>
          </w:p>
        </w:tc>
        <w:tc>
          <w:tcPr>
            <w:tcW w:w="1296" w:type="pct"/>
            <w:vAlign w:val="center"/>
          </w:tcPr>
          <w:p>
            <w:pPr>
              <w:spacing w:line="360" w:lineRule="auto"/>
              <w:jc w:val="center"/>
              <w:rPr>
                <w:rFonts w:ascii="宋体" w:hAnsi="宋体" w:cs="宋体"/>
                <w:spacing w:val="4"/>
                <w:szCs w:val="21"/>
              </w:rPr>
            </w:pPr>
            <w:r>
              <w:rPr>
                <w:rFonts w:hint="eastAsia" w:ascii="宋体" w:hAnsi="宋体" w:cs="宋体"/>
                <w:spacing w:val="4"/>
                <w:szCs w:val="21"/>
              </w:rPr>
              <w:t>项目负责人</w:t>
            </w:r>
          </w:p>
        </w:tc>
        <w:tc>
          <w:tcPr>
            <w:tcW w:w="1296" w:type="pct"/>
            <w:vAlign w:val="center"/>
          </w:tcPr>
          <w:p>
            <w:pPr>
              <w:spacing w:line="360" w:lineRule="auto"/>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pct"/>
            <w:vAlign w:val="center"/>
          </w:tcPr>
          <w:p>
            <w:pPr>
              <w:spacing w:line="360" w:lineRule="auto"/>
              <w:jc w:val="center"/>
              <w:rPr>
                <w:rFonts w:ascii="宋体" w:hAnsi="宋体" w:cs="宋体"/>
                <w:spacing w:val="4"/>
                <w:szCs w:val="21"/>
              </w:rPr>
            </w:pPr>
            <w:r>
              <w:rPr>
                <w:rFonts w:hint="eastAsia" w:ascii="宋体" w:hAnsi="宋体" w:cs="宋体"/>
                <w:spacing w:val="4"/>
                <w:szCs w:val="21"/>
              </w:rPr>
              <w:t>2</w:t>
            </w:r>
          </w:p>
        </w:tc>
        <w:tc>
          <w:tcPr>
            <w:tcW w:w="1418" w:type="pct"/>
            <w:vAlign w:val="center"/>
          </w:tcPr>
          <w:p>
            <w:pPr>
              <w:spacing w:line="360" w:lineRule="auto"/>
              <w:jc w:val="center"/>
              <w:rPr>
                <w:rFonts w:ascii="宋体" w:hAnsi="宋体" w:cs="宋体"/>
                <w:spacing w:val="4"/>
                <w:szCs w:val="21"/>
              </w:rPr>
            </w:pPr>
          </w:p>
        </w:tc>
        <w:tc>
          <w:tcPr>
            <w:tcW w:w="1296" w:type="pct"/>
            <w:vAlign w:val="center"/>
          </w:tcPr>
          <w:p>
            <w:pPr>
              <w:spacing w:line="360" w:lineRule="auto"/>
              <w:jc w:val="center"/>
              <w:rPr>
                <w:rFonts w:ascii="宋体" w:hAnsi="宋体" w:cs="宋体"/>
                <w:spacing w:val="4"/>
                <w:szCs w:val="21"/>
              </w:rPr>
            </w:pPr>
            <w:r>
              <w:rPr>
                <w:rFonts w:hint="eastAsia" w:ascii="宋体" w:hAnsi="宋体" w:cs="宋体"/>
                <w:spacing w:val="4"/>
                <w:szCs w:val="21"/>
              </w:rPr>
              <w:t>实施人员</w:t>
            </w:r>
          </w:p>
        </w:tc>
        <w:tc>
          <w:tcPr>
            <w:tcW w:w="1296" w:type="pct"/>
            <w:vAlign w:val="center"/>
          </w:tcPr>
          <w:p>
            <w:pPr>
              <w:spacing w:line="360" w:lineRule="auto"/>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pct"/>
            <w:vAlign w:val="center"/>
          </w:tcPr>
          <w:p>
            <w:pPr>
              <w:spacing w:line="360" w:lineRule="auto"/>
              <w:jc w:val="center"/>
              <w:rPr>
                <w:rFonts w:ascii="宋体" w:hAnsi="宋体" w:cs="宋体"/>
                <w:spacing w:val="4"/>
                <w:szCs w:val="21"/>
              </w:rPr>
            </w:pPr>
            <w:r>
              <w:rPr>
                <w:rFonts w:hint="eastAsia" w:ascii="宋体" w:hAnsi="宋体" w:cs="宋体"/>
                <w:spacing w:val="4"/>
                <w:szCs w:val="21"/>
              </w:rPr>
              <w:t>...</w:t>
            </w:r>
          </w:p>
        </w:tc>
        <w:tc>
          <w:tcPr>
            <w:tcW w:w="1418" w:type="pct"/>
            <w:vAlign w:val="center"/>
          </w:tcPr>
          <w:p>
            <w:pPr>
              <w:spacing w:line="360" w:lineRule="auto"/>
              <w:jc w:val="center"/>
              <w:rPr>
                <w:rFonts w:ascii="宋体" w:hAnsi="宋体" w:cs="宋体"/>
                <w:spacing w:val="4"/>
                <w:szCs w:val="21"/>
              </w:rPr>
            </w:pPr>
          </w:p>
        </w:tc>
        <w:tc>
          <w:tcPr>
            <w:tcW w:w="1296" w:type="pct"/>
            <w:vAlign w:val="center"/>
          </w:tcPr>
          <w:p>
            <w:pPr>
              <w:spacing w:line="360" w:lineRule="auto"/>
              <w:jc w:val="center"/>
              <w:rPr>
                <w:rFonts w:ascii="宋体" w:hAnsi="宋体" w:cs="宋体"/>
                <w:spacing w:val="4"/>
                <w:szCs w:val="21"/>
              </w:rPr>
            </w:pPr>
            <w:r>
              <w:rPr>
                <w:rFonts w:hint="eastAsia" w:ascii="宋体" w:hAnsi="宋体" w:cs="宋体"/>
                <w:spacing w:val="4"/>
                <w:szCs w:val="21"/>
              </w:rPr>
              <w:t>...</w:t>
            </w:r>
          </w:p>
        </w:tc>
        <w:tc>
          <w:tcPr>
            <w:tcW w:w="1296" w:type="pct"/>
            <w:vAlign w:val="center"/>
          </w:tcPr>
          <w:p>
            <w:pPr>
              <w:spacing w:line="360" w:lineRule="auto"/>
              <w:jc w:val="center"/>
              <w:rPr>
                <w:rFonts w:ascii="宋体" w:hAnsi="宋体" w:cs="宋体"/>
                <w:spacing w:val="4"/>
                <w:szCs w:val="21"/>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rPr>
      </w:pPr>
      <w:r>
        <w:rPr>
          <w:rStyle w:val="59"/>
          <w:rFonts w:hint="eastAsia" w:ascii="宋体" w:hAnsi="宋体" w:cs="宋体"/>
          <w:szCs w:val="21"/>
          <w:lang w:val="en-US" w:eastAsia="zh-CN"/>
        </w:rPr>
        <w:t>1、</w:t>
      </w:r>
      <w:r>
        <w:rPr>
          <w:rStyle w:val="59"/>
          <w:rFonts w:hint="eastAsia" w:ascii="宋体" w:hAnsi="宋体" w:cs="宋体"/>
          <w:szCs w:val="21"/>
        </w:rPr>
        <w:t>乙方</w:t>
      </w:r>
      <w:r>
        <w:rPr>
          <w:rFonts w:hint="eastAsia" w:ascii="宋体" w:hAnsi="宋体" w:cs="宋体"/>
          <w:szCs w:val="21"/>
        </w:rPr>
        <w:t>中标后需要在5个工作日内成立项目技术团队，积极响应甲方，以满足</w:t>
      </w:r>
      <w:r>
        <w:rPr>
          <w:rFonts w:hint="eastAsia" w:ascii="宋体" w:hAnsi="宋体" w:cs="宋体"/>
          <w:szCs w:val="21"/>
          <w:lang w:val="en-US" w:eastAsia="zh-CN"/>
        </w:rPr>
        <w:t>项目</w:t>
      </w:r>
      <w:r>
        <w:rPr>
          <w:rFonts w:hint="eastAsia" w:ascii="宋体" w:hAnsi="宋体" w:cs="宋体"/>
          <w:szCs w:val="21"/>
        </w:rPr>
        <w:t>建设的需求。本项目的项目负责人在项目验收前不得更换，如更换需向甲方提出书面申请并经其同意方可更换，否则将承担违约责任；本项目的项目组成员在实施时需向甲方报备，实施期间人员更换比例超过30%要承担违约责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lang w:eastAsia="zh-CN"/>
        </w:rPr>
      </w:pPr>
      <w:r>
        <w:rPr>
          <w:rFonts w:hint="eastAsia" w:ascii="宋体" w:hAnsi="宋体" w:cs="宋体"/>
          <w:szCs w:val="21"/>
          <w:lang w:val="en-US" w:eastAsia="zh-CN"/>
        </w:rPr>
        <w:t>2、</w:t>
      </w:r>
      <w:r>
        <w:rPr>
          <w:rFonts w:hint="eastAsia" w:ascii="宋体" w:hAnsi="宋体" w:cs="宋体"/>
          <w:szCs w:val="21"/>
        </w:rPr>
        <w:t>除项目负责人外，项目组须配备专职的实施人员，按照项目实施的要求，配置相应的项目</w:t>
      </w:r>
      <w:r>
        <w:rPr>
          <w:rFonts w:hint="eastAsia" w:ascii="宋体" w:hAnsi="宋体" w:cs="宋体"/>
          <w:szCs w:val="21"/>
          <w:lang w:val="en-US" w:eastAsia="zh-CN"/>
        </w:rPr>
        <w:t>团队</w:t>
      </w:r>
      <w:r>
        <w:rPr>
          <w:rFonts w:hint="eastAsia" w:ascii="宋体" w:hAnsi="宋体" w:cs="宋体"/>
          <w:szCs w:val="21"/>
        </w:rPr>
        <w:t>人员</w:t>
      </w:r>
      <w:r>
        <w:rPr>
          <w:rFonts w:hint="eastAsia" w:ascii="宋体" w:hAnsi="宋体" w:cs="宋体"/>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lang w:eastAsia="zh-CN"/>
        </w:rPr>
      </w:pPr>
      <w:r>
        <w:rPr>
          <w:rFonts w:hint="eastAsia" w:ascii="宋体" w:hAnsi="宋体" w:cs="宋体"/>
          <w:szCs w:val="21"/>
          <w:lang w:val="en-US" w:eastAsia="zh-CN"/>
        </w:rPr>
        <w:t>3</w:t>
      </w:r>
      <w:r>
        <w:rPr>
          <w:rFonts w:hint="eastAsia" w:ascii="宋体" w:hAnsi="宋体" w:cs="宋体"/>
          <w:szCs w:val="21"/>
          <w:lang w:eastAsia="zh-CN"/>
        </w:rPr>
        <w:t>、中标人须配合采购人做好代码</w:t>
      </w:r>
      <w:r>
        <w:rPr>
          <w:rFonts w:hint="eastAsia" w:ascii="宋体" w:hAnsi="宋体" w:cs="宋体"/>
          <w:szCs w:val="21"/>
          <w:lang w:val="en-US" w:eastAsia="zh-CN"/>
        </w:rPr>
        <w:t>检测</w:t>
      </w:r>
      <w:r>
        <w:rPr>
          <w:rFonts w:hint="eastAsia" w:ascii="宋体" w:hAnsi="宋体" w:cs="宋体"/>
          <w:szCs w:val="21"/>
          <w:lang w:eastAsia="zh-CN"/>
        </w:rPr>
        <w:t>工作。</w:t>
      </w:r>
    </w:p>
    <w:p>
      <w:pPr>
        <w:spacing w:line="360" w:lineRule="auto"/>
        <w:outlineLvl w:val="1"/>
        <w:rPr>
          <w:rFonts w:hint="default" w:ascii="宋体" w:hAnsi="宋体" w:eastAsia="宋体" w:cs="宋体"/>
          <w:b/>
          <w:szCs w:val="21"/>
          <w:lang w:val="en-US" w:eastAsia="zh-CN"/>
        </w:rPr>
      </w:pPr>
      <w:r>
        <w:rPr>
          <w:rFonts w:hint="eastAsia" w:ascii="宋体" w:hAnsi="宋体" w:cs="宋体"/>
          <w:b/>
          <w:szCs w:val="21"/>
        </w:rPr>
        <w:t>九、</w:t>
      </w:r>
      <w:r>
        <w:rPr>
          <w:rFonts w:hint="eastAsia" w:ascii="宋体" w:hAnsi="宋体" w:cs="宋体"/>
          <w:b/>
          <w:szCs w:val="21"/>
          <w:lang w:val="en-US" w:eastAsia="zh-CN"/>
        </w:rPr>
        <w:t>信息安全要求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color w:val="auto"/>
          <w:szCs w:val="21"/>
          <w:highlight w:val="none"/>
        </w:rPr>
      </w:pP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lang w:eastAsia="zh-CN"/>
        </w:rPr>
        <w:t>甲方</w:t>
      </w:r>
      <w:r>
        <w:rPr>
          <w:rFonts w:hint="eastAsia" w:ascii="宋体" w:hAnsi="宋体" w:eastAsia="宋体" w:cs="宋体"/>
          <w:bCs/>
          <w:color w:val="auto"/>
          <w:szCs w:val="21"/>
          <w:highlight w:val="none"/>
        </w:rPr>
        <w:t>提供给</w:t>
      </w:r>
      <w:r>
        <w:rPr>
          <w:rFonts w:hint="eastAsia" w:ascii="宋体" w:hAnsi="宋体" w:cs="宋体"/>
          <w:bCs/>
          <w:color w:val="auto"/>
          <w:szCs w:val="21"/>
          <w:highlight w:val="none"/>
          <w:lang w:eastAsia="zh-CN"/>
        </w:rPr>
        <w:t>乙方</w:t>
      </w:r>
      <w:r>
        <w:rPr>
          <w:rFonts w:hint="eastAsia" w:ascii="宋体" w:hAnsi="宋体" w:eastAsia="宋体" w:cs="宋体"/>
          <w:bCs/>
          <w:color w:val="auto"/>
          <w:szCs w:val="21"/>
          <w:highlight w:val="none"/>
        </w:rPr>
        <w:t>的数据、设备等资源，以及</w:t>
      </w:r>
      <w:r>
        <w:rPr>
          <w:rFonts w:hint="eastAsia" w:ascii="宋体" w:hAnsi="宋体" w:cs="宋体"/>
          <w:bCs/>
          <w:color w:val="auto"/>
          <w:szCs w:val="21"/>
          <w:highlight w:val="none"/>
          <w:lang w:eastAsia="zh-CN"/>
        </w:rPr>
        <w:t>乙方</w:t>
      </w:r>
      <w:r>
        <w:rPr>
          <w:rFonts w:hint="eastAsia" w:ascii="宋体" w:hAnsi="宋体" w:eastAsia="宋体" w:cs="宋体"/>
          <w:bCs/>
          <w:color w:val="auto"/>
          <w:szCs w:val="21"/>
          <w:highlight w:val="none"/>
        </w:rPr>
        <w:t>在项目过程中收集、产生、存储的数据和文档等资源属</w:t>
      </w:r>
      <w:r>
        <w:rPr>
          <w:rFonts w:hint="eastAsia" w:ascii="宋体" w:hAnsi="宋体" w:cs="宋体"/>
          <w:bCs/>
          <w:color w:val="auto"/>
          <w:szCs w:val="21"/>
          <w:highlight w:val="none"/>
          <w:lang w:eastAsia="zh-CN"/>
        </w:rPr>
        <w:t>甲方</w:t>
      </w:r>
      <w:r>
        <w:rPr>
          <w:rFonts w:hint="eastAsia" w:ascii="宋体" w:hAnsi="宋体" w:eastAsia="宋体" w:cs="宋体"/>
          <w:bCs/>
          <w:color w:val="auto"/>
          <w:szCs w:val="21"/>
          <w:highlight w:val="none"/>
        </w:rPr>
        <w:t>所有。</w:t>
      </w:r>
      <w:r>
        <w:rPr>
          <w:rFonts w:hint="eastAsia" w:ascii="宋体" w:hAnsi="宋体" w:cs="宋体"/>
          <w:bCs/>
          <w:color w:val="auto"/>
          <w:szCs w:val="21"/>
          <w:highlight w:val="none"/>
          <w:lang w:eastAsia="zh-CN"/>
        </w:rPr>
        <w:t>乙方</w:t>
      </w:r>
      <w:r>
        <w:rPr>
          <w:rFonts w:hint="eastAsia" w:ascii="宋体" w:hAnsi="宋体" w:eastAsia="宋体" w:cs="宋体"/>
          <w:bCs/>
          <w:color w:val="auto"/>
          <w:szCs w:val="21"/>
          <w:highlight w:val="none"/>
        </w:rPr>
        <w:t>应保障</w:t>
      </w:r>
      <w:r>
        <w:rPr>
          <w:rFonts w:hint="eastAsia" w:ascii="宋体" w:hAnsi="宋体" w:cs="宋体"/>
          <w:bCs/>
          <w:color w:val="auto"/>
          <w:szCs w:val="21"/>
          <w:highlight w:val="none"/>
          <w:lang w:eastAsia="zh-CN"/>
        </w:rPr>
        <w:t>甲方</w:t>
      </w:r>
      <w:r>
        <w:rPr>
          <w:rFonts w:hint="eastAsia" w:ascii="宋体" w:hAnsi="宋体" w:eastAsia="宋体" w:cs="宋体"/>
          <w:bCs/>
          <w:color w:val="auto"/>
          <w:szCs w:val="21"/>
          <w:highlight w:val="none"/>
        </w:rPr>
        <w:t>对这些资源的访问、利用、支配，未经激发授权，</w:t>
      </w:r>
      <w:r>
        <w:rPr>
          <w:rFonts w:hint="eastAsia" w:ascii="宋体" w:hAnsi="宋体" w:cs="宋体"/>
          <w:bCs/>
          <w:color w:val="auto"/>
          <w:szCs w:val="21"/>
          <w:highlight w:val="none"/>
          <w:lang w:eastAsia="zh-CN"/>
        </w:rPr>
        <w:t>乙方</w:t>
      </w:r>
      <w:r>
        <w:rPr>
          <w:rFonts w:hint="eastAsia" w:ascii="宋体" w:hAnsi="宋体" w:eastAsia="宋体" w:cs="宋体"/>
          <w:bCs/>
          <w:color w:val="auto"/>
          <w:szCs w:val="21"/>
          <w:highlight w:val="none"/>
        </w:rPr>
        <w:t>和任何第三方不得访问、修改、披露、利用、转让、销毁。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color w:val="auto"/>
          <w:szCs w:val="21"/>
          <w:highlight w:val="none"/>
        </w:rPr>
      </w:pPr>
      <w:r>
        <w:rPr>
          <w:rFonts w:hint="eastAsia" w:ascii="宋体" w:hAnsi="宋体" w:cs="宋体"/>
          <w:bCs/>
          <w:color w:val="auto"/>
          <w:szCs w:val="21"/>
          <w:highlight w:val="none"/>
          <w:lang w:val="en-US" w:eastAsia="zh-CN"/>
        </w:rPr>
        <w:t>2、</w:t>
      </w:r>
      <w:r>
        <w:rPr>
          <w:rFonts w:hint="eastAsia" w:ascii="宋体" w:hAnsi="宋体" w:eastAsia="宋体" w:cs="宋体"/>
          <w:bCs/>
          <w:color w:val="auto"/>
          <w:szCs w:val="21"/>
          <w:highlight w:val="none"/>
        </w:rPr>
        <w:t>在项目开发、部署、运维期间，因</w:t>
      </w:r>
      <w:r>
        <w:rPr>
          <w:rFonts w:hint="eastAsia" w:ascii="宋体" w:hAnsi="宋体" w:cs="宋体"/>
          <w:bCs/>
          <w:color w:val="auto"/>
          <w:szCs w:val="21"/>
          <w:highlight w:val="none"/>
          <w:lang w:eastAsia="zh-CN"/>
        </w:rPr>
        <w:t>乙方</w:t>
      </w:r>
      <w:r>
        <w:rPr>
          <w:rFonts w:hint="eastAsia" w:ascii="宋体" w:hAnsi="宋体" w:eastAsia="宋体" w:cs="宋体"/>
          <w:bCs/>
          <w:color w:val="auto"/>
          <w:szCs w:val="21"/>
          <w:highlight w:val="none"/>
        </w:rPr>
        <w:t>未配置服务器安全策略、未按</w:t>
      </w:r>
      <w:r>
        <w:rPr>
          <w:rFonts w:hint="eastAsia" w:ascii="宋体" w:hAnsi="宋体" w:cs="宋体"/>
          <w:bCs/>
          <w:color w:val="auto"/>
          <w:szCs w:val="21"/>
          <w:highlight w:val="none"/>
          <w:lang w:eastAsia="zh-CN"/>
        </w:rPr>
        <w:t>甲方</w:t>
      </w:r>
      <w:r>
        <w:rPr>
          <w:rFonts w:hint="eastAsia" w:ascii="宋体" w:hAnsi="宋体" w:eastAsia="宋体" w:cs="宋体"/>
          <w:bCs/>
          <w:color w:val="auto"/>
          <w:szCs w:val="21"/>
          <w:highlight w:val="none"/>
        </w:rPr>
        <w:t>网络和数据安全管理要求操作或操作不当以及人为破坏等情况，造成网络瘫痪、应用停止服务或者数据泄露，按照各级追责问责机制，由</w:t>
      </w:r>
      <w:r>
        <w:rPr>
          <w:rFonts w:hint="eastAsia" w:ascii="宋体" w:hAnsi="宋体" w:cs="宋体"/>
          <w:bCs/>
          <w:color w:val="auto"/>
          <w:szCs w:val="21"/>
          <w:highlight w:val="none"/>
          <w:lang w:eastAsia="zh-CN"/>
        </w:rPr>
        <w:t>乙方</w:t>
      </w:r>
      <w:r>
        <w:rPr>
          <w:rFonts w:hint="eastAsia" w:ascii="宋体" w:hAnsi="宋体" w:eastAsia="宋体" w:cs="宋体"/>
          <w:bCs/>
          <w:color w:val="auto"/>
          <w:szCs w:val="21"/>
          <w:highlight w:val="none"/>
        </w:rPr>
        <w:t>负责；造成严重后果的，依照相关法律、法规进行处置；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color w:val="auto"/>
          <w:szCs w:val="21"/>
          <w:highlight w:val="none"/>
        </w:rPr>
      </w:pP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lang w:eastAsia="zh-CN"/>
        </w:rPr>
        <w:t>乙方</w:t>
      </w:r>
      <w:r>
        <w:rPr>
          <w:rFonts w:hint="eastAsia" w:ascii="宋体" w:hAnsi="宋体" w:eastAsia="宋体" w:cs="宋体"/>
          <w:bCs/>
          <w:color w:val="auto"/>
          <w:szCs w:val="21"/>
          <w:highlight w:val="none"/>
        </w:rPr>
        <w:t>合同期限内须配合</w:t>
      </w:r>
      <w:r>
        <w:rPr>
          <w:rFonts w:hint="eastAsia" w:ascii="宋体" w:hAnsi="宋体" w:cs="宋体"/>
          <w:bCs/>
          <w:color w:val="auto"/>
          <w:szCs w:val="21"/>
          <w:highlight w:val="none"/>
          <w:lang w:eastAsia="zh-CN"/>
        </w:rPr>
        <w:t>甲方</w:t>
      </w:r>
      <w:r>
        <w:rPr>
          <w:rFonts w:hint="eastAsia" w:ascii="宋体" w:hAnsi="宋体" w:eastAsia="宋体" w:cs="宋体"/>
          <w:bCs/>
          <w:color w:val="auto"/>
          <w:szCs w:val="21"/>
          <w:highlight w:val="none"/>
        </w:rPr>
        <w:t>做好网络和数据安全检查，并对检查出来的安全隐患及时整改；</w:t>
      </w:r>
      <w:r>
        <w:rPr>
          <w:rFonts w:hint="eastAsia" w:ascii="宋体" w:hAnsi="宋体" w:cs="宋体"/>
          <w:bCs/>
          <w:color w:val="auto"/>
          <w:szCs w:val="21"/>
          <w:highlight w:val="none"/>
          <w:lang w:eastAsia="zh-CN"/>
        </w:rPr>
        <w:t>甲方</w:t>
      </w:r>
      <w:r>
        <w:rPr>
          <w:rFonts w:hint="eastAsia" w:ascii="宋体" w:hAnsi="宋体" w:eastAsia="宋体" w:cs="宋体"/>
          <w:bCs/>
          <w:color w:val="auto"/>
          <w:szCs w:val="21"/>
          <w:highlight w:val="none"/>
        </w:rPr>
        <w:t>信息系统存在的漏洞，</w:t>
      </w:r>
      <w:r>
        <w:rPr>
          <w:rFonts w:hint="eastAsia" w:ascii="宋体" w:hAnsi="宋体" w:cs="宋体"/>
          <w:bCs/>
          <w:color w:val="auto"/>
          <w:szCs w:val="21"/>
          <w:highlight w:val="none"/>
          <w:lang w:eastAsia="zh-CN"/>
        </w:rPr>
        <w:t>乙方</w:t>
      </w:r>
      <w:r>
        <w:rPr>
          <w:rFonts w:hint="eastAsia" w:ascii="宋体" w:hAnsi="宋体" w:eastAsia="宋体" w:cs="宋体"/>
          <w:bCs/>
          <w:color w:val="auto"/>
          <w:szCs w:val="21"/>
          <w:highlight w:val="none"/>
        </w:rPr>
        <w:t>应在期限内完成整改并提交整改报告；</w:t>
      </w:r>
      <w:r>
        <w:rPr>
          <w:rFonts w:hint="eastAsia" w:ascii="宋体" w:hAnsi="宋体" w:cs="宋体"/>
          <w:bCs/>
          <w:color w:val="auto"/>
          <w:szCs w:val="21"/>
          <w:highlight w:val="none"/>
          <w:lang w:eastAsia="zh-CN"/>
        </w:rPr>
        <w:t>甲方</w:t>
      </w:r>
      <w:r>
        <w:rPr>
          <w:rFonts w:hint="eastAsia" w:ascii="宋体" w:hAnsi="宋体" w:eastAsia="宋体" w:cs="宋体"/>
          <w:bCs/>
          <w:color w:val="auto"/>
          <w:szCs w:val="21"/>
          <w:highlight w:val="none"/>
        </w:rPr>
        <w:t>提出应急处置需求，</w:t>
      </w:r>
      <w:r>
        <w:rPr>
          <w:rFonts w:hint="eastAsia" w:ascii="宋体" w:hAnsi="宋体" w:cs="宋体"/>
          <w:bCs/>
          <w:color w:val="auto"/>
          <w:szCs w:val="21"/>
          <w:highlight w:val="none"/>
          <w:lang w:eastAsia="zh-CN"/>
        </w:rPr>
        <w:t>乙方</w:t>
      </w:r>
      <w:r>
        <w:rPr>
          <w:rFonts w:hint="eastAsia" w:ascii="宋体" w:hAnsi="宋体" w:eastAsia="宋体" w:cs="宋体"/>
          <w:bCs/>
          <w:color w:val="auto"/>
          <w:szCs w:val="21"/>
          <w:highlight w:val="none"/>
        </w:rPr>
        <w:t>需在</w:t>
      </w:r>
      <w:r>
        <w:rPr>
          <w:rFonts w:hint="eastAsia" w:ascii="宋体" w:hAnsi="宋体" w:cs="宋体"/>
          <w:bCs/>
          <w:color w:val="auto"/>
          <w:szCs w:val="21"/>
          <w:highlight w:val="none"/>
          <w:lang w:val="en-US" w:eastAsia="zh-CN"/>
        </w:rPr>
        <w:t>1</w:t>
      </w:r>
      <w:r>
        <w:rPr>
          <w:rFonts w:hint="eastAsia" w:ascii="宋体" w:hAnsi="宋体" w:eastAsia="宋体" w:cs="宋体"/>
          <w:bCs/>
          <w:color w:val="auto"/>
          <w:szCs w:val="21"/>
          <w:highlight w:val="none"/>
        </w:rPr>
        <w:t>小时内响应，并在12小时内完成处置。以上情况无故逾期而造成网络瘫痪、应用停止服务或者数据泄露的，由</w:t>
      </w:r>
      <w:r>
        <w:rPr>
          <w:rFonts w:hint="eastAsia" w:ascii="宋体" w:hAnsi="宋体" w:cs="宋体"/>
          <w:bCs/>
          <w:color w:val="auto"/>
          <w:szCs w:val="21"/>
          <w:highlight w:val="none"/>
          <w:lang w:eastAsia="zh-CN"/>
        </w:rPr>
        <w:t>乙方</w:t>
      </w:r>
      <w:r>
        <w:rPr>
          <w:rFonts w:hint="eastAsia" w:ascii="宋体" w:hAnsi="宋体" w:eastAsia="宋体" w:cs="宋体"/>
          <w:bCs/>
          <w:color w:val="auto"/>
          <w:szCs w:val="21"/>
          <w:highlight w:val="none"/>
        </w:rPr>
        <w:t>承担损失，造成严重后果的，依法处置。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b/>
          <w:color w:val="auto"/>
          <w:szCs w:val="21"/>
          <w:highlight w:val="none"/>
        </w:rPr>
      </w:pP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lang w:eastAsia="zh-CN"/>
        </w:rPr>
        <w:t>乙方</w:t>
      </w:r>
      <w:r>
        <w:rPr>
          <w:rFonts w:hint="eastAsia" w:ascii="宋体" w:hAnsi="宋体" w:eastAsia="宋体" w:cs="宋体"/>
          <w:bCs/>
          <w:color w:val="auto"/>
          <w:szCs w:val="21"/>
          <w:highlight w:val="none"/>
        </w:rPr>
        <w:t>应与</w:t>
      </w:r>
      <w:r>
        <w:rPr>
          <w:rFonts w:hint="eastAsia" w:ascii="宋体" w:hAnsi="宋体" w:cs="宋体"/>
          <w:bCs/>
          <w:color w:val="auto"/>
          <w:szCs w:val="21"/>
          <w:highlight w:val="none"/>
          <w:lang w:eastAsia="zh-CN"/>
        </w:rPr>
        <w:t>甲方</w:t>
      </w:r>
      <w:r>
        <w:rPr>
          <w:rFonts w:hint="eastAsia" w:ascii="宋体" w:hAnsi="宋体" w:eastAsia="宋体" w:cs="宋体"/>
          <w:bCs/>
          <w:color w:val="auto"/>
          <w:szCs w:val="21"/>
          <w:highlight w:val="none"/>
        </w:rPr>
        <w:t>签订网络和数据安全保密协议，项目开发人员应签订个人保密承诺书。</w:t>
      </w:r>
      <w:r>
        <w:rPr>
          <w:rFonts w:hint="eastAsia" w:ascii="宋体" w:hAnsi="宋体" w:cs="宋体"/>
          <w:bCs/>
          <w:color w:val="auto"/>
          <w:szCs w:val="21"/>
          <w:highlight w:val="none"/>
          <w:lang w:eastAsia="zh-CN"/>
        </w:rPr>
        <w:t>乙方</w:t>
      </w:r>
      <w:r>
        <w:rPr>
          <w:rFonts w:hint="eastAsia" w:ascii="宋体" w:hAnsi="宋体" w:eastAsia="宋体" w:cs="宋体"/>
          <w:bCs/>
          <w:color w:val="auto"/>
          <w:szCs w:val="21"/>
          <w:highlight w:val="none"/>
        </w:rPr>
        <w:t>需要保密本项目中涉及与</w:t>
      </w:r>
      <w:r>
        <w:rPr>
          <w:rFonts w:hint="eastAsia" w:ascii="宋体" w:hAnsi="宋体" w:cs="宋体"/>
          <w:bCs/>
          <w:color w:val="auto"/>
          <w:szCs w:val="21"/>
          <w:highlight w:val="none"/>
          <w:lang w:eastAsia="zh-CN"/>
        </w:rPr>
        <w:t>甲方</w:t>
      </w:r>
      <w:r>
        <w:rPr>
          <w:rFonts w:hint="eastAsia" w:ascii="宋体" w:hAnsi="宋体" w:eastAsia="宋体" w:cs="宋体"/>
          <w:bCs/>
          <w:color w:val="auto"/>
          <w:szCs w:val="21"/>
          <w:highlight w:val="none"/>
        </w:rPr>
        <w:t>相关的、由</w:t>
      </w:r>
      <w:r>
        <w:rPr>
          <w:rFonts w:hint="eastAsia" w:ascii="宋体" w:hAnsi="宋体" w:cs="宋体"/>
          <w:bCs/>
          <w:color w:val="auto"/>
          <w:szCs w:val="21"/>
          <w:highlight w:val="none"/>
          <w:lang w:eastAsia="zh-CN"/>
        </w:rPr>
        <w:t>甲方</w:t>
      </w:r>
      <w:r>
        <w:rPr>
          <w:rFonts w:hint="eastAsia" w:ascii="宋体" w:hAnsi="宋体" w:eastAsia="宋体" w:cs="宋体"/>
          <w:bCs/>
          <w:color w:val="auto"/>
          <w:szCs w:val="21"/>
          <w:highlight w:val="none"/>
        </w:rPr>
        <w:t>提供或透露的或由</w:t>
      </w:r>
      <w:r>
        <w:rPr>
          <w:rFonts w:hint="eastAsia" w:ascii="宋体" w:hAnsi="宋体" w:cs="宋体"/>
          <w:bCs/>
          <w:color w:val="auto"/>
          <w:szCs w:val="21"/>
          <w:highlight w:val="none"/>
          <w:lang w:eastAsia="zh-CN"/>
        </w:rPr>
        <w:t>乙方</w:t>
      </w:r>
      <w:r>
        <w:rPr>
          <w:rFonts w:hint="eastAsia" w:ascii="宋体" w:hAnsi="宋体" w:eastAsia="宋体" w:cs="宋体"/>
          <w:bCs/>
          <w:color w:val="auto"/>
          <w:szCs w:val="21"/>
          <w:highlight w:val="none"/>
        </w:rPr>
        <w:t>从</w:t>
      </w:r>
      <w:r>
        <w:rPr>
          <w:rFonts w:hint="eastAsia" w:ascii="宋体" w:hAnsi="宋体" w:cs="宋体"/>
          <w:bCs/>
          <w:color w:val="auto"/>
          <w:szCs w:val="21"/>
          <w:highlight w:val="none"/>
          <w:lang w:eastAsia="zh-CN"/>
        </w:rPr>
        <w:t>甲方</w:t>
      </w:r>
      <w:r>
        <w:rPr>
          <w:rFonts w:hint="eastAsia" w:ascii="宋体" w:hAnsi="宋体" w:eastAsia="宋体" w:cs="宋体"/>
          <w:bCs/>
          <w:color w:val="auto"/>
          <w:szCs w:val="21"/>
          <w:highlight w:val="none"/>
        </w:rPr>
        <w:t>处获得的任何带有保密性质的信息，包括（但不限于）与</w:t>
      </w:r>
      <w:r>
        <w:rPr>
          <w:rFonts w:hint="eastAsia" w:ascii="宋体" w:hAnsi="宋体" w:cs="宋体"/>
          <w:bCs/>
          <w:color w:val="auto"/>
          <w:szCs w:val="21"/>
          <w:highlight w:val="none"/>
          <w:lang w:eastAsia="zh-CN"/>
        </w:rPr>
        <w:t>甲方</w:t>
      </w:r>
      <w:r>
        <w:rPr>
          <w:rFonts w:hint="eastAsia" w:ascii="宋体" w:hAnsi="宋体" w:eastAsia="宋体" w:cs="宋体"/>
          <w:bCs/>
          <w:color w:val="auto"/>
          <w:szCs w:val="21"/>
          <w:highlight w:val="none"/>
        </w:rPr>
        <w:t>的计划或意向、组织与人员、产品与服务、专有技术及商务活动等有关的全部信息。因</w:t>
      </w:r>
      <w:r>
        <w:rPr>
          <w:rFonts w:hint="eastAsia" w:ascii="宋体" w:hAnsi="宋体" w:cs="宋体"/>
          <w:bCs/>
          <w:color w:val="auto"/>
          <w:szCs w:val="21"/>
          <w:highlight w:val="none"/>
          <w:lang w:eastAsia="zh-CN"/>
        </w:rPr>
        <w:t>乙方</w:t>
      </w:r>
      <w:r>
        <w:rPr>
          <w:rFonts w:hint="eastAsia" w:ascii="宋体" w:hAnsi="宋体" w:eastAsia="宋体" w:cs="宋体"/>
          <w:bCs/>
          <w:color w:val="auto"/>
          <w:szCs w:val="21"/>
          <w:highlight w:val="none"/>
        </w:rPr>
        <w:t>未做好保密工作导致信息泄露的，由</w:t>
      </w:r>
      <w:r>
        <w:rPr>
          <w:rFonts w:hint="eastAsia" w:ascii="宋体" w:hAnsi="宋体" w:cs="宋体"/>
          <w:bCs/>
          <w:color w:val="auto"/>
          <w:szCs w:val="21"/>
          <w:highlight w:val="none"/>
          <w:lang w:eastAsia="zh-CN"/>
        </w:rPr>
        <w:t>乙方</w:t>
      </w:r>
      <w:r>
        <w:rPr>
          <w:rFonts w:hint="eastAsia" w:ascii="宋体" w:hAnsi="宋体" w:eastAsia="宋体" w:cs="宋体"/>
          <w:bCs/>
          <w:color w:val="auto"/>
          <w:szCs w:val="21"/>
          <w:highlight w:val="none"/>
        </w:rPr>
        <w:t>承担相关责任。</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Style w:val="59"/>
          <w:rFonts w:hint="eastAsia" w:ascii="宋体" w:hAnsi="宋体" w:eastAsia="宋体" w:cs="宋体"/>
          <w:b/>
          <w:bCs/>
          <w:szCs w:val="21"/>
          <w:lang w:val="en-US" w:eastAsia="zh-CN"/>
        </w:rPr>
      </w:pPr>
    </w:p>
    <w:p>
      <w:pPr>
        <w:numPr>
          <w:ilvl w:val="0"/>
          <w:numId w:val="0"/>
        </w:numPr>
        <w:spacing w:line="360" w:lineRule="auto"/>
        <w:ind w:leftChars="0"/>
        <w:outlineLvl w:val="1"/>
        <w:rPr>
          <w:rStyle w:val="59"/>
          <w:rFonts w:hint="eastAsia" w:ascii="宋体" w:hAnsi="宋体" w:cs="宋体"/>
          <w:b/>
          <w:bCs/>
          <w:szCs w:val="21"/>
          <w:lang w:val="en-US" w:eastAsia="zh-CN"/>
        </w:rPr>
      </w:pPr>
      <w:r>
        <w:rPr>
          <w:rFonts w:hint="eastAsia" w:ascii="宋体" w:hAnsi="宋体" w:cs="宋体"/>
          <w:b/>
          <w:szCs w:val="21"/>
          <w:lang w:val="en-US" w:eastAsia="zh-CN"/>
        </w:rPr>
        <w:t>十、售后服务及培训要求</w:t>
      </w:r>
    </w:p>
    <w:p>
      <w:pPr>
        <w:spacing w:line="360" w:lineRule="auto"/>
        <w:ind w:firstLine="420" w:firstLineChars="200"/>
        <w:rPr>
          <w:rFonts w:ascii="宋体" w:hAnsi="宋体" w:cs="宋体"/>
          <w:bCs/>
          <w:color w:val="auto"/>
          <w:szCs w:val="21"/>
          <w:highlight w:val="none"/>
        </w:rPr>
      </w:pPr>
      <w:r>
        <w:rPr>
          <w:rFonts w:ascii="宋体" w:hAnsi="宋体" w:cs="宋体"/>
          <w:bCs/>
          <w:color w:val="auto"/>
          <w:szCs w:val="21"/>
          <w:highlight w:val="none"/>
        </w:rPr>
        <w:t>（一）</w:t>
      </w:r>
      <w:r>
        <w:rPr>
          <w:rFonts w:hint="eastAsia" w:ascii="宋体" w:hAnsi="宋体" w:cs="宋体"/>
          <w:bCs/>
          <w:color w:val="auto"/>
          <w:szCs w:val="21"/>
          <w:highlight w:val="none"/>
        </w:rPr>
        <w:t>售后服务</w:t>
      </w:r>
    </w:p>
    <w:p>
      <w:pPr>
        <w:spacing w:line="360" w:lineRule="auto"/>
        <w:ind w:firstLine="420" w:firstLineChars="200"/>
        <w:rPr>
          <w:rFonts w:ascii="宋体" w:hAnsi="宋体" w:cs="等线"/>
          <w:szCs w:val="21"/>
        </w:rPr>
      </w:pPr>
      <w:r>
        <w:rPr>
          <w:rFonts w:hint="eastAsia" w:ascii="宋体" w:hAnsi="宋体" w:cs="等线"/>
          <w:szCs w:val="21"/>
        </w:rPr>
        <w:t>（1）质保期：自项目通过验收之日起，</w:t>
      </w:r>
      <w:r>
        <w:rPr>
          <w:rFonts w:hint="eastAsia" w:ascii="宋体" w:hAnsi="宋体" w:cs="等线"/>
          <w:szCs w:val="21"/>
          <w:lang w:eastAsia="zh-CN"/>
        </w:rPr>
        <w:t>所有</w:t>
      </w:r>
      <w:r>
        <w:rPr>
          <w:rFonts w:hint="eastAsia" w:ascii="宋体" w:hAnsi="宋体" w:cs="等线"/>
          <w:szCs w:val="21"/>
          <w:lang w:val="en-US" w:eastAsia="zh-CN"/>
        </w:rPr>
        <w:t>软件</w:t>
      </w:r>
      <w:r>
        <w:rPr>
          <w:rFonts w:hint="eastAsia" w:ascii="宋体" w:hAnsi="宋体" w:cs="等线"/>
          <w:szCs w:val="21"/>
          <w:lang w:eastAsia="zh-CN"/>
        </w:rPr>
        <w:t>免费质保期不得低于</w:t>
      </w:r>
      <w:r>
        <w:rPr>
          <w:rFonts w:hint="eastAsia" w:ascii="宋体" w:hAnsi="宋体" w:cs="等线"/>
          <w:szCs w:val="21"/>
          <w:lang w:val="en-US" w:eastAsia="zh-CN"/>
        </w:rPr>
        <w:t>1</w:t>
      </w:r>
      <w:r>
        <w:rPr>
          <w:rFonts w:hint="eastAsia" w:ascii="宋体" w:hAnsi="宋体" w:cs="等线"/>
          <w:szCs w:val="21"/>
          <w:lang w:eastAsia="zh-CN"/>
        </w:rPr>
        <w:t>年</w:t>
      </w:r>
      <w:r>
        <w:rPr>
          <w:rFonts w:hint="eastAsia" w:ascii="宋体" w:hAnsi="宋体" w:cs="等线"/>
          <w:szCs w:val="21"/>
        </w:rPr>
        <w:t>。</w:t>
      </w:r>
    </w:p>
    <w:p>
      <w:pPr>
        <w:spacing w:line="360" w:lineRule="auto"/>
        <w:ind w:firstLine="420" w:firstLineChars="200"/>
        <w:rPr>
          <w:rFonts w:ascii="宋体" w:hAnsi="宋体" w:cs="等线"/>
          <w:b/>
          <w:bCs/>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w:t>
      </w:r>
      <w:r>
        <w:rPr>
          <w:rFonts w:hint="eastAsia" w:ascii="宋体" w:hAnsi="宋体" w:cs="等线"/>
          <w:szCs w:val="21"/>
        </w:rPr>
        <w:t>根据此次项目的实际情况，</w:t>
      </w:r>
      <w:r>
        <w:rPr>
          <w:rFonts w:hint="eastAsia" w:ascii="宋体" w:hAnsi="宋体"/>
          <w:szCs w:val="21"/>
        </w:rPr>
        <w:t>中标人</w:t>
      </w:r>
      <w:r>
        <w:rPr>
          <w:rFonts w:hint="eastAsia" w:ascii="宋体" w:hAnsi="宋体" w:cs="等线"/>
          <w:szCs w:val="21"/>
        </w:rPr>
        <w:t>须提供专业化的培训和技术交流，帮助业主单位提高技术水平和解决常见故障的能力。根据业主单位的需求经行技术培训，培训不少于1天。培训采用现场培训方式，培训内容包括但不限于：设备的功能介绍、日常操作、维护。</w:t>
      </w:r>
    </w:p>
    <w:p>
      <w:pPr>
        <w:spacing w:line="360" w:lineRule="auto"/>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）中标人须指派专人负责与采购人联系售后服务事宜，售后服务至少包含以下内容：</w:t>
      </w:r>
    </w:p>
    <w:p>
      <w:pPr>
        <w:widowControl/>
        <w:numPr>
          <w:ilvl w:val="0"/>
          <w:numId w:val="6"/>
        </w:numPr>
        <w:spacing w:line="360" w:lineRule="auto"/>
        <w:ind w:left="0" w:firstLine="426"/>
        <w:rPr>
          <w:rFonts w:ascii="宋体" w:hAnsi="宋体"/>
          <w:b/>
          <w:bCs/>
          <w:szCs w:val="21"/>
        </w:rPr>
      </w:pPr>
      <w:r>
        <w:rPr>
          <w:rFonts w:hint="eastAsia" w:ascii="宋体" w:hAnsi="宋体"/>
          <w:b/>
          <w:bCs/>
          <w:szCs w:val="21"/>
        </w:rPr>
        <w:t>7x24电话支持响应</w:t>
      </w:r>
    </w:p>
    <w:p>
      <w:pPr>
        <w:widowControl/>
        <w:spacing w:line="360" w:lineRule="auto"/>
        <w:ind w:firstLine="420" w:firstLineChars="200"/>
        <w:rPr>
          <w:rFonts w:ascii="宋体" w:hAnsi="宋体"/>
          <w:szCs w:val="21"/>
        </w:rPr>
      </w:pPr>
      <w:r>
        <w:rPr>
          <w:rFonts w:hint="eastAsia" w:ascii="宋体" w:hAnsi="宋体"/>
          <w:szCs w:val="21"/>
        </w:rPr>
        <w:t>要求提供7x24不间断的电话服务支持，不限次。业主单位工作人员在项目范围内的软硬件设备如遇到问题,无论是软件或硬件,都随时可以从中标方得到电话支持与帮助。中标方需指定一名主要联系人及一名替补联系人与业主单位联系。一旦接到业主单位请求电话,投标方的技术人员将在规定时间内通过电话解决或回答业主单位所提出的问题。若中标方指定工程师如果因特殊原因离职或更换电话，及时通知业主单位，并指定合格的接替人员。</w:t>
      </w:r>
    </w:p>
    <w:p>
      <w:pPr>
        <w:widowControl/>
        <w:numPr>
          <w:ilvl w:val="0"/>
          <w:numId w:val="6"/>
        </w:numPr>
        <w:spacing w:line="360" w:lineRule="auto"/>
        <w:ind w:left="0" w:firstLine="426"/>
        <w:rPr>
          <w:rFonts w:ascii="宋体" w:hAnsi="宋体"/>
          <w:b/>
          <w:bCs/>
          <w:szCs w:val="21"/>
        </w:rPr>
      </w:pPr>
      <w:r>
        <w:rPr>
          <w:rFonts w:hint="eastAsia" w:ascii="宋体" w:hAnsi="宋体"/>
          <w:b/>
          <w:bCs/>
          <w:szCs w:val="21"/>
        </w:rPr>
        <w:t>日常操作技术支持</w:t>
      </w:r>
    </w:p>
    <w:p>
      <w:pPr>
        <w:widowControl/>
        <w:spacing w:line="360" w:lineRule="auto"/>
        <w:ind w:firstLine="420" w:firstLineChars="200"/>
        <w:rPr>
          <w:rFonts w:hint="eastAsia" w:ascii="宋体" w:hAnsi="宋体"/>
          <w:szCs w:val="21"/>
        </w:rPr>
      </w:pPr>
      <w:r>
        <w:rPr>
          <w:rFonts w:hint="eastAsia" w:ascii="宋体" w:hAnsi="宋体"/>
          <w:szCs w:val="21"/>
        </w:rPr>
        <w:t>中标方需要对业主单位提供日常的技术支持，针对业主单位无法完成的操作，提供远程和电话技术支持，以及到现场提供技术支持。）</w:t>
      </w:r>
    </w:p>
    <w:p>
      <w:pPr>
        <w:widowControl/>
        <w:numPr>
          <w:ilvl w:val="0"/>
          <w:numId w:val="6"/>
        </w:numPr>
        <w:spacing w:line="360" w:lineRule="auto"/>
        <w:ind w:left="0" w:firstLine="426"/>
        <w:rPr>
          <w:rFonts w:hint="eastAsia" w:ascii="宋体" w:hAnsi="宋体" w:eastAsia="宋体" w:cs="Times New Roman"/>
          <w:b/>
          <w:bCs/>
          <w:szCs w:val="21"/>
        </w:rPr>
      </w:pPr>
      <w:r>
        <w:rPr>
          <w:rFonts w:hint="eastAsia" w:ascii="宋体" w:hAnsi="宋体" w:eastAsia="宋体" w:cs="Times New Roman"/>
          <w:b/>
          <w:bCs/>
          <w:szCs w:val="21"/>
        </w:rPr>
        <w:t>免费运维服务（等同于质保期）</w:t>
      </w:r>
    </w:p>
    <w:p>
      <w:pPr>
        <w:widowControl/>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系统调试开通移交后，甲方（采购人）组织人员在设备乙方（供应商）的指导下上岗操作，乙方进行系统维护；运维期同质保期。</w:t>
      </w:r>
    </w:p>
    <w:p>
      <w:pPr>
        <w:widowControl/>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设立专业的运行维护服务队伍：</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Times New Roman"/>
          <w:szCs w:val="21"/>
        </w:rPr>
      </w:pPr>
      <w:r>
        <w:rPr>
          <w:rFonts w:hint="eastAsia" w:ascii="宋体" w:hAnsi="宋体" w:eastAsia="宋体" w:cs="Times New Roman"/>
          <w:szCs w:val="21"/>
        </w:rPr>
        <w:t>提供7*24小时电话技术支持。1小时现场响应，对于4小时内不能排除系统、设备故障的，应提供必要的备机备件，以确保各系统的正常运行。</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Times New Roman"/>
          <w:szCs w:val="21"/>
        </w:rPr>
      </w:pPr>
      <w:r>
        <w:rPr>
          <w:rFonts w:hint="eastAsia" w:ascii="宋体" w:hAnsi="宋体" w:eastAsia="宋体" w:cs="Times New Roman"/>
          <w:szCs w:val="21"/>
        </w:rPr>
        <w:t>定期、日常维护巡检。每一季度进行一次系统设备的状态和运行情况、对专用设备进行清洁维护保养等工作。</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Times New Roman"/>
          <w:szCs w:val="21"/>
        </w:rPr>
      </w:pPr>
      <w:r>
        <w:rPr>
          <w:rFonts w:hint="eastAsia" w:ascii="宋体" w:hAnsi="宋体" w:eastAsia="宋体" w:cs="Times New Roman"/>
          <w:szCs w:val="21"/>
        </w:rPr>
        <w:t>如遇重大活动，接到甲方通知后，必须无条件派工程师实行现场技术保障，确保系统在活动期间正常运行。</w:t>
      </w:r>
    </w:p>
    <w:p>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免费提供后期相关建设项目的参考方案以及与其它相关系统设备的提供商合作，包括软硬件数据协议接口。</w:t>
      </w:r>
    </w:p>
    <w:p>
      <w:pPr>
        <w:spacing w:line="360" w:lineRule="auto"/>
        <w:ind w:firstLine="420" w:firstLineChars="200"/>
        <w:rPr>
          <w:rFonts w:ascii="宋体" w:hAnsi="宋体" w:cs="宋体"/>
          <w:bCs/>
          <w:color w:val="auto"/>
          <w:szCs w:val="21"/>
          <w:highlight w:val="none"/>
        </w:rPr>
      </w:pPr>
      <w:r>
        <w:rPr>
          <w:rFonts w:ascii="宋体" w:hAnsi="宋体" w:cs="宋体"/>
          <w:bCs/>
          <w:color w:val="auto"/>
          <w:szCs w:val="21"/>
          <w:highlight w:val="none"/>
        </w:rPr>
        <w:t>（二）</w:t>
      </w:r>
      <w:r>
        <w:rPr>
          <w:rFonts w:hint="eastAsia" w:ascii="宋体" w:hAnsi="宋体" w:cs="宋体"/>
          <w:bCs/>
          <w:color w:val="auto"/>
          <w:szCs w:val="21"/>
          <w:highlight w:val="none"/>
        </w:rPr>
        <w:t>培训要求</w:t>
      </w:r>
    </w:p>
    <w:p>
      <w:pPr>
        <w:spacing w:line="360" w:lineRule="auto"/>
        <w:ind w:firstLine="420" w:firstLineChars="200"/>
        <w:rPr>
          <w:rFonts w:hint="eastAsia" w:ascii="宋体" w:hAnsi="宋体" w:cs="宋体"/>
          <w:bCs/>
          <w:color w:val="auto"/>
          <w:szCs w:val="21"/>
          <w:highlight w:val="none"/>
          <w:lang w:eastAsia="zh-CN"/>
        </w:rPr>
      </w:pPr>
      <w:r>
        <w:rPr>
          <w:rFonts w:hint="eastAsia" w:ascii="宋体" w:hAnsi="宋体" w:cs="宋体"/>
          <w:bCs/>
          <w:color w:val="auto"/>
          <w:szCs w:val="21"/>
          <w:highlight w:val="none"/>
          <w:lang w:eastAsia="zh-CN"/>
        </w:rPr>
        <w:t>中标方应免费提供技术培训服务（包括授课费、资料费、参加培训人员的差旅食宿费）。投标人需在标书中列出详细的技术培训计划，包括培训课程、参加培训的人数、培训时间、培训地点等。</w:t>
      </w:r>
    </w:p>
    <w:p>
      <w:pPr>
        <w:spacing w:line="360" w:lineRule="auto"/>
        <w:ind w:firstLine="420" w:firstLineChars="200"/>
        <w:rPr>
          <w:rFonts w:hint="eastAsia" w:ascii="宋体" w:hAnsi="宋体" w:cs="宋体"/>
          <w:bCs/>
          <w:color w:val="auto"/>
          <w:szCs w:val="21"/>
          <w:highlight w:val="none"/>
          <w:lang w:eastAsia="zh-CN"/>
        </w:rPr>
      </w:pPr>
      <w:r>
        <w:rPr>
          <w:rFonts w:hint="eastAsia" w:ascii="宋体" w:hAnsi="宋体" w:cs="宋体"/>
          <w:bCs/>
          <w:color w:val="auto"/>
          <w:szCs w:val="21"/>
          <w:highlight w:val="none"/>
          <w:lang w:eastAsia="zh-CN"/>
        </w:rPr>
        <w:t>培训目的：使采购人‎对系统布‎局、各子‎系统之间‎的关系以‎及系统整‎体构成有‎清晰、完‎整的认识‎，提高甲‎方自主分‎析问题和‎解决问题‎的能力，‎确保系统‎日常故障‎能在第一‎时间内由‎用户自行‎解决，从‎而提高设‎备和系统‎的有效性‎。同时，‎通过培训‎可提高用‎户使用、‎维护和管‎理整个系‎统的能力‎，从而提‎高用户技‎术人员的‎业务水平‎，确保整‎个系统可‎靠、稳定‎的运行，‎提高系统‎的可用性‎和可维护‎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cs="宋体"/>
          <w:bCs/>
          <w:color w:val="auto"/>
          <w:szCs w:val="21"/>
          <w:highlight w:val="none"/>
          <w:lang w:eastAsia="zh-CN"/>
        </w:rPr>
      </w:pPr>
      <w:r>
        <w:rPr>
          <w:rFonts w:hint="eastAsia" w:ascii="宋体" w:hAnsi="宋体" w:cs="宋体"/>
          <w:bCs/>
          <w:color w:val="auto"/>
          <w:szCs w:val="21"/>
          <w:highlight w:val="none"/>
          <w:lang w:eastAsia="zh-CN"/>
        </w:rPr>
        <w:t>培训方式：包括但不仅限于现场培训及集中培训。</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cs="宋体"/>
          <w:bCs/>
          <w:color w:val="auto"/>
          <w:szCs w:val="21"/>
          <w:highlight w:val="none"/>
          <w:lang w:eastAsia="zh-CN"/>
        </w:rPr>
      </w:pPr>
      <w:r>
        <w:rPr>
          <w:rFonts w:hint="eastAsia" w:ascii="宋体" w:hAnsi="宋体" w:cs="宋体"/>
          <w:bCs/>
          <w:color w:val="auto"/>
          <w:szCs w:val="21"/>
          <w:highlight w:val="none"/>
          <w:lang w:eastAsia="zh-CN"/>
        </w:rPr>
        <w:t>中标人为采购人提‎供的培训‎包括系统‎培训和设‎备培训，其中中标人需负责协调各设备供应商提供相关设备培训，整个‎培训由中标人召集‎和组织，‎由各设备‎供应商协‎助举办，期间所产生的相关费用由中标人承担。</w:t>
      </w:r>
    </w:p>
    <w:p>
      <w:pPr>
        <w:spacing w:line="360" w:lineRule="auto"/>
        <w:outlineLvl w:val="1"/>
        <w:rPr>
          <w:rFonts w:ascii="宋体" w:hAnsi="宋体" w:cs="宋体"/>
          <w:b/>
          <w:szCs w:val="21"/>
        </w:rPr>
      </w:pPr>
      <w:r>
        <w:rPr>
          <w:rFonts w:hint="eastAsia" w:ascii="宋体" w:hAnsi="宋体" w:cs="宋体"/>
          <w:b/>
          <w:szCs w:val="21"/>
          <w:lang w:val="en-US" w:eastAsia="zh-CN"/>
        </w:rPr>
        <w:t>十一、</w:t>
      </w:r>
      <w:r>
        <w:rPr>
          <w:rFonts w:hint="eastAsia" w:ascii="宋体" w:hAnsi="宋体" w:cs="宋体"/>
          <w:b/>
          <w:szCs w:val="21"/>
        </w:rPr>
        <w:t>延期交货</w:t>
      </w:r>
    </w:p>
    <w:p>
      <w:pPr>
        <w:spacing w:line="360" w:lineRule="auto"/>
        <w:ind w:firstLine="420" w:firstLineChars="200"/>
        <w:rPr>
          <w:rFonts w:hint="eastAsia" w:ascii="宋体" w:hAnsi="宋体" w:cs="宋体"/>
          <w:szCs w:val="21"/>
        </w:rPr>
      </w:pPr>
      <w:r>
        <w:rPr>
          <w:rFonts w:hint="eastAsia" w:ascii="宋体" w:hAnsi="宋体" w:cs="宋体"/>
          <w:szCs w:val="21"/>
        </w:rPr>
        <w:t>1、在履行合同过程中，如果乙方遇到不能按时完</w:t>
      </w:r>
      <w:r>
        <w:rPr>
          <w:rFonts w:hint="eastAsia" w:ascii="宋体" w:hAnsi="宋体" w:cs="宋体"/>
          <w:szCs w:val="21"/>
          <w:lang w:val="en-US" w:eastAsia="zh-CN"/>
        </w:rPr>
        <w:t>成项目</w:t>
      </w:r>
      <w:r>
        <w:rPr>
          <w:rFonts w:hint="eastAsia" w:ascii="宋体" w:hAnsi="宋体" w:cs="宋体"/>
          <w:szCs w:val="21"/>
        </w:rPr>
        <w:t>，应及时以书面形式将不能按时</w:t>
      </w:r>
      <w:r>
        <w:rPr>
          <w:rFonts w:hint="eastAsia" w:ascii="宋体" w:hAnsi="宋体" w:cs="宋体"/>
          <w:szCs w:val="21"/>
          <w:lang w:val="en-US" w:eastAsia="zh-CN"/>
        </w:rPr>
        <w:t>完成的</w:t>
      </w:r>
      <w:r>
        <w:rPr>
          <w:rFonts w:hint="eastAsia" w:ascii="宋体" w:hAnsi="宋体" w:cs="宋体"/>
          <w:szCs w:val="21"/>
        </w:rPr>
        <w:t>理由、延误时间通知甲方。甲方收到乙方的通知后，应进行分析，如果同意，可通过修改合同，酌情延长</w:t>
      </w:r>
      <w:r>
        <w:rPr>
          <w:rFonts w:hint="eastAsia" w:ascii="宋体" w:hAnsi="宋体" w:cs="宋体"/>
          <w:szCs w:val="21"/>
          <w:lang w:val="en-US" w:eastAsia="zh-CN"/>
        </w:rPr>
        <w:t>工期</w:t>
      </w:r>
      <w:r>
        <w:rPr>
          <w:rFonts w:hint="eastAsia" w:ascii="宋体" w:hAnsi="宋体" w:cs="宋体"/>
          <w:szCs w:val="21"/>
        </w:rPr>
        <w:t>。</w:t>
      </w:r>
    </w:p>
    <w:p>
      <w:pPr>
        <w:spacing w:line="360" w:lineRule="auto"/>
        <w:ind w:firstLine="420" w:firstLineChars="200"/>
        <w:rPr>
          <w:rFonts w:hint="eastAsia" w:ascii="宋体" w:hAnsi="宋体" w:cs="宋体"/>
          <w:szCs w:val="21"/>
        </w:rPr>
      </w:pPr>
      <w:r>
        <w:rPr>
          <w:rFonts w:hint="eastAsia" w:ascii="宋体" w:hAnsi="宋体" w:cs="宋体"/>
          <w:szCs w:val="21"/>
        </w:rPr>
        <w:t>2、如果乙方无正当理由拖延完成的，将承担违约损失赔偿。</w:t>
      </w:r>
    </w:p>
    <w:p>
      <w:pPr>
        <w:spacing w:line="360" w:lineRule="auto"/>
        <w:outlineLvl w:val="1"/>
        <w:rPr>
          <w:rFonts w:ascii="宋体" w:hAnsi="宋体" w:cs="宋体"/>
          <w:b/>
          <w:szCs w:val="21"/>
        </w:rPr>
      </w:pPr>
      <w:r>
        <w:rPr>
          <w:rFonts w:hint="eastAsia" w:ascii="宋体" w:hAnsi="宋体" w:cs="宋体"/>
          <w:b/>
          <w:szCs w:val="21"/>
        </w:rPr>
        <w:t>十</w:t>
      </w:r>
      <w:r>
        <w:rPr>
          <w:rFonts w:hint="eastAsia" w:ascii="宋体" w:hAnsi="宋体" w:cs="宋体"/>
          <w:b/>
          <w:szCs w:val="21"/>
          <w:lang w:val="en-US" w:eastAsia="zh-CN"/>
        </w:rPr>
        <w:t>二</w:t>
      </w:r>
      <w:r>
        <w:rPr>
          <w:rFonts w:hint="eastAsia" w:ascii="宋体" w:hAnsi="宋体" w:cs="宋体"/>
          <w:b/>
          <w:szCs w:val="21"/>
        </w:rPr>
        <w:t>、违约责任</w:t>
      </w:r>
    </w:p>
    <w:p>
      <w:pPr>
        <w:spacing w:line="360" w:lineRule="auto"/>
        <w:ind w:firstLine="420" w:firstLineChars="200"/>
        <w:rPr>
          <w:rFonts w:ascii="宋体" w:hAnsi="宋体" w:cs="宋体"/>
          <w:szCs w:val="21"/>
        </w:rPr>
      </w:pPr>
      <w:r>
        <w:rPr>
          <w:rFonts w:hint="eastAsia" w:ascii="宋体" w:hAnsi="宋体" w:cs="宋体"/>
          <w:szCs w:val="21"/>
        </w:rPr>
        <w:t>1、由于乙方过错造成</w:t>
      </w:r>
      <w:r>
        <w:rPr>
          <w:rFonts w:hint="eastAsia" w:ascii="宋体" w:hAnsi="宋体" w:cs="宋体"/>
          <w:szCs w:val="21"/>
          <w:lang w:val="en-US" w:eastAsia="zh-CN"/>
        </w:rPr>
        <w:t>中标后</w:t>
      </w:r>
      <w:r>
        <w:rPr>
          <w:rFonts w:hint="eastAsia" w:ascii="宋体" w:hAnsi="宋体" w:cs="宋体"/>
          <w:szCs w:val="21"/>
        </w:rPr>
        <w:t>1个月内无法完成25家</w:t>
      </w:r>
      <w:r>
        <w:rPr>
          <w:rFonts w:hint="eastAsia" w:ascii="宋体" w:hAnsi="宋体" w:cs="宋体"/>
          <w:szCs w:val="21"/>
          <w:lang w:val="en-US" w:eastAsia="zh-CN"/>
        </w:rPr>
        <w:t>以上的改造</w:t>
      </w:r>
      <w:r>
        <w:rPr>
          <w:rFonts w:hint="eastAsia" w:ascii="宋体" w:hAnsi="宋体" w:cs="宋体"/>
          <w:szCs w:val="21"/>
        </w:rPr>
        <w:t>，则每延期一日，按照合同总金额的</w:t>
      </w:r>
      <w:r>
        <w:rPr>
          <w:rFonts w:hint="eastAsia" w:ascii="宋体" w:hAnsi="宋体" w:cs="宋体"/>
          <w:szCs w:val="21"/>
          <w:lang w:val="en-US" w:eastAsia="zh-CN"/>
        </w:rPr>
        <w:t>3</w:t>
      </w:r>
      <w:r>
        <w:rPr>
          <w:rFonts w:hint="eastAsia" w:ascii="宋体" w:hAnsi="宋体" w:cs="宋体"/>
          <w:szCs w:val="21"/>
        </w:rPr>
        <w:t>%向甲方支付违约金；由于乙方过错造成延期交付超过</w:t>
      </w:r>
      <w:r>
        <w:rPr>
          <w:rFonts w:hint="eastAsia" w:ascii="宋体" w:hAnsi="宋体" w:cs="宋体"/>
          <w:szCs w:val="21"/>
          <w:lang w:val="en-US" w:eastAsia="zh-CN"/>
        </w:rPr>
        <w:t>10</w:t>
      </w:r>
      <w:r>
        <w:rPr>
          <w:rFonts w:hint="eastAsia" w:ascii="宋体" w:hAnsi="宋体" w:cs="宋体"/>
          <w:szCs w:val="21"/>
        </w:rPr>
        <w:t>日的，甲方有权解除合同</w:t>
      </w:r>
      <w:r>
        <w:rPr>
          <w:rFonts w:hint="eastAsia" w:ascii="宋体" w:hAnsi="宋体" w:cs="宋体"/>
          <w:szCs w:val="21"/>
          <w:lang w:eastAsia="zh-CN"/>
        </w:rPr>
        <w:t>，</w:t>
      </w:r>
      <w:r>
        <w:rPr>
          <w:rFonts w:hint="eastAsia" w:ascii="宋体" w:hAnsi="宋体" w:cs="宋体"/>
          <w:szCs w:val="21"/>
        </w:rPr>
        <w:t>乙方除应退还甲方已支付的款项外，还应按合同金额的30%支付违约金，如甲方实际损失高于违约金的以实际损失为准。</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2、若乙方不能完成所有被改造目标企业意向确认书，导致项目无法顺利进行的，甲方视为乙方违约，乙方需退还甲方支付的预付款并赔偿采购人合同金额的30%作为违约金。</w:t>
      </w:r>
    </w:p>
    <w:p>
      <w:pPr>
        <w:spacing w:line="360" w:lineRule="auto"/>
        <w:ind w:firstLine="420" w:firstLineChars="200"/>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、若由于甲方的原因致使乙方不能按期履行交付的，乙方不承担相应的违约责任。</w:t>
      </w:r>
    </w:p>
    <w:p>
      <w:pPr>
        <w:spacing w:line="360" w:lineRule="auto"/>
        <w:ind w:firstLine="420" w:firstLineChars="200"/>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、经甲乙双方友好协商同意，延期交付、延期支付资金且无须罚者可不受上述条款约束。</w:t>
      </w:r>
    </w:p>
    <w:p>
      <w:pPr>
        <w:spacing w:line="360" w:lineRule="auto"/>
        <w:ind w:firstLine="420" w:firstLineChars="200"/>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、免费运维期内故障率累计不得超过20天；如达不到要求，超过1次，运维期相应延长10天；超过2次，运维期相应延长30天；超过3次，甲方有权解除合同。</w:t>
      </w:r>
    </w:p>
    <w:p>
      <w:pPr>
        <w:spacing w:line="360" w:lineRule="auto"/>
        <w:ind w:firstLine="420" w:firstLineChars="200"/>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、甲乙双方除合同约定解除条款和法定事由外，不得单方解除合同，任何一方违约解除合同，违约方应向非违约方按合同金额的30%支付违约金，并赔偿守约方所遭受的所有损失，且守约方有权单方解除本合同。</w:t>
      </w:r>
    </w:p>
    <w:p>
      <w:pPr>
        <w:spacing w:line="360" w:lineRule="auto"/>
        <w:ind w:firstLine="420" w:firstLineChars="200"/>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、因乙方侵犯第三方的专利权、版权、工业履行合同义务权或其他知识产权而引起的任何责任均应由乙方承担。</w:t>
      </w:r>
    </w:p>
    <w:p>
      <w:pPr>
        <w:spacing w:line="360" w:lineRule="auto"/>
        <w:ind w:firstLine="420" w:firstLineChars="200"/>
        <w:rPr>
          <w:rFonts w:ascii="宋体" w:hAnsi="宋体" w:cs="宋体"/>
          <w:szCs w:val="21"/>
        </w:rPr>
      </w:pPr>
      <w:r>
        <w:rPr>
          <w:rFonts w:hint="eastAsia" w:ascii="宋体" w:hAnsi="宋体" w:cs="宋体"/>
          <w:szCs w:val="21"/>
          <w:lang w:val="en-US" w:eastAsia="zh-CN"/>
        </w:rPr>
        <w:t>7</w:t>
      </w:r>
      <w:r>
        <w:rPr>
          <w:rFonts w:hint="eastAsia" w:ascii="宋体" w:hAnsi="宋体" w:cs="宋体"/>
          <w:szCs w:val="21"/>
        </w:rPr>
        <w:t>、在诉讼期间，除正在进行诉讼的部分外，本合同其它部分可继续执行。</w:t>
      </w:r>
    </w:p>
    <w:p>
      <w:pPr>
        <w:spacing w:line="360" w:lineRule="auto"/>
        <w:outlineLvl w:val="1"/>
        <w:rPr>
          <w:rFonts w:ascii="宋体" w:hAnsi="宋体" w:cs="宋体"/>
          <w:b/>
          <w:szCs w:val="21"/>
        </w:rPr>
      </w:pPr>
      <w:r>
        <w:rPr>
          <w:rFonts w:hint="eastAsia" w:ascii="宋体" w:hAnsi="宋体" w:cs="宋体"/>
          <w:b/>
          <w:szCs w:val="21"/>
        </w:rPr>
        <w:t>十</w:t>
      </w:r>
      <w:r>
        <w:rPr>
          <w:rFonts w:hint="eastAsia" w:ascii="宋体" w:hAnsi="宋体" w:cs="宋体"/>
          <w:b/>
          <w:szCs w:val="21"/>
          <w:lang w:val="en-US" w:eastAsia="zh-CN"/>
        </w:rPr>
        <w:t>三</w:t>
      </w:r>
      <w:r>
        <w:rPr>
          <w:rFonts w:hint="eastAsia" w:ascii="宋体" w:hAnsi="宋体" w:cs="宋体"/>
          <w:b/>
          <w:szCs w:val="21"/>
        </w:rPr>
        <w:t>、争议的解决</w:t>
      </w:r>
    </w:p>
    <w:p>
      <w:pPr>
        <w:spacing w:line="360" w:lineRule="auto"/>
        <w:ind w:firstLine="420" w:firstLineChars="200"/>
        <w:rPr>
          <w:rFonts w:ascii="宋体" w:hAnsi="宋体" w:cs="宋体"/>
          <w:szCs w:val="21"/>
        </w:rPr>
      </w:pPr>
      <w:r>
        <w:rPr>
          <w:rFonts w:hint="eastAsia" w:ascii="宋体" w:hAnsi="宋体" w:cs="宋体"/>
          <w:szCs w:val="21"/>
        </w:rPr>
        <w:t>1、甲乙双方应通过友好协商，解决在执行本合同中所发生的或与本合同有关的一切争端，如果协商得不到解决，任何一方均可按《中华人民共和国民法典》规定提交诉讼，诉讼应在甲方所在地进行。</w:t>
      </w:r>
    </w:p>
    <w:p>
      <w:pPr>
        <w:spacing w:line="360" w:lineRule="auto"/>
        <w:ind w:firstLine="420" w:firstLineChars="200"/>
        <w:rPr>
          <w:rFonts w:ascii="宋体" w:hAnsi="宋体" w:cs="宋体"/>
          <w:szCs w:val="21"/>
        </w:rPr>
      </w:pPr>
      <w:r>
        <w:rPr>
          <w:rFonts w:hint="eastAsia" w:ascii="宋体" w:hAnsi="宋体" w:cs="宋体"/>
          <w:szCs w:val="21"/>
        </w:rPr>
        <w:t>2、诉讼费应由败诉方负担。</w:t>
      </w:r>
    </w:p>
    <w:p>
      <w:pPr>
        <w:spacing w:line="360" w:lineRule="auto"/>
        <w:outlineLvl w:val="1"/>
        <w:rPr>
          <w:rFonts w:ascii="宋体" w:hAnsi="宋体" w:cs="宋体"/>
          <w:b/>
          <w:szCs w:val="21"/>
        </w:rPr>
      </w:pPr>
      <w:r>
        <w:rPr>
          <w:rFonts w:hint="eastAsia" w:ascii="宋体" w:hAnsi="宋体" w:cs="宋体"/>
          <w:b/>
          <w:szCs w:val="21"/>
        </w:rPr>
        <w:t>十</w:t>
      </w:r>
      <w:r>
        <w:rPr>
          <w:rFonts w:hint="eastAsia" w:ascii="宋体" w:hAnsi="宋体" w:cs="宋体"/>
          <w:b/>
          <w:szCs w:val="21"/>
          <w:lang w:val="en-US" w:eastAsia="zh-CN"/>
        </w:rPr>
        <w:t>四</w:t>
      </w:r>
      <w:r>
        <w:rPr>
          <w:rFonts w:hint="eastAsia" w:ascii="宋体" w:hAnsi="宋体" w:cs="宋体"/>
          <w:b/>
          <w:szCs w:val="21"/>
        </w:rPr>
        <w:t>、合同修改</w:t>
      </w:r>
    </w:p>
    <w:p>
      <w:pPr>
        <w:spacing w:line="360" w:lineRule="auto"/>
        <w:ind w:firstLine="420" w:firstLineChars="200"/>
        <w:rPr>
          <w:rFonts w:ascii="宋体" w:hAnsi="宋体" w:cs="宋体"/>
          <w:szCs w:val="21"/>
        </w:rPr>
      </w:pPr>
      <w:r>
        <w:rPr>
          <w:rFonts w:hint="eastAsia" w:ascii="宋体" w:hAnsi="宋体" w:cs="宋体"/>
          <w:szCs w:val="21"/>
        </w:rPr>
        <w:t>合同条款的任何改动，均须由合同签署双方签署合同修改书或合同补充协议。该合同修改或补充被视为本合同的组成部分，具有与本合同同等法律效力。</w:t>
      </w:r>
    </w:p>
    <w:p>
      <w:pPr>
        <w:spacing w:line="360" w:lineRule="auto"/>
        <w:outlineLvl w:val="1"/>
        <w:rPr>
          <w:rFonts w:ascii="宋体" w:hAnsi="宋体" w:cs="宋体"/>
          <w:b/>
          <w:szCs w:val="21"/>
        </w:rPr>
      </w:pPr>
      <w:r>
        <w:rPr>
          <w:rFonts w:hint="eastAsia" w:ascii="宋体" w:hAnsi="宋体" w:cs="宋体"/>
          <w:b/>
          <w:szCs w:val="21"/>
          <w:lang w:val="en-US" w:eastAsia="zh-CN"/>
        </w:rPr>
        <w:t>十五</w:t>
      </w:r>
      <w:r>
        <w:rPr>
          <w:rFonts w:hint="eastAsia" w:ascii="宋体" w:hAnsi="宋体" w:cs="宋体"/>
          <w:b/>
          <w:szCs w:val="21"/>
        </w:rPr>
        <w:t>、不可抗力的处理</w:t>
      </w:r>
    </w:p>
    <w:p>
      <w:pPr>
        <w:spacing w:line="360" w:lineRule="auto"/>
        <w:ind w:firstLine="420" w:firstLineChars="200"/>
        <w:rPr>
          <w:rFonts w:ascii="宋体" w:hAnsi="宋体" w:cs="宋体"/>
          <w:szCs w:val="21"/>
        </w:rPr>
      </w:pPr>
      <w:r>
        <w:rPr>
          <w:rFonts w:hint="eastAsia" w:ascii="宋体" w:hAnsi="宋体" w:cs="宋体"/>
          <w:szCs w:val="21"/>
        </w:rPr>
        <w:t>1、在合同有效期内，任何一方因不可抗力事件导致不能履行合同，则合同履行期可延长，其延长期与不可抗力影响期相同。</w:t>
      </w:r>
    </w:p>
    <w:p>
      <w:pPr>
        <w:spacing w:line="360" w:lineRule="auto"/>
        <w:ind w:firstLine="420" w:firstLineChars="200"/>
        <w:rPr>
          <w:rFonts w:ascii="宋体" w:hAnsi="宋体" w:cs="宋体"/>
          <w:szCs w:val="21"/>
        </w:rPr>
      </w:pPr>
      <w:r>
        <w:rPr>
          <w:rFonts w:hint="eastAsia" w:ascii="宋体" w:hAnsi="宋体" w:cs="宋体"/>
          <w:szCs w:val="21"/>
        </w:rPr>
        <w:t>2、不可抗力的事故发生后尽快通知另一方，将有关部门出具的证明文件用挂号信邮寄或派人送达另一方。</w:t>
      </w:r>
    </w:p>
    <w:p>
      <w:pPr>
        <w:spacing w:line="360" w:lineRule="auto"/>
        <w:outlineLvl w:val="1"/>
        <w:rPr>
          <w:rFonts w:ascii="宋体" w:hAnsi="宋体" w:cs="宋体"/>
          <w:b/>
          <w:szCs w:val="21"/>
        </w:rPr>
      </w:pPr>
      <w:r>
        <w:rPr>
          <w:rFonts w:hint="eastAsia" w:ascii="宋体" w:hAnsi="宋体" w:cs="宋体"/>
          <w:b/>
          <w:szCs w:val="21"/>
          <w:lang w:val="en-US" w:eastAsia="zh-CN"/>
        </w:rPr>
        <w:t>十六</w:t>
      </w:r>
      <w:r>
        <w:rPr>
          <w:rFonts w:hint="eastAsia" w:ascii="宋体" w:hAnsi="宋体" w:cs="宋体"/>
          <w:b/>
          <w:szCs w:val="21"/>
        </w:rPr>
        <w:t>、适用法律</w:t>
      </w:r>
    </w:p>
    <w:p>
      <w:pPr>
        <w:spacing w:line="360" w:lineRule="auto"/>
        <w:ind w:firstLine="420" w:firstLineChars="200"/>
        <w:rPr>
          <w:rFonts w:ascii="宋体" w:hAnsi="宋体" w:cs="宋体"/>
          <w:szCs w:val="21"/>
        </w:rPr>
      </w:pPr>
      <w:r>
        <w:rPr>
          <w:rFonts w:hint="eastAsia" w:ascii="宋体" w:hAnsi="宋体" w:cs="宋体"/>
          <w:szCs w:val="21"/>
        </w:rPr>
        <w:t>甲乙双方所订立的合同应按照中华人民共和国的法律进行解释。</w:t>
      </w:r>
    </w:p>
    <w:p>
      <w:pPr>
        <w:spacing w:line="360" w:lineRule="auto"/>
        <w:outlineLvl w:val="1"/>
        <w:rPr>
          <w:rFonts w:ascii="宋体" w:hAnsi="宋体" w:cs="宋体"/>
          <w:b/>
          <w:szCs w:val="21"/>
        </w:rPr>
      </w:pPr>
      <w:r>
        <w:rPr>
          <w:rFonts w:hint="eastAsia" w:ascii="宋体" w:hAnsi="宋体" w:cs="宋体"/>
          <w:b/>
          <w:szCs w:val="21"/>
          <w:lang w:val="en-US" w:eastAsia="zh-CN"/>
        </w:rPr>
        <w:t>十七</w:t>
      </w:r>
      <w:r>
        <w:rPr>
          <w:rFonts w:hint="eastAsia" w:ascii="宋体" w:hAnsi="宋体" w:cs="宋体"/>
          <w:b/>
          <w:szCs w:val="21"/>
        </w:rPr>
        <w:t>、合同生效及其它</w:t>
      </w:r>
    </w:p>
    <w:p>
      <w:pPr>
        <w:spacing w:line="360" w:lineRule="auto"/>
        <w:ind w:firstLine="420" w:firstLineChars="200"/>
        <w:rPr>
          <w:rFonts w:ascii="宋体" w:hAnsi="宋体" w:cs="宋体"/>
          <w:szCs w:val="21"/>
        </w:rPr>
      </w:pPr>
      <w:r>
        <w:rPr>
          <w:rFonts w:hint="eastAsia" w:ascii="宋体" w:hAnsi="宋体" w:cs="宋体"/>
          <w:szCs w:val="21"/>
        </w:rPr>
        <w:t>1、合同经双方法定代表人或授权委托代理人签字并加盖单位公章后生效。</w:t>
      </w:r>
    </w:p>
    <w:p>
      <w:pPr>
        <w:spacing w:line="360" w:lineRule="auto"/>
        <w:ind w:firstLine="420" w:firstLineChars="200"/>
        <w:rPr>
          <w:rFonts w:ascii="宋体" w:hAnsi="宋体" w:cs="宋体"/>
          <w:szCs w:val="21"/>
        </w:rPr>
      </w:pPr>
      <w:r>
        <w:rPr>
          <w:rFonts w:hint="eastAsia" w:ascii="宋体" w:hAnsi="宋体" w:cs="宋体"/>
          <w:szCs w:val="21"/>
        </w:rPr>
        <w:t>2、合同执行中涉及采购资金和采购内容修改或补充的，须经财政部门审批，并签书面补充协议报财政部门备案，方可作为主合同不可分割的一部分。</w:t>
      </w:r>
    </w:p>
    <w:p>
      <w:pPr>
        <w:spacing w:line="360" w:lineRule="auto"/>
        <w:ind w:firstLine="420" w:firstLineChars="200"/>
        <w:rPr>
          <w:rFonts w:ascii="宋体" w:hAnsi="宋体" w:cs="宋体"/>
          <w:szCs w:val="21"/>
        </w:rPr>
      </w:pPr>
      <w:r>
        <w:rPr>
          <w:rFonts w:hint="eastAsia" w:ascii="宋体" w:hAnsi="宋体" w:cs="宋体"/>
          <w:szCs w:val="21"/>
        </w:rPr>
        <w:t>3、本合同未尽事宜，遵照中华人民共和国有关法律法规条文执行。</w:t>
      </w:r>
    </w:p>
    <w:p>
      <w:pPr>
        <w:spacing w:line="360" w:lineRule="auto"/>
        <w:ind w:firstLine="420" w:firstLineChars="200"/>
        <w:rPr>
          <w:rFonts w:ascii="宋体" w:hAnsi="宋体" w:cs="宋体"/>
          <w:szCs w:val="21"/>
        </w:rPr>
      </w:pPr>
      <w:r>
        <w:rPr>
          <w:rFonts w:hint="eastAsia" w:ascii="宋体" w:hAnsi="宋体" w:cs="宋体"/>
          <w:szCs w:val="21"/>
        </w:rPr>
        <w:t>4、本合同正本一式</w:t>
      </w:r>
      <w:r>
        <w:rPr>
          <w:rFonts w:hint="eastAsia" w:ascii="宋体" w:hAnsi="宋体" w:cs="宋体"/>
          <w:szCs w:val="21"/>
          <w:lang w:val="en-US" w:eastAsia="zh-CN"/>
        </w:rPr>
        <w:t>5</w:t>
      </w:r>
      <w:r>
        <w:rPr>
          <w:rFonts w:hint="eastAsia" w:ascii="宋体" w:hAnsi="宋体" w:cs="宋体"/>
          <w:szCs w:val="21"/>
        </w:rPr>
        <w:t>份，具有同等法律效力，甲乙双方各执</w:t>
      </w:r>
      <w:r>
        <w:rPr>
          <w:rFonts w:hint="eastAsia" w:ascii="宋体" w:hAnsi="宋体" w:cs="宋体"/>
          <w:szCs w:val="21"/>
          <w:lang w:val="en-US" w:eastAsia="zh-CN"/>
        </w:rPr>
        <w:t>2</w:t>
      </w:r>
      <w:r>
        <w:rPr>
          <w:rFonts w:hint="eastAsia" w:ascii="宋体" w:hAnsi="宋体" w:cs="宋体"/>
          <w:szCs w:val="21"/>
        </w:rPr>
        <w:t>份，采购代理机构执1份。</w:t>
      </w: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r>
        <w:rPr>
          <w:rFonts w:hint="eastAsia" w:ascii="宋体" w:hAnsi="宋体" w:cs="宋体"/>
          <w:szCs w:val="21"/>
        </w:rPr>
        <w:t xml:space="preserve">甲方：（盖章）                             乙方：（盖章） </w:t>
      </w:r>
    </w:p>
    <w:p>
      <w:pPr>
        <w:spacing w:line="360" w:lineRule="auto"/>
        <w:ind w:firstLine="420" w:firstLineChars="200"/>
        <w:rPr>
          <w:rFonts w:ascii="宋体" w:hAnsi="宋体" w:cs="宋体"/>
          <w:szCs w:val="21"/>
        </w:rPr>
      </w:pPr>
      <w:r>
        <w:rPr>
          <w:rFonts w:hint="eastAsia" w:ascii="宋体" w:hAnsi="宋体" w:cs="宋体"/>
          <w:szCs w:val="21"/>
        </w:rPr>
        <w:t xml:space="preserve">地址：                                     地址： </w:t>
      </w:r>
    </w:p>
    <w:p>
      <w:pPr>
        <w:spacing w:line="360" w:lineRule="auto"/>
        <w:ind w:firstLine="420" w:firstLineChars="200"/>
        <w:rPr>
          <w:rFonts w:ascii="宋体" w:hAnsi="宋体" w:cs="宋体"/>
          <w:szCs w:val="21"/>
        </w:rPr>
      </w:pPr>
      <w:r>
        <w:rPr>
          <w:rFonts w:hint="eastAsia" w:ascii="宋体" w:hAnsi="宋体" w:cs="宋体"/>
          <w:szCs w:val="21"/>
        </w:rPr>
        <w:t>法定代表人或授权签字代表：                 法定代表人或授权签字代表：</w:t>
      </w:r>
    </w:p>
    <w:p>
      <w:pPr>
        <w:spacing w:line="360" w:lineRule="auto"/>
        <w:ind w:firstLine="420" w:firstLineChars="200"/>
        <w:rPr>
          <w:rFonts w:ascii="宋体" w:hAnsi="宋体" w:cs="宋体"/>
          <w:szCs w:val="21"/>
        </w:rPr>
      </w:pPr>
      <w:r>
        <w:rPr>
          <w:rFonts w:hint="eastAsia" w:ascii="宋体" w:hAnsi="宋体" w:cs="宋体"/>
          <w:szCs w:val="21"/>
        </w:rPr>
        <w:t>签订日期：   年  月  日                    签订日期：   年  月  日</w:t>
      </w:r>
    </w:p>
    <w:p>
      <w:pPr>
        <w:spacing w:line="360" w:lineRule="auto"/>
        <w:ind w:firstLine="420" w:firstLineChars="200"/>
        <w:rPr>
          <w:rFonts w:ascii="宋体" w:hAnsi="宋体" w:cs="宋体"/>
          <w:szCs w:val="21"/>
        </w:rPr>
      </w:pPr>
      <w:r>
        <w:rPr>
          <w:rFonts w:hint="eastAsia" w:ascii="宋体" w:hAnsi="宋体" w:cs="宋体"/>
          <w:szCs w:val="21"/>
        </w:rPr>
        <w:t>甲方收款银行：                             乙方收款银行：</w:t>
      </w:r>
    </w:p>
    <w:p>
      <w:pPr>
        <w:spacing w:line="360" w:lineRule="auto"/>
        <w:ind w:firstLine="420" w:firstLineChars="200"/>
        <w:rPr>
          <w:rFonts w:ascii="宋体" w:hAnsi="宋体" w:cs="宋体"/>
          <w:szCs w:val="21"/>
        </w:rPr>
      </w:pPr>
      <w:r>
        <w:rPr>
          <w:rFonts w:hint="eastAsia" w:ascii="宋体" w:hAnsi="宋体" w:cs="宋体"/>
          <w:szCs w:val="21"/>
        </w:rPr>
        <w:t>甲方收款开户账号：                         乙方收款开户账号：</w:t>
      </w:r>
    </w:p>
    <w:p>
      <w:pPr>
        <w:pStyle w:val="86"/>
        <w:rPr>
          <w:rFonts w:cs="宋体"/>
          <w:sz w:val="21"/>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color w:val="000000"/>
          <w:szCs w:val="21"/>
        </w:rPr>
      </w:pPr>
      <w:r>
        <w:rPr>
          <w:rFonts w:hint="eastAsia" w:ascii="宋体" w:hAnsi="宋体" w:cs="宋体"/>
          <w:szCs w:val="21"/>
        </w:rPr>
        <w:t>鉴证方：（盖章）</w:t>
      </w:r>
    </w:p>
    <w:p>
      <w:pPr>
        <w:snapToGrid w:val="0"/>
        <w:spacing w:line="360" w:lineRule="auto"/>
        <w:rPr>
          <w:rFonts w:ascii="宋体" w:hAnsi="宋体" w:cs="宋体"/>
          <w:color w:val="000000"/>
          <w:szCs w:val="21"/>
        </w:rPr>
      </w:pPr>
    </w:p>
    <w:p>
      <w:pPr>
        <w:snapToGrid w:val="0"/>
        <w:spacing w:line="360" w:lineRule="auto"/>
        <w:rPr>
          <w:rFonts w:ascii="宋体" w:hAnsi="宋体" w:cs="宋体"/>
          <w:color w:val="000000"/>
          <w:szCs w:val="21"/>
        </w:rPr>
      </w:pPr>
    </w:p>
    <w:p>
      <w:pPr>
        <w:snapToGrid w:val="0"/>
        <w:spacing w:line="360" w:lineRule="auto"/>
        <w:rPr>
          <w:rFonts w:ascii="宋体" w:hAnsi="宋体" w:cs="宋体"/>
          <w:color w:val="000000"/>
          <w:szCs w:val="21"/>
        </w:rPr>
      </w:pPr>
      <w:r>
        <w:rPr>
          <w:rFonts w:hint="eastAsia" w:ascii="宋体" w:hAnsi="宋体" w:cs="宋体"/>
          <w:color w:val="000000"/>
          <w:szCs w:val="21"/>
        </w:rPr>
        <w:t>注意事项：</w:t>
      </w:r>
    </w:p>
    <w:p>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1.用于政府采购信用融资的政府采购合同：</w:t>
      </w:r>
    </w:p>
    <w:p>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（1）应当包含如下条款：</w:t>
      </w:r>
    </w:p>
    <w:p>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“第</w:t>
      </w:r>
      <w:r>
        <w:rPr>
          <w:rFonts w:hint="eastAsia" w:ascii="宋体" w:hAnsi="宋体" w:cs="宋体"/>
          <w:color w:val="000000"/>
          <w:szCs w:val="21"/>
          <w:u w:val="single"/>
        </w:rPr>
        <w:t xml:space="preserve">   </w:t>
      </w:r>
      <w:r>
        <w:rPr>
          <w:rFonts w:hint="eastAsia" w:ascii="宋体" w:hAnsi="宋体" w:cs="宋体"/>
          <w:color w:val="000000"/>
          <w:szCs w:val="21"/>
        </w:rPr>
        <w:t>条：政府采购合同贷款</w:t>
      </w:r>
    </w:p>
    <w:p>
      <w:pPr>
        <w:snapToGrid w:val="0"/>
        <w:spacing w:line="420" w:lineRule="atLeast"/>
        <w:ind w:firstLine="420" w:firstLineChars="200"/>
        <w:rPr>
          <w:rFonts w:ascii="宋体" w:cs="宋体"/>
          <w:color w:val="000000"/>
          <w:szCs w:val="21"/>
        </w:rPr>
      </w:pPr>
      <w:r>
        <w:rPr>
          <w:rFonts w:hint="eastAsia" w:ascii="宋体" w:cs="宋体"/>
          <w:color w:val="000000"/>
          <w:szCs w:val="21"/>
        </w:rPr>
        <w:t>本合同同时用于乙方向</w:t>
      </w:r>
      <w:r>
        <w:rPr>
          <w:rFonts w:hint="eastAsia" w:ascii="宋体" w:cs="宋体"/>
          <w:color w:val="000000"/>
          <w:szCs w:val="21"/>
          <w:u w:val="single"/>
        </w:rPr>
        <w:t xml:space="preserve">      </w:t>
      </w:r>
      <w:r>
        <w:rPr>
          <w:rFonts w:hint="eastAsia" w:ascii="宋体" w:cs="宋体"/>
          <w:color w:val="000000"/>
          <w:szCs w:val="21"/>
        </w:rPr>
        <w:t>银行（金融机构）申请政府采购信用贷款。</w:t>
      </w:r>
    </w:p>
    <w:p>
      <w:pPr>
        <w:snapToGrid w:val="0"/>
        <w:spacing w:line="420" w:lineRule="atLeast"/>
        <w:ind w:firstLine="420" w:firstLineChars="200"/>
        <w:rPr>
          <w:rFonts w:ascii="宋体" w:cs="宋体"/>
          <w:color w:val="000000"/>
          <w:szCs w:val="21"/>
        </w:rPr>
      </w:pPr>
      <w:r>
        <w:rPr>
          <w:rFonts w:hint="eastAsia" w:ascii="宋体" w:cs="宋体"/>
          <w:color w:val="000000"/>
          <w:szCs w:val="21"/>
        </w:rPr>
        <w:t>本合同一经签订，原则上不得更改乙方收款账户信息。确须更改的，乙方应取得原合同收款账户开户银行书面同意，否则修改后的合同不予备案，采购资金不予支付。”</w:t>
      </w:r>
    </w:p>
    <w:p>
      <w:pPr>
        <w:snapToGrid w:val="0"/>
        <w:spacing w:line="420" w:lineRule="atLeast"/>
        <w:ind w:firstLine="420" w:firstLineChars="200"/>
        <w:rPr>
          <w:rFonts w:ascii="宋体" w:hAnsi="宋体" w:cs="宋体"/>
          <w:b/>
          <w:sz w:val="28"/>
          <w:szCs w:val="28"/>
        </w:rPr>
      </w:pPr>
      <w:r>
        <w:rPr>
          <w:rFonts w:hint="eastAsia" w:ascii="宋体" w:cs="宋体"/>
          <w:color w:val="000000"/>
          <w:szCs w:val="21"/>
        </w:rPr>
        <w:t>（2）中标供应商需确保政府采购合同的收款账户与融资银行开户账户一致。</w:t>
      </w:r>
    </w:p>
    <w:p>
      <w:pPr>
        <w:snapToGrid w:val="0"/>
        <w:spacing w:line="420" w:lineRule="atLeast"/>
        <w:ind w:firstLine="422" w:firstLineChars="200"/>
        <w:rPr>
          <w:rFonts w:ascii="宋体" w:cs="宋体"/>
          <w:b/>
          <w:bCs/>
          <w:color w:val="000000"/>
          <w:szCs w:val="21"/>
        </w:rPr>
      </w:pPr>
      <w:r>
        <w:rPr>
          <w:rFonts w:hint="eastAsia" w:ascii="宋体" w:cs="宋体"/>
          <w:b/>
          <w:bCs/>
          <w:color w:val="000000"/>
          <w:szCs w:val="21"/>
        </w:rPr>
        <w:t>2、依据《政府采购促进中小企业发展管理办法》（财库[2020]46号）规定享受扶持政策获得政府采购合同的，小微企业不得将合同分包给大中型企业，中型企业不得将合同分包给大型企业。</w:t>
      </w:r>
    </w:p>
    <w:p>
      <w:pPr>
        <w:snapToGrid w:val="0"/>
        <w:spacing w:line="360" w:lineRule="auto"/>
        <w:jc w:val="center"/>
        <w:outlineLvl w:val="0"/>
        <w:rPr>
          <w:rFonts w:ascii="宋体" w:hAnsi="宋体" w:cs="宋体"/>
          <w:b/>
          <w:sz w:val="28"/>
          <w:szCs w:val="28"/>
        </w:rPr>
      </w:pPr>
      <w:r>
        <w:rPr>
          <w:rFonts w:hint="eastAsia" w:ascii="宋体" w:hAnsi="宋体" w:cs="宋体"/>
          <w:b/>
          <w:sz w:val="28"/>
          <w:szCs w:val="28"/>
        </w:rPr>
        <w:br w:type="page"/>
      </w:r>
      <w:r>
        <w:rPr>
          <w:rFonts w:hint="eastAsia" w:ascii="宋体" w:hAnsi="宋体" w:cs="宋体"/>
          <w:b/>
          <w:sz w:val="28"/>
          <w:szCs w:val="28"/>
        </w:rPr>
        <w:t>第六章  响应文件组成</w:t>
      </w:r>
    </w:p>
    <w:p>
      <w:pPr>
        <w:snapToGrid w:val="0"/>
        <w:spacing w:line="360" w:lineRule="auto"/>
        <w:ind w:firstLine="422" w:firstLineChars="200"/>
        <w:rPr>
          <w:rFonts w:ascii="宋体" w:hAnsi="宋体" w:cs="宋体"/>
          <w:b/>
          <w:szCs w:val="21"/>
        </w:rPr>
      </w:pPr>
      <w:r>
        <w:rPr>
          <w:rFonts w:hint="eastAsia" w:ascii="宋体" w:hAnsi="宋体" w:cs="宋体"/>
          <w:b/>
          <w:szCs w:val="21"/>
        </w:rPr>
        <w:t>响应文件由磋商报价文件、资格证明文件、商务文件、技术文件组成。响应文件中涉及的有关内容均须提供合法有效的证明材料复印件。（复印件未加盖公章作无效处理，特别注明的除外，有▲标识的条款为必须提交的资料）</w:t>
      </w:r>
    </w:p>
    <w:p>
      <w:pPr>
        <w:snapToGrid w:val="0"/>
        <w:spacing w:line="360" w:lineRule="auto"/>
        <w:outlineLvl w:val="1"/>
        <w:rPr>
          <w:rFonts w:ascii="宋体" w:hAnsi="宋体" w:cs="宋体"/>
          <w:b/>
          <w:szCs w:val="21"/>
        </w:rPr>
      </w:pPr>
      <w:r>
        <w:rPr>
          <w:rFonts w:hint="eastAsia" w:ascii="宋体" w:hAnsi="宋体" w:cs="宋体"/>
          <w:b/>
          <w:szCs w:val="21"/>
        </w:rPr>
        <w:t>▲1、磋商报价文件部分</w:t>
      </w:r>
    </w:p>
    <w:p>
      <w:pPr>
        <w:snapToGrid w:val="0"/>
        <w:spacing w:line="360" w:lineRule="auto"/>
        <w:ind w:firstLine="422" w:firstLineChars="200"/>
        <w:rPr>
          <w:rFonts w:ascii="宋体" w:hAnsi="宋体" w:cs="宋体"/>
          <w:b/>
          <w:szCs w:val="21"/>
        </w:rPr>
      </w:pPr>
      <w:r>
        <w:rPr>
          <w:rFonts w:hint="eastAsia" w:ascii="宋体" w:hAnsi="宋体" w:cs="宋体"/>
          <w:b/>
          <w:szCs w:val="21"/>
        </w:rPr>
        <w:t>（磋商报价信息不得出现在资格证明、商务、技术文件中，否则将导致投标无效。）</w:t>
      </w:r>
    </w:p>
    <w:p>
      <w:pPr>
        <w:snapToGrid w:val="0"/>
        <w:spacing w:line="360" w:lineRule="auto"/>
        <w:ind w:firstLine="422" w:firstLineChars="200"/>
        <w:rPr>
          <w:rFonts w:ascii="宋体" w:hAnsi="宋体" w:cs="宋体"/>
          <w:b/>
          <w:szCs w:val="21"/>
        </w:rPr>
      </w:pPr>
      <w:r>
        <w:rPr>
          <w:rFonts w:hint="eastAsia" w:ascii="宋体" w:hAnsi="宋体" w:cs="宋体"/>
          <w:b/>
          <w:szCs w:val="21"/>
        </w:rPr>
        <w:t>1.1开标一览表；（格式一）</w:t>
      </w:r>
    </w:p>
    <w:p>
      <w:pPr>
        <w:snapToGrid w:val="0"/>
        <w:spacing w:line="360" w:lineRule="auto"/>
        <w:ind w:firstLine="422" w:firstLineChars="200"/>
        <w:rPr>
          <w:rFonts w:ascii="宋体" w:hAnsi="宋体" w:cs="宋体"/>
          <w:b/>
          <w:szCs w:val="21"/>
        </w:rPr>
      </w:pPr>
      <w:r>
        <w:rPr>
          <w:rFonts w:hint="eastAsia" w:ascii="宋体" w:hAnsi="宋体" w:cs="宋体"/>
          <w:b/>
          <w:szCs w:val="21"/>
        </w:rPr>
        <w:t>1.2报价明细表。（格式二）</w:t>
      </w:r>
    </w:p>
    <w:p>
      <w:pPr>
        <w:snapToGrid w:val="0"/>
        <w:spacing w:line="360" w:lineRule="auto"/>
        <w:outlineLvl w:val="1"/>
        <w:rPr>
          <w:rFonts w:ascii="宋体" w:hAnsi="宋体" w:cs="宋体"/>
          <w:b/>
          <w:szCs w:val="21"/>
        </w:rPr>
      </w:pPr>
      <w:r>
        <w:rPr>
          <w:rFonts w:hint="eastAsia" w:ascii="宋体" w:hAnsi="宋体" w:cs="宋体"/>
          <w:b/>
          <w:szCs w:val="21"/>
        </w:rPr>
        <w:t>▲2、资格证明文件部分</w:t>
      </w:r>
    </w:p>
    <w:p>
      <w:pPr>
        <w:snapToGrid w:val="0"/>
        <w:spacing w:line="360" w:lineRule="auto"/>
        <w:ind w:firstLine="422" w:firstLineChars="200"/>
        <w:rPr>
          <w:rFonts w:ascii="宋体" w:hAnsi="宋体" w:cs="宋体"/>
          <w:b/>
          <w:szCs w:val="21"/>
        </w:rPr>
      </w:pPr>
      <w:r>
        <w:rPr>
          <w:rFonts w:hint="eastAsia" w:ascii="宋体" w:hAnsi="宋体" w:cs="宋体"/>
          <w:b/>
          <w:szCs w:val="21"/>
        </w:rPr>
        <w:t>2.1享受中小企业预留份额政策相关证明文件（符合以下三个子项中的任意一项要求即可）。</w:t>
      </w:r>
    </w:p>
    <w:p>
      <w:pPr>
        <w:snapToGrid w:val="0"/>
        <w:spacing w:line="360" w:lineRule="auto"/>
        <w:ind w:firstLine="422" w:firstLineChars="200"/>
        <w:rPr>
          <w:rFonts w:ascii="宋体" w:hAnsi="宋体" w:cs="宋体"/>
          <w:b/>
          <w:szCs w:val="21"/>
        </w:rPr>
      </w:pPr>
      <w:r>
        <w:rPr>
          <w:rFonts w:hint="eastAsia" w:ascii="宋体" w:hAnsi="宋体" w:cs="宋体"/>
          <w:b/>
          <w:szCs w:val="21"/>
        </w:rPr>
        <w:t>2.1.1小微企业：《中小企业声明函》（格式三）</w:t>
      </w:r>
    </w:p>
    <w:p>
      <w:pPr>
        <w:snapToGrid w:val="0"/>
        <w:spacing w:line="360" w:lineRule="auto"/>
        <w:ind w:firstLine="422" w:firstLineChars="200"/>
        <w:rPr>
          <w:rFonts w:ascii="宋体" w:hAnsi="宋体" w:cs="宋体"/>
          <w:b/>
          <w:szCs w:val="21"/>
        </w:rPr>
      </w:pPr>
      <w:r>
        <w:rPr>
          <w:rFonts w:hint="eastAsia" w:ascii="宋体" w:hAnsi="宋体" w:cs="宋体"/>
          <w:b/>
          <w:szCs w:val="21"/>
        </w:rPr>
        <w:t>2.2.2监狱企业：由省级以上监狱管理局、戒毒管理局（含新疆生产建设兵团）出具的属于监狱企业的证明文件</w:t>
      </w:r>
    </w:p>
    <w:p>
      <w:pPr>
        <w:snapToGrid w:val="0"/>
        <w:spacing w:line="360" w:lineRule="auto"/>
        <w:ind w:firstLine="422" w:firstLineChars="200"/>
        <w:rPr>
          <w:rFonts w:ascii="宋体" w:hAnsi="宋体" w:cs="宋体"/>
          <w:b/>
          <w:szCs w:val="21"/>
        </w:rPr>
      </w:pPr>
      <w:r>
        <w:rPr>
          <w:rFonts w:hint="eastAsia" w:ascii="宋体" w:hAnsi="宋体" w:cs="宋体"/>
          <w:b/>
          <w:szCs w:val="21"/>
        </w:rPr>
        <w:t>2.2.3残疾人福利性单位：《残疾人福利性单位声明函》（格式</w:t>
      </w:r>
      <w:r>
        <w:rPr>
          <w:rFonts w:hint="eastAsia" w:ascii="宋体" w:hAnsi="宋体" w:cs="宋体"/>
          <w:b/>
          <w:szCs w:val="21"/>
          <w:lang w:val="en-US" w:eastAsia="zh-CN"/>
        </w:rPr>
        <w:t>三</w:t>
      </w:r>
      <w:r>
        <w:rPr>
          <w:rFonts w:hint="eastAsia" w:ascii="宋体" w:hAnsi="宋体" w:cs="宋体"/>
          <w:b/>
          <w:szCs w:val="21"/>
        </w:rPr>
        <w:t>）</w:t>
      </w:r>
    </w:p>
    <w:p>
      <w:pPr>
        <w:snapToGrid w:val="0"/>
        <w:spacing w:line="360" w:lineRule="auto"/>
        <w:ind w:firstLine="422" w:firstLineChars="200"/>
        <w:rPr>
          <w:rFonts w:ascii="宋体" w:hAnsi="宋体" w:cs="宋体"/>
          <w:b/>
          <w:szCs w:val="21"/>
        </w:rPr>
      </w:pPr>
      <w:r>
        <w:rPr>
          <w:rFonts w:hint="eastAsia" w:ascii="宋体" w:hAnsi="宋体" w:cs="宋体"/>
          <w:b/>
          <w:szCs w:val="21"/>
        </w:rPr>
        <w:t>2.2响应人具有独立承担民事责任的能力证明资料：响应人须在投标文件中出具符合以下情况的证明材料复印件（五选一）</w:t>
      </w:r>
    </w:p>
    <w:p>
      <w:pPr>
        <w:snapToGrid w:val="0"/>
        <w:spacing w:line="360" w:lineRule="auto"/>
        <w:ind w:firstLine="417" w:firstLineChars="198"/>
        <w:rPr>
          <w:rFonts w:ascii="宋体" w:hAnsi="宋体" w:cs="宋体"/>
          <w:b/>
          <w:szCs w:val="21"/>
        </w:rPr>
      </w:pPr>
      <w:r>
        <w:rPr>
          <w:rFonts w:hint="eastAsia" w:ascii="宋体" w:hAnsi="宋体" w:cs="宋体"/>
          <w:b/>
          <w:szCs w:val="21"/>
        </w:rPr>
        <w:t>a)如供应商是企业（包括合伙企业），提供在工商部门注册的有效“企业法人营业执照”或“营业执照”；</w:t>
      </w:r>
    </w:p>
    <w:p>
      <w:pPr>
        <w:snapToGrid w:val="0"/>
        <w:spacing w:line="360" w:lineRule="auto"/>
        <w:ind w:firstLine="417" w:firstLineChars="198"/>
        <w:rPr>
          <w:rFonts w:ascii="宋体" w:hAnsi="宋体" w:cs="宋体"/>
          <w:b/>
          <w:szCs w:val="21"/>
        </w:rPr>
      </w:pPr>
      <w:r>
        <w:rPr>
          <w:rFonts w:hint="eastAsia" w:ascii="宋体" w:hAnsi="宋体" w:cs="宋体"/>
          <w:b/>
          <w:szCs w:val="21"/>
        </w:rPr>
        <w:t>b)如供应商是事业单位，提供有效的“事业单位法人证书”；</w:t>
      </w:r>
    </w:p>
    <w:p>
      <w:pPr>
        <w:snapToGrid w:val="0"/>
        <w:spacing w:line="360" w:lineRule="auto"/>
        <w:ind w:firstLine="417" w:firstLineChars="198"/>
        <w:rPr>
          <w:rFonts w:ascii="宋体" w:hAnsi="宋体" w:cs="宋体"/>
          <w:b/>
          <w:szCs w:val="21"/>
        </w:rPr>
      </w:pPr>
      <w:r>
        <w:rPr>
          <w:rFonts w:hint="eastAsia" w:ascii="宋体" w:hAnsi="宋体" w:cs="宋体"/>
          <w:b/>
          <w:szCs w:val="21"/>
        </w:rPr>
        <w:t>c)如供应商是非企业专业服务机构的，提供执业许可证等证明文件等证明文件；</w:t>
      </w:r>
    </w:p>
    <w:p>
      <w:pPr>
        <w:snapToGrid w:val="0"/>
        <w:spacing w:line="360" w:lineRule="auto"/>
        <w:ind w:firstLine="417" w:firstLineChars="198"/>
        <w:rPr>
          <w:rFonts w:ascii="宋体" w:hAnsi="宋体" w:cs="宋体"/>
          <w:b/>
          <w:szCs w:val="21"/>
        </w:rPr>
      </w:pPr>
      <w:r>
        <w:rPr>
          <w:rFonts w:hint="eastAsia" w:ascii="宋体" w:hAnsi="宋体" w:cs="宋体"/>
          <w:b/>
          <w:szCs w:val="21"/>
        </w:rPr>
        <w:t>d)如供应商是个体工商户，提供有效的“个体工商户营业执照”；</w:t>
      </w:r>
    </w:p>
    <w:p>
      <w:pPr>
        <w:snapToGrid w:val="0"/>
        <w:spacing w:line="360" w:lineRule="auto"/>
        <w:ind w:firstLine="417" w:firstLineChars="198"/>
        <w:rPr>
          <w:rFonts w:ascii="宋体" w:hAnsi="宋体" w:cs="宋体"/>
          <w:b/>
          <w:szCs w:val="21"/>
        </w:rPr>
      </w:pPr>
      <w:r>
        <w:rPr>
          <w:rFonts w:hint="eastAsia" w:ascii="宋体" w:hAnsi="宋体" w:cs="宋体"/>
          <w:b/>
          <w:szCs w:val="21"/>
        </w:rPr>
        <w:t>e)如供应商是自然人，提供有效的自然人身份证明（居民身份证正反面或公安机关出具的临时居民身份证正反面或港澳台胞证或证照）。</w:t>
      </w:r>
    </w:p>
    <w:p>
      <w:pPr>
        <w:snapToGrid w:val="0"/>
        <w:spacing w:line="360" w:lineRule="auto"/>
        <w:ind w:firstLine="422" w:firstLineChars="200"/>
        <w:rPr>
          <w:rFonts w:hint="eastAsia" w:ascii="宋体" w:hAnsi="宋体" w:cs="宋体"/>
          <w:b/>
          <w:szCs w:val="21"/>
        </w:rPr>
      </w:pPr>
      <w:r>
        <w:rPr>
          <w:rFonts w:hint="eastAsia" w:ascii="宋体" w:hAnsi="宋体" w:cs="宋体"/>
          <w:b/>
          <w:szCs w:val="21"/>
        </w:rPr>
        <w:t>2.3响应人法定代表人身份证复印件；</w:t>
      </w:r>
    </w:p>
    <w:p>
      <w:pPr>
        <w:snapToGrid w:val="0"/>
        <w:spacing w:line="360" w:lineRule="auto"/>
        <w:ind w:firstLine="422" w:firstLineChars="200"/>
        <w:rPr>
          <w:rFonts w:hint="default" w:ascii="宋体" w:hAnsi="宋体" w:eastAsia="宋体" w:cs="宋体"/>
          <w:b/>
          <w:szCs w:val="21"/>
          <w:lang w:val="en-US" w:eastAsia="zh-CN"/>
        </w:rPr>
      </w:pPr>
      <w:r>
        <w:rPr>
          <w:rFonts w:hint="eastAsia" w:ascii="宋体" w:hAnsi="宋体" w:cs="宋体"/>
          <w:b/>
          <w:szCs w:val="21"/>
          <w:lang w:val="en-US" w:eastAsia="zh-CN"/>
        </w:rPr>
        <w:t>2.4资格承诺函；（格式四）</w:t>
      </w:r>
    </w:p>
    <w:p>
      <w:pPr>
        <w:snapToGrid w:val="0"/>
        <w:spacing w:line="360" w:lineRule="auto"/>
        <w:ind w:firstLine="422" w:firstLineChars="200"/>
        <w:rPr>
          <w:rFonts w:ascii="宋体" w:hAnsi="宋体" w:cs="宋体"/>
          <w:b/>
          <w:szCs w:val="21"/>
        </w:rPr>
      </w:pPr>
      <w:r>
        <w:rPr>
          <w:rFonts w:hint="eastAsia" w:ascii="宋体" w:hAnsi="宋体" w:cs="宋体"/>
          <w:b/>
          <w:szCs w:val="21"/>
        </w:rPr>
        <w:t>2.</w:t>
      </w:r>
      <w:r>
        <w:rPr>
          <w:rFonts w:hint="eastAsia" w:ascii="宋体" w:hAnsi="宋体" w:cs="宋体"/>
          <w:b/>
          <w:szCs w:val="21"/>
          <w:lang w:val="en-US" w:eastAsia="zh-CN"/>
        </w:rPr>
        <w:t>5</w:t>
      </w:r>
      <w:r>
        <w:rPr>
          <w:rFonts w:hint="eastAsia" w:ascii="宋体" w:hAnsi="宋体" w:cs="宋体"/>
          <w:b/>
          <w:szCs w:val="21"/>
        </w:rPr>
        <w:t>投标函；（格式五）</w:t>
      </w:r>
    </w:p>
    <w:p>
      <w:pPr>
        <w:snapToGrid w:val="0"/>
        <w:spacing w:line="360" w:lineRule="auto"/>
        <w:ind w:firstLine="422" w:firstLineChars="200"/>
        <w:rPr>
          <w:rFonts w:ascii="宋体" w:hAnsi="宋体" w:cs="宋体"/>
          <w:b/>
          <w:szCs w:val="21"/>
        </w:rPr>
      </w:pPr>
      <w:r>
        <w:rPr>
          <w:rFonts w:hint="eastAsia" w:ascii="宋体" w:hAnsi="宋体" w:cs="宋体"/>
          <w:b/>
          <w:szCs w:val="21"/>
        </w:rPr>
        <w:t>2.</w:t>
      </w:r>
      <w:r>
        <w:rPr>
          <w:rFonts w:hint="eastAsia" w:ascii="宋体" w:hAnsi="宋体" w:cs="宋体"/>
          <w:b/>
          <w:szCs w:val="21"/>
          <w:lang w:val="en-US" w:eastAsia="zh-CN"/>
        </w:rPr>
        <w:t>6</w:t>
      </w:r>
      <w:r>
        <w:rPr>
          <w:rFonts w:hint="eastAsia" w:ascii="宋体" w:hAnsi="宋体" w:cs="宋体"/>
          <w:b/>
          <w:szCs w:val="21"/>
        </w:rPr>
        <w:t>法定代表人授权函，非法定代表人参加磋商时提供；（格式六）</w:t>
      </w:r>
    </w:p>
    <w:p>
      <w:pPr>
        <w:snapToGrid w:val="0"/>
        <w:spacing w:line="360" w:lineRule="auto"/>
        <w:ind w:firstLine="422" w:firstLineChars="200"/>
        <w:rPr>
          <w:rFonts w:ascii="宋体" w:hAnsi="宋体" w:cs="宋体"/>
          <w:b/>
          <w:szCs w:val="21"/>
        </w:rPr>
      </w:pPr>
      <w:r>
        <w:rPr>
          <w:rFonts w:hint="eastAsia" w:ascii="宋体" w:hAnsi="宋体" w:cs="宋体"/>
          <w:b/>
          <w:szCs w:val="21"/>
        </w:rPr>
        <w:t>2.</w:t>
      </w:r>
      <w:r>
        <w:rPr>
          <w:rFonts w:hint="eastAsia" w:ascii="宋体" w:hAnsi="宋体" w:cs="宋体"/>
          <w:b/>
          <w:szCs w:val="21"/>
          <w:lang w:val="en-US" w:eastAsia="zh-CN"/>
        </w:rPr>
        <w:t>7</w:t>
      </w:r>
      <w:r>
        <w:rPr>
          <w:rFonts w:hint="eastAsia" w:ascii="宋体" w:hAnsi="宋体" w:cs="宋体"/>
          <w:b/>
          <w:szCs w:val="21"/>
        </w:rPr>
        <w:t>响应人代表身份证复印件，非法定代表人参加磋商时提供</w:t>
      </w:r>
      <w:r>
        <w:rPr>
          <w:rFonts w:ascii="宋体" w:hAnsi="宋体" w:cs="宋体"/>
          <w:b/>
          <w:szCs w:val="21"/>
        </w:rPr>
        <w:t>。</w:t>
      </w:r>
    </w:p>
    <w:p>
      <w:pPr>
        <w:snapToGrid w:val="0"/>
        <w:spacing w:line="360" w:lineRule="auto"/>
        <w:outlineLvl w:val="1"/>
        <w:rPr>
          <w:rFonts w:ascii="宋体" w:hAnsi="宋体" w:cs="宋体"/>
          <w:b/>
          <w:szCs w:val="21"/>
        </w:rPr>
      </w:pPr>
      <w:r>
        <w:rPr>
          <w:rFonts w:hint="eastAsia" w:ascii="宋体" w:hAnsi="宋体" w:cs="宋体"/>
          <w:b/>
          <w:szCs w:val="21"/>
        </w:rPr>
        <w:t>3、商务技术文件部分</w:t>
      </w:r>
    </w:p>
    <w:p>
      <w:pPr>
        <w:snapToGrid w:val="0"/>
        <w:spacing w:line="360" w:lineRule="auto"/>
        <w:ind w:firstLine="420" w:firstLineChars="200"/>
        <w:rPr>
          <w:rFonts w:ascii="宋体" w:hAnsi="宋体" w:cs="宋体"/>
        </w:rPr>
      </w:pPr>
      <w:r>
        <w:rPr>
          <w:rFonts w:hint="eastAsia" w:ascii="宋体" w:hAnsi="宋体" w:cs="宋体"/>
        </w:rPr>
        <w:t>3.1评分标准页码索引；</w:t>
      </w:r>
    </w:p>
    <w:p>
      <w:pPr>
        <w:snapToGrid w:val="0"/>
        <w:spacing w:line="360" w:lineRule="auto"/>
        <w:ind w:firstLine="420" w:firstLineChars="200"/>
        <w:rPr>
          <w:rFonts w:ascii="宋体" w:hAnsi="宋体" w:cs="宋体"/>
        </w:rPr>
      </w:pPr>
      <w:r>
        <w:rPr>
          <w:rFonts w:hint="eastAsia" w:ascii="宋体" w:hAnsi="宋体" w:cs="宋体"/>
        </w:rPr>
        <w:t>3.2响应人简介；</w:t>
      </w:r>
    </w:p>
    <w:p>
      <w:pPr>
        <w:snapToGrid w:val="0"/>
        <w:spacing w:line="360" w:lineRule="auto"/>
        <w:ind w:firstLine="420" w:firstLineChars="200"/>
        <w:rPr>
          <w:rFonts w:ascii="宋体" w:hAnsi="宋体" w:cs="宋体"/>
        </w:rPr>
      </w:pPr>
      <w:r>
        <w:rPr>
          <w:rFonts w:hint="eastAsia" w:ascii="宋体" w:hAnsi="宋体" w:cs="宋体"/>
        </w:rPr>
        <w:t>3.3响应人相关业绩；（格式七）</w:t>
      </w:r>
    </w:p>
    <w:p>
      <w:pPr>
        <w:snapToGrid w:val="0"/>
        <w:spacing w:line="360" w:lineRule="auto"/>
        <w:ind w:firstLine="420" w:firstLineChars="200"/>
        <w:rPr>
          <w:rFonts w:ascii="宋体" w:hAnsi="宋体" w:cs="宋体"/>
        </w:rPr>
      </w:pPr>
      <w:r>
        <w:rPr>
          <w:rFonts w:hint="eastAsia" w:ascii="宋体" w:hAnsi="宋体" w:cs="宋体"/>
        </w:rPr>
        <w:t>3.4响应人拟派项目团队；（格式八）</w:t>
      </w:r>
    </w:p>
    <w:p>
      <w:pPr>
        <w:snapToGrid w:val="0"/>
        <w:spacing w:line="360" w:lineRule="auto"/>
        <w:ind w:firstLine="210" w:firstLineChars="100"/>
        <w:rPr>
          <w:rFonts w:ascii="宋体" w:hAnsi="宋体" w:cs="宋体"/>
        </w:rPr>
      </w:pPr>
      <w:r>
        <w:rPr>
          <w:rFonts w:hint="eastAsia" w:ascii="宋体" w:hAnsi="宋体" w:cs="宋体"/>
        </w:rPr>
        <w:t>▲3.</w:t>
      </w:r>
      <w:r>
        <w:rPr>
          <w:rFonts w:hint="eastAsia" w:ascii="宋体" w:hAnsi="宋体" w:cs="宋体"/>
          <w:lang w:val="en-US" w:eastAsia="zh-CN"/>
        </w:rPr>
        <w:t>5投标产品软件部分清单</w:t>
      </w:r>
      <w:r>
        <w:rPr>
          <w:rFonts w:hint="eastAsia" w:ascii="宋体" w:hAnsi="宋体" w:cs="宋体"/>
        </w:rPr>
        <w:t>；（格式</w:t>
      </w:r>
      <w:r>
        <w:rPr>
          <w:rFonts w:hint="eastAsia" w:ascii="宋体" w:hAnsi="宋体" w:cs="宋体"/>
          <w:lang w:val="en-US" w:eastAsia="zh-CN"/>
        </w:rPr>
        <w:t>九</w:t>
      </w:r>
      <w:r>
        <w:rPr>
          <w:rFonts w:hint="eastAsia" w:ascii="宋体" w:hAnsi="宋体" w:cs="宋体"/>
        </w:rPr>
        <w:t>）</w:t>
      </w:r>
    </w:p>
    <w:p>
      <w:pPr>
        <w:snapToGrid w:val="0"/>
        <w:spacing w:line="360" w:lineRule="auto"/>
        <w:ind w:firstLine="420" w:firstLineChars="200"/>
        <w:rPr>
          <w:rFonts w:hint="default" w:ascii="宋体" w:hAnsi="宋体" w:eastAsia="宋体" w:cs="宋体"/>
          <w:lang w:val="en-US" w:eastAsia="zh-CN"/>
        </w:rPr>
      </w:pPr>
      <w:r>
        <w:rPr>
          <w:rFonts w:hint="eastAsia" w:ascii="宋体" w:hAnsi="宋体" w:cs="宋体"/>
          <w:lang w:val="en-US" w:eastAsia="zh-CN"/>
        </w:rPr>
        <w:t>3.6投标产品技术参数偏离表</w:t>
      </w:r>
    </w:p>
    <w:p>
      <w:pPr>
        <w:snapToGrid w:val="0"/>
        <w:spacing w:line="360" w:lineRule="auto"/>
        <w:ind w:firstLine="420" w:firstLineChars="200"/>
        <w:rPr>
          <w:rFonts w:ascii="宋体" w:hAnsi="宋体" w:cs="宋体"/>
        </w:rPr>
      </w:pPr>
      <w:r>
        <w:rPr>
          <w:rFonts w:hint="eastAsia" w:ascii="宋体" w:hAnsi="宋体" w:cs="宋体"/>
        </w:rPr>
        <w:t>3.</w:t>
      </w:r>
      <w:r>
        <w:rPr>
          <w:rFonts w:hint="eastAsia" w:ascii="宋体" w:hAnsi="宋体" w:cs="宋体"/>
          <w:lang w:val="en-US" w:eastAsia="zh-CN"/>
        </w:rPr>
        <w:t>7</w:t>
      </w:r>
      <w:r>
        <w:rPr>
          <w:rFonts w:hint="eastAsia" w:ascii="宋体" w:hAnsi="宋体" w:cs="宋体"/>
        </w:rPr>
        <w:t>响应人相关认证；</w:t>
      </w:r>
    </w:p>
    <w:p>
      <w:pPr>
        <w:snapToGrid w:val="0"/>
        <w:spacing w:line="360" w:lineRule="auto"/>
        <w:ind w:firstLine="420" w:firstLineChars="200"/>
        <w:rPr>
          <w:rFonts w:ascii="宋体" w:hAnsi="宋体" w:cs="宋体"/>
        </w:rPr>
      </w:pPr>
      <w:r>
        <w:rPr>
          <w:rFonts w:hint="eastAsia" w:ascii="宋体" w:hAnsi="宋体" w:cs="宋体"/>
        </w:rPr>
        <w:t>3.</w:t>
      </w:r>
      <w:r>
        <w:rPr>
          <w:rFonts w:hint="eastAsia" w:ascii="宋体" w:hAnsi="宋体" w:cs="宋体"/>
          <w:lang w:val="en-US" w:eastAsia="zh-CN"/>
        </w:rPr>
        <w:t>8</w:t>
      </w:r>
      <w:r>
        <w:rPr>
          <w:rFonts w:hint="eastAsia" w:ascii="宋体" w:hAnsi="宋体" w:cs="宋体"/>
        </w:rPr>
        <w:t>响应人相关方案；</w:t>
      </w:r>
    </w:p>
    <w:p>
      <w:pPr>
        <w:snapToGrid w:val="0"/>
        <w:spacing w:line="360" w:lineRule="auto"/>
        <w:ind w:firstLine="420" w:firstLineChars="200"/>
        <w:rPr>
          <w:rFonts w:ascii="宋体" w:hAnsi="宋体" w:cs="宋体"/>
        </w:rPr>
      </w:pPr>
      <w:r>
        <w:rPr>
          <w:rFonts w:hint="eastAsia" w:ascii="宋体" w:hAnsi="宋体" w:cs="宋体"/>
        </w:rPr>
        <w:t>3.</w:t>
      </w:r>
      <w:r>
        <w:rPr>
          <w:rFonts w:hint="eastAsia" w:ascii="宋体" w:hAnsi="宋体" w:cs="宋体"/>
          <w:lang w:val="en-US" w:eastAsia="zh-CN"/>
        </w:rPr>
        <w:t>9</w:t>
      </w:r>
      <w:r>
        <w:rPr>
          <w:rFonts w:hint="eastAsia" w:ascii="宋体" w:hAnsi="宋体" w:cs="宋体"/>
        </w:rPr>
        <w:t>按照评分标准依次编制相应的说明、证明材料复印件；</w:t>
      </w:r>
    </w:p>
    <w:p>
      <w:pPr>
        <w:snapToGrid w:val="0"/>
        <w:spacing w:line="360" w:lineRule="auto"/>
        <w:ind w:firstLine="420" w:firstLineChars="200"/>
        <w:rPr>
          <w:rFonts w:ascii="宋体" w:hAnsi="宋体" w:cs="宋体"/>
        </w:rPr>
      </w:pPr>
      <w:r>
        <w:rPr>
          <w:rFonts w:hint="eastAsia" w:ascii="宋体" w:hAnsi="宋体" w:cs="宋体"/>
        </w:rPr>
        <w:t>3.</w:t>
      </w:r>
      <w:r>
        <w:rPr>
          <w:rFonts w:hint="eastAsia" w:ascii="宋体" w:hAnsi="宋体" w:cs="宋体"/>
          <w:lang w:val="en-US" w:eastAsia="zh-CN"/>
        </w:rPr>
        <w:t>10</w:t>
      </w:r>
      <w:r>
        <w:rPr>
          <w:rFonts w:hint="eastAsia" w:ascii="宋体" w:hAnsi="宋体" w:cs="宋体"/>
        </w:rPr>
        <w:t>本</w:t>
      </w:r>
      <w:r>
        <w:rPr>
          <w:rFonts w:hint="eastAsia" w:ascii="宋体" w:hAnsi="宋体" w:cs="宋体"/>
          <w:szCs w:val="21"/>
        </w:rPr>
        <w:t>磋商</w:t>
      </w:r>
      <w:r>
        <w:rPr>
          <w:rFonts w:hint="eastAsia" w:ascii="宋体" w:hAnsi="宋体" w:cs="宋体"/>
        </w:rPr>
        <w:t>文件要求提供的和响应人认为需要提供的其它说明和资料/文件。</w:t>
      </w:r>
    </w:p>
    <w:p>
      <w:pPr>
        <w:snapToGrid w:val="0"/>
        <w:spacing w:line="360" w:lineRule="auto"/>
        <w:ind w:firstLine="422" w:firstLineChars="200"/>
        <w:jc w:val="center"/>
        <w:outlineLvl w:val="1"/>
        <w:rPr>
          <w:rFonts w:ascii="宋体" w:hAnsi="宋体" w:cs="宋体"/>
          <w:b/>
          <w:sz w:val="28"/>
          <w:szCs w:val="28"/>
        </w:rPr>
      </w:pPr>
      <w:r>
        <w:rPr>
          <w:rFonts w:hint="eastAsia" w:ascii="宋体" w:hAnsi="宋体" w:cs="宋体"/>
          <w:b/>
          <w:bCs/>
          <w:szCs w:val="21"/>
        </w:rPr>
        <w:br w:type="page"/>
      </w:r>
      <w:r>
        <w:rPr>
          <w:rFonts w:hint="eastAsia"/>
          <w:b/>
          <w:bCs/>
          <w:sz w:val="24"/>
          <w:szCs w:val="24"/>
        </w:rPr>
        <w:t>投标文件格式</w:t>
      </w:r>
    </w:p>
    <w:p>
      <w:pPr>
        <w:snapToGrid w:val="0"/>
        <w:spacing w:before="50" w:after="50"/>
        <w:outlineLvl w:val="2"/>
        <w:rPr>
          <w:rFonts w:ascii="宋体" w:hAnsi="宋体" w:cs="宋体"/>
          <w:b/>
          <w:spacing w:val="20"/>
          <w:szCs w:val="21"/>
        </w:rPr>
      </w:pPr>
      <w:r>
        <w:rPr>
          <w:rFonts w:hint="eastAsia" w:ascii="宋体" w:hAnsi="宋体" w:cs="宋体"/>
          <w:b/>
          <w:spacing w:val="20"/>
          <w:szCs w:val="21"/>
        </w:rPr>
        <w:t>格式一、开标一览表</w:t>
      </w:r>
    </w:p>
    <w:p>
      <w:pPr>
        <w:snapToGrid w:val="0"/>
        <w:spacing w:before="50" w:after="50"/>
        <w:rPr>
          <w:rFonts w:ascii="宋体" w:hAnsi="宋体" w:cs="宋体"/>
          <w:b/>
          <w:spacing w:val="20"/>
          <w:szCs w:val="21"/>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53"/>
        <w:gridCol w:w="7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9" w:hRule="atLeast"/>
          <w:jc w:val="center"/>
        </w:trPr>
        <w:tc>
          <w:tcPr>
            <w:tcW w:w="2353" w:type="dxa"/>
            <w:vAlign w:val="center"/>
          </w:tcPr>
          <w:p>
            <w:pPr>
              <w:spacing w:before="240" w:after="240"/>
              <w:jc w:val="center"/>
              <w:rPr>
                <w:rFonts w:ascii="宋体" w:hAnsi="宋体" w:cs="宋体"/>
                <w:szCs w:val="21"/>
              </w:rPr>
            </w:pPr>
            <w:r>
              <w:rPr>
                <w:rFonts w:hint="eastAsia" w:ascii="宋体" w:hAnsi="宋体" w:cs="宋体"/>
                <w:szCs w:val="21"/>
              </w:rPr>
              <w:t>项目名称</w:t>
            </w:r>
          </w:p>
        </w:tc>
        <w:tc>
          <w:tcPr>
            <w:tcW w:w="7322" w:type="dxa"/>
            <w:vAlign w:val="center"/>
          </w:tcPr>
          <w:p>
            <w:pPr>
              <w:spacing w:before="240" w:after="240"/>
              <w:jc w:val="center"/>
              <w:rPr>
                <w:rFonts w:hint="eastAsia" w:ascii="宋体" w:hAnsi="宋体" w:eastAsia="宋体" w:cs="宋体"/>
                <w:b/>
                <w:szCs w:val="21"/>
                <w:lang w:eastAsia="zh-CN"/>
              </w:rPr>
            </w:pPr>
            <w:r>
              <w:rPr>
                <w:rFonts w:hint="eastAsia" w:ascii="宋体"/>
                <w:lang w:eastAsia="zh-CN"/>
              </w:rPr>
              <w:t>岱山县化塑产业大脑能力中心组件项目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9" w:hRule="atLeast"/>
          <w:jc w:val="center"/>
        </w:trPr>
        <w:tc>
          <w:tcPr>
            <w:tcW w:w="2353" w:type="dxa"/>
            <w:vAlign w:val="center"/>
          </w:tcPr>
          <w:p>
            <w:pPr>
              <w:spacing w:before="240" w:after="240"/>
              <w:jc w:val="center"/>
              <w:rPr>
                <w:rFonts w:ascii="宋体" w:hAnsi="宋体" w:cs="宋体"/>
                <w:szCs w:val="21"/>
              </w:rPr>
            </w:pPr>
            <w:r>
              <w:rPr>
                <w:rFonts w:hint="eastAsia" w:ascii="宋体" w:hAnsi="宋体" w:cs="宋体"/>
                <w:szCs w:val="21"/>
              </w:rPr>
              <w:t>投标内容</w:t>
            </w:r>
          </w:p>
        </w:tc>
        <w:tc>
          <w:tcPr>
            <w:tcW w:w="7322" w:type="dxa"/>
            <w:vAlign w:val="center"/>
          </w:tcPr>
          <w:p>
            <w:pPr>
              <w:spacing w:before="240" w:after="240"/>
              <w:jc w:val="center"/>
              <w:rPr>
                <w:rFonts w:ascii="宋体" w:hAnsi="宋体" w:cs="宋体"/>
                <w:szCs w:val="21"/>
              </w:rPr>
            </w:pPr>
            <w:r>
              <w:rPr>
                <w:rFonts w:hint="eastAsia" w:ascii="宋体" w:hAnsi="宋体" w:cs="宋体"/>
                <w:szCs w:val="21"/>
                <w:lang w:eastAsia="zh-CN"/>
              </w:rPr>
              <w:t>岱山县规上工业企业数字化改造全覆盖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25" w:hRule="atLeast"/>
          <w:jc w:val="center"/>
        </w:trPr>
        <w:tc>
          <w:tcPr>
            <w:tcW w:w="2353" w:type="dxa"/>
            <w:vAlign w:val="center"/>
          </w:tcPr>
          <w:p>
            <w:pPr>
              <w:spacing w:before="240" w:after="240"/>
              <w:jc w:val="center"/>
              <w:rPr>
                <w:rFonts w:ascii="宋体" w:hAnsi="宋体" w:cs="宋体"/>
                <w:szCs w:val="21"/>
              </w:rPr>
            </w:pPr>
            <w:r>
              <w:rPr>
                <w:rFonts w:hint="eastAsia" w:ascii="宋体" w:hAnsi="宋体" w:cs="宋体"/>
                <w:szCs w:val="21"/>
              </w:rPr>
              <w:t>磋商报价（元）</w:t>
            </w:r>
          </w:p>
        </w:tc>
        <w:tc>
          <w:tcPr>
            <w:tcW w:w="7322" w:type="dxa"/>
            <w:vAlign w:val="center"/>
          </w:tcPr>
          <w:p>
            <w:pPr>
              <w:spacing w:before="240" w:after="240"/>
              <w:jc w:val="center"/>
              <w:rPr>
                <w:rFonts w:ascii="宋体" w:hAnsi="宋体" w:cs="宋体"/>
                <w:szCs w:val="21"/>
              </w:rPr>
            </w:pPr>
            <w:r>
              <w:rPr>
                <w:rFonts w:hint="eastAsia" w:ascii="宋体" w:hAnsi="宋体" w:cs="宋体"/>
                <w:szCs w:val="21"/>
              </w:rPr>
              <w:t>大写：                   小写：</w:t>
            </w:r>
          </w:p>
        </w:tc>
      </w:tr>
    </w:tbl>
    <w:p>
      <w:pPr>
        <w:spacing w:line="360" w:lineRule="auto"/>
        <w:ind w:firstLine="371" w:firstLineChars="177"/>
        <w:rPr>
          <w:rFonts w:ascii="宋体" w:hAnsi="宋体" w:cs="宋体"/>
          <w:szCs w:val="21"/>
        </w:rPr>
      </w:pPr>
    </w:p>
    <w:p>
      <w:pPr>
        <w:spacing w:line="480" w:lineRule="auto"/>
        <w:rPr>
          <w:rFonts w:ascii="宋体" w:hAnsi="宋体" w:cs="宋体"/>
          <w:szCs w:val="21"/>
        </w:rPr>
      </w:pPr>
    </w:p>
    <w:p>
      <w:pPr>
        <w:pStyle w:val="25"/>
      </w:pPr>
    </w:p>
    <w:p>
      <w:pPr>
        <w:spacing w:line="480" w:lineRule="auto"/>
        <w:rPr>
          <w:rFonts w:ascii="宋体" w:hAnsi="宋体" w:cs="宋体"/>
          <w:szCs w:val="21"/>
        </w:rPr>
      </w:pPr>
      <w:r>
        <w:rPr>
          <w:rFonts w:hint="eastAsia" w:ascii="宋体" w:hAnsi="宋体" w:cs="宋体"/>
          <w:szCs w:val="21"/>
        </w:rPr>
        <w:t>响应人名称：</w:t>
      </w:r>
      <w:r>
        <w:rPr>
          <w:rFonts w:hint="eastAsia" w:ascii="宋体" w:hAnsi="宋体" w:cs="宋体"/>
          <w:szCs w:val="21"/>
          <w:u w:val="single"/>
        </w:rPr>
        <w:t xml:space="preserve">                </w:t>
      </w:r>
      <w:r>
        <w:rPr>
          <w:rFonts w:hint="eastAsia" w:ascii="宋体" w:hAnsi="宋体" w:cs="宋体"/>
          <w:szCs w:val="21"/>
        </w:rPr>
        <w:t xml:space="preserve">（加盖公章）  </w:t>
      </w:r>
    </w:p>
    <w:p>
      <w:pPr>
        <w:spacing w:line="480" w:lineRule="auto"/>
        <w:rPr>
          <w:rFonts w:ascii="宋体" w:hAnsi="宋体" w:cs="宋体"/>
          <w:szCs w:val="21"/>
        </w:rPr>
      </w:pPr>
      <w:r>
        <w:rPr>
          <w:rFonts w:hint="eastAsia" w:ascii="宋体" w:hAnsi="宋体" w:cs="宋体"/>
          <w:szCs w:val="21"/>
        </w:rPr>
        <w:t>响应人代表：</w:t>
      </w:r>
      <w:r>
        <w:rPr>
          <w:rFonts w:hint="eastAsia" w:ascii="宋体" w:hAnsi="宋体" w:cs="宋体"/>
          <w:szCs w:val="21"/>
          <w:u w:val="single"/>
        </w:rPr>
        <w:t xml:space="preserve">                </w:t>
      </w:r>
      <w:r>
        <w:rPr>
          <w:rFonts w:hint="eastAsia" w:ascii="宋体" w:hAnsi="宋体" w:cs="宋体"/>
          <w:szCs w:val="21"/>
        </w:rPr>
        <w:t>（签字）</w:t>
      </w:r>
    </w:p>
    <w:p>
      <w:pPr>
        <w:spacing w:line="480" w:lineRule="auto"/>
        <w:rPr>
          <w:rFonts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snapToGrid w:val="0"/>
        <w:spacing w:before="50" w:after="50"/>
        <w:rPr>
          <w:rFonts w:ascii="宋体" w:hAnsi="宋体" w:cs="宋体"/>
          <w:b/>
          <w:spacing w:val="20"/>
          <w:szCs w:val="21"/>
        </w:rPr>
      </w:pPr>
    </w:p>
    <w:p>
      <w:pPr>
        <w:snapToGrid w:val="0"/>
        <w:spacing w:before="50" w:after="50"/>
        <w:rPr>
          <w:rFonts w:ascii="宋体" w:hAnsi="宋体" w:cs="宋体"/>
          <w:b/>
          <w:spacing w:val="20"/>
          <w:szCs w:val="21"/>
        </w:rPr>
      </w:pPr>
    </w:p>
    <w:p>
      <w:pPr>
        <w:spacing w:line="360" w:lineRule="auto"/>
        <w:outlineLvl w:val="2"/>
        <w:rPr>
          <w:rFonts w:ascii="宋体" w:hAnsi="宋体" w:cs="宋体"/>
          <w:szCs w:val="21"/>
        </w:rPr>
      </w:pPr>
      <w:r>
        <w:rPr>
          <w:rFonts w:hint="eastAsia" w:ascii="宋体" w:hAnsi="宋体" w:cs="宋体"/>
          <w:b/>
          <w:sz w:val="24"/>
          <w:szCs w:val="24"/>
        </w:rPr>
        <w:br w:type="page"/>
      </w:r>
      <w:r>
        <w:rPr>
          <w:rFonts w:hint="eastAsia" w:ascii="宋体" w:hAnsi="宋体" w:cs="宋体"/>
          <w:b/>
          <w:szCs w:val="21"/>
        </w:rPr>
        <w:t>格式二、报价明细表</w:t>
      </w:r>
    </w:p>
    <w:tbl>
      <w:tblPr>
        <w:tblStyle w:val="26"/>
        <w:tblW w:w="971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16"/>
        <w:gridCol w:w="2484"/>
        <w:gridCol w:w="1348"/>
        <w:gridCol w:w="1631"/>
        <w:gridCol w:w="1631"/>
        <w:gridCol w:w="130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trPr>
        <w:tc>
          <w:tcPr>
            <w:tcW w:w="1316" w:type="dxa"/>
            <w:tcBorders>
              <w:top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line="280" w:lineRule="exact"/>
              <w:ind w:left="0" w:right="0"/>
              <w:jc w:val="left"/>
              <w:rPr>
                <w:rFonts w:hint="default" w:ascii="宋体"/>
                <w:b/>
                <w:szCs w:val="20"/>
              </w:rPr>
            </w:pPr>
            <w:r>
              <w:rPr>
                <w:rFonts w:hint="eastAsia" w:ascii="宋体" w:hAnsi="宋体"/>
                <w:b/>
                <w:szCs w:val="20"/>
              </w:rPr>
              <w:t>序号</w:t>
            </w:r>
          </w:p>
        </w:tc>
        <w:tc>
          <w:tcPr>
            <w:tcW w:w="24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line="280" w:lineRule="exact"/>
              <w:ind w:left="0" w:right="0"/>
              <w:jc w:val="left"/>
              <w:rPr>
                <w:rFonts w:hint="default" w:ascii="宋体"/>
                <w:b/>
                <w:szCs w:val="20"/>
              </w:rPr>
            </w:pPr>
            <w:r>
              <w:rPr>
                <w:rFonts w:hint="eastAsia" w:ascii="宋体" w:hAnsi="宋体"/>
                <w:b/>
                <w:szCs w:val="20"/>
              </w:rPr>
              <w:t>名称</w:t>
            </w:r>
          </w:p>
        </w:tc>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line="280" w:lineRule="exact"/>
              <w:ind w:left="0" w:right="0"/>
              <w:jc w:val="left"/>
              <w:rPr>
                <w:rFonts w:hint="default" w:ascii="宋体" w:hAnsi="宋体"/>
                <w:b/>
                <w:szCs w:val="20"/>
              </w:rPr>
            </w:pPr>
            <w:r>
              <w:rPr>
                <w:rFonts w:hint="eastAsia" w:ascii="宋体" w:hAnsi="宋体"/>
                <w:b/>
                <w:szCs w:val="20"/>
              </w:rPr>
              <w:t>数量</w:t>
            </w:r>
          </w:p>
        </w:tc>
        <w:tc>
          <w:tcPr>
            <w:tcW w:w="16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line="280" w:lineRule="exact"/>
              <w:ind w:left="0" w:right="0"/>
              <w:jc w:val="left"/>
              <w:rPr>
                <w:rFonts w:hint="default" w:ascii="宋体"/>
                <w:b/>
                <w:szCs w:val="20"/>
              </w:rPr>
            </w:pPr>
            <w:r>
              <w:rPr>
                <w:rFonts w:hint="eastAsia" w:ascii="宋体" w:hAnsi="宋体"/>
                <w:b/>
                <w:szCs w:val="20"/>
              </w:rPr>
              <w:t>单价</w:t>
            </w:r>
          </w:p>
        </w:tc>
        <w:tc>
          <w:tcPr>
            <w:tcW w:w="16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line="280" w:lineRule="exact"/>
              <w:ind w:left="0" w:right="0"/>
              <w:jc w:val="left"/>
              <w:rPr>
                <w:rFonts w:hint="default" w:ascii="宋体"/>
                <w:b/>
                <w:szCs w:val="20"/>
              </w:rPr>
            </w:pPr>
            <w:r>
              <w:rPr>
                <w:rFonts w:hint="eastAsia" w:ascii="宋体" w:hAnsi="宋体"/>
                <w:b/>
                <w:szCs w:val="20"/>
              </w:rPr>
              <w:t>合价</w:t>
            </w:r>
          </w:p>
        </w:tc>
        <w:tc>
          <w:tcPr>
            <w:tcW w:w="1308" w:type="dxa"/>
            <w:tcBorders>
              <w:top w:val="single" w:color="auto" w:sz="4" w:space="0"/>
              <w:left w:val="single" w:color="auto" w:sz="4" w:space="0"/>
              <w:bottom w:val="single" w:color="auto" w:sz="4" w:space="0"/>
            </w:tcBorders>
            <w:noWrap w:val="0"/>
            <w:vAlign w:val="center"/>
          </w:tcPr>
          <w:p>
            <w:pPr>
              <w:keepNext w:val="0"/>
              <w:keepLines w:val="0"/>
              <w:suppressLineNumbers w:val="0"/>
              <w:autoSpaceDE w:val="0"/>
              <w:autoSpaceDN w:val="0"/>
              <w:spacing w:before="0" w:beforeAutospacing="0" w:after="0" w:afterAutospacing="0" w:line="280" w:lineRule="exact"/>
              <w:ind w:left="0" w:right="0"/>
              <w:jc w:val="left"/>
              <w:rPr>
                <w:rFonts w:hint="default" w:ascii="宋体"/>
                <w:b/>
                <w:szCs w:val="20"/>
              </w:rPr>
            </w:pPr>
            <w:r>
              <w:rPr>
                <w:rFonts w:hint="eastAsia" w:ascii="宋体" w:hAnsi="宋体"/>
                <w:b/>
                <w:szCs w:val="20"/>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trPr>
        <w:tc>
          <w:tcPr>
            <w:tcW w:w="131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Cs/>
                <w:szCs w:val="20"/>
              </w:rPr>
            </w:pPr>
          </w:p>
        </w:tc>
        <w:tc>
          <w:tcPr>
            <w:tcW w:w="2484" w:type="dxa"/>
            <w:tcBorders>
              <w:top w:val="single" w:color="auto" w:sz="4" w:space="0"/>
              <w:left w:val="single" w:color="auto" w:sz="4" w:space="0"/>
              <w:bottom w:val="single" w:color="auto" w:sz="4" w:space="0"/>
              <w:right w:val="single" w:color="auto" w:sz="4" w:space="0"/>
            </w:tcBorders>
            <w:noWrap w:val="0"/>
            <w:vAlign w:val="center"/>
          </w:tcPr>
          <w:p>
            <w:pPr>
              <w:pStyle w:val="113"/>
              <w:keepNext w:val="0"/>
              <w:keepLines w:val="0"/>
              <w:suppressLineNumbers w:val="0"/>
              <w:tabs>
                <w:tab w:val="left" w:pos="1418"/>
              </w:tabs>
              <w:snapToGrid w:val="0"/>
              <w:spacing w:before="50" w:beforeAutospacing="0" w:after="50" w:afterAutospacing="0" w:line="192" w:lineRule="auto"/>
              <w:ind w:left="0" w:right="0"/>
              <w:jc w:val="left"/>
              <w:rPr>
                <w:rFonts w:hint="default" w:ascii="宋体" w:cs="黑体"/>
                <w:spacing w:val="20"/>
                <w:sz w:val="21"/>
                <w:szCs w:val="21"/>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pPr>
              <w:pStyle w:val="113"/>
              <w:keepNext w:val="0"/>
              <w:keepLines w:val="0"/>
              <w:suppressLineNumbers w:val="0"/>
              <w:tabs>
                <w:tab w:val="left" w:pos="1418"/>
              </w:tabs>
              <w:snapToGrid w:val="0"/>
              <w:spacing w:before="50" w:beforeAutospacing="0" w:after="50" w:afterAutospacing="0" w:line="192" w:lineRule="auto"/>
              <w:ind w:left="0" w:right="0"/>
              <w:jc w:val="left"/>
              <w:rPr>
                <w:rFonts w:hint="default" w:ascii="宋体" w:cs="黑体"/>
                <w:spacing w:val="20"/>
                <w:sz w:val="21"/>
                <w:szCs w:val="21"/>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
                <w:bCs/>
                <w:szCs w:val="20"/>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
                <w:bCs/>
                <w:szCs w:val="20"/>
              </w:rPr>
            </w:pPr>
          </w:p>
        </w:tc>
        <w:tc>
          <w:tcPr>
            <w:tcW w:w="1308"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
                <w:bCs/>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trPr>
        <w:tc>
          <w:tcPr>
            <w:tcW w:w="131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Cs/>
                <w:szCs w:val="20"/>
              </w:rPr>
            </w:pPr>
          </w:p>
        </w:tc>
        <w:tc>
          <w:tcPr>
            <w:tcW w:w="2484" w:type="dxa"/>
            <w:tcBorders>
              <w:top w:val="single" w:color="auto" w:sz="4" w:space="0"/>
              <w:left w:val="single" w:color="auto" w:sz="4" w:space="0"/>
              <w:bottom w:val="single" w:color="auto" w:sz="4" w:space="0"/>
              <w:right w:val="single" w:color="auto" w:sz="4" w:space="0"/>
            </w:tcBorders>
            <w:noWrap w:val="0"/>
            <w:vAlign w:val="center"/>
          </w:tcPr>
          <w:p>
            <w:pPr>
              <w:pStyle w:val="113"/>
              <w:keepNext w:val="0"/>
              <w:keepLines w:val="0"/>
              <w:suppressLineNumbers w:val="0"/>
              <w:tabs>
                <w:tab w:val="left" w:pos="1418"/>
              </w:tabs>
              <w:snapToGrid w:val="0"/>
              <w:spacing w:before="50" w:beforeAutospacing="0" w:after="50" w:afterAutospacing="0" w:line="192" w:lineRule="auto"/>
              <w:ind w:left="0" w:right="0"/>
              <w:jc w:val="left"/>
              <w:rPr>
                <w:rFonts w:hint="default" w:ascii="宋体" w:cs="黑体"/>
                <w:spacing w:val="20"/>
                <w:sz w:val="21"/>
                <w:szCs w:val="21"/>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pPr>
              <w:pStyle w:val="113"/>
              <w:keepNext w:val="0"/>
              <w:keepLines w:val="0"/>
              <w:suppressLineNumbers w:val="0"/>
              <w:tabs>
                <w:tab w:val="left" w:pos="1418"/>
              </w:tabs>
              <w:snapToGrid w:val="0"/>
              <w:spacing w:before="50" w:beforeAutospacing="0" w:after="50" w:afterAutospacing="0" w:line="192" w:lineRule="auto"/>
              <w:ind w:left="0" w:right="0"/>
              <w:jc w:val="left"/>
              <w:rPr>
                <w:rFonts w:hint="default" w:ascii="宋体" w:cs="黑体"/>
                <w:spacing w:val="20"/>
                <w:sz w:val="21"/>
                <w:szCs w:val="21"/>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
                <w:bCs/>
                <w:szCs w:val="20"/>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
                <w:bCs/>
                <w:szCs w:val="20"/>
              </w:rPr>
            </w:pPr>
          </w:p>
        </w:tc>
        <w:tc>
          <w:tcPr>
            <w:tcW w:w="1308"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
                <w:bCs/>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trPr>
        <w:tc>
          <w:tcPr>
            <w:tcW w:w="131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Cs/>
                <w:szCs w:val="20"/>
              </w:rPr>
            </w:pPr>
          </w:p>
        </w:tc>
        <w:tc>
          <w:tcPr>
            <w:tcW w:w="24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418"/>
              </w:tabs>
              <w:snapToGrid w:val="0"/>
              <w:spacing w:before="50" w:beforeAutospacing="0" w:after="50" w:afterAutospacing="0" w:line="192" w:lineRule="auto"/>
              <w:ind w:left="0" w:right="0"/>
              <w:jc w:val="left"/>
              <w:rPr>
                <w:rFonts w:hint="default" w:ascii="宋体"/>
                <w:spacing w:val="20"/>
                <w:szCs w:val="20"/>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418"/>
              </w:tabs>
              <w:snapToGrid w:val="0"/>
              <w:spacing w:before="50" w:beforeAutospacing="0" w:after="50" w:afterAutospacing="0" w:line="192" w:lineRule="auto"/>
              <w:ind w:left="0" w:right="0"/>
              <w:jc w:val="left"/>
              <w:rPr>
                <w:rFonts w:hint="default" w:ascii="宋体"/>
                <w:spacing w:val="20"/>
                <w:szCs w:val="20"/>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
                <w:bCs/>
                <w:szCs w:val="20"/>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
                <w:bCs/>
                <w:szCs w:val="20"/>
              </w:rPr>
            </w:pPr>
          </w:p>
        </w:tc>
        <w:tc>
          <w:tcPr>
            <w:tcW w:w="1308"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
                <w:bCs/>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trPr>
        <w:tc>
          <w:tcPr>
            <w:tcW w:w="131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Cs/>
                <w:szCs w:val="20"/>
              </w:rPr>
            </w:pPr>
          </w:p>
        </w:tc>
        <w:tc>
          <w:tcPr>
            <w:tcW w:w="24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418"/>
              </w:tabs>
              <w:snapToGrid w:val="0"/>
              <w:spacing w:before="50" w:beforeAutospacing="0" w:after="50" w:afterAutospacing="0" w:line="192" w:lineRule="auto"/>
              <w:ind w:left="0" w:right="0"/>
              <w:jc w:val="left"/>
              <w:rPr>
                <w:rFonts w:hint="default" w:ascii="宋体"/>
                <w:spacing w:val="20"/>
                <w:szCs w:val="20"/>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418"/>
              </w:tabs>
              <w:snapToGrid w:val="0"/>
              <w:spacing w:before="50" w:beforeAutospacing="0" w:after="50" w:afterAutospacing="0" w:line="192" w:lineRule="auto"/>
              <w:ind w:left="0" w:right="0"/>
              <w:jc w:val="left"/>
              <w:rPr>
                <w:rFonts w:hint="default" w:ascii="宋体"/>
                <w:spacing w:val="20"/>
                <w:szCs w:val="20"/>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
                <w:bCs/>
                <w:szCs w:val="20"/>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
                <w:bCs/>
                <w:szCs w:val="20"/>
              </w:rPr>
            </w:pPr>
          </w:p>
        </w:tc>
        <w:tc>
          <w:tcPr>
            <w:tcW w:w="1308"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
                <w:bCs/>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trPr>
        <w:tc>
          <w:tcPr>
            <w:tcW w:w="131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Cs/>
                <w:szCs w:val="20"/>
              </w:rPr>
            </w:pPr>
          </w:p>
        </w:tc>
        <w:tc>
          <w:tcPr>
            <w:tcW w:w="24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418"/>
              </w:tabs>
              <w:snapToGrid w:val="0"/>
              <w:spacing w:before="50" w:beforeAutospacing="0" w:after="50" w:afterAutospacing="0" w:line="192" w:lineRule="auto"/>
              <w:ind w:left="0" w:right="0"/>
              <w:jc w:val="left"/>
              <w:rPr>
                <w:rFonts w:hint="default" w:ascii="宋体"/>
                <w:spacing w:val="20"/>
                <w:szCs w:val="20"/>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418"/>
              </w:tabs>
              <w:snapToGrid w:val="0"/>
              <w:spacing w:before="50" w:beforeAutospacing="0" w:after="50" w:afterAutospacing="0" w:line="192" w:lineRule="auto"/>
              <w:ind w:left="0" w:right="0"/>
              <w:jc w:val="left"/>
              <w:rPr>
                <w:rFonts w:hint="default" w:ascii="宋体"/>
                <w:spacing w:val="20"/>
                <w:szCs w:val="20"/>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
                <w:bCs/>
                <w:szCs w:val="20"/>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
                <w:bCs/>
                <w:szCs w:val="20"/>
              </w:rPr>
            </w:pPr>
          </w:p>
        </w:tc>
        <w:tc>
          <w:tcPr>
            <w:tcW w:w="1308"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
                <w:bCs/>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trPr>
        <w:tc>
          <w:tcPr>
            <w:tcW w:w="131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Cs/>
                <w:szCs w:val="20"/>
              </w:rPr>
            </w:pPr>
          </w:p>
        </w:tc>
        <w:tc>
          <w:tcPr>
            <w:tcW w:w="24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418"/>
              </w:tabs>
              <w:snapToGrid w:val="0"/>
              <w:spacing w:before="50" w:beforeAutospacing="0" w:after="50" w:afterAutospacing="0" w:line="192" w:lineRule="auto"/>
              <w:ind w:left="0" w:right="0"/>
              <w:jc w:val="left"/>
              <w:rPr>
                <w:rFonts w:hint="default" w:ascii="宋体"/>
                <w:spacing w:val="20"/>
                <w:szCs w:val="20"/>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418"/>
              </w:tabs>
              <w:snapToGrid w:val="0"/>
              <w:spacing w:before="50" w:beforeAutospacing="0" w:after="50" w:afterAutospacing="0" w:line="192" w:lineRule="auto"/>
              <w:ind w:left="0" w:right="0"/>
              <w:jc w:val="left"/>
              <w:rPr>
                <w:rFonts w:hint="default" w:ascii="宋体"/>
                <w:spacing w:val="20"/>
                <w:szCs w:val="20"/>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
                <w:bCs/>
                <w:szCs w:val="20"/>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
                <w:bCs/>
                <w:szCs w:val="20"/>
              </w:rPr>
            </w:pPr>
          </w:p>
        </w:tc>
        <w:tc>
          <w:tcPr>
            <w:tcW w:w="1308"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
                <w:bCs/>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trPr>
        <w:tc>
          <w:tcPr>
            <w:tcW w:w="131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Cs/>
                <w:szCs w:val="20"/>
              </w:rPr>
            </w:pPr>
          </w:p>
        </w:tc>
        <w:tc>
          <w:tcPr>
            <w:tcW w:w="24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left"/>
              <w:textAlignment w:val="center"/>
              <w:rPr>
                <w:rFonts w:hint="default" w:ascii="宋体"/>
                <w:spacing w:val="20"/>
                <w:szCs w:val="20"/>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left"/>
              <w:textAlignment w:val="center"/>
              <w:rPr>
                <w:rFonts w:hint="default" w:ascii="宋体"/>
                <w:spacing w:val="20"/>
                <w:szCs w:val="20"/>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left"/>
              <w:textAlignment w:val="center"/>
              <w:rPr>
                <w:rFonts w:hint="default" w:ascii="宋体"/>
                <w:b/>
                <w:bCs/>
                <w:szCs w:val="20"/>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left"/>
              <w:textAlignment w:val="center"/>
              <w:rPr>
                <w:rFonts w:hint="default" w:ascii="宋体"/>
                <w:b/>
                <w:bCs/>
                <w:szCs w:val="20"/>
              </w:rPr>
            </w:pPr>
          </w:p>
        </w:tc>
        <w:tc>
          <w:tcPr>
            <w:tcW w:w="1308"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
                <w:bCs/>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trPr>
        <w:tc>
          <w:tcPr>
            <w:tcW w:w="131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Cs/>
                <w:szCs w:val="20"/>
              </w:rPr>
            </w:pPr>
          </w:p>
        </w:tc>
        <w:tc>
          <w:tcPr>
            <w:tcW w:w="24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418"/>
              </w:tabs>
              <w:snapToGrid w:val="0"/>
              <w:spacing w:before="50" w:beforeAutospacing="0" w:after="50" w:afterAutospacing="0" w:line="192" w:lineRule="auto"/>
              <w:ind w:left="0" w:right="0"/>
              <w:jc w:val="left"/>
              <w:rPr>
                <w:rFonts w:hint="default" w:ascii="宋体"/>
                <w:spacing w:val="20"/>
                <w:szCs w:val="20"/>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418"/>
              </w:tabs>
              <w:snapToGrid w:val="0"/>
              <w:spacing w:before="50" w:beforeAutospacing="0" w:after="50" w:afterAutospacing="0" w:line="192" w:lineRule="auto"/>
              <w:ind w:left="0" w:right="0"/>
              <w:jc w:val="left"/>
              <w:rPr>
                <w:rFonts w:hint="default" w:ascii="宋体"/>
                <w:spacing w:val="20"/>
                <w:szCs w:val="20"/>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
                <w:bCs/>
                <w:szCs w:val="20"/>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
                <w:bCs/>
                <w:szCs w:val="20"/>
              </w:rPr>
            </w:pPr>
          </w:p>
        </w:tc>
        <w:tc>
          <w:tcPr>
            <w:tcW w:w="1308"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
                <w:bCs/>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8" w:hRule="atLeast"/>
        </w:trPr>
        <w:tc>
          <w:tcPr>
            <w:tcW w:w="131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left"/>
              <w:rPr>
                <w:rFonts w:hint="default" w:ascii="宋体"/>
                <w:bCs/>
                <w:szCs w:val="20"/>
              </w:rPr>
            </w:pPr>
            <w:r>
              <w:rPr>
                <w:rFonts w:hint="eastAsia" w:ascii="宋体" w:hAnsi="宋体"/>
                <w:bCs/>
                <w:szCs w:val="20"/>
              </w:rPr>
              <w:t>投标总价</w:t>
            </w:r>
          </w:p>
        </w:tc>
        <w:tc>
          <w:tcPr>
            <w:tcW w:w="8402" w:type="dxa"/>
            <w:gridSpan w:val="5"/>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360" w:lineRule="auto"/>
              <w:ind w:left="0" w:right="0"/>
              <w:jc w:val="left"/>
              <w:rPr>
                <w:rFonts w:hint="default" w:ascii="宋体"/>
                <w:bCs/>
                <w:szCs w:val="20"/>
              </w:rPr>
            </w:pPr>
            <w:r>
              <w:rPr>
                <w:rFonts w:hint="eastAsia" w:ascii="宋体" w:hAnsi="宋体"/>
                <w:bCs/>
                <w:szCs w:val="20"/>
              </w:rPr>
              <w:t>（小写）人民币元</w:t>
            </w:r>
          </w:p>
          <w:p>
            <w:pPr>
              <w:keepNext w:val="0"/>
              <w:keepLines w:val="0"/>
              <w:suppressLineNumbers w:val="0"/>
              <w:spacing w:before="0" w:beforeAutospacing="0" w:after="0" w:afterAutospacing="0" w:line="280" w:lineRule="exact"/>
              <w:ind w:left="0" w:right="0"/>
              <w:jc w:val="left"/>
              <w:rPr>
                <w:rFonts w:hint="default" w:ascii="宋体"/>
                <w:bCs/>
                <w:szCs w:val="20"/>
              </w:rPr>
            </w:pPr>
            <w:r>
              <w:rPr>
                <w:rFonts w:hint="eastAsia" w:ascii="宋体" w:hAnsi="宋体"/>
                <w:bCs/>
                <w:szCs w:val="20"/>
              </w:rPr>
              <w:t>（大写）人民币元</w:t>
            </w:r>
          </w:p>
        </w:tc>
      </w:tr>
    </w:tbl>
    <w:p>
      <w:pPr>
        <w:spacing w:line="360" w:lineRule="auto"/>
        <w:rPr>
          <w:rFonts w:ascii="宋体" w:hAnsi="宋体" w:cs="宋体"/>
          <w:spacing w:val="20"/>
          <w:szCs w:val="21"/>
        </w:rPr>
      </w:pPr>
      <w:r>
        <w:rPr>
          <w:rFonts w:hint="eastAsia" w:ascii="宋体" w:hAnsi="宋体" w:cs="宋体"/>
          <w:szCs w:val="21"/>
        </w:rPr>
        <w:t>注：合计价格须与开标一览表投标报价一致。</w:t>
      </w:r>
    </w:p>
    <w:p>
      <w:pPr>
        <w:spacing w:line="360" w:lineRule="auto"/>
        <w:rPr>
          <w:rFonts w:ascii="宋体" w:hAnsi="宋体" w:cs="宋体"/>
          <w:szCs w:val="21"/>
        </w:rPr>
      </w:pPr>
    </w:p>
    <w:p>
      <w:pPr>
        <w:spacing w:line="360" w:lineRule="auto"/>
        <w:rPr>
          <w:rFonts w:ascii="宋体" w:hAnsi="宋体" w:cs="宋体"/>
          <w:szCs w:val="21"/>
        </w:rPr>
      </w:pPr>
    </w:p>
    <w:p>
      <w:pPr>
        <w:spacing w:line="480" w:lineRule="auto"/>
        <w:rPr>
          <w:rFonts w:ascii="宋体" w:hAnsi="宋体" w:cs="宋体"/>
          <w:szCs w:val="21"/>
          <w:u w:val="single"/>
        </w:rPr>
      </w:pPr>
      <w:r>
        <w:rPr>
          <w:rFonts w:hint="eastAsia" w:ascii="宋体" w:hAnsi="宋体" w:cs="宋体"/>
          <w:szCs w:val="21"/>
        </w:rPr>
        <w:t>响应人名称：</w:t>
      </w:r>
      <w:r>
        <w:rPr>
          <w:rFonts w:hint="eastAsia" w:ascii="宋体" w:hAnsi="宋体" w:cs="宋体"/>
          <w:b/>
          <w:spacing w:val="20"/>
          <w:szCs w:val="21"/>
          <w:u w:val="single"/>
        </w:rPr>
        <w:t xml:space="preserve">                </w:t>
      </w:r>
      <w:r>
        <w:rPr>
          <w:rFonts w:hint="eastAsia" w:ascii="宋体" w:hAnsi="宋体" w:cs="宋体"/>
          <w:szCs w:val="21"/>
        </w:rPr>
        <w:t xml:space="preserve">（加盖公章） </w:t>
      </w:r>
    </w:p>
    <w:p>
      <w:pPr>
        <w:spacing w:line="480" w:lineRule="auto"/>
        <w:rPr>
          <w:rFonts w:ascii="宋体" w:hAnsi="宋体" w:cs="宋体"/>
          <w:szCs w:val="21"/>
        </w:rPr>
      </w:pPr>
      <w:r>
        <w:rPr>
          <w:rFonts w:hint="eastAsia" w:ascii="宋体" w:hAnsi="宋体" w:cs="宋体"/>
          <w:szCs w:val="21"/>
        </w:rPr>
        <w:t>响应</w:t>
      </w:r>
      <w:r>
        <w:rPr>
          <w:rFonts w:hint="eastAsia" w:ascii="宋体" w:hAnsi="宋体" w:cs="宋体"/>
          <w:spacing w:val="-4"/>
          <w:szCs w:val="21"/>
        </w:rPr>
        <w:t>人代表</w:t>
      </w:r>
      <w:r>
        <w:rPr>
          <w:rFonts w:hint="eastAsia" w:ascii="宋体" w:hAnsi="宋体" w:cs="宋体"/>
          <w:szCs w:val="21"/>
        </w:rPr>
        <w:t>：</w:t>
      </w:r>
      <w:r>
        <w:rPr>
          <w:rFonts w:hint="eastAsia" w:ascii="宋体" w:hAnsi="宋体" w:cs="宋体"/>
          <w:b/>
          <w:spacing w:val="20"/>
          <w:szCs w:val="21"/>
          <w:u w:val="single"/>
        </w:rPr>
        <w:t xml:space="preserve">                </w:t>
      </w:r>
      <w:r>
        <w:rPr>
          <w:rFonts w:hint="eastAsia" w:ascii="宋体" w:hAnsi="宋体" w:cs="宋体"/>
          <w:szCs w:val="21"/>
        </w:rPr>
        <w:t>（签字）</w:t>
      </w:r>
    </w:p>
    <w:p>
      <w:pPr>
        <w:spacing w:line="480" w:lineRule="auto"/>
        <w:rPr>
          <w:rFonts w:ascii="宋体" w:hAnsi="宋体" w:cs="宋体"/>
          <w:spacing w:val="20"/>
          <w:szCs w:val="21"/>
        </w:rPr>
      </w:pPr>
      <w:r>
        <w:rPr>
          <w:rFonts w:hint="eastAsia" w:ascii="宋体" w:hAnsi="宋体" w:cs="宋体"/>
          <w:spacing w:val="20"/>
          <w:szCs w:val="21"/>
        </w:rPr>
        <w:t>日期：</w:t>
      </w:r>
      <w:r>
        <w:rPr>
          <w:rFonts w:hint="eastAsia" w:ascii="宋体" w:hAnsi="宋体" w:cs="宋体"/>
          <w:spacing w:val="20"/>
          <w:szCs w:val="21"/>
          <w:u w:val="single"/>
        </w:rPr>
        <w:t xml:space="preserve">    </w:t>
      </w:r>
      <w:r>
        <w:rPr>
          <w:rFonts w:hint="eastAsia" w:ascii="宋体" w:hAnsi="宋体" w:cs="宋体"/>
          <w:spacing w:val="20"/>
          <w:szCs w:val="21"/>
        </w:rPr>
        <w:t>年</w:t>
      </w:r>
      <w:r>
        <w:rPr>
          <w:rFonts w:hint="eastAsia" w:ascii="宋体" w:hAnsi="宋体" w:cs="宋体"/>
          <w:spacing w:val="20"/>
          <w:szCs w:val="21"/>
          <w:u w:val="single"/>
        </w:rPr>
        <w:t xml:space="preserve">   </w:t>
      </w:r>
      <w:r>
        <w:rPr>
          <w:rFonts w:hint="eastAsia" w:ascii="宋体" w:hAnsi="宋体" w:cs="宋体"/>
          <w:spacing w:val="20"/>
          <w:szCs w:val="21"/>
        </w:rPr>
        <w:t>月</w:t>
      </w:r>
      <w:r>
        <w:rPr>
          <w:rFonts w:hint="eastAsia" w:ascii="宋体" w:hAnsi="宋体" w:cs="宋体"/>
          <w:spacing w:val="20"/>
          <w:szCs w:val="21"/>
          <w:u w:val="single"/>
        </w:rPr>
        <w:t xml:space="preserve">   </w:t>
      </w:r>
      <w:r>
        <w:rPr>
          <w:rFonts w:hint="eastAsia" w:ascii="宋体" w:hAnsi="宋体" w:cs="宋体"/>
          <w:spacing w:val="20"/>
          <w:szCs w:val="21"/>
        </w:rPr>
        <w:t>日</w:t>
      </w:r>
    </w:p>
    <w:p>
      <w:pPr>
        <w:snapToGrid w:val="0"/>
        <w:spacing w:before="50" w:after="156" w:afterLines="50"/>
        <w:jc w:val="left"/>
        <w:outlineLvl w:val="2"/>
        <w:rPr>
          <w:rFonts w:ascii="宋体" w:hAnsi="宋体" w:cs="宋体"/>
          <w:b/>
          <w:szCs w:val="21"/>
        </w:rPr>
      </w:pPr>
      <w:r>
        <w:rPr>
          <w:rFonts w:hint="eastAsia" w:ascii="宋体" w:hAnsi="宋体" w:cs="宋体"/>
          <w:b/>
          <w:szCs w:val="21"/>
        </w:rPr>
        <w:br w:type="page"/>
      </w:r>
      <w:r>
        <w:rPr>
          <w:rFonts w:hint="eastAsia" w:ascii="宋体" w:hAnsi="宋体" w:cs="宋体"/>
          <w:b/>
          <w:szCs w:val="21"/>
        </w:rPr>
        <w:t>格式三、享受中小企业优惠政策相关证明文件</w:t>
      </w:r>
    </w:p>
    <w:p>
      <w:pPr>
        <w:widowControl/>
        <w:jc w:val="center"/>
        <w:rPr>
          <w:rFonts w:ascii="宋体" w:hAnsi="宋体" w:cs="宋体"/>
          <w:b/>
          <w:color w:val="000000"/>
          <w:kern w:val="0"/>
          <w:szCs w:val="21"/>
          <w:lang w:bidi="ar"/>
        </w:rPr>
      </w:pPr>
    </w:p>
    <w:p>
      <w:pPr>
        <w:pStyle w:val="9"/>
        <w:autoSpaceDE w:val="0"/>
        <w:autoSpaceDN w:val="0"/>
        <w:adjustRightInd w:val="0"/>
        <w:spacing w:line="360" w:lineRule="auto"/>
        <w:jc w:val="left"/>
        <w:rPr>
          <w:rFonts w:ascii="宋体"/>
        </w:rPr>
      </w:pPr>
      <w:r>
        <w:rPr>
          <w:rFonts w:hint="eastAsia" w:ascii="宋体" w:hAnsi="宋体"/>
          <w:b/>
          <w:bCs/>
        </w:rPr>
        <w:t>1.中小企业声明函</w:t>
      </w:r>
    </w:p>
    <w:p>
      <w:pPr>
        <w:widowControl/>
        <w:spacing w:line="360" w:lineRule="auto"/>
        <w:jc w:val="both"/>
        <w:rPr>
          <w:rFonts w:hint="eastAsia" w:ascii="宋体" w:hAnsi="宋体" w:cs="宋体"/>
          <w:b/>
          <w:color w:val="auto"/>
          <w:kern w:val="0"/>
          <w:szCs w:val="21"/>
          <w:highlight w:val="none"/>
          <w:lang w:bidi="ar"/>
        </w:rPr>
      </w:pPr>
    </w:p>
    <w:p>
      <w:pPr>
        <w:snapToGrid w:val="0"/>
        <w:spacing w:line="360" w:lineRule="auto"/>
        <w:jc w:val="center"/>
        <w:rPr>
          <w:rFonts w:ascii="宋体" w:hAnsi="宋体" w:cs="宋体"/>
        </w:rPr>
      </w:pPr>
      <w:r>
        <w:rPr>
          <w:rFonts w:hint="eastAsia" w:ascii="宋体" w:hAnsi="宋体" w:cs="宋体"/>
          <w:b/>
          <w:sz w:val="28"/>
          <w:szCs w:val="28"/>
        </w:rPr>
        <w:t>中小企业声明函（工程、服务）</w:t>
      </w:r>
    </w:p>
    <w:p>
      <w:pPr>
        <w:snapToGrid w:val="0"/>
        <w:spacing w:line="360" w:lineRule="auto"/>
        <w:ind w:firstLine="420" w:firstLineChars="200"/>
        <w:jc w:val="left"/>
        <w:rPr>
          <w:rFonts w:ascii="宋体" w:hAnsi="宋体" w:cs="宋体"/>
        </w:rPr>
      </w:pPr>
      <w:r>
        <w:rPr>
          <w:rFonts w:hint="eastAsia" w:ascii="宋体" w:hAnsi="宋体" w:cs="宋体"/>
        </w:rPr>
        <w:t>本公司（联合体）郑重声明，根据《政府采购促进中小企业发展管理办法》（财库﹝2020﹞46 号）的规定，本公司（联合体）参加</w:t>
      </w:r>
      <w:r>
        <w:rPr>
          <w:rFonts w:hint="eastAsia" w:ascii="宋体" w:hAnsi="宋体" w:cs="宋体"/>
          <w:u w:val="single"/>
        </w:rPr>
        <w:t xml:space="preserve">            </w:t>
      </w:r>
      <w:r>
        <w:rPr>
          <w:rFonts w:hint="eastAsia" w:ascii="宋体" w:hAnsi="宋体" w:cs="宋体"/>
        </w:rPr>
        <w:t xml:space="preserve">（单位名称）的 </w:t>
      </w:r>
      <w:r>
        <w:rPr>
          <w:rFonts w:hint="eastAsia" w:ascii="宋体" w:hAnsi="宋体" w:cs="宋体"/>
          <w:u w:val="single"/>
        </w:rPr>
        <w:t xml:space="preserve">       （项目名称）</w:t>
      </w:r>
      <w:r>
        <w:rPr>
          <w:rFonts w:hint="eastAsia" w:ascii="宋体" w:hAnsi="宋体" w:cs="宋体"/>
        </w:rPr>
        <w:t xml:space="preserve"> 采购活动，工程的施工单位全部为符合政策要求的中小企业（或者：服务全部由符合政策要求的中小企业承接）。相关企业（含联合体中的中小企业、签订分包意向协议的中小企业）的具体情况如下：</w:t>
      </w:r>
    </w:p>
    <w:p>
      <w:pPr>
        <w:snapToGrid w:val="0"/>
        <w:spacing w:line="360" w:lineRule="auto"/>
        <w:ind w:firstLine="420" w:firstLineChars="200"/>
        <w:jc w:val="left"/>
        <w:rPr>
          <w:rFonts w:ascii="宋体" w:hAnsi="宋体" w:cs="宋体"/>
        </w:rPr>
      </w:pPr>
      <w:r>
        <w:rPr>
          <w:rFonts w:hint="eastAsia" w:ascii="宋体" w:hAnsi="宋体" w:cs="宋体"/>
        </w:rPr>
        <w:t xml:space="preserve">1. </w:t>
      </w:r>
      <w:r>
        <w:rPr>
          <w:rFonts w:hint="eastAsia" w:ascii="宋体" w:hAnsi="宋体" w:cs="宋体"/>
          <w:u w:val="single"/>
        </w:rPr>
        <w:t xml:space="preserve">           </w:t>
      </w:r>
      <w:r>
        <w:rPr>
          <w:rFonts w:hint="eastAsia" w:ascii="宋体" w:hAnsi="宋体" w:cs="宋体"/>
        </w:rPr>
        <w:t xml:space="preserve">（标的名称），属于 </w:t>
      </w:r>
      <w:r>
        <w:rPr>
          <w:rFonts w:hint="eastAsia" w:ascii="宋体" w:hAnsi="宋体" w:cs="宋体"/>
          <w:u w:val="single"/>
        </w:rPr>
        <w:t xml:space="preserve">                  </w:t>
      </w:r>
      <w:r>
        <w:rPr>
          <w:rFonts w:hint="eastAsia" w:ascii="宋体" w:hAnsi="宋体" w:cs="宋体"/>
        </w:rPr>
        <w:t xml:space="preserve">（采购文件中明确的所属行业） ；承建（承接）企业为 </w:t>
      </w:r>
      <w:r>
        <w:rPr>
          <w:rFonts w:hint="eastAsia" w:ascii="宋体" w:hAnsi="宋体" w:cs="宋体"/>
          <w:u w:val="single"/>
        </w:rPr>
        <w:t xml:space="preserve">          </w:t>
      </w:r>
      <w:r>
        <w:rPr>
          <w:rFonts w:hint="eastAsia" w:ascii="宋体" w:hAnsi="宋体" w:cs="宋体"/>
        </w:rPr>
        <w:t>（企业名称） ，从业人员</w:t>
      </w:r>
      <w:r>
        <w:rPr>
          <w:rFonts w:hint="eastAsia" w:ascii="宋体" w:hAnsi="宋体" w:cs="宋体"/>
          <w:u w:val="single"/>
        </w:rPr>
        <w:t xml:space="preserve">    </w:t>
      </w:r>
      <w:r>
        <w:rPr>
          <w:rFonts w:hint="eastAsia" w:ascii="宋体" w:hAnsi="宋体" w:cs="宋体"/>
        </w:rPr>
        <w:t>人，营业收入为</w:t>
      </w:r>
      <w:r>
        <w:rPr>
          <w:rFonts w:hint="eastAsia" w:ascii="宋体" w:hAnsi="宋体" w:cs="宋体"/>
          <w:u w:val="single"/>
        </w:rPr>
        <w:t xml:space="preserve">     </w:t>
      </w:r>
      <w:r>
        <w:rPr>
          <w:rFonts w:hint="eastAsia" w:ascii="宋体" w:hAnsi="宋体" w:cs="宋体"/>
        </w:rPr>
        <w:t>万元，资产总额为</w:t>
      </w:r>
      <w:r>
        <w:rPr>
          <w:rFonts w:hint="eastAsia" w:ascii="宋体" w:hAnsi="宋体" w:cs="宋体"/>
          <w:u w:val="single"/>
        </w:rPr>
        <w:t xml:space="preserve">     </w:t>
      </w:r>
      <w:r>
        <w:rPr>
          <w:rFonts w:hint="eastAsia" w:ascii="宋体" w:hAnsi="宋体" w:cs="宋体"/>
        </w:rPr>
        <w:t>万元属于</w:t>
      </w:r>
      <w:r>
        <w:rPr>
          <w:rFonts w:hint="eastAsia" w:ascii="宋体" w:hAnsi="宋体" w:cs="宋体"/>
          <w:u w:val="single"/>
        </w:rPr>
        <w:t xml:space="preserve"> （中型企业、小型企业、微型企业） </w:t>
      </w:r>
      <w:r>
        <w:rPr>
          <w:rFonts w:hint="eastAsia" w:ascii="宋体" w:hAnsi="宋体" w:cs="宋体"/>
        </w:rPr>
        <w:t>；</w:t>
      </w:r>
    </w:p>
    <w:p>
      <w:pPr>
        <w:snapToGrid w:val="0"/>
        <w:spacing w:line="360" w:lineRule="auto"/>
        <w:ind w:firstLine="420" w:firstLineChars="200"/>
        <w:jc w:val="left"/>
        <w:rPr>
          <w:rFonts w:ascii="宋体" w:hAnsi="宋体" w:cs="宋体"/>
        </w:rPr>
      </w:pPr>
      <w:r>
        <w:rPr>
          <w:rFonts w:hint="eastAsia" w:ascii="宋体" w:hAnsi="宋体" w:cs="宋体"/>
        </w:rPr>
        <w:t>……</w:t>
      </w:r>
    </w:p>
    <w:p>
      <w:pPr>
        <w:snapToGrid w:val="0"/>
        <w:spacing w:line="360" w:lineRule="auto"/>
        <w:ind w:firstLine="420" w:firstLineChars="200"/>
        <w:jc w:val="left"/>
        <w:rPr>
          <w:rFonts w:ascii="宋体" w:hAnsi="宋体" w:cs="宋体"/>
        </w:rPr>
      </w:pPr>
      <w:r>
        <w:rPr>
          <w:rFonts w:hint="eastAsia" w:ascii="宋体" w:hAnsi="宋体" w:cs="宋体"/>
        </w:rPr>
        <w:t>以上企业，不属于大企业的分支机构，不存在控股股东为大企业的情形，也不存在与大企业的负责人为同一人的情形。</w:t>
      </w:r>
    </w:p>
    <w:p>
      <w:pPr>
        <w:snapToGrid w:val="0"/>
        <w:spacing w:line="360" w:lineRule="auto"/>
        <w:ind w:firstLine="420" w:firstLineChars="200"/>
        <w:jc w:val="left"/>
        <w:rPr>
          <w:rFonts w:ascii="宋体" w:hAnsi="宋体" w:cs="宋体"/>
          <w:kern w:val="0"/>
          <w:lang w:val="zh-CN"/>
        </w:rPr>
      </w:pPr>
      <w:r>
        <w:rPr>
          <w:rFonts w:hint="eastAsia" w:ascii="宋体" w:hAnsi="宋体" w:cs="宋体"/>
        </w:rPr>
        <w:t>本企业对上述声明内容的真实性负责。如有虚假，将依法承担相应责任。</w:t>
      </w:r>
    </w:p>
    <w:p>
      <w:pPr>
        <w:snapToGrid w:val="0"/>
        <w:spacing w:line="360" w:lineRule="auto"/>
        <w:ind w:firstLine="5355" w:firstLineChars="2550"/>
        <w:rPr>
          <w:rFonts w:ascii="宋体" w:hAnsi="宋体" w:cs="宋体"/>
          <w:kern w:val="0"/>
          <w:lang w:val="zh-CN"/>
        </w:rPr>
      </w:pPr>
    </w:p>
    <w:p>
      <w:pPr>
        <w:snapToGrid w:val="0"/>
        <w:spacing w:line="360" w:lineRule="auto"/>
        <w:ind w:firstLine="5355" w:firstLineChars="2550"/>
        <w:rPr>
          <w:rFonts w:ascii="宋体" w:hAnsi="宋体" w:cs="宋体"/>
          <w:kern w:val="0"/>
        </w:rPr>
      </w:pPr>
      <w:r>
        <w:rPr>
          <w:rFonts w:hint="eastAsia" w:ascii="宋体" w:hAnsi="宋体" w:cs="宋体"/>
          <w:kern w:val="0"/>
          <w:lang w:val="zh-CN"/>
        </w:rPr>
        <w:t>投标人名称(电子签章)：</w:t>
      </w:r>
    </w:p>
    <w:p>
      <w:pPr>
        <w:snapToGrid w:val="0"/>
        <w:spacing w:line="360" w:lineRule="auto"/>
        <w:rPr>
          <w:rFonts w:ascii="Times New Roman" w:hAnsi="Times New Roman"/>
        </w:rPr>
      </w:pPr>
      <w:r>
        <w:rPr>
          <w:rFonts w:hint="eastAsia" w:ascii="宋体" w:hAnsi="宋体" w:cs="宋体"/>
          <w:kern w:val="0"/>
          <w:lang w:val="zh-CN"/>
        </w:rPr>
        <w:t xml:space="preserve">                                           </w:t>
      </w:r>
      <w:r>
        <w:rPr>
          <w:rFonts w:hint="eastAsia" w:ascii="宋体" w:hAnsi="宋体" w:cs="宋体"/>
          <w:kern w:val="0"/>
        </w:rPr>
        <w:t xml:space="preserve">         </w:t>
      </w:r>
      <w:r>
        <w:rPr>
          <w:rFonts w:hint="eastAsia" w:ascii="宋体" w:hAnsi="宋体" w:cs="宋体"/>
          <w:kern w:val="0"/>
          <w:lang w:val="zh-CN"/>
        </w:rPr>
        <w:t>日期</w:t>
      </w:r>
      <w:r>
        <w:rPr>
          <w:rFonts w:hint="eastAsia" w:ascii="宋体" w:hAnsi="宋体" w:cs="宋体"/>
          <w:kern w:val="0"/>
        </w:rPr>
        <w:t xml:space="preserve">：  年  </w:t>
      </w:r>
      <w:r>
        <w:rPr>
          <w:rFonts w:hint="eastAsia" w:ascii="宋体" w:hAnsi="宋体" w:cs="宋体"/>
          <w:kern w:val="0"/>
          <w:lang w:val="zh-CN"/>
        </w:rPr>
        <w:t>月</w:t>
      </w:r>
      <w:r>
        <w:rPr>
          <w:rFonts w:hint="eastAsia" w:ascii="宋体" w:hAnsi="宋体" w:cs="宋体"/>
          <w:kern w:val="0"/>
        </w:rPr>
        <w:t xml:space="preserve">   </w:t>
      </w:r>
      <w:r>
        <w:rPr>
          <w:rFonts w:hint="eastAsia" w:ascii="宋体" w:hAnsi="宋体" w:cs="宋体"/>
          <w:kern w:val="0"/>
          <w:lang w:val="zh-CN"/>
        </w:rPr>
        <w:t>日</w:t>
      </w:r>
    </w:p>
    <w:tbl>
      <w:tblPr>
        <w:tblStyle w:val="26"/>
        <w:tblW w:w="8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7"/>
        <w:gridCol w:w="1298"/>
        <w:gridCol w:w="993"/>
        <w:gridCol w:w="1625"/>
        <w:gridCol w:w="1462"/>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067" w:type="dxa"/>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default"/>
                <w:szCs w:val="20"/>
              </w:rPr>
            </w:pPr>
            <w:r>
              <w:rPr>
                <w:rFonts w:hint="default" w:ascii="Arial" w:hAnsi="Arial" w:cs="Arial"/>
                <w:b/>
                <w:bCs/>
                <w:kern w:val="0"/>
                <w:sz w:val="18"/>
                <w:szCs w:val="18"/>
                <w:lang w:bidi="ar"/>
              </w:rPr>
              <w:t>行业名称</w:t>
            </w:r>
          </w:p>
        </w:tc>
        <w:tc>
          <w:tcPr>
            <w:tcW w:w="1298" w:type="dxa"/>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default"/>
                <w:szCs w:val="20"/>
              </w:rPr>
            </w:pPr>
            <w:r>
              <w:rPr>
                <w:rFonts w:hint="default" w:ascii="Arial" w:hAnsi="Arial" w:cs="Arial"/>
                <w:b/>
                <w:bCs/>
                <w:kern w:val="0"/>
                <w:sz w:val="18"/>
                <w:szCs w:val="18"/>
                <w:lang w:bidi="ar"/>
              </w:rPr>
              <w:t>指标名称</w:t>
            </w:r>
          </w:p>
        </w:tc>
        <w:tc>
          <w:tcPr>
            <w:tcW w:w="993" w:type="dxa"/>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default"/>
                <w:szCs w:val="20"/>
              </w:rPr>
            </w:pPr>
            <w:r>
              <w:rPr>
                <w:rFonts w:hint="default" w:ascii="Arial" w:hAnsi="Arial" w:cs="Arial"/>
                <w:b/>
                <w:bCs/>
                <w:kern w:val="0"/>
                <w:sz w:val="18"/>
                <w:szCs w:val="18"/>
                <w:lang w:bidi="ar"/>
              </w:rPr>
              <w:t>计量单位</w:t>
            </w:r>
          </w:p>
        </w:tc>
        <w:tc>
          <w:tcPr>
            <w:tcW w:w="1625" w:type="dxa"/>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default"/>
                <w:szCs w:val="20"/>
              </w:rPr>
            </w:pPr>
            <w:r>
              <w:rPr>
                <w:rFonts w:hint="default" w:ascii="Arial" w:hAnsi="Arial" w:cs="Arial"/>
                <w:b/>
                <w:bCs/>
                <w:kern w:val="0"/>
                <w:sz w:val="18"/>
                <w:szCs w:val="18"/>
                <w:lang w:bidi="ar"/>
              </w:rPr>
              <w:t>中型</w:t>
            </w:r>
          </w:p>
        </w:tc>
        <w:tc>
          <w:tcPr>
            <w:tcW w:w="1462" w:type="dxa"/>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default"/>
                <w:szCs w:val="20"/>
              </w:rPr>
            </w:pPr>
            <w:r>
              <w:rPr>
                <w:rFonts w:hint="default" w:ascii="Arial" w:hAnsi="Arial" w:cs="Arial"/>
                <w:b/>
                <w:bCs/>
                <w:kern w:val="0"/>
                <w:sz w:val="18"/>
                <w:szCs w:val="18"/>
                <w:lang w:bidi="ar"/>
              </w:rPr>
              <w:t>小型</w:t>
            </w:r>
          </w:p>
        </w:tc>
        <w:tc>
          <w:tcPr>
            <w:tcW w:w="1152" w:type="dxa"/>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default"/>
                <w:szCs w:val="20"/>
              </w:rPr>
            </w:pPr>
            <w:r>
              <w:rPr>
                <w:rFonts w:hint="default" w:ascii="Arial" w:hAnsi="Arial" w:cs="Arial"/>
                <w:b/>
                <w:bCs/>
                <w:kern w:val="0"/>
                <w:sz w:val="18"/>
                <w:szCs w:val="18"/>
                <w:lang w:bidi="ar"/>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7" w:type="dxa"/>
            <w:vMerge w:val="restart"/>
            <w:vAlign w:val="center"/>
          </w:tcPr>
          <w:p>
            <w:pPr>
              <w:keepNext w:val="0"/>
              <w:keepLines w:val="0"/>
              <w:suppressLineNumbers w:val="0"/>
              <w:adjustRightInd w:val="0"/>
              <w:snapToGrid w:val="0"/>
              <w:spacing w:before="0" w:beforeAutospacing="0" w:after="0" w:afterAutospacing="0"/>
              <w:ind w:left="0" w:right="0"/>
              <w:jc w:val="left"/>
              <w:rPr>
                <w:rFonts w:hint="default"/>
                <w:szCs w:val="20"/>
              </w:rPr>
            </w:pPr>
            <w:r>
              <w:rPr>
                <w:rFonts w:hint="default" w:ascii="宋体" w:hAnsi="宋体" w:cs="宋体"/>
                <w:color w:val="auto"/>
                <w:kern w:val="0"/>
                <w:szCs w:val="20"/>
              </w:rPr>
              <w:t>软件和技术服务业</w:t>
            </w:r>
          </w:p>
        </w:tc>
        <w:tc>
          <w:tcPr>
            <w:tcW w:w="1298" w:type="dxa"/>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default"/>
                <w:szCs w:val="20"/>
              </w:rPr>
            </w:pPr>
            <w:r>
              <w:rPr>
                <w:rFonts w:hint="default" w:ascii="Helvetica" w:hAnsi="Helvetica" w:eastAsia="Helvetica" w:cs="Helvetica"/>
                <w:color w:val="333333"/>
                <w:kern w:val="0"/>
                <w:sz w:val="18"/>
                <w:szCs w:val="18"/>
                <w:lang w:bidi="ar"/>
              </w:rPr>
              <w:t>从业人员(X)</w:t>
            </w:r>
          </w:p>
        </w:tc>
        <w:tc>
          <w:tcPr>
            <w:tcW w:w="993" w:type="dxa"/>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default"/>
                <w:szCs w:val="20"/>
              </w:rPr>
            </w:pPr>
            <w:r>
              <w:rPr>
                <w:rFonts w:hint="default" w:ascii="Helvetica" w:hAnsi="Helvetica" w:eastAsia="Helvetica" w:cs="Helvetica"/>
                <w:color w:val="333333"/>
                <w:kern w:val="0"/>
                <w:sz w:val="18"/>
                <w:szCs w:val="18"/>
                <w:lang w:bidi="ar"/>
              </w:rPr>
              <w:t>人</w:t>
            </w:r>
          </w:p>
        </w:tc>
        <w:tc>
          <w:tcPr>
            <w:tcW w:w="1625" w:type="dxa"/>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default"/>
                <w:szCs w:val="20"/>
              </w:rPr>
            </w:pPr>
            <w:r>
              <w:rPr>
                <w:rFonts w:hint="default" w:ascii="Helvetica" w:hAnsi="Helvetica" w:eastAsia="Helvetica" w:cs="Helvetica"/>
                <w:color w:val="333333"/>
                <w:kern w:val="0"/>
                <w:sz w:val="18"/>
                <w:szCs w:val="18"/>
                <w:lang w:bidi="ar"/>
              </w:rPr>
              <w:t>100≤X&lt;300</w:t>
            </w:r>
          </w:p>
        </w:tc>
        <w:tc>
          <w:tcPr>
            <w:tcW w:w="1462" w:type="dxa"/>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default"/>
                <w:szCs w:val="20"/>
              </w:rPr>
            </w:pPr>
            <w:r>
              <w:rPr>
                <w:rFonts w:hint="default" w:ascii="Helvetica" w:hAnsi="Helvetica" w:eastAsia="Helvetica" w:cs="Helvetica"/>
                <w:color w:val="333333"/>
                <w:kern w:val="0"/>
                <w:sz w:val="18"/>
                <w:szCs w:val="18"/>
                <w:lang w:bidi="ar"/>
              </w:rPr>
              <w:t>10≤X&lt;100</w:t>
            </w:r>
          </w:p>
        </w:tc>
        <w:tc>
          <w:tcPr>
            <w:tcW w:w="1152" w:type="dxa"/>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default"/>
                <w:szCs w:val="20"/>
              </w:rPr>
            </w:pPr>
            <w:r>
              <w:rPr>
                <w:rFonts w:hint="default" w:ascii="Helvetica" w:hAnsi="Helvetica" w:eastAsia="Helvetica" w:cs="Helvetica"/>
                <w:color w:val="333333"/>
                <w:kern w:val="0"/>
                <w:sz w:val="18"/>
                <w:szCs w:val="18"/>
                <w:lang w:bidi="ar"/>
              </w:rPr>
              <w:t>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7" w:type="dxa"/>
            <w:vMerge w:val="continue"/>
            <w:vAlign w:val="center"/>
          </w:tcPr>
          <w:p>
            <w:pPr>
              <w:keepNext w:val="0"/>
              <w:keepLines w:val="0"/>
              <w:widowControl/>
              <w:suppressLineNumbers w:val="0"/>
              <w:wordWrap w:val="0"/>
              <w:spacing w:before="0" w:beforeAutospacing="0" w:after="0" w:afterAutospacing="0" w:line="360" w:lineRule="atLeast"/>
              <w:ind w:left="0" w:right="0"/>
              <w:textAlignment w:val="center"/>
              <w:rPr>
                <w:rFonts w:hint="default" w:ascii="Helvetica" w:hAnsi="Helvetica" w:eastAsia="Helvetica" w:cs="Helvetica"/>
                <w:color w:val="333333"/>
                <w:sz w:val="18"/>
                <w:szCs w:val="18"/>
                <w:shd w:val="clear" w:color="auto" w:fill="FFFFFF"/>
              </w:rPr>
            </w:pPr>
          </w:p>
        </w:tc>
        <w:tc>
          <w:tcPr>
            <w:tcW w:w="1298" w:type="dxa"/>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default" w:ascii="Arial" w:hAnsi="Arial" w:cs="Arial"/>
                <w:kern w:val="0"/>
                <w:sz w:val="18"/>
                <w:szCs w:val="18"/>
                <w:lang w:bidi="ar"/>
              </w:rPr>
            </w:pPr>
            <w:r>
              <w:rPr>
                <w:rFonts w:hint="default" w:ascii="Helvetica" w:hAnsi="Helvetica" w:eastAsia="Helvetica" w:cs="Helvetica"/>
                <w:color w:val="333333"/>
                <w:kern w:val="0"/>
                <w:sz w:val="18"/>
                <w:szCs w:val="18"/>
                <w:lang w:bidi="ar"/>
              </w:rPr>
              <w:t>资产总额(Z)</w:t>
            </w:r>
          </w:p>
        </w:tc>
        <w:tc>
          <w:tcPr>
            <w:tcW w:w="993" w:type="dxa"/>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default" w:ascii="Arial" w:hAnsi="Arial" w:cs="Arial"/>
                <w:kern w:val="0"/>
                <w:sz w:val="18"/>
                <w:szCs w:val="18"/>
                <w:lang w:bidi="ar"/>
              </w:rPr>
            </w:pPr>
            <w:r>
              <w:rPr>
                <w:rFonts w:hint="default" w:ascii="Helvetica" w:hAnsi="Helvetica" w:eastAsia="Helvetica" w:cs="Helvetica"/>
                <w:color w:val="333333"/>
                <w:kern w:val="0"/>
                <w:sz w:val="18"/>
                <w:szCs w:val="18"/>
                <w:lang w:bidi="ar"/>
              </w:rPr>
              <w:t>万元</w:t>
            </w:r>
          </w:p>
        </w:tc>
        <w:tc>
          <w:tcPr>
            <w:tcW w:w="1625" w:type="dxa"/>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default" w:ascii="Arial" w:hAnsi="Arial" w:cs="Arial"/>
                <w:kern w:val="0"/>
                <w:sz w:val="18"/>
                <w:szCs w:val="18"/>
                <w:lang w:bidi="ar"/>
              </w:rPr>
            </w:pPr>
            <w:r>
              <w:rPr>
                <w:rFonts w:hint="eastAsia" w:ascii="Helvetica" w:hAnsi="Helvetica" w:eastAsia="Helvetica" w:cs="Helvetica"/>
                <w:color w:val="333333"/>
                <w:kern w:val="0"/>
                <w:sz w:val="18"/>
                <w:szCs w:val="18"/>
              </w:rPr>
              <w:t>1</w:t>
            </w:r>
            <w:r>
              <w:rPr>
                <w:rFonts w:hint="default" w:ascii="Helvetica" w:hAnsi="Helvetica" w:eastAsia="Helvetica" w:cs="Helvetica"/>
                <w:color w:val="333333"/>
                <w:kern w:val="0"/>
                <w:sz w:val="18"/>
                <w:szCs w:val="18"/>
              </w:rPr>
              <w:t>000≤Y＜10000</w:t>
            </w:r>
          </w:p>
        </w:tc>
        <w:tc>
          <w:tcPr>
            <w:tcW w:w="1462" w:type="dxa"/>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default" w:ascii="Arial" w:hAnsi="Arial" w:cs="Arial"/>
                <w:kern w:val="0"/>
                <w:sz w:val="18"/>
                <w:szCs w:val="18"/>
                <w:lang w:bidi="ar"/>
              </w:rPr>
            </w:pPr>
            <w:r>
              <w:rPr>
                <w:rFonts w:hint="default" w:ascii="Helvetica" w:hAnsi="Helvetica" w:eastAsia="Helvetica" w:cs="Helvetica"/>
                <w:color w:val="333333"/>
                <w:kern w:val="0"/>
                <w:sz w:val="18"/>
                <w:szCs w:val="18"/>
              </w:rPr>
              <w:t>50≤Y＜1000</w:t>
            </w:r>
          </w:p>
        </w:tc>
        <w:tc>
          <w:tcPr>
            <w:tcW w:w="1152" w:type="dxa"/>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default" w:ascii="Arial" w:hAnsi="Arial" w:cs="Arial"/>
                <w:kern w:val="0"/>
                <w:sz w:val="18"/>
                <w:szCs w:val="18"/>
                <w:lang w:bidi="ar"/>
              </w:rPr>
            </w:pPr>
            <w:r>
              <w:rPr>
                <w:rFonts w:hint="default" w:ascii="Helvetica" w:hAnsi="Helvetica" w:eastAsia="Helvetica" w:cs="Helvetica"/>
                <w:color w:val="333333"/>
                <w:kern w:val="0"/>
                <w:sz w:val="18"/>
                <w:szCs w:val="18"/>
              </w:rPr>
              <w:t>Y＜50</w:t>
            </w:r>
          </w:p>
        </w:tc>
      </w:tr>
    </w:tbl>
    <w:p>
      <w:pPr>
        <w:spacing w:line="400" w:lineRule="exact"/>
        <w:rPr>
          <w:rFonts w:ascii="Times New Roman" w:hAnsi="Times New Roman"/>
          <w:b/>
          <w:bCs/>
        </w:rPr>
      </w:pPr>
      <w:r>
        <w:rPr>
          <w:rFonts w:ascii="Times New Roman" w:hAnsi="Times New Roman"/>
          <w:b/>
          <w:bCs/>
        </w:rPr>
        <w:t>注：</w:t>
      </w:r>
    </w:p>
    <w:p>
      <w:pPr>
        <w:pStyle w:val="9"/>
        <w:rPr>
          <w:rFonts w:ascii="Times New Roman" w:hAnsi="Times New Roman"/>
          <w:sz w:val="21"/>
          <w:szCs w:val="21"/>
          <w:u w:val="single"/>
        </w:rPr>
      </w:pPr>
      <w:r>
        <w:rPr>
          <w:rFonts w:hint="eastAsia" w:ascii="Times New Roman" w:hAnsi="Times New Roman"/>
          <w:sz w:val="21"/>
          <w:szCs w:val="21"/>
        </w:rPr>
        <w:t>1）</w:t>
      </w:r>
      <w:r>
        <w:rPr>
          <w:rFonts w:hint="eastAsia" w:ascii="Times New Roman" w:hAnsi="Times New Roman"/>
          <w:b/>
          <w:bCs/>
          <w:sz w:val="21"/>
          <w:szCs w:val="21"/>
        </w:rPr>
        <w:t>“</w:t>
      </w:r>
      <w:r>
        <w:rPr>
          <w:rFonts w:hint="eastAsia" w:ascii="Times New Roman" w:hAnsi="Times New Roman"/>
          <w:b/>
          <w:bCs/>
          <w:sz w:val="21"/>
          <w:szCs w:val="21"/>
          <w:u w:val="single"/>
        </w:rPr>
        <w:t>（采购文件中明确的所属行业）</w:t>
      </w:r>
      <w:r>
        <w:rPr>
          <w:rFonts w:hint="eastAsia" w:ascii="Times New Roman" w:hAnsi="Times New Roman"/>
          <w:b/>
          <w:bCs/>
          <w:sz w:val="21"/>
          <w:szCs w:val="21"/>
        </w:rPr>
        <w:t>”</w:t>
      </w:r>
      <w:r>
        <w:rPr>
          <w:rFonts w:hint="eastAsia" w:ascii="Times New Roman" w:hAnsi="Times New Roman"/>
          <w:sz w:val="21"/>
          <w:szCs w:val="21"/>
        </w:rPr>
        <w:t>按采购文件</w:t>
      </w:r>
      <w:r>
        <w:rPr>
          <w:rFonts w:hint="eastAsia" w:ascii="Times New Roman" w:hAnsi="Times New Roman"/>
          <w:b/>
          <w:bCs/>
          <w:sz w:val="21"/>
          <w:szCs w:val="21"/>
        </w:rPr>
        <w:t>前附表</w:t>
      </w:r>
      <w:r>
        <w:rPr>
          <w:rFonts w:hint="eastAsia" w:ascii="Times New Roman" w:hAnsi="Times New Roman"/>
          <w:sz w:val="21"/>
          <w:szCs w:val="21"/>
        </w:rPr>
        <w:t>中所明确的行业进行填写。</w:t>
      </w:r>
    </w:p>
    <w:p>
      <w:pPr>
        <w:spacing w:line="360" w:lineRule="auto"/>
        <w:rPr>
          <w:rFonts w:ascii="Times New Roman" w:hAnsi="Times New Roman"/>
        </w:rPr>
      </w:pPr>
      <w:r>
        <w:rPr>
          <w:rFonts w:hint="eastAsia" w:ascii="Times New Roman" w:hAnsi="Times New Roman"/>
        </w:rPr>
        <w:t>2）中小企业划型标准按工信部联企业〔2011〕300号文件中所涉及指标1、从业人员；2、营业收入；3、资产总额等内容根据划分标准，标准内如未涉及的可不填写。</w:t>
      </w:r>
    </w:p>
    <w:p>
      <w:pPr>
        <w:spacing w:line="360" w:lineRule="auto"/>
        <w:rPr>
          <w:rFonts w:ascii="Times New Roman" w:hAnsi="Times New Roman"/>
        </w:rPr>
      </w:pPr>
      <w:r>
        <w:rPr>
          <w:rFonts w:hint="eastAsia" w:ascii="Times New Roman" w:hAnsi="Times New Roman"/>
        </w:rPr>
        <w:t>3）从业人员、营业收入、资产总额填报上一年度数据。无上一年度数据的新成立企业可不</w:t>
      </w:r>
      <w:r>
        <w:rPr>
          <w:rFonts w:ascii="Times New Roman" w:hAnsi="Times New Roman"/>
        </w:rPr>
        <w:t>填报。</w:t>
      </w:r>
    </w:p>
    <w:p>
      <w:pPr>
        <w:spacing w:line="360" w:lineRule="auto"/>
        <w:rPr>
          <w:rFonts w:ascii="Times New Roman" w:hAnsi="Times New Roman"/>
          <w:b/>
        </w:rPr>
      </w:pPr>
      <w:r>
        <w:rPr>
          <w:rFonts w:hint="eastAsia" w:ascii="Times New Roman" w:hAnsi="Times New Roman"/>
        </w:rPr>
        <w:t>4</w:t>
      </w:r>
      <w:r>
        <w:rPr>
          <w:rFonts w:ascii="Times New Roman" w:hAnsi="Times New Roman"/>
        </w:rPr>
        <w:t>）中标单位的《中小企业声明函》将依法公示，提供虚假资料者取消中标资格，并承担一切责任。</w:t>
      </w:r>
    </w:p>
    <w:p>
      <w:pPr>
        <w:pStyle w:val="9"/>
        <w:spacing w:line="360" w:lineRule="auto"/>
      </w:pPr>
      <w:r>
        <w:rPr>
          <w:rFonts w:hint="eastAsia" w:ascii="Times New Roman" w:hAnsi="Times New Roman"/>
          <w:sz w:val="21"/>
        </w:rPr>
        <w:t>5）</w:t>
      </w:r>
      <w:r>
        <w:rPr>
          <w:rFonts w:ascii="Times New Roman" w:hAnsi="Times New Roman"/>
          <w:sz w:val="21"/>
        </w:rPr>
        <w:t>中型和小型企业须同时满足所列指标的下限，否则下划一档；微型企业只须满足所列指标中的一项即可。</w:t>
      </w:r>
    </w:p>
    <w:p>
      <w:pPr>
        <w:rPr>
          <w:rFonts w:hint="eastAsia" w:ascii="宋体" w:hAnsi="宋体"/>
          <w:b/>
          <w:bCs/>
        </w:rPr>
      </w:pPr>
      <w:r>
        <w:rPr>
          <w:rFonts w:hint="eastAsia" w:ascii="宋体" w:hAnsi="宋体"/>
          <w:b/>
          <w:bCs/>
        </w:rPr>
        <w:br w:type="page"/>
      </w:r>
    </w:p>
    <w:p>
      <w:pPr>
        <w:autoSpaceDE w:val="0"/>
        <w:autoSpaceDN w:val="0"/>
        <w:adjustRightInd w:val="0"/>
        <w:spacing w:line="360" w:lineRule="auto"/>
        <w:ind w:right="-341"/>
        <w:jc w:val="left"/>
        <w:rPr>
          <w:rFonts w:ascii="宋体"/>
          <w:kern w:val="0"/>
        </w:rPr>
      </w:pPr>
      <w:r>
        <w:rPr>
          <w:rFonts w:hint="eastAsia" w:ascii="宋体" w:hAnsi="宋体"/>
          <w:b/>
          <w:bCs/>
        </w:rPr>
        <w:t>2.监狱企业声明函</w:t>
      </w:r>
    </w:p>
    <w:p>
      <w:pPr>
        <w:ind w:firstLine="3373" w:firstLineChars="1400"/>
        <w:rPr>
          <w:rFonts w:ascii="宋体"/>
          <w:b/>
          <w:sz w:val="24"/>
        </w:rPr>
      </w:pPr>
    </w:p>
    <w:p>
      <w:pPr>
        <w:jc w:val="left"/>
        <w:rPr>
          <w:rFonts w:ascii="宋体"/>
          <w:kern w:val="0"/>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b/>
          <w:sz w:val="24"/>
        </w:rPr>
      </w:pPr>
      <w:r>
        <w:rPr>
          <w:rFonts w:hint="eastAsia" w:ascii="宋体" w:hAnsi="宋体"/>
          <w:b/>
          <w:sz w:val="24"/>
        </w:rPr>
        <w:t>监狱企业声明函</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rPr>
      </w:pPr>
      <w:r>
        <w:rPr>
          <w:rFonts w:hint="eastAsia" w:ascii="宋体" w:hAnsi="宋体"/>
        </w:rPr>
        <w:t>【非监狱企业不用提供】</w:t>
      </w:r>
    </w:p>
    <w:p>
      <w:pPr>
        <w:ind w:firstLine="480"/>
        <w:rPr>
          <w:rFonts w:ascii="宋体"/>
        </w:rPr>
      </w:pPr>
    </w:p>
    <w:p>
      <w:pPr>
        <w:spacing w:line="360" w:lineRule="auto"/>
        <w:ind w:firstLine="525" w:firstLineChars="250"/>
        <w:rPr>
          <w:rFonts w:ascii="宋体"/>
        </w:rPr>
      </w:pPr>
    </w:p>
    <w:p>
      <w:pPr>
        <w:spacing w:line="360" w:lineRule="auto"/>
        <w:ind w:firstLine="525" w:firstLineChars="250"/>
        <w:rPr>
          <w:rFonts w:ascii="宋体"/>
        </w:rPr>
      </w:pPr>
      <w:r>
        <w:rPr>
          <w:rFonts w:hint="eastAsia" w:ascii="宋体" w:hAnsi="宋体"/>
        </w:rPr>
        <w:t>监狱企业参加政府采购活动时，应当提供由省级以上监狱管理本企业郑重声明，根据《关于政府采购支持监狱企业发展有关问题的通知》（财库</w:t>
      </w:r>
      <w:r>
        <w:rPr>
          <w:rFonts w:ascii="宋体" w:hAnsi="宋体"/>
        </w:rPr>
        <w:t>[2014]68</w:t>
      </w:r>
      <w:r>
        <w:rPr>
          <w:rFonts w:hint="eastAsia" w:ascii="宋体" w:hAnsi="宋体"/>
        </w:rPr>
        <w:t>号）的规定，本企业为监狱企业。</w:t>
      </w:r>
    </w:p>
    <w:p>
      <w:pPr>
        <w:spacing w:line="360" w:lineRule="auto"/>
        <w:ind w:firstLine="480"/>
        <w:rPr>
          <w:rFonts w:ascii="宋体"/>
        </w:rPr>
      </w:pPr>
      <w:r>
        <w:rPr>
          <w:rFonts w:hint="eastAsia" w:ascii="宋体" w:hAnsi="宋体"/>
        </w:rPr>
        <w:t>根据上述标准，我企业属于监狱企业的理由为：。</w:t>
      </w:r>
    </w:p>
    <w:p>
      <w:pPr>
        <w:spacing w:line="360" w:lineRule="auto"/>
        <w:ind w:firstLine="480"/>
        <w:rPr>
          <w:rFonts w:ascii="宋体"/>
        </w:rPr>
      </w:pPr>
      <w:r>
        <w:rPr>
          <w:rFonts w:hint="eastAsia" w:ascii="宋体" w:hAnsi="宋体"/>
        </w:rPr>
        <w:t>本企业为参加（项目名称：   ）（项目编号：）采购活动提供本企业的产品。</w:t>
      </w:r>
    </w:p>
    <w:p>
      <w:pPr>
        <w:spacing w:line="360" w:lineRule="auto"/>
        <w:ind w:firstLine="480"/>
        <w:rPr>
          <w:rFonts w:ascii="宋体"/>
        </w:rPr>
      </w:pPr>
      <w:r>
        <w:rPr>
          <w:rFonts w:hint="eastAsia" w:ascii="宋体" w:hAnsi="宋体"/>
        </w:rPr>
        <w:t>本企业对上述声明的真实性负责。如有虚假，将依法承担相应责任。</w:t>
      </w:r>
    </w:p>
    <w:p>
      <w:pPr>
        <w:spacing w:line="360" w:lineRule="auto"/>
        <w:ind w:firstLine="480"/>
        <w:rPr>
          <w:rFonts w:ascii="宋体"/>
        </w:rPr>
      </w:pPr>
    </w:p>
    <w:p>
      <w:pPr>
        <w:spacing w:line="360" w:lineRule="auto"/>
        <w:ind w:firstLine="480"/>
        <w:jc w:val="right"/>
        <w:rPr>
          <w:rFonts w:ascii="宋体"/>
        </w:rPr>
      </w:pPr>
      <w:r>
        <w:rPr>
          <w:rFonts w:hint="eastAsia" w:ascii="宋体" w:hAnsi="宋体"/>
        </w:rPr>
        <w:t>投标人名称（盖章）：</w:t>
      </w:r>
    </w:p>
    <w:p>
      <w:pPr>
        <w:spacing w:line="360" w:lineRule="auto"/>
        <w:ind w:firstLine="480"/>
        <w:jc w:val="right"/>
        <w:rPr>
          <w:rFonts w:ascii="宋体"/>
        </w:rPr>
      </w:pPr>
      <w:r>
        <w:rPr>
          <w:rFonts w:hint="eastAsia" w:ascii="宋体" w:hAnsi="宋体"/>
        </w:rPr>
        <w:t>日期：年月日</w:t>
      </w:r>
    </w:p>
    <w:p>
      <w:pPr>
        <w:spacing w:line="360" w:lineRule="auto"/>
        <w:ind w:firstLine="480"/>
        <w:rPr>
          <w:rFonts w:ascii="宋体"/>
        </w:rPr>
      </w:pPr>
    </w:p>
    <w:p>
      <w:pPr>
        <w:spacing w:line="360" w:lineRule="auto"/>
        <w:ind w:firstLine="480"/>
        <w:rPr>
          <w:rFonts w:ascii="宋体"/>
        </w:rPr>
      </w:pPr>
    </w:p>
    <w:p>
      <w:pPr>
        <w:spacing w:line="360" w:lineRule="auto"/>
        <w:ind w:firstLine="480"/>
        <w:rPr>
          <w:rFonts w:ascii="宋体"/>
        </w:rPr>
      </w:pPr>
      <w:r>
        <w:rPr>
          <w:rFonts w:hint="eastAsia" w:ascii="宋体" w:hAnsi="宋体"/>
        </w:rPr>
        <w:t>投标人为监狱企业的提供此函。</w:t>
      </w:r>
    </w:p>
    <w:p>
      <w:pPr>
        <w:spacing w:line="360" w:lineRule="auto"/>
        <w:ind w:firstLine="480"/>
        <w:rPr>
          <w:rFonts w:ascii="宋体"/>
        </w:rPr>
      </w:pPr>
      <w:r>
        <w:rPr>
          <w:rFonts w:hint="eastAsia" w:ascii="宋体" w:hAnsi="宋体"/>
        </w:rPr>
        <w:t>局、戒毒管理局（含新疆生产建设兵团）出具的属于监狱企业的证明文件。</w:t>
      </w:r>
    </w:p>
    <w:p>
      <w:pPr>
        <w:spacing w:line="360" w:lineRule="auto"/>
        <w:ind w:firstLine="480"/>
        <w:rPr>
          <w:rFonts w:ascii="宋体"/>
        </w:rPr>
      </w:pPr>
      <w:r>
        <w:rPr>
          <w:rFonts w:hint="eastAsia" w:ascii="宋体" w:hAnsi="宋体"/>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rPr>
          <w:rFonts w:hint="eastAsia" w:ascii="宋体" w:hAnsi="宋体"/>
          <w:b/>
          <w:bCs/>
        </w:rPr>
      </w:pPr>
      <w:r>
        <w:rPr>
          <w:rFonts w:hint="eastAsia" w:ascii="宋体" w:hAnsi="宋体"/>
          <w:b/>
          <w:bCs/>
        </w:rPr>
        <w:br w:type="page"/>
      </w:r>
    </w:p>
    <w:p>
      <w:pPr>
        <w:jc w:val="left"/>
        <w:rPr>
          <w:rFonts w:ascii="宋体" w:hAnsi="宋体"/>
          <w:b/>
          <w:bCs/>
        </w:rPr>
      </w:pPr>
      <w:r>
        <w:rPr>
          <w:rFonts w:hint="eastAsia" w:ascii="宋体" w:hAnsi="宋体"/>
          <w:b/>
          <w:bCs/>
        </w:rPr>
        <w:t>3.残疾人福利性单位声明函</w:t>
      </w:r>
    </w:p>
    <w:p>
      <w:pPr>
        <w:jc w:val="left"/>
        <w:rPr>
          <w:rFonts w:ascii="宋体" w:hAnsi="宋体"/>
          <w:b/>
          <w:bCs/>
        </w:rPr>
      </w:pPr>
    </w:p>
    <w:p>
      <w:pPr>
        <w:jc w:val="center"/>
        <w:rPr>
          <w:rFonts w:ascii="宋体"/>
          <w:sz w:val="24"/>
        </w:rPr>
      </w:pPr>
    </w:p>
    <w:p>
      <w:pPr>
        <w:jc w:val="center"/>
        <w:rPr>
          <w:rFonts w:ascii="宋体"/>
          <w:b/>
          <w:sz w:val="24"/>
        </w:rPr>
      </w:pPr>
      <w:r>
        <w:rPr>
          <w:rFonts w:hint="eastAsia" w:ascii="宋体" w:hAnsi="宋体"/>
          <w:b/>
          <w:sz w:val="24"/>
        </w:rPr>
        <w:t>残疾人福利性单位声明函</w:t>
      </w:r>
    </w:p>
    <w:p>
      <w:pPr>
        <w:pStyle w:val="9"/>
        <w:jc w:val="center"/>
        <w:rPr>
          <w:rFonts w:ascii="宋体"/>
          <w:sz w:val="21"/>
          <w:szCs w:val="21"/>
        </w:rPr>
      </w:pPr>
      <w:r>
        <w:rPr>
          <w:rFonts w:hint="eastAsia" w:ascii="宋体" w:hAnsi="宋体"/>
          <w:sz w:val="21"/>
          <w:szCs w:val="21"/>
        </w:rPr>
        <w:t>【非残疾人福利性单位不用提供】</w:t>
      </w:r>
    </w:p>
    <w:p>
      <w:pPr>
        <w:spacing w:line="588" w:lineRule="exact"/>
        <w:rPr>
          <w:rFonts w:ascii="宋体"/>
          <w:b/>
          <w:spacing w:val="6"/>
        </w:rPr>
      </w:pPr>
    </w:p>
    <w:p>
      <w:pPr>
        <w:snapToGrid w:val="0"/>
        <w:spacing w:line="360" w:lineRule="auto"/>
        <w:ind w:firstLine="420" w:firstLineChars="200"/>
        <w:rPr>
          <w:rFonts w:ascii="宋体"/>
        </w:rPr>
      </w:pPr>
      <w:r>
        <w:rPr>
          <w:rFonts w:hint="eastAsia" w:ascii="宋体" w:hAnsi="宋体"/>
        </w:rPr>
        <w:t>本单位郑重声明，根据《财政部民政部中国残疾人联合会关于促进残疾人就业政府采购政策的通知》（财库〔</w:t>
      </w:r>
      <w:r>
        <w:rPr>
          <w:rFonts w:ascii="宋体" w:hAnsi="宋体"/>
        </w:rPr>
        <w:t>2017</w:t>
      </w:r>
      <w:r>
        <w:rPr>
          <w:rFonts w:hint="eastAsia" w:ascii="宋体" w:hAnsi="宋体"/>
        </w:rPr>
        <w:t>〕</w:t>
      </w:r>
      <w:r>
        <w:rPr>
          <w:rFonts w:ascii="宋体" w:hAnsi="宋体"/>
        </w:rPr>
        <w:t>141</w:t>
      </w:r>
      <w:r>
        <w:rPr>
          <w:rFonts w:hint="eastAsia" w:ascii="宋体" w:hAnsi="宋体"/>
        </w:rPr>
        <w:t>号）的规定，本单位为符合条件的残疾人福利性单位，且本单位参加</w:t>
      </w:r>
      <w:r>
        <w:rPr>
          <w:rFonts w:ascii="宋体" w:hAnsi="宋体"/>
        </w:rPr>
        <w:t>______</w:t>
      </w:r>
      <w:r>
        <w:rPr>
          <w:rFonts w:hint="eastAsia" w:ascii="宋体" w:hAnsi="宋体"/>
        </w:rPr>
        <w:t>单位的</w:t>
      </w:r>
      <w:r>
        <w:rPr>
          <w:rFonts w:ascii="宋体" w:hAnsi="宋体"/>
        </w:rPr>
        <w:t>______</w:t>
      </w:r>
      <w:r>
        <w:rPr>
          <w:rFonts w:hint="eastAsia" w:ascii="宋体" w:hAnsi="宋体"/>
        </w:rPr>
        <w:t>项目采购活动提供本单位制造的货物（由本单位承担工程</w:t>
      </w:r>
      <w:r>
        <w:rPr>
          <w:rFonts w:ascii="宋体" w:hAnsi="宋体"/>
        </w:rPr>
        <w:t>/</w:t>
      </w:r>
      <w:r>
        <w:rPr>
          <w:rFonts w:hint="eastAsia" w:ascii="宋体" w:hAnsi="宋体"/>
        </w:rPr>
        <w:t>提供服务），或者提供其他残疾人福利性单位制造的货物（不包括使用非残疾人福利性单位注册商标的货物）。</w:t>
      </w:r>
    </w:p>
    <w:p>
      <w:pPr>
        <w:snapToGrid w:val="0"/>
        <w:spacing w:line="360" w:lineRule="auto"/>
        <w:ind w:firstLine="420" w:firstLineChars="200"/>
        <w:rPr>
          <w:rFonts w:ascii="宋体"/>
        </w:rPr>
      </w:pPr>
      <w:r>
        <w:rPr>
          <w:rFonts w:hint="eastAsia" w:ascii="宋体" w:hAnsi="宋体"/>
        </w:rPr>
        <w:t>本单位对上述声明的真实性负责。如有虚假，将依法承担相应责任。</w:t>
      </w:r>
    </w:p>
    <w:p>
      <w:pPr>
        <w:snapToGrid w:val="0"/>
        <w:spacing w:line="360" w:lineRule="auto"/>
        <w:ind w:firstLine="420" w:firstLineChars="200"/>
        <w:rPr>
          <w:rFonts w:ascii="宋体"/>
        </w:rPr>
      </w:pPr>
    </w:p>
    <w:p>
      <w:pPr>
        <w:snapToGrid w:val="0"/>
        <w:spacing w:line="360" w:lineRule="auto"/>
        <w:ind w:firstLine="420" w:firstLineChars="200"/>
        <w:rPr>
          <w:rFonts w:ascii="宋体"/>
        </w:rPr>
      </w:pPr>
    </w:p>
    <w:p>
      <w:pPr>
        <w:snapToGrid w:val="0"/>
        <w:spacing w:line="360" w:lineRule="auto"/>
        <w:ind w:firstLine="420" w:firstLineChars="200"/>
        <w:jc w:val="right"/>
        <w:rPr>
          <w:rFonts w:ascii="宋体"/>
        </w:rPr>
      </w:pPr>
      <w:r>
        <w:rPr>
          <w:rFonts w:hint="eastAsia" w:ascii="宋体" w:hAnsi="宋体"/>
        </w:rPr>
        <w:t>投标人名称：</w:t>
      </w:r>
    </w:p>
    <w:p>
      <w:pPr>
        <w:snapToGrid w:val="0"/>
        <w:spacing w:line="360" w:lineRule="auto"/>
        <w:ind w:firstLine="420" w:firstLineChars="200"/>
        <w:jc w:val="right"/>
        <w:rPr>
          <w:rFonts w:ascii="宋体"/>
        </w:rPr>
      </w:pPr>
    </w:p>
    <w:p>
      <w:pPr>
        <w:snapToGrid w:val="0"/>
        <w:spacing w:line="360" w:lineRule="auto"/>
        <w:ind w:firstLine="420" w:firstLineChars="200"/>
        <w:jc w:val="right"/>
        <w:rPr>
          <w:rFonts w:ascii="宋体"/>
        </w:rPr>
      </w:pPr>
      <w:r>
        <w:rPr>
          <w:rFonts w:hint="eastAsia" w:ascii="宋体" w:hAnsi="宋体"/>
        </w:rPr>
        <w:t>日期：年月日</w:t>
      </w:r>
    </w:p>
    <w:p>
      <w:pPr>
        <w:spacing w:line="360" w:lineRule="auto"/>
        <w:ind w:firstLine="422" w:firstLineChars="200"/>
        <w:rPr>
          <w:rFonts w:ascii="宋体" w:hAnsi="宋体" w:cs="宋体"/>
          <w:b/>
          <w:bCs/>
          <w:szCs w:val="21"/>
        </w:rPr>
      </w:pPr>
      <w:r>
        <w:rPr>
          <w:rFonts w:hint="eastAsia" w:ascii="宋体" w:hAnsi="宋体"/>
          <w:b/>
        </w:rPr>
        <w:t>注：中标投标人为残疾人福利性单位的，将随中标结果同时公告其《残疾人福利性单位声明函》，接受社会监督。</w:t>
      </w:r>
    </w:p>
    <w:p>
      <w:pPr>
        <w:snapToGrid w:val="0"/>
        <w:spacing w:before="50" w:after="156" w:afterLines="50"/>
        <w:jc w:val="left"/>
        <w:outlineLvl w:val="2"/>
        <w:rPr>
          <w:rFonts w:ascii="宋体" w:hAnsi="宋体" w:cs="宋体"/>
          <w:b/>
          <w:szCs w:val="21"/>
        </w:rPr>
      </w:pPr>
      <w:r>
        <w:rPr>
          <w:rFonts w:hint="eastAsia" w:ascii="宋体" w:hAnsi="宋体" w:cs="宋体"/>
          <w:b/>
          <w:szCs w:val="21"/>
        </w:rPr>
        <w:br w:type="page"/>
      </w:r>
      <w:r>
        <w:rPr>
          <w:rFonts w:hint="eastAsia" w:ascii="宋体" w:hAnsi="宋体" w:cs="宋体"/>
          <w:b/>
          <w:szCs w:val="21"/>
        </w:rPr>
        <w:t>格式四、</w:t>
      </w:r>
      <w:bookmarkStart w:id="3" w:name="OLE_LINK13"/>
      <w:bookmarkStart w:id="4" w:name="OLE_LINK14"/>
      <w:r>
        <w:rPr>
          <w:rFonts w:hint="eastAsia" w:ascii="宋体" w:hAnsi="宋体" w:cs="宋体"/>
          <w:b/>
          <w:bCs/>
          <w:szCs w:val="21"/>
        </w:rPr>
        <w:t>资格承诺函</w:t>
      </w:r>
    </w:p>
    <w:bookmarkEnd w:id="3"/>
    <w:bookmarkEnd w:id="4"/>
    <w:p>
      <w:pPr>
        <w:widowControl/>
        <w:spacing w:line="588" w:lineRule="atLeast"/>
        <w:jc w:val="center"/>
        <w:rPr>
          <w:rFonts w:ascii="宋体" w:hAnsi="宋体" w:cs="宋体"/>
          <w:b/>
          <w:spacing w:val="6"/>
          <w:kern w:val="0"/>
          <w:szCs w:val="21"/>
        </w:rPr>
      </w:pPr>
    </w:p>
    <w:p>
      <w:pPr>
        <w:jc w:val="center"/>
        <w:rPr>
          <w:b/>
          <w:bCs/>
          <w:sz w:val="28"/>
          <w:szCs w:val="28"/>
        </w:rPr>
      </w:pPr>
      <w:r>
        <w:rPr>
          <w:rFonts w:hint="eastAsia"/>
          <w:b/>
          <w:bCs/>
          <w:sz w:val="28"/>
          <w:szCs w:val="28"/>
        </w:rPr>
        <w:t>资格承诺函</w:t>
      </w:r>
    </w:p>
    <w:p>
      <w:pPr>
        <w:spacing w:line="360" w:lineRule="auto"/>
        <w:jc w:val="left"/>
        <w:rPr>
          <w:rFonts w:hint="eastAsia" w:ascii="宋体" w:hAnsi="宋体" w:eastAsia="宋体" w:cs="宋体"/>
          <w:szCs w:val="21"/>
          <w:lang w:eastAsia="zh-CN"/>
        </w:rPr>
      </w:pPr>
      <w:r>
        <w:rPr>
          <w:rFonts w:hint="eastAsia" w:ascii="宋体" w:hAnsi="宋体" w:cs="宋体"/>
          <w:spacing w:val="-4"/>
          <w:szCs w:val="21"/>
        </w:rPr>
        <w:t>致：</w:t>
      </w:r>
      <w:r>
        <w:rPr>
          <w:rFonts w:hint="eastAsia" w:ascii="宋体" w:hAnsi="宋体" w:cs="宋体"/>
          <w:szCs w:val="21"/>
          <w:lang w:eastAsia="zh-CN"/>
        </w:rPr>
        <w:t>岱山县经济和信息化局</w:t>
      </w:r>
    </w:p>
    <w:p>
      <w:pPr>
        <w:spacing w:line="360" w:lineRule="auto"/>
        <w:ind w:firstLine="420" w:firstLineChars="200"/>
        <w:jc w:val="left"/>
        <w:rPr>
          <w:rFonts w:hint="eastAsia" w:ascii="宋体" w:hAnsi="宋体" w:eastAsia="宋体" w:cs="宋体"/>
          <w:spacing w:val="-4"/>
          <w:szCs w:val="21"/>
          <w:lang w:eastAsia="zh-CN"/>
        </w:rPr>
      </w:pPr>
      <w:r>
        <w:rPr>
          <w:rFonts w:hint="eastAsia" w:ascii="宋体" w:hAnsi="宋体" w:cs="宋体"/>
          <w:szCs w:val="21"/>
          <w:lang w:eastAsia="zh-CN"/>
        </w:rPr>
        <w:t>浙江天勤信息技术监理有限公司</w:t>
      </w:r>
    </w:p>
    <w:p>
      <w:pPr>
        <w:ind w:firstLine="420" w:firstLineChars="200"/>
      </w:pPr>
      <w:r>
        <w:rPr>
          <w:rFonts w:hint="eastAsia"/>
        </w:rPr>
        <w:t>我方参加</w:t>
      </w:r>
      <w:r>
        <w:rPr>
          <w:rFonts w:hint="eastAsia"/>
          <w:u w:val="single"/>
        </w:rPr>
        <w:t xml:space="preserve">           </w:t>
      </w:r>
      <w:r>
        <w:rPr>
          <w:u w:val="single"/>
        </w:rPr>
        <w:t xml:space="preserve"> </w:t>
      </w:r>
      <w:r>
        <w:rPr>
          <w:rFonts w:hint="eastAsia"/>
        </w:rPr>
        <w:t>（项目编号：</w:t>
      </w:r>
      <w:r>
        <w:rPr>
          <w:rFonts w:hint="eastAsia"/>
          <w:u w:val="single"/>
          <w:lang w:eastAsia="zh-CN"/>
        </w:rPr>
        <w:t>TQZSCG-2024-004</w:t>
      </w:r>
      <w:r>
        <w:rPr>
          <w:rFonts w:hint="eastAsia"/>
          <w:color w:val="auto"/>
        </w:rPr>
        <w:t>）</w:t>
      </w:r>
      <w:r>
        <w:rPr>
          <w:rFonts w:hint="eastAsia"/>
        </w:rPr>
        <w:t>的政府采购活动，依据招标文件相关规定，郑重承诺如下：</w:t>
      </w:r>
    </w:p>
    <w:p>
      <w:pPr>
        <w:ind w:firstLine="420" w:firstLineChars="200"/>
      </w:pPr>
      <w:r>
        <w:rPr>
          <w:rFonts w:hint="eastAsia"/>
        </w:rPr>
        <w:t>（1）我方具有独立承担民事责任的能力；</w:t>
      </w:r>
    </w:p>
    <w:p>
      <w:pPr>
        <w:ind w:firstLine="420" w:firstLineChars="200"/>
      </w:pPr>
      <w:r>
        <w:rPr>
          <w:rFonts w:hint="eastAsia"/>
        </w:rPr>
        <w:t>（2）我方具有良好的商业信誉和健全的财务会计制度；</w:t>
      </w:r>
    </w:p>
    <w:p>
      <w:pPr>
        <w:ind w:firstLine="420" w:firstLineChars="200"/>
      </w:pPr>
      <w:r>
        <w:rPr>
          <w:rFonts w:hint="eastAsia"/>
        </w:rPr>
        <w:t>（3）我方具有履行本项目合同所必需的设备和专业技术能力；</w:t>
      </w:r>
    </w:p>
    <w:p>
      <w:pPr>
        <w:ind w:firstLine="420" w:firstLineChars="200"/>
      </w:pPr>
      <w:r>
        <w:rPr>
          <w:rFonts w:hint="eastAsia"/>
        </w:rPr>
        <w:t>（4）我方有依法缴纳税收和社会保障资金的良好记录；</w:t>
      </w:r>
    </w:p>
    <w:p>
      <w:pPr>
        <w:ind w:firstLine="420" w:firstLineChars="200"/>
      </w:pPr>
      <w:r>
        <w:rPr>
          <w:rFonts w:hint="eastAsia"/>
        </w:rPr>
        <w:t>（5）我方在参加本次政府采购活动前三年内，经营活动中没有重大违法记录（具体包括：没有因违法经营受到刑事处罚，没有被责令停产停业、被吊销许可证或者执照、被处以较大数额罚款等行政处罚，没有因被列为失信被执行人、重大税收违法案件当事人名单、政府采购严重违法失信行为记录名单及其他不符合《中华人民共和国政府采购法》第二十二条规定条件而被限制参加政府采购，没有因违法经营被禁止参加政府采购活动的期限未满情形）；</w:t>
      </w:r>
    </w:p>
    <w:p>
      <w:pPr>
        <w:ind w:firstLine="420" w:firstLineChars="200"/>
      </w:pPr>
      <w:r>
        <w:rPr>
          <w:rFonts w:hint="eastAsia"/>
        </w:rPr>
        <w:t>（6）我方符合法律、行政法规规定的其他条件；</w:t>
      </w:r>
    </w:p>
    <w:p>
      <w:pPr>
        <w:ind w:firstLine="420" w:firstLineChars="200"/>
      </w:pPr>
      <w:r>
        <w:rPr>
          <w:rFonts w:hint="eastAsia"/>
        </w:rPr>
        <w:t>（7）我方在投标文件递交前，未被“信用中国”（www.creditchina.gov.cn）、“中国政府采购网”（www.ccgp.gov.cn）列入失信被执行人名单、重大税收违法案件当事人名单、政府采购严重违法失信行为记录名单（我方的信用信息记录以采购人或采购代理机构统一查询的结果为准）。</w:t>
      </w:r>
    </w:p>
    <w:p>
      <w:pPr>
        <w:ind w:firstLine="422" w:firstLineChars="200"/>
        <w:rPr>
          <w:b/>
          <w:bCs/>
        </w:rPr>
      </w:pPr>
      <w:r>
        <w:rPr>
          <w:rFonts w:hint="eastAsia"/>
          <w:b/>
          <w:bCs/>
        </w:rPr>
        <w:t>以上承诺如有虚假或隐瞒，采购人可取消我方任何资格（投标/中标/签订合同），我方对此无任何异议，并愿意承担一切后果和责任。</w:t>
      </w:r>
    </w:p>
    <w:p>
      <w:pPr>
        <w:ind w:firstLine="420" w:firstLineChars="200"/>
      </w:pPr>
      <w:r>
        <w:rPr>
          <w:rFonts w:hint="eastAsia"/>
        </w:rPr>
        <w:t>特此承诺！</w:t>
      </w:r>
    </w:p>
    <w:p/>
    <w:p>
      <w:pPr>
        <w:ind w:firstLine="420" w:firstLineChars="200"/>
        <w:jc w:val="left"/>
      </w:pPr>
      <w:r>
        <w:rPr>
          <w:rFonts w:hint="eastAsia" w:ascii="宋体" w:hAnsi="宋体" w:cs="宋体"/>
          <w:szCs w:val="21"/>
          <w:lang w:eastAsia="zh-CN"/>
        </w:rPr>
        <w:t>响应</w:t>
      </w:r>
      <w:r>
        <w:rPr>
          <w:rFonts w:hint="eastAsia"/>
        </w:rPr>
        <w:t>人名称（盖章）：</w:t>
      </w:r>
      <w:r>
        <w:rPr>
          <w:u w:val="single"/>
        </w:rPr>
        <w:t xml:space="preserve">                </w:t>
      </w:r>
    </w:p>
    <w:p>
      <w:pPr>
        <w:ind w:firstLine="420" w:firstLineChars="200"/>
        <w:jc w:val="left"/>
      </w:pPr>
      <w:r>
        <w:rPr>
          <w:rFonts w:hint="eastAsia"/>
        </w:rPr>
        <w:t>日期：</w:t>
      </w:r>
      <w:r>
        <w:rPr>
          <w:u w:val="single"/>
        </w:rPr>
        <w:t xml:space="preserve">         </w:t>
      </w:r>
      <w:r>
        <w:rPr>
          <w:rFonts w:hint="eastAsia"/>
        </w:rPr>
        <w:t>年</w:t>
      </w:r>
      <w:r>
        <w:rPr>
          <w:u w:val="single"/>
        </w:rPr>
        <w:t xml:space="preserve">     </w:t>
      </w:r>
      <w:r>
        <w:rPr>
          <w:rFonts w:hint="eastAsia"/>
        </w:rPr>
        <w:t>月</w:t>
      </w:r>
      <w:r>
        <w:rPr>
          <w:u w:val="single"/>
        </w:rPr>
        <w:t xml:space="preserve">     </w:t>
      </w:r>
      <w:r>
        <w:rPr>
          <w:rFonts w:hint="eastAsia"/>
        </w:rPr>
        <w:t>日</w:t>
      </w:r>
    </w:p>
    <w:p>
      <w:pPr>
        <w:spacing w:line="360" w:lineRule="auto"/>
        <w:outlineLvl w:val="2"/>
        <w:rPr>
          <w:rFonts w:ascii="宋体" w:hAnsi="宋体" w:cs="宋体"/>
          <w:szCs w:val="21"/>
        </w:rPr>
      </w:pPr>
      <w:r>
        <w:rPr>
          <w:rFonts w:hint="eastAsia" w:ascii="宋体" w:hAnsi="宋体" w:cs="宋体"/>
          <w:b/>
          <w:spacing w:val="20"/>
          <w:szCs w:val="21"/>
        </w:rPr>
        <w:br w:type="page"/>
      </w:r>
      <w:r>
        <w:rPr>
          <w:rFonts w:hint="eastAsia" w:ascii="宋体" w:hAnsi="宋体" w:cs="宋体"/>
          <w:b/>
          <w:spacing w:val="20"/>
          <w:szCs w:val="21"/>
        </w:rPr>
        <w:t>格式五、投标函</w:t>
      </w:r>
    </w:p>
    <w:p>
      <w:pPr>
        <w:spacing w:line="360" w:lineRule="auto"/>
        <w:jc w:val="left"/>
        <w:rPr>
          <w:rFonts w:hint="eastAsia" w:ascii="宋体" w:hAnsi="宋体" w:eastAsia="宋体" w:cs="宋体"/>
          <w:szCs w:val="21"/>
          <w:lang w:eastAsia="zh-CN"/>
        </w:rPr>
      </w:pPr>
      <w:r>
        <w:rPr>
          <w:rFonts w:hint="eastAsia" w:ascii="宋体" w:hAnsi="宋体" w:cs="宋体"/>
          <w:spacing w:val="-4"/>
          <w:szCs w:val="21"/>
        </w:rPr>
        <w:t>致：</w:t>
      </w:r>
      <w:r>
        <w:rPr>
          <w:rFonts w:hint="eastAsia" w:ascii="宋体" w:hAnsi="宋体" w:cs="宋体"/>
          <w:spacing w:val="-4"/>
          <w:szCs w:val="21"/>
          <w:lang w:eastAsia="zh-CN"/>
        </w:rPr>
        <w:t>岱山县经济和信息化局</w:t>
      </w:r>
    </w:p>
    <w:p>
      <w:pPr>
        <w:spacing w:line="360" w:lineRule="auto"/>
        <w:ind w:firstLine="420" w:firstLineChars="200"/>
        <w:jc w:val="left"/>
        <w:rPr>
          <w:rFonts w:hint="eastAsia" w:ascii="宋体" w:hAnsi="宋体" w:eastAsia="宋体" w:cs="宋体"/>
          <w:spacing w:val="-4"/>
          <w:szCs w:val="21"/>
          <w:lang w:eastAsia="zh-CN"/>
        </w:rPr>
      </w:pPr>
      <w:r>
        <w:rPr>
          <w:rFonts w:hint="eastAsia" w:ascii="宋体" w:hAnsi="宋体" w:cs="宋体"/>
          <w:szCs w:val="21"/>
          <w:lang w:eastAsia="zh-CN"/>
        </w:rPr>
        <w:t>浙江天勤信息技术监理有限公司</w:t>
      </w:r>
    </w:p>
    <w:p>
      <w:pPr>
        <w:spacing w:line="360" w:lineRule="auto"/>
        <w:ind w:firstLine="420" w:firstLineChars="200"/>
        <w:rPr>
          <w:rFonts w:ascii="宋体" w:hAnsi="宋体" w:cs="宋体"/>
          <w:szCs w:val="21"/>
        </w:rPr>
      </w:pPr>
      <w:r>
        <w:rPr>
          <w:rFonts w:hint="eastAsia" w:ascii="宋体" w:hAnsi="宋体" w:cs="宋体"/>
          <w:szCs w:val="21"/>
        </w:rPr>
        <w:t>我方</w:t>
      </w:r>
      <w:r>
        <w:rPr>
          <w:rFonts w:hint="eastAsia" w:ascii="宋体" w:hAnsi="宋体" w:cs="宋体"/>
          <w:b/>
          <w:szCs w:val="21"/>
          <w:u w:val="single"/>
        </w:rPr>
        <w:t>（响应人名称）</w:t>
      </w:r>
      <w:r>
        <w:rPr>
          <w:rFonts w:hint="eastAsia" w:ascii="宋体" w:hAnsi="宋体" w:cs="宋体"/>
          <w:szCs w:val="21"/>
        </w:rPr>
        <w:t>已详细审查了</w:t>
      </w:r>
      <w:r>
        <w:rPr>
          <w:rFonts w:hint="eastAsia" w:ascii="宋体" w:hAnsi="宋体" w:cs="宋体"/>
          <w:b/>
          <w:szCs w:val="21"/>
          <w:u w:val="single"/>
        </w:rPr>
        <w:t xml:space="preserve">（项目编号）（项目名称）    </w:t>
      </w:r>
      <w:r>
        <w:rPr>
          <w:rFonts w:hint="eastAsia" w:ascii="宋体" w:hAnsi="宋体" w:cs="宋体"/>
          <w:szCs w:val="21"/>
        </w:rPr>
        <w:t>的磋商文件及其相关补充文件</w:t>
      </w:r>
      <w:r>
        <w:rPr>
          <w:rFonts w:hint="eastAsia" w:ascii="宋体" w:hAnsi="宋体" w:cs="宋体"/>
          <w:b/>
          <w:szCs w:val="21"/>
        </w:rPr>
        <w:t>（若有）</w:t>
      </w:r>
      <w:r>
        <w:rPr>
          <w:rFonts w:hint="eastAsia" w:ascii="宋体" w:hAnsi="宋体" w:cs="宋体"/>
          <w:szCs w:val="21"/>
        </w:rPr>
        <w:t>，并正式授权我公司的</w:t>
      </w:r>
      <w:r>
        <w:rPr>
          <w:rFonts w:hint="eastAsia" w:ascii="宋体" w:hAnsi="宋体" w:cs="宋体"/>
          <w:b/>
          <w:szCs w:val="21"/>
          <w:u w:val="single"/>
        </w:rPr>
        <w:t>（被授权人姓名）</w:t>
      </w:r>
      <w:r>
        <w:rPr>
          <w:rFonts w:hint="eastAsia" w:ascii="宋体" w:hAnsi="宋体" w:cs="宋体"/>
          <w:szCs w:val="21"/>
        </w:rPr>
        <w:t>以本公司名义，全权代表我方自愿参加上述采购项目的投标，现就有关事项向采购代理机构郑重承诺如下：</w:t>
      </w:r>
    </w:p>
    <w:p>
      <w:pPr>
        <w:spacing w:line="360" w:lineRule="auto"/>
        <w:ind w:right="-91" w:firstLine="420" w:firstLineChars="200"/>
        <w:rPr>
          <w:rFonts w:ascii="宋体" w:hAnsi="宋体" w:cs="宋体"/>
          <w:szCs w:val="21"/>
        </w:rPr>
      </w:pPr>
      <w:r>
        <w:rPr>
          <w:rFonts w:hint="eastAsia" w:ascii="宋体" w:hAnsi="宋体" w:cs="宋体"/>
          <w:szCs w:val="21"/>
        </w:rPr>
        <w:t>1、我方已详细审查了磋商文件的全部内容及其相关补充文件</w:t>
      </w:r>
      <w:r>
        <w:rPr>
          <w:rFonts w:hint="eastAsia" w:ascii="宋体" w:hAnsi="宋体" w:cs="宋体"/>
          <w:b/>
          <w:szCs w:val="21"/>
        </w:rPr>
        <w:t>（若有）</w:t>
      </w:r>
      <w:r>
        <w:rPr>
          <w:rFonts w:hint="eastAsia" w:ascii="宋体" w:hAnsi="宋体" w:cs="宋体"/>
          <w:szCs w:val="21"/>
        </w:rPr>
        <w:t>，并完全清晰理解全部内容及相关的补充文件</w:t>
      </w:r>
      <w:r>
        <w:rPr>
          <w:rFonts w:hint="eastAsia" w:ascii="宋体" w:hAnsi="宋体" w:cs="宋体"/>
          <w:b/>
          <w:szCs w:val="21"/>
        </w:rPr>
        <w:t>（若有）</w:t>
      </w:r>
      <w:r>
        <w:rPr>
          <w:rFonts w:hint="eastAsia" w:ascii="宋体" w:hAnsi="宋体" w:cs="宋体"/>
          <w:szCs w:val="21"/>
        </w:rPr>
        <w:t>，不存在任何误解之处，同意放弃提出异议和质疑的权利。</w:t>
      </w:r>
    </w:p>
    <w:p>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2、在项目实施过程中，我方完全响应磋商文件的所有条款，履行合同义务。执行标准绝不低于磋商文件的标准要求。</w:t>
      </w:r>
    </w:p>
    <w:p>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3、我方遵守《中华人民共和国政府采购法》及相关法律法规的规定。同意磋商文件中所提到的无效标条款，并服从有关开标现场的会议纪律。否则，同意被废除投标资格。</w:t>
      </w:r>
    </w:p>
    <w:p>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4、我方承诺具有良好的商业信誉和健全的财务会计制度；具备履行合同所必需的设备和专业技术能力；具有依法缴纳税收和社会保障资金的良好记录；参加本次政府采购活动前3年内在经营活动中没有重大违法记录。</w:t>
      </w:r>
    </w:p>
    <w:p>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5、我方所提供的一次性投标报价具有充分的合理性和准确性，保证不存在低于成本的恶意报价行为，同时清楚理解到报价最低并非意味着必定获得合同授予资格。</w:t>
      </w:r>
    </w:p>
    <w:p>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6、投标有效期为自开标之日起90天内，如在投标有效期内撤回投标，我方同意被废除投标资格。</w:t>
      </w:r>
    </w:p>
    <w:p>
      <w:pPr>
        <w:spacing w:line="360" w:lineRule="auto"/>
        <w:ind w:right="-89" w:firstLine="404" w:firstLineChars="200"/>
        <w:jc w:val="left"/>
        <w:rPr>
          <w:rFonts w:hint="eastAsia" w:ascii="宋体" w:hAnsi="宋体" w:cs="宋体"/>
          <w:spacing w:val="-4"/>
          <w:szCs w:val="21"/>
        </w:rPr>
      </w:pPr>
      <w:r>
        <w:rPr>
          <w:rFonts w:hint="eastAsia" w:ascii="宋体" w:hAnsi="宋体" w:cs="宋体"/>
          <w:spacing w:val="-4"/>
          <w:szCs w:val="21"/>
        </w:rPr>
        <w:t>7、我方承诺所提供的一切投标文件均已认真严格审核，内容均为全面真实、准确有效且毫无保留，绝无任何遗漏、虚假、伪造和夸大的成分，若出现违背诚实信用和无如实告知之处，同意被废除投标资格和相关的处罚。</w:t>
      </w:r>
    </w:p>
    <w:p>
      <w:pPr>
        <w:spacing w:line="480" w:lineRule="auto"/>
        <w:jc w:val="left"/>
        <w:rPr>
          <w:rFonts w:ascii="宋体" w:hAnsi="宋体" w:cs="宋体"/>
          <w:spacing w:val="-4"/>
          <w:szCs w:val="21"/>
        </w:rPr>
      </w:pPr>
    </w:p>
    <w:p>
      <w:pPr>
        <w:spacing w:line="480" w:lineRule="auto"/>
        <w:ind w:firstLine="404" w:firstLineChars="200"/>
        <w:jc w:val="left"/>
        <w:rPr>
          <w:rFonts w:ascii="宋体" w:hAnsi="宋体" w:cs="宋体"/>
          <w:spacing w:val="-4"/>
          <w:szCs w:val="21"/>
        </w:rPr>
      </w:pPr>
      <w:r>
        <w:rPr>
          <w:rFonts w:hint="eastAsia" w:ascii="宋体" w:hAnsi="宋体" w:cs="宋体"/>
          <w:spacing w:val="-4"/>
          <w:szCs w:val="21"/>
        </w:rPr>
        <w:t>响应人名称：</w:t>
      </w:r>
      <w:r>
        <w:rPr>
          <w:rFonts w:hint="eastAsia" w:ascii="宋体" w:hAnsi="宋体" w:cs="宋体"/>
          <w:spacing w:val="20"/>
          <w:szCs w:val="21"/>
          <w:u w:val="single"/>
        </w:rPr>
        <w:t xml:space="preserve">                  </w:t>
      </w:r>
      <w:r>
        <w:rPr>
          <w:rFonts w:hint="eastAsia" w:ascii="宋体" w:hAnsi="宋体" w:cs="宋体"/>
          <w:spacing w:val="-4"/>
          <w:szCs w:val="21"/>
        </w:rPr>
        <w:t xml:space="preserve">（加盖公章） </w:t>
      </w:r>
    </w:p>
    <w:p>
      <w:pPr>
        <w:spacing w:line="480" w:lineRule="auto"/>
        <w:ind w:firstLine="404" w:firstLineChars="200"/>
        <w:rPr>
          <w:rFonts w:ascii="宋体" w:hAnsi="宋体" w:cs="宋体"/>
          <w:szCs w:val="21"/>
        </w:rPr>
      </w:pPr>
      <w:r>
        <w:rPr>
          <w:rFonts w:hint="eastAsia" w:ascii="宋体" w:hAnsi="宋体" w:cs="宋体"/>
          <w:spacing w:val="-4"/>
          <w:szCs w:val="21"/>
        </w:rPr>
        <w:t>法定代表人</w:t>
      </w:r>
      <w:r>
        <w:rPr>
          <w:rFonts w:hint="eastAsia" w:ascii="宋体" w:hAnsi="宋体" w:cs="宋体"/>
          <w:szCs w:val="21"/>
        </w:rPr>
        <w:t>：</w:t>
      </w:r>
      <w:r>
        <w:rPr>
          <w:rFonts w:hint="eastAsia" w:ascii="宋体" w:hAnsi="宋体" w:cs="宋体"/>
          <w:b/>
          <w:spacing w:val="20"/>
          <w:szCs w:val="21"/>
          <w:u w:val="single"/>
        </w:rPr>
        <w:t xml:space="preserve">                  </w:t>
      </w:r>
      <w:r>
        <w:rPr>
          <w:rFonts w:hint="eastAsia" w:ascii="宋体" w:hAnsi="宋体" w:cs="宋体"/>
          <w:szCs w:val="21"/>
        </w:rPr>
        <w:t>（签字或盖章）</w:t>
      </w:r>
    </w:p>
    <w:p>
      <w:pPr>
        <w:spacing w:line="480" w:lineRule="auto"/>
        <w:ind w:firstLine="404" w:firstLineChars="200"/>
        <w:jc w:val="left"/>
        <w:rPr>
          <w:rFonts w:ascii="宋体" w:hAnsi="宋体" w:cs="宋体"/>
          <w:spacing w:val="-4"/>
          <w:szCs w:val="21"/>
        </w:rPr>
      </w:pPr>
      <w:r>
        <w:rPr>
          <w:rFonts w:hint="eastAsia" w:ascii="宋体" w:hAnsi="宋体" w:cs="宋体"/>
          <w:spacing w:val="-4"/>
          <w:szCs w:val="21"/>
        </w:rPr>
        <w:t>响应人代表：</w:t>
      </w:r>
      <w:r>
        <w:rPr>
          <w:rFonts w:hint="eastAsia" w:ascii="宋体" w:hAnsi="宋体" w:cs="宋体"/>
          <w:spacing w:val="20"/>
          <w:szCs w:val="21"/>
          <w:u w:val="single"/>
        </w:rPr>
        <w:t xml:space="preserve">                  </w:t>
      </w:r>
      <w:r>
        <w:rPr>
          <w:rFonts w:hint="eastAsia" w:ascii="宋体" w:hAnsi="宋体" w:cs="宋体"/>
          <w:spacing w:val="-4"/>
          <w:szCs w:val="21"/>
        </w:rPr>
        <w:t xml:space="preserve">（签字） </w:t>
      </w:r>
    </w:p>
    <w:p>
      <w:pPr>
        <w:spacing w:line="480" w:lineRule="auto"/>
        <w:ind w:firstLine="404" w:firstLineChars="200"/>
        <w:rPr>
          <w:rFonts w:ascii="宋体" w:hAnsi="宋体" w:cs="宋体"/>
          <w:spacing w:val="20"/>
          <w:szCs w:val="21"/>
          <w:u w:val="single"/>
        </w:rPr>
      </w:pPr>
      <w:r>
        <w:rPr>
          <w:rFonts w:hint="eastAsia" w:ascii="宋体" w:hAnsi="宋体" w:cs="宋体"/>
          <w:spacing w:val="-4"/>
          <w:szCs w:val="21"/>
        </w:rPr>
        <w:t>响应人地址：</w:t>
      </w:r>
      <w:r>
        <w:rPr>
          <w:rFonts w:hint="eastAsia" w:ascii="宋体" w:hAnsi="宋体" w:cs="宋体"/>
          <w:spacing w:val="20"/>
          <w:szCs w:val="21"/>
          <w:u w:val="single"/>
        </w:rPr>
        <w:t xml:space="preserve">                  </w:t>
      </w:r>
    </w:p>
    <w:p>
      <w:pPr>
        <w:spacing w:line="480" w:lineRule="auto"/>
        <w:ind w:firstLine="404" w:firstLineChars="200"/>
        <w:rPr>
          <w:rFonts w:ascii="宋体" w:hAnsi="宋体" w:cs="宋体"/>
          <w:b/>
          <w:spacing w:val="20"/>
          <w:szCs w:val="21"/>
        </w:rPr>
      </w:pPr>
      <w:r>
        <w:rPr>
          <w:rFonts w:hint="eastAsia" w:ascii="宋体" w:hAnsi="宋体" w:cs="宋体"/>
          <w:spacing w:val="-4"/>
          <w:szCs w:val="21"/>
        </w:rPr>
        <w:t>日期：</w:t>
      </w:r>
      <w:r>
        <w:rPr>
          <w:rFonts w:hint="eastAsia" w:ascii="宋体" w:hAnsi="宋体" w:cs="宋体"/>
          <w:spacing w:val="-4"/>
          <w:szCs w:val="21"/>
          <w:u w:val="single"/>
        </w:rPr>
        <w:t xml:space="preserve">     </w:t>
      </w:r>
      <w:r>
        <w:rPr>
          <w:rFonts w:hint="eastAsia" w:ascii="宋体" w:hAnsi="宋体" w:cs="宋体"/>
          <w:spacing w:val="-4"/>
          <w:szCs w:val="21"/>
        </w:rPr>
        <w:t>年</w:t>
      </w:r>
      <w:r>
        <w:rPr>
          <w:rFonts w:hint="eastAsia" w:ascii="宋体" w:hAnsi="宋体" w:cs="宋体"/>
          <w:spacing w:val="-4"/>
          <w:szCs w:val="21"/>
          <w:u w:val="single"/>
        </w:rPr>
        <w:t xml:space="preserve">    </w:t>
      </w:r>
      <w:r>
        <w:rPr>
          <w:rFonts w:hint="eastAsia" w:ascii="宋体" w:hAnsi="宋体" w:cs="宋体"/>
          <w:spacing w:val="-4"/>
          <w:szCs w:val="21"/>
        </w:rPr>
        <w:t>月</w:t>
      </w:r>
      <w:r>
        <w:rPr>
          <w:rFonts w:hint="eastAsia" w:ascii="宋体" w:hAnsi="宋体" w:cs="宋体"/>
          <w:spacing w:val="-4"/>
          <w:szCs w:val="21"/>
          <w:u w:val="single"/>
        </w:rPr>
        <w:t xml:space="preserve">   </w:t>
      </w:r>
      <w:r>
        <w:rPr>
          <w:rFonts w:hint="eastAsia" w:ascii="宋体" w:hAnsi="宋体" w:cs="宋体"/>
          <w:spacing w:val="-4"/>
          <w:szCs w:val="21"/>
        </w:rPr>
        <w:t xml:space="preserve">日 </w:t>
      </w:r>
    </w:p>
    <w:p>
      <w:pPr>
        <w:rPr>
          <w:rFonts w:ascii="宋体" w:hAnsi="宋体" w:cs="宋体"/>
          <w:b/>
          <w:spacing w:val="20"/>
          <w:szCs w:val="21"/>
        </w:rPr>
      </w:pPr>
      <w:r>
        <w:rPr>
          <w:rFonts w:hint="eastAsia" w:ascii="宋体" w:hAnsi="宋体" w:cs="宋体"/>
          <w:b/>
          <w:spacing w:val="20"/>
          <w:szCs w:val="21"/>
        </w:rPr>
        <w:br w:type="page"/>
      </w:r>
    </w:p>
    <w:p>
      <w:pPr>
        <w:outlineLvl w:val="2"/>
        <w:rPr>
          <w:rFonts w:ascii="宋体" w:hAnsi="宋体" w:cs="宋体"/>
          <w:b/>
          <w:szCs w:val="21"/>
        </w:rPr>
      </w:pPr>
      <w:r>
        <w:rPr>
          <w:rFonts w:hint="eastAsia" w:ascii="宋体" w:hAnsi="宋体" w:cs="宋体"/>
          <w:b/>
          <w:spacing w:val="20"/>
          <w:szCs w:val="21"/>
        </w:rPr>
        <w:t>格式六、法定代表人授权函</w:t>
      </w:r>
    </w:p>
    <w:p>
      <w:pPr>
        <w:spacing w:line="360" w:lineRule="auto"/>
        <w:jc w:val="left"/>
        <w:rPr>
          <w:rFonts w:hint="eastAsia" w:ascii="宋体" w:hAnsi="宋体" w:eastAsia="宋体" w:cs="宋体"/>
          <w:spacing w:val="-4"/>
          <w:szCs w:val="21"/>
          <w:lang w:eastAsia="zh-CN"/>
        </w:rPr>
      </w:pPr>
      <w:r>
        <w:rPr>
          <w:rFonts w:hint="eastAsia" w:ascii="宋体" w:hAnsi="宋体" w:cs="宋体"/>
          <w:spacing w:val="-4"/>
          <w:szCs w:val="21"/>
        </w:rPr>
        <w:t>致：</w:t>
      </w:r>
      <w:r>
        <w:rPr>
          <w:rFonts w:hint="eastAsia" w:ascii="宋体" w:hAnsi="宋体" w:cs="宋体"/>
          <w:spacing w:val="-4"/>
          <w:szCs w:val="21"/>
          <w:lang w:eastAsia="zh-CN"/>
        </w:rPr>
        <w:t>岱山县经济和信息化局</w:t>
      </w:r>
    </w:p>
    <w:p>
      <w:pPr>
        <w:spacing w:line="360" w:lineRule="auto"/>
        <w:ind w:firstLine="420" w:firstLineChars="200"/>
        <w:jc w:val="left"/>
        <w:rPr>
          <w:rFonts w:hint="eastAsia" w:ascii="宋体" w:hAnsi="宋体" w:eastAsia="宋体" w:cs="宋体"/>
          <w:szCs w:val="21"/>
          <w:lang w:eastAsia="zh-CN"/>
        </w:rPr>
      </w:pPr>
      <w:r>
        <w:rPr>
          <w:rFonts w:hint="eastAsia" w:ascii="宋体" w:hAnsi="宋体" w:cs="宋体"/>
          <w:szCs w:val="21"/>
          <w:lang w:eastAsia="zh-CN"/>
        </w:rPr>
        <w:t>浙江天勤信息技术监理有限公司</w:t>
      </w:r>
    </w:p>
    <w:p>
      <w:pPr>
        <w:spacing w:line="360" w:lineRule="auto"/>
        <w:ind w:firstLine="404" w:firstLineChars="200"/>
        <w:jc w:val="left"/>
        <w:rPr>
          <w:rFonts w:ascii="宋体" w:hAnsi="宋体" w:cs="宋体"/>
          <w:spacing w:val="-4"/>
          <w:szCs w:val="21"/>
        </w:rPr>
      </w:pPr>
      <w:r>
        <w:rPr>
          <w:rFonts w:hint="eastAsia" w:ascii="宋体" w:hAnsi="宋体" w:cs="宋体"/>
          <w:spacing w:val="-4"/>
          <w:szCs w:val="21"/>
        </w:rPr>
        <w:t>我</w:t>
      </w:r>
      <w:r>
        <w:rPr>
          <w:rFonts w:hint="eastAsia" w:ascii="宋体" w:hAnsi="宋体" w:cs="宋体"/>
          <w:spacing w:val="-4"/>
          <w:szCs w:val="21"/>
          <w:u w:val="single"/>
        </w:rPr>
        <w:t xml:space="preserve">              </w:t>
      </w:r>
      <w:r>
        <w:rPr>
          <w:rFonts w:hint="eastAsia" w:ascii="宋体" w:hAnsi="宋体" w:cs="宋体"/>
          <w:spacing w:val="-4"/>
          <w:szCs w:val="21"/>
        </w:rPr>
        <w:t>（姓名）系</w:t>
      </w:r>
      <w:r>
        <w:rPr>
          <w:rFonts w:hint="eastAsia" w:ascii="宋体" w:hAnsi="宋体" w:cs="宋体"/>
          <w:spacing w:val="-4"/>
          <w:szCs w:val="21"/>
          <w:u w:val="single"/>
        </w:rPr>
        <w:t xml:space="preserve">             </w:t>
      </w:r>
      <w:r>
        <w:rPr>
          <w:rFonts w:hint="eastAsia" w:ascii="宋体" w:hAnsi="宋体" w:cs="宋体"/>
          <w:spacing w:val="-4"/>
          <w:szCs w:val="21"/>
        </w:rPr>
        <w:t>（响应人名称）的法定代表人，现授权委托本单位在职职工</w:t>
      </w:r>
      <w:r>
        <w:rPr>
          <w:rFonts w:hint="eastAsia" w:ascii="宋体" w:hAnsi="宋体" w:cs="宋体"/>
          <w:spacing w:val="-4"/>
          <w:szCs w:val="21"/>
          <w:u w:val="single"/>
        </w:rPr>
        <w:t xml:space="preserve">                   </w:t>
      </w:r>
      <w:r>
        <w:rPr>
          <w:rFonts w:hint="eastAsia" w:ascii="宋体" w:hAnsi="宋体" w:cs="宋体"/>
          <w:spacing w:val="-4"/>
          <w:szCs w:val="21"/>
        </w:rPr>
        <w:t>（姓名）(身份证号码：</w:t>
      </w:r>
      <w:r>
        <w:rPr>
          <w:rFonts w:hint="eastAsia" w:ascii="宋体" w:hAnsi="宋体" w:cs="宋体"/>
          <w:spacing w:val="-4"/>
          <w:szCs w:val="21"/>
          <w:u w:val="single"/>
        </w:rPr>
        <w:t xml:space="preserve">                                </w:t>
      </w:r>
      <w:r>
        <w:rPr>
          <w:rFonts w:hint="eastAsia" w:ascii="宋体" w:hAnsi="宋体" w:cs="宋体"/>
          <w:spacing w:val="-4"/>
          <w:szCs w:val="21"/>
        </w:rPr>
        <w:t>)以我方的名义参加</w:t>
      </w:r>
      <w:r>
        <w:rPr>
          <w:rFonts w:hint="eastAsia" w:ascii="宋体" w:hAnsi="宋体" w:cs="宋体"/>
          <w:spacing w:val="-4"/>
          <w:szCs w:val="21"/>
          <w:u w:val="single"/>
        </w:rPr>
        <w:t xml:space="preserve">                           </w:t>
      </w:r>
      <w:r>
        <w:rPr>
          <w:rFonts w:hint="eastAsia" w:ascii="宋体" w:hAnsi="宋体" w:cs="宋体"/>
          <w:spacing w:val="-4"/>
          <w:szCs w:val="21"/>
        </w:rPr>
        <w:t>（项目名称）（项目编号）的投标活动，并代表我方全权办理针对上述项目的投标、开标、评标、签约等具体事务和签署相关文件。</w:t>
      </w:r>
    </w:p>
    <w:p>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我方对被授权人的签名负全部责任。</w:t>
      </w:r>
    </w:p>
    <w:p>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在撤销授权的书面通知以前，本授权函一直有效。被授权人在授权函有效期内签署的所有文件不因授权的撤销而失效。</w:t>
      </w:r>
    </w:p>
    <w:p>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被授权人无转委托权，特此委托。</w:t>
      </w:r>
    </w:p>
    <w:p>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 xml:space="preserve">被授权人（签字）：                           法定代表人（签字或盖章）：          </w:t>
      </w:r>
    </w:p>
    <w:p>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 xml:space="preserve">被授权人联系电话：                          </w:t>
      </w:r>
      <w:r>
        <w:rPr>
          <w:rFonts w:ascii="宋体" w:hAnsi="宋体" w:cs="宋体"/>
          <w:spacing w:val="-4"/>
          <w:szCs w:val="21"/>
        </w:rPr>
        <w:t xml:space="preserve"> </w:t>
      </w:r>
      <w:r>
        <w:rPr>
          <w:rFonts w:hint="eastAsia" w:ascii="宋体" w:hAnsi="宋体" w:cs="宋体"/>
          <w:spacing w:val="-4"/>
          <w:szCs w:val="21"/>
        </w:rPr>
        <w:t>法定代表人联系电话：</w:t>
      </w:r>
    </w:p>
    <w:p>
      <w:pPr>
        <w:spacing w:line="360" w:lineRule="auto"/>
        <w:ind w:right="-89" w:firstLine="4444" w:firstLineChars="2200"/>
        <w:jc w:val="left"/>
        <w:rPr>
          <w:rFonts w:ascii="宋体" w:hAnsi="宋体" w:cs="宋体"/>
          <w:spacing w:val="-4"/>
          <w:szCs w:val="21"/>
        </w:rPr>
      </w:pPr>
    </w:p>
    <w:p>
      <w:pPr>
        <w:spacing w:line="360" w:lineRule="auto"/>
        <w:ind w:right="-89" w:firstLine="4444" w:firstLineChars="2200"/>
        <w:jc w:val="left"/>
        <w:rPr>
          <w:rFonts w:ascii="宋体" w:hAnsi="宋体" w:cs="宋体"/>
          <w:spacing w:val="-4"/>
          <w:szCs w:val="21"/>
        </w:rPr>
      </w:pPr>
    </w:p>
    <w:p>
      <w:pPr>
        <w:spacing w:line="360" w:lineRule="auto"/>
        <w:ind w:right="-89" w:firstLine="4444" w:firstLineChars="2200"/>
        <w:jc w:val="left"/>
        <w:rPr>
          <w:rFonts w:ascii="宋体" w:hAnsi="宋体" w:cs="宋体"/>
          <w:spacing w:val="-4"/>
          <w:szCs w:val="21"/>
        </w:rPr>
      </w:pPr>
      <w:r>
        <w:rPr>
          <w:rFonts w:hint="eastAsia" w:ascii="宋体" w:hAnsi="宋体" w:cs="宋体"/>
          <w:spacing w:val="-4"/>
          <w:szCs w:val="21"/>
        </w:rPr>
        <w:t xml:space="preserve">                      响应人公章：</w:t>
      </w:r>
    </w:p>
    <w:p>
      <w:pPr>
        <w:spacing w:line="360" w:lineRule="auto"/>
        <w:rPr>
          <w:rFonts w:ascii="宋体" w:hAnsi="宋体" w:cs="宋体"/>
          <w:spacing w:val="-4"/>
          <w:szCs w:val="21"/>
        </w:rPr>
      </w:pPr>
      <w:r>
        <w:rPr>
          <w:rFonts w:hint="eastAsia" w:ascii="宋体" w:hAnsi="宋体" w:cs="宋体"/>
          <w:spacing w:val="-4"/>
          <w:szCs w:val="21"/>
        </w:rPr>
        <w:t xml:space="preserve">                                                                   </w:t>
      </w:r>
      <w:r>
        <w:rPr>
          <w:rFonts w:hint="eastAsia" w:ascii="宋体" w:hAnsi="宋体" w:cs="宋体"/>
          <w:spacing w:val="-4"/>
          <w:szCs w:val="21"/>
          <w:u w:val="single"/>
        </w:rPr>
        <w:t xml:space="preserve">     </w:t>
      </w:r>
      <w:r>
        <w:rPr>
          <w:rFonts w:hint="eastAsia" w:ascii="宋体" w:hAnsi="宋体" w:cs="宋体"/>
          <w:spacing w:val="-4"/>
          <w:szCs w:val="21"/>
        </w:rPr>
        <w:t xml:space="preserve"> 年</w:t>
      </w:r>
      <w:r>
        <w:rPr>
          <w:rFonts w:hint="eastAsia" w:ascii="宋体" w:hAnsi="宋体" w:cs="宋体"/>
          <w:spacing w:val="-4"/>
          <w:szCs w:val="21"/>
          <w:u w:val="single"/>
        </w:rPr>
        <w:t xml:space="preserve">    </w:t>
      </w:r>
      <w:r>
        <w:rPr>
          <w:rFonts w:hint="eastAsia" w:ascii="宋体" w:hAnsi="宋体" w:cs="宋体"/>
          <w:spacing w:val="-4"/>
          <w:szCs w:val="21"/>
        </w:rPr>
        <w:t>月</w:t>
      </w:r>
      <w:r>
        <w:rPr>
          <w:rFonts w:hint="eastAsia" w:ascii="宋体" w:hAnsi="宋体" w:cs="宋体"/>
          <w:spacing w:val="-4"/>
          <w:szCs w:val="21"/>
          <w:u w:val="single"/>
        </w:rPr>
        <w:t xml:space="preserve">    </w:t>
      </w:r>
      <w:r>
        <w:rPr>
          <w:rFonts w:hint="eastAsia" w:ascii="宋体" w:hAnsi="宋体" w:cs="宋体"/>
          <w:spacing w:val="-4"/>
          <w:szCs w:val="21"/>
        </w:rPr>
        <w:t>日</w:t>
      </w:r>
    </w:p>
    <w:p>
      <w:pPr>
        <w:spacing w:line="360" w:lineRule="auto"/>
        <w:rPr>
          <w:rFonts w:ascii="宋体" w:hAnsi="宋体" w:cs="宋体"/>
          <w:spacing w:val="-4"/>
          <w:szCs w:val="21"/>
        </w:rPr>
      </w:pPr>
    </w:p>
    <w:p>
      <w:pPr>
        <w:adjustRightInd w:val="0"/>
        <w:spacing w:line="360" w:lineRule="auto"/>
        <w:textAlignment w:val="baseline"/>
        <w:rPr>
          <w:rFonts w:ascii="宋体" w:hAnsi="宋体" w:cs="宋体"/>
          <w:b/>
          <w:spacing w:val="20"/>
          <w:szCs w:val="21"/>
        </w:rPr>
      </w:pPr>
    </w:p>
    <w:p>
      <w:pPr>
        <w:adjustRightInd w:val="0"/>
        <w:spacing w:line="360" w:lineRule="auto"/>
        <w:textAlignment w:val="baseline"/>
        <w:rPr>
          <w:rFonts w:ascii="宋体" w:hAnsi="宋体" w:cs="宋体"/>
          <w:b/>
          <w:spacing w:val="20"/>
          <w:kern w:val="0"/>
          <w:szCs w:val="21"/>
        </w:rPr>
      </w:pPr>
    </w:p>
    <w:p>
      <w:pPr>
        <w:snapToGrid w:val="0"/>
        <w:spacing w:line="360" w:lineRule="auto"/>
        <w:ind w:firstLine="415" w:firstLineChars="198"/>
        <w:rPr>
          <w:rFonts w:ascii="宋体" w:hAnsi="宋体" w:cs="宋体"/>
          <w:szCs w:val="21"/>
        </w:rPr>
      </w:pPr>
    </w:p>
    <w:p>
      <w:pPr>
        <w:adjustRightInd w:val="0"/>
        <w:spacing w:line="360" w:lineRule="auto"/>
        <w:textAlignment w:val="baseline"/>
        <w:rPr>
          <w:rFonts w:ascii="宋体" w:hAnsi="宋体" w:cs="宋体"/>
          <w:b/>
          <w:spacing w:val="20"/>
          <w:kern w:val="0"/>
          <w:szCs w:val="21"/>
        </w:rPr>
      </w:pPr>
    </w:p>
    <w:p>
      <w:pPr>
        <w:adjustRightInd w:val="0"/>
        <w:spacing w:line="360" w:lineRule="auto"/>
        <w:textAlignment w:val="baseline"/>
        <w:rPr>
          <w:rFonts w:ascii="宋体" w:hAnsi="宋体" w:cs="宋体"/>
          <w:b/>
          <w:spacing w:val="20"/>
          <w:kern w:val="0"/>
          <w:szCs w:val="21"/>
        </w:rPr>
      </w:pPr>
    </w:p>
    <w:p>
      <w:pPr>
        <w:adjustRightInd w:val="0"/>
        <w:spacing w:line="360" w:lineRule="auto"/>
        <w:textAlignment w:val="baseline"/>
        <w:rPr>
          <w:rFonts w:ascii="宋体" w:hAnsi="宋体" w:cs="宋体"/>
          <w:b/>
          <w:spacing w:val="20"/>
          <w:kern w:val="0"/>
          <w:szCs w:val="21"/>
        </w:rPr>
      </w:pPr>
    </w:p>
    <w:p>
      <w:pPr>
        <w:outlineLvl w:val="2"/>
        <w:rPr>
          <w:szCs w:val="21"/>
        </w:rPr>
      </w:pPr>
      <w:r>
        <w:rPr>
          <w:rFonts w:hint="eastAsia" w:ascii="宋体" w:hAnsi="宋体" w:cs="宋体"/>
          <w:b/>
          <w:szCs w:val="21"/>
        </w:rPr>
        <w:br w:type="page"/>
      </w:r>
      <w:r>
        <w:rPr>
          <w:rFonts w:hint="eastAsia" w:ascii="宋体" w:hAnsi="宋体" w:cs="宋体"/>
          <w:b/>
          <w:szCs w:val="21"/>
        </w:rPr>
        <w:t>格式七、相关业绩</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1585"/>
        <w:gridCol w:w="3291"/>
        <w:gridCol w:w="1225"/>
        <w:gridCol w:w="1585"/>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2" w:type="dxa"/>
            <w:vAlign w:val="center"/>
          </w:tcPr>
          <w:p>
            <w:pPr>
              <w:spacing w:line="480" w:lineRule="auto"/>
              <w:jc w:val="center"/>
              <w:rPr>
                <w:rFonts w:ascii="宋体" w:hAnsi="宋体" w:cs="宋体"/>
                <w:b/>
                <w:szCs w:val="21"/>
              </w:rPr>
            </w:pPr>
            <w:r>
              <w:rPr>
                <w:rFonts w:hint="eastAsia" w:ascii="宋体" w:hAnsi="宋体" w:cs="宋体"/>
                <w:b/>
                <w:szCs w:val="21"/>
              </w:rPr>
              <w:t>序号</w:t>
            </w:r>
          </w:p>
        </w:tc>
        <w:tc>
          <w:tcPr>
            <w:tcW w:w="1645" w:type="dxa"/>
            <w:vAlign w:val="center"/>
          </w:tcPr>
          <w:p>
            <w:pPr>
              <w:spacing w:line="480" w:lineRule="auto"/>
              <w:jc w:val="center"/>
              <w:rPr>
                <w:rFonts w:ascii="宋体" w:hAnsi="宋体" w:cs="宋体"/>
                <w:b/>
                <w:szCs w:val="21"/>
              </w:rPr>
            </w:pPr>
            <w:r>
              <w:rPr>
                <w:rFonts w:hint="eastAsia" w:ascii="宋体" w:hAnsi="宋体" w:cs="宋体"/>
                <w:b/>
                <w:szCs w:val="21"/>
              </w:rPr>
              <w:t>业主名称</w:t>
            </w:r>
          </w:p>
        </w:tc>
        <w:tc>
          <w:tcPr>
            <w:tcW w:w="3440" w:type="dxa"/>
            <w:vAlign w:val="center"/>
          </w:tcPr>
          <w:p>
            <w:pPr>
              <w:spacing w:line="480" w:lineRule="auto"/>
              <w:jc w:val="center"/>
              <w:rPr>
                <w:rFonts w:ascii="宋体" w:hAnsi="宋体" w:cs="宋体"/>
                <w:b/>
                <w:szCs w:val="21"/>
              </w:rPr>
            </w:pPr>
            <w:r>
              <w:rPr>
                <w:rFonts w:hint="eastAsia" w:ascii="宋体" w:hAnsi="宋体" w:cs="宋体"/>
                <w:b/>
                <w:szCs w:val="21"/>
              </w:rPr>
              <w:t>项目名称</w:t>
            </w:r>
          </w:p>
        </w:tc>
        <w:tc>
          <w:tcPr>
            <w:tcW w:w="1266" w:type="dxa"/>
            <w:vAlign w:val="center"/>
          </w:tcPr>
          <w:p>
            <w:pPr>
              <w:spacing w:line="480" w:lineRule="auto"/>
              <w:jc w:val="center"/>
              <w:rPr>
                <w:rFonts w:ascii="宋体" w:hAnsi="宋体" w:cs="宋体"/>
                <w:b/>
                <w:szCs w:val="21"/>
              </w:rPr>
            </w:pPr>
            <w:r>
              <w:rPr>
                <w:rFonts w:hint="eastAsia" w:ascii="宋体" w:hAnsi="宋体" w:cs="宋体"/>
                <w:b/>
                <w:szCs w:val="21"/>
              </w:rPr>
              <w:t>签订日期</w:t>
            </w:r>
          </w:p>
        </w:tc>
        <w:tc>
          <w:tcPr>
            <w:tcW w:w="1645" w:type="dxa"/>
            <w:vAlign w:val="center"/>
          </w:tcPr>
          <w:p>
            <w:pPr>
              <w:spacing w:line="480" w:lineRule="auto"/>
              <w:jc w:val="center"/>
              <w:rPr>
                <w:rFonts w:ascii="宋体" w:hAnsi="宋体" w:cs="宋体"/>
                <w:b/>
                <w:szCs w:val="21"/>
              </w:rPr>
            </w:pPr>
            <w:r>
              <w:rPr>
                <w:rFonts w:hint="eastAsia" w:ascii="宋体" w:hAnsi="宋体" w:cs="宋体"/>
                <w:b/>
                <w:szCs w:val="21"/>
              </w:rPr>
              <w:t>业主联系人及联系方式</w:t>
            </w:r>
          </w:p>
        </w:tc>
        <w:tc>
          <w:tcPr>
            <w:tcW w:w="1128" w:type="dxa"/>
            <w:vAlign w:val="center"/>
          </w:tcPr>
          <w:p>
            <w:pPr>
              <w:snapToGrid w:val="0"/>
              <w:spacing w:line="480" w:lineRule="auto"/>
              <w:jc w:val="center"/>
              <w:rPr>
                <w:rFonts w:ascii="宋体" w:hAnsi="宋体" w:cs="宋体"/>
                <w:b/>
                <w:szCs w:val="21"/>
              </w:rPr>
            </w:pPr>
            <w:r>
              <w:rPr>
                <w:rFonts w:hint="eastAsia" w:ascii="宋体" w:hAnsi="宋体" w:cs="宋体"/>
                <w:b/>
                <w:szCs w:val="21"/>
              </w:rPr>
              <w:t>附件</w:t>
            </w:r>
          </w:p>
          <w:p>
            <w:pPr>
              <w:snapToGrid w:val="0"/>
              <w:spacing w:line="480" w:lineRule="auto"/>
              <w:jc w:val="center"/>
              <w:rPr>
                <w:rFonts w:ascii="宋体" w:hAnsi="宋体" w:cs="宋体"/>
                <w:b/>
                <w:szCs w:val="21"/>
              </w:rPr>
            </w:pPr>
            <w:r>
              <w:rPr>
                <w:rFonts w:hint="eastAsia" w:ascii="宋体" w:hAnsi="宋体" w:cs="宋体"/>
                <w:b/>
                <w:szCs w:val="21"/>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2" w:type="dxa"/>
          </w:tcPr>
          <w:p>
            <w:pPr>
              <w:spacing w:line="480" w:lineRule="auto"/>
              <w:rPr>
                <w:rFonts w:ascii="宋体" w:hAnsi="宋体" w:cs="宋体"/>
                <w:b/>
                <w:szCs w:val="21"/>
              </w:rPr>
            </w:pPr>
          </w:p>
        </w:tc>
        <w:tc>
          <w:tcPr>
            <w:tcW w:w="1645" w:type="dxa"/>
          </w:tcPr>
          <w:p>
            <w:pPr>
              <w:spacing w:line="480" w:lineRule="auto"/>
              <w:rPr>
                <w:rFonts w:ascii="宋体" w:hAnsi="宋体" w:cs="宋体"/>
                <w:b/>
                <w:szCs w:val="21"/>
              </w:rPr>
            </w:pPr>
          </w:p>
        </w:tc>
        <w:tc>
          <w:tcPr>
            <w:tcW w:w="3440" w:type="dxa"/>
          </w:tcPr>
          <w:p>
            <w:pPr>
              <w:spacing w:line="480" w:lineRule="auto"/>
              <w:rPr>
                <w:rFonts w:ascii="宋体" w:hAnsi="宋体" w:cs="宋体"/>
                <w:b/>
                <w:szCs w:val="21"/>
              </w:rPr>
            </w:pPr>
          </w:p>
        </w:tc>
        <w:tc>
          <w:tcPr>
            <w:tcW w:w="1266" w:type="dxa"/>
          </w:tcPr>
          <w:p>
            <w:pPr>
              <w:spacing w:line="480" w:lineRule="auto"/>
              <w:rPr>
                <w:rFonts w:ascii="宋体" w:hAnsi="宋体" w:cs="宋体"/>
                <w:b/>
                <w:szCs w:val="21"/>
              </w:rPr>
            </w:pPr>
          </w:p>
        </w:tc>
        <w:tc>
          <w:tcPr>
            <w:tcW w:w="1645" w:type="dxa"/>
          </w:tcPr>
          <w:p>
            <w:pPr>
              <w:spacing w:line="480" w:lineRule="auto"/>
              <w:rPr>
                <w:rFonts w:ascii="宋体" w:hAnsi="宋体" w:cs="宋体"/>
                <w:b/>
                <w:szCs w:val="21"/>
              </w:rPr>
            </w:pPr>
          </w:p>
        </w:tc>
        <w:tc>
          <w:tcPr>
            <w:tcW w:w="1128" w:type="dxa"/>
          </w:tcPr>
          <w:p>
            <w:pPr>
              <w:spacing w:line="480" w:lineRule="auto"/>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2" w:type="dxa"/>
          </w:tcPr>
          <w:p>
            <w:pPr>
              <w:spacing w:line="480" w:lineRule="auto"/>
              <w:rPr>
                <w:rFonts w:ascii="宋体" w:hAnsi="宋体" w:cs="宋体"/>
                <w:b/>
                <w:szCs w:val="21"/>
              </w:rPr>
            </w:pPr>
          </w:p>
        </w:tc>
        <w:tc>
          <w:tcPr>
            <w:tcW w:w="1645" w:type="dxa"/>
          </w:tcPr>
          <w:p>
            <w:pPr>
              <w:spacing w:line="480" w:lineRule="auto"/>
              <w:rPr>
                <w:rFonts w:ascii="宋体" w:hAnsi="宋体" w:cs="宋体"/>
                <w:b/>
                <w:szCs w:val="21"/>
              </w:rPr>
            </w:pPr>
          </w:p>
        </w:tc>
        <w:tc>
          <w:tcPr>
            <w:tcW w:w="3440" w:type="dxa"/>
          </w:tcPr>
          <w:p>
            <w:pPr>
              <w:spacing w:line="480" w:lineRule="auto"/>
              <w:rPr>
                <w:rFonts w:ascii="宋体" w:hAnsi="宋体" w:cs="宋体"/>
                <w:b/>
                <w:szCs w:val="21"/>
              </w:rPr>
            </w:pPr>
          </w:p>
        </w:tc>
        <w:tc>
          <w:tcPr>
            <w:tcW w:w="1266" w:type="dxa"/>
          </w:tcPr>
          <w:p>
            <w:pPr>
              <w:spacing w:line="480" w:lineRule="auto"/>
              <w:rPr>
                <w:rFonts w:ascii="宋体" w:hAnsi="宋体" w:cs="宋体"/>
                <w:b/>
                <w:szCs w:val="21"/>
              </w:rPr>
            </w:pPr>
          </w:p>
        </w:tc>
        <w:tc>
          <w:tcPr>
            <w:tcW w:w="1645" w:type="dxa"/>
          </w:tcPr>
          <w:p>
            <w:pPr>
              <w:spacing w:line="480" w:lineRule="auto"/>
              <w:rPr>
                <w:rFonts w:ascii="宋体" w:hAnsi="宋体" w:cs="宋体"/>
                <w:b/>
                <w:szCs w:val="21"/>
              </w:rPr>
            </w:pPr>
          </w:p>
        </w:tc>
        <w:tc>
          <w:tcPr>
            <w:tcW w:w="1128" w:type="dxa"/>
          </w:tcPr>
          <w:p>
            <w:pPr>
              <w:spacing w:line="480" w:lineRule="auto"/>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2" w:type="dxa"/>
          </w:tcPr>
          <w:p>
            <w:pPr>
              <w:spacing w:line="480" w:lineRule="auto"/>
              <w:rPr>
                <w:rFonts w:ascii="宋体" w:hAnsi="宋体" w:cs="宋体"/>
                <w:b/>
                <w:szCs w:val="21"/>
              </w:rPr>
            </w:pPr>
          </w:p>
        </w:tc>
        <w:tc>
          <w:tcPr>
            <w:tcW w:w="1645" w:type="dxa"/>
          </w:tcPr>
          <w:p>
            <w:pPr>
              <w:spacing w:line="480" w:lineRule="auto"/>
              <w:rPr>
                <w:rFonts w:ascii="宋体" w:hAnsi="宋体" w:cs="宋体"/>
                <w:b/>
                <w:szCs w:val="21"/>
              </w:rPr>
            </w:pPr>
          </w:p>
        </w:tc>
        <w:tc>
          <w:tcPr>
            <w:tcW w:w="3440" w:type="dxa"/>
          </w:tcPr>
          <w:p>
            <w:pPr>
              <w:spacing w:line="480" w:lineRule="auto"/>
              <w:rPr>
                <w:rFonts w:ascii="宋体" w:hAnsi="宋体" w:cs="宋体"/>
                <w:b/>
                <w:szCs w:val="21"/>
              </w:rPr>
            </w:pPr>
          </w:p>
        </w:tc>
        <w:tc>
          <w:tcPr>
            <w:tcW w:w="1266" w:type="dxa"/>
          </w:tcPr>
          <w:p>
            <w:pPr>
              <w:spacing w:line="480" w:lineRule="auto"/>
              <w:rPr>
                <w:rFonts w:ascii="宋体" w:hAnsi="宋体" w:cs="宋体"/>
                <w:b/>
                <w:szCs w:val="21"/>
              </w:rPr>
            </w:pPr>
          </w:p>
        </w:tc>
        <w:tc>
          <w:tcPr>
            <w:tcW w:w="1645" w:type="dxa"/>
          </w:tcPr>
          <w:p>
            <w:pPr>
              <w:spacing w:line="480" w:lineRule="auto"/>
              <w:rPr>
                <w:rFonts w:ascii="宋体" w:hAnsi="宋体" w:cs="宋体"/>
                <w:b/>
                <w:szCs w:val="21"/>
              </w:rPr>
            </w:pPr>
          </w:p>
        </w:tc>
        <w:tc>
          <w:tcPr>
            <w:tcW w:w="1128" w:type="dxa"/>
          </w:tcPr>
          <w:p>
            <w:pPr>
              <w:spacing w:line="480" w:lineRule="auto"/>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2" w:type="dxa"/>
          </w:tcPr>
          <w:p>
            <w:pPr>
              <w:spacing w:line="480" w:lineRule="auto"/>
              <w:rPr>
                <w:rFonts w:ascii="宋体" w:hAnsi="宋体" w:cs="宋体"/>
                <w:b/>
                <w:szCs w:val="21"/>
              </w:rPr>
            </w:pPr>
          </w:p>
        </w:tc>
        <w:tc>
          <w:tcPr>
            <w:tcW w:w="1645" w:type="dxa"/>
          </w:tcPr>
          <w:p>
            <w:pPr>
              <w:spacing w:line="480" w:lineRule="auto"/>
              <w:rPr>
                <w:rFonts w:ascii="宋体" w:hAnsi="宋体" w:cs="宋体"/>
                <w:b/>
                <w:szCs w:val="21"/>
              </w:rPr>
            </w:pPr>
          </w:p>
        </w:tc>
        <w:tc>
          <w:tcPr>
            <w:tcW w:w="3440" w:type="dxa"/>
          </w:tcPr>
          <w:p>
            <w:pPr>
              <w:spacing w:line="480" w:lineRule="auto"/>
              <w:rPr>
                <w:rFonts w:ascii="宋体" w:hAnsi="宋体" w:cs="宋体"/>
                <w:b/>
                <w:szCs w:val="21"/>
              </w:rPr>
            </w:pPr>
          </w:p>
        </w:tc>
        <w:tc>
          <w:tcPr>
            <w:tcW w:w="1266" w:type="dxa"/>
          </w:tcPr>
          <w:p>
            <w:pPr>
              <w:spacing w:line="480" w:lineRule="auto"/>
              <w:rPr>
                <w:rFonts w:ascii="宋体" w:hAnsi="宋体" w:cs="宋体"/>
                <w:b/>
                <w:szCs w:val="21"/>
              </w:rPr>
            </w:pPr>
          </w:p>
        </w:tc>
        <w:tc>
          <w:tcPr>
            <w:tcW w:w="1645" w:type="dxa"/>
          </w:tcPr>
          <w:p>
            <w:pPr>
              <w:spacing w:line="480" w:lineRule="auto"/>
              <w:rPr>
                <w:rFonts w:ascii="宋体" w:hAnsi="宋体" w:cs="宋体"/>
                <w:b/>
                <w:szCs w:val="21"/>
              </w:rPr>
            </w:pPr>
          </w:p>
        </w:tc>
        <w:tc>
          <w:tcPr>
            <w:tcW w:w="1128" w:type="dxa"/>
          </w:tcPr>
          <w:p>
            <w:pPr>
              <w:spacing w:line="480" w:lineRule="auto"/>
              <w:rPr>
                <w:rFonts w:ascii="宋体" w:hAnsi="宋体" w:cs="宋体"/>
                <w:b/>
                <w:szCs w:val="21"/>
              </w:rPr>
            </w:pPr>
          </w:p>
        </w:tc>
      </w:tr>
    </w:tbl>
    <w:p>
      <w:pPr>
        <w:spacing w:line="360" w:lineRule="auto"/>
        <w:ind w:firstLine="426" w:firstLineChars="202"/>
        <w:rPr>
          <w:rFonts w:ascii="宋体" w:hAnsi="宋体" w:cs="宋体"/>
          <w:b/>
          <w:szCs w:val="21"/>
        </w:rPr>
      </w:pPr>
    </w:p>
    <w:p>
      <w:pPr>
        <w:spacing w:line="360" w:lineRule="auto"/>
        <w:rPr>
          <w:rFonts w:ascii="宋体" w:hAnsi="宋体" w:cs="宋体"/>
          <w:szCs w:val="21"/>
        </w:rPr>
      </w:pPr>
    </w:p>
    <w:p>
      <w:pPr>
        <w:spacing w:line="480" w:lineRule="auto"/>
        <w:rPr>
          <w:rFonts w:ascii="宋体" w:hAnsi="宋体" w:cs="宋体"/>
          <w:szCs w:val="21"/>
        </w:rPr>
      </w:pPr>
    </w:p>
    <w:p>
      <w:pPr>
        <w:spacing w:line="480" w:lineRule="auto"/>
        <w:rPr>
          <w:rFonts w:ascii="宋体" w:hAnsi="宋体" w:cs="宋体"/>
          <w:szCs w:val="21"/>
          <w:u w:val="single"/>
        </w:rPr>
      </w:pPr>
      <w:r>
        <w:rPr>
          <w:rFonts w:hint="eastAsia" w:ascii="宋体" w:hAnsi="宋体" w:cs="宋体"/>
          <w:szCs w:val="21"/>
        </w:rPr>
        <w:t>响应人名称：</w:t>
      </w:r>
      <w:r>
        <w:rPr>
          <w:rFonts w:hint="eastAsia" w:ascii="宋体" w:hAnsi="宋体" w:cs="宋体"/>
          <w:b/>
          <w:spacing w:val="20"/>
          <w:szCs w:val="21"/>
          <w:u w:val="single"/>
        </w:rPr>
        <w:t xml:space="preserve">                </w:t>
      </w:r>
      <w:r>
        <w:rPr>
          <w:rFonts w:hint="eastAsia" w:ascii="宋体" w:hAnsi="宋体" w:cs="宋体"/>
          <w:szCs w:val="21"/>
        </w:rPr>
        <w:t xml:space="preserve">（加盖公章）  </w:t>
      </w:r>
    </w:p>
    <w:p>
      <w:pPr>
        <w:spacing w:line="480" w:lineRule="auto"/>
        <w:rPr>
          <w:rFonts w:ascii="宋体" w:hAnsi="宋体" w:cs="宋体"/>
          <w:szCs w:val="21"/>
        </w:rPr>
      </w:pPr>
      <w:r>
        <w:rPr>
          <w:rFonts w:hint="eastAsia" w:ascii="宋体" w:hAnsi="宋体" w:cs="宋体"/>
          <w:szCs w:val="21"/>
        </w:rPr>
        <w:t>响应</w:t>
      </w:r>
      <w:r>
        <w:rPr>
          <w:rFonts w:hint="eastAsia" w:ascii="宋体" w:hAnsi="宋体" w:cs="宋体"/>
          <w:spacing w:val="-4"/>
          <w:szCs w:val="21"/>
        </w:rPr>
        <w:t>人代表</w:t>
      </w:r>
      <w:r>
        <w:rPr>
          <w:rFonts w:hint="eastAsia" w:ascii="宋体" w:hAnsi="宋体" w:cs="宋体"/>
          <w:szCs w:val="21"/>
        </w:rPr>
        <w:t>：</w:t>
      </w:r>
      <w:r>
        <w:rPr>
          <w:rFonts w:hint="eastAsia" w:ascii="宋体" w:hAnsi="宋体" w:cs="宋体"/>
          <w:b/>
          <w:spacing w:val="20"/>
          <w:szCs w:val="21"/>
          <w:u w:val="single"/>
        </w:rPr>
        <w:t xml:space="preserve">           </w:t>
      </w:r>
      <w:r>
        <w:rPr>
          <w:rFonts w:hint="eastAsia" w:ascii="宋体" w:hAnsi="宋体" w:cs="宋体"/>
          <w:szCs w:val="21"/>
        </w:rPr>
        <w:t>（签字）</w:t>
      </w:r>
    </w:p>
    <w:p>
      <w:pPr>
        <w:spacing w:line="480" w:lineRule="auto"/>
        <w:rPr>
          <w:rFonts w:ascii="宋体" w:hAnsi="宋体" w:cs="宋体"/>
          <w:szCs w:val="21"/>
        </w:rPr>
      </w:pPr>
      <w:r>
        <w:rPr>
          <w:rFonts w:hint="eastAsia" w:ascii="宋体" w:hAnsi="宋体" w:cs="宋体"/>
          <w:spacing w:val="20"/>
          <w:szCs w:val="21"/>
        </w:rPr>
        <w:t>日期：</w:t>
      </w:r>
      <w:r>
        <w:rPr>
          <w:rFonts w:hint="eastAsia" w:ascii="宋体" w:hAnsi="宋体" w:cs="宋体"/>
          <w:spacing w:val="20"/>
          <w:szCs w:val="21"/>
          <w:u w:val="single"/>
        </w:rPr>
        <w:t xml:space="preserve">    </w:t>
      </w:r>
      <w:r>
        <w:rPr>
          <w:rFonts w:hint="eastAsia" w:ascii="宋体" w:hAnsi="宋体" w:cs="宋体"/>
          <w:spacing w:val="20"/>
          <w:szCs w:val="21"/>
        </w:rPr>
        <w:t>年</w:t>
      </w:r>
      <w:r>
        <w:rPr>
          <w:rFonts w:hint="eastAsia" w:ascii="宋体" w:hAnsi="宋体" w:cs="宋体"/>
          <w:spacing w:val="20"/>
          <w:szCs w:val="21"/>
          <w:u w:val="single"/>
        </w:rPr>
        <w:t xml:space="preserve">   </w:t>
      </w:r>
      <w:r>
        <w:rPr>
          <w:rFonts w:hint="eastAsia" w:ascii="宋体" w:hAnsi="宋体" w:cs="宋体"/>
          <w:spacing w:val="20"/>
          <w:szCs w:val="21"/>
        </w:rPr>
        <w:t>月</w:t>
      </w:r>
      <w:r>
        <w:rPr>
          <w:rFonts w:hint="eastAsia" w:ascii="宋体" w:hAnsi="宋体" w:cs="宋体"/>
          <w:spacing w:val="20"/>
          <w:szCs w:val="21"/>
          <w:u w:val="single"/>
        </w:rPr>
        <w:t xml:space="preserve">   </w:t>
      </w:r>
      <w:r>
        <w:rPr>
          <w:rFonts w:hint="eastAsia" w:ascii="宋体" w:hAnsi="宋体" w:cs="宋体"/>
          <w:spacing w:val="20"/>
          <w:szCs w:val="21"/>
        </w:rPr>
        <w:t>日</w:t>
      </w:r>
    </w:p>
    <w:p>
      <w:pPr>
        <w:snapToGrid w:val="0"/>
        <w:spacing w:before="50" w:after="156" w:afterLines="50"/>
        <w:jc w:val="left"/>
        <w:rPr>
          <w:rFonts w:ascii="宋体" w:cs="宋体"/>
          <w:b/>
          <w:bCs/>
          <w:szCs w:val="21"/>
        </w:rPr>
      </w:pPr>
    </w:p>
    <w:p>
      <w:pPr>
        <w:snapToGrid w:val="0"/>
        <w:spacing w:before="50" w:after="156" w:afterLines="50"/>
        <w:jc w:val="left"/>
        <w:rPr>
          <w:rFonts w:ascii="宋体" w:cs="宋体"/>
          <w:b/>
          <w:bCs/>
          <w:sz w:val="24"/>
          <w:szCs w:val="24"/>
        </w:rPr>
      </w:pPr>
    </w:p>
    <w:p>
      <w:pPr>
        <w:rPr>
          <w:rFonts w:ascii="宋体" w:cs="宋体"/>
          <w:b/>
          <w:bCs/>
          <w:sz w:val="24"/>
          <w:szCs w:val="24"/>
        </w:rPr>
      </w:pPr>
      <w:r>
        <w:rPr>
          <w:rFonts w:hint="eastAsia" w:ascii="宋体" w:cs="宋体"/>
          <w:b/>
          <w:bCs/>
          <w:sz w:val="24"/>
          <w:szCs w:val="24"/>
        </w:rPr>
        <w:br w:type="page"/>
      </w:r>
    </w:p>
    <w:p>
      <w:pPr>
        <w:shd w:val="clear"/>
        <w:snapToGrid w:val="0"/>
        <w:spacing w:before="50" w:after="156" w:afterLines="50"/>
        <w:jc w:val="left"/>
        <w:outlineLvl w:val="2"/>
        <w:rPr>
          <w:rFonts w:ascii="宋体" w:hAnsi="宋体" w:cs="宋体"/>
          <w:b/>
          <w:bCs/>
          <w:szCs w:val="21"/>
          <w:highlight w:val="none"/>
        </w:rPr>
      </w:pPr>
      <w:r>
        <w:rPr>
          <w:rFonts w:hint="eastAsia" w:ascii="宋体" w:hAnsi="宋体" w:cs="宋体"/>
          <w:b/>
          <w:bCs/>
          <w:szCs w:val="21"/>
          <w:highlight w:val="none"/>
        </w:rPr>
        <w:t>格式八、拟派项目团队（格式仅供参考）</w:t>
      </w:r>
    </w:p>
    <w:tbl>
      <w:tblPr>
        <w:tblStyle w:val="26"/>
        <w:tblW w:w="4998" w:type="pct"/>
        <w:jc w:val="center"/>
        <w:tblLayout w:type="autofit"/>
        <w:tblCellMar>
          <w:top w:w="57" w:type="dxa"/>
          <w:left w:w="57" w:type="dxa"/>
          <w:bottom w:w="57" w:type="dxa"/>
          <w:right w:w="57" w:type="dxa"/>
        </w:tblCellMar>
      </w:tblPr>
      <w:tblGrid>
        <w:gridCol w:w="715"/>
        <w:gridCol w:w="1117"/>
        <w:gridCol w:w="686"/>
        <w:gridCol w:w="823"/>
        <w:gridCol w:w="823"/>
        <w:gridCol w:w="961"/>
        <w:gridCol w:w="1098"/>
        <w:gridCol w:w="823"/>
        <w:gridCol w:w="1235"/>
        <w:gridCol w:w="1377"/>
      </w:tblGrid>
      <w:tr>
        <w:tblPrEx>
          <w:tblCellMar>
            <w:top w:w="57" w:type="dxa"/>
            <w:left w:w="57" w:type="dxa"/>
            <w:bottom w:w="57" w:type="dxa"/>
            <w:right w:w="57" w:type="dxa"/>
          </w:tblCellMar>
        </w:tblPrEx>
        <w:trPr>
          <w:cantSplit/>
          <w:trHeight w:val="529" w:hRule="atLeast"/>
          <w:jc w:val="center"/>
        </w:trPr>
        <w:tc>
          <w:tcPr>
            <w:tcW w:w="37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序号</w:t>
            </w:r>
          </w:p>
        </w:tc>
        <w:tc>
          <w:tcPr>
            <w:tcW w:w="57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姓 名</w:t>
            </w:r>
          </w:p>
        </w:tc>
        <w:tc>
          <w:tcPr>
            <w:tcW w:w="35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性别</w:t>
            </w:r>
          </w:p>
        </w:tc>
        <w:tc>
          <w:tcPr>
            <w:tcW w:w="4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年龄</w:t>
            </w:r>
          </w:p>
        </w:tc>
        <w:tc>
          <w:tcPr>
            <w:tcW w:w="4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学 历</w:t>
            </w:r>
          </w:p>
        </w:tc>
        <w:tc>
          <w:tcPr>
            <w:tcW w:w="49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证书</w:t>
            </w:r>
          </w:p>
          <w:p>
            <w:pPr>
              <w:spacing w:line="360" w:lineRule="auto"/>
              <w:jc w:val="center"/>
              <w:rPr>
                <w:rFonts w:ascii="宋体" w:hAnsi="宋体" w:cs="宋体"/>
                <w:szCs w:val="21"/>
              </w:rPr>
            </w:pPr>
            <w:r>
              <w:rPr>
                <w:rFonts w:hint="eastAsia" w:ascii="宋体" w:hAnsi="宋体" w:cs="宋体"/>
                <w:szCs w:val="21"/>
              </w:rPr>
              <w:t>名称</w:t>
            </w:r>
          </w:p>
        </w:tc>
        <w:tc>
          <w:tcPr>
            <w:tcW w:w="56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证书编号</w:t>
            </w:r>
          </w:p>
        </w:tc>
        <w:tc>
          <w:tcPr>
            <w:tcW w:w="4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职称</w:t>
            </w:r>
          </w:p>
        </w:tc>
        <w:tc>
          <w:tcPr>
            <w:tcW w:w="63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拟任本项目职务</w:t>
            </w:r>
          </w:p>
        </w:tc>
        <w:tc>
          <w:tcPr>
            <w:tcW w:w="7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备注</w:t>
            </w:r>
          </w:p>
        </w:tc>
      </w:tr>
      <w:tr>
        <w:tblPrEx>
          <w:tblCellMar>
            <w:top w:w="57" w:type="dxa"/>
            <w:left w:w="57" w:type="dxa"/>
            <w:bottom w:w="57" w:type="dxa"/>
            <w:right w:w="57" w:type="dxa"/>
          </w:tblCellMar>
        </w:tblPrEx>
        <w:trPr>
          <w:cantSplit/>
          <w:trHeight w:val="1022" w:hRule="atLeast"/>
          <w:jc w:val="center"/>
        </w:trPr>
        <w:tc>
          <w:tcPr>
            <w:tcW w:w="37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w:t>
            </w:r>
          </w:p>
        </w:tc>
        <w:tc>
          <w:tcPr>
            <w:tcW w:w="57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c>
          <w:tcPr>
            <w:tcW w:w="35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c>
          <w:tcPr>
            <w:tcW w:w="4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c>
          <w:tcPr>
            <w:tcW w:w="4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c>
          <w:tcPr>
            <w:tcW w:w="49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c>
          <w:tcPr>
            <w:tcW w:w="56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c>
          <w:tcPr>
            <w:tcW w:w="4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c>
          <w:tcPr>
            <w:tcW w:w="63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c>
          <w:tcPr>
            <w:tcW w:w="7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r>
      <w:tr>
        <w:tblPrEx>
          <w:tblCellMar>
            <w:top w:w="57" w:type="dxa"/>
            <w:left w:w="57" w:type="dxa"/>
            <w:bottom w:w="57" w:type="dxa"/>
            <w:right w:w="57" w:type="dxa"/>
          </w:tblCellMar>
        </w:tblPrEx>
        <w:trPr>
          <w:cantSplit/>
          <w:trHeight w:val="955" w:hRule="atLeast"/>
          <w:jc w:val="center"/>
        </w:trPr>
        <w:tc>
          <w:tcPr>
            <w:tcW w:w="37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2</w:t>
            </w:r>
          </w:p>
        </w:tc>
        <w:tc>
          <w:tcPr>
            <w:tcW w:w="57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c>
          <w:tcPr>
            <w:tcW w:w="35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c>
          <w:tcPr>
            <w:tcW w:w="4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c>
          <w:tcPr>
            <w:tcW w:w="4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c>
          <w:tcPr>
            <w:tcW w:w="49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c>
          <w:tcPr>
            <w:tcW w:w="56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c>
          <w:tcPr>
            <w:tcW w:w="4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c>
          <w:tcPr>
            <w:tcW w:w="63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c>
          <w:tcPr>
            <w:tcW w:w="7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r>
      <w:tr>
        <w:tblPrEx>
          <w:tblCellMar>
            <w:top w:w="57" w:type="dxa"/>
            <w:left w:w="57" w:type="dxa"/>
            <w:bottom w:w="57" w:type="dxa"/>
            <w:right w:w="57" w:type="dxa"/>
          </w:tblCellMar>
        </w:tblPrEx>
        <w:trPr>
          <w:cantSplit/>
          <w:trHeight w:val="1066" w:hRule="atLeast"/>
          <w:jc w:val="center"/>
        </w:trPr>
        <w:tc>
          <w:tcPr>
            <w:tcW w:w="37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3</w:t>
            </w:r>
          </w:p>
        </w:tc>
        <w:tc>
          <w:tcPr>
            <w:tcW w:w="57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5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c>
          <w:tcPr>
            <w:tcW w:w="4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c>
          <w:tcPr>
            <w:tcW w:w="4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c>
          <w:tcPr>
            <w:tcW w:w="49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c>
          <w:tcPr>
            <w:tcW w:w="56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c>
          <w:tcPr>
            <w:tcW w:w="4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c>
          <w:tcPr>
            <w:tcW w:w="63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c>
          <w:tcPr>
            <w:tcW w:w="7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p>
        </w:tc>
      </w:tr>
    </w:tbl>
    <w:p>
      <w:pPr>
        <w:snapToGrid w:val="0"/>
        <w:spacing w:line="480" w:lineRule="auto"/>
        <w:rPr>
          <w:rFonts w:ascii="宋体" w:hAnsi="宋体" w:cs="宋体"/>
          <w:b/>
          <w:bCs/>
          <w:szCs w:val="21"/>
        </w:rPr>
      </w:pPr>
    </w:p>
    <w:p>
      <w:pPr>
        <w:snapToGrid w:val="0"/>
        <w:spacing w:line="480" w:lineRule="auto"/>
        <w:rPr>
          <w:rFonts w:ascii="宋体" w:hAnsi="宋体" w:cs="宋体"/>
          <w:szCs w:val="21"/>
        </w:rPr>
      </w:pPr>
      <w:r>
        <w:rPr>
          <w:rFonts w:hint="eastAsia" w:ascii="宋体" w:hAnsi="宋体" w:cs="宋体"/>
          <w:szCs w:val="21"/>
        </w:rPr>
        <w:t>注：1、在填写时，如本表格不适合投标单位的实际情况，可根据本表格式自行划表填写。</w:t>
      </w:r>
    </w:p>
    <w:p>
      <w:pPr>
        <w:snapToGrid w:val="0"/>
        <w:spacing w:line="480" w:lineRule="auto"/>
        <w:ind w:firstLine="420" w:firstLineChars="200"/>
        <w:rPr>
          <w:rFonts w:ascii="宋体" w:hAnsi="宋体" w:cs="宋体"/>
          <w:szCs w:val="21"/>
        </w:rPr>
      </w:pPr>
      <w:r>
        <w:rPr>
          <w:rFonts w:hint="eastAsia" w:ascii="宋体" w:hAnsi="宋体" w:cs="宋体"/>
          <w:szCs w:val="21"/>
        </w:rPr>
        <w:t>2、需附人员学历证书、专业证书、职称证书、响应人为其缴纳的社保证明等相关证明材料扫描件</w:t>
      </w:r>
    </w:p>
    <w:p>
      <w:pPr>
        <w:spacing w:line="480" w:lineRule="auto"/>
        <w:rPr>
          <w:rFonts w:hint="eastAsia" w:ascii="宋体" w:hAnsi="宋体" w:cs="宋体"/>
          <w:szCs w:val="21"/>
        </w:rPr>
      </w:pPr>
    </w:p>
    <w:p>
      <w:pPr>
        <w:spacing w:line="480" w:lineRule="auto"/>
        <w:rPr>
          <w:rFonts w:ascii="宋体" w:hAnsi="宋体" w:cs="宋体"/>
          <w:szCs w:val="21"/>
          <w:u w:val="single"/>
        </w:rPr>
      </w:pPr>
      <w:r>
        <w:rPr>
          <w:rFonts w:hint="eastAsia" w:ascii="宋体" w:hAnsi="宋体" w:cs="宋体"/>
          <w:szCs w:val="21"/>
        </w:rPr>
        <w:t>响应人名称：</w:t>
      </w:r>
      <w:r>
        <w:rPr>
          <w:rFonts w:hint="eastAsia" w:ascii="宋体" w:hAnsi="宋体" w:cs="宋体"/>
          <w:b/>
          <w:spacing w:val="20"/>
          <w:szCs w:val="21"/>
          <w:u w:val="single"/>
        </w:rPr>
        <w:t xml:space="preserve">                </w:t>
      </w:r>
      <w:r>
        <w:rPr>
          <w:rFonts w:hint="eastAsia" w:ascii="宋体" w:hAnsi="宋体" w:cs="宋体"/>
          <w:szCs w:val="21"/>
        </w:rPr>
        <w:t xml:space="preserve">（加盖公章）  </w:t>
      </w:r>
    </w:p>
    <w:p>
      <w:pPr>
        <w:spacing w:line="480" w:lineRule="auto"/>
        <w:rPr>
          <w:rFonts w:ascii="宋体" w:hAnsi="宋体" w:cs="宋体"/>
          <w:szCs w:val="21"/>
        </w:rPr>
      </w:pPr>
      <w:r>
        <w:rPr>
          <w:rFonts w:hint="eastAsia" w:ascii="宋体" w:hAnsi="宋体" w:cs="宋体"/>
          <w:spacing w:val="-4"/>
          <w:szCs w:val="21"/>
        </w:rPr>
        <w:t>响应人代表</w:t>
      </w:r>
      <w:r>
        <w:rPr>
          <w:rFonts w:hint="eastAsia" w:ascii="宋体" w:hAnsi="宋体" w:cs="宋体"/>
          <w:szCs w:val="21"/>
        </w:rPr>
        <w:t>：</w:t>
      </w:r>
      <w:r>
        <w:rPr>
          <w:rFonts w:hint="eastAsia" w:ascii="宋体" w:hAnsi="宋体" w:cs="宋体"/>
          <w:b/>
          <w:spacing w:val="20"/>
          <w:szCs w:val="21"/>
          <w:u w:val="single"/>
        </w:rPr>
        <w:t xml:space="preserve">           </w:t>
      </w:r>
      <w:r>
        <w:rPr>
          <w:rFonts w:hint="eastAsia" w:ascii="宋体" w:hAnsi="宋体" w:cs="宋体"/>
          <w:szCs w:val="21"/>
        </w:rPr>
        <w:t>（签字）</w:t>
      </w:r>
    </w:p>
    <w:p>
      <w:pPr>
        <w:spacing w:line="480" w:lineRule="auto"/>
        <w:rPr>
          <w:rFonts w:ascii="宋体" w:cs="宋体"/>
          <w:b/>
          <w:bCs/>
          <w:sz w:val="24"/>
          <w:szCs w:val="24"/>
        </w:rPr>
      </w:pPr>
      <w:r>
        <w:rPr>
          <w:rFonts w:hint="eastAsia" w:ascii="宋体" w:hAnsi="宋体" w:cs="宋体"/>
          <w:spacing w:val="20"/>
          <w:szCs w:val="21"/>
        </w:rPr>
        <w:t>日期：</w:t>
      </w:r>
      <w:r>
        <w:rPr>
          <w:rFonts w:hint="eastAsia" w:ascii="宋体" w:hAnsi="宋体" w:cs="宋体"/>
          <w:spacing w:val="20"/>
          <w:szCs w:val="21"/>
          <w:u w:val="single"/>
        </w:rPr>
        <w:t xml:space="preserve">    </w:t>
      </w:r>
      <w:r>
        <w:rPr>
          <w:rFonts w:hint="eastAsia" w:ascii="宋体" w:hAnsi="宋体" w:cs="宋体"/>
          <w:spacing w:val="20"/>
          <w:szCs w:val="21"/>
        </w:rPr>
        <w:t>年</w:t>
      </w:r>
      <w:r>
        <w:rPr>
          <w:rFonts w:hint="eastAsia" w:ascii="宋体" w:hAnsi="宋体" w:cs="宋体"/>
          <w:spacing w:val="20"/>
          <w:szCs w:val="21"/>
          <w:u w:val="single"/>
        </w:rPr>
        <w:t xml:space="preserve">   </w:t>
      </w:r>
      <w:r>
        <w:rPr>
          <w:rFonts w:hint="eastAsia" w:ascii="宋体" w:hAnsi="宋体" w:cs="宋体"/>
          <w:spacing w:val="20"/>
          <w:szCs w:val="21"/>
        </w:rPr>
        <w:t>月</w:t>
      </w:r>
      <w:r>
        <w:rPr>
          <w:rFonts w:hint="eastAsia" w:ascii="宋体" w:hAnsi="宋体" w:cs="宋体"/>
          <w:spacing w:val="20"/>
          <w:szCs w:val="21"/>
          <w:u w:val="single"/>
        </w:rPr>
        <w:t xml:space="preserve">   </w:t>
      </w:r>
      <w:r>
        <w:rPr>
          <w:rFonts w:hint="eastAsia" w:ascii="宋体" w:hAnsi="宋体" w:cs="宋体"/>
          <w:spacing w:val="20"/>
          <w:szCs w:val="21"/>
        </w:rPr>
        <w:t>日</w:t>
      </w:r>
    </w:p>
    <w:p>
      <w:pPr>
        <w:rPr>
          <w:rFonts w:hint="eastAsia" w:ascii="宋体" w:cs="宋体"/>
          <w:b/>
          <w:bCs/>
          <w:sz w:val="21"/>
          <w:szCs w:val="21"/>
        </w:rPr>
      </w:pPr>
      <w:r>
        <w:rPr>
          <w:rFonts w:hint="eastAsia" w:ascii="宋体" w:cs="宋体"/>
          <w:b/>
          <w:bCs/>
          <w:sz w:val="21"/>
          <w:szCs w:val="21"/>
        </w:rPr>
        <w:br w:type="page"/>
      </w:r>
    </w:p>
    <w:p>
      <w:pPr>
        <w:pStyle w:val="38"/>
        <w:outlineLvl w:val="2"/>
        <w:rPr>
          <w:rFonts w:hint="eastAsia" w:ascii="宋体" w:cs="宋体"/>
          <w:b/>
          <w:bCs/>
          <w:sz w:val="21"/>
          <w:szCs w:val="21"/>
          <w:lang w:eastAsia="zh-CN"/>
        </w:rPr>
      </w:pPr>
      <w:r>
        <w:rPr>
          <w:rFonts w:hint="eastAsia" w:ascii="宋体" w:cs="宋体"/>
          <w:b/>
          <w:bCs/>
          <w:sz w:val="21"/>
          <w:szCs w:val="21"/>
        </w:rPr>
        <w:t>格式九、</w:t>
      </w:r>
      <w:r>
        <w:rPr>
          <w:rFonts w:hint="eastAsia" w:ascii="宋体" w:cs="宋体"/>
          <w:b/>
          <w:bCs/>
          <w:sz w:val="21"/>
          <w:szCs w:val="21"/>
          <w:lang w:eastAsia="zh-CN"/>
        </w:rPr>
        <w:t>投标产品软件部分清单</w:t>
      </w:r>
    </w:p>
    <w:p>
      <w:pPr>
        <w:pStyle w:val="38"/>
        <w:keepNext w:val="0"/>
        <w:keepLines w:val="0"/>
        <w:pageBreakBefore w:val="0"/>
        <w:widowControl w:val="0"/>
        <w:kinsoku/>
        <w:wordWrap/>
        <w:overflowPunct/>
        <w:topLinePunct w:val="0"/>
        <w:autoSpaceDE w:val="0"/>
        <w:autoSpaceDN w:val="0"/>
        <w:bidi w:val="0"/>
        <w:adjustRightInd w:val="0"/>
        <w:snapToGrid/>
        <w:textAlignment w:val="auto"/>
        <w:outlineLvl w:val="9"/>
        <w:rPr>
          <w:rFonts w:hint="eastAsia" w:ascii="宋体" w:cs="宋体"/>
          <w:b/>
          <w:bCs/>
          <w:sz w:val="21"/>
          <w:szCs w:val="21"/>
          <w:lang w:eastAsia="zh-CN"/>
        </w:rPr>
      </w:pPr>
    </w:p>
    <w:tbl>
      <w:tblPr>
        <w:tblStyle w:val="95"/>
        <w:tblW w:w="500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79"/>
        <w:gridCol w:w="1423"/>
        <w:gridCol w:w="2034"/>
        <w:gridCol w:w="1795"/>
        <w:gridCol w:w="1201"/>
        <w:gridCol w:w="1201"/>
        <w:gridCol w:w="10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459" w:type="pct"/>
            <w:noWrap w:val="0"/>
            <w:vAlign w:val="center"/>
          </w:tcPr>
          <w:p>
            <w:pPr>
              <w:spacing w:line="360" w:lineRule="auto"/>
              <w:jc w:val="center"/>
              <w:rPr>
                <w:rFonts w:ascii="宋体" w:hAnsi="宋体" w:cs="宋体"/>
                <w:b/>
                <w:bCs/>
                <w:szCs w:val="21"/>
              </w:rPr>
            </w:pPr>
            <w:r>
              <w:rPr>
                <w:rFonts w:hint="eastAsia" w:ascii="宋体" w:hAnsi="宋体" w:cs="宋体"/>
                <w:b/>
                <w:bCs/>
                <w:szCs w:val="21"/>
              </w:rPr>
              <w:t>序号</w:t>
            </w:r>
          </w:p>
        </w:tc>
        <w:tc>
          <w:tcPr>
            <w:tcW w:w="743" w:type="pct"/>
            <w:noWrap w:val="0"/>
            <w:vAlign w:val="center"/>
          </w:tcPr>
          <w:p>
            <w:pPr>
              <w:pStyle w:val="89"/>
              <w:spacing w:line="360" w:lineRule="auto"/>
              <w:jc w:val="center"/>
              <w:rPr>
                <w:b/>
                <w:bCs/>
                <w:spacing w:val="2"/>
                <w:szCs w:val="21"/>
              </w:rPr>
            </w:pPr>
            <w:r>
              <w:rPr>
                <w:rFonts w:hint="eastAsia"/>
                <w:b/>
                <w:bCs/>
                <w:color w:val="000000"/>
                <w:szCs w:val="21"/>
                <w:lang w:val="en-US" w:eastAsia="zh-CN"/>
              </w:rPr>
              <w:t>系统</w:t>
            </w:r>
            <w:r>
              <w:rPr>
                <w:rFonts w:hint="eastAsia"/>
                <w:b/>
                <w:bCs/>
                <w:color w:val="000000"/>
                <w:szCs w:val="21"/>
                <w:lang w:val="en-US"/>
              </w:rPr>
              <w:t>模块</w:t>
            </w:r>
          </w:p>
        </w:tc>
        <w:tc>
          <w:tcPr>
            <w:tcW w:w="106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b/>
                <w:bCs/>
                <w:spacing w:val="2"/>
                <w:szCs w:val="21"/>
              </w:rPr>
            </w:pPr>
            <w:r>
              <w:rPr>
                <w:rFonts w:hint="eastAsia" w:ascii="宋体" w:hAnsi="宋体" w:eastAsia="宋体" w:cs="宋体"/>
                <w:b/>
                <w:bCs/>
                <w:i w:val="0"/>
                <w:iCs w:val="0"/>
                <w:color w:val="000000"/>
                <w:kern w:val="0"/>
                <w:sz w:val="21"/>
                <w:szCs w:val="21"/>
                <w:u w:val="none"/>
                <w:lang w:val="en-US" w:eastAsia="zh-CN" w:bidi="ar"/>
              </w:rPr>
              <w:t>一级功能</w:t>
            </w:r>
          </w:p>
        </w:tc>
        <w:tc>
          <w:tcPr>
            <w:tcW w:w="93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b/>
                <w:bCs/>
                <w:color w:val="000000"/>
                <w:szCs w:val="21"/>
                <w:lang w:val="en-US"/>
              </w:rPr>
            </w:pPr>
            <w:r>
              <w:rPr>
                <w:rFonts w:hint="eastAsia" w:ascii="宋体" w:hAnsi="宋体" w:eastAsia="宋体" w:cs="宋体"/>
                <w:b/>
                <w:bCs/>
                <w:i w:val="0"/>
                <w:iCs w:val="0"/>
                <w:color w:val="000000"/>
                <w:kern w:val="0"/>
                <w:sz w:val="21"/>
                <w:szCs w:val="21"/>
                <w:u w:val="none"/>
                <w:lang w:val="en-US" w:eastAsia="zh-CN" w:bidi="ar"/>
              </w:rPr>
              <w:t>二级功能</w:t>
            </w:r>
          </w:p>
        </w:tc>
        <w:tc>
          <w:tcPr>
            <w:tcW w:w="627" w:type="pct"/>
            <w:noWrap w:val="0"/>
            <w:vAlign w:val="center"/>
          </w:tcPr>
          <w:p>
            <w:pPr>
              <w:spacing w:line="360" w:lineRule="auto"/>
              <w:jc w:val="center"/>
              <w:rPr>
                <w:rFonts w:ascii="宋体" w:hAnsi="宋体" w:cs="宋体"/>
                <w:b/>
                <w:bCs/>
                <w:spacing w:val="2"/>
                <w:szCs w:val="21"/>
              </w:rPr>
            </w:pPr>
            <w:r>
              <w:rPr>
                <w:rFonts w:hint="eastAsia" w:ascii="宋体" w:hAnsi="宋体" w:cs="宋体"/>
                <w:b/>
                <w:bCs/>
                <w:spacing w:val="2"/>
                <w:szCs w:val="21"/>
              </w:rPr>
              <w:t>开发者</w:t>
            </w:r>
          </w:p>
        </w:tc>
        <w:tc>
          <w:tcPr>
            <w:tcW w:w="627" w:type="pct"/>
            <w:noWrap w:val="0"/>
            <w:vAlign w:val="center"/>
          </w:tcPr>
          <w:p>
            <w:pPr>
              <w:spacing w:line="360" w:lineRule="auto"/>
              <w:jc w:val="center"/>
              <w:rPr>
                <w:rFonts w:ascii="宋体" w:hAnsi="宋体" w:cs="宋体"/>
                <w:b/>
                <w:bCs/>
                <w:szCs w:val="21"/>
              </w:rPr>
            </w:pPr>
            <w:r>
              <w:rPr>
                <w:rFonts w:hint="eastAsia" w:ascii="宋体" w:hAnsi="宋体" w:cs="宋体"/>
                <w:b/>
                <w:bCs/>
                <w:szCs w:val="21"/>
              </w:rPr>
              <w:t>数量</w:t>
            </w:r>
          </w:p>
        </w:tc>
        <w:tc>
          <w:tcPr>
            <w:tcW w:w="543" w:type="pct"/>
            <w:noWrap w:val="0"/>
            <w:vAlign w:val="center"/>
          </w:tcPr>
          <w:p>
            <w:pPr>
              <w:spacing w:line="360" w:lineRule="auto"/>
              <w:jc w:val="center"/>
              <w:rPr>
                <w:rFonts w:ascii="宋体" w:hAnsi="宋体" w:cs="宋体"/>
                <w:b/>
                <w:bCs/>
                <w:spacing w:val="-2"/>
                <w:szCs w:val="21"/>
              </w:rPr>
            </w:pPr>
            <w:r>
              <w:rPr>
                <w:rFonts w:hint="eastAsia" w:ascii="宋体" w:hAnsi="宋体" w:cs="宋体"/>
                <w:b/>
                <w:bCs/>
                <w:spacing w:val="-2"/>
                <w:szCs w:val="21"/>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459" w:type="pct"/>
            <w:noWrap w:val="0"/>
            <w:vAlign w:val="center"/>
          </w:tcPr>
          <w:p>
            <w:pPr>
              <w:spacing w:line="360" w:lineRule="auto"/>
              <w:jc w:val="center"/>
              <w:rPr>
                <w:rFonts w:ascii="宋体" w:hAnsi="宋体" w:cs="宋体"/>
                <w:szCs w:val="21"/>
              </w:rPr>
            </w:pPr>
            <w:r>
              <w:rPr>
                <w:rFonts w:hint="eastAsia" w:ascii="宋体" w:hAnsi="宋体" w:cs="宋体"/>
                <w:szCs w:val="21"/>
              </w:rPr>
              <w:t>1</w:t>
            </w:r>
          </w:p>
        </w:tc>
        <w:tc>
          <w:tcPr>
            <w:tcW w:w="743" w:type="pct"/>
            <w:noWrap w:val="0"/>
            <w:vAlign w:val="center"/>
          </w:tcPr>
          <w:p>
            <w:pPr>
              <w:spacing w:line="360" w:lineRule="auto"/>
              <w:jc w:val="center"/>
              <w:rPr>
                <w:rFonts w:ascii="宋体" w:hAnsi="宋体" w:cs="宋体"/>
                <w:spacing w:val="2"/>
                <w:szCs w:val="21"/>
              </w:rPr>
            </w:pPr>
          </w:p>
        </w:tc>
        <w:tc>
          <w:tcPr>
            <w:tcW w:w="1062" w:type="pct"/>
            <w:noWrap w:val="0"/>
            <w:vAlign w:val="center"/>
          </w:tcPr>
          <w:p>
            <w:pPr>
              <w:spacing w:line="360" w:lineRule="auto"/>
              <w:jc w:val="center"/>
              <w:rPr>
                <w:rFonts w:ascii="宋体" w:hAnsi="宋体" w:cs="宋体"/>
                <w:spacing w:val="2"/>
                <w:szCs w:val="21"/>
              </w:rPr>
            </w:pPr>
          </w:p>
        </w:tc>
        <w:tc>
          <w:tcPr>
            <w:tcW w:w="937" w:type="pct"/>
            <w:noWrap w:val="0"/>
            <w:vAlign w:val="center"/>
          </w:tcPr>
          <w:p>
            <w:pPr>
              <w:spacing w:line="360" w:lineRule="auto"/>
              <w:jc w:val="center"/>
              <w:rPr>
                <w:rFonts w:ascii="宋体" w:hAnsi="宋体" w:cs="宋体"/>
                <w:spacing w:val="2"/>
                <w:szCs w:val="21"/>
              </w:rPr>
            </w:pPr>
          </w:p>
        </w:tc>
        <w:tc>
          <w:tcPr>
            <w:tcW w:w="627" w:type="pct"/>
            <w:noWrap w:val="0"/>
            <w:vAlign w:val="center"/>
          </w:tcPr>
          <w:p>
            <w:pPr>
              <w:spacing w:line="360" w:lineRule="auto"/>
              <w:jc w:val="center"/>
              <w:rPr>
                <w:rFonts w:ascii="宋体" w:hAnsi="宋体" w:cs="宋体"/>
                <w:szCs w:val="21"/>
              </w:rPr>
            </w:pPr>
          </w:p>
        </w:tc>
        <w:tc>
          <w:tcPr>
            <w:tcW w:w="627" w:type="pct"/>
            <w:noWrap w:val="0"/>
            <w:vAlign w:val="center"/>
          </w:tcPr>
          <w:p>
            <w:pPr>
              <w:spacing w:line="360" w:lineRule="auto"/>
              <w:jc w:val="center"/>
              <w:rPr>
                <w:rFonts w:ascii="宋体" w:hAnsi="宋体" w:cs="宋体"/>
                <w:szCs w:val="21"/>
              </w:rPr>
            </w:pPr>
          </w:p>
        </w:tc>
        <w:tc>
          <w:tcPr>
            <w:tcW w:w="543" w:type="pct"/>
            <w:noWrap w:val="0"/>
            <w:vAlign w:val="center"/>
          </w:tcPr>
          <w:p>
            <w:pPr>
              <w:spacing w:line="360" w:lineRule="auto"/>
              <w:jc w:val="center"/>
              <w:rPr>
                <w:rFonts w:ascii="宋体" w:hAnsi="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459" w:type="pct"/>
            <w:noWrap w:val="0"/>
            <w:vAlign w:val="center"/>
          </w:tcPr>
          <w:p>
            <w:pPr>
              <w:spacing w:line="360" w:lineRule="auto"/>
              <w:jc w:val="center"/>
              <w:rPr>
                <w:rFonts w:ascii="宋体" w:hAnsi="宋体" w:cs="宋体"/>
                <w:szCs w:val="21"/>
              </w:rPr>
            </w:pPr>
            <w:r>
              <w:rPr>
                <w:rFonts w:hint="eastAsia" w:ascii="宋体" w:hAnsi="宋体" w:cs="宋体"/>
                <w:szCs w:val="21"/>
              </w:rPr>
              <w:t>2</w:t>
            </w:r>
          </w:p>
        </w:tc>
        <w:tc>
          <w:tcPr>
            <w:tcW w:w="743" w:type="pct"/>
            <w:noWrap w:val="0"/>
            <w:vAlign w:val="center"/>
          </w:tcPr>
          <w:p>
            <w:pPr>
              <w:spacing w:line="360" w:lineRule="auto"/>
              <w:jc w:val="center"/>
              <w:rPr>
                <w:rFonts w:ascii="宋体" w:hAnsi="宋体" w:cs="宋体"/>
                <w:spacing w:val="2"/>
                <w:szCs w:val="21"/>
              </w:rPr>
            </w:pPr>
          </w:p>
        </w:tc>
        <w:tc>
          <w:tcPr>
            <w:tcW w:w="1062" w:type="pct"/>
            <w:noWrap w:val="0"/>
            <w:vAlign w:val="center"/>
          </w:tcPr>
          <w:p>
            <w:pPr>
              <w:spacing w:line="360" w:lineRule="auto"/>
              <w:jc w:val="center"/>
              <w:rPr>
                <w:rFonts w:ascii="宋体" w:hAnsi="宋体" w:cs="宋体"/>
                <w:spacing w:val="2"/>
                <w:szCs w:val="21"/>
              </w:rPr>
            </w:pPr>
          </w:p>
        </w:tc>
        <w:tc>
          <w:tcPr>
            <w:tcW w:w="937" w:type="pct"/>
            <w:noWrap w:val="0"/>
            <w:vAlign w:val="center"/>
          </w:tcPr>
          <w:p>
            <w:pPr>
              <w:spacing w:line="360" w:lineRule="auto"/>
              <w:jc w:val="center"/>
              <w:rPr>
                <w:rFonts w:ascii="宋体" w:hAnsi="宋体" w:cs="宋体"/>
                <w:spacing w:val="2"/>
                <w:szCs w:val="21"/>
              </w:rPr>
            </w:pPr>
          </w:p>
        </w:tc>
        <w:tc>
          <w:tcPr>
            <w:tcW w:w="627" w:type="pct"/>
            <w:noWrap w:val="0"/>
            <w:vAlign w:val="center"/>
          </w:tcPr>
          <w:p>
            <w:pPr>
              <w:spacing w:line="360" w:lineRule="auto"/>
              <w:jc w:val="center"/>
              <w:rPr>
                <w:rFonts w:ascii="宋体" w:hAnsi="宋体" w:cs="宋体"/>
                <w:szCs w:val="21"/>
              </w:rPr>
            </w:pPr>
          </w:p>
        </w:tc>
        <w:tc>
          <w:tcPr>
            <w:tcW w:w="627" w:type="pct"/>
            <w:noWrap w:val="0"/>
            <w:vAlign w:val="center"/>
          </w:tcPr>
          <w:p>
            <w:pPr>
              <w:spacing w:line="360" w:lineRule="auto"/>
              <w:jc w:val="center"/>
              <w:rPr>
                <w:rFonts w:ascii="宋体" w:hAnsi="宋体" w:cs="宋体"/>
                <w:szCs w:val="21"/>
              </w:rPr>
            </w:pPr>
          </w:p>
        </w:tc>
        <w:tc>
          <w:tcPr>
            <w:tcW w:w="543" w:type="pct"/>
            <w:noWrap w:val="0"/>
            <w:vAlign w:val="center"/>
          </w:tcPr>
          <w:p>
            <w:pPr>
              <w:spacing w:line="360" w:lineRule="auto"/>
              <w:jc w:val="center"/>
              <w:rPr>
                <w:rFonts w:ascii="宋体" w:hAnsi="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459" w:type="pct"/>
            <w:noWrap w:val="0"/>
            <w:vAlign w:val="center"/>
          </w:tcPr>
          <w:p>
            <w:pPr>
              <w:spacing w:line="360" w:lineRule="auto"/>
              <w:jc w:val="center"/>
              <w:rPr>
                <w:rFonts w:ascii="宋体" w:hAnsi="宋体" w:cs="宋体"/>
                <w:szCs w:val="21"/>
              </w:rPr>
            </w:pPr>
            <w:r>
              <w:rPr>
                <w:rFonts w:hint="eastAsia" w:ascii="宋体" w:hAnsi="宋体" w:cs="宋体"/>
                <w:szCs w:val="21"/>
              </w:rPr>
              <w:t>3</w:t>
            </w:r>
          </w:p>
        </w:tc>
        <w:tc>
          <w:tcPr>
            <w:tcW w:w="743" w:type="pct"/>
            <w:noWrap w:val="0"/>
            <w:vAlign w:val="center"/>
          </w:tcPr>
          <w:p>
            <w:pPr>
              <w:spacing w:line="360" w:lineRule="auto"/>
              <w:jc w:val="center"/>
              <w:rPr>
                <w:rFonts w:ascii="宋体" w:hAnsi="宋体" w:cs="宋体"/>
                <w:spacing w:val="2"/>
                <w:szCs w:val="21"/>
              </w:rPr>
            </w:pPr>
          </w:p>
        </w:tc>
        <w:tc>
          <w:tcPr>
            <w:tcW w:w="1062" w:type="pct"/>
            <w:noWrap w:val="0"/>
            <w:vAlign w:val="center"/>
          </w:tcPr>
          <w:p>
            <w:pPr>
              <w:spacing w:line="360" w:lineRule="auto"/>
              <w:jc w:val="center"/>
              <w:rPr>
                <w:rFonts w:ascii="宋体" w:hAnsi="宋体" w:cs="宋体"/>
                <w:spacing w:val="2"/>
                <w:szCs w:val="21"/>
              </w:rPr>
            </w:pPr>
          </w:p>
        </w:tc>
        <w:tc>
          <w:tcPr>
            <w:tcW w:w="937" w:type="pct"/>
            <w:noWrap w:val="0"/>
            <w:vAlign w:val="center"/>
          </w:tcPr>
          <w:p>
            <w:pPr>
              <w:spacing w:line="360" w:lineRule="auto"/>
              <w:jc w:val="center"/>
              <w:rPr>
                <w:rFonts w:ascii="宋体" w:hAnsi="宋体" w:cs="宋体"/>
                <w:spacing w:val="2"/>
                <w:szCs w:val="21"/>
              </w:rPr>
            </w:pPr>
          </w:p>
        </w:tc>
        <w:tc>
          <w:tcPr>
            <w:tcW w:w="627" w:type="pct"/>
            <w:noWrap w:val="0"/>
            <w:vAlign w:val="center"/>
          </w:tcPr>
          <w:p>
            <w:pPr>
              <w:spacing w:line="360" w:lineRule="auto"/>
              <w:jc w:val="center"/>
              <w:rPr>
                <w:rFonts w:ascii="宋体" w:hAnsi="宋体" w:cs="宋体"/>
                <w:szCs w:val="21"/>
              </w:rPr>
            </w:pPr>
          </w:p>
        </w:tc>
        <w:tc>
          <w:tcPr>
            <w:tcW w:w="627" w:type="pct"/>
            <w:noWrap w:val="0"/>
            <w:vAlign w:val="center"/>
          </w:tcPr>
          <w:p>
            <w:pPr>
              <w:spacing w:line="360" w:lineRule="auto"/>
              <w:jc w:val="center"/>
              <w:rPr>
                <w:rFonts w:ascii="宋体" w:hAnsi="宋体" w:cs="宋体"/>
                <w:szCs w:val="21"/>
              </w:rPr>
            </w:pPr>
          </w:p>
        </w:tc>
        <w:tc>
          <w:tcPr>
            <w:tcW w:w="543" w:type="pct"/>
            <w:noWrap w:val="0"/>
            <w:vAlign w:val="center"/>
          </w:tcPr>
          <w:p>
            <w:pPr>
              <w:spacing w:line="360" w:lineRule="auto"/>
              <w:jc w:val="center"/>
              <w:rPr>
                <w:rFonts w:ascii="宋体" w:hAnsi="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459" w:type="pct"/>
            <w:noWrap w:val="0"/>
            <w:vAlign w:val="center"/>
          </w:tcPr>
          <w:p>
            <w:pPr>
              <w:spacing w:line="360" w:lineRule="auto"/>
              <w:jc w:val="center"/>
              <w:rPr>
                <w:rFonts w:ascii="宋体" w:hAnsi="宋体" w:cs="宋体"/>
                <w:szCs w:val="21"/>
              </w:rPr>
            </w:pPr>
            <w:r>
              <w:rPr>
                <w:rFonts w:hint="eastAsia" w:ascii="宋体" w:hAnsi="宋体" w:cs="宋体"/>
                <w:szCs w:val="21"/>
              </w:rPr>
              <w:t>4</w:t>
            </w:r>
          </w:p>
        </w:tc>
        <w:tc>
          <w:tcPr>
            <w:tcW w:w="743" w:type="pct"/>
            <w:noWrap w:val="0"/>
            <w:vAlign w:val="center"/>
          </w:tcPr>
          <w:p>
            <w:pPr>
              <w:spacing w:line="360" w:lineRule="auto"/>
              <w:jc w:val="center"/>
              <w:rPr>
                <w:rFonts w:ascii="宋体" w:hAnsi="宋体" w:cs="宋体"/>
                <w:spacing w:val="2"/>
                <w:szCs w:val="21"/>
              </w:rPr>
            </w:pPr>
          </w:p>
        </w:tc>
        <w:tc>
          <w:tcPr>
            <w:tcW w:w="1062" w:type="pct"/>
            <w:noWrap w:val="0"/>
            <w:vAlign w:val="center"/>
          </w:tcPr>
          <w:p>
            <w:pPr>
              <w:spacing w:line="360" w:lineRule="auto"/>
              <w:jc w:val="center"/>
              <w:rPr>
                <w:rFonts w:ascii="宋体" w:hAnsi="宋体" w:cs="宋体"/>
                <w:spacing w:val="2"/>
                <w:szCs w:val="21"/>
              </w:rPr>
            </w:pPr>
          </w:p>
        </w:tc>
        <w:tc>
          <w:tcPr>
            <w:tcW w:w="937" w:type="pct"/>
            <w:noWrap w:val="0"/>
            <w:vAlign w:val="center"/>
          </w:tcPr>
          <w:p>
            <w:pPr>
              <w:spacing w:line="360" w:lineRule="auto"/>
              <w:jc w:val="center"/>
              <w:rPr>
                <w:rFonts w:ascii="宋体" w:hAnsi="宋体" w:cs="宋体"/>
                <w:spacing w:val="2"/>
                <w:szCs w:val="21"/>
              </w:rPr>
            </w:pPr>
          </w:p>
        </w:tc>
        <w:tc>
          <w:tcPr>
            <w:tcW w:w="627" w:type="pct"/>
            <w:noWrap w:val="0"/>
            <w:vAlign w:val="center"/>
          </w:tcPr>
          <w:p>
            <w:pPr>
              <w:spacing w:line="360" w:lineRule="auto"/>
              <w:jc w:val="center"/>
              <w:rPr>
                <w:rFonts w:ascii="宋体" w:hAnsi="宋体" w:cs="宋体"/>
                <w:szCs w:val="21"/>
              </w:rPr>
            </w:pPr>
          </w:p>
        </w:tc>
        <w:tc>
          <w:tcPr>
            <w:tcW w:w="627" w:type="pct"/>
            <w:noWrap w:val="0"/>
            <w:vAlign w:val="center"/>
          </w:tcPr>
          <w:p>
            <w:pPr>
              <w:spacing w:line="360" w:lineRule="auto"/>
              <w:jc w:val="center"/>
              <w:rPr>
                <w:rFonts w:ascii="宋体" w:hAnsi="宋体" w:cs="宋体"/>
                <w:szCs w:val="21"/>
              </w:rPr>
            </w:pPr>
          </w:p>
        </w:tc>
        <w:tc>
          <w:tcPr>
            <w:tcW w:w="543" w:type="pct"/>
            <w:noWrap w:val="0"/>
            <w:vAlign w:val="center"/>
          </w:tcPr>
          <w:p>
            <w:pPr>
              <w:spacing w:line="360" w:lineRule="auto"/>
              <w:jc w:val="center"/>
              <w:rPr>
                <w:rFonts w:ascii="宋体" w:hAnsi="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459" w:type="pct"/>
            <w:noWrap w:val="0"/>
            <w:vAlign w:val="center"/>
          </w:tcPr>
          <w:p>
            <w:pPr>
              <w:spacing w:line="360" w:lineRule="auto"/>
              <w:jc w:val="center"/>
              <w:rPr>
                <w:rFonts w:ascii="宋体" w:hAnsi="宋体" w:cs="宋体"/>
                <w:szCs w:val="21"/>
              </w:rPr>
            </w:pPr>
            <w:r>
              <w:rPr>
                <w:rFonts w:hint="eastAsia" w:ascii="宋体" w:hAnsi="宋体" w:cs="宋体"/>
                <w:szCs w:val="21"/>
              </w:rPr>
              <w:t>...</w:t>
            </w:r>
          </w:p>
        </w:tc>
        <w:tc>
          <w:tcPr>
            <w:tcW w:w="743" w:type="pct"/>
            <w:noWrap w:val="0"/>
            <w:vAlign w:val="center"/>
          </w:tcPr>
          <w:p>
            <w:pPr>
              <w:spacing w:line="360" w:lineRule="auto"/>
              <w:jc w:val="center"/>
              <w:rPr>
                <w:rFonts w:ascii="宋体" w:hAnsi="宋体" w:cs="宋体"/>
                <w:spacing w:val="2"/>
                <w:szCs w:val="21"/>
              </w:rPr>
            </w:pPr>
          </w:p>
        </w:tc>
        <w:tc>
          <w:tcPr>
            <w:tcW w:w="1062" w:type="pct"/>
            <w:noWrap w:val="0"/>
            <w:vAlign w:val="center"/>
          </w:tcPr>
          <w:p>
            <w:pPr>
              <w:spacing w:line="360" w:lineRule="auto"/>
              <w:jc w:val="center"/>
              <w:rPr>
                <w:rFonts w:ascii="宋体" w:hAnsi="宋体" w:cs="宋体"/>
                <w:spacing w:val="2"/>
                <w:szCs w:val="21"/>
              </w:rPr>
            </w:pPr>
          </w:p>
        </w:tc>
        <w:tc>
          <w:tcPr>
            <w:tcW w:w="937" w:type="pct"/>
            <w:noWrap w:val="0"/>
            <w:vAlign w:val="center"/>
          </w:tcPr>
          <w:p>
            <w:pPr>
              <w:spacing w:line="360" w:lineRule="auto"/>
              <w:jc w:val="center"/>
              <w:rPr>
                <w:rFonts w:ascii="宋体" w:hAnsi="宋体" w:cs="宋体"/>
                <w:spacing w:val="2"/>
                <w:szCs w:val="21"/>
              </w:rPr>
            </w:pPr>
          </w:p>
        </w:tc>
        <w:tc>
          <w:tcPr>
            <w:tcW w:w="627" w:type="pct"/>
            <w:noWrap w:val="0"/>
            <w:vAlign w:val="center"/>
          </w:tcPr>
          <w:p>
            <w:pPr>
              <w:spacing w:line="360" w:lineRule="auto"/>
              <w:jc w:val="center"/>
              <w:rPr>
                <w:rFonts w:ascii="宋体" w:hAnsi="宋体" w:cs="宋体"/>
                <w:szCs w:val="21"/>
              </w:rPr>
            </w:pPr>
          </w:p>
        </w:tc>
        <w:tc>
          <w:tcPr>
            <w:tcW w:w="627" w:type="pct"/>
            <w:noWrap w:val="0"/>
            <w:vAlign w:val="center"/>
          </w:tcPr>
          <w:p>
            <w:pPr>
              <w:spacing w:line="360" w:lineRule="auto"/>
              <w:jc w:val="center"/>
              <w:rPr>
                <w:rFonts w:ascii="宋体" w:hAnsi="宋体" w:cs="宋体"/>
                <w:szCs w:val="21"/>
              </w:rPr>
            </w:pPr>
          </w:p>
        </w:tc>
        <w:tc>
          <w:tcPr>
            <w:tcW w:w="543" w:type="pct"/>
            <w:noWrap w:val="0"/>
            <w:vAlign w:val="center"/>
          </w:tcPr>
          <w:p>
            <w:pPr>
              <w:spacing w:line="360" w:lineRule="auto"/>
              <w:jc w:val="center"/>
              <w:rPr>
                <w:rFonts w:ascii="宋体" w:hAnsi="宋体" w:cs="宋体"/>
                <w:szCs w:val="21"/>
              </w:rPr>
            </w:pPr>
          </w:p>
        </w:tc>
      </w:tr>
    </w:tbl>
    <w:p>
      <w:pPr>
        <w:spacing w:line="480" w:lineRule="auto"/>
        <w:rPr>
          <w:rFonts w:hint="eastAsia" w:ascii="宋体" w:hAnsi="宋体" w:eastAsia="宋体" w:cs="宋体"/>
          <w:b/>
          <w:bCs/>
          <w:szCs w:val="21"/>
          <w:lang w:val="en-US" w:eastAsia="zh-CN"/>
        </w:rPr>
      </w:pPr>
    </w:p>
    <w:p>
      <w:pPr>
        <w:spacing w:line="480" w:lineRule="auto"/>
        <w:rPr>
          <w:rFonts w:hint="eastAsia" w:ascii="宋体" w:hAnsi="宋体" w:eastAsia="宋体" w:cs="宋体"/>
          <w:b/>
          <w:bCs/>
          <w:szCs w:val="21"/>
          <w:lang w:val="en-US" w:eastAsia="zh-CN"/>
        </w:rPr>
      </w:pPr>
      <w:r>
        <w:rPr>
          <w:rFonts w:hint="eastAsia" w:ascii="宋体" w:hAnsi="宋体" w:eastAsia="宋体" w:cs="宋体"/>
          <w:b/>
          <w:bCs/>
          <w:szCs w:val="21"/>
          <w:lang w:val="en-US" w:eastAsia="zh-CN"/>
        </w:rPr>
        <w:t>注：根据招标文件第二章的采购需求进行填写。</w:t>
      </w:r>
    </w:p>
    <w:p>
      <w:pPr>
        <w:spacing w:line="480" w:lineRule="auto"/>
        <w:rPr>
          <w:rFonts w:hint="eastAsia" w:ascii="宋体" w:hAnsi="宋体" w:eastAsia="宋体" w:cs="宋体"/>
          <w:b/>
          <w:bCs/>
          <w:szCs w:val="21"/>
          <w:lang w:val="en-US" w:eastAsia="zh-CN"/>
        </w:rPr>
      </w:pPr>
    </w:p>
    <w:p>
      <w:pPr>
        <w:spacing w:line="480" w:lineRule="auto"/>
        <w:rPr>
          <w:rFonts w:hint="default" w:ascii="宋体" w:hAnsi="宋体" w:eastAsia="宋体" w:cs="宋体"/>
          <w:b/>
          <w:bCs/>
          <w:szCs w:val="21"/>
          <w:lang w:val="en-US" w:eastAsia="zh-CN"/>
        </w:rPr>
      </w:pPr>
    </w:p>
    <w:p>
      <w:pPr>
        <w:spacing w:line="480" w:lineRule="auto"/>
        <w:rPr>
          <w:rFonts w:ascii="宋体" w:hAnsi="宋体" w:cs="宋体"/>
          <w:szCs w:val="21"/>
          <w:u w:val="single"/>
        </w:rPr>
      </w:pPr>
      <w:r>
        <w:rPr>
          <w:rFonts w:hint="eastAsia" w:ascii="宋体" w:hAnsi="宋体" w:cs="宋体"/>
          <w:szCs w:val="21"/>
        </w:rPr>
        <w:t>响应人名称：</w:t>
      </w:r>
      <w:r>
        <w:rPr>
          <w:rFonts w:hint="eastAsia" w:ascii="宋体" w:hAnsi="宋体" w:cs="宋体"/>
          <w:b/>
          <w:spacing w:val="20"/>
          <w:szCs w:val="21"/>
          <w:u w:val="single"/>
        </w:rPr>
        <w:t xml:space="preserve">                </w:t>
      </w:r>
      <w:r>
        <w:rPr>
          <w:rFonts w:hint="eastAsia" w:ascii="宋体" w:hAnsi="宋体" w:cs="宋体"/>
          <w:szCs w:val="21"/>
        </w:rPr>
        <w:t xml:space="preserve">（加盖公章）  </w:t>
      </w:r>
    </w:p>
    <w:p>
      <w:pPr>
        <w:spacing w:line="480" w:lineRule="auto"/>
        <w:rPr>
          <w:rFonts w:ascii="宋体" w:hAnsi="宋体" w:cs="宋体"/>
          <w:szCs w:val="21"/>
        </w:rPr>
      </w:pPr>
      <w:r>
        <w:rPr>
          <w:rFonts w:hint="eastAsia" w:ascii="宋体" w:hAnsi="宋体" w:cs="宋体"/>
          <w:spacing w:val="-4"/>
          <w:szCs w:val="21"/>
        </w:rPr>
        <w:t>响应人代表</w:t>
      </w:r>
      <w:r>
        <w:rPr>
          <w:rFonts w:hint="eastAsia" w:ascii="宋体" w:hAnsi="宋体" w:cs="宋体"/>
          <w:szCs w:val="21"/>
        </w:rPr>
        <w:t>：</w:t>
      </w:r>
      <w:r>
        <w:rPr>
          <w:rFonts w:hint="eastAsia" w:ascii="宋体" w:hAnsi="宋体" w:cs="宋体"/>
          <w:b/>
          <w:spacing w:val="20"/>
          <w:szCs w:val="21"/>
          <w:u w:val="single"/>
        </w:rPr>
        <w:t xml:space="preserve">           </w:t>
      </w:r>
      <w:r>
        <w:rPr>
          <w:rFonts w:hint="eastAsia" w:ascii="宋体" w:hAnsi="宋体" w:cs="宋体"/>
          <w:szCs w:val="21"/>
        </w:rPr>
        <w:t>（签字）</w:t>
      </w:r>
    </w:p>
    <w:p>
      <w:pPr>
        <w:spacing w:line="480" w:lineRule="auto"/>
        <w:rPr>
          <w:rFonts w:ascii="宋体" w:hAnsi="宋体" w:cs="宋体"/>
          <w:szCs w:val="21"/>
        </w:rPr>
      </w:pPr>
      <w:r>
        <w:rPr>
          <w:rFonts w:hint="eastAsia" w:ascii="宋体" w:hAnsi="宋体" w:cs="宋体"/>
          <w:spacing w:val="20"/>
          <w:szCs w:val="21"/>
        </w:rPr>
        <w:t>日期：</w:t>
      </w:r>
      <w:r>
        <w:rPr>
          <w:rFonts w:hint="eastAsia" w:ascii="宋体" w:hAnsi="宋体" w:cs="宋体"/>
          <w:spacing w:val="20"/>
          <w:szCs w:val="21"/>
          <w:u w:val="single"/>
        </w:rPr>
        <w:t xml:space="preserve">    </w:t>
      </w:r>
      <w:r>
        <w:rPr>
          <w:rFonts w:hint="eastAsia" w:ascii="宋体" w:hAnsi="宋体" w:cs="宋体"/>
          <w:spacing w:val="20"/>
          <w:szCs w:val="21"/>
        </w:rPr>
        <w:t>年</w:t>
      </w:r>
      <w:r>
        <w:rPr>
          <w:rFonts w:hint="eastAsia" w:ascii="宋体" w:hAnsi="宋体" w:cs="宋体"/>
          <w:spacing w:val="20"/>
          <w:szCs w:val="21"/>
          <w:u w:val="single"/>
        </w:rPr>
        <w:t xml:space="preserve">   </w:t>
      </w:r>
      <w:r>
        <w:rPr>
          <w:rFonts w:hint="eastAsia" w:ascii="宋体" w:hAnsi="宋体" w:cs="宋体"/>
          <w:spacing w:val="20"/>
          <w:szCs w:val="21"/>
        </w:rPr>
        <w:t>月</w:t>
      </w:r>
      <w:r>
        <w:rPr>
          <w:rFonts w:hint="eastAsia" w:ascii="宋体" w:hAnsi="宋体" w:cs="宋体"/>
          <w:spacing w:val="20"/>
          <w:szCs w:val="21"/>
          <w:u w:val="single"/>
        </w:rPr>
        <w:t xml:space="preserve">   </w:t>
      </w:r>
      <w:r>
        <w:rPr>
          <w:rFonts w:hint="eastAsia" w:ascii="宋体" w:hAnsi="宋体" w:cs="宋体"/>
          <w:spacing w:val="20"/>
          <w:szCs w:val="21"/>
        </w:rPr>
        <w:t>日</w:t>
      </w:r>
    </w:p>
    <w:p>
      <w:pPr>
        <w:rPr>
          <w:rFonts w:ascii="宋体" w:cs="宋体"/>
          <w:b/>
          <w:bCs/>
          <w:szCs w:val="21"/>
        </w:rPr>
      </w:pPr>
      <w:r>
        <w:rPr>
          <w:rFonts w:hint="eastAsia" w:ascii="宋体" w:cs="宋体"/>
          <w:b/>
          <w:bCs/>
          <w:szCs w:val="21"/>
        </w:rPr>
        <w:br w:type="page"/>
      </w:r>
    </w:p>
    <w:p>
      <w:pPr>
        <w:outlineLvl w:val="2"/>
        <w:rPr>
          <w:rFonts w:hint="eastAsia" w:ascii="宋体" w:cs="宋体"/>
          <w:b/>
          <w:bCs/>
          <w:szCs w:val="21"/>
          <w:lang w:val="en-US" w:eastAsia="zh-CN"/>
        </w:rPr>
      </w:pPr>
      <w:r>
        <w:rPr>
          <w:rFonts w:hint="eastAsia" w:ascii="宋体" w:cs="宋体"/>
          <w:b/>
          <w:bCs/>
          <w:szCs w:val="21"/>
          <w:lang w:val="en-US" w:eastAsia="zh-CN"/>
        </w:rPr>
        <w:t>格式十、投标产品技术参数偏离表</w:t>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宋体" w:cs="宋体"/>
          <w:b/>
          <w:bCs/>
          <w:szCs w:val="21"/>
          <w:lang w:val="en-US" w:eastAsia="zh-CN"/>
        </w:rPr>
      </w:pPr>
    </w:p>
    <w:tbl>
      <w:tblPr>
        <w:tblStyle w:val="95"/>
        <w:tblW w:w="500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79"/>
        <w:gridCol w:w="1423"/>
        <w:gridCol w:w="2034"/>
        <w:gridCol w:w="1795"/>
        <w:gridCol w:w="1201"/>
        <w:gridCol w:w="1201"/>
        <w:gridCol w:w="10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459" w:type="pct"/>
            <w:noWrap w:val="0"/>
            <w:vAlign w:val="center"/>
          </w:tcPr>
          <w:p>
            <w:pPr>
              <w:spacing w:line="360" w:lineRule="auto"/>
              <w:jc w:val="center"/>
              <w:rPr>
                <w:rFonts w:ascii="宋体" w:hAnsi="宋体" w:cs="宋体"/>
                <w:b/>
                <w:bCs/>
                <w:szCs w:val="21"/>
              </w:rPr>
            </w:pPr>
            <w:r>
              <w:rPr>
                <w:rFonts w:hint="eastAsia" w:ascii="宋体" w:hAnsi="宋体" w:cs="宋体"/>
                <w:b/>
                <w:bCs/>
                <w:szCs w:val="21"/>
              </w:rPr>
              <w:t>序号</w:t>
            </w:r>
          </w:p>
        </w:tc>
        <w:tc>
          <w:tcPr>
            <w:tcW w:w="743" w:type="pct"/>
            <w:noWrap w:val="0"/>
            <w:vAlign w:val="center"/>
          </w:tcPr>
          <w:p>
            <w:pPr>
              <w:pStyle w:val="89"/>
              <w:spacing w:line="360" w:lineRule="auto"/>
              <w:jc w:val="center"/>
              <w:rPr>
                <w:b/>
                <w:bCs/>
                <w:spacing w:val="2"/>
                <w:szCs w:val="21"/>
              </w:rPr>
            </w:pPr>
            <w:r>
              <w:rPr>
                <w:rFonts w:hint="eastAsia"/>
                <w:b/>
                <w:bCs/>
                <w:color w:val="000000"/>
                <w:szCs w:val="21"/>
                <w:lang w:val="en-US" w:eastAsia="zh-CN"/>
              </w:rPr>
              <w:t>系统</w:t>
            </w:r>
            <w:r>
              <w:rPr>
                <w:rFonts w:hint="eastAsia"/>
                <w:b/>
                <w:bCs/>
                <w:color w:val="000000"/>
                <w:szCs w:val="21"/>
                <w:lang w:val="en-US"/>
              </w:rPr>
              <w:t>模块</w:t>
            </w:r>
          </w:p>
        </w:tc>
        <w:tc>
          <w:tcPr>
            <w:tcW w:w="106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b/>
                <w:bCs/>
                <w:spacing w:val="2"/>
                <w:szCs w:val="21"/>
              </w:rPr>
            </w:pPr>
            <w:r>
              <w:rPr>
                <w:rFonts w:hint="eastAsia" w:ascii="宋体" w:hAnsi="宋体" w:eastAsia="宋体" w:cs="宋体"/>
                <w:b/>
                <w:bCs/>
                <w:i w:val="0"/>
                <w:iCs w:val="0"/>
                <w:color w:val="000000"/>
                <w:kern w:val="0"/>
                <w:sz w:val="21"/>
                <w:szCs w:val="21"/>
                <w:u w:val="none"/>
                <w:lang w:val="en-US" w:eastAsia="zh-CN" w:bidi="ar"/>
              </w:rPr>
              <w:t>一级功能</w:t>
            </w:r>
          </w:p>
        </w:tc>
        <w:tc>
          <w:tcPr>
            <w:tcW w:w="93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b/>
                <w:bCs/>
                <w:color w:val="000000"/>
                <w:szCs w:val="21"/>
                <w:lang w:val="en-US"/>
              </w:rPr>
            </w:pPr>
            <w:r>
              <w:rPr>
                <w:rFonts w:hint="eastAsia" w:ascii="宋体" w:hAnsi="宋体" w:eastAsia="宋体" w:cs="宋体"/>
                <w:b/>
                <w:bCs/>
                <w:i w:val="0"/>
                <w:iCs w:val="0"/>
                <w:color w:val="000000"/>
                <w:kern w:val="0"/>
                <w:sz w:val="21"/>
                <w:szCs w:val="21"/>
                <w:u w:val="none"/>
                <w:lang w:val="en-US" w:eastAsia="zh-CN" w:bidi="ar"/>
              </w:rPr>
              <w:t>二级功能</w:t>
            </w:r>
          </w:p>
        </w:tc>
        <w:tc>
          <w:tcPr>
            <w:tcW w:w="627" w:type="pct"/>
            <w:noWrap w:val="0"/>
            <w:vAlign w:val="center"/>
          </w:tcPr>
          <w:p>
            <w:pPr>
              <w:spacing w:line="360" w:lineRule="auto"/>
              <w:jc w:val="center"/>
              <w:rPr>
                <w:rFonts w:ascii="宋体" w:hAnsi="宋体" w:cs="宋体"/>
                <w:b/>
                <w:bCs/>
                <w:spacing w:val="2"/>
                <w:szCs w:val="21"/>
              </w:rPr>
            </w:pPr>
            <w:r>
              <w:rPr>
                <w:rFonts w:hint="eastAsia" w:ascii="宋体" w:hAnsi="宋体" w:cs="宋体"/>
                <w:b/>
                <w:bCs/>
                <w:spacing w:val="2"/>
                <w:szCs w:val="21"/>
              </w:rPr>
              <w:t>开发者</w:t>
            </w:r>
          </w:p>
        </w:tc>
        <w:tc>
          <w:tcPr>
            <w:tcW w:w="627" w:type="pct"/>
            <w:noWrap w:val="0"/>
            <w:vAlign w:val="center"/>
          </w:tcPr>
          <w:p>
            <w:pPr>
              <w:spacing w:line="360" w:lineRule="auto"/>
              <w:jc w:val="center"/>
              <w:rPr>
                <w:rFonts w:ascii="宋体" w:hAnsi="宋体" w:cs="宋体"/>
                <w:b/>
                <w:bCs/>
                <w:szCs w:val="21"/>
              </w:rPr>
            </w:pPr>
            <w:r>
              <w:rPr>
                <w:rFonts w:hint="eastAsia" w:ascii="宋体" w:hAnsi="宋体" w:cs="宋体"/>
                <w:b/>
                <w:bCs/>
                <w:szCs w:val="21"/>
              </w:rPr>
              <w:t>数量</w:t>
            </w:r>
          </w:p>
        </w:tc>
        <w:tc>
          <w:tcPr>
            <w:tcW w:w="543" w:type="pct"/>
            <w:noWrap w:val="0"/>
            <w:vAlign w:val="center"/>
          </w:tcPr>
          <w:p>
            <w:pPr>
              <w:spacing w:line="360" w:lineRule="auto"/>
              <w:jc w:val="center"/>
              <w:rPr>
                <w:rFonts w:ascii="宋体" w:hAnsi="宋体" w:cs="宋体"/>
                <w:b/>
                <w:bCs/>
                <w:spacing w:val="-2"/>
                <w:szCs w:val="21"/>
              </w:rPr>
            </w:pPr>
            <w:r>
              <w:rPr>
                <w:rFonts w:hint="eastAsia" w:ascii="宋体" w:hAnsi="宋体" w:cs="宋体"/>
                <w:b/>
                <w:bCs/>
                <w:spacing w:val="-2"/>
                <w:szCs w:val="21"/>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459" w:type="pct"/>
            <w:noWrap w:val="0"/>
            <w:vAlign w:val="center"/>
          </w:tcPr>
          <w:p>
            <w:pPr>
              <w:spacing w:line="360" w:lineRule="auto"/>
              <w:jc w:val="center"/>
              <w:rPr>
                <w:rFonts w:ascii="宋体" w:hAnsi="宋体" w:cs="宋体"/>
                <w:szCs w:val="21"/>
              </w:rPr>
            </w:pPr>
            <w:r>
              <w:rPr>
                <w:rFonts w:hint="eastAsia" w:ascii="宋体" w:hAnsi="宋体" w:cs="宋体"/>
                <w:szCs w:val="21"/>
              </w:rPr>
              <w:t>1</w:t>
            </w:r>
          </w:p>
        </w:tc>
        <w:tc>
          <w:tcPr>
            <w:tcW w:w="743" w:type="pct"/>
            <w:noWrap w:val="0"/>
            <w:vAlign w:val="center"/>
          </w:tcPr>
          <w:p>
            <w:pPr>
              <w:spacing w:line="360" w:lineRule="auto"/>
              <w:jc w:val="center"/>
              <w:rPr>
                <w:rFonts w:ascii="宋体" w:hAnsi="宋体" w:cs="宋体"/>
                <w:spacing w:val="2"/>
                <w:szCs w:val="21"/>
              </w:rPr>
            </w:pPr>
          </w:p>
        </w:tc>
        <w:tc>
          <w:tcPr>
            <w:tcW w:w="1062" w:type="pct"/>
            <w:noWrap w:val="0"/>
            <w:vAlign w:val="center"/>
          </w:tcPr>
          <w:p>
            <w:pPr>
              <w:spacing w:line="360" w:lineRule="auto"/>
              <w:jc w:val="center"/>
              <w:rPr>
                <w:rFonts w:ascii="宋体" w:hAnsi="宋体" w:cs="宋体"/>
                <w:spacing w:val="2"/>
                <w:szCs w:val="21"/>
              </w:rPr>
            </w:pPr>
          </w:p>
        </w:tc>
        <w:tc>
          <w:tcPr>
            <w:tcW w:w="937" w:type="pct"/>
            <w:noWrap w:val="0"/>
            <w:vAlign w:val="center"/>
          </w:tcPr>
          <w:p>
            <w:pPr>
              <w:spacing w:line="360" w:lineRule="auto"/>
              <w:jc w:val="center"/>
              <w:rPr>
                <w:rFonts w:ascii="宋体" w:hAnsi="宋体" w:cs="宋体"/>
                <w:spacing w:val="2"/>
                <w:szCs w:val="21"/>
              </w:rPr>
            </w:pPr>
          </w:p>
        </w:tc>
        <w:tc>
          <w:tcPr>
            <w:tcW w:w="627" w:type="pct"/>
            <w:noWrap w:val="0"/>
            <w:vAlign w:val="center"/>
          </w:tcPr>
          <w:p>
            <w:pPr>
              <w:spacing w:line="360" w:lineRule="auto"/>
              <w:jc w:val="center"/>
              <w:rPr>
                <w:rFonts w:ascii="宋体" w:hAnsi="宋体" w:cs="宋体"/>
                <w:szCs w:val="21"/>
              </w:rPr>
            </w:pPr>
          </w:p>
        </w:tc>
        <w:tc>
          <w:tcPr>
            <w:tcW w:w="627" w:type="pct"/>
            <w:noWrap w:val="0"/>
            <w:vAlign w:val="center"/>
          </w:tcPr>
          <w:p>
            <w:pPr>
              <w:spacing w:line="360" w:lineRule="auto"/>
              <w:jc w:val="center"/>
              <w:rPr>
                <w:rFonts w:ascii="宋体" w:hAnsi="宋体" w:cs="宋体"/>
                <w:szCs w:val="21"/>
              </w:rPr>
            </w:pPr>
          </w:p>
        </w:tc>
        <w:tc>
          <w:tcPr>
            <w:tcW w:w="543" w:type="pct"/>
            <w:noWrap w:val="0"/>
            <w:vAlign w:val="center"/>
          </w:tcPr>
          <w:p>
            <w:pPr>
              <w:spacing w:line="360" w:lineRule="auto"/>
              <w:jc w:val="center"/>
              <w:rPr>
                <w:rFonts w:ascii="宋体" w:hAnsi="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459" w:type="pct"/>
            <w:noWrap w:val="0"/>
            <w:vAlign w:val="center"/>
          </w:tcPr>
          <w:p>
            <w:pPr>
              <w:spacing w:line="360" w:lineRule="auto"/>
              <w:jc w:val="center"/>
              <w:rPr>
                <w:rFonts w:ascii="宋体" w:hAnsi="宋体" w:cs="宋体"/>
                <w:szCs w:val="21"/>
              </w:rPr>
            </w:pPr>
            <w:r>
              <w:rPr>
                <w:rFonts w:hint="eastAsia" w:ascii="宋体" w:hAnsi="宋体" w:cs="宋体"/>
                <w:szCs w:val="21"/>
              </w:rPr>
              <w:t>2</w:t>
            </w:r>
          </w:p>
        </w:tc>
        <w:tc>
          <w:tcPr>
            <w:tcW w:w="743" w:type="pct"/>
            <w:noWrap w:val="0"/>
            <w:vAlign w:val="center"/>
          </w:tcPr>
          <w:p>
            <w:pPr>
              <w:spacing w:line="360" w:lineRule="auto"/>
              <w:jc w:val="center"/>
              <w:rPr>
                <w:rFonts w:ascii="宋体" w:hAnsi="宋体" w:cs="宋体"/>
                <w:spacing w:val="2"/>
                <w:szCs w:val="21"/>
              </w:rPr>
            </w:pPr>
          </w:p>
        </w:tc>
        <w:tc>
          <w:tcPr>
            <w:tcW w:w="1062" w:type="pct"/>
            <w:noWrap w:val="0"/>
            <w:vAlign w:val="center"/>
          </w:tcPr>
          <w:p>
            <w:pPr>
              <w:spacing w:line="360" w:lineRule="auto"/>
              <w:jc w:val="center"/>
              <w:rPr>
                <w:rFonts w:ascii="宋体" w:hAnsi="宋体" w:cs="宋体"/>
                <w:spacing w:val="2"/>
                <w:szCs w:val="21"/>
              </w:rPr>
            </w:pPr>
          </w:p>
        </w:tc>
        <w:tc>
          <w:tcPr>
            <w:tcW w:w="937" w:type="pct"/>
            <w:noWrap w:val="0"/>
            <w:vAlign w:val="center"/>
          </w:tcPr>
          <w:p>
            <w:pPr>
              <w:spacing w:line="360" w:lineRule="auto"/>
              <w:jc w:val="center"/>
              <w:rPr>
                <w:rFonts w:ascii="宋体" w:hAnsi="宋体" w:cs="宋体"/>
                <w:spacing w:val="2"/>
                <w:szCs w:val="21"/>
              </w:rPr>
            </w:pPr>
          </w:p>
        </w:tc>
        <w:tc>
          <w:tcPr>
            <w:tcW w:w="627" w:type="pct"/>
            <w:noWrap w:val="0"/>
            <w:vAlign w:val="center"/>
          </w:tcPr>
          <w:p>
            <w:pPr>
              <w:spacing w:line="360" w:lineRule="auto"/>
              <w:jc w:val="center"/>
              <w:rPr>
                <w:rFonts w:ascii="宋体" w:hAnsi="宋体" w:cs="宋体"/>
                <w:szCs w:val="21"/>
              </w:rPr>
            </w:pPr>
          </w:p>
        </w:tc>
        <w:tc>
          <w:tcPr>
            <w:tcW w:w="627" w:type="pct"/>
            <w:noWrap w:val="0"/>
            <w:vAlign w:val="center"/>
          </w:tcPr>
          <w:p>
            <w:pPr>
              <w:spacing w:line="360" w:lineRule="auto"/>
              <w:jc w:val="center"/>
              <w:rPr>
                <w:rFonts w:ascii="宋体" w:hAnsi="宋体" w:cs="宋体"/>
                <w:szCs w:val="21"/>
              </w:rPr>
            </w:pPr>
          </w:p>
        </w:tc>
        <w:tc>
          <w:tcPr>
            <w:tcW w:w="543" w:type="pct"/>
            <w:noWrap w:val="0"/>
            <w:vAlign w:val="center"/>
          </w:tcPr>
          <w:p>
            <w:pPr>
              <w:spacing w:line="360" w:lineRule="auto"/>
              <w:jc w:val="center"/>
              <w:rPr>
                <w:rFonts w:ascii="宋体" w:hAnsi="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459" w:type="pct"/>
            <w:noWrap w:val="0"/>
            <w:vAlign w:val="center"/>
          </w:tcPr>
          <w:p>
            <w:pPr>
              <w:spacing w:line="360" w:lineRule="auto"/>
              <w:jc w:val="center"/>
              <w:rPr>
                <w:rFonts w:ascii="宋体" w:hAnsi="宋体" w:cs="宋体"/>
                <w:szCs w:val="21"/>
              </w:rPr>
            </w:pPr>
            <w:r>
              <w:rPr>
                <w:rFonts w:hint="eastAsia" w:ascii="宋体" w:hAnsi="宋体" w:cs="宋体"/>
                <w:szCs w:val="21"/>
              </w:rPr>
              <w:t>3</w:t>
            </w:r>
          </w:p>
        </w:tc>
        <w:tc>
          <w:tcPr>
            <w:tcW w:w="743" w:type="pct"/>
            <w:noWrap w:val="0"/>
            <w:vAlign w:val="center"/>
          </w:tcPr>
          <w:p>
            <w:pPr>
              <w:spacing w:line="360" w:lineRule="auto"/>
              <w:jc w:val="center"/>
              <w:rPr>
                <w:rFonts w:ascii="宋体" w:hAnsi="宋体" w:cs="宋体"/>
                <w:spacing w:val="2"/>
                <w:szCs w:val="21"/>
              </w:rPr>
            </w:pPr>
          </w:p>
        </w:tc>
        <w:tc>
          <w:tcPr>
            <w:tcW w:w="1062" w:type="pct"/>
            <w:noWrap w:val="0"/>
            <w:vAlign w:val="center"/>
          </w:tcPr>
          <w:p>
            <w:pPr>
              <w:spacing w:line="360" w:lineRule="auto"/>
              <w:jc w:val="center"/>
              <w:rPr>
                <w:rFonts w:ascii="宋体" w:hAnsi="宋体" w:cs="宋体"/>
                <w:spacing w:val="2"/>
                <w:szCs w:val="21"/>
              </w:rPr>
            </w:pPr>
          </w:p>
        </w:tc>
        <w:tc>
          <w:tcPr>
            <w:tcW w:w="937" w:type="pct"/>
            <w:noWrap w:val="0"/>
            <w:vAlign w:val="center"/>
          </w:tcPr>
          <w:p>
            <w:pPr>
              <w:spacing w:line="360" w:lineRule="auto"/>
              <w:jc w:val="center"/>
              <w:rPr>
                <w:rFonts w:ascii="宋体" w:hAnsi="宋体" w:cs="宋体"/>
                <w:spacing w:val="2"/>
                <w:szCs w:val="21"/>
              </w:rPr>
            </w:pPr>
          </w:p>
        </w:tc>
        <w:tc>
          <w:tcPr>
            <w:tcW w:w="627" w:type="pct"/>
            <w:noWrap w:val="0"/>
            <w:vAlign w:val="center"/>
          </w:tcPr>
          <w:p>
            <w:pPr>
              <w:spacing w:line="360" w:lineRule="auto"/>
              <w:jc w:val="center"/>
              <w:rPr>
                <w:rFonts w:ascii="宋体" w:hAnsi="宋体" w:cs="宋体"/>
                <w:szCs w:val="21"/>
              </w:rPr>
            </w:pPr>
          </w:p>
        </w:tc>
        <w:tc>
          <w:tcPr>
            <w:tcW w:w="627" w:type="pct"/>
            <w:noWrap w:val="0"/>
            <w:vAlign w:val="center"/>
          </w:tcPr>
          <w:p>
            <w:pPr>
              <w:spacing w:line="360" w:lineRule="auto"/>
              <w:jc w:val="center"/>
              <w:rPr>
                <w:rFonts w:ascii="宋体" w:hAnsi="宋体" w:cs="宋体"/>
                <w:szCs w:val="21"/>
              </w:rPr>
            </w:pPr>
          </w:p>
        </w:tc>
        <w:tc>
          <w:tcPr>
            <w:tcW w:w="543" w:type="pct"/>
            <w:noWrap w:val="0"/>
            <w:vAlign w:val="center"/>
          </w:tcPr>
          <w:p>
            <w:pPr>
              <w:spacing w:line="360" w:lineRule="auto"/>
              <w:jc w:val="center"/>
              <w:rPr>
                <w:rFonts w:ascii="宋体" w:hAnsi="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459" w:type="pct"/>
            <w:noWrap w:val="0"/>
            <w:vAlign w:val="center"/>
          </w:tcPr>
          <w:p>
            <w:pPr>
              <w:spacing w:line="360" w:lineRule="auto"/>
              <w:jc w:val="center"/>
              <w:rPr>
                <w:rFonts w:ascii="宋体" w:hAnsi="宋体" w:cs="宋体"/>
                <w:szCs w:val="21"/>
              </w:rPr>
            </w:pPr>
            <w:r>
              <w:rPr>
                <w:rFonts w:hint="eastAsia" w:ascii="宋体" w:hAnsi="宋体" w:cs="宋体"/>
                <w:szCs w:val="21"/>
              </w:rPr>
              <w:t>4</w:t>
            </w:r>
          </w:p>
        </w:tc>
        <w:tc>
          <w:tcPr>
            <w:tcW w:w="743" w:type="pct"/>
            <w:noWrap w:val="0"/>
            <w:vAlign w:val="center"/>
          </w:tcPr>
          <w:p>
            <w:pPr>
              <w:spacing w:line="360" w:lineRule="auto"/>
              <w:jc w:val="center"/>
              <w:rPr>
                <w:rFonts w:ascii="宋体" w:hAnsi="宋体" w:cs="宋体"/>
                <w:spacing w:val="2"/>
                <w:szCs w:val="21"/>
              </w:rPr>
            </w:pPr>
          </w:p>
        </w:tc>
        <w:tc>
          <w:tcPr>
            <w:tcW w:w="1062" w:type="pct"/>
            <w:noWrap w:val="0"/>
            <w:vAlign w:val="center"/>
          </w:tcPr>
          <w:p>
            <w:pPr>
              <w:spacing w:line="360" w:lineRule="auto"/>
              <w:jc w:val="center"/>
              <w:rPr>
                <w:rFonts w:ascii="宋体" w:hAnsi="宋体" w:cs="宋体"/>
                <w:spacing w:val="2"/>
                <w:szCs w:val="21"/>
              </w:rPr>
            </w:pPr>
          </w:p>
        </w:tc>
        <w:tc>
          <w:tcPr>
            <w:tcW w:w="937" w:type="pct"/>
            <w:noWrap w:val="0"/>
            <w:vAlign w:val="center"/>
          </w:tcPr>
          <w:p>
            <w:pPr>
              <w:spacing w:line="360" w:lineRule="auto"/>
              <w:jc w:val="center"/>
              <w:rPr>
                <w:rFonts w:ascii="宋体" w:hAnsi="宋体" w:cs="宋体"/>
                <w:spacing w:val="2"/>
                <w:szCs w:val="21"/>
              </w:rPr>
            </w:pPr>
          </w:p>
        </w:tc>
        <w:tc>
          <w:tcPr>
            <w:tcW w:w="627" w:type="pct"/>
            <w:noWrap w:val="0"/>
            <w:vAlign w:val="center"/>
          </w:tcPr>
          <w:p>
            <w:pPr>
              <w:spacing w:line="360" w:lineRule="auto"/>
              <w:jc w:val="center"/>
              <w:rPr>
                <w:rFonts w:ascii="宋体" w:hAnsi="宋体" w:cs="宋体"/>
                <w:szCs w:val="21"/>
              </w:rPr>
            </w:pPr>
          </w:p>
        </w:tc>
        <w:tc>
          <w:tcPr>
            <w:tcW w:w="627" w:type="pct"/>
            <w:noWrap w:val="0"/>
            <w:vAlign w:val="center"/>
          </w:tcPr>
          <w:p>
            <w:pPr>
              <w:spacing w:line="360" w:lineRule="auto"/>
              <w:jc w:val="center"/>
              <w:rPr>
                <w:rFonts w:ascii="宋体" w:hAnsi="宋体" w:cs="宋体"/>
                <w:szCs w:val="21"/>
              </w:rPr>
            </w:pPr>
          </w:p>
        </w:tc>
        <w:tc>
          <w:tcPr>
            <w:tcW w:w="543" w:type="pct"/>
            <w:noWrap w:val="0"/>
            <w:vAlign w:val="center"/>
          </w:tcPr>
          <w:p>
            <w:pPr>
              <w:spacing w:line="360" w:lineRule="auto"/>
              <w:jc w:val="center"/>
              <w:rPr>
                <w:rFonts w:ascii="宋体" w:hAnsi="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459" w:type="pct"/>
            <w:noWrap w:val="0"/>
            <w:vAlign w:val="center"/>
          </w:tcPr>
          <w:p>
            <w:pPr>
              <w:spacing w:line="360" w:lineRule="auto"/>
              <w:jc w:val="center"/>
              <w:rPr>
                <w:rFonts w:ascii="宋体" w:hAnsi="宋体" w:cs="宋体"/>
                <w:szCs w:val="21"/>
              </w:rPr>
            </w:pPr>
            <w:r>
              <w:rPr>
                <w:rFonts w:hint="eastAsia" w:ascii="宋体" w:hAnsi="宋体" w:cs="宋体"/>
                <w:szCs w:val="21"/>
              </w:rPr>
              <w:t>...</w:t>
            </w:r>
          </w:p>
        </w:tc>
        <w:tc>
          <w:tcPr>
            <w:tcW w:w="743" w:type="pct"/>
            <w:noWrap w:val="0"/>
            <w:vAlign w:val="center"/>
          </w:tcPr>
          <w:p>
            <w:pPr>
              <w:spacing w:line="360" w:lineRule="auto"/>
              <w:jc w:val="center"/>
              <w:rPr>
                <w:rFonts w:ascii="宋体" w:hAnsi="宋体" w:cs="宋体"/>
                <w:spacing w:val="2"/>
                <w:szCs w:val="21"/>
              </w:rPr>
            </w:pPr>
          </w:p>
        </w:tc>
        <w:tc>
          <w:tcPr>
            <w:tcW w:w="1062" w:type="pct"/>
            <w:noWrap w:val="0"/>
            <w:vAlign w:val="center"/>
          </w:tcPr>
          <w:p>
            <w:pPr>
              <w:spacing w:line="360" w:lineRule="auto"/>
              <w:jc w:val="center"/>
              <w:rPr>
                <w:rFonts w:ascii="宋体" w:hAnsi="宋体" w:cs="宋体"/>
                <w:spacing w:val="2"/>
                <w:szCs w:val="21"/>
              </w:rPr>
            </w:pPr>
          </w:p>
        </w:tc>
        <w:tc>
          <w:tcPr>
            <w:tcW w:w="937" w:type="pct"/>
            <w:noWrap w:val="0"/>
            <w:vAlign w:val="center"/>
          </w:tcPr>
          <w:p>
            <w:pPr>
              <w:spacing w:line="360" w:lineRule="auto"/>
              <w:jc w:val="center"/>
              <w:rPr>
                <w:rFonts w:ascii="宋体" w:hAnsi="宋体" w:cs="宋体"/>
                <w:spacing w:val="2"/>
                <w:szCs w:val="21"/>
              </w:rPr>
            </w:pPr>
          </w:p>
        </w:tc>
        <w:tc>
          <w:tcPr>
            <w:tcW w:w="627" w:type="pct"/>
            <w:noWrap w:val="0"/>
            <w:vAlign w:val="center"/>
          </w:tcPr>
          <w:p>
            <w:pPr>
              <w:spacing w:line="360" w:lineRule="auto"/>
              <w:jc w:val="center"/>
              <w:rPr>
                <w:rFonts w:ascii="宋体" w:hAnsi="宋体" w:cs="宋体"/>
                <w:szCs w:val="21"/>
              </w:rPr>
            </w:pPr>
          </w:p>
        </w:tc>
        <w:tc>
          <w:tcPr>
            <w:tcW w:w="627" w:type="pct"/>
            <w:noWrap w:val="0"/>
            <w:vAlign w:val="center"/>
          </w:tcPr>
          <w:p>
            <w:pPr>
              <w:spacing w:line="360" w:lineRule="auto"/>
              <w:jc w:val="center"/>
              <w:rPr>
                <w:rFonts w:ascii="宋体" w:hAnsi="宋体" w:cs="宋体"/>
                <w:szCs w:val="21"/>
              </w:rPr>
            </w:pPr>
          </w:p>
        </w:tc>
        <w:tc>
          <w:tcPr>
            <w:tcW w:w="543" w:type="pct"/>
            <w:noWrap w:val="0"/>
            <w:vAlign w:val="center"/>
          </w:tcPr>
          <w:p>
            <w:pPr>
              <w:spacing w:line="360" w:lineRule="auto"/>
              <w:jc w:val="center"/>
              <w:rPr>
                <w:rFonts w:ascii="宋体" w:hAnsi="宋体" w:cs="宋体"/>
                <w:szCs w:val="21"/>
              </w:rPr>
            </w:pPr>
          </w:p>
        </w:tc>
      </w:tr>
    </w:tbl>
    <w:p>
      <w:pPr>
        <w:pStyle w:val="38"/>
        <w:keepNext w:val="0"/>
        <w:keepLines w:val="0"/>
        <w:pageBreakBefore w:val="0"/>
        <w:widowControl w:val="0"/>
        <w:kinsoku/>
        <w:wordWrap/>
        <w:overflowPunct/>
        <w:topLinePunct w:val="0"/>
        <w:bidi w:val="0"/>
        <w:snapToGrid/>
        <w:textAlignment w:val="auto"/>
        <w:outlineLvl w:val="9"/>
        <w:rPr>
          <w:rFonts w:hint="eastAsia" w:ascii="宋体" w:hAnsi="Times New Roman" w:eastAsia="宋体" w:cs="宋体"/>
          <w:b/>
          <w:bCs/>
          <w:sz w:val="21"/>
          <w:szCs w:val="21"/>
          <w:lang w:val="en-US" w:eastAsia="zh-CN"/>
        </w:rPr>
      </w:pPr>
    </w:p>
    <w:p>
      <w:pPr>
        <w:keepNext w:val="0"/>
        <w:keepLines w:val="0"/>
        <w:pageBreakBefore w:val="0"/>
        <w:widowControl w:val="0"/>
        <w:kinsoku/>
        <w:wordWrap/>
        <w:overflowPunct/>
        <w:topLinePunct w:val="0"/>
        <w:bidi w:val="0"/>
        <w:snapToGrid/>
        <w:textAlignment w:val="auto"/>
        <w:outlineLvl w:val="9"/>
        <w:rPr>
          <w:rFonts w:hint="eastAsia" w:ascii="宋体" w:cs="宋体"/>
          <w:b/>
          <w:bCs/>
          <w:color w:val="auto"/>
          <w:szCs w:val="21"/>
          <w:highlight w:val="none"/>
        </w:rPr>
      </w:pPr>
    </w:p>
    <w:p>
      <w:pPr>
        <w:spacing w:line="480" w:lineRule="auto"/>
        <w:rPr>
          <w:rFonts w:hint="default" w:ascii="宋体" w:hAnsi="宋体" w:eastAsia="宋体" w:cs="宋体"/>
          <w:b/>
          <w:bCs/>
          <w:szCs w:val="21"/>
          <w:lang w:val="en-US" w:eastAsia="zh-CN"/>
        </w:rPr>
      </w:pPr>
      <w:r>
        <w:rPr>
          <w:rFonts w:hint="eastAsia" w:ascii="宋体" w:hAnsi="宋体" w:eastAsia="宋体" w:cs="宋体"/>
          <w:b/>
          <w:bCs/>
          <w:szCs w:val="21"/>
          <w:lang w:val="en-US" w:eastAsia="zh-CN"/>
        </w:rPr>
        <w:t>注：根据招标文件第二章的采购需求进行填写。</w:t>
      </w:r>
    </w:p>
    <w:p>
      <w:pPr>
        <w:ind w:firstLine="450" w:firstLineChars="0"/>
        <w:outlineLvl w:val="9"/>
        <w:rPr>
          <w:rFonts w:hint="eastAsia" w:ascii="宋体" w:cs="宋体"/>
          <w:b/>
          <w:bCs/>
          <w:szCs w:val="21"/>
        </w:rPr>
      </w:pPr>
    </w:p>
    <w:p>
      <w:pPr>
        <w:spacing w:line="480" w:lineRule="auto"/>
        <w:rPr>
          <w:rFonts w:hint="eastAsia" w:ascii="宋体" w:hAnsi="宋体" w:cs="宋体"/>
          <w:szCs w:val="21"/>
        </w:rPr>
      </w:pPr>
    </w:p>
    <w:p>
      <w:pPr>
        <w:spacing w:line="480" w:lineRule="auto"/>
        <w:rPr>
          <w:rFonts w:hint="eastAsia" w:ascii="宋体" w:hAnsi="宋体" w:cs="宋体"/>
          <w:szCs w:val="21"/>
        </w:rPr>
      </w:pPr>
    </w:p>
    <w:p>
      <w:pPr>
        <w:spacing w:line="480" w:lineRule="auto"/>
        <w:rPr>
          <w:rFonts w:ascii="宋体" w:hAnsi="宋体" w:cs="宋体"/>
          <w:szCs w:val="21"/>
          <w:u w:val="single"/>
        </w:rPr>
      </w:pPr>
      <w:r>
        <w:rPr>
          <w:rFonts w:hint="eastAsia" w:ascii="宋体" w:hAnsi="宋体" w:cs="宋体"/>
          <w:szCs w:val="21"/>
        </w:rPr>
        <w:t>响应人名称：</w:t>
      </w:r>
      <w:r>
        <w:rPr>
          <w:rFonts w:hint="eastAsia" w:ascii="宋体" w:hAnsi="宋体" w:cs="宋体"/>
          <w:b/>
          <w:spacing w:val="20"/>
          <w:szCs w:val="21"/>
          <w:u w:val="single"/>
        </w:rPr>
        <w:t xml:space="preserve">                </w:t>
      </w:r>
      <w:r>
        <w:rPr>
          <w:rFonts w:hint="eastAsia" w:ascii="宋体" w:hAnsi="宋体" w:cs="宋体"/>
          <w:szCs w:val="21"/>
        </w:rPr>
        <w:t xml:space="preserve">（加盖公章）  </w:t>
      </w:r>
    </w:p>
    <w:p>
      <w:pPr>
        <w:spacing w:line="480" w:lineRule="auto"/>
        <w:rPr>
          <w:rFonts w:ascii="宋体" w:hAnsi="宋体" w:cs="宋体"/>
          <w:szCs w:val="21"/>
        </w:rPr>
      </w:pPr>
      <w:r>
        <w:rPr>
          <w:rFonts w:hint="eastAsia" w:ascii="宋体" w:hAnsi="宋体" w:cs="宋体"/>
          <w:spacing w:val="-4"/>
          <w:szCs w:val="21"/>
        </w:rPr>
        <w:t>响应人代表</w:t>
      </w:r>
      <w:r>
        <w:rPr>
          <w:rFonts w:hint="eastAsia" w:ascii="宋体" w:hAnsi="宋体" w:cs="宋体"/>
          <w:szCs w:val="21"/>
        </w:rPr>
        <w:t>：</w:t>
      </w:r>
      <w:r>
        <w:rPr>
          <w:rFonts w:hint="eastAsia" w:ascii="宋体" w:hAnsi="宋体" w:cs="宋体"/>
          <w:b/>
          <w:spacing w:val="20"/>
          <w:szCs w:val="21"/>
          <w:u w:val="single"/>
        </w:rPr>
        <w:t xml:space="preserve">           </w:t>
      </w:r>
      <w:r>
        <w:rPr>
          <w:rFonts w:hint="eastAsia" w:ascii="宋体" w:hAnsi="宋体" w:cs="宋体"/>
          <w:szCs w:val="21"/>
        </w:rPr>
        <w:t>（签字）</w:t>
      </w:r>
    </w:p>
    <w:p>
      <w:pPr>
        <w:spacing w:line="480" w:lineRule="auto"/>
        <w:rPr>
          <w:rFonts w:ascii="宋体" w:hAnsi="宋体" w:cs="宋体"/>
          <w:szCs w:val="21"/>
        </w:rPr>
      </w:pPr>
      <w:r>
        <w:rPr>
          <w:rFonts w:hint="eastAsia" w:ascii="宋体" w:hAnsi="宋体" w:cs="宋体"/>
          <w:spacing w:val="20"/>
          <w:szCs w:val="21"/>
        </w:rPr>
        <w:t>日期：</w:t>
      </w:r>
      <w:r>
        <w:rPr>
          <w:rFonts w:hint="eastAsia" w:ascii="宋体" w:hAnsi="宋体" w:cs="宋体"/>
          <w:spacing w:val="20"/>
          <w:szCs w:val="21"/>
          <w:u w:val="single"/>
        </w:rPr>
        <w:t xml:space="preserve">    </w:t>
      </w:r>
      <w:r>
        <w:rPr>
          <w:rFonts w:hint="eastAsia" w:ascii="宋体" w:hAnsi="宋体" w:cs="宋体"/>
          <w:spacing w:val="20"/>
          <w:szCs w:val="21"/>
        </w:rPr>
        <w:t>年</w:t>
      </w:r>
      <w:r>
        <w:rPr>
          <w:rFonts w:hint="eastAsia" w:ascii="宋体" w:hAnsi="宋体" w:cs="宋体"/>
          <w:spacing w:val="20"/>
          <w:szCs w:val="21"/>
          <w:u w:val="single"/>
        </w:rPr>
        <w:t xml:space="preserve">   </w:t>
      </w:r>
      <w:r>
        <w:rPr>
          <w:rFonts w:hint="eastAsia" w:ascii="宋体" w:hAnsi="宋体" w:cs="宋体"/>
          <w:spacing w:val="20"/>
          <w:szCs w:val="21"/>
        </w:rPr>
        <w:t>月</w:t>
      </w:r>
      <w:r>
        <w:rPr>
          <w:rFonts w:hint="eastAsia" w:ascii="宋体" w:hAnsi="宋体" w:cs="宋体"/>
          <w:spacing w:val="20"/>
          <w:szCs w:val="21"/>
          <w:u w:val="single"/>
        </w:rPr>
        <w:t xml:space="preserve">   </w:t>
      </w:r>
      <w:r>
        <w:rPr>
          <w:rFonts w:hint="eastAsia" w:ascii="宋体" w:hAnsi="宋体" w:cs="宋体"/>
          <w:spacing w:val="20"/>
          <w:szCs w:val="21"/>
        </w:rPr>
        <w:t>日</w:t>
      </w:r>
    </w:p>
    <w:p>
      <w:pPr>
        <w:outlineLvl w:val="9"/>
        <w:rPr>
          <w:rFonts w:hint="eastAsia" w:ascii="宋体" w:cs="宋体"/>
          <w:b/>
          <w:bCs/>
          <w:szCs w:val="21"/>
        </w:rPr>
      </w:pPr>
    </w:p>
    <w:p>
      <w:pPr>
        <w:rPr>
          <w:rFonts w:hint="eastAsia" w:ascii="宋体" w:cs="宋体"/>
          <w:b/>
          <w:bCs/>
          <w:szCs w:val="21"/>
        </w:rPr>
      </w:pPr>
      <w:r>
        <w:rPr>
          <w:rFonts w:hint="eastAsia" w:ascii="宋体" w:cs="宋体"/>
          <w:b/>
          <w:bCs/>
          <w:szCs w:val="21"/>
        </w:rPr>
        <w:br w:type="page"/>
      </w:r>
    </w:p>
    <w:p>
      <w:pPr>
        <w:outlineLvl w:val="2"/>
        <w:rPr>
          <w:rFonts w:ascii="宋体" w:cs="宋体"/>
          <w:b/>
          <w:bCs/>
          <w:szCs w:val="21"/>
        </w:rPr>
      </w:pPr>
      <w:r>
        <w:rPr>
          <w:rFonts w:hint="eastAsia" w:ascii="宋体" w:cs="宋体"/>
          <w:b/>
          <w:bCs/>
          <w:szCs w:val="21"/>
        </w:rPr>
        <w:t>格式十</w:t>
      </w:r>
      <w:r>
        <w:rPr>
          <w:rFonts w:hint="eastAsia" w:ascii="宋体" w:cs="宋体"/>
          <w:b/>
          <w:bCs/>
          <w:szCs w:val="21"/>
          <w:lang w:val="en-US" w:eastAsia="zh-CN"/>
        </w:rPr>
        <w:t>一</w:t>
      </w:r>
      <w:r>
        <w:rPr>
          <w:rFonts w:hint="eastAsia" w:ascii="宋体" w:cs="宋体"/>
          <w:b/>
          <w:bCs/>
          <w:szCs w:val="21"/>
        </w:rPr>
        <w:t>、质疑函（范本）</w:t>
      </w:r>
    </w:p>
    <w:p>
      <w:pPr>
        <w:spacing w:line="360" w:lineRule="auto"/>
        <w:jc w:val="center"/>
        <w:rPr>
          <w:rFonts w:ascii="宋体" w:hAnsi="宋体"/>
          <w:szCs w:val="21"/>
        </w:rPr>
      </w:pPr>
      <w:r>
        <w:rPr>
          <w:rFonts w:hint="eastAsia" w:ascii="宋体" w:hAnsi="宋体"/>
          <w:szCs w:val="21"/>
        </w:rPr>
        <w:t>质疑函（范本）</w:t>
      </w:r>
    </w:p>
    <w:p>
      <w:pPr>
        <w:widowControl/>
        <w:spacing w:before="100" w:beforeAutospacing="1" w:after="100" w:afterAutospacing="1" w:line="276" w:lineRule="auto"/>
        <w:jc w:val="left"/>
        <w:rPr>
          <w:rFonts w:ascii="宋体" w:hAnsi="宋体" w:cs="宋体"/>
          <w:szCs w:val="21"/>
        </w:rPr>
      </w:pPr>
      <w:r>
        <w:rPr>
          <w:rFonts w:hint="eastAsia" w:ascii="宋体" w:hAnsi="宋体" w:cs="仿宋"/>
          <w:kern w:val="0"/>
          <w:szCs w:val="21"/>
          <w:shd w:val="clear" w:color="auto" w:fill="FFFFFF"/>
          <w:lang w:bidi="ar"/>
        </w:rPr>
        <w:t>质疑供应商：</w:t>
      </w:r>
      <w:r>
        <w:rPr>
          <w:rFonts w:hint="eastAsia" w:ascii="宋体" w:hAnsi="宋体" w:cs="Calibri"/>
          <w:kern w:val="0"/>
          <w:szCs w:val="21"/>
          <w:u w:val="single"/>
          <w:shd w:val="clear" w:color="auto" w:fill="FFFFFF"/>
          <w:lang w:bidi="ar"/>
        </w:rPr>
        <w:t xml:space="preserve">                                                                           </w:t>
      </w:r>
    </w:p>
    <w:p>
      <w:pPr>
        <w:widowControl/>
        <w:spacing w:before="100" w:beforeAutospacing="1" w:after="100" w:afterAutospacing="1" w:line="276" w:lineRule="auto"/>
        <w:jc w:val="left"/>
        <w:rPr>
          <w:rFonts w:ascii="宋体" w:hAnsi="宋体" w:cs="宋体"/>
          <w:szCs w:val="21"/>
        </w:rPr>
      </w:pPr>
      <w:r>
        <w:rPr>
          <w:rFonts w:hint="eastAsia" w:ascii="宋体" w:hAnsi="宋体" w:cs="仿宋"/>
          <w:kern w:val="0"/>
          <w:szCs w:val="21"/>
          <w:shd w:val="clear" w:color="auto" w:fill="FFFFFF"/>
          <w:lang w:bidi="ar"/>
        </w:rPr>
        <w:t>地址：</w:t>
      </w:r>
      <w:r>
        <w:rPr>
          <w:rFonts w:hint="eastAsia" w:ascii="宋体" w:hAnsi="宋体" w:cs="Calibri"/>
          <w:kern w:val="0"/>
          <w:szCs w:val="21"/>
          <w:u w:val="single"/>
          <w:shd w:val="clear" w:color="auto" w:fill="FFFFFF"/>
          <w:lang w:bidi="ar"/>
        </w:rPr>
        <w:t xml:space="preserve">                                                             </w:t>
      </w:r>
      <w:r>
        <w:rPr>
          <w:rFonts w:hint="eastAsia" w:ascii="宋体" w:hAnsi="宋体" w:cs="仿宋"/>
          <w:kern w:val="0"/>
          <w:szCs w:val="21"/>
          <w:shd w:val="clear" w:color="auto" w:fill="FFFFFF"/>
          <w:lang w:bidi="ar"/>
        </w:rPr>
        <w:t>邮编：</w:t>
      </w:r>
      <w:r>
        <w:rPr>
          <w:rFonts w:hint="eastAsia" w:ascii="宋体" w:hAnsi="宋体" w:cs="Calibri"/>
          <w:kern w:val="0"/>
          <w:szCs w:val="21"/>
          <w:u w:val="single"/>
          <w:shd w:val="clear" w:color="auto" w:fill="FFFFFF"/>
          <w:lang w:bidi="ar"/>
        </w:rPr>
        <w:t xml:space="preserve">             </w:t>
      </w:r>
    </w:p>
    <w:p>
      <w:pPr>
        <w:widowControl/>
        <w:spacing w:before="100" w:beforeAutospacing="1" w:after="100" w:afterAutospacing="1" w:line="276" w:lineRule="auto"/>
        <w:jc w:val="left"/>
        <w:rPr>
          <w:rFonts w:ascii="宋体" w:hAnsi="宋体" w:cs="Calibri"/>
          <w:kern w:val="0"/>
          <w:szCs w:val="21"/>
          <w:u w:val="single"/>
          <w:shd w:val="clear" w:color="auto" w:fill="FFFFFF"/>
          <w:lang w:bidi="ar"/>
        </w:rPr>
      </w:pPr>
      <w:r>
        <w:rPr>
          <w:rFonts w:hint="eastAsia" w:ascii="宋体" w:hAnsi="宋体" w:cs="仿宋"/>
          <w:kern w:val="0"/>
          <w:szCs w:val="21"/>
          <w:shd w:val="clear" w:color="auto" w:fill="FFFFFF"/>
          <w:lang w:bidi="ar"/>
        </w:rPr>
        <w:t>联系人：</w:t>
      </w:r>
      <w:r>
        <w:rPr>
          <w:rFonts w:hint="eastAsia" w:ascii="宋体" w:hAnsi="宋体" w:cs="Calibri"/>
          <w:kern w:val="0"/>
          <w:szCs w:val="21"/>
          <w:u w:val="single"/>
          <w:shd w:val="clear" w:color="auto" w:fill="FFFFFF"/>
          <w:lang w:bidi="ar"/>
        </w:rPr>
        <w:t xml:space="preserve">                                                                              </w:t>
      </w:r>
    </w:p>
    <w:p>
      <w:pPr>
        <w:widowControl/>
        <w:spacing w:before="100" w:beforeAutospacing="1" w:after="100" w:afterAutospacing="1" w:line="276" w:lineRule="auto"/>
        <w:jc w:val="left"/>
        <w:rPr>
          <w:rFonts w:ascii="宋体" w:hAnsi="宋体" w:cs="宋体"/>
          <w:szCs w:val="21"/>
        </w:rPr>
      </w:pPr>
      <w:r>
        <w:rPr>
          <w:rFonts w:hint="eastAsia" w:ascii="宋体" w:hAnsi="宋体" w:cs="仿宋"/>
          <w:kern w:val="0"/>
          <w:szCs w:val="21"/>
          <w:shd w:val="clear" w:color="auto" w:fill="FFFFFF"/>
          <w:lang w:bidi="ar"/>
        </w:rPr>
        <w:t>联系电话：</w:t>
      </w:r>
      <w:r>
        <w:rPr>
          <w:rFonts w:hint="eastAsia" w:ascii="宋体" w:hAnsi="宋体" w:cs="Calibri"/>
          <w:kern w:val="0"/>
          <w:szCs w:val="21"/>
          <w:u w:val="single"/>
          <w:shd w:val="clear" w:color="auto" w:fill="FFFFFF"/>
          <w:lang w:bidi="ar"/>
        </w:rPr>
        <w:t xml:space="preserve">                                                                            </w:t>
      </w:r>
    </w:p>
    <w:p>
      <w:pPr>
        <w:widowControl/>
        <w:spacing w:before="100" w:beforeAutospacing="1" w:after="100" w:afterAutospacing="1" w:line="276" w:lineRule="auto"/>
        <w:jc w:val="left"/>
        <w:rPr>
          <w:rFonts w:ascii="宋体" w:hAnsi="宋体" w:cs="Calibri"/>
          <w:kern w:val="0"/>
          <w:szCs w:val="21"/>
          <w:u w:val="single"/>
          <w:shd w:val="clear" w:color="auto" w:fill="FFFFFF"/>
          <w:lang w:bidi="ar"/>
        </w:rPr>
      </w:pPr>
      <w:r>
        <w:rPr>
          <w:rFonts w:hint="eastAsia" w:ascii="宋体" w:hAnsi="宋体" w:cs="仿宋"/>
          <w:kern w:val="0"/>
          <w:szCs w:val="21"/>
          <w:shd w:val="clear" w:color="auto" w:fill="FFFFFF"/>
          <w:lang w:bidi="ar"/>
        </w:rPr>
        <w:t>授权代表：</w:t>
      </w:r>
      <w:r>
        <w:rPr>
          <w:rFonts w:hint="eastAsia" w:ascii="宋体" w:hAnsi="宋体" w:cs="Calibri"/>
          <w:kern w:val="0"/>
          <w:szCs w:val="21"/>
          <w:u w:val="single"/>
          <w:shd w:val="clear" w:color="auto" w:fill="FFFFFF"/>
          <w:lang w:bidi="ar"/>
        </w:rPr>
        <w:t xml:space="preserve">                                                                            </w:t>
      </w:r>
    </w:p>
    <w:p>
      <w:pPr>
        <w:widowControl/>
        <w:spacing w:before="100" w:beforeAutospacing="1" w:after="100" w:afterAutospacing="1" w:line="276" w:lineRule="auto"/>
        <w:jc w:val="left"/>
        <w:rPr>
          <w:rFonts w:ascii="宋体" w:hAnsi="宋体" w:cs="宋体"/>
          <w:szCs w:val="21"/>
        </w:rPr>
      </w:pPr>
      <w:r>
        <w:rPr>
          <w:rFonts w:hint="eastAsia" w:ascii="宋体" w:hAnsi="宋体" w:cs="仿宋"/>
          <w:kern w:val="0"/>
          <w:szCs w:val="21"/>
          <w:shd w:val="clear" w:color="auto" w:fill="FFFFFF"/>
          <w:lang w:bidi="ar"/>
        </w:rPr>
        <w:t>联系电话：</w:t>
      </w:r>
      <w:r>
        <w:rPr>
          <w:rFonts w:hint="eastAsia" w:ascii="宋体" w:hAnsi="宋体" w:cs="Calibri"/>
          <w:kern w:val="0"/>
          <w:szCs w:val="21"/>
          <w:u w:val="single"/>
          <w:shd w:val="clear" w:color="auto" w:fill="FFFFFF"/>
          <w:lang w:bidi="ar"/>
        </w:rPr>
        <w:t xml:space="preserve">                                                                            </w:t>
      </w:r>
    </w:p>
    <w:p>
      <w:pPr>
        <w:widowControl/>
        <w:spacing w:before="100" w:beforeAutospacing="1" w:after="100" w:afterAutospacing="1" w:line="276" w:lineRule="auto"/>
        <w:jc w:val="left"/>
        <w:rPr>
          <w:rFonts w:ascii="宋体" w:hAnsi="宋体" w:cs="宋体"/>
          <w:szCs w:val="21"/>
        </w:rPr>
      </w:pPr>
      <w:r>
        <w:rPr>
          <w:rFonts w:hint="eastAsia" w:ascii="宋体" w:hAnsi="宋体" w:cs="仿宋"/>
          <w:kern w:val="0"/>
          <w:szCs w:val="21"/>
          <w:shd w:val="clear" w:color="auto" w:fill="FFFFFF"/>
          <w:lang w:bidi="ar"/>
        </w:rPr>
        <w:t>地址：</w:t>
      </w:r>
      <w:r>
        <w:rPr>
          <w:rFonts w:hint="eastAsia" w:ascii="宋体" w:hAnsi="宋体" w:cs="Calibri"/>
          <w:kern w:val="0"/>
          <w:szCs w:val="21"/>
          <w:u w:val="single"/>
          <w:shd w:val="clear" w:color="auto" w:fill="FFFFFF"/>
          <w:lang w:bidi="ar"/>
        </w:rPr>
        <w:t xml:space="preserve">                                                             </w:t>
      </w:r>
      <w:r>
        <w:rPr>
          <w:rFonts w:hint="eastAsia" w:ascii="宋体" w:hAnsi="宋体" w:cs="仿宋"/>
          <w:kern w:val="0"/>
          <w:szCs w:val="21"/>
          <w:shd w:val="clear" w:color="auto" w:fill="FFFFFF"/>
          <w:lang w:bidi="ar"/>
        </w:rPr>
        <w:t>邮编：</w:t>
      </w:r>
      <w:r>
        <w:rPr>
          <w:rFonts w:hint="eastAsia" w:ascii="宋体" w:hAnsi="宋体" w:cs="Calibri"/>
          <w:kern w:val="0"/>
          <w:szCs w:val="21"/>
          <w:u w:val="single"/>
          <w:shd w:val="clear" w:color="auto" w:fill="FFFFFF"/>
          <w:lang w:bidi="ar"/>
        </w:rPr>
        <w:t xml:space="preserve">             </w:t>
      </w:r>
    </w:p>
    <w:p>
      <w:pPr>
        <w:widowControl/>
        <w:spacing w:before="100" w:beforeAutospacing="1" w:after="100" w:afterAutospacing="1" w:line="360" w:lineRule="auto"/>
        <w:jc w:val="left"/>
        <w:rPr>
          <w:rFonts w:ascii="宋体" w:hAnsi="宋体" w:cs="黑体"/>
          <w:kern w:val="0"/>
          <w:szCs w:val="21"/>
          <w:shd w:val="clear" w:color="auto" w:fill="FFFFFF"/>
          <w:lang w:bidi="ar"/>
        </w:rPr>
      </w:pPr>
    </w:p>
    <w:p>
      <w:pPr>
        <w:widowControl/>
        <w:spacing w:before="100" w:beforeAutospacing="1" w:after="100" w:afterAutospacing="1" w:line="360" w:lineRule="auto"/>
        <w:jc w:val="left"/>
        <w:rPr>
          <w:rFonts w:ascii="宋体" w:hAnsi="宋体" w:cs="宋体"/>
          <w:szCs w:val="21"/>
        </w:rPr>
      </w:pPr>
      <w:r>
        <w:rPr>
          <w:rFonts w:ascii="宋体" w:hAnsi="宋体" w:cs="黑体"/>
          <w:kern w:val="0"/>
          <w:szCs w:val="21"/>
          <w:shd w:val="clear" w:color="auto" w:fill="FFFFFF"/>
          <w:lang w:bidi="ar"/>
        </w:rPr>
        <w:t>二、质疑项目基本情况</w:t>
      </w:r>
    </w:p>
    <w:p>
      <w:pPr>
        <w:widowControl/>
        <w:spacing w:before="100" w:beforeAutospacing="1" w:after="100" w:afterAutospacing="1" w:line="360" w:lineRule="auto"/>
        <w:jc w:val="left"/>
        <w:rPr>
          <w:rFonts w:ascii="宋体" w:hAnsi="宋体" w:cs="宋体"/>
          <w:szCs w:val="21"/>
        </w:rPr>
      </w:pPr>
      <w:r>
        <w:rPr>
          <w:rFonts w:hint="eastAsia" w:ascii="宋体" w:hAnsi="宋体" w:cs="仿宋"/>
          <w:kern w:val="0"/>
          <w:szCs w:val="21"/>
          <w:shd w:val="clear" w:color="auto" w:fill="FFFFFF"/>
          <w:lang w:bidi="ar"/>
        </w:rPr>
        <w:t>质疑项目的名称：</w:t>
      </w:r>
      <w:r>
        <w:rPr>
          <w:rFonts w:hint="eastAsia" w:ascii="宋体" w:hAnsi="宋体" w:cs="Calibri"/>
          <w:kern w:val="0"/>
          <w:szCs w:val="21"/>
          <w:u w:val="single"/>
          <w:shd w:val="clear" w:color="auto" w:fill="FFFFFF"/>
          <w:lang w:bidi="ar"/>
        </w:rPr>
        <w:t xml:space="preserve">                                                                            </w:t>
      </w:r>
    </w:p>
    <w:p>
      <w:pPr>
        <w:widowControl/>
        <w:spacing w:before="100" w:beforeAutospacing="1" w:after="100" w:afterAutospacing="1" w:line="360" w:lineRule="auto"/>
        <w:jc w:val="left"/>
        <w:rPr>
          <w:rFonts w:ascii="宋体" w:hAnsi="宋体" w:cs="宋体"/>
          <w:szCs w:val="21"/>
        </w:rPr>
      </w:pPr>
      <w:r>
        <w:rPr>
          <w:rFonts w:hint="eastAsia" w:ascii="宋体" w:hAnsi="宋体" w:cs="仿宋"/>
          <w:kern w:val="0"/>
          <w:szCs w:val="21"/>
          <w:shd w:val="clear" w:color="auto" w:fill="FFFFFF"/>
          <w:lang w:bidi="ar"/>
        </w:rPr>
        <w:t>质疑项目的编号：</w:t>
      </w:r>
      <w:r>
        <w:rPr>
          <w:rFonts w:hint="eastAsia" w:ascii="宋体" w:hAnsi="宋体" w:cs="Calibri"/>
          <w:kern w:val="0"/>
          <w:szCs w:val="21"/>
          <w:u w:val="single"/>
          <w:shd w:val="clear" w:color="auto" w:fill="FFFFFF"/>
          <w:lang w:bidi="ar"/>
        </w:rPr>
        <w:t xml:space="preserve">                                                                            </w:t>
      </w:r>
    </w:p>
    <w:p>
      <w:pPr>
        <w:widowControl/>
        <w:spacing w:before="100" w:beforeAutospacing="1" w:after="100" w:afterAutospacing="1" w:line="360" w:lineRule="auto"/>
        <w:jc w:val="left"/>
        <w:rPr>
          <w:rFonts w:ascii="宋体" w:hAnsi="宋体" w:cs="宋体"/>
          <w:szCs w:val="21"/>
        </w:rPr>
      </w:pPr>
      <w:r>
        <w:rPr>
          <w:rFonts w:hint="eastAsia" w:ascii="宋体" w:hAnsi="宋体" w:cs="仿宋"/>
          <w:kern w:val="0"/>
          <w:szCs w:val="21"/>
          <w:shd w:val="clear" w:color="auto" w:fill="FFFFFF"/>
          <w:lang w:bidi="ar"/>
        </w:rPr>
        <w:t>采购人名称：</w:t>
      </w:r>
      <w:r>
        <w:rPr>
          <w:rFonts w:hint="eastAsia" w:ascii="宋体" w:hAnsi="宋体" w:cs="Calibri"/>
          <w:kern w:val="0"/>
          <w:szCs w:val="21"/>
          <w:u w:val="single"/>
          <w:shd w:val="clear" w:color="auto" w:fill="FFFFFF"/>
          <w:lang w:bidi="ar"/>
        </w:rPr>
        <w:t xml:space="preserve">                                                                                </w:t>
      </w:r>
    </w:p>
    <w:p>
      <w:pPr>
        <w:widowControl/>
        <w:spacing w:before="100" w:beforeAutospacing="1" w:after="100" w:afterAutospacing="1" w:line="360" w:lineRule="auto"/>
        <w:jc w:val="left"/>
        <w:rPr>
          <w:rFonts w:ascii="宋体" w:hAnsi="宋体" w:cs="宋体"/>
          <w:szCs w:val="21"/>
        </w:rPr>
      </w:pPr>
      <w:r>
        <w:rPr>
          <w:rFonts w:hint="eastAsia" w:ascii="宋体" w:hAnsi="宋体" w:cs="仿宋"/>
          <w:kern w:val="0"/>
          <w:szCs w:val="21"/>
          <w:shd w:val="clear" w:color="auto" w:fill="FFFFFF"/>
          <w:lang w:bidi="ar"/>
        </w:rPr>
        <w:t>采购文件获取日期：</w:t>
      </w:r>
      <w:r>
        <w:rPr>
          <w:rFonts w:hint="eastAsia" w:ascii="宋体" w:hAnsi="宋体" w:cs="Calibri"/>
          <w:kern w:val="0"/>
          <w:szCs w:val="21"/>
          <w:u w:val="single"/>
          <w:shd w:val="clear" w:color="auto" w:fill="FFFFFF"/>
          <w:lang w:bidi="ar"/>
        </w:rPr>
        <w:t xml:space="preserve">                                                                          </w:t>
      </w:r>
    </w:p>
    <w:p>
      <w:pPr>
        <w:widowControl/>
        <w:spacing w:before="100" w:beforeAutospacing="1" w:after="100" w:afterAutospacing="1" w:line="360" w:lineRule="auto"/>
        <w:jc w:val="left"/>
        <w:rPr>
          <w:rFonts w:ascii="宋体" w:hAnsi="宋体" w:cs="宋体"/>
          <w:szCs w:val="21"/>
        </w:rPr>
      </w:pPr>
      <w:r>
        <w:rPr>
          <w:rFonts w:hint="eastAsia" w:ascii="宋体" w:hAnsi="宋体" w:cs="黑体"/>
          <w:kern w:val="0"/>
          <w:szCs w:val="21"/>
          <w:shd w:val="clear" w:color="auto" w:fill="FFFFFF"/>
          <w:lang w:bidi="ar"/>
        </w:rPr>
        <w:t>三、质疑事项具体内容</w:t>
      </w:r>
    </w:p>
    <w:p>
      <w:pPr>
        <w:widowControl/>
        <w:spacing w:before="100" w:beforeAutospacing="1" w:after="100" w:afterAutospacing="1" w:line="360" w:lineRule="auto"/>
        <w:jc w:val="left"/>
        <w:rPr>
          <w:rFonts w:ascii="宋体" w:hAnsi="宋体" w:cs="宋体"/>
          <w:szCs w:val="21"/>
        </w:rPr>
      </w:pPr>
      <w:r>
        <w:rPr>
          <w:rFonts w:hint="eastAsia" w:ascii="宋体" w:hAnsi="宋体" w:cs="仿宋"/>
          <w:kern w:val="0"/>
          <w:szCs w:val="21"/>
          <w:shd w:val="clear" w:color="auto" w:fill="FFFFFF"/>
          <w:lang w:bidi="ar"/>
        </w:rPr>
        <w:t>质疑事项1：</w:t>
      </w:r>
      <w:r>
        <w:rPr>
          <w:rFonts w:hint="eastAsia" w:ascii="宋体" w:hAnsi="宋体" w:cs="Calibri"/>
          <w:kern w:val="0"/>
          <w:szCs w:val="21"/>
          <w:u w:val="single"/>
          <w:shd w:val="clear" w:color="auto" w:fill="FFFFFF"/>
          <w:lang w:bidi="ar"/>
        </w:rPr>
        <w:t xml:space="preserve">                                                                            </w:t>
      </w:r>
    </w:p>
    <w:p>
      <w:pPr>
        <w:widowControl/>
        <w:spacing w:before="100" w:beforeAutospacing="1" w:after="100" w:afterAutospacing="1" w:line="360" w:lineRule="auto"/>
        <w:jc w:val="left"/>
        <w:rPr>
          <w:rFonts w:ascii="宋体" w:hAnsi="宋体" w:cs="宋体"/>
          <w:szCs w:val="21"/>
        </w:rPr>
      </w:pPr>
      <w:r>
        <w:rPr>
          <w:rFonts w:hint="eastAsia" w:ascii="宋体" w:hAnsi="宋体" w:cs="仿宋"/>
          <w:kern w:val="0"/>
          <w:szCs w:val="21"/>
          <w:shd w:val="clear" w:color="auto" w:fill="FFFFFF"/>
          <w:lang w:bidi="ar"/>
        </w:rPr>
        <w:t>事实依据：</w:t>
      </w:r>
      <w:r>
        <w:rPr>
          <w:rFonts w:hint="eastAsia" w:ascii="宋体" w:hAnsi="宋体" w:cs="Calibri"/>
          <w:kern w:val="0"/>
          <w:szCs w:val="21"/>
          <w:u w:val="single"/>
          <w:shd w:val="clear" w:color="auto" w:fill="FFFFFF"/>
          <w:lang w:bidi="ar"/>
        </w:rPr>
        <w:t xml:space="preserve">                                                                            </w:t>
      </w:r>
    </w:p>
    <w:p>
      <w:pPr>
        <w:widowControl/>
        <w:spacing w:before="100" w:beforeAutospacing="1" w:after="100" w:afterAutospacing="1" w:line="360" w:lineRule="auto"/>
        <w:jc w:val="left"/>
        <w:rPr>
          <w:rFonts w:ascii="宋体" w:hAnsi="宋体" w:cs="宋体"/>
          <w:szCs w:val="21"/>
        </w:rPr>
      </w:pPr>
      <w:r>
        <w:rPr>
          <w:rFonts w:hint="eastAsia" w:ascii="宋体" w:hAnsi="宋体" w:cs="仿宋"/>
          <w:kern w:val="0"/>
          <w:szCs w:val="21"/>
          <w:shd w:val="clear" w:color="auto" w:fill="FFFFFF"/>
          <w:lang w:bidi="ar"/>
        </w:rPr>
        <w:t>法律依据：</w:t>
      </w:r>
      <w:r>
        <w:rPr>
          <w:rFonts w:hint="eastAsia" w:ascii="宋体" w:hAnsi="宋体" w:cs="Calibri"/>
          <w:kern w:val="0"/>
          <w:szCs w:val="21"/>
          <w:u w:val="single"/>
          <w:shd w:val="clear" w:color="auto" w:fill="FFFFFF"/>
          <w:lang w:bidi="ar"/>
        </w:rPr>
        <w:t xml:space="preserve">                                                                            </w:t>
      </w:r>
    </w:p>
    <w:p>
      <w:pPr>
        <w:widowControl/>
        <w:spacing w:before="100" w:beforeAutospacing="1" w:after="100" w:afterAutospacing="1" w:line="360" w:lineRule="auto"/>
        <w:jc w:val="left"/>
        <w:rPr>
          <w:rFonts w:ascii="宋体" w:hAnsi="宋体" w:cs="宋体"/>
          <w:szCs w:val="21"/>
        </w:rPr>
      </w:pPr>
      <w:r>
        <w:rPr>
          <w:rFonts w:hint="eastAsia" w:ascii="宋体" w:hAnsi="宋体" w:cs="仿宋"/>
          <w:kern w:val="0"/>
          <w:szCs w:val="21"/>
          <w:shd w:val="clear" w:color="auto" w:fill="FFFFFF"/>
          <w:lang w:bidi="ar"/>
        </w:rPr>
        <w:t>质疑事项2</w:t>
      </w:r>
    </w:p>
    <w:p>
      <w:pPr>
        <w:widowControl/>
        <w:spacing w:before="100" w:beforeAutospacing="1" w:after="100" w:afterAutospacing="1" w:line="360" w:lineRule="auto"/>
        <w:jc w:val="left"/>
        <w:rPr>
          <w:rFonts w:ascii="宋体" w:hAnsi="宋体" w:cs="宋体"/>
          <w:szCs w:val="21"/>
        </w:rPr>
      </w:pPr>
      <w:r>
        <w:rPr>
          <w:rFonts w:hint="eastAsia" w:ascii="宋体" w:hAnsi="宋体" w:cs="仿宋"/>
          <w:kern w:val="0"/>
          <w:szCs w:val="21"/>
          <w:shd w:val="clear" w:color="auto" w:fill="FFFFFF"/>
          <w:lang w:bidi="ar"/>
        </w:rPr>
        <w:t>……</w:t>
      </w:r>
    </w:p>
    <w:p>
      <w:pPr>
        <w:widowControl/>
        <w:spacing w:before="100" w:beforeAutospacing="1" w:after="100" w:afterAutospacing="1" w:line="360" w:lineRule="auto"/>
        <w:jc w:val="left"/>
        <w:rPr>
          <w:rFonts w:ascii="宋体" w:hAnsi="宋体" w:cs="宋体"/>
          <w:szCs w:val="21"/>
        </w:rPr>
      </w:pPr>
      <w:r>
        <w:rPr>
          <w:rFonts w:hint="eastAsia" w:ascii="宋体" w:hAnsi="宋体" w:cs="黑体"/>
          <w:kern w:val="0"/>
          <w:szCs w:val="21"/>
          <w:shd w:val="clear" w:color="auto" w:fill="FFFFFF"/>
          <w:lang w:bidi="ar"/>
        </w:rPr>
        <w:t>四、与质疑事项相关的质疑请求</w:t>
      </w:r>
    </w:p>
    <w:p>
      <w:pPr>
        <w:widowControl/>
        <w:spacing w:before="100" w:beforeAutospacing="1" w:after="100" w:afterAutospacing="1" w:line="360" w:lineRule="auto"/>
        <w:jc w:val="left"/>
        <w:rPr>
          <w:rFonts w:ascii="宋体" w:hAnsi="宋体" w:cs="Calibri"/>
          <w:kern w:val="0"/>
          <w:szCs w:val="21"/>
          <w:u w:val="single"/>
          <w:shd w:val="clear" w:color="auto" w:fill="FFFFFF"/>
          <w:lang w:bidi="ar"/>
        </w:rPr>
      </w:pPr>
      <w:r>
        <w:rPr>
          <w:rFonts w:hint="eastAsia" w:ascii="宋体" w:hAnsi="宋体" w:cs="仿宋"/>
          <w:kern w:val="0"/>
          <w:szCs w:val="21"/>
          <w:shd w:val="clear" w:color="auto" w:fill="FFFFFF"/>
          <w:lang w:bidi="ar"/>
        </w:rPr>
        <w:t>请求：</w:t>
      </w:r>
      <w:r>
        <w:rPr>
          <w:rFonts w:hint="eastAsia" w:ascii="宋体" w:hAnsi="宋体" w:cs="Calibri"/>
          <w:kern w:val="0"/>
          <w:szCs w:val="21"/>
          <w:u w:val="single"/>
          <w:shd w:val="clear" w:color="auto" w:fill="FFFFFF"/>
          <w:lang w:bidi="ar"/>
        </w:rPr>
        <w:t xml:space="preserve">                                                                            </w:t>
      </w:r>
    </w:p>
    <w:p>
      <w:pPr>
        <w:widowControl/>
        <w:spacing w:before="100" w:beforeAutospacing="1" w:after="100" w:afterAutospacing="1" w:line="360" w:lineRule="auto"/>
        <w:jc w:val="left"/>
        <w:rPr>
          <w:rFonts w:ascii="宋体" w:hAnsi="宋体" w:cs="宋体"/>
          <w:szCs w:val="21"/>
        </w:rPr>
      </w:pPr>
    </w:p>
    <w:p>
      <w:pPr>
        <w:widowControl/>
        <w:spacing w:before="100" w:beforeAutospacing="1" w:after="100" w:afterAutospacing="1" w:line="360" w:lineRule="auto"/>
        <w:jc w:val="left"/>
        <w:rPr>
          <w:rFonts w:ascii="宋体" w:hAnsi="宋体" w:cs="仿宋_GB2312"/>
          <w:kern w:val="0"/>
          <w:szCs w:val="21"/>
          <w:shd w:val="clear" w:color="auto" w:fill="FFFFFF"/>
          <w:lang w:bidi="ar"/>
        </w:rPr>
      </w:pPr>
      <w:r>
        <w:rPr>
          <w:rFonts w:ascii="宋体" w:hAnsi="宋体" w:cs="仿宋_GB2312"/>
          <w:kern w:val="0"/>
          <w:szCs w:val="21"/>
          <w:shd w:val="clear" w:color="auto" w:fill="FFFFFF"/>
          <w:lang w:bidi="ar"/>
        </w:rPr>
        <w:t>签字(签章)：</w:t>
      </w:r>
    </w:p>
    <w:p>
      <w:pPr>
        <w:widowControl/>
        <w:spacing w:before="100" w:beforeAutospacing="1" w:after="100" w:afterAutospacing="1" w:line="360" w:lineRule="auto"/>
        <w:jc w:val="left"/>
        <w:rPr>
          <w:rFonts w:ascii="宋体" w:hAnsi="宋体" w:cs="宋体"/>
          <w:szCs w:val="21"/>
        </w:rPr>
      </w:pPr>
      <w:r>
        <w:rPr>
          <w:rFonts w:ascii="宋体" w:hAnsi="宋体" w:cs="仿宋_GB2312"/>
          <w:kern w:val="0"/>
          <w:szCs w:val="21"/>
          <w:shd w:val="clear" w:color="auto" w:fill="FFFFFF"/>
          <w:lang w:bidi="ar"/>
        </w:rPr>
        <w:t>公章：</w:t>
      </w:r>
    </w:p>
    <w:p>
      <w:pPr>
        <w:widowControl/>
        <w:spacing w:before="100" w:beforeAutospacing="1" w:after="100" w:afterAutospacing="1" w:line="360" w:lineRule="auto"/>
        <w:jc w:val="left"/>
        <w:rPr>
          <w:rFonts w:ascii="宋体" w:hAnsi="宋体" w:cs="Calibri"/>
          <w:kern w:val="0"/>
          <w:szCs w:val="21"/>
          <w:shd w:val="clear" w:color="auto" w:fill="FFFFFF"/>
          <w:lang w:bidi="ar"/>
        </w:rPr>
      </w:pPr>
      <w:r>
        <w:rPr>
          <w:rFonts w:ascii="宋体" w:hAnsi="宋体" w:cs="仿宋_GB2312"/>
          <w:kern w:val="0"/>
          <w:szCs w:val="21"/>
          <w:shd w:val="clear" w:color="auto" w:fill="FFFFFF"/>
          <w:lang w:bidi="ar"/>
        </w:rPr>
        <w:t>日期：</w:t>
      </w:r>
    </w:p>
    <w:p>
      <w:pPr>
        <w:widowControl/>
        <w:spacing w:before="100" w:beforeAutospacing="1" w:after="100" w:afterAutospacing="1" w:line="360" w:lineRule="auto"/>
        <w:jc w:val="left"/>
        <w:rPr>
          <w:rFonts w:ascii="宋体" w:hAnsi="宋体" w:cs="宋体"/>
          <w:szCs w:val="21"/>
        </w:rPr>
      </w:pPr>
    </w:p>
    <w:p>
      <w:pPr>
        <w:widowControl/>
        <w:spacing w:before="100" w:beforeAutospacing="1" w:after="100" w:afterAutospacing="1" w:line="360" w:lineRule="auto"/>
        <w:jc w:val="left"/>
        <w:rPr>
          <w:rFonts w:ascii="宋体" w:hAnsi="宋体" w:cs="宋体"/>
          <w:szCs w:val="21"/>
        </w:rPr>
      </w:pPr>
      <w:r>
        <w:rPr>
          <w:rFonts w:hint="eastAsia" w:ascii="宋体" w:hAnsi="宋体" w:cs="黑体"/>
          <w:b/>
          <w:kern w:val="0"/>
          <w:szCs w:val="21"/>
          <w:shd w:val="clear" w:color="auto" w:fill="FFFFFF"/>
          <w:lang w:bidi="ar"/>
        </w:rPr>
        <w:t>质疑函制作说明：</w:t>
      </w:r>
    </w:p>
    <w:p>
      <w:pPr>
        <w:widowControl/>
        <w:spacing w:before="100" w:beforeAutospacing="1" w:after="100" w:afterAutospacing="1" w:line="360" w:lineRule="auto"/>
        <w:ind w:firstLine="640"/>
        <w:jc w:val="left"/>
        <w:rPr>
          <w:rFonts w:ascii="宋体" w:hAnsi="宋体" w:cs="宋体"/>
          <w:szCs w:val="21"/>
        </w:rPr>
      </w:pPr>
      <w:r>
        <w:rPr>
          <w:rFonts w:ascii="宋体" w:hAnsi="宋体" w:cs="仿宋_GB2312"/>
          <w:kern w:val="0"/>
          <w:szCs w:val="21"/>
          <w:shd w:val="clear" w:color="auto" w:fill="FFFFFF"/>
          <w:lang w:bidi="ar"/>
        </w:rPr>
        <w:t>1.供应商提出质疑时，应提交质疑函和必要的证明材料。</w:t>
      </w:r>
    </w:p>
    <w:p>
      <w:pPr>
        <w:widowControl/>
        <w:spacing w:before="100" w:beforeAutospacing="1" w:after="100" w:afterAutospacing="1" w:line="360" w:lineRule="auto"/>
        <w:ind w:firstLine="640"/>
        <w:jc w:val="left"/>
        <w:rPr>
          <w:rFonts w:ascii="宋体" w:hAnsi="宋体" w:cs="宋体"/>
          <w:szCs w:val="21"/>
        </w:rPr>
      </w:pPr>
      <w:r>
        <w:rPr>
          <w:rFonts w:ascii="宋体" w:hAnsi="宋体" w:cs="仿宋_GB2312"/>
          <w:kern w:val="0"/>
          <w:szCs w:val="21"/>
          <w:shd w:val="clear" w:color="auto" w:fill="FFFFFF"/>
          <w:lang w:bidi="ar"/>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widowControl/>
        <w:spacing w:before="100" w:beforeAutospacing="1" w:after="100" w:afterAutospacing="1" w:line="360" w:lineRule="auto"/>
        <w:ind w:firstLine="640"/>
        <w:jc w:val="left"/>
        <w:rPr>
          <w:rFonts w:ascii="宋体" w:hAnsi="宋体" w:cs="宋体"/>
          <w:szCs w:val="21"/>
        </w:rPr>
      </w:pPr>
      <w:r>
        <w:rPr>
          <w:rFonts w:ascii="宋体" w:hAnsi="宋体" w:cs="仿宋_GB2312"/>
          <w:kern w:val="0"/>
          <w:szCs w:val="21"/>
          <w:shd w:val="clear" w:color="auto" w:fill="FFFFFF"/>
          <w:lang w:bidi="ar"/>
        </w:rPr>
        <w:t>3.质疑供应商若对项目的某一</w:t>
      </w:r>
      <w:r>
        <w:rPr>
          <w:rFonts w:hint="eastAsia" w:ascii="宋体" w:hAnsi="宋体" w:cs="仿宋_GB2312"/>
          <w:kern w:val="0"/>
          <w:szCs w:val="21"/>
          <w:shd w:val="clear" w:color="auto" w:fill="FFFFFF"/>
          <w:lang w:bidi="ar"/>
        </w:rPr>
        <w:t>标项</w:t>
      </w:r>
      <w:r>
        <w:rPr>
          <w:rFonts w:ascii="宋体" w:hAnsi="宋体" w:cs="仿宋_GB2312"/>
          <w:kern w:val="0"/>
          <w:szCs w:val="21"/>
          <w:shd w:val="clear" w:color="auto" w:fill="FFFFFF"/>
          <w:lang w:bidi="ar"/>
        </w:rPr>
        <w:t>进行质疑，质疑函中应列明具体</w:t>
      </w:r>
      <w:r>
        <w:rPr>
          <w:rFonts w:hint="eastAsia" w:ascii="宋体" w:hAnsi="宋体" w:cs="仿宋_GB2312"/>
          <w:kern w:val="0"/>
          <w:szCs w:val="21"/>
          <w:shd w:val="clear" w:color="auto" w:fill="FFFFFF"/>
          <w:lang w:bidi="ar"/>
        </w:rPr>
        <w:t>标项</w:t>
      </w:r>
      <w:r>
        <w:rPr>
          <w:rFonts w:ascii="宋体" w:hAnsi="宋体" w:cs="仿宋_GB2312"/>
          <w:kern w:val="0"/>
          <w:szCs w:val="21"/>
          <w:shd w:val="clear" w:color="auto" w:fill="FFFFFF"/>
          <w:lang w:bidi="ar"/>
        </w:rPr>
        <w:t>。</w:t>
      </w:r>
    </w:p>
    <w:p>
      <w:pPr>
        <w:widowControl/>
        <w:spacing w:before="100" w:beforeAutospacing="1" w:after="100" w:afterAutospacing="1" w:line="360" w:lineRule="auto"/>
        <w:ind w:firstLine="640"/>
        <w:jc w:val="left"/>
        <w:rPr>
          <w:rFonts w:ascii="宋体" w:hAnsi="宋体" w:cs="宋体"/>
          <w:szCs w:val="21"/>
        </w:rPr>
      </w:pPr>
      <w:r>
        <w:rPr>
          <w:rFonts w:ascii="宋体" w:hAnsi="宋体" w:cs="仿宋_GB2312"/>
          <w:kern w:val="0"/>
          <w:szCs w:val="21"/>
          <w:shd w:val="clear" w:color="auto" w:fill="FFFFFF"/>
          <w:lang w:bidi="ar"/>
        </w:rPr>
        <w:t>4.质疑函的质疑事项应具体、明确，并有必要的事实依据和法律依据。</w:t>
      </w:r>
    </w:p>
    <w:p>
      <w:pPr>
        <w:widowControl/>
        <w:tabs>
          <w:tab w:val="left" w:pos="6260"/>
        </w:tabs>
        <w:spacing w:before="100" w:beforeAutospacing="1" w:after="100" w:afterAutospacing="1" w:line="360" w:lineRule="auto"/>
        <w:ind w:firstLine="640"/>
        <w:jc w:val="left"/>
        <w:rPr>
          <w:rFonts w:hint="eastAsia" w:ascii="宋体" w:hAnsi="宋体" w:eastAsia="宋体" w:cs="宋体"/>
          <w:szCs w:val="21"/>
          <w:lang w:eastAsia="zh-CN"/>
        </w:rPr>
      </w:pPr>
      <w:r>
        <w:rPr>
          <w:rFonts w:ascii="宋体" w:hAnsi="宋体" w:cs="仿宋_GB2312"/>
          <w:kern w:val="0"/>
          <w:szCs w:val="21"/>
          <w:shd w:val="clear" w:color="auto" w:fill="FFFFFF"/>
          <w:lang w:bidi="ar"/>
        </w:rPr>
        <w:t>5.质疑函的质疑请求应与质疑事项相关。</w:t>
      </w:r>
      <w:r>
        <w:rPr>
          <w:rFonts w:hint="eastAsia" w:ascii="宋体" w:hAnsi="宋体" w:cs="仿宋_GB2312"/>
          <w:kern w:val="0"/>
          <w:szCs w:val="21"/>
          <w:shd w:val="clear" w:color="auto" w:fill="FFFFFF"/>
          <w:lang w:eastAsia="zh-CN" w:bidi="ar"/>
        </w:rPr>
        <w:tab/>
      </w:r>
    </w:p>
    <w:p>
      <w:pPr>
        <w:widowControl/>
        <w:spacing w:before="100" w:beforeAutospacing="1" w:after="100" w:afterAutospacing="1" w:line="360" w:lineRule="auto"/>
        <w:ind w:firstLine="640"/>
        <w:jc w:val="left"/>
        <w:rPr>
          <w:rFonts w:ascii="宋体" w:hAnsi="宋体" w:cs="宋体"/>
          <w:szCs w:val="21"/>
        </w:rPr>
      </w:pPr>
      <w:r>
        <w:rPr>
          <w:rFonts w:ascii="宋体" w:hAnsi="宋体" w:cs="仿宋_GB2312"/>
          <w:kern w:val="0"/>
          <w:szCs w:val="21"/>
          <w:shd w:val="clear" w:color="auto" w:fill="FFFFFF"/>
          <w:lang w:bidi="ar"/>
        </w:rPr>
        <w:t>6.质疑供应商为自然人的，质疑函应由本人签字；质疑供应商为法人或者其他组织的，质疑函应由法定代表人、主要负责人，或者其授权代表签字或者盖章，并加盖公章。</w:t>
      </w:r>
    </w:p>
    <w:p>
      <w:pPr>
        <w:pStyle w:val="14"/>
        <w:snapToGrid w:val="0"/>
        <w:spacing w:line="360" w:lineRule="auto"/>
        <w:rPr>
          <w:rFonts w:hAnsi="宋体" w:eastAsia="宋体" w:cs="宋体"/>
          <w:sz w:val="21"/>
          <w:szCs w:val="21"/>
        </w:rPr>
      </w:pPr>
    </w:p>
    <w:sectPr>
      <w:pgSz w:w="11906" w:h="16838"/>
      <w:pgMar w:top="1531" w:right="1179" w:bottom="737" w:left="1179" w:header="851" w:footer="584"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ADEA680-729E-4BB4-817D-2D72C356D354}"/>
  </w:font>
  <w:font w:name="黑体">
    <w:panose1 w:val="02010609060101010101"/>
    <w:charset w:val="86"/>
    <w:family w:val="auto"/>
    <w:pitch w:val="default"/>
    <w:sig w:usb0="800002BF" w:usb1="38CF7CFA" w:usb2="00000016" w:usb3="00000000" w:csb0="00040001" w:csb1="00000000"/>
    <w:embedRegular r:id="rId2" w:fontKey="{746C809A-15AC-45FF-B137-DB0ADDC29D7B}"/>
  </w:font>
  <w:font w:name="Courier New">
    <w:panose1 w:val="02070309020205020404"/>
    <w:charset w:val="01"/>
    <w:family w:val="modern"/>
    <w:pitch w:val="default"/>
    <w:sig w:usb0="E0002EFF" w:usb1="C0007843" w:usb2="00000009" w:usb3="00000000" w:csb0="400001FF" w:csb1="FFFF0000"/>
    <w:embedRegular r:id="rId3" w:fontKey="{C3617C9A-190E-4589-8F86-1EE9242CA93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3F96F242-13A6-4830-AF33-0CCEA97AE245}"/>
  </w:font>
  <w:font w:name="??">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embedRegular r:id="rId5" w:fontKey="{016C9583-57B2-4744-9976-819AB0A13410}"/>
  </w:font>
  <w:font w:name="仿宋">
    <w:panose1 w:val="02010609060101010101"/>
    <w:charset w:val="86"/>
    <w:family w:val="modern"/>
    <w:pitch w:val="default"/>
    <w:sig w:usb0="800002BF" w:usb1="38CF7CFA" w:usb2="00000016" w:usb3="00000000" w:csb0="00040001" w:csb1="00000000"/>
    <w:embedRegular r:id="rId6" w:fontKey="{87432BAF-8680-499D-928C-4C548C7BE63D}"/>
  </w:font>
  <w:font w:name="楷体_GB2312">
    <w:panose1 w:val="02010609030101010101"/>
    <w:charset w:val="86"/>
    <w:family w:val="modern"/>
    <w:pitch w:val="default"/>
    <w:sig w:usb0="00000001" w:usb1="080E0000" w:usb2="00000000" w:usb3="00000000" w:csb0="00040000" w:csb1="00000000"/>
  </w:font>
  <w:font w:name="方正仿宋_GB2312">
    <w:panose1 w:val="02000000000000000000"/>
    <w:charset w:val="86"/>
    <w:family w:val="auto"/>
    <w:pitch w:val="default"/>
    <w:sig w:usb0="A00002BF" w:usb1="184F6CFA" w:usb2="00000012" w:usb3="00000000" w:csb0="00040001" w:csb1="00000000"/>
    <w:embedRegular r:id="rId7" w:fontKey="{23FE6315-9D7D-43B3-9A4A-C758B2379377}"/>
  </w:font>
  <w:font w:name="等线">
    <w:panose1 w:val="02010600030101010101"/>
    <w:charset w:val="86"/>
    <w:family w:val="auto"/>
    <w:pitch w:val="default"/>
    <w:sig w:usb0="A00002BF" w:usb1="38CF7CFA" w:usb2="00000016" w:usb3="00000000" w:csb0="0004000F" w:csb1="00000000"/>
    <w:embedRegular r:id="rId8" w:fontKey="{AC573C86-29FD-4A57-A4EA-CFA3DEDC5983}"/>
  </w:font>
  <w:font w:name="Helvetica">
    <w:panose1 w:val="020B0504020202030204"/>
    <w:charset w:val="00"/>
    <w:family w:val="swiss"/>
    <w:pitch w:val="default"/>
    <w:sig w:usb0="00000007" w:usb1="00000000" w:usb2="00000000" w:usb3="00000000" w:csb0="00000093" w:csb1="00000000"/>
    <w:embedRegular r:id="rId9" w:fontKey="{DC314082-D163-4870-BC28-5E1A9B937239}"/>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kern w:val="0"/>
        <w:szCs w:val="21"/>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ascii="宋体" w:hAnsi="宋体" w:eastAsia="宋体" w:cs="宋体"/>
                            </w:rPr>
                          </w:pPr>
                          <w:r>
                            <w:rPr>
                              <w:rFonts w:hint="eastAsia" w:ascii="宋体" w:hAnsi="宋体" w:eastAsia="宋体" w:cs="宋体"/>
                            </w:rPr>
                            <w:t xml:space="preserve">第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t xml:space="preserve"> 页 共 </w:t>
                          </w:r>
                          <w:r>
                            <w:rPr>
                              <w:rFonts w:hint="eastAsia" w:ascii="宋体" w:hAnsi="宋体" w:cs="宋体"/>
                              <w:lang w:val="en-US" w:eastAsia="zh-CN"/>
                            </w:rPr>
                            <w:t>96</w:t>
                          </w:r>
                          <w:r>
                            <w:rPr>
                              <w:rFonts w:hint="eastAsia" w:ascii="宋体" w:hAnsi="宋体" w:eastAsia="宋体" w:cs="宋体"/>
                              <w:lang w:val="en-US" w:eastAsia="zh-CN"/>
                            </w:rPr>
                            <w:t xml:space="preserve"> </w:t>
                          </w:r>
                          <w:r>
                            <w:rPr>
                              <w:rFonts w:hint="eastAsia" w:ascii="宋体" w:hAnsi="宋体" w:eastAsia="宋体" w:cs="宋体"/>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7"/>
                      <w:rPr>
                        <w:rFonts w:hint="eastAsia" w:ascii="宋体" w:hAnsi="宋体" w:eastAsia="宋体" w:cs="宋体"/>
                      </w:rPr>
                    </w:pPr>
                    <w:r>
                      <w:rPr>
                        <w:rFonts w:hint="eastAsia" w:ascii="宋体" w:hAnsi="宋体" w:eastAsia="宋体" w:cs="宋体"/>
                      </w:rPr>
                      <w:t xml:space="preserve">第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t xml:space="preserve"> 页 共 </w:t>
                    </w:r>
                    <w:r>
                      <w:rPr>
                        <w:rFonts w:hint="eastAsia" w:ascii="宋体" w:hAnsi="宋体" w:cs="宋体"/>
                        <w:lang w:val="en-US" w:eastAsia="zh-CN"/>
                      </w:rPr>
                      <w:t>96</w:t>
                    </w:r>
                    <w:r>
                      <w:rPr>
                        <w:rFonts w:hint="eastAsia" w:ascii="宋体" w:hAnsi="宋体" w:eastAsia="宋体" w:cs="宋体"/>
                        <w:lang w:val="en-US" w:eastAsia="zh-CN"/>
                      </w:rPr>
                      <w:t xml:space="preserve"> </w:t>
                    </w:r>
                    <w:r>
                      <w:rPr>
                        <w:rFonts w:hint="eastAsia" w:ascii="宋体" w:hAnsi="宋体" w:eastAsia="宋体" w:cs="宋体"/>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rFonts w:hint="eastAsia" w:ascii="宋体" w:eastAsia="宋体"/>
        <w:lang w:eastAsia="zh-CN"/>
      </w:rPr>
    </w:pPr>
    <w:r>
      <w:rPr>
        <w:rFonts w:hint="eastAsia" w:ascii="宋体"/>
      </w:rPr>
      <w:drawing>
        <wp:inline distT="0" distB="0" distL="114300" distR="114300">
          <wp:extent cx="1316355" cy="340995"/>
          <wp:effectExtent l="0" t="0" r="0" b="1905"/>
          <wp:docPr id="2" name="图片 1" descr="C:/Users/CC/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CC/Desktop/图片1.png图片1"/>
                  <pic:cNvPicPr>
                    <a:picLocks noChangeAspect="1"/>
                  </pic:cNvPicPr>
                </pic:nvPicPr>
                <pic:blipFill>
                  <a:blip r:embed="rId1"/>
                  <a:srcRect t="-1153" b="4865"/>
                  <a:stretch>
                    <a:fillRect/>
                  </a:stretch>
                </pic:blipFill>
                <pic:spPr>
                  <a:xfrm>
                    <a:off x="0" y="0"/>
                    <a:ext cx="1316355" cy="340995"/>
                  </a:xfrm>
                  <a:prstGeom prst="rect">
                    <a:avLst/>
                  </a:prstGeom>
                  <a:noFill/>
                  <a:ln>
                    <a:noFill/>
                  </a:ln>
                </pic:spPr>
              </pic:pic>
            </a:graphicData>
          </a:graphic>
        </wp:inline>
      </w:drawing>
    </w:r>
    <w:r>
      <w:rPr>
        <w:rFonts w:hint="eastAsia" w:ascii="宋体"/>
      </w:rPr>
      <w:t xml:space="preserve">          </w:t>
    </w:r>
    <w:r>
      <w:rPr>
        <w:rFonts w:hint="eastAsia" w:ascii="宋体"/>
        <w:lang w:val="en-US" w:eastAsia="zh-CN"/>
      </w:rPr>
      <w:t xml:space="preserve">    </w:t>
    </w:r>
    <w:r>
      <w:rPr>
        <w:rFonts w:hint="eastAsia" w:ascii="宋体"/>
        <w:lang w:eastAsia="zh-CN"/>
      </w:rPr>
      <w:t>岱山县化塑产业大脑能力中心组件项目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jc w:val="both"/>
    </w:pPr>
    <w:r>
      <w:rPr>
        <w:rFonts w:hint="eastAsia" w:ascii="宋体"/>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0E6580"/>
    <w:multiLevelType w:val="singleLevel"/>
    <w:tmpl w:val="820E6580"/>
    <w:lvl w:ilvl="0" w:tentative="0">
      <w:start w:val="1"/>
      <w:numFmt w:val="decimal"/>
      <w:suff w:val="nothing"/>
      <w:lvlText w:val="%1"/>
      <w:lvlJc w:val="left"/>
      <w:pPr>
        <w:ind w:left="0" w:firstLine="403"/>
      </w:pPr>
      <w:rPr>
        <w:rFonts w:hint="default"/>
      </w:rPr>
    </w:lvl>
  </w:abstractNum>
  <w:abstractNum w:abstractNumId="1">
    <w:nsid w:val="AFF7D647"/>
    <w:multiLevelType w:val="singleLevel"/>
    <w:tmpl w:val="AFF7D647"/>
    <w:lvl w:ilvl="0" w:tentative="0">
      <w:start w:val="1"/>
      <w:numFmt w:val="upperLetter"/>
      <w:suff w:val="nothing"/>
      <w:lvlText w:val="%1-"/>
      <w:lvlJc w:val="left"/>
    </w:lvl>
  </w:abstractNum>
  <w:abstractNum w:abstractNumId="2">
    <w:nsid w:val="B312417F"/>
    <w:multiLevelType w:val="singleLevel"/>
    <w:tmpl w:val="B312417F"/>
    <w:lvl w:ilvl="0" w:tentative="0">
      <w:start w:val="1"/>
      <w:numFmt w:val="decimal"/>
      <w:suff w:val="nothing"/>
      <w:lvlText w:val="%1"/>
      <w:lvlJc w:val="left"/>
      <w:pPr>
        <w:ind w:left="0" w:firstLine="403"/>
      </w:pPr>
      <w:rPr>
        <w:rFonts w:hint="default"/>
      </w:rPr>
    </w:lvl>
  </w:abstractNum>
  <w:abstractNum w:abstractNumId="3">
    <w:nsid w:val="DCDB690B"/>
    <w:multiLevelType w:val="multilevel"/>
    <w:tmpl w:val="DCDB690B"/>
    <w:lvl w:ilvl="0" w:tentative="0">
      <w:start w:val="1"/>
      <w:numFmt w:val="chineseCounting"/>
      <w:lvlText w:val="第%1章"/>
      <w:lvlJc w:val="center"/>
      <w:pPr>
        <w:ind w:left="-11" w:firstLine="299"/>
      </w:pPr>
      <w:rPr>
        <w:rFonts w:hint="eastAsia" w:ascii="宋体" w:hAnsi="宋体" w:eastAsia="宋体" w:cs="宋体"/>
        <w:sz w:val="44"/>
      </w:rPr>
    </w:lvl>
    <w:lvl w:ilvl="1" w:tentative="0">
      <w:start w:val="1"/>
      <w:numFmt w:val="decimal"/>
      <w:isLgl/>
      <w:suff w:val="space"/>
      <w:lvlText w:val="%1.%2"/>
      <w:lvlJc w:val="left"/>
      <w:pPr>
        <w:ind w:left="575" w:hanging="575"/>
      </w:pPr>
      <w:rPr>
        <w:rFonts w:hint="eastAsia" w:ascii="宋体" w:hAnsi="宋体" w:eastAsia="宋体" w:cs="宋体"/>
        <w:sz w:val="32"/>
      </w:rPr>
    </w:lvl>
    <w:lvl w:ilvl="2" w:tentative="0">
      <w:start w:val="1"/>
      <w:numFmt w:val="decimal"/>
      <w:isLgl/>
      <w:suff w:val="space"/>
      <w:lvlText w:val="%1.%2.%3"/>
      <w:lvlJc w:val="left"/>
      <w:pPr>
        <w:ind w:left="720" w:hanging="720"/>
      </w:pPr>
      <w:rPr>
        <w:rFonts w:hint="eastAsia" w:ascii="宋体" w:hAnsi="宋体" w:eastAsia="宋体" w:cs="宋体"/>
        <w:sz w:val="30"/>
      </w:rPr>
    </w:lvl>
    <w:lvl w:ilvl="3" w:tentative="0">
      <w:start w:val="1"/>
      <w:numFmt w:val="decimal"/>
      <w:pStyle w:val="5"/>
      <w:isLgl/>
      <w:suff w:val="space"/>
      <w:lvlText w:val="%1.%2.%3.%4"/>
      <w:lvlJc w:val="left"/>
      <w:pPr>
        <w:ind w:left="864" w:hanging="864"/>
      </w:pPr>
      <w:rPr>
        <w:rFonts w:hint="default" w:ascii="宋体" w:hAnsi="宋体" w:eastAsia="宋体" w:cs="宋体"/>
        <w:sz w:val="30"/>
      </w:rPr>
    </w:lvl>
    <w:lvl w:ilvl="4" w:tentative="0">
      <w:start w:val="1"/>
      <w:numFmt w:val="decimal"/>
      <w:isLgl/>
      <w:suff w:val="space"/>
      <w:lvlText w:val="%1.%2.%3.%4.%5"/>
      <w:lvlJc w:val="left"/>
      <w:pPr>
        <w:ind w:left="1008" w:hanging="1008"/>
      </w:pPr>
      <w:rPr>
        <w:rFonts w:hint="eastAsia"/>
        <w:sz w:val="30"/>
      </w:rPr>
    </w:lvl>
    <w:lvl w:ilvl="5" w:tentative="0">
      <w:start w:val="1"/>
      <w:numFmt w:val="decimal"/>
      <w:isLgl/>
      <w:suff w:val="space"/>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4">
    <w:nsid w:val="E0856296"/>
    <w:multiLevelType w:val="singleLevel"/>
    <w:tmpl w:val="E0856296"/>
    <w:lvl w:ilvl="0" w:tentative="0">
      <w:start w:val="7"/>
      <w:numFmt w:val="chineseCounting"/>
      <w:suff w:val="nothing"/>
      <w:lvlText w:val="%1、"/>
      <w:lvlJc w:val="left"/>
      <w:rPr>
        <w:rFonts w:hint="eastAsia"/>
      </w:rPr>
    </w:lvl>
  </w:abstractNum>
  <w:abstractNum w:abstractNumId="5">
    <w:nsid w:val="E7461C24"/>
    <w:multiLevelType w:val="singleLevel"/>
    <w:tmpl w:val="E7461C24"/>
    <w:lvl w:ilvl="0" w:tentative="0">
      <w:start w:val="1"/>
      <w:numFmt w:val="decimal"/>
      <w:suff w:val="nothing"/>
      <w:lvlText w:val="（%1）"/>
      <w:lvlJc w:val="left"/>
    </w:lvl>
  </w:abstractNum>
  <w:abstractNum w:abstractNumId="6">
    <w:nsid w:val="00000009"/>
    <w:multiLevelType w:val="singleLevel"/>
    <w:tmpl w:val="00000009"/>
    <w:lvl w:ilvl="0" w:tentative="0">
      <w:start w:val="1"/>
      <w:numFmt w:val="decimal"/>
      <w:suff w:val="nothing"/>
      <w:lvlText w:val="%1、"/>
      <w:lvlJc w:val="left"/>
    </w:lvl>
  </w:abstractNum>
  <w:abstractNum w:abstractNumId="7">
    <w:nsid w:val="08653DA4"/>
    <w:multiLevelType w:val="multilevel"/>
    <w:tmpl w:val="08653DA4"/>
    <w:lvl w:ilvl="0" w:tentative="0">
      <w:start w:val="1"/>
      <w:numFmt w:val="lowerLetter"/>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8">
    <w:nsid w:val="147F80EF"/>
    <w:multiLevelType w:val="singleLevel"/>
    <w:tmpl w:val="147F80EF"/>
    <w:lvl w:ilvl="0" w:tentative="0">
      <w:start w:val="1"/>
      <w:numFmt w:val="decimal"/>
      <w:lvlText w:val="%1)"/>
      <w:lvlJc w:val="left"/>
      <w:pPr>
        <w:ind w:left="425" w:hanging="425"/>
      </w:pPr>
      <w:rPr>
        <w:rFonts w:hint="default"/>
      </w:rPr>
    </w:lvl>
  </w:abstractNum>
  <w:abstractNum w:abstractNumId="9">
    <w:nsid w:val="366A7BC6"/>
    <w:multiLevelType w:val="multilevel"/>
    <w:tmpl w:val="366A7BC6"/>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0">
    <w:nsid w:val="67358AB8"/>
    <w:multiLevelType w:val="singleLevel"/>
    <w:tmpl w:val="67358AB8"/>
    <w:lvl w:ilvl="0" w:tentative="0">
      <w:start w:val="1"/>
      <w:numFmt w:val="decimal"/>
      <w:suff w:val="nothing"/>
      <w:lvlText w:val="（%1）"/>
      <w:lvlJc w:val="left"/>
    </w:lvl>
  </w:abstractNum>
  <w:abstractNum w:abstractNumId="11">
    <w:nsid w:val="72660380"/>
    <w:multiLevelType w:val="multilevel"/>
    <w:tmpl w:val="72660380"/>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num w:numId="1">
    <w:abstractNumId w:val="3"/>
  </w:num>
  <w:num w:numId="2">
    <w:abstractNumId w:val="9"/>
  </w:num>
  <w:num w:numId="3">
    <w:abstractNumId w:val="5"/>
  </w:num>
  <w:num w:numId="4">
    <w:abstractNumId w:val="10"/>
  </w:num>
  <w:num w:numId="5">
    <w:abstractNumId w:val="1"/>
  </w:num>
  <w:num w:numId="6">
    <w:abstractNumId w:val="11"/>
  </w:num>
  <w:num w:numId="7">
    <w:abstractNumId w:val="8"/>
  </w:num>
  <w:num w:numId="8">
    <w:abstractNumId w:val="6"/>
  </w:num>
  <w:num w:numId="9">
    <w:abstractNumId w:val="2"/>
  </w:num>
  <w:num w:numId="10">
    <w:abstractNumId w:val="7"/>
    <w:lvlOverride w:ilvl="0">
      <w:startOverride w:val="1"/>
    </w:lvlOverride>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60"/>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yN2NlYWU5N2I0MGZiNTJiODAxZjUxZjQ5MmUyNzQifQ=="/>
  </w:docVars>
  <w:rsids>
    <w:rsidRoot w:val="00172A27"/>
    <w:rsid w:val="000008AE"/>
    <w:rsid w:val="00000DA0"/>
    <w:rsid w:val="0000107B"/>
    <w:rsid w:val="00001255"/>
    <w:rsid w:val="00001351"/>
    <w:rsid w:val="00001616"/>
    <w:rsid w:val="00002240"/>
    <w:rsid w:val="0000249F"/>
    <w:rsid w:val="000036AE"/>
    <w:rsid w:val="000053DD"/>
    <w:rsid w:val="000067D2"/>
    <w:rsid w:val="00006CD5"/>
    <w:rsid w:val="00010275"/>
    <w:rsid w:val="00011F5B"/>
    <w:rsid w:val="00012FC0"/>
    <w:rsid w:val="000131FB"/>
    <w:rsid w:val="00013F7B"/>
    <w:rsid w:val="000148CF"/>
    <w:rsid w:val="000150F2"/>
    <w:rsid w:val="00015267"/>
    <w:rsid w:val="00015B00"/>
    <w:rsid w:val="000161B6"/>
    <w:rsid w:val="00020487"/>
    <w:rsid w:val="00021229"/>
    <w:rsid w:val="00021CDE"/>
    <w:rsid w:val="00021CF2"/>
    <w:rsid w:val="000225BC"/>
    <w:rsid w:val="00022EFA"/>
    <w:rsid w:val="00023C49"/>
    <w:rsid w:val="00023E4C"/>
    <w:rsid w:val="0002452C"/>
    <w:rsid w:val="000260AD"/>
    <w:rsid w:val="000265C2"/>
    <w:rsid w:val="00026CC2"/>
    <w:rsid w:val="000273C7"/>
    <w:rsid w:val="00027CC8"/>
    <w:rsid w:val="00027CEC"/>
    <w:rsid w:val="00027D38"/>
    <w:rsid w:val="000303E1"/>
    <w:rsid w:val="00030AD8"/>
    <w:rsid w:val="000317CA"/>
    <w:rsid w:val="0003181C"/>
    <w:rsid w:val="00032134"/>
    <w:rsid w:val="000325CE"/>
    <w:rsid w:val="0003329B"/>
    <w:rsid w:val="00033641"/>
    <w:rsid w:val="000342EC"/>
    <w:rsid w:val="00034D19"/>
    <w:rsid w:val="0003660B"/>
    <w:rsid w:val="000369D2"/>
    <w:rsid w:val="00037EE2"/>
    <w:rsid w:val="000407B3"/>
    <w:rsid w:val="0004111B"/>
    <w:rsid w:val="000415B1"/>
    <w:rsid w:val="00041BE4"/>
    <w:rsid w:val="0004279E"/>
    <w:rsid w:val="0004335D"/>
    <w:rsid w:val="00043AC8"/>
    <w:rsid w:val="00044AE2"/>
    <w:rsid w:val="00044B3F"/>
    <w:rsid w:val="00045883"/>
    <w:rsid w:val="00046374"/>
    <w:rsid w:val="00047114"/>
    <w:rsid w:val="0005095B"/>
    <w:rsid w:val="00050DEE"/>
    <w:rsid w:val="000516E3"/>
    <w:rsid w:val="00051B80"/>
    <w:rsid w:val="00052F70"/>
    <w:rsid w:val="00053F58"/>
    <w:rsid w:val="0005415C"/>
    <w:rsid w:val="00055835"/>
    <w:rsid w:val="00055B9A"/>
    <w:rsid w:val="00055C01"/>
    <w:rsid w:val="00055DD9"/>
    <w:rsid w:val="000566FC"/>
    <w:rsid w:val="00057A16"/>
    <w:rsid w:val="000601BC"/>
    <w:rsid w:val="0006107F"/>
    <w:rsid w:val="00061AE1"/>
    <w:rsid w:val="00061B2C"/>
    <w:rsid w:val="00063583"/>
    <w:rsid w:val="00064447"/>
    <w:rsid w:val="00064E63"/>
    <w:rsid w:val="00065112"/>
    <w:rsid w:val="00065300"/>
    <w:rsid w:val="0006586E"/>
    <w:rsid w:val="00065C18"/>
    <w:rsid w:val="00066224"/>
    <w:rsid w:val="000668F7"/>
    <w:rsid w:val="00067BAD"/>
    <w:rsid w:val="00070E4F"/>
    <w:rsid w:val="00070F6C"/>
    <w:rsid w:val="0007335F"/>
    <w:rsid w:val="000735C6"/>
    <w:rsid w:val="00074E0B"/>
    <w:rsid w:val="00074E62"/>
    <w:rsid w:val="00074FAC"/>
    <w:rsid w:val="00075588"/>
    <w:rsid w:val="0007669B"/>
    <w:rsid w:val="00076754"/>
    <w:rsid w:val="00077441"/>
    <w:rsid w:val="000779FD"/>
    <w:rsid w:val="0008040C"/>
    <w:rsid w:val="00080D08"/>
    <w:rsid w:val="00081A6F"/>
    <w:rsid w:val="00081C6F"/>
    <w:rsid w:val="00083162"/>
    <w:rsid w:val="000839AD"/>
    <w:rsid w:val="00083C5C"/>
    <w:rsid w:val="00085105"/>
    <w:rsid w:val="00086507"/>
    <w:rsid w:val="00086933"/>
    <w:rsid w:val="00086EEC"/>
    <w:rsid w:val="00087E11"/>
    <w:rsid w:val="00090784"/>
    <w:rsid w:val="000911CB"/>
    <w:rsid w:val="00091498"/>
    <w:rsid w:val="00091A59"/>
    <w:rsid w:val="00091E8E"/>
    <w:rsid w:val="0009261A"/>
    <w:rsid w:val="00094603"/>
    <w:rsid w:val="00094871"/>
    <w:rsid w:val="00096762"/>
    <w:rsid w:val="00096E45"/>
    <w:rsid w:val="00096F0A"/>
    <w:rsid w:val="00097D22"/>
    <w:rsid w:val="00097F86"/>
    <w:rsid w:val="000A0344"/>
    <w:rsid w:val="000A0956"/>
    <w:rsid w:val="000A0A54"/>
    <w:rsid w:val="000A0D2D"/>
    <w:rsid w:val="000A147D"/>
    <w:rsid w:val="000A258D"/>
    <w:rsid w:val="000A2631"/>
    <w:rsid w:val="000A40BB"/>
    <w:rsid w:val="000A4221"/>
    <w:rsid w:val="000A4912"/>
    <w:rsid w:val="000A4A6F"/>
    <w:rsid w:val="000A4C96"/>
    <w:rsid w:val="000A566A"/>
    <w:rsid w:val="000A59AD"/>
    <w:rsid w:val="000A5FA5"/>
    <w:rsid w:val="000A693E"/>
    <w:rsid w:val="000B0ECA"/>
    <w:rsid w:val="000B1196"/>
    <w:rsid w:val="000B123C"/>
    <w:rsid w:val="000B1E98"/>
    <w:rsid w:val="000B28DB"/>
    <w:rsid w:val="000B2A5F"/>
    <w:rsid w:val="000B2EA7"/>
    <w:rsid w:val="000B46A2"/>
    <w:rsid w:val="000B4979"/>
    <w:rsid w:val="000B4C39"/>
    <w:rsid w:val="000B7447"/>
    <w:rsid w:val="000B7738"/>
    <w:rsid w:val="000C021F"/>
    <w:rsid w:val="000C0E70"/>
    <w:rsid w:val="000C16D6"/>
    <w:rsid w:val="000C1DC6"/>
    <w:rsid w:val="000C4808"/>
    <w:rsid w:val="000C48DE"/>
    <w:rsid w:val="000C4B01"/>
    <w:rsid w:val="000C5A51"/>
    <w:rsid w:val="000C783F"/>
    <w:rsid w:val="000C7CF8"/>
    <w:rsid w:val="000D130E"/>
    <w:rsid w:val="000D1459"/>
    <w:rsid w:val="000D1936"/>
    <w:rsid w:val="000D1AA4"/>
    <w:rsid w:val="000D1DF0"/>
    <w:rsid w:val="000D291A"/>
    <w:rsid w:val="000D2B33"/>
    <w:rsid w:val="000D32EC"/>
    <w:rsid w:val="000D33F2"/>
    <w:rsid w:val="000D3438"/>
    <w:rsid w:val="000D3A03"/>
    <w:rsid w:val="000D4477"/>
    <w:rsid w:val="000D5E43"/>
    <w:rsid w:val="000D750F"/>
    <w:rsid w:val="000D79EB"/>
    <w:rsid w:val="000D7AF8"/>
    <w:rsid w:val="000D7E24"/>
    <w:rsid w:val="000E028B"/>
    <w:rsid w:val="000E02F2"/>
    <w:rsid w:val="000E1E85"/>
    <w:rsid w:val="000E2837"/>
    <w:rsid w:val="000E2BC0"/>
    <w:rsid w:val="000E3EEF"/>
    <w:rsid w:val="000E416C"/>
    <w:rsid w:val="000E56DE"/>
    <w:rsid w:val="000E706B"/>
    <w:rsid w:val="000F02E6"/>
    <w:rsid w:val="000F0550"/>
    <w:rsid w:val="000F1074"/>
    <w:rsid w:val="000F13AF"/>
    <w:rsid w:val="000F2A94"/>
    <w:rsid w:val="000F2E5E"/>
    <w:rsid w:val="000F421C"/>
    <w:rsid w:val="000F4472"/>
    <w:rsid w:val="000F4C37"/>
    <w:rsid w:val="000F4F94"/>
    <w:rsid w:val="000F55ED"/>
    <w:rsid w:val="000F5680"/>
    <w:rsid w:val="000F5897"/>
    <w:rsid w:val="000F6027"/>
    <w:rsid w:val="000F6E50"/>
    <w:rsid w:val="001007C1"/>
    <w:rsid w:val="00101001"/>
    <w:rsid w:val="00101417"/>
    <w:rsid w:val="00102CD6"/>
    <w:rsid w:val="00103EDC"/>
    <w:rsid w:val="00103FBC"/>
    <w:rsid w:val="00105C54"/>
    <w:rsid w:val="001062C4"/>
    <w:rsid w:val="0010669E"/>
    <w:rsid w:val="00107048"/>
    <w:rsid w:val="0010765D"/>
    <w:rsid w:val="00107E23"/>
    <w:rsid w:val="00110878"/>
    <w:rsid w:val="00111204"/>
    <w:rsid w:val="001113A5"/>
    <w:rsid w:val="00111D5D"/>
    <w:rsid w:val="00112791"/>
    <w:rsid w:val="0011355D"/>
    <w:rsid w:val="0011384C"/>
    <w:rsid w:val="0011396E"/>
    <w:rsid w:val="00113E4C"/>
    <w:rsid w:val="00113FC6"/>
    <w:rsid w:val="0011495F"/>
    <w:rsid w:val="00115E32"/>
    <w:rsid w:val="0011602B"/>
    <w:rsid w:val="00116541"/>
    <w:rsid w:val="001172A3"/>
    <w:rsid w:val="00120EEE"/>
    <w:rsid w:val="00120F3A"/>
    <w:rsid w:val="00121115"/>
    <w:rsid w:val="001223F9"/>
    <w:rsid w:val="00122D30"/>
    <w:rsid w:val="00122D3E"/>
    <w:rsid w:val="00123169"/>
    <w:rsid w:val="001232C5"/>
    <w:rsid w:val="00124AFE"/>
    <w:rsid w:val="00124EF7"/>
    <w:rsid w:val="001258CD"/>
    <w:rsid w:val="00125A10"/>
    <w:rsid w:val="00126051"/>
    <w:rsid w:val="0012621D"/>
    <w:rsid w:val="00126F03"/>
    <w:rsid w:val="0012782B"/>
    <w:rsid w:val="00131683"/>
    <w:rsid w:val="00131B3F"/>
    <w:rsid w:val="00132E4D"/>
    <w:rsid w:val="00133D3A"/>
    <w:rsid w:val="00133F40"/>
    <w:rsid w:val="00135C96"/>
    <w:rsid w:val="00136020"/>
    <w:rsid w:val="001363C1"/>
    <w:rsid w:val="001375A8"/>
    <w:rsid w:val="00141886"/>
    <w:rsid w:val="00143FF7"/>
    <w:rsid w:val="00145C0D"/>
    <w:rsid w:val="001464CC"/>
    <w:rsid w:val="00146A29"/>
    <w:rsid w:val="00146B1C"/>
    <w:rsid w:val="00150017"/>
    <w:rsid w:val="001504B3"/>
    <w:rsid w:val="0015086E"/>
    <w:rsid w:val="00150F5B"/>
    <w:rsid w:val="00150FD2"/>
    <w:rsid w:val="001517FA"/>
    <w:rsid w:val="001526CD"/>
    <w:rsid w:val="0015311C"/>
    <w:rsid w:val="001538AB"/>
    <w:rsid w:val="00153ACA"/>
    <w:rsid w:val="001543EB"/>
    <w:rsid w:val="0015506F"/>
    <w:rsid w:val="00155A65"/>
    <w:rsid w:val="00155F0F"/>
    <w:rsid w:val="0015624B"/>
    <w:rsid w:val="00156900"/>
    <w:rsid w:val="00156A6A"/>
    <w:rsid w:val="00156AD8"/>
    <w:rsid w:val="00156B04"/>
    <w:rsid w:val="00157751"/>
    <w:rsid w:val="00157978"/>
    <w:rsid w:val="0016017E"/>
    <w:rsid w:val="00160802"/>
    <w:rsid w:val="00163495"/>
    <w:rsid w:val="00163779"/>
    <w:rsid w:val="0016455C"/>
    <w:rsid w:val="00165846"/>
    <w:rsid w:val="00165BBD"/>
    <w:rsid w:val="00165C2B"/>
    <w:rsid w:val="00166238"/>
    <w:rsid w:val="001670C9"/>
    <w:rsid w:val="00167C19"/>
    <w:rsid w:val="00170FBD"/>
    <w:rsid w:val="00170FE9"/>
    <w:rsid w:val="001716ED"/>
    <w:rsid w:val="0017193F"/>
    <w:rsid w:val="00171E07"/>
    <w:rsid w:val="00171E68"/>
    <w:rsid w:val="00172A27"/>
    <w:rsid w:val="00172AB0"/>
    <w:rsid w:val="00172EC3"/>
    <w:rsid w:val="00173114"/>
    <w:rsid w:val="00174BF0"/>
    <w:rsid w:val="00174CD8"/>
    <w:rsid w:val="001756D5"/>
    <w:rsid w:val="00175E3B"/>
    <w:rsid w:val="001766C9"/>
    <w:rsid w:val="001777BF"/>
    <w:rsid w:val="0018014D"/>
    <w:rsid w:val="00180445"/>
    <w:rsid w:val="001811B0"/>
    <w:rsid w:val="00181604"/>
    <w:rsid w:val="0018175C"/>
    <w:rsid w:val="001822EE"/>
    <w:rsid w:val="001839A5"/>
    <w:rsid w:val="00183DFE"/>
    <w:rsid w:val="0018435A"/>
    <w:rsid w:val="00186E86"/>
    <w:rsid w:val="00191A11"/>
    <w:rsid w:val="00191BAF"/>
    <w:rsid w:val="00193AF0"/>
    <w:rsid w:val="00193D77"/>
    <w:rsid w:val="00196D89"/>
    <w:rsid w:val="00196E1C"/>
    <w:rsid w:val="00197723"/>
    <w:rsid w:val="001A06DA"/>
    <w:rsid w:val="001A0C59"/>
    <w:rsid w:val="001A0CC2"/>
    <w:rsid w:val="001A0D8E"/>
    <w:rsid w:val="001A11C6"/>
    <w:rsid w:val="001A12B0"/>
    <w:rsid w:val="001A174D"/>
    <w:rsid w:val="001A1A69"/>
    <w:rsid w:val="001A26B9"/>
    <w:rsid w:val="001A2735"/>
    <w:rsid w:val="001A302D"/>
    <w:rsid w:val="001A4ED4"/>
    <w:rsid w:val="001A5A17"/>
    <w:rsid w:val="001A6013"/>
    <w:rsid w:val="001A60CD"/>
    <w:rsid w:val="001A6EE2"/>
    <w:rsid w:val="001A7817"/>
    <w:rsid w:val="001B0139"/>
    <w:rsid w:val="001B0528"/>
    <w:rsid w:val="001B1FF0"/>
    <w:rsid w:val="001B3018"/>
    <w:rsid w:val="001B37FC"/>
    <w:rsid w:val="001B3C2A"/>
    <w:rsid w:val="001B3E80"/>
    <w:rsid w:val="001B4EE8"/>
    <w:rsid w:val="001B5DD2"/>
    <w:rsid w:val="001B6AB2"/>
    <w:rsid w:val="001B700B"/>
    <w:rsid w:val="001C0AE0"/>
    <w:rsid w:val="001C10E7"/>
    <w:rsid w:val="001C1A4D"/>
    <w:rsid w:val="001C2753"/>
    <w:rsid w:val="001C2C2A"/>
    <w:rsid w:val="001C2C3B"/>
    <w:rsid w:val="001C3489"/>
    <w:rsid w:val="001C3751"/>
    <w:rsid w:val="001C39CD"/>
    <w:rsid w:val="001C4002"/>
    <w:rsid w:val="001C44E0"/>
    <w:rsid w:val="001C45A6"/>
    <w:rsid w:val="001C46EA"/>
    <w:rsid w:val="001C57FE"/>
    <w:rsid w:val="001C62BD"/>
    <w:rsid w:val="001C6CAA"/>
    <w:rsid w:val="001C7CDF"/>
    <w:rsid w:val="001D063F"/>
    <w:rsid w:val="001D158D"/>
    <w:rsid w:val="001D1953"/>
    <w:rsid w:val="001D1C72"/>
    <w:rsid w:val="001D308A"/>
    <w:rsid w:val="001D34F9"/>
    <w:rsid w:val="001D35AA"/>
    <w:rsid w:val="001D39A1"/>
    <w:rsid w:val="001D4145"/>
    <w:rsid w:val="001D5538"/>
    <w:rsid w:val="001D6CC5"/>
    <w:rsid w:val="001D75C1"/>
    <w:rsid w:val="001D7BAA"/>
    <w:rsid w:val="001D7BB5"/>
    <w:rsid w:val="001E1A83"/>
    <w:rsid w:val="001E1E4B"/>
    <w:rsid w:val="001E27F2"/>
    <w:rsid w:val="001E2A03"/>
    <w:rsid w:val="001E4836"/>
    <w:rsid w:val="001E489E"/>
    <w:rsid w:val="001E4DD3"/>
    <w:rsid w:val="001E6C80"/>
    <w:rsid w:val="001E6F65"/>
    <w:rsid w:val="001E72E4"/>
    <w:rsid w:val="001E77DC"/>
    <w:rsid w:val="001F1468"/>
    <w:rsid w:val="001F2C36"/>
    <w:rsid w:val="001F2E29"/>
    <w:rsid w:val="001F32E1"/>
    <w:rsid w:val="001F5049"/>
    <w:rsid w:val="001F57E8"/>
    <w:rsid w:val="001F73E3"/>
    <w:rsid w:val="00200B8A"/>
    <w:rsid w:val="00202BAD"/>
    <w:rsid w:val="002033B0"/>
    <w:rsid w:val="00203813"/>
    <w:rsid w:val="00203CBD"/>
    <w:rsid w:val="00204173"/>
    <w:rsid w:val="00204255"/>
    <w:rsid w:val="00204E0B"/>
    <w:rsid w:val="0020572E"/>
    <w:rsid w:val="002074C7"/>
    <w:rsid w:val="002076B2"/>
    <w:rsid w:val="002077D4"/>
    <w:rsid w:val="00210917"/>
    <w:rsid w:val="002109CC"/>
    <w:rsid w:val="00210A2F"/>
    <w:rsid w:val="00210C93"/>
    <w:rsid w:val="00210FF5"/>
    <w:rsid w:val="00211F2E"/>
    <w:rsid w:val="002121FB"/>
    <w:rsid w:val="002131E2"/>
    <w:rsid w:val="002132F3"/>
    <w:rsid w:val="00213854"/>
    <w:rsid w:val="0021389D"/>
    <w:rsid w:val="00215118"/>
    <w:rsid w:val="00215256"/>
    <w:rsid w:val="002153EE"/>
    <w:rsid w:val="00215753"/>
    <w:rsid w:val="00216140"/>
    <w:rsid w:val="00217077"/>
    <w:rsid w:val="00217D2C"/>
    <w:rsid w:val="00220417"/>
    <w:rsid w:val="002214F8"/>
    <w:rsid w:val="00221800"/>
    <w:rsid w:val="002219DE"/>
    <w:rsid w:val="00221E2B"/>
    <w:rsid w:val="00222143"/>
    <w:rsid w:val="00222549"/>
    <w:rsid w:val="0022331B"/>
    <w:rsid w:val="002234D2"/>
    <w:rsid w:val="00223D20"/>
    <w:rsid w:val="002245E7"/>
    <w:rsid w:val="00225ED0"/>
    <w:rsid w:val="00232FE0"/>
    <w:rsid w:val="0023434B"/>
    <w:rsid w:val="0023487B"/>
    <w:rsid w:val="00234B90"/>
    <w:rsid w:val="00234DDF"/>
    <w:rsid w:val="00235302"/>
    <w:rsid w:val="0023545C"/>
    <w:rsid w:val="00235928"/>
    <w:rsid w:val="002362B4"/>
    <w:rsid w:val="0023667C"/>
    <w:rsid w:val="002367A2"/>
    <w:rsid w:val="00236B19"/>
    <w:rsid w:val="00237206"/>
    <w:rsid w:val="00237FF3"/>
    <w:rsid w:val="0024050C"/>
    <w:rsid w:val="002416B2"/>
    <w:rsid w:val="00241D30"/>
    <w:rsid w:val="00242A57"/>
    <w:rsid w:val="002458CA"/>
    <w:rsid w:val="00245F3C"/>
    <w:rsid w:val="00246E62"/>
    <w:rsid w:val="0024774E"/>
    <w:rsid w:val="002478C0"/>
    <w:rsid w:val="00247A3F"/>
    <w:rsid w:val="00247CD9"/>
    <w:rsid w:val="00250461"/>
    <w:rsid w:val="002509F6"/>
    <w:rsid w:val="00252F64"/>
    <w:rsid w:val="002549ED"/>
    <w:rsid w:val="00254A27"/>
    <w:rsid w:val="00254C17"/>
    <w:rsid w:val="00255555"/>
    <w:rsid w:val="00255BF9"/>
    <w:rsid w:val="00256489"/>
    <w:rsid w:val="0025677D"/>
    <w:rsid w:val="00256852"/>
    <w:rsid w:val="00257583"/>
    <w:rsid w:val="00257B9B"/>
    <w:rsid w:val="00257C06"/>
    <w:rsid w:val="002600B8"/>
    <w:rsid w:val="00260567"/>
    <w:rsid w:val="002613F0"/>
    <w:rsid w:val="0026184C"/>
    <w:rsid w:val="00262C3E"/>
    <w:rsid w:val="00263D21"/>
    <w:rsid w:val="00265BF6"/>
    <w:rsid w:val="00267758"/>
    <w:rsid w:val="00267846"/>
    <w:rsid w:val="00267917"/>
    <w:rsid w:val="00270ABA"/>
    <w:rsid w:val="00270AC8"/>
    <w:rsid w:val="00270BEF"/>
    <w:rsid w:val="00271361"/>
    <w:rsid w:val="00272DBA"/>
    <w:rsid w:val="00273D91"/>
    <w:rsid w:val="00275801"/>
    <w:rsid w:val="00276E78"/>
    <w:rsid w:val="00277869"/>
    <w:rsid w:val="00277FAD"/>
    <w:rsid w:val="00280E3D"/>
    <w:rsid w:val="00281426"/>
    <w:rsid w:val="00282A91"/>
    <w:rsid w:val="00282EDB"/>
    <w:rsid w:val="002839B4"/>
    <w:rsid w:val="00284A1F"/>
    <w:rsid w:val="00284B14"/>
    <w:rsid w:val="002855A8"/>
    <w:rsid w:val="002858CB"/>
    <w:rsid w:val="00285F68"/>
    <w:rsid w:val="002865E2"/>
    <w:rsid w:val="00287327"/>
    <w:rsid w:val="00287CC0"/>
    <w:rsid w:val="00287D61"/>
    <w:rsid w:val="00287F07"/>
    <w:rsid w:val="0029021B"/>
    <w:rsid w:val="00290724"/>
    <w:rsid w:val="00290767"/>
    <w:rsid w:val="00291273"/>
    <w:rsid w:val="0029289B"/>
    <w:rsid w:val="00292953"/>
    <w:rsid w:val="00292C88"/>
    <w:rsid w:val="002935DA"/>
    <w:rsid w:val="00294734"/>
    <w:rsid w:val="00294C4F"/>
    <w:rsid w:val="0029596A"/>
    <w:rsid w:val="00297B9B"/>
    <w:rsid w:val="002A0A4D"/>
    <w:rsid w:val="002A143F"/>
    <w:rsid w:val="002A23F6"/>
    <w:rsid w:val="002A27AE"/>
    <w:rsid w:val="002A33CA"/>
    <w:rsid w:val="002A407B"/>
    <w:rsid w:val="002A40F4"/>
    <w:rsid w:val="002A4F61"/>
    <w:rsid w:val="002A5107"/>
    <w:rsid w:val="002A51D8"/>
    <w:rsid w:val="002A51F8"/>
    <w:rsid w:val="002A5465"/>
    <w:rsid w:val="002A56B4"/>
    <w:rsid w:val="002A6BF4"/>
    <w:rsid w:val="002A7308"/>
    <w:rsid w:val="002A787A"/>
    <w:rsid w:val="002B0084"/>
    <w:rsid w:val="002B0A91"/>
    <w:rsid w:val="002B0EFE"/>
    <w:rsid w:val="002B1551"/>
    <w:rsid w:val="002B1AA7"/>
    <w:rsid w:val="002B2125"/>
    <w:rsid w:val="002B2987"/>
    <w:rsid w:val="002B44A7"/>
    <w:rsid w:val="002B4F2E"/>
    <w:rsid w:val="002B5515"/>
    <w:rsid w:val="002B6782"/>
    <w:rsid w:val="002B6A7C"/>
    <w:rsid w:val="002B6AA8"/>
    <w:rsid w:val="002C01E9"/>
    <w:rsid w:val="002C49B8"/>
    <w:rsid w:val="002C4CBD"/>
    <w:rsid w:val="002C4F37"/>
    <w:rsid w:val="002C595B"/>
    <w:rsid w:val="002C68F3"/>
    <w:rsid w:val="002D0FFF"/>
    <w:rsid w:val="002D19BE"/>
    <w:rsid w:val="002D1CFB"/>
    <w:rsid w:val="002D255E"/>
    <w:rsid w:val="002D2A23"/>
    <w:rsid w:val="002D2B25"/>
    <w:rsid w:val="002D2E0E"/>
    <w:rsid w:val="002D307A"/>
    <w:rsid w:val="002D371F"/>
    <w:rsid w:val="002D3AA3"/>
    <w:rsid w:val="002D54A2"/>
    <w:rsid w:val="002D68BE"/>
    <w:rsid w:val="002D759B"/>
    <w:rsid w:val="002D7D28"/>
    <w:rsid w:val="002E12A6"/>
    <w:rsid w:val="002E207D"/>
    <w:rsid w:val="002E2385"/>
    <w:rsid w:val="002E3A85"/>
    <w:rsid w:val="002E459C"/>
    <w:rsid w:val="002E4F10"/>
    <w:rsid w:val="002E5AE6"/>
    <w:rsid w:val="002E5B85"/>
    <w:rsid w:val="002F0DC9"/>
    <w:rsid w:val="002F142C"/>
    <w:rsid w:val="002F167A"/>
    <w:rsid w:val="002F1C69"/>
    <w:rsid w:val="002F1DA5"/>
    <w:rsid w:val="002F1FD6"/>
    <w:rsid w:val="002F21B8"/>
    <w:rsid w:val="002F2219"/>
    <w:rsid w:val="002F27E5"/>
    <w:rsid w:val="002F2931"/>
    <w:rsid w:val="002F39BA"/>
    <w:rsid w:val="002F425E"/>
    <w:rsid w:val="002F5531"/>
    <w:rsid w:val="002F55C4"/>
    <w:rsid w:val="002F5DBB"/>
    <w:rsid w:val="002F6266"/>
    <w:rsid w:val="002F6F34"/>
    <w:rsid w:val="002F7004"/>
    <w:rsid w:val="002F7C47"/>
    <w:rsid w:val="003004C0"/>
    <w:rsid w:val="003016A8"/>
    <w:rsid w:val="0030369D"/>
    <w:rsid w:val="00303D1E"/>
    <w:rsid w:val="003052B5"/>
    <w:rsid w:val="0030654F"/>
    <w:rsid w:val="00307176"/>
    <w:rsid w:val="00307C2B"/>
    <w:rsid w:val="0031128C"/>
    <w:rsid w:val="00311354"/>
    <w:rsid w:val="0031207F"/>
    <w:rsid w:val="00312A64"/>
    <w:rsid w:val="00312B07"/>
    <w:rsid w:val="00312C5E"/>
    <w:rsid w:val="00314869"/>
    <w:rsid w:val="00315039"/>
    <w:rsid w:val="003151F1"/>
    <w:rsid w:val="003156AE"/>
    <w:rsid w:val="00315782"/>
    <w:rsid w:val="00316D79"/>
    <w:rsid w:val="00317701"/>
    <w:rsid w:val="00317DFB"/>
    <w:rsid w:val="0032014A"/>
    <w:rsid w:val="00320601"/>
    <w:rsid w:val="00320BB5"/>
    <w:rsid w:val="00320E91"/>
    <w:rsid w:val="00321187"/>
    <w:rsid w:val="00322AC0"/>
    <w:rsid w:val="00322EB5"/>
    <w:rsid w:val="0032419F"/>
    <w:rsid w:val="00324515"/>
    <w:rsid w:val="00325465"/>
    <w:rsid w:val="00325DA0"/>
    <w:rsid w:val="00326083"/>
    <w:rsid w:val="0032642C"/>
    <w:rsid w:val="00327877"/>
    <w:rsid w:val="003304FC"/>
    <w:rsid w:val="0033072C"/>
    <w:rsid w:val="00332221"/>
    <w:rsid w:val="003327BC"/>
    <w:rsid w:val="00332FD6"/>
    <w:rsid w:val="00333CC4"/>
    <w:rsid w:val="00333FCA"/>
    <w:rsid w:val="0033425E"/>
    <w:rsid w:val="00334543"/>
    <w:rsid w:val="00335037"/>
    <w:rsid w:val="003361AE"/>
    <w:rsid w:val="00336C5A"/>
    <w:rsid w:val="00337523"/>
    <w:rsid w:val="00337B9F"/>
    <w:rsid w:val="003401CF"/>
    <w:rsid w:val="003401F3"/>
    <w:rsid w:val="00340FEB"/>
    <w:rsid w:val="0034131D"/>
    <w:rsid w:val="00341441"/>
    <w:rsid w:val="00341A4A"/>
    <w:rsid w:val="00341AF8"/>
    <w:rsid w:val="00342E67"/>
    <w:rsid w:val="003432E0"/>
    <w:rsid w:val="003445A6"/>
    <w:rsid w:val="00345011"/>
    <w:rsid w:val="00345641"/>
    <w:rsid w:val="00345DF5"/>
    <w:rsid w:val="00345FC9"/>
    <w:rsid w:val="003478E0"/>
    <w:rsid w:val="003516BA"/>
    <w:rsid w:val="00351820"/>
    <w:rsid w:val="00351D4D"/>
    <w:rsid w:val="003529BE"/>
    <w:rsid w:val="00353221"/>
    <w:rsid w:val="003538C4"/>
    <w:rsid w:val="003538CF"/>
    <w:rsid w:val="0035394B"/>
    <w:rsid w:val="00353C85"/>
    <w:rsid w:val="0035411A"/>
    <w:rsid w:val="0035478C"/>
    <w:rsid w:val="00354A83"/>
    <w:rsid w:val="00354C6E"/>
    <w:rsid w:val="003553E5"/>
    <w:rsid w:val="003564AB"/>
    <w:rsid w:val="00356676"/>
    <w:rsid w:val="00356AD4"/>
    <w:rsid w:val="003577A2"/>
    <w:rsid w:val="00357928"/>
    <w:rsid w:val="00360699"/>
    <w:rsid w:val="00360913"/>
    <w:rsid w:val="00360D67"/>
    <w:rsid w:val="0036126C"/>
    <w:rsid w:val="00361720"/>
    <w:rsid w:val="00361CAE"/>
    <w:rsid w:val="003637A5"/>
    <w:rsid w:val="003638A9"/>
    <w:rsid w:val="003648B6"/>
    <w:rsid w:val="00366A21"/>
    <w:rsid w:val="00366ED4"/>
    <w:rsid w:val="00367079"/>
    <w:rsid w:val="00370695"/>
    <w:rsid w:val="003711A1"/>
    <w:rsid w:val="00371AC2"/>
    <w:rsid w:val="00371E7B"/>
    <w:rsid w:val="00372D2E"/>
    <w:rsid w:val="00373488"/>
    <w:rsid w:val="00373B32"/>
    <w:rsid w:val="00373B73"/>
    <w:rsid w:val="003740C9"/>
    <w:rsid w:val="00375269"/>
    <w:rsid w:val="00375369"/>
    <w:rsid w:val="00375E48"/>
    <w:rsid w:val="00376C94"/>
    <w:rsid w:val="00377A80"/>
    <w:rsid w:val="00377AD2"/>
    <w:rsid w:val="00377D7E"/>
    <w:rsid w:val="0038009B"/>
    <w:rsid w:val="00380A86"/>
    <w:rsid w:val="00382058"/>
    <w:rsid w:val="003827E3"/>
    <w:rsid w:val="00382AA2"/>
    <w:rsid w:val="00383172"/>
    <w:rsid w:val="003847DC"/>
    <w:rsid w:val="00390A14"/>
    <w:rsid w:val="00391481"/>
    <w:rsid w:val="003916DE"/>
    <w:rsid w:val="00391B33"/>
    <w:rsid w:val="0039215F"/>
    <w:rsid w:val="00392486"/>
    <w:rsid w:val="0039593F"/>
    <w:rsid w:val="003A018D"/>
    <w:rsid w:val="003A060E"/>
    <w:rsid w:val="003A07D1"/>
    <w:rsid w:val="003A15E4"/>
    <w:rsid w:val="003A19DF"/>
    <w:rsid w:val="003A1A79"/>
    <w:rsid w:val="003A26FB"/>
    <w:rsid w:val="003A2C91"/>
    <w:rsid w:val="003A3B63"/>
    <w:rsid w:val="003A3CDF"/>
    <w:rsid w:val="003A50D4"/>
    <w:rsid w:val="003A5854"/>
    <w:rsid w:val="003A5FCF"/>
    <w:rsid w:val="003B06D3"/>
    <w:rsid w:val="003B1E64"/>
    <w:rsid w:val="003B2DD8"/>
    <w:rsid w:val="003B483E"/>
    <w:rsid w:val="003B4C85"/>
    <w:rsid w:val="003B5149"/>
    <w:rsid w:val="003B736A"/>
    <w:rsid w:val="003C04C3"/>
    <w:rsid w:val="003C16A3"/>
    <w:rsid w:val="003C1722"/>
    <w:rsid w:val="003C31BC"/>
    <w:rsid w:val="003C3482"/>
    <w:rsid w:val="003C50C9"/>
    <w:rsid w:val="003C5F35"/>
    <w:rsid w:val="003C5FCB"/>
    <w:rsid w:val="003C7AD3"/>
    <w:rsid w:val="003C7FF6"/>
    <w:rsid w:val="003D0389"/>
    <w:rsid w:val="003D073E"/>
    <w:rsid w:val="003D0B4C"/>
    <w:rsid w:val="003D1763"/>
    <w:rsid w:val="003D1CA3"/>
    <w:rsid w:val="003D2180"/>
    <w:rsid w:val="003D236F"/>
    <w:rsid w:val="003D421B"/>
    <w:rsid w:val="003D53D1"/>
    <w:rsid w:val="003D5C1F"/>
    <w:rsid w:val="003D61C1"/>
    <w:rsid w:val="003D6EA3"/>
    <w:rsid w:val="003E00F6"/>
    <w:rsid w:val="003E020A"/>
    <w:rsid w:val="003E09D5"/>
    <w:rsid w:val="003E2D93"/>
    <w:rsid w:val="003E3B68"/>
    <w:rsid w:val="003E461C"/>
    <w:rsid w:val="003E646C"/>
    <w:rsid w:val="003E78A4"/>
    <w:rsid w:val="003E7D84"/>
    <w:rsid w:val="003E7FAF"/>
    <w:rsid w:val="003F06A1"/>
    <w:rsid w:val="003F0CA2"/>
    <w:rsid w:val="003F0D00"/>
    <w:rsid w:val="003F0D5D"/>
    <w:rsid w:val="003F1C31"/>
    <w:rsid w:val="003F247F"/>
    <w:rsid w:val="003F287E"/>
    <w:rsid w:val="003F3ACD"/>
    <w:rsid w:val="003F498F"/>
    <w:rsid w:val="003F533D"/>
    <w:rsid w:val="003F54CB"/>
    <w:rsid w:val="003F6578"/>
    <w:rsid w:val="003F65BC"/>
    <w:rsid w:val="003F771B"/>
    <w:rsid w:val="004000E0"/>
    <w:rsid w:val="004006B3"/>
    <w:rsid w:val="00400784"/>
    <w:rsid w:val="00400CA4"/>
    <w:rsid w:val="00400FD2"/>
    <w:rsid w:val="00401676"/>
    <w:rsid w:val="004022E5"/>
    <w:rsid w:val="00402AEA"/>
    <w:rsid w:val="00404FFE"/>
    <w:rsid w:val="00405FF7"/>
    <w:rsid w:val="00406167"/>
    <w:rsid w:val="00406758"/>
    <w:rsid w:val="004074BA"/>
    <w:rsid w:val="00407D4B"/>
    <w:rsid w:val="004107B7"/>
    <w:rsid w:val="00410AF7"/>
    <w:rsid w:val="004114B0"/>
    <w:rsid w:val="004122A8"/>
    <w:rsid w:val="00413CD3"/>
    <w:rsid w:val="00413DDA"/>
    <w:rsid w:val="00414E41"/>
    <w:rsid w:val="004156DD"/>
    <w:rsid w:val="004156FF"/>
    <w:rsid w:val="00415A34"/>
    <w:rsid w:val="00415B66"/>
    <w:rsid w:val="004169C1"/>
    <w:rsid w:val="00416DAC"/>
    <w:rsid w:val="00417314"/>
    <w:rsid w:val="00417C69"/>
    <w:rsid w:val="00420792"/>
    <w:rsid w:val="0042094D"/>
    <w:rsid w:val="00421108"/>
    <w:rsid w:val="004228CF"/>
    <w:rsid w:val="004233F5"/>
    <w:rsid w:val="00423638"/>
    <w:rsid w:val="00423920"/>
    <w:rsid w:val="0042395D"/>
    <w:rsid w:val="00423E04"/>
    <w:rsid w:val="004244A9"/>
    <w:rsid w:val="0042490A"/>
    <w:rsid w:val="004253BD"/>
    <w:rsid w:val="00425977"/>
    <w:rsid w:val="004260C1"/>
    <w:rsid w:val="004268E4"/>
    <w:rsid w:val="0043100F"/>
    <w:rsid w:val="004317E9"/>
    <w:rsid w:val="00431C92"/>
    <w:rsid w:val="00432F83"/>
    <w:rsid w:val="00433C5E"/>
    <w:rsid w:val="00433CC9"/>
    <w:rsid w:val="00434814"/>
    <w:rsid w:val="00434E86"/>
    <w:rsid w:val="00435A7C"/>
    <w:rsid w:val="00435DFB"/>
    <w:rsid w:val="00435FB9"/>
    <w:rsid w:val="00436B91"/>
    <w:rsid w:val="00441796"/>
    <w:rsid w:val="00443054"/>
    <w:rsid w:val="00444670"/>
    <w:rsid w:val="00444714"/>
    <w:rsid w:val="00444922"/>
    <w:rsid w:val="00444D36"/>
    <w:rsid w:val="004455F2"/>
    <w:rsid w:val="00446AAA"/>
    <w:rsid w:val="0045089C"/>
    <w:rsid w:val="004513AF"/>
    <w:rsid w:val="0045200D"/>
    <w:rsid w:val="00452A57"/>
    <w:rsid w:val="004537CC"/>
    <w:rsid w:val="004542B6"/>
    <w:rsid w:val="00454D8F"/>
    <w:rsid w:val="0045532A"/>
    <w:rsid w:val="004559F0"/>
    <w:rsid w:val="00457476"/>
    <w:rsid w:val="004576C3"/>
    <w:rsid w:val="00457A68"/>
    <w:rsid w:val="00457DA6"/>
    <w:rsid w:val="00461CF9"/>
    <w:rsid w:val="00463360"/>
    <w:rsid w:val="00463831"/>
    <w:rsid w:val="00463CD7"/>
    <w:rsid w:val="00464A12"/>
    <w:rsid w:val="00465688"/>
    <w:rsid w:val="00466FA9"/>
    <w:rsid w:val="004678CE"/>
    <w:rsid w:val="00471A96"/>
    <w:rsid w:val="00471B20"/>
    <w:rsid w:val="00472B4F"/>
    <w:rsid w:val="00473D97"/>
    <w:rsid w:val="00473DBD"/>
    <w:rsid w:val="00474317"/>
    <w:rsid w:val="004748C5"/>
    <w:rsid w:val="00474C0A"/>
    <w:rsid w:val="0047541A"/>
    <w:rsid w:val="0047549D"/>
    <w:rsid w:val="004757A0"/>
    <w:rsid w:val="00476392"/>
    <w:rsid w:val="004771A9"/>
    <w:rsid w:val="0047779B"/>
    <w:rsid w:val="00477D77"/>
    <w:rsid w:val="0048017D"/>
    <w:rsid w:val="00480CE0"/>
    <w:rsid w:val="00480F5D"/>
    <w:rsid w:val="00481577"/>
    <w:rsid w:val="00483E22"/>
    <w:rsid w:val="00484835"/>
    <w:rsid w:val="00484931"/>
    <w:rsid w:val="00484DA3"/>
    <w:rsid w:val="0048502E"/>
    <w:rsid w:val="0048664D"/>
    <w:rsid w:val="00487B00"/>
    <w:rsid w:val="00487EE5"/>
    <w:rsid w:val="004903FD"/>
    <w:rsid w:val="00490645"/>
    <w:rsid w:val="0049084B"/>
    <w:rsid w:val="0049203C"/>
    <w:rsid w:val="0049250A"/>
    <w:rsid w:val="00492C8F"/>
    <w:rsid w:val="00493F47"/>
    <w:rsid w:val="004951C5"/>
    <w:rsid w:val="004960D5"/>
    <w:rsid w:val="004963AD"/>
    <w:rsid w:val="00496949"/>
    <w:rsid w:val="0049717B"/>
    <w:rsid w:val="0049728C"/>
    <w:rsid w:val="00497437"/>
    <w:rsid w:val="00497C57"/>
    <w:rsid w:val="004A0CB9"/>
    <w:rsid w:val="004A334D"/>
    <w:rsid w:val="004A33D3"/>
    <w:rsid w:val="004A3805"/>
    <w:rsid w:val="004A38F6"/>
    <w:rsid w:val="004A46D4"/>
    <w:rsid w:val="004A5077"/>
    <w:rsid w:val="004A5EA1"/>
    <w:rsid w:val="004A5EB2"/>
    <w:rsid w:val="004A6038"/>
    <w:rsid w:val="004A6150"/>
    <w:rsid w:val="004A74E8"/>
    <w:rsid w:val="004A7B81"/>
    <w:rsid w:val="004B0BEA"/>
    <w:rsid w:val="004B0EAA"/>
    <w:rsid w:val="004B1029"/>
    <w:rsid w:val="004B21C0"/>
    <w:rsid w:val="004B2F0E"/>
    <w:rsid w:val="004B3151"/>
    <w:rsid w:val="004B3E6A"/>
    <w:rsid w:val="004B4C30"/>
    <w:rsid w:val="004B5716"/>
    <w:rsid w:val="004B587A"/>
    <w:rsid w:val="004B5F87"/>
    <w:rsid w:val="004B6317"/>
    <w:rsid w:val="004B6F83"/>
    <w:rsid w:val="004B7F74"/>
    <w:rsid w:val="004C0306"/>
    <w:rsid w:val="004C0428"/>
    <w:rsid w:val="004C0640"/>
    <w:rsid w:val="004C0919"/>
    <w:rsid w:val="004C09D9"/>
    <w:rsid w:val="004C0F2F"/>
    <w:rsid w:val="004C1522"/>
    <w:rsid w:val="004C2111"/>
    <w:rsid w:val="004C27D8"/>
    <w:rsid w:val="004C4283"/>
    <w:rsid w:val="004C45CB"/>
    <w:rsid w:val="004C49BA"/>
    <w:rsid w:val="004C517F"/>
    <w:rsid w:val="004C51B9"/>
    <w:rsid w:val="004C5250"/>
    <w:rsid w:val="004C526E"/>
    <w:rsid w:val="004C5293"/>
    <w:rsid w:val="004C5FF1"/>
    <w:rsid w:val="004C6BC5"/>
    <w:rsid w:val="004C73FD"/>
    <w:rsid w:val="004D10FC"/>
    <w:rsid w:val="004D2CED"/>
    <w:rsid w:val="004D2D38"/>
    <w:rsid w:val="004D35E5"/>
    <w:rsid w:val="004D3EAC"/>
    <w:rsid w:val="004D4263"/>
    <w:rsid w:val="004D47EA"/>
    <w:rsid w:val="004D4CE9"/>
    <w:rsid w:val="004D6673"/>
    <w:rsid w:val="004D781C"/>
    <w:rsid w:val="004E0B5F"/>
    <w:rsid w:val="004E15D5"/>
    <w:rsid w:val="004E1768"/>
    <w:rsid w:val="004E295D"/>
    <w:rsid w:val="004E2B00"/>
    <w:rsid w:val="004E306B"/>
    <w:rsid w:val="004E33C3"/>
    <w:rsid w:val="004E4054"/>
    <w:rsid w:val="004E5240"/>
    <w:rsid w:val="004E6FCF"/>
    <w:rsid w:val="004E7336"/>
    <w:rsid w:val="004F0711"/>
    <w:rsid w:val="004F094C"/>
    <w:rsid w:val="004F0FBF"/>
    <w:rsid w:val="004F2C39"/>
    <w:rsid w:val="004F34A8"/>
    <w:rsid w:val="004F361E"/>
    <w:rsid w:val="004F38E6"/>
    <w:rsid w:val="004F3B51"/>
    <w:rsid w:val="004F3C21"/>
    <w:rsid w:val="004F4E0B"/>
    <w:rsid w:val="004F50B7"/>
    <w:rsid w:val="004F51DE"/>
    <w:rsid w:val="004F5522"/>
    <w:rsid w:val="004F567B"/>
    <w:rsid w:val="004F59CA"/>
    <w:rsid w:val="004F61A2"/>
    <w:rsid w:val="004F6217"/>
    <w:rsid w:val="004F6E63"/>
    <w:rsid w:val="004F6F73"/>
    <w:rsid w:val="004F76F7"/>
    <w:rsid w:val="00500405"/>
    <w:rsid w:val="005006C9"/>
    <w:rsid w:val="005014E8"/>
    <w:rsid w:val="005025E7"/>
    <w:rsid w:val="00502832"/>
    <w:rsid w:val="00502B6A"/>
    <w:rsid w:val="0050338F"/>
    <w:rsid w:val="005047D6"/>
    <w:rsid w:val="005050E1"/>
    <w:rsid w:val="00505997"/>
    <w:rsid w:val="00505CBF"/>
    <w:rsid w:val="005060D0"/>
    <w:rsid w:val="005064BC"/>
    <w:rsid w:val="00506725"/>
    <w:rsid w:val="00507386"/>
    <w:rsid w:val="005073EF"/>
    <w:rsid w:val="00510049"/>
    <w:rsid w:val="00510645"/>
    <w:rsid w:val="0051183C"/>
    <w:rsid w:val="00511A97"/>
    <w:rsid w:val="00512B55"/>
    <w:rsid w:val="00513DE8"/>
    <w:rsid w:val="00513FBD"/>
    <w:rsid w:val="00515A0E"/>
    <w:rsid w:val="00516030"/>
    <w:rsid w:val="005200FB"/>
    <w:rsid w:val="00520459"/>
    <w:rsid w:val="005207F6"/>
    <w:rsid w:val="00520FB2"/>
    <w:rsid w:val="00521563"/>
    <w:rsid w:val="00521BED"/>
    <w:rsid w:val="00521F94"/>
    <w:rsid w:val="00523D80"/>
    <w:rsid w:val="00524565"/>
    <w:rsid w:val="005246FB"/>
    <w:rsid w:val="005249E3"/>
    <w:rsid w:val="00525A86"/>
    <w:rsid w:val="0052613D"/>
    <w:rsid w:val="005262E2"/>
    <w:rsid w:val="005264F8"/>
    <w:rsid w:val="00526ADE"/>
    <w:rsid w:val="0052710A"/>
    <w:rsid w:val="00530EC7"/>
    <w:rsid w:val="00531BEE"/>
    <w:rsid w:val="00531E06"/>
    <w:rsid w:val="0053240B"/>
    <w:rsid w:val="00532A36"/>
    <w:rsid w:val="00532F8A"/>
    <w:rsid w:val="00533622"/>
    <w:rsid w:val="00533899"/>
    <w:rsid w:val="0053434A"/>
    <w:rsid w:val="00535762"/>
    <w:rsid w:val="00535DEF"/>
    <w:rsid w:val="00537069"/>
    <w:rsid w:val="00540025"/>
    <w:rsid w:val="0054015D"/>
    <w:rsid w:val="005412EE"/>
    <w:rsid w:val="00541D23"/>
    <w:rsid w:val="00543D14"/>
    <w:rsid w:val="005444CA"/>
    <w:rsid w:val="00544F85"/>
    <w:rsid w:val="00545293"/>
    <w:rsid w:val="00545565"/>
    <w:rsid w:val="00546038"/>
    <w:rsid w:val="00546343"/>
    <w:rsid w:val="0054687B"/>
    <w:rsid w:val="005477FA"/>
    <w:rsid w:val="00547A44"/>
    <w:rsid w:val="00547C05"/>
    <w:rsid w:val="00550B3C"/>
    <w:rsid w:val="005518FA"/>
    <w:rsid w:val="00551952"/>
    <w:rsid w:val="00551B51"/>
    <w:rsid w:val="0055214C"/>
    <w:rsid w:val="00552A19"/>
    <w:rsid w:val="0055366E"/>
    <w:rsid w:val="00553D3E"/>
    <w:rsid w:val="00553D47"/>
    <w:rsid w:val="0055443C"/>
    <w:rsid w:val="00554990"/>
    <w:rsid w:val="00554AB3"/>
    <w:rsid w:val="00556D8C"/>
    <w:rsid w:val="00556DDB"/>
    <w:rsid w:val="00556E0A"/>
    <w:rsid w:val="0055787B"/>
    <w:rsid w:val="00560B97"/>
    <w:rsid w:val="00560EE4"/>
    <w:rsid w:val="0056126A"/>
    <w:rsid w:val="00562046"/>
    <w:rsid w:val="005639C3"/>
    <w:rsid w:val="005645DA"/>
    <w:rsid w:val="00564D75"/>
    <w:rsid w:val="00565B91"/>
    <w:rsid w:val="00565E66"/>
    <w:rsid w:val="00565FB1"/>
    <w:rsid w:val="00566479"/>
    <w:rsid w:val="00566E53"/>
    <w:rsid w:val="005674FB"/>
    <w:rsid w:val="005710E6"/>
    <w:rsid w:val="00571D7C"/>
    <w:rsid w:val="00571FD2"/>
    <w:rsid w:val="0057477A"/>
    <w:rsid w:val="00575360"/>
    <w:rsid w:val="005754AC"/>
    <w:rsid w:val="00576111"/>
    <w:rsid w:val="005800DE"/>
    <w:rsid w:val="005809E3"/>
    <w:rsid w:val="005810FE"/>
    <w:rsid w:val="00581C05"/>
    <w:rsid w:val="005826A4"/>
    <w:rsid w:val="00582A41"/>
    <w:rsid w:val="00582B6E"/>
    <w:rsid w:val="00584270"/>
    <w:rsid w:val="005847BC"/>
    <w:rsid w:val="00584C94"/>
    <w:rsid w:val="00584D21"/>
    <w:rsid w:val="005851D0"/>
    <w:rsid w:val="00585A86"/>
    <w:rsid w:val="005860E4"/>
    <w:rsid w:val="00587B89"/>
    <w:rsid w:val="00587EC3"/>
    <w:rsid w:val="00591F70"/>
    <w:rsid w:val="00592210"/>
    <w:rsid w:val="00592724"/>
    <w:rsid w:val="0059380A"/>
    <w:rsid w:val="00593B36"/>
    <w:rsid w:val="00594524"/>
    <w:rsid w:val="005947D2"/>
    <w:rsid w:val="005965AA"/>
    <w:rsid w:val="00596F5B"/>
    <w:rsid w:val="005976A6"/>
    <w:rsid w:val="005977CE"/>
    <w:rsid w:val="005979F2"/>
    <w:rsid w:val="005A00BC"/>
    <w:rsid w:val="005A053C"/>
    <w:rsid w:val="005A08E2"/>
    <w:rsid w:val="005A10AD"/>
    <w:rsid w:val="005A17C1"/>
    <w:rsid w:val="005A42B3"/>
    <w:rsid w:val="005A453B"/>
    <w:rsid w:val="005A485D"/>
    <w:rsid w:val="005A569C"/>
    <w:rsid w:val="005A7B38"/>
    <w:rsid w:val="005B0E97"/>
    <w:rsid w:val="005B1512"/>
    <w:rsid w:val="005B2691"/>
    <w:rsid w:val="005B30FB"/>
    <w:rsid w:val="005B3245"/>
    <w:rsid w:val="005B328A"/>
    <w:rsid w:val="005B6345"/>
    <w:rsid w:val="005B6DD2"/>
    <w:rsid w:val="005B6F56"/>
    <w:rsid w:val="005B6F5A"/>
    <w:rsid w:val="005B709A"/>
    <w:rsid w:val="005B7331"/>
    <w:rsid w:val="005B79EF"/>
    <w:rsid w:val="005B7B2A"/>
    <w:rsid w:val="005C01C6"/>
    <w:rsid w:val="005C0B7A"/>
    <w:rsid w:val="005C0FAB"/>
    <w:rsid w:val="005C2B1C"/>
    <w:rsid w:val="005C3632"/>
    <w:rsid w:val="005C4125"/>
    <w:rsid w:val="005C4587"/>
    <w:rsid w:val="005C6EDC"/>
    <w:rsid w:val="005D1B3A"/>
    <w:rsid w:val="005D1E11"/>
    <w:rsid w:val="005D1E58"/>
    <w:rsid w:val="005D1FBF"/>
    <w:rsid w:val="005D28DF"/>
    <w:rsid w:val="005D454A"/>
    <w:rsid w:val="005D4821"/>
    <w:rsid w:val="005D4CA4"/>
    <w:rsid w:val="005D5B24"/>
    <w:rsid w:val="005D672F"/>
    <w:rsid w:val="005D750A"/>
    <w:rsid w:val="005D7AC9"/>
    <w:rsid w:val="005E033A"/>
    <w:rsid w:val="005E0941"/>
    <w:rsid w:val="005E09C7"/>
    <w:rsid w:val="005E0DF2"/>
    <w:rsid w:val="005E1A5B"/>
    <w:rsid w:val="005E231B"/>
    <w:rsid w:val="005E2725"/>
    <w:rsid w:val="005E307C"/>
    <w:rsid w:val="005E36C4"/>
    <w:rsid w:val="005E647A"/>
    <w:rsid w:val="005E654B"/>
    <w:rsid w:val="005E6A86"/>
    <w:rsid w:val="005E6B00"/>
    <w:rsid w:val="005E708C"/>
    <w:rsid w:val="005E712E"/>
    <w:rsid w:val="005E79F5"/>
    <w:rsid w:val="005E7D01"/>
    <w:rsid w:val="005F11AA"/>
    <w:rsid w:val="005F1919"/>
    <w:rsid w:val="005F1D5C"/>
    <w:rsid w:val="005F232F"/>
    <w:rsid w:val="005F321F"/>
    <w:rsid w:val="005F4EBD"/>
    <w:rsid w:val="005F530B"/>
    <w:rsid w:val="005F590F"/>
    <w:rsid w:val="005F623C"/>
    <w:rsid w:val="005F6525"/>
    <w:rsid w:val="005F7BC5"/>
    <w:rsid w:val="006003D7"/>
    <w:rsid w:val="00600BB5"/>
    <w:rsid w:val="006014DB"/>
    <w:rsid w:val="006042FA"/>
    <w:rsid w:val="0060635D"/>
    <w:rsid w:val="00607924"/>
    <w:rsid w:val="006108EE"/>
    <w:rsid w:val="00611C7D"/>
    <w:rsid w:val="006121E6"/>
    <w:rsid w:val="006140F3"/>
    <w:rsid w:val="00614CD6"/>
    <w:rsid w:val="00615A26"/>
    <w:rsid w:val="00615A2E"/>
    <w:rsid w:val="00620EE4"/>
    <w:rsid w:val="00623A9C"/>
    <w:rsid w:val="0062428C"/>
    <w:rsid w:val="0062429B"/>
    <w:rsid w:val="00624805"/>
    <w:rsid w:val="00625A02"/>
    <w:rsid w:val="00625AE7"/>
    <w:rsid w:val="00630415"/>
    <w:rsid w:val="006325C7"/>
    <w:rsid w:val="00633139"/>
    <w:rsid w:val="0063358D"/>
    <w:rsid w:val="006345CE"/>
    <w:rsid w:val="006353B1"/>
    <w:rsid w:val="006354F8"/>
    <w:rsid w:val="00637C2D"/>
    <w:rsid w:val="00640B08"/>
    <w:rsid w:val="00641F45"/>
    <w:rsid w:val="00642CC9"/>
    <w:rsid w:val="00644079"/>
    <w:rsid w:val="00644124"/>
    <w:rsid w:val="0064422E"/>
    <w:rsid w:val="00644768"/>
    <w:rsid w:val="00645127"/>
    <w:rsid w:val="00645926"/>
    <w:rsid w:val="0064648C"/>
    <w:rsid w:val="00646B58"/>
    <w:rsid w:val="00646BEB"/>
    <w:rsid w:val="00646CCB"/>
    <w:rsid w:val="00646E28"/>
    <w:rsid w:val="0065199F"/>
    <w:rsid w:val="006521B2"/>
    <w:rsid w:val="006532B4"/>
    <w:rsid w:val="0065351F"/>
    <w:rsid w:val="00653DAD"/>
    <w:rsid w:val="00656339"/>
    <w:rsid w:val="0065675E"/>
    <w:rsid w:val="00657030"/>
    <w:rsid w:val="006608F1"/>
    <w:rsid w:val="00660B06"/>
    <w:rsid w:val="00660C1B"/>
    <w:rsid w:val="00660E5B"/>
    <w:rsid w:val="0066192D"/>
    <w:rsid w:val="00662993"/>
    <w:rsid w:val="00662C01"/>
    <w:rsid w:val="00663874"/>
    <w:rsid w:val="00663B24"/>
    <w:rsid w:val="00664167"/>
    <w:rsid w:val="00664EE2"/>
    <w:rsid w:val="00664EE4"/>
    <w:rsid w:val="00665365"/>
    <w:rsid w:val="00665C01"/>
    <w:rsid w:val="00665D6C"/>
    <w:rsid w:val="0066697F"/>
    <w:rsid w:val="006675A7"/>
    <w:rsid w:val="00667C59"/>
    <w:rsid w:val="0067002C"/>
    <w:rsid w:val="00670AEB"/>
    <w:rsid w:val="00670BB2"/>
    <w:rsid w:val="00670D99"/>
    <w:rsid w:val="00671837"/>
    <w:rsid w:val="0067225C"/>
    <w:rsid w:val="00672D7C"/>
    <w:rsid w:val="00673AF8"/>
    <w:rsid w:val="00673B28"/>
    <w:rsid w:val="006741D7"/>
    <w:rsid w:val="00674F70"/>
    <w:rsid w:val="00675836"/>
    <w:rsid w:val="00675F43"/>
    <w:rsid w:val="0067632A"/>
    <w:rsid w:val="00677315"/>
    <w:rsid w:val="00677720"/>
    <w:rsid w:val="00680304"/>
    <w:rsid w:val="00680AF4"/>
    <w:rsid w:val="006811EF"/>
    <w:rsid w:val="0068124D"/>
    <w:rsid w:val="00681E06"/>
    <w:rsid w:val="00681F3E"/>
    <w:rsid w:val="00682612"/>
    <w:rsid w:val="0068332B"/>
    <w:rsid w:val="00683A3A"/>
    <w:rsid w:val="00683DF4"/>
    <w:rsid w:val="00683F6B"/>
    <w:rsid w:val="006841B2"/>
    <w:rsid w:val="006851B1"/>
    <w:rsid w:val="0068575A"/>
    <w:rsid w:val="00685792"/>
    <w:rsid w:val="00685C63"/>
    <w:rsid w:val="006863DE"/>
    <w:rsid w:val="00686729"/>
    <w:rsid w:val="00687549"/>
    <w:rsid w:val="006879C6"/>
    <w:rsid w:val="00687C33"/>
    <w:rsid w:val="00693567"/>
    <w:rsid w:val="006936A2"/>
    <w:rsid w:val="00693826"/>
    <w:rsid w:val="00694C49"/>
    <w:rsid w:val="00694F01"/>
    <w:rsid w:val="006954FE"/>
    <w:rsid w:val="006955B0"/>
    <w:rsid w:val="006960E4"/>
    <w:rsid w:val="00696202"/>
    <w:rsid w:val="00696451"/>
    <w:rsid w:val="0069745E"/>
    <w:rsid w:val="006974A5"/>
    <w:rsid w:val="00697815"/>
    <w:rsid w:val="00697E55"/>
    <w:rsid w:val="00697F65"/>
    <w:rsid w:val="006A01AD"/>
    <w:rsid w:val="006A1957"/>
    <w:rsid w:val="006A29F4"/>
    <w:rsid w:val="006A2CB0"/>
    <w:rsid w:val="006A35D9"/>
    <w:rsid w:val="006A38D8"/>
    <w:rsid w:val="006A409E"/>
    <w:rsid w:val="006A42E4"/>
    <w:rsid w:val="006A48A0"/>
    <w:rsid w:val="006A49AE"/>
    <w:rsid w:val="006A4C36"/>
    <w:rsid w:val="006A4E0B"/>
    <w:rsid w:val="006A5922"/>
    <w:rsid w:val="006A5BDE"/>
    <w:rsid w:val="006A72DB"/>
    <w:rsid w:val="006B02B6"/>
    <w:rsid w:val="006B0C53"/>
    <w:rsid w:val="006B0CAA"/>
    <w:rsid w:val="006B12C4"/>
    <w:rsid w:val="006B140F"/>
    <w:rsid w:val="006B22E3"/>
    <w:rsid w:val="006B25FF"/>
    <w:rsid w:val="006B2655"/>
    <w:rsid w:val="006B2E16"/>
    <w:rsid w:val="006B33B9"/>
    <w:rsid w:val="006B3A47"/>
    <w:rsid w:val="006B47E3"/>
    <w:rsid w:val="006B488E"/>
    <w:rsid w:val="006B4A48"/>
    <w:rsid w:val="006B4BB5"/>
    <w:rsid w:val="006B5229"/>
    <w:rsid w:val="006B531B"/>
    <w:rsid w:val="006B670E"/>
    <w:rsid w:val="006B703C"/>
    <w:rsid w:val="006B7D34"/>
    <w:rsid w:val="006B7F0A"/>
    <w:rsid w:val="006C120F"/>
    <w:rsid w:val="006C1937"/>
    <w:rsid w:val="006C27E7"/>
    <w:rsid w:val="006C4B00"/>
    <w:rsid w:val="006C553A"/>
    <w:rsid w:val="006C5A9C"/>
    <w:rsid w:val="006C5FB5"/>
    <w:rsid w:val="006C62C2"/>
    <w:rsid w:val="006C66F7"/>
    <w:rsid w:val="006D0EA1"/>
    <w:rsid w:val="006D1D39"/>
    <w:rsid w:val="006D247B"/>
    <w:rsid w:val="006D2641"/>
    <w:rsid w:val="006D3A34"/>
    <w:rsid w:val="006D47E5"/>
    <w:rsid w:val="006D5035"/>
    <w:rsid w:val="006D5977"/>
    <w:rsid w:val="006D5CC1"/>
    <w:rsid w:val="006D64BD"/>
    <w:rsid w:val="006D670E"/>
    <w:rsid w:val="006D749F"/>
    <w:rsid w:val="006D7971"/>
    <w:rsid w:val="006D7E3B"/>
    <w:rsid w:val="006E075F"/>
    <w:rsid w:val="006E0F7E"/>
    <w:rsid w:val="006E10A3"/>
    <w:rsid w:val="006E20FB"/>
    <w:rsid w:val="006E23CE"/>
    <w:rsid w:val="006E2C5D"/>
    <w:rsid w:val="006E2F60"/>
    <w:rsid w:val="006E30F9"/>
    <w:rsid w:val="006E37D9"/>
    <w:rsid w:val="006E3A3C"/>
    <w:rsid w:val="006E3AB7"/>
    <w:rsid w:val="006E573E"/>
    <w:rsid w:val="006E7A2C"/>
    <w:rsid w:val="006F0DC7"/>
    <w:rsid w:val="006F2037"/>
    <w:rsid w:val="006F3688"/>
    <w:rsid w:val="006F6F59"/>
    <w:rsid w:val="006F7B4D"/>
    <w:rsid w:val="00700CFE"/>
    <w:rsid w:val="0070166C"/>
    <w:rsid w:val="0070179E"/>
    <w:rsid w:val="0070369F"/>
    <w:rsid w:val="0070413A"/>
    <w:rsid w:val="00704DDE"/>
    <w:rsid w:val="00704F07"/>
    <w:rsid w:val="007057DA"/>
    <w:rsid w:val="007064A9"/>
    <w:rsid w:val="00706BF8"/>
    <w:rsid w:val="00706F65"/>
    <w:rsid w:val="00713786"/>
    <w:rsid w:val="00714375"/>
    <w:rsid w:val="007150E0"/>
    <w:rsid w:val="0071570C"/>
    <w:rsid w:val="00716231"/>
    <w:rsid w:val="00716581"/>
    <w:rsid w:val="0071668F"/>
    <w:rsid w:val="00720741"/>
    <w:rsid w:val="00721CDE"/>
    <w:rsid w:val="0072397A"/>
    <w:rsid w:val="00723F5C"/>
    <w:rsid w:val="007248A2"/>
    <w:rsid w:val="00725BD0"/>
    <w:rsid w:val="007260FC"/>
    <w:rsid w:val="00726990"/>
    <w:rsid w:val="00726C7F"/>
    <w:rsid w:val="00727E80"/>
    <w:rsid w:val="007300B0"/>
    <w:rsid w:val="00730C03"/>
    <w:rsid w:val="007318FD"/>
    <w:rsid w:val="00731FF9"/>
    <w:rsid w:val="00732C61"/>
    <w:rsid w:val="0073344D"/>
    <w:rsid w:val="00735043"/>
    <w:rsid w:val="0073551E"/>
    <w:rsid w:val="00735886"/>
    <w:rsid w:val="007369F5"/>
    <w:rsid w:val="00736BF7"/>
    <w:rsid w:val="0073763A"/>
    <w:rsid w:val="0073783F"/>
    <w:rsid w:val="0074005B"/>
    <w:rsid w:val="00741379"/>
    <w:rsid w:val="00741518"/>
    <w:rsid w:val="0074192F"/>
    <w:rsid w:val="00741C93"/>
    <w:rsid w:val="00741EFF"/>
    <w:rsid w:val="007432EA"/>
    <w:rsid w:val="00743517"/>
    <w:rsid w:val="00744442"/>
    <w:rsid w:val="00745253"/>
    <w:rsid w:val="00745AA1"/>
    <w:rsid w:val="00745BB9"/>
    <w:rsid w:val="0074643A"/>
    <w:rsid w:val="00747049"/>
    <w:rsid w:val="00747412"/>
    <w:rsid w:val="007476D2"/>
    <w:rsid w:val="00747972"/>
    <w:rsid w:val="00747D83"/>
    <w:rsid w:val="007509EF"/>
    <w:rsid w:val="00750D6E"/>
    <w:rsid w:val="00751ADB"/>
    <w:rsid w:val="007530BF"/>
    <w:rsid w:val="00754F83"/>
    <w:rsid w:val="007555E4"/>
    <w:rsid w:val="00756074"/>
    <w:rsid w:val="00756F56"/>
    <w:rsid w:val="00757C04"/>
    <w:rsid w:val="00757CCB"/>
    <w:rsid w:val="007612AA"/>
    <w:rsid w:val="0076179F"/>
    <w:rsid w:val="00761866"/>
    <w:rsid w:val="007619FB"/>
    <w:rsid w:val="00761BE9"/>
    <w:rsid w:val="007626BD"/>
    <w:rsid w:val="00765666"/>
    <w:rsid w:val="007657DA"/>
    <w:rsid w:val="00766053"/>
    <w:rsid w:val="00766FA8"/>
    <w:rsid w:val="007703FE"/>
    <w:rsid w:val="00770B14"/>
    <w:rsid w:val="00771928"/>
    <w:rsid w:val="00771B62"/>
    <w:rsid w:val="00773AFA"/>
    <w:rsid w:val="0077449D"/>
    <w:rsid w:val="00774A2E"/>
    <w:rsid w:val="007768CB"/>
    <w:rsid w:val="0078270A"/>
    <w:rsid w:val="00782FD6"/>
    <w:rsid w:val="00783AA6"/>
    <w:rsid w:val="00783BE7"/>
    <w:rsid w:val="00783EC5"/>
    <w:rsid w:val="007856F9"/>
    <w:rsid w:val="0078571B"/>
    <w:rsid w:val="00785D24"/>
    <w:rsid w:val="007865C4"/>
    <w:rsid w:val="00787650"/>
    <w:rsid w:val="00787B67"/>
    <w:rsid w:val="00790169"/>
    <w:rsid w:val="007913AE"/>
    <w:rsid w:val="0079236F"/>
    <w:rsid w:val="0079247D"/>
    <w:rsid w:val="007928E4"/>
    <w:rsid w:val="00793A0F"/>
    <w:rsid w:val="00796E2A"/>
    <w:rsid w:val="007A05E0"/>
    <w:rsid w:val="007A0C45"/>
    <w:rsid w:val="007A1061"/>
    <w:rsid w:val="007A2386"/>
    <w:rsid w:val="007A3F71"/>
    <w:rsid w:val="007A4712"/>
    <w:rsid w:val="007A703C"/>
    <w:rsid w:val="007A70ED"/>
    <w:rsid w:val="007A7661"/>
    <w:rsid w:val="007B015F"/>
    <w:rsid w:val="007B0ECE"/>
    <w:rsid w:val="007B1EC1"/>
    <w:rsid w:val="007B3A08"/>
    <w:rsid w:val="007B4552"/>
    <w:rsid w:val="007B57F7"/>
    <w:rsid w:val="007B5E79"/>
    <w:rsid w:val="007B63C0"/>
    <w:rsid w:val="007B6CE6"/>
    <w:rsid w:val="007B7A72"/>
    <w:rsid w:val="007B7EA9"/>
    <w:rsid w:val="007B7F48"/>
    <w:rsid w:val="007C0C22"/>
    <w:rsid w:val="007C224F"/>
    <w:rsid w:val="007C2EFE"/>
    <w:rsid w:val="007C31F6"/>
    <w:rsid w:val="007C3D21"/>
    <w:rsid w:val="007C4906"/>
    <w:rsid w:val="007C4AA7"/>
    <w:rsid w:val="007C4CD5"/>
    <w:rsid w:val="007C505A"/>
    <w:rsid w:val="007C5632"/>
    <w:rsid w:val="007C5AA4"/>
    <w:rsid w:val="007C5D27"/>
    <w:rsid w:val="007C6900"/>
    <w:rsid w:val="007C786E"/>
    <w:rsid w:val="007C7F40"/>
    <w:rsid w:val="007D03F9"/>
    <w:rsid w:val="007D0D37"/>
    <w:rsid w:val="007D0DF3"/>
    <w:rsid w:val="007D24BF"/>
    <w:rsid w:val="007D273A"/>
    <w:rsid w:val="007D278B"/>
    <w:rsid w:val="007D2B30"/>
    <w:rsid w:val="007D45B8"/>
    <w:rsid w:val="007D4860"/>
    <w:rsid w:val="007D4885"/>
    <w:rsid w:val="007D4E72"/>
    <w:rsid w:val="007D6970"/>
    <w:rsid w:val="007E0C4D"/>
    <w:rsid w:val="007E0FF4"/>
    <w:rsid w:val="007E1A2D"/>
    <w:rsid w:val="007E3DE8"/>
    <w:rsid w:val="007E4194"/>
    <w:rsid w:val="007E45E0"/>
    <w:rsid w:val="007E49AE"/>
    <w:rsid w:val="007E4D96"/>
    <w:rsid w:val="007E4DFA"/>
    <w:rsid w:val="007E4EAF"/>
    <w:rsid w:val="007E5712"/>
    <w:rsid w:val="007E5AA3"/>
    <w:rsid w:val="007E6098"/>
    <w:rsid w:val="007E7615"/>
    <w:rsid w:val="007F0441"/>
    <w:rsid w:val="007F2FD1"/>
    <w:rsid w:val="007F45BE"/>
    <w:rsid w:val="007F4620"/>
    <w:rsid w:val="007F4B0E"/>
    <w:rsid w:val="007F4C67"/>
    <w:rsid w:val="007F52DF"/>
    <w:rsid w:val="007F5C8E"/>
    <w:rsid w:val="007F67F8"/>
    <w:rsid w:val="00800658"/>
    <w:rsid w:val="00801357"/>
    <w:rsid w:val="00801EB4"/>
    <w:rsid w:val="00802D21"/>
    <w:rsid w:val="00804137"/>
    <w:rsid w:val="00804285"/>
    <w:rsid w:val="00804C56"/>
    <w:rsid w:val="0080506B"/>
    <w:rsid w:val="00805370"/>
    <w:rsid w:val="008067E0"/>
    <w:rsid w:val="00806EE5"/>
    <w:rsid w:val="008103B5"/>
    <w:rsid w:val="00813BC7"/>
    <w:rsid w:val="0081594D"/>
    <w:rsid w:val="00815B55"/>
    <w:rsid w:val="00815C56"/>
    <w:rsid w:val="00816250"/>
    <w:rsid w:val="00816AE5"/>
    <w:rsid w:val="00817711"/>
    <w:rsid w:val="00820522"/>
    <w:rsid w:val="00821544"/>
    <w:rsid w:val="008215CB"/>
    <w:rsid w:val="00821660"/>
    <w:rsid w:val="008218A6"/>
    <w:rsid w:val="0082272D"/>
    <w:rsid w:val="008227E3"/>
    <w:rsid w:val="008236B6"/>
    <w:rsid w:val="00823B78"/>
    <w:rsid w:val="00823D73"/>
    <w:rsid w:val="008240C2"/>
    <w:rsid w:val="00824428"/>
    <w:rsid w:val="00824ABE"/>
    <w:rsid w:val="008255BA"/>
    <w:rsid w:val="00825F0C"/>
    <w:rsid w:val="00826E27"/>
    <w:rsid w:val="00826EFD"/>
    <w:rsid w:val="008270C2"/>
    <w:rsid w:val="00827615"/>
    <w:rsid w:val="00827776"/>
    <w:rsid w:val="00830492"/>
    <w:rsid w:val="00830AED"/>
    <w:rsid w:val="008329E9"/>
    <w:rsid w:val="00832C00"/>
    <w:rsid w:val="008338DD"/>
    <w:rsid w:val="00834DE7"/>
    <w:rsid w:val="0083522C"/>
    <w:rsid w:val="008355D8"/>
    <w:rsid w:val="00835AC1"/>
    <w:rsid w:val="00836B07"/>
    <w:rsid w:val="0084018A"/>
    <w:rsid w:val="00841383"/>
    <w:rsid w:val="008416EC"/>
    <w:rsid w:val="008425EF"/>
    <w:rsid w:val="008427F7"/>
    <w:rsid w:val="008429B9"/>
    <w:rsid w:val="00842A3D"/>
    <w:rsid w:val="00843761"/>
    <w:rsid w:val="008446B6"/>
    <w:rsid w:val="0084540C"/>
    <w:rsid w:val="00847521"/>
    <w:rsid w:val="0084775A"/>
    <w:rsid w:val="00850323"/>
    <w:rsid w:val="00850874"/>
    <w:rsid w:val="00850CE9"/>
    <w:rsid w:val="00851001"/>
    <w:rsid w:val="008537D4"/>
    <w:rsid w:val="00855618"/>
    <w:rsid w:val="0085593E"/>
    <w:rsid w:val="00855AAA"/>
    <w:rsid w:val="00856168"/>
    <w:rsid w:val="00857114"/>
    <w:rsid w:val="0086039B"/>
    <w:rsid w:val="008608B6"/>
    <w:rsid w:val="00860F3C"/>
    <w:rsid w:val="00861146"/>
    <w:rsid w:val="00861399"/>
    <w:rsid w:val="00862ECE"/>
    <w:rsid w:val="0086354A"/>
    <w:rsid w:val="00864057"/>
    <w:rsid w:val="00864BF5"/>
    <w:rsid w:val="00867175"/>
    <w:rsid w:val="00867DAD"/>
    <w:rsid w:val="008702A6"/>
    <w:rsid w:val="008711F2"/>
    <w:rsid w:val="00872768"/>
    <w:rsid w:val="00872D74"/>
    <w:rsid w:val="0087300E"/>
    <w:rsid w:val="00873027"/>
    <w:rsid w:val="0087317C"/>
    <w:rsid w:val="00873B6A"/>
    <w:rsid w:val="00874155"/>
    <w:rsid w:val="0087498C"/>
    <w:rsid w:val="008749EA"/>
    <w:rsid w:val="008754C8"/>
    <w:rsid w:val="00875E33"/>
    <w:rsid w:val="00876282"/>
    <w:rsid w:val="0087684C"/>
    <w:rsid w:val="008778F3"/>
    <w:rsid w:val="008802FC"/>
    <w:rsid w:val="008808D8"/>
    <w:rsid w:val="00880C48"/>
    <w:rsid w:val="00880F2D"/>
    <w:rsid w:val="008812F3"/>
    <w:rsid w:val="00881A77"/>
    <w:rsid w:val="00881DDE"/>
    <w:rsid w:val="00882945"/>
    <w:rsid w:val="00883B74"/>
    <w:rsid w:val="00883D71"/>
    <w:rsid w:val="00886573"/>
    <w:rsid w:val="00886FCD"/>
    <w:rsid w:val="008872DC"/>
    <w:rsid w:val="0088764A"/>
    <w:rsid w:val="00887C5F"/>
    <w:rsid w:val="00891E82"/>
    <w:rsid w:val="008922D8"/>
    <w:rsid w:val="008925E0"/>
    <w:rsid w:val="00892BA5"/>
    <w:rsid w:val="008938A4"/>
    <w:rsid w:val="00893E42"/>
    <w:rsid w:val="00895C2D"/>
    <w:rsid w:val="0089605C"/>
    <w:rsid w:val="00897372"/>
    <w:rsid w:val="008A2C93"/>
    <w:rsid w:val="008A4E00"/>
    <w:rsid w:val="008A56BD"/>
    <w:rsid w:val="008A5FA4"/>
    <w:rsid w:val="008A6619"/>
    <w:rsid w:val="008A69C9"/>
    <w:rsid w:val="008A6ADE"/>
    <w:rsid w:val="008A6D39"/>
    <w:rsid w:val="008A7591"/>
    <w:rsid w:val="008B0B9E"/>
    <w:rsid w:val="008B1293"/>
    <w:rsid w:val="008B1B8A"/>
    <w:rsid w:val="008B29AD"/>
    <w:rsid w:val="008B310A"/>
    <w:rsid w:val="008B4011"/>
    <w:rsid w:val="008B4106"/>
    <w:rsid w:val="008B422E"/>
    <w:rsid w:val="008B4941"/>
    <w:rsid w:val="008B49AF"/>
    <w:rsid w:val="008B4BB7"/>
    <w:rsid w:val="008B7172"/>
    <w:rsid w:val="008B75C7"/>
    <w:rsid w:val="008B78D9"/>
    <w:rsid w:val="008C013E"/>
    <w:rsid w:val="008C01FD"/>
    <w:rsid w:val="008C02ED"/>
    <w:rsid w:val="008C0E05"/>
    <w:rsid w:val="008C0EC4"/>
    <w:rsid w:val="008C10BE"/>
    <w:rsid w:val="008C2868"/>
    <w:rsid w:val="008C2A1D"/>
    <w:rsid w:val="008C2F90"/>
    <w:rsid w:val="008C2FE9"/>
    <w:rsid w:val="008C3394"/>
    <w:rsid w:val="008C3658"/>
    <w:rsid w:val="008C3EC4"/>
    <w:rsid w:val="008C49EC"/>
    <w:rsid w:val="008C4B84"/>
    <w:rsid w:val="008C6A51"/>
    <w:rsid w:val="008C6E51"/>
    <w:rsid w:val="008D138D"/>
    <w:rsid w:val="008D1B58"/>
    <w:rsid w:val="008D1F0A"/>
    <w:rsid w:val="008D29EF"/>
    <w:rsid w:val="008D2F73"/>
    <w:rsid w:val="008D3DA9"/>
    <w:rsid w:val="008D3E9A"/>
    <w:rsid w:val="008D45FC"/>
    <w:rsid w:val="008D5CBA"/>
    <w:rsid w:val="008D744B"/>
    <w:rsid w:val="008E0D26"/>
    <w:rsid w:val="008E1472"/>
    <w:rsid w:val="008E1D82"/>
    <w:rsid w:val="008E2181"/>
    <w:rsid w:val="008E21AE"/>
    <w:rsid w:val="008E2EDB"/>
    <w:rsid w:val="008E311D"/>
    <w:rsid w:val="008E35EB"/>
    <w:rsid w:val="008E42AE"/>
    <w:rsid w:val="008E46A6"/>
    <w:rsid w:val="008E474D"/>
    <w:rsid w:val="008E4D7B"/>
    <w:rsid w:val="008E510F"/>
    <w:rsid w:val="008E56A7"/>
    <w:rsid w:val="008E5973"/>
    <w:rsid w:val="008E5A90"/>
    <w:rsid w:val="008E681A"/>
    <w:rsid w:val="008E732C"/>
    <w:rsid w:val="008E777D"/>
    <w:rsid w:val="008F0C20"/>
    <w:rsid w:val="008F170E"/>
    <w:rsid w:val="008F1DB7"/>
    <w:rsid w:val="008F263F"/>
    <w:rsid w:val="008F5B67"/>
    <w:rsid w:val="008F6E60"/>
    <w:rsid w:val="008F7329"/>
    <w:rsid w:val="008F76CC"/>
    <w:rsid w:val="008F782E"/>
    <w:rsid w:val="00903446"/>
    <w:rsid w:val="00903B1C"/>
    <w:rsid w:val="009077E7"/>
    <w:rsid w:val="009100C1"/>
    <w:rsid w:val="0091029F"/>
    <w:rsid w:val="00910948"/>
    <w:rsid w:val="00910AA5"/>
    <w:rsid w:val="00910B90"/>
    <w:rsid w:val="00911456"/>
    <w:rsid w:val="00911AE9"/>
    <w:rsid w:val="009133FC"/>
    <w:rsid w:val="009143D9"/>
    <w:rsid w:val="009147B3"/>
    <w:rsid w:val="009169F4"/>
    <w:rsid w:val="009171C5"/>
    <w:rsid w:val="00917FB9"/>
    <w:rsid w:val="00920B87"/>
    <w:rsid w:val="00920FD2"/>
    <w:rsid w:val="0092154F"/>
    <w:rsid w:val="009223B2"/>
    <w:rsid w:val="00922C9F"/>
    <w:rsid w:val="00923126"/>
    <w:rsid w:val="00923261"/>
    <w:rsid w:val="00923A7F"/>
    <w:rsid w:val="00924410"/>
    <w:rsid w:val="00924546"/>
    <w:rsid w:val="00925052"/>
    <w:rsid w:val="00926263"/>
    <w:rsid w:val="009262E9"/>
    <w:rsid w:val="009267D8"/>
    <w:rsid w:val="0092695C"/>
    <w:rsid w:val="00926BDC"/>
    <w:rsid w:val="00926D50"/>
    <w:rsid w:val="00930227"/>
    <w:rsid w:val="00931041"/>
    <w:rsid w:val="0093112A"/>
    <w:rsid w:val="009316BF"/>
    <w:rsid w:val="00931ACB"/>
    <w:rsid w:val="009323B9"/>
    <w:rsid w:val="00932D57"/>
    <w:rsid w:val="00932F88"/>
    <w:rsid w:val="0093349F"/>
    <w:rsid w:val="009334CB"/>
    <w:rsid w:val="009358FD"/>
    <w:rsid w:val="0093685C"/>
    <w:rsid w:val="00936CD4"/>
    <w:rsid w:val="0093747B"/>
    <w:rsid w:val="00937ADD"/>
    <w:rsid w:val="00937B20"/>
    <w:rsid w:val="0094020D"/>
    <w:rsid w:val="009408AC"/>
    <w:rsid w:val="009409DE"/>
    <w:rsid w:val="0094232B"/>
    <w:rsid w:val="00942EEB"/>
    <w:rsid w:val="00943993"/>
    <w:rsid w:val="00943DBD"/>
    <w:rsid w:val="009440F9"/>
    <w:rsid w:val="009444C5"/>
    <w:rsid w:val="00944DBA"/>
    <w:rsid w:val="0094564A"/>
    <w:rsid w:val="00945728"/>
    <w:rsid w:val="00945F5F"/>
    <w:rsid w:val="009466A0"/>
    <w:rsid w:val="00946806"/>
    <w:rsid w:val="0094685F"/>
    <w:rsid w:val="00946C22"/>
    <w:rsid w:val="00950AF3"/>
    <w:rsid w:val="009515F5"/>
    <w:rsid w:val="00952669"/>
    <w:rsid w:val="00952AC3"/>
    <w:rsid w:val="009532DF"/>
    <w:rsid w:val="00953431"/>
    <w:rsid w:val="0095348C"/>
    <w:rsid w:val="009534F1"/>
    <w:rsid w:val="00954629"/>
    <w:rsid w:val="0095511A"/>
    <w:rsid w:val="00955BC3"/>
    <w:rsid w:val="0095616F"/>
    <w:rsid w:val="009568B8"/>
    <w:rsid w:val="00956CE2"/>
    <w:rsid w:val="009571A3"/>
    <w:rsid w:val="009614B1"/>
    <w:rsid w:val="00961F83"/>
    <w:rsid w:val="0096340A"/>
    <w:rsid w:val="00963CC7"/>
    <w:rsid w:val="00963E79"/>
    <w:rsid w:val="00965ABF"/>
    <w:rsid w:val="00965E11"/>
    <w:rsid w:val="0097064A"/>
    <w:rsid w:val="00970C52"/>
    <w:rsid w:val="00970C88"/>
    <w:rsid w:val="00972F12"/>
    <w:rsid w:val="0097469A"/>
    <w:rsid w:val="00975A7B"/>
    <w:rsid w:val="00976F29"/>
    <w:rsid w:val="0097761F"/>
    <w:rsid w:val="00980380"/>
    <w:rsid w:val="00980FC1"/>
    <w:rsid w:val="00982031"/>
    <w:rsid w:val="00983408"/>
    <w:rsid w:val="00983CC6"/>
    <w:rsid w:val="00984903"/>
    <w:rsid w:val="00984BDD"/>
    <w:rsid w:val="00984CDA"/>
    <w:rsid w:val="00984F9C"/>
    <w:rsid w:val="009862CF"/>
    <w:rsid w:val="00986C7D"/>
    <w:rsid w:val="00986E75"/>
    <w:rsid w:val="00987995"/>
    <w:rsid w:val="00990909"/>
    <w:rsid w:val="00990DAE"/>
    <w:rsid w:val="00991978"/>
    <w:rsid w:val="0099252A"/>
    <w:rsid w:val="00993824"/>
    <w:rsid w:val="00994C63"/>
    <w:rsid w:val="00995BA0"/>
    <w:rsid w:val="009965F7"/>
    <w:rsid w:val="0099662F"/>
    <w:rsid w:val="009A04D3"/>
    <w:rsid w:val="009A07BE"/>
    <w:rsid w:val="009A23D0"/>
    <w:rsid w:val="009A55A8"/>
    <w:rsid w:val="009A59C2"/>
    <w:rsid w:val="009A59DD"/>
    <w:rsid w:val="009A6C67"/>
    <w:rsid w:val="009A766B"/>
    <w:rsid w:val="009A77C5"/>
    <w:rsid w:val="009A799A"/>
    <w:rsid w:val="009B03FC"/>
    <w:rsid w:val="009B065A"/>
    <w:rsid w:val="009B0D5F"/>
    <w:rsid w:val="009B10C7"/>
    <w:rsid w:val="009B1CF6"/>
    <w:rsid w:val="009B2260"/>
    <w:rsid w:val="009B2491"/>
    <w:rsid w:val="009B3573"/>
    <w:rsid w:val="009B3B52"/>
    <w:rsid w:val="009B48DA"/>
    <w:rsid w:val="009B505B"/>
    <w:rsid w:val="009B6659"/>
    <w:rsid w:val="009B7888"/>
    <w:rsid w:val="009B79E4"/>
    <w:rsid w:val="009C0B67"/>
    <w:rsid w:val="009C0DCA"/>
    <w:rsid w:val="009C16E3"/>
    <w:rsid w:val="009C1C9C"/>
    <w:rsid w:val="009C2838"/>
    <w:rsid w:val="009C2877"/>
    <w:rsid w:val="009C3C63"/>
    <w:rsid w:val="009C47F4"/>
    <w:rsid w:val="009C48B3"/>
    <w:rsid w:val="009C4911"/>
    <w:rsid w:val="009C5600"/>
    <w:rsid w:val="009C5796"/>
    <w:rsid w:val="009C6442"/>
    <w:rsid w:val="009C65D5"/>
    <w:rsid w:val="009C6B72"/>
    <w:rsid w:val="009C7188"/>
    <w:rsid w:val="009C7865"/>
    <w:rsid w:val="009D00D8"/>
    <w:rsid w:val="009D1334"/>
    <w:rsid w:val="009D1C72"/>
    <w:rsid w:val="009D1D9C"/>
    <w:rsid w:val="009D21A2"/>
    <w:rsid w:val="009D24D4"/>
    <w:rsid w:val="009D2521"/>
    <w:rsid w:val="009D27B2"/>
    <w:rsid w:val="009D2D08"/>
    <w:rsid w:val="009D2ED5"/>
    <w:rsid w:val="009D4F3F"/>
    <w:rsid w:val="009D5DDE"/>
    <w:rsid w:val="009D61A5"/>
    <w:rsid w:val="009D66DE"/>
    <w:rsid w:val="009D71C7"/>
    <w:rsid w:val="009D79B4"/>
    <w:rsid w:val="009D7E26"/>
    <w:rsid w:val="009D7E68"/>
    <w:rsid w:val="009E042D"/>
    <w:rsid w:val="009E06AB"/>
    <w:rsid w:val="009E1DEB"/>
    <w:rsid w:val="009E2896"/>
    <w:rsid w:val="009E3160"/>
    <w:rsid w:val="009E5536"/>
    <w:rsid w:val="009E56BA"/>
    <w:rsid w:val="009E5B96"/>
    <w:rsid w:val="009E63AF"/>
    <w:rsid w:val="009E7008"/>
    <w:rsid w:val="009E74C2"/>
    <w:rsid w:val="009E769C"/>
    <w:rsid w:val="009F0E77"/>
    <w:rsid w:val="009F0E8A"/>
    <w:rsid w:val="009F1367"/>
    <w:rsid w:val="009F1410"/>
    <w:rsid w:val="009F1B26"/>
    <w:rsid w:val="009F1DC9"/>
    <w:rsid w:val="009F2F2A"/>
    <w:rsid w:val="009F3BE9"/>
    <w:rsid w:val="009F58A7"/>
    <w:rsid w:val="009F61D7"/>
    <w:rsid w:val="009F6358"/>
    <w:rsid w:val="009F75CE"/>
    <w:rsid w:val="009F790B"/>
    <w:rsid w:val="009F7DA3"/>
    <w:rsid w:val="00A0095D"/>
    <w:rsid w:val="00A00976"/>
    <w:rsid w:val="00A00B1B"/>
    <w:rsid w:val="00A01847"/>
    <w:rsid w:val="00A020DC"/>
    <w:rsid w:val="00A02FF4"/>
    <w:rsid w:val="00A033E6"/>
    <w:rsid w:val="00A0406E"/>
    <w:rsid w:val="00A04C6C"/>
    <w:rsid w:val="00A05436"/>
    <w:rsid w:val="00A06924"/>
    <w:rsid w:val="00A07136"/>
    <w:rsid w:val="00A07C15"/>
    <w:rsid w:val="00A104A5"/>
    <w:rsid w:val="00A112FF"/>
    <w:rsid w:val="00A12893"/>
    <w:rsid w:val="00A13881"/>
    <w:rsid w:val="00A13E52"/>
    <w:rsid w:val="00A144F2"/>
    <w:rsid w:val="00A14D04"/>
    <w:rsid w:val="00A15766"/>
    <w:rsid w:val="00A16E61"/>
    <w:rsid w:val="00A17B22"/>
    <w:rsid w:val="00A2064B"/>
    <w:rsid w:val="00A20B06"/>
    <w:rsid w:val="00A211B8"/>
    <w:rsid w:val="00A21E94"/>
    <w:rsid w:val="00A2325F"/>
    <w:rsid w:val="00A235A2"/>
    <w:rsid w:val="00A23749"/>
    <w:rsid w:val="00A24359"/>
    <w:rsid w:val="00A24594"/>
    <w:rsid w:val="00A25CCE"/>
    <w:rsid w:val="00A27AE0"/>
    <w:rsid w:val="00A30ED6"/>
    <w:rsid w:val="00A311E1"/>
    <w:rsid w:val="00A31DCE"/>
    <w:rsid w:val="00A33DEB"/>
    <w:rsid w:val="00A3401E"/>
    <w:rsid w:val="00A3445F"/>
    <w:rsid w:val="00A3507E"/>
    <w:rsid w:val="00A35471"/>
    <w:rsid w:val="00A35C4F"/>
    <w:rsid w:val="00A36880"/>
    <w:rsid w:val="00A36C44"/>
    <w:rsid w:val="00A377E9"/>
    <w:rsid w:val="00A40223"/>
    <w:rsid w:val="00A40A4A"/>
    <w:rsid w:val="00A40E64"/>
    <w:rsid w:val="00A415C2"/>
    <w:rsid w:val="00A42685"/>
    <w:rsid w:val="00A42B99"/>
    <w:rsid w:val="00A4304F"/>
    <w:rsid w:val="00A439DD"/>
    <w:rsid w:val="00A43AC6"/>
    <w:rsid w:val="00A43B1E"/>
    <w:rsid w:val="00A447F7"/>
    <w:rsid w:val="00A44D01"/>
    <w:rsid w:val="00A44F96"/>
    <w:rsid w:val="00A45F9C"/>
    <w:rsid w:val="00A46B1A"/>
    <w:rsid w:val="00A46E38"/>
    <w:rsid w:val="00A50737"/>
    <w:rsid w:val="00A5104D"/>
    <w:rsid w:val="00A51B26"/>
    <w:rsid w:val="00A51CC4"/>
    <w:rsid w:val="00A51F48"/>
    <w:rsid w:val="00A5281F"/>
    <w:rsid w:val="00A52935"/>
    <w:rsid w:val="00A53466"/>
    <w:rsid w:val="00A536F5"/>
    <w:rsid w:val="00A53D38"/>
    <w:rsid w:val="00A544D8"/>
    <w:rsid w:val="00A54787"/>
    <w:rsid w:val="00A54BE6"/>
    <w:rsid w:val="00A55239"/>
    <w:rsid w:val="00A56355"/>
    <w:rsid w:val="00A565C8"/>
    <w:rsid w:val="00A57351"/>
    <w:rsid w:val="00A609DC"/>
    <w:rsid w:val="00A60CC6"/>
    <w:rsid w:val="00A61388"/>
    <w:rsid w:val="00A61AA8"/>
    <w:rsid w:val="00A61CE3"/>
    <w:rsid w:val="00A630D2"/>
    <w:rsid w:val="00A6445E"/>
    <w:rsid w:val="00A644BD"/>
    <w:rsid w:val="00A64FAE"/>
    <w:rsid w:val="00A65287"/>
    <w:rsid w:val="00A65746"/>
    <w:rsid w:val="00A65755"/>
    <w:rsid w:val="00A673AB"/>
    <w:rsid w:val="00A67AEE"/>
    <w:rsid w:val="00A70085"/>
    <w:rsid w:val="00A70B72"/>
    <w:rsid w:val="00A73508"/>
    <w:rsid w:val="00A74965"/>
    <w:rsid w:val="00A7712E"/>
    <w:rsid w:val="00A7741B"/>
    <w:rsid w:val="00A77C3D"/>
    <w:rsid w:val="00A80A0E"/>
    <w:rsid w:val="00A81DE9"/>
    <w:rsid w:val="00A81FF7"/>
    <w:rsid w:val="00A822EC"/>
    <w:rsid w:val="00A835F5"/>
    <w:rsid w:val="00A836A9"/>
    <w:rsid w:val="00A8507C"/>
    <w:rsid w:val="00A852C4"/>
    <w:rsid w:val="00A85519"/>
    <w:rsid w:val="00A867E6"/>
    <w:rsid w:val="00A87811"/>
    <w:rsid w:val="00A8791C"/>
    <w:rsid w:val="00A87EF0"/>
    <w:rsid w:val="00A91CF7"/>
    <w:rsid w:val="00A92250"/>
    <w:rsid w:val="00A94429"/>
    <w:rsid w:val="00A948BF"/>
    <w:rsid w:val="00A9556B"/>
    <w:rsid w:val="00A95637"/>
    <w:rsid w:val="00A95B87"/>
    <w:rsid w:val="00A95F7B"/>
    <w:rsid w:val="00A967D3"/>
    <w:rsid w:val="00A9709B"/>
    <w:rsid w:val="00A97AEC"/>
    <w:rsid w:val="00AA01F7"/>
    <w:rsid w:val="00AA165D"/>
    <w:rsid w:val="00AA1E21"/>
    <w:rsid w:val="00AA1FF5"/>
    <w:rsid w:val="00AA2D9D"/>
    <w:rsid w:val="00AA39B0"/>
    <w:rsid w:val="00AA3DD7"/>
    <w:rsid w:val="00AA75D4"/>
    <w:rsid w:val="00AA75DC"/>
    <w:rsid w:val="00AA79A1"/>
    <w:rsid w:val="00AA7E4C"/>
    <w:rsid w:val="00AB0310"/>
    <w:rsid w:val="00AB1856"/>
    <w:rsid w:val="00AB2572"/>
    <w:rsid w:val="00AB3785"/>
    <w:rsid w:val="00AB3C22"/>
    <w:rsid w:val="00AB4721"/>
    <w:rsid w:val="00AB4D1E"/>
    <w:rsid w:val="00AB5FF8"/>
    <w:rsid w:val="00AB6091"/>
    <w:rsid w:val="00AB7618"/>
    <w:rsid w:val="00AB7DA0"/>
    <w:rsid w:val="00AC03B1"/>
    <w:rsid w:val="00AC03BE"/>
    <w:rsid w:val="00AC0A86"/>
    <w:rsid w:val="00AC0C5D"/>
    <w:rsid w:val="00AC27D8"/>
    <w:rsid w:val="00AC3A6A"/>
    <w:rsid w:val="00AC3B94"/>
    <w:rsid w:val="00AC44F8"/>
    <w:rsid w:val="00AC4B70"/>
    <w:rsid w:val="00AC598D"/>
    <w:rsid w:val="00AC5A1C"/>
    <w:rsid w:val="00AC5A68"/>
    <w:rsid w:val="00AC6F82"/>
    <w:rsid w:val="00AC739B"/>
    <w:rsid w:val="00AC7E75"/>
    <w:rsid w:val="00AC7FC5"/>
    <w:rsid w:val="00AD0AE8"/>
    <w:rsid w:val="00AD1251"/>
    <w:rsid w:val="00AD1DCE"/>
    <w:rsid w:val="00AD2C66"/>
    <w:rsid w:val="00AD3BA1"/>
    <w:rsid w:val="00AD4D9F"/>
    <w:rsid w:val="00AD4FF5"/>
    <w:rsid w:val="00AD566F"/>
    <w:rsid w:val="00AD617C"/>
    <w:rsid w:val="00AD682C"/>
    <w:rsid w:val="00AD6DD7"/>
    <w:rsid w:val="00AD6F97"/>
    <w:rsid w:val="00AD7BC4"/>
    <w:rsid w:val="00AD7DDF"/>
    <w:rsid w:val="00AE07DA"/>
    <w:rsid w:val="00AE10AC"/>
    <w:rsid w:val="00AE1597"/>
    <w:rsid w:val="00AE1A74"/>
    <w:rsid w:val="00AE2077"/>
    <w:rsid w:val="00AE303D"/>
    <w:rsid w:val="00AE415B"/>
    <w:rsid w:val="00AE49C9"/>
    <w:rsid w:val="00AE4ACB"/>
    <w:rsid w:val="00AE5755"/>
    <w:rsid w:val="00AE5B84"/>
    <w:rsid w:val="00AE7EC6"/>
    <w:rsid w:val="00AF0E9D"/>
    <w:rsid w:val="00AF1F5D"/>
    <w:rsid w:val="00AF2034"/>
    <w:rsid w:val="00AF2BD4"/>
    <w:rsid w:val="00AF2D1E"/>
    <w:rsid w:val="00AF3ADA"/>
    <w:rsid w:val="00AF3C92"/>
    <w:rsid w:val="00AF4979"/>
    <w:rsid w:val="00AF4AEF"/>
    <w:rsid w:val="00AF51FC"/>
    <w:rsid w:val="00AF599A"/>
    <w:rsid w:val="00AF5C74"/>
    <w:rsid w:val="00AF5F82"/>
    <w:rsid w:val="00AF6CB0"/>
    <w:rsid w:val="00AF6F2E"/>
    <w:rsid w:val="00AF72C6"/>
    <w:rsid w:val="00B01423"/>
    <w:rsid w:val="00B02412"/>
    <w:rsid w:val="00B02819"/>
    <w:rsid w:val="00B04704"/>
    <w:rsid w:val="00B053FF"/>
    <w:rsid w:val="00B05C17"/>
    <w:rsid w:val="00B061AF"/>
    <w:rsid w:val="00B07342"/>
    <w:rsid w:val="00B07ABF"/>
    <w:rsid w:val="00B10719"/>
    <w:rsid w:val="00B108A4"/>
    <w:rsid w:val="00B11046"/>
    <w:rsid w:val="00B11217"/>
    <w:rsid w:val="00B1139B"/>
    <w:rsid w:val="00B11B9A"/>
    <w:rsid w:val="00B11EE4"/>
    <w:rsid w:val="00B13DD8"/>
    <w:rsid w:val="00B14687"/>
    <w:rsid w:val="00B146B3"/>
    <w:rsid w:val="00B15452"/>
    <w:rsid w:val="00B1623A"/>
    <w:rsid w:val="00B170C9"/>
    <w:rsid w:val="00B17A39"/>
    <w:rsid w:val="00B21476"/>
    <w:rsid w:val="00B21935"/>
    <w:rsid w:val="00B21E3A"/>
    <w:rsid w:val="00B21F7F"/>
    <w:rsid w:val="00B23FEC"/>
    <w:rsid w:val="00B2470C"/>
    <w:rsid w:val="00B256BE"/>
    <w:rsid w:val="00B25EB9"/>
    <w:rsid w:val="00B275AD"/>
    <w:rsid w:val="00B3078E"/>
    <w:rsid w:val="00B3110C"/>
    <w:rsid w:val="00B31509"/>
    <w:rsid w:val="00B31A60"/>
    <w:rsid w:val="00B31BB3"/>
    <w:rsid w:val="00B325F4"/>
    <w:rsid w:val="00B3321A"/>
    <w:rsid w:val="00B33916"/>
    <w:rsid w:val="00B33C9D"/>
    <w:rsid w:val="00B344F9"/>
    <w:rsid w:val="00B35095"/>
    <w:rsid w:val="00B3605A"/>
    <w:rsid w:val="00B36A9C"/>
    <w:rsid w:val="00B36FEA"/>
    <w:rsid w:val="00B37743"/>
    <w:rsid w:val="00B3775A"/>
    <w:rsid w:val="00B3776A"/>
    <w:rsid w:val="00B402CD"/>
    <w:rsid w:val="00B406BE"/>
    <w:rsid w:val="00B41924"/>
    <w:rsid w:val="00B41C8E"/>
    <w:rsid w:val="00B42F98"/>
    <w:rsid w:val="00B43372"/>
    <w:rsid w:val="00B43E2B"/>
    <w:rsid w:val="00B44736"/>
    <w:rsid w:val="00B4592C"/>
    <w:rsid w:val="00B4698C"/>
    <w:rsid w:val="00B476FB"/>
    <w:rsid w:val="00B5238D"/>
    <w:rsid w:val="00B52D24"/>
    <w:rsid w:val="00B53753"/>
    <w:rsid w:val="00B53BCA"/>
    <w:rsid w:val="00B54AE0"/>
    <w:rsid w:val="00B54C2F"/>
    <w:rsid w:val="00B56112"/>
    <w:rsid w:val="00B566D5"/>
    <w:rsid w:val="00B56FFC"/>
    <w:rsid w:val="00B60ACA"/>
    <w:rsid w:val="00B61F8E"/>
    <w:rsid w:val="00B620AF"/>
    <w:rsid w:val="00B6246D"/>
    <w:rsid w:val="00B624D6"/>
    <w:rsid w:val="00B62813"/>
    <w:rsid w:val="00B62D29"/>
    <w:rsid w:val="00B6413E"/>
    <w:rsid w:val="00B642D8"/>
    <w:rsid w:val="00B647A9"/>
    <w:rsid w:val="00B65C18"/>
    <w:rsid w:val="00B66520"/>
    <w:rsid w:val="00B669AD"/>
    <w:rsid w:val="00B6797B"/>
    <w:rsid w:val="00B70AE3"/>
    <w:rsid w:val="00B71780"/>
    <w:rsid w:val="00B7272F"/>
    <w:rsid w:val="00B72EDB"/>
    <w:rsid w:val="00B7339A"/>
    <w:rsid w:val="00B739EC"/>
    <w:rsid w:val="00B73C6D"/>
    <w:rsid w:val="00B74C1D"/>
    <w:rsid w:val="00B7564E"/>
    <w:rsid w:val="00B75BF2"/>
    <w:rsid w:val="00B765B3"/>
    <w:rsid w:val="00B76B79"/>
    <w:rsid w:val="00B76BDB"/>
    <w:rsid w:val="00B777C2"/>
    <w:rsid w:val="00B77EBA"/>
    <w:rsid w:val="00B77F92"/>
    <w:rsid w:val="00B82084"/>
    <w:rsid w:val="00B8307A"/>
    <w:rsid w:val="00B83807"/>
    <w:rsid w:val="00B848F8"/>
    <w:rsid w:val="00B84A39"/>
    <w:rsid w:val="00B8529F"/>
    <w:rsid w:val="00B85639"/>
    <w:rsid w:val="00B85C69"/>
    <w:rsid w:val="00B86607"/>
    <w:rsid w:val="00B8681B"/>
    <w:rsid w:val="00B90614"/>
    <w:rsid w:val="00B9075C"/>
    <w:rsid w:val="00B90F81"/>
    <w:rsid w:val="00B921D7"/>
    <w:rsid w:val="00B922AE"/>
    <w:rsid w:val="00B926AF"/>
    <w:rsid w:val="00B92C76"/>
    <w:rsid w:val="00B95099"/>
    <w:rsid w:val="00B9582E"/>
    <w:rsid w:val="00B96949"/>
    <w:rsid w:val="00B97053"/>
    <w:rsid w:val="00B9730E"/>
    <w:rsid w:val="00B97F42"/>
    <w:rsid w:val="00BA0519"/>
    <w:rsid w:val="00BA0C39"/>
    <w:rsid w:val="00BA1CB2"/>
    <w:rsid w:val="00BA1CB9"/>
    <w:rsid w:val="00BA395A"/>
    <w:rsid w:val="00BA40B7"/>
    <w:rsid w:val="00BA4397"/>
    <w:rsid w:val="00BA47B3"/>
    <w:rsid w:val="00BA538C"/>
    <w:rsid w:val="00BA581E"/>
    <w:rsid w:val="00BA5860"/>
    <w:rsid w:val="00BA6E9D"/>
    <w:rsid w:val="00BA721D"/>
    <w:rsid w:val="00BA7B0E"/>
    <w:rsid w:val="00BB00D2"/>
    <w:rsid w:val="00BB01D5"/>
    <w:rsid w:val="00BB020F"/>
    <w:rsid w:val="00BB06AF"/>
    <w:rsid w:val="00BB1793"/>
    <w:rsid w:val="00BB253B"/>
    <w:rsid w:val="00BB3C74"/>
    <w:rsid w:val="00BB46AD"/>
    <w:rsid w:val="00BB572D"/>
    <w:rsid w:val="00BB7003"/>
    <w:rsid w:val="00BB734A"/>
    <w:rsid w:val="00BB7974"/>
    <w:rsid w:val="00BC03CA"/>
    <w:rsid w:val="00BC0A06"/>
    <w:rsid w:val="00BC0D6E"/>
    <w:rsid w:val="00BC1CA0"/>
    <w:rsid w:val="00BC2486"/>
    <w:rsid w:val="00BC273A"/>
    <w:rsid w:val="00BC28A4"/>
    <w:rsid w:val="00BC2A74"/>
    <w:rsid w:val="00BC3D28"/>
    <w:rsid w:val="00BC4638"/>
    <w:rsid w:val="00BC49D8"/>
    <w:rsid w:val="00BC49EA"/>
    <w:rsid w:val="00BC5355"/>
    <w:rsid w:val="00BC6C48"/>
    <w:rsid w:val="00BC6F10"/>
    <w:rsid w:val="00BC7189"/>
    <w:rsid w:val="00BC74D7"/>
    <w:rsid w:val="00BD016F"/>
    <w:rsid w:val="00BD0C9F"/>
    <w:rsid w:val="00BD1165"/>
    <w:rsid w:val="00BD1461"/>
    <w:rsid w:val="00BD1DD9"/>
    <w:rsid w:val="00BD2B19"/>
    <w:rsid w:val="00BD2C07"/>
    <w:rsid w:val="00BD2D14"/>
    <w:rsid w:val="00BD3A45"/>
    <w:rsid w:val="00BD49E8"/>
    <w:rsid w:val="00BD5064"/>
    <w:rsid w:val="00BD5385"/>
    <w:rsid w:val="00BD6D2C"/>
    <w:rsid w:val="00BD726A"/>
    <w:rsid w:val="00BE079A"/>
    <w:rsid w:val="00BE08D9"/>
    <w:rsid w:val="00BE0BA2"/>
    <w:rsid w:val="00BE1888"/>
    <w:rsid w:val="00BE19B0"/>
    <w:rsid w:val="00BE2085"/>
    <w:rsid w:val="00BE27CC"/>
    <w:rsid w:val="00BE2D84"/>
    <w:rsid w:val="00BE2F95"/>
    <w:rsid w:val="00BE4AAB"/>
    <w:rsid w:val="00BE4F39"/>
    <w:rsid w:val="00BE692F"/>
    <w:rsid w:val="00BF0216"/>
    <w:rsid w:val="00BF0845"/>
    <w:rsid w:val="00BF08D2"/>
    <w:rsid w:val="00BF24B7"/>
    <w:rsid w:val="00BF270E"/>
    <w:rsid w:val="00BF340F"/>
    <w:rsid w:val="00BF3569"/>
    <w:rsid w:val="00BF37A7"/>
    <w:rsid w:val="00BF3B3A"/>
    <w:rsid w:val="00BF41D3"/>
    <w:rsid w:val="00BF4863"/>
    <w:rsid w:val="00BF7065"/>
    <w:rsid w:val="00BF78BE"/>
    <w:rsid w:val="00C003A2"/>
    <w:rsid w:val="00C00C4F"/>
    <w:rsid w:val="00C00C87"/>
    <w:rsid w:val="00C015A6"/>
    <w:rsid w:val="00C016D8"/>
    <w:rsid w:val="00C01DB2"/>
    <w:rsid w:val="00C02974"/>
    <w:rsid w:val="00C03225"/>
    <w:rsid w:val="00C05375"/>
    <w:rsid w:val="00C062C5"/>
    <w:rsid w:val="00C07260"/>
    <w:rsid w:val="00C07985"/>
    <w:rsid w:val="00C1011C"/>
    <w:rsid w:val="00C101D7"/>
    <w:rsid w:val="00C10D85"/>
    <w:rsid w:val="00C12974"/>
    <w:rsid w:val="00C12BD7"/>
    <w:rsid w:val="00C13D3A"/>
    <w:rsid w:val="00C1508A"/>
    <w:rsid w:val="00C1539D"/>
    <w:rsid w:val="00C158F5"/>
    <w:rsid w:val="00C1604C"/>
    <w:rsid w:val="00C16674"/>
    <w:rsid w:val="00C16891"/>
    <w:rsid w:val="00C170A7"/>
    <w:rsid w:val="00C179A2"/>
    <w:rsid w:val="00C20A57"/>
    <w:rsid w:val="00C21113"/>
    <w:rsid w:val="00C21987"/>
    <w:rsid w:val="00C2198E"/>
    <w:rsid w:val="00C21FD9"/>
    <w:rsid w:val="00C22557"/>
    <w:rsid w:val="00C22DAD"/>
    <w:rsid w:val="00C230ED"/>
    <w:rsid w:val="00C23766"/>
    <w:rsid w:val="00C24F95"/>
    <w:rsid w:val="00C25079"/>
    <w:rsid w:val="00C255D1"/>
    <w:rsid w:val="00C25C1D"/>
    <w:rsid w:val="00C2606D"/>
    <w:rsid w:val="00C319AF"/>
    <w:rsid w:val="00C3232D"/>
    <w:rsid w:val="00C3257C"/>
    <w:rsid w:val="00C330FF"/>
    <w:rsid w:val="00C3378F"/>
    <w:rsid w:val="00C3381F"/>
    <w:rsid w:val="00C34CFD"/>
    <w:rsid w:val="00C35391"/>
    <w:rsid w:val="00C35F5F"/>
    <w:rsid w:val="00C37E01"/>
    <w:rsid w:val="00C400B5"/>
    <w:rsid w:val="00C40158"/>
    <w:rsid w:val="00C407E0"/>
    <w:rsid w:val="00C40B78"/>
    <w:rsid w:val="00C412CC"/>
    <w:rsid w:val="00C43115"/>
    <w:rsid w:val="00C431BE"/>
    <w:rsid w:val="00C435FA"/>
    <w:rsid w:val="00C44600"/>
    <w:rsid w:val="00C453AD"/>
    <w:rsid w:val="00C4602D"/>
    <w:rsid w:val="00C4621D"/>
    <w:rsid w:val="00C471D3"/>
    <w:rsid w:val="00C47527"/>
    <w:rsid w:val="00C5077A"/>
    <w:rsid w:val="00C50A6A"/>
    <w:rsid w:val="00C50DB7"/>
    <w:rsid w:val="00C51460"/>
    <w:rsid w:val="00C51AA5"/>
    <w:rsid w:val="00C524AC"/>
    <w:rsid w:val="00C5351F"/>
    <w:rsid w:val="00C53E40"/>
    <w:rsid w:val="00C5465D"/>
    <w:rsid w:val="00C557EE"/>
    <w:rsid w:val="00C55CA5"/>
    <w:rsid w:val="00C5685B"/>
    <w:rsid w:val="00C570A2"/>
    <w:rsid w:val="00C60664"/>
    <w:rsid w:val="00C60B61"/>
    <w:rsid w:val="00C61574"/>
    <w:rsid w:val="00C645E2"/>
    <w:rsid w:val="00C65232"/>
    <w:rsid w:val="00C6674B"/>
    <w:rsid w:val="00C67D1F"/>
    <w:rsid w:val="00C67E5D"/>
    <w:rsid w:val="00C702C1"/>
    <w:rsid w:val="00C703AD"/>
    <w:rsid w:val="00C70B20"/>
    <w:rsid w:val="00C70C3A"/>
    <w:rsid w:val="00C70E1C"/>
    <w:rsid w:val="00C722A1"/>
    <w:rsid w:val="00C74E37"/>
    <w:rsid w:val="00C80AEE"/>
    <w:rsid w:val="00C811FC"/>
    <w:rsid w:val="00C8233D"/>
    <w:rsid w:val="00C82440"/>
    <w:rsid w:val="00C82535"/>
    <w:rsid w:val="00C831D5"/>
    <w:rsid w:val="00C83411"/>
    <w:rsid w:val="00C836C7"/>
    <w:rsid w:val="00C83B76"/>
    <w:rsid w:val="00C84CDC"/>
    <w:rsid w:val="00C8560A"/>
    <w:rsid w:val="00C86A40"/>
    <w:rsid w:val="00C87407"/>
    <w:rsid w:val="00C8745F"/>
    <w:rsid w:val="00C875F8"/>
    <w:rsid w:val="00C8767B"/>
    <w:rsid w:val="00C87DA2"/>
    <w:rsid w:val="00C87F28"/>
    <w:rsid w:val="00C903DA"/>
    <w:rsid w:val="00C903FF"/>
    <w:rsid w:val="00C90714"/>
    <w:rsid w:val="00C915AF"/>
    <w:rsid w:val="00C91B3D"/>
    <w:rsid w:val="00C92CA1"/>
    <w:rsid w:val="00C92D64"/>
    <w:rsid w:val="00C93592"/>
    <w:rsid w:val="00C93CD2"/>
    <w:rsid w:val="00C94291"/>
    <w:rsid w:val="00C94306"/>
    <w:rsid w:val="00C948A7"/>
    <w:rsid w:val="00C958C3"/>
    <w:rsid w:val="00C9724B"/>
    <w:rsid w:val="00C97F4B"/>
    <w:rsid w:val="00CA065D"/>
    <w:rsid w:val="00CA1923"/>
    <w:rsid w:val="00CA34EE"/>
    <w:rsid w:val="00CA3D48"/>
    <w:rsid w:val="00CA40E2"/>
    <w:rsid w:val="00CA522B"/>
    <w:rsid w:val="00CA5C73"/>
    <w:rsid w:val="00CA5D02"/>
    <w:rsid w:val="00CA5EC8"/>
    <w:rsid w:val="00CA61F4"/>
    <w:rsid w:val="00CA745E"/>
    <w:rsid w:val="00CB001A"/>
    <w:rsid w:val="00CB00B8"/>
    <w:rsid w:val="00CB168A"/>
    <w:rsid w:val="00CB1717"/>
    <w:rsid w:val="00CB1924"/>
    <w:rsid w:val="00CB1E5F"/>
    <w:rsid w:val="00CB1F2D"/>
    <w:rsid w:val="00CB2DD0"/>
    <w:rsid w:val="00CB4755"/>
    <w:rsid w:val="00CB480B"/>
    <w:rsid w:val="00CB6057"/>
    <w:rsid w:val="00CB68FB"/>
    <w:rsid w:val="00CB6FC3"/>
    <w:rsid w:val="00CB74EF"/>
    <w:rsid w:val="00CB7772"/>
    <w:rsid w:val="00CB7FC7"/>
    <w:rsid w:val="00CC24F6"/>
    <w:rsid w:val="00CC3590"/>
    <w:rsid w:val="00CC3B30"/>
    <w:rsid w:val="00CC5D7C"/>
    <w:rsid w:val="00CC7BD3"/>
    <w:rsid w:val="00CD0D5A"/>
    <w:rsid w:val="00CD197F"/>
    <w:rsid w:val="00CD2980"/>
    <w:rsid w:val="00CD2DCB"/>
    <w:rsid w:val="00CD2FB3"/>
    <w:rsid w:val="00CD379D"/>
    <w:rsid w:val="00CD3AF1"/>
    <w:rsid w:val="00CD3E4D"/>
    <w:rsid w:val="00CD55CC"/>
    <w:rsid w:val="00CD573B"/>
    <w:rsid w:val="00CD5BAD"/>
    <w:rsid w:val="00CD601C"/>
    <w:rsid w:val="00CD625A"/>
    <w:rsid w:val="00CD65AB"/>
    <w:rsid w:val="00CD6B64"/>
    <w:rsid w:val="00CD6C75"/>
    <w:rsid w:val="00CD721B"/>
    <w:rsid w:val="00CD7DAB"/>
    <w:rsid w:val="00CE00F6"/>
    <w:rsid w:val="00CE05E7"/>
    <w:rsid w:val="00CE09F6"/>
    <w:rsid w:val="00CE12E9"/>
    <w:rsid w:val="00CE14AC"/>
    <w:rsid w:val="00CE1C09"/>
    <w:rsid w:val="00CE2153"/>
    <w:rsid w:val="00CE39C1"/>
    <w:rsid w:val="00CE4239"/>
    <w:rsid w:val="00CE53E8"/>
    <w:rsid w:val="00CE56EB"/>
    <w:rsid w:val="00CE6352"/>
    <w:rsid w:val="00CE73FB"/>
    <w:rsid w:val="00CE797F"/>
    <w:rsid w:val="00CF05F7"/>
    <w:rsid w:val="00CF0633"/>
    <w:rsid w:val="00CF1865"/>
    <w:rsid w:val="00CF2991"/>
    <w:rsid w:val="00CF38DD"/>
    <w:rsid w:val="00CF42F7"/>
    <w:rsid w:val="00CF5902"/>
    <w:rsid w:val="00CF687B"/>
    <w:rsid w:val="00CF74D4"/>
    <w:rsid w:val="00CF7A8E"/>
    <w:rsid w:val="00D00A46"/>
    <w:rsid w:val="00D012A4"/>
    <w:rsid w:val="00D0299D"/>
    <w:rsid w:val="00D02A0C"/>
    <w:rsid w:val="00D02B25"/>
    <w:rsid w:val="00D03721"/>
    <w:rsid w:val="00D042F0"/>
    <w:rsid w:val="00D0508F"/>
    <w:rsid w:val="00D057A7"/>
    <w:rsid w:val="00D061DB"/>
    <w:rsid w:val="00D06B5C"/>
    <w:rsid w:val="00D0748E"/>
    <w:rsid w:val="00D07887"/>
    <w:rsid w:val="00D07BCE"/>
    <w:rsid w:val="00D10939"/>
    <w:rsid w:val="00D10FCD"/>
    <w:rsid w:val="00D11349"/>
    <w:rsid w:val="00D12A55"/>
    <w:rsid w:val="00D13EF9"/>
    <w:rsid w:val="00D14B83"/>
    <w:rsid w:val="00D1515B"/>
    <w:rsid w:val="00D15241"/>
    <w:rsid w:val="00D15C25"/>
    <w:rsid w:val="00D17D9F"/>
    <w:rsid w:val="00D17DA4"/>
    <w:rsid w:val="00D224DB"/>
    <w:rsid w:val="00D25381"/>
    <w:rsid w:val="00D255D5"/>
    <w:rsid w:val="00D259ED"/>
    <w:rsid w:val="00D2635B"/>
    <w:rsid w:val="00D27035"/>
    <w:rsid w:val="00D27B65"/>
    <w:rsid w:val="00D301AC"/>
    <w:rsid w:val="00D30442"/>
    <w:rsid w:val="00D3057F"/>
    <w:rsid w:val="00D31B03"/>
    <w:rsid w:val="00D31D63"/>
    <w:rsid w:val="00D325E7"/>
    <w:rsid w:val="00D33081"/>
    <w:rsid w:val="00D339DE"/>
    <w:rsid w:val="00D33CC9"/>
    <w:rsid w:val="00D34424"/>
    <w:rsid w:val="00D34801"/>
    <w:rsid w:val="00D3618F"/>
    <w:rsid w:val="00D37E51"/>
    <w:rsid w:val="00D43629"/>
    <w:rsid w:val="00D437C2"/>
    <w:rsid w:val="00D44664"/>
    <w:rsid w:val="00D458B9"/>
    <w:rsid w:val="00D46FFD"/>
    <w:rsid w:val="00D47089"/>
    <w:rsid w:val="00D47AA5"/>
    <w:rsid w:val="00D503E7"/>
    <w:rsid w:val="00D50F43"/>
    <w:rsid w:val="00D520F2"/>
    <w:rsid w:val="00D52F51"/>
    <w:rsid w:val="00D53320"/>
    <w:rsid w:val="00D54177"/>
    <w:rsid w:val="00D54216"/>
    <w:rsid w:val="00D556D8"/>
    <w:rsid w:val="00D56D74"/>
    <w:rsid w:val="00D60A41"/>
    <w:rsid w:val="00D61205"/>
    <w:rsid w:val="00D61CB8"/>
    <w:rsid w:val="00D6271F"/>
    <w:rsid w:val="00D634F9"/>
    <w:rsid w:val="00D6395F"/>
    <w:rsid w:val="00D640A7"/>
    <w:rsid w:val="00D642F1"/>
    <w:rsid w:val="00D65276"/>
    <w:rsid w:val="00D65D01"/>
    <w:rsid w:val="00D65D48"/>
    <w:rsid w:val="00D65E3C"/>
    <w:rsid w:val="00D65E53"/>
    <w:rsid w:val="00D66050"/>
    <w:rsid w:val="00D6750A"/>
    <w:rsid w:val="00D67F1A"/>
    <w:rsid w:val="00D67FE9"/>
    <w:rsid w:val="00D7098C"/>
    <w:rsid w:val="00D710F1"/>
    <w:rsid w:val="00D71B07"/>
    <w:rsid w:val="00D72629"/>
    <w:rsid w:val="00D732C5"/>
    <w:rsid w:val="00D7385D"/>
    <w:rsid w:val="00D752A6"/>
    <w:rsid w:val="00D756E7"/>
    <w:rsid w:val="00D759D1"/>
    <w:rsid w:val="00D76453"/>
    <w:rsid w:val="00D76723"/>
    <w:rsid w:val="00D76EAA"/>
    <w:rsid w:val="00D7720D"/>
    <w:rsid w:val="00D77743"/>
    <w:rsid w:val="00D77933"/>
    <w:rsid w:val="00D809A8"/>
    <w:rsid w:val="00D80ACF"/>
    <w:rsid w:val="00D80F74"/>
    <w:rsid w:val="00D81544"/>
    <w:rsid w:val="00D818B2"/>
    <w:rsid w:val="00D8272A"/>
    <w:rsid w:val="00D8290B"/>
    <w:rsid w:val="00D82CF1"/>
    <w:rsid w:val="00D82E97"/>
    <w:rsid w:val="00D8348B"/>
    <w:rsid w:val="00D8385F"/>
    <w:rsid w:val="00D850ED"/>
    <w:rsid w:val="00D85A1D"/>
    <w:rsid w:val="00D865A8"/>
    <w:rsid w:val="00D86AFE"/>
    <w:rsid w:val="00D86C5C"/>
    <w:rsid w:val="00D8761B"/>
    <w:rsid w:val="00D8771E"/>
    <w:rsid w:val="00D8777D"/>
    <w:rsid w:val="00D90103"/>
    <w:rsid w:val="00D906F8"/>
    <w:rsid w:val="00D914C7"/>
    <w:rsid w:val="00D93172"/>
    <w:rsid w:val="00D93318"/>
    <w:rsid w:val="00D9595D"/>
    <w:rsid w:val="00D95CE1"/>
    <w:rsid w:val="00D9673D"/>
    <w:rsid w:val="00D96B4F"/>
    <w:rsid w:val="00D97451"/>
    <w:rsid w:val="00DA02E4"/>
    <w:rsid w:val="00DA11A4"/>
    <w:rsid w:val="00DA16F7"/>
    <w:rsid w:val="00DA17EC"/>
    <w:rsid w:val="00DA1F4D"/>
    <w:rsid w:val="00DA26A6"/>
    <w:rsid w:val="00DA2BF0"/>
    <w:rsid w:val="00DA31DC"/>
    <w:rsid w:val="00DA3C22"/>
    <w:rsid w:val="00DA5849"/>
    <w:rsid w:val="00DA5D0A"/>
    <w:rsid w:val="00DA6052"/>
    <w:rsid w:val="00DA6AF4"/>
    <w:rsid w:val="00DA6B0C"/>
    <w:rsid w:val="00DA7F27"/>
    <w:rsid w:val="00DB078E"/>
    <w:rsid w:val="00DB2172"/>
    <w:rsid w:val="00DB25FA"/>
    <w:rsid w:val="00DB2F07"/>
    <w:rsid w:val="00DB3059"/>
    <w:rsid w:val="00DB3280"/>
    <w:rsid w:val="00DB42D4"/>
    <w:rsid w:val="00DB44B2"/>
    <w:rsid w:val="00DB5571"/>
    <w:rsid w:val="00DB55CF"/>
    <w:rsid w:val="00DB6704"/>
    <w:rsid w:val="00DB6C9F"/>
    <w:rsid w:val="00DB6D9B"/>
    <w:rsid w:val="00DB6F89"/>
    <w:rsid w:val="00DC08D5"/>
    <w:rsid w:val="00DC1B53"/>
    <w:rsid w:val="00DC3471"/>
    <w:rsid w:val="00DC525E"/>
    <w:rsid w:val="00DC5B42"/>
    <w:rsid w:val="00DC680D"/>
    <w:rsid w:val="00DC68C7"/>
    <w:rsid w:val="00DC77EB"/>
    <w:rsid w:val="00DC7C57"/>
    <w:rsid w:val="00DD05AD"/>
    <w:rsid w:val="00DD11B3"/>
    <w:rsid w:val="00DD1401"/>
    <w:rsid w:val="00DD14E3"/>
    <w:rsid w:val="00DD1F4A"/>
    <w:rsid w:val="00DD1F9F"/>
    <w:rsid w:val="00DD2891"/>
    <w:rsid w:val="00DD3316"/>
    <w:rsid w:val="00DD3B19"/>
    <w:rsid w:val="00DD5EB4"/>
    <w:rsid w:val="00DD6E30"/>
    <w:rsid w:val="00DD751F"/>
    <w:rsid w:val="00DE06BA"/>
    <w:rsid w:val="00DE0750"/>
    <w:rsid w:val="00DE1A22"/>
    <w:rsid w:val="00DE1C5C"/>
    <w:rsid w:val="00DE2939"/>
    <w:rsid w:val="00DE4615"/>
    <w:rsid w:val="00DE4CB3"/>
    <w:rsid w:val="00DE53E5"/>
    <w:rsid w:val="00DE5AC3"/>
    <w:rsid w:val="00DE6B87"/>
    <w:rsid w:val="00DE75A7"/>
    <w:rsid w:val="00DF0B5A"/>
    <w:rsid w:val="00DF139F"/>
    <w:rsid w:val="00DF1BAD"/>
    <w:rsid w:val="00DF362B"/>
    <w:rsid w:val="00DF397B"/>
    <w:rsid w:val="00DF3DBD"/>
    <w:rsid w:val="00DF504D"/>
    <w:rsid w:val="00DF63C0"/>
    <w:rsid w:val="00DF64BF"/>
    <w:rsid w:val="00DF7583"/>
    <w:rsid w:val="00DF7656"/>
    <w:rsid w:val="00E000DE"/>
    <w:rsid w:val="00E00332"/>
    <w:rsid w:val="00E00997"/>
    <w:rsid w:val="00E00A92"/>
    <w:rsid w:val="00E00FAB"/>
    <w:rsid w:val="00E032EF"/>
    <w:rsid w:val="00E03506"/>
    <w:rsid w:val="00E0403D"/>
    <w:rsid w:val="00E04986"/>
    <w:rsid w:val="00E04A9D"/>
    <w:rsid w:val="00E04BFC"/>
    <w:rsid w:val="00E05502"/>
    <w:rsid w:val="00E0596A"/>
    <w:rsid w:val="00E0667E"/>
    <w:rsid w:val="00E077AF"/>
    <w:rsid w:val="00E07BAD"/>
    <w:rsid w:val="00E10309"/>
    <w:rsid w:val="00E106CB"/>
    <w:rsid w:val="00E120EF"/>
    <w:rsid w:val="00E12274"/>
    <w:rsid w:val="00E137A5"/>
    <w:rsid w:val="00E13E96"/>
    <w:rsid w:val="00E1414F"/>
    <w:rsid w:val="00E1471B"/>
    <w:rsid w:val="00E14D56"/>
    <w:rsid w:val="00E15861"/>
    <w:rsid w:val="00E162F3"/>
    <w:rsid w:val="00E167CF"/>
    <w:rsid w:val="00E16DAC"/>
    <w:rsid w:val="00E20C11"/>
    <w:rsid w:val="00E2184A"/>
    <w:rsid w:val="00E2213B"/>
    <w:rsid w:val="00E249B8"/>
    <w:rsid w:val="00E24DAA"/>
    <w:rsid w:val="00E251BC"/>
    <w:rsid w:val="00E251D6"/>
    <w:rsid w:val="00E25454"/>
    <w:rsid w:val="00E25AA0"/>
    <w:rsid w:val="00E26A84"/>
    <w:rsid w:val="00E27C21"/>
    <w:rsid w:val="00E27D25"/>
    <w:rsid w:val="00E3018E"/>
    <w:rsid w:val="00E30884"/>
    <w:rsid w:val="00E31751"/>
    <w:rsid w:val="00E31B16"/>
    <w:rsid w:val="00E31E49"/>
    <w:rsid w:val="00E31FAE"/>
    <w:rsid w:val="00E32E1C"/>
    <w:rsid w:val="00E36165"/>
    <w:rsid w:val="00E36423"/>
    <w:rsid w:val="00E41920"/>
    <w:rsid w:val="00E42CE3"/>
    <w:rsid w:val="00E42F7F"/>
    <w:rsid w:val="00E438D6"/>
    <w:rsid w:val="00E43DDE"/>
    <w:rsid w:val="00E43E5A"/>
    <w:rsid w:val="00E44F8E"/>
    <w:rsid w:val="00E46463"/>
    <w:rsid w:val="00E473C0"/>
    <w:rsid w:val="00E47804"/>
    <w:rsid w:val="00E47B0A"/>
    <w:rsid w:val="00E47DE4"/>
    <w:rsid w:val="00E513DD"/>
    <w:rsid w:val="00E51C1E"/>
    <w:rsid w:val="00E51DCB"/>
    <w:rsid w:val="00E52D69"/>
    <w:rsid w:val="00E547CC"/>
    <w:rsid w:val="00E55277"/>
    <w:rsid w:val="00E5770B"/>
    <w:rsid w:val="00E5779A"/>
    <w:rsid w:val="00E60295"/>
    <w:rsid w:val="00E60650"/>
    <w:rsid w:val="00E6117C"/>
    <w:rsid w:val="00E61685"/>
    <w:rsid w:val="00E620CE"/>
    <w:rsid w:val="00E629F8"/>
    <w:rsid w:val="00E63105"/>
    <w:rsid w:val="00E6314E"/>
    <w:rsid w:val="00E633EC"/>
    <w:rsid w:val="00E63D6E"/>
    <w:rsid w:val="00E63DFE"/>
    <w:rsid w:val="00E645CA"/>
    <w:rsid w:val="00E64B4D"/>
    <w:rsid w:val="00E653FF"/>
    <w:rsid w:val="00E65971"/>
    <w:rsid w:val="00E66B0A"/>
    <w:rsid w:val="00E67314"/>
    <w:rsid w:val="00E70152"/>
    <w:rsid w:val="00E706BE"/>
    <w:rsid w:val="00E7266A"/>
    <w:rsid w:val="00E72B52"/>
    <w:rsid w:val="00E72D2D"/>
    <w:rsid w:val="00E73168"/>
    <w:rsid w:val="00E736C3"/>
    <w:rsid w:val="00E74641"/>
    <w:rsid w:val="00E74B22"/>
    <w:rsid w:val="00E74F37"/>
    <w:rsid w:val="00E775B5"/>
    <w:rsid w:val="00E77958"/>
    <w:rsid w:val="00E810C0"/>
    <w:rsid w:val="00E8178E"/>
    <w:rsid w:val="00E81E2A"/>
    <w:rsid w:val="00E83545"/>
    <w:rsid w:val="00E83BAA"/>
    <w:rsid w:val="00E84012"/>
    <w:rsid w:val="00E8535A"/>
    <w:rsid w:val="00E8547B"/>
    <w:rsid w:val="00E86593"/>
    <w:rsid w:val="00E86CC5"/>
    <w:rsid w:val="00E86E17"/>
    <w:rsid w:val="00E8702A"/>
    <w:rsid w:val="00E87305"/>
    <w:rsid w:val="00E87AB9"/>
    <w:rsid w:val="00E87F66"/>
    <w:rsid w:val="00E9114D"/>
    <w:rsid w:val="00E9127F"/>
    <w:rsid w:val="00E9168F"/>
    <w:rsid w:val="00E923DC"/>
    <w:rsid w:val="00E92AAC"/>
    <w:rsid w:val="00E92C43"/>
    <w:rsid w:val="00E93129"/>
    <w:rsid w:val="00E94166"/>
    <w:rsid w:val="00E9554D"/>
    <w:rsid w:val="00E9598A"/>
    <w:rsid w:val="00E975AF"/>
    <w:rsid w:val="00E9793A"/>
    <w:rsid w:val="00EA137D"/>
    <w:rsid w:val="00EA276D"/>
    <w:rsid w:val="00EA340D"/>
    <w:rsid w:val="00EA3EF7"/>
    <w:rsid w:val="00EA4426"/>
    <w:rsid w:val="00EA5999"/>
    <w:rsid w:val="00EA62B3"/>
    <w:rsid w:val="00EA63B3"/>
    <w:rsid w:val="00EA65F2"/>
    <w:rsid w:val="00EA6795"/>
    <w:rsid w:val="00EA6A80"/>
    <w:rsid w:val="00EA6EE3"/>
    <w:rsid w:val="00EA7666"/>
    <w:rsid w:val="00EA7C92"/>
    <w:rsid w:val="00EA7FC1"/>
    <w:rsid w:val="00EB0BD3"/>
    <w:rsid w:val="00EB0E92"/>
    <w:rsid w:val="00EB0F3C"/>
    <w:rsid w:val="00EB1A00"/>
    <w:rsid w:val="00EB1E2D"/>
    <w:rsid w:val="00EB1EFB"/>
    <w:rsid w:val="00EB2FDB"/>
    <w:rsid w:val="00EB4CA2"/>
    <w:rsid w:val="00EB5E63"/>
    <w:rsid w:val="00EB6BF8"/>
    <w:rsid w:val="00EB72BD"/>
    <w:rsid w:val="00EC1767"/>
    <w:rsid w:val="00EC302F"/>
    <w:rsid w:val="00EC4597"/>
    <w:rsid w:val="00EC4D86"/>
    <w:rsid w:val="00EC533A"/>
    <w:rsid w:val="00EC5369"/>
    <w:rsid w:val="00EC711C"/>
    <w:rsid w:val="00EC76E1"/>
    <w:rsid w:val="00ED183A"/>
    <w:rsid w:val="00ED2FF4"/>
    <w:rsid w:val="00ED37FE"/>
    <w:rsid w:val="00ED452A"/>
    <w:rsid w:val="00ED45D8"/>
    <w:rsid w:val="00ED46BE"/>
    <w:rsid w:val="00ED489D"/>
    <w:rsid w:val="00ED4B23"/>
    <w:rsid w:val="00ED55E0"/>
    <w:rsid w:val="00ED64C2"/>
    <w:rsid w:val="00ED7388"/>
    <w:rsid w:val="00ED7D95"/>
    <w:rsid w:val="00EE08EA"/>
    <w:rsid w:val="00EE2EB8"/>
    <w:rsid w:val="00EE3118"/>
    <w:rsid w:val="00EE410F"/>
    <w:rsid w:val="00EE4944"/>
    <w:rsid w:val="00EE5643"/>
    <w:rsid w:val="00EE5DAF"/>
    <w:rsid w:val="00EE60C0"/>
    <w:rsid w:val="00EE6A96"/>
    <w:rsid w:val="00EE7D0D"/>
    <w:rsid w:val="00EF0040"/>
    <w:rsid w:val="00EF0CE7"/>
    <w:rsid w:val="00EF18C0"/>
    <w:rsid w:val="00EF23BB"/>
    <w:rsid w:val="00EF3B2F"/>
    <w:rsid w:val="00EF48E9"/>
    <w:rsid w:val="00EF4CDF"/>
    <w:rsid w:val="00EF58A2"/>
    <w:rsid w:val="00EF6A1C"/>
    <w:rsid w:val="00EF7589"/>
    <w:rsid w:val="00EF75AD"/>
    <w:rsid w:val="00EF79A7"/>
    <w:rsid w:val="00EF7EEF"/>
    <w:rsid w:val="00F00524"/>
    <w:rsid w:val="00F00643"/>
    <w:rsid w:val="00F007D0"/>
    <w:rsid w:val="00F00EDE"/>
    <w:rsid w:val="00F01400"/>
    <w:rsid w:val="00F0189E"/>
    <w:rsid w:val="00F02C6E"/>
    <w:rsid w:val="00F04B43"/>
    <w:rsid w:val="00F04E7D"/>
    <w:rsid w:val="00F05C46"/>
    <w:rsid w:val="00F05C5E"/>
    <w:rsid w:val="00F062A8"/>
    <w:rsid w:val="00F06479"/>
    <w:rsid w:val="00F07D23"/>
    <w:rsid w:val="00F07E9A"/>
    <w:rsid w:val="00F10544"/>
    <w:rsid w:val="00F10B94"/>
    <w:rsid w:val="00F1121E"/>
    <w:rsid w:val="00F116C2"/>
    <w:rsid w:val="00F1194E"/>
    <w:rsid w:val="00F11F9B"/>
    <w:rsid w:val="00F12832"/>
    <w:rsid w:val="00F12861"/>
    <w:rsid w:val="00F12C74"/>
    <w:rsid w:val="00F13F1B"/>
    <w:rsid w:val="00F14021"/>
    <w:rsid w:val="00F14394"/>
    <w:rsid w:val="00F151A7"/>
    <w:rsid w:val="00F15CA1"/>
    <w:rsid w:val="00F16B71"/>
    <w:rsid w:val="00F175C6"/>
    <w:rsid w:val="00F21212"/>
    <w:rsid w:val="00F2145D"/>
    <w:rsid w:val="00F21666"/>
    <w:rsid w:val="00F23179"/>
    <w:rsid w:val="00F25647"/>
    <w:rsid w:val="00F25802"/>
    <w:rsid w:val="00F2718A"/>
    <w:rsid w:val="00F276DD"/>
    <w:rsid w:val="00F300E5"/>
    <w:rsid w:val="00F302E9"/>
    <w:rsid w:val="00F30E37"/>
    <w:rsid w:val="00F31DD6"/>
    <w:rsid w:val="00F32D9D"/>
    <w:rsid w:val="00F332D8"/>
    <w:rsid w:val="00F336A0"/>
    <w:rsid w:val="00F363C3"/>
    <w:rsid w:val="00F36D66"/>
    <w:rsid w:val="00F405B4"/>
    <w:rsid w:val="00F405D9"/>
    <w:rsid w:val="00F40B0B"/>
    <w:rsid w:val="00F40B79"/>
    <w:rsid w:val="00F40D47"/>
    <w:rsid w:val="00F40FC0"/>
    <w:rsid w:val="00F42045"/>
    <w:rsid w:val="00F42F5A"/>
    <w:rsid w:val="00F4316A"/>
    <w:rsid w:val="00F43FB4"/>
    <w:rsid w:val="00F44571"/>
    <w:rsid w:val="00F44DEA"/>
    <w:rsid w:val="00F45146"/>
    <w:rsid w:val="00F4641D"/>
    <w:rsid w:val="00F470B6"/>
    <w:rsid w:val="00F47655"/>
    <w:rsid w:val="00F47670"/>
    <w:rsid w:val="00F47B8A"/>
    <w:rsid w:val="00F47CAA"/>
    <w:rsid w:val="00F50163"/>
    <w:rsid w:val="00F507A9"/>
    <w:rsid w:val="00F51634"/>
    <w:rsid w:val="00F52257"/>
    <w:rsid w:val="00F534E9"/>
    <w:rsid w:val="00F538D8"/>
    <w:rsid w:val="00F53F45"/>
    <w:rsid w:val="00F54310"/>
    <w:rsid w:val="00F60849"/>
    <w:rsid w:val="00F6151C"/>
    <w:rsid w:val="00F6197D"/>
    <w:rsid w:val="00F629BD"/>
    <w:rsid w:val="00F63227"/>
    <w:rsid w:val="00F6356E"/>
    <w:rsid w:val="00F63807"/>
    <w:rsid w:val="00F63FD8"/>
    <w:rsid w:val="00F649F2"/>
    <w:rsid w:val="00F65319"/>
    <w:rsid w:val="00F6564F"/>
    <w:rsid w:val="00F65AAF"/>
    <w:rsid w:val="00F65D71"/>
    <w:rsid w:val="00F6636E"/>
    <w:rsid w:val="00F66F02"/>
    <w:rsid w:val="00F70CAE"/>
    <w:rsid w:val="00F71247"/>
    <w:rsid w:val="00F72D89"/>
    <w:rsid w:val="00F74D7E"/>
    <w:rsid w:val="00F74EF3"/>
    <w:rsid w:val="00F7620D"/>
    <w:rsid w:val="00F7687B"/>
    <w:rsid w:val="00F776C2"/>
    <w:rsid w:val="00F77A9B"/>
    <w:rsid w:val="00F80122"/>
    <w:rsid w:val="00F81CB4"/>
    <w:rsid w:val="00F82907"/>
    <w:rsid w:val="00F82C76"/>
    <w:rsid w:val="00F83BB4"/>
    <w:rsid w:val="00F85571"/>
    <w:rsid w:val="00F85A26"/>
    <w:rsid w:val="00F87057"/>
    <w:rsid w:val="00F8727D"/>
    <w:rsid w:val="00F87FAC"/>
    <w:rsid w:val="00F906CC"/>
    <w:rsid w:val="00F90EE3"/>
    <w:rsid w:val="00F92259"/>
    <w:rsid w:val="00F9231B"/>
    <w:rsid w:val="00F92326"/>
    <w:rsid w:val="00F93E3F"/>
    <w:rsid w:val="00F9582D"/>
    <w:rsid w:val="00F95BC8"/>
    <w:rsid w:val="00F97511"/>
    <w:rsid w:val="00F9768E"/>
    <w:rsid w:val="00FA2B7C"/>
    <w:rsid w:val="00FA314C"/>
    <w:rsid w:val="00FA39CF"/>
    <w:rsid w:val="00FA5388"/>
    <w:rsid w:val="00FA6420"/>
    <w:rsid w:val="00FA71B2"/>
    <w:rsid w:val="00FA71FF"/>
    <w:rsid w:val="00FA75D1"/>
    <w:rsid w:val="00FA78C8"/>
    <w:rsid w:val="00FA7FD2"/>
    <w:rsid w:val="00FB02F2"/>
    <w:rsid w:val="00FB2169"/>
    <w:rsid w:val="00FB4183"/>
    <w:rsid w:val="00FB5BBE"/>
    <w:rsid w:val="00FB5FC6"/>
    <w:rsid w:val="00FB6BEC"/>
    <w:rsid w:val="00FB7876"/>
    <w:rsid w:val="00FB7E3D"/>
    <w:rsid w:val="00FC00B1"/>
    <w:rsid w:val="00FC05A3"/>
    <w:rsid w:val="00FC0E29"/>
    <w:rsid w:val="00FC0E42"/>
    <w:rsid w:val="00FC1180"/>
    <w:rsid w:val="00FC119D"/>
    <w:rsid w:val="00FC2C49"/>
    <w:rsid w:val="00FC354D"/>
    <w:rsid w:val="00FC3A62"/>
    <w:rsid w:val="00FC3B40"/>
    <w:rsid w:val="00FC3F05"/>
    <w:rsid w:val="00FC47A6"/>
    <w:rsid w:val="00FC53E9"/>
    <w:rsid w:val="00FC6E46"/>
    <w:rsid w:val="00FC704D"/>
    <w:rsid w:val="00FC71F0"/>
    <w:rsid w:val="00FC723D"/>
    <w:rsid w:val="00FC7C50"/>
    <w:rsid w:val="00FD0230"/>
    <w:rsid w:val="00FD0265"/>
    <w:rsid w:val="00FD0B8C"/>
    <w:rsid w:val="00FD177F"/>
    <w:rsid w:val="00FD1976"/>
    <w:rsid w:val="00FD1E19"/>
    <w:rsid w:val="00FD237C"/>
    <w:rsid w:val="00FD251D"/>
    <w:rsid w:val="00FD3056"/>
    <w:rsid w:val="00FD3D91"/>
    <w:rsid w:val="00FD4A18"/>
    <w:rsid w:val="00FD6C6B"/>
    <w:rsid w:val="00FD7C34"/>
    <w:rsid w:val="00FD7E2A"/>
    <w:rsid w:val="00FE00B7"/>
    <w:rsid w:val="00FE0287"/>
    <w:rsid w:val="00FE076D"/>
    <w:rsid w:val="00FE1134"/>
    <w:rsid w:val="00FE1ADB"/>
    <w:rsid w:val="00FE2A63"/>
    <w:rsid w:val="00FE2BF2"/>
    <w:rsid w:val="00FE3892"/>
    <w:rsid w:val="00FE39FC"/>
    <w:rsid w:val="00FE3AB2"/>
    <w:rsid w:val="00FE3E05"/>
    <w:rsid w:val="00FE4176"/>
    <w:rsid w:val="00FE4474"/>
    <w:rsid w:val="00FE5721"/>
    <w:rsid w:val="00FE6D8B"/>
    <w:rsid w:val="00FE72EE"/>
    <w:rsid w:val="00FE76C8"/>
    <w:rsid w:val="00FE77CC"/>
    <w:rsid w:val="00FF1DFD"/>
    <w:rsid w:val="00FF2ABA"/>
    <w:rsid w:val="00FF3967"/>
    <w:rsid w:val="00FF3EE4"/>
    <w:rsid w:val="00FF4058"/>
    <w:rsid w:val="00FF4534"/>
    <w:rsid w:val="00FF4886"/>
    <w:rsid w:val="00FF4F4C"/>
    <w:rsid w:val="00FF53A9"/>
    <w:rsid w:val="00FF53EE"/>
    <w:rsid w:val="00FF6BCA"/>
    <w:rsid w:val="010057A7"/>
    <w:rsid w:val="010F2882"/>
    <w:rsid w:val="01247755"/>
    <w:rsid w:val="01303F65"/>
    <w:rsid w:val="013A09C4"/>
    <w:rsid w:val="014C5266"/>
    <w:rsid w:val="01683BB5"/>
    <w:rsid w:val="0176597C"/>
    <w:rsid w:val="017A540E"/>
    <w:rsid w:val="018351D3"/>
    <w:rsid w:val="018710A3"/>
    <w:rsid w:val="01A53EA2"/>
    <w:rsid w:val="01A7086A"/>
    <w:rsid w:val="01A93A5A"/>
    <w:rsid w:val="01AD7D01"/>
    <w:rsid w:val="01B009AB"/>
    <w:rsid w:val="01B82220"/>
    <w:rsid w:val="01C601C2"/>
    <w:rsid w:val="01E462AD"/>
    <w:rsid w:val="01E65B03"/>
    <w:rsid w:val="01E92F08"/>
    <w:rsid w:val="020016FD"/>
    <w:rsid w:val="0201252C"/>
    <w:rsid w:val="02060918"/>
    <w:rsid w:val="021576DD"/>
    <w:rsid w:val="02293759"/>
    <w:rsid w:val="02624329"/>
    <w:rsid w:val="02A818C0"/>
    <w:rsid w:val="02C32F68"/>
    <w:rsid w:val="02F21EEB"/>
    <w:rsid w:val="02FA132F"/>
    <w:rsid w:val="02FC4B9B"/>
    <w:rsid w:val="032166EF"/>
    <w:rsid w:val="033F7C3E"/>
    <w:rsid w:val="03470120"/>
    <w:rsid w:val="034D4DD8"/>
    <w:rsid w:val="03541EC5"/>
    <w:rsid w:val="035D7D75"/>
    <w:rsid w:val="035E5F74"/>
    <w:rsid w:val="0365592C"/>
    <w:rsid w:val="036B7E52"/>
    <w:rsid w:val="0372035D"/>
    <w:rsid w:val="03831553"/>
    <w:rsid w:val="03960557"/>
    <w:rsid w:val="03ED1BFC"/>
    <w:rsid w:val="03ED2838"/>
    <w:rsid w:val="04302795"/>
    <w:rsid w:val="043729FA"/>
    <w:rsid w:val="04591A2E"/>
    <w:rsid w:val="0461422D"/>
    <w:rsid w:val="046E7456"/>
    <w:rsid w:val="04826CFA"/>
    <w:rsid w:val="04976926"/>
    <w:rsid w:val="04A05494"/>
    <w:rsid w:val="04A722F0"/>
    <w:rsid w:val="04A9499D"/>
    <w:rsid w:val="04B45435"/>
    <w:rsid w:val="04D55D13"/>
    <w:rsid w:val="04DC666C"/>
    <w:rsid w:val="04EC78FC"/>
    <w:rsid w:val="04FF46D6"/>
    <w:rsid w:val="050B39B0"/>
    <w:rsid w:val="05301C5F"/>
    <w:rsid w:val="05447943"/>
    <w:rsid w:val="054D67F1"/>
    <w:rsid w:val="057A69BF"/>
    <w:rsid w:val="057B0E62"/>
    <w:rsid w:val="0580785F"/>
    <w:rsid w:val="058A1C57"/>
    <w:rsid w:val="05955611"/>
    <w:rsid w:val="05964489"/>
    <w:rsid w:val="0597082A"/>
    <w:rsid w:val="05CB0E27"/>
    <w:rsid w:val="05CC0218"/>
    <w:rsid w:val="05D05124"/>
    <w:rsid w:val="05F33C03"/>
    <w:rsid w:val="0608114D"/>
    <w:rsid w:val="063C7A07"/>
    <w:rsid w:val="063E3B0B"/>
    <w:rsid w:val="065036EF"/>
    <w:rsid w:val="066811D3"/>
    <w:rsid w:val="066F5174"/>
    <w:rsid w:val="06706E5D"/>
    <w:rsid w:val="06737F68"/>
    <w:rsid w:val="06792D62"/>
    <w:rsid w:val="06A238AF"/>
    <w:rsid w:val="06AD4DCE"/>
    <w:rsid w:val="06CC4A19"/>
    <w:rsid w:val="06D84107"/>
    <w:rsid w:val="06DA6645"/>
    <w:rsid w:val="06E930F9"/>
    <w:rsid w:val="070E1192"/>
    <w:rsid w:val="070F0EB1"/>
    <w:rsid w:val="07265ECA"/>
    <w:rsid w:val="073F6540"/>
    <w:rsid w:val="074F4521"/>
    <w:rsid w:val="07505787"/>
    <w:rsid w:val="076707A0"/>
    <w:rsid w:val="07707E48"/>
    <w:rsid w:val="07761B42"/>
    <w:rsid w:val="0780311D"/>
    <w:rsid w:val="07862D11"/>
    <w:rsid w:val="07981A91"/>
    <w:rsid w:val="079B4158"/>
    <w:rsid w:val="07A27EEC"/>
    <w:rsid w:val="07AC389C"/>
    <w:rsid w:val="07BA375B"/>
    <w:rsid w:val="07CB2146"/>
    <w:rsid w:val="07CE525D"/>
    <w:rsid w:val="07CF512D"/>
    <w:rsid w:val="07D04F64"/>
    <w:rsid w:val="07E17544"/>
    <w:rsid w:val="080001B0"/>
    <w:rsid w:val="0806636F"/>
    <w:rsid w:val="080E5F49"/>
    <w:rsid w:val="0810264A"/>
    <w:rsid w:val="081661AF"/>
    <w:rsid w:val="08664345"/>
    <w:rsid w:val="08697816"/>
    <w:rsid w:val="08723626"/>
    <w:rsid w:val="089C5B28"/>
    <w:rsid w:val="08BB2017"/>
    <w:rsid w:val="08CE3215"/>
    <w:rsid w:val="08DE4389"/>
    <w:rsid w:val="08FE4DC1"/>
    <w:rsid w:val="090C2147"/>
    <w:rsid w:val="0927512D"/>
    <w:rsid w:val="09573866"/>
    <w:rsid w:val="0960347E"/>
    <w:rsid w:val="09652590"/>
    <w:rsid w:val="097653E7"/>
    <w:rsid w:val="097C0DEA"/>
    <w:rsid w:val="097E16AA"/>
    <w:rsid w:val="098415CA"/>
    <w:rsid w:val="098766D8"/>
    <w:rsid w:val="09917881"/>
    <w:rsid w:val="099536FE"/>
    <w:rsid w:val="09C922E7"/>
    <w:rsid w:val="09F92B47"/>
    <w:rsid w:val="0A0E2098"/>
    <w:rsid w:val="0A6D4E8D"/>
    <w:rsid w:val="0AAB0902"/>
    <w:rsid w:val="0AB079D6"/>
    <w:rsid w:val="0AB80DB3"/>
    <w:rsid w:val="0AE4227C"/>
    <w:rsid w:val="0AE77A0C"/>
    <w:rsid w:val="0AE81B19"/>
    <w:rsid w:val="0AFB755B"/>
    <w:rsid w:val="0AFF2C5A"/>
    <w:rsid w:val="0B046039"/>
    <w:rsid w:val="0B61769D"/>
    <w:rsid w:val="0B6A78FF"/>
    <w:rsid w:val="0B821434"/>
    <w:rsid w:val="0BA67E6C"/>
    <w:rsid w:val="0BAD401F"/>
    <w:rsid w:val="0BB55567"/>
    <w:rsid w:val="0BC40744"/>
    <w:rsid w:val="0BDC1CE9"/>
    <w:rsid w:val="0BDC46A3"/>
    <w:rsid w:val="0C0B6D68"/>
    <w:rsid w:val="0C0C3F82"/>
    <w:rsid w:val="0C197785"/>
    <w:rsid w:val="0C1A3D59"/>
    <w:rsid w:val="0C257B40"/>
    <w:rsid w:val="0C2C064B"/>
    <w:rsid w:val="0C315BCD"/>
    <w:rsid w:val="0C385ADF"/>
    <w:rsid w:val="0C3E34A5"/>
    <w:rsid w:val="0C546315"/>
    <w:rsid w:val="0C610DA4"/>
    <w:rsid w:val="0C6874EB"/>
    <w:rsid w:val="0C812DED"/>
    <w:rsid w:val="0C950BA6"/>
    <w:rsid w:val="0CAF695A"/>
    <w:rsid w:val="0CB12611"/>
    <w:rsid w:val="0CC44840"/>
    <w:rsid w:val="0CCE3C1A"/>
    <w:rsid w:val="0CD43E9E"/>
    <w:rsid w:val="0CEF2175"/>
    <w:rsid w:val="0D124D83"/>
    <w:rsid w:val="0D16252B"/>
    <w:rsid w:val="0D203DB4"/>
    <w:rsid w:val="0D2E24AB"/>
    <w:rsid w:val="0D396BF9"/>
    <w:rsid w:val="0D422A1C"/>
    <w:rsid w:val="0D434BB0"/>
    <w:rsid w:val="0D4E642E"/>
    <w:rsid w:val="0D5D17E3"/>
    <w:rsid w:val="0D5E1D12"/>
    <w:rsid w:val="0D8C68E2"/>
    <w:rsid w:val="0D9943EA"/>
    <w:rsid w:val="0DB51F5E"/>
    <w:rsid w:val="0DB545D2"/>
    <w:rsid w:val="0DC7118E"/>
    <w:rsid w:val="0DE01F75"/>
    <w:rsid w:val="0DE5659B"/>
    <w:rsid w:val="0DE56FE8"/>
    <w:rsid w:val="0DED34C2"/>
    <w:rsid w:val="0DF40F7F"/>
    <w:rsid w:val="0DF47AE0"/>
    <w:rsid w:val="0E1E3AB1"/>
    <w:rsid w:val="0E245078"/>
    <w:rsid w:val="0E331822"/>
    <w:rsid w:val="0E5B7068"/>
    <w:rsid w:val="0E671431"/>
    <w:rsid w:val="0E710B71"/>
    <w:rsid w:val="0E8F5C4C"/>
    <w:rsid w:val="0E96765D"/>
    <w:rsid w:val="0EB653B4"/>
    <w:rsid w:val="0EB72DE1"/>
    <w:rsid w:val="0ED42113"/>
    <w:rsid w:val="0ED6340D"/>
    <w:rsid w:val="0EF04DE5"/>
    <w:rsid w:val="0EFF43BA"/>
    <w:rsid w:val="0F061FFE"/>
    <w:rsid w:val="0F092CD6"/>
    <w:rsid w:val="0F143963"/>
    <w:rsid w:val="0F4425B0"/>
    <w:rsid w:val="0F57471B"/>
    <w:rsid w:val="0F5B6AB1"/>
    <w:rsid w:val="0F777651"/>
    <w:rsid w:val="0F7A203F"/>
    <w:rsid w:val="0FA37114"/>
    <w:rsid w:val="0FD44A2E"/>
    <w:rsid w:val="100C34AE"/>
    <w:rsid w:val="100D5F57"/>
    <w:rsid w:val="10286655"/>
    <w:rsid w:val="102B1565"/>
    <w:rsid w:val="103E6637"/>
    <w:rsid w:val="10454916"/>
    <w:rsid w:val="105C6197"/>
    <w:rsid w:val="10672A16"/>
    <w:rsid w:val="107E71D4"/>
    <w:rsid w:val="107F13A6"/>
    <w:rsid w:val="10A76C07"/>
    <w:rsid w:val="10B4070D"/>
    <w:rsid w:val="10C20616"/>
    <w:rsid w:val="10E832B4"/>
    <w:rsid w:val="10EA3953"/>
    <w:rsid w:val="10EF0884"/>
    <w:rsid w:val="10FE28C6"/>
    <w:rsid w:val="111369C6"/>
    <w:rsid w:val="111934E7"/>
    <w:rsid w:val="112172C2"/>
    <w:rsid w:val="114D7618"/>
    <w:rsid w:val="11527F92"/>
    <w:rsid w:val="116F6BC1"/>
    <w:rsid w:val="11766346"/>
    <w:rsid w:val="1186449F"/>
    <w:rsid w:val="11983D3E"/>
    <w:rsid w:val="119F34BD"/>
    <w:rsid w:val="11AE39F8"/>
    <w:rsid w:val="11C53F61"/>
    <w:rsid w:val="11F8380E"/>
    <w:rsid w:val="11F93D82"/>
    <w:rsid w:val="12056CBD"/>
    <w:rsid w:val="1207758E"/>
    <w:rsid w:val="1208619C"/>
    <w:rsid w:val="120E0D54"/>
    <w:rsid w:val="121767DB"/>
    <w:rsid w:val="122E26AC"/>
    <w:rsid w:val="12383E59"/>
    <w:rsid w:val="12445E42"/>
    <w:rsid w:val="12465C21"/>
    <w:rsid w:val="12550B18"/>
    <w:rsid w:val="12663BE0"/>
    <w:rsid w:val="12735753"/>
    <w:rsid w:val="12CA084D"/>
    <w:rsid w:val="12DE6746"/>
    <w:rsid w:val="130E11A0"/>
    <w:rsid w:val="131A603D"/>
    <w:rsid w:val="133D6799"/>
    <w:rsid w:val="136007E7"/>
    <w:rsid w:val="136E327B"/>
    <w:rsid w:val="1387472C"/>
    <w:rsid w:val="138E393C"/>
    <w:rsid w:val="13914F8E"/>
    <w:rsid w:val="13A07738"/>
    <w:rsid w:val="13A631FD"/>
    <w:rsid w:val="13AB36C5"/>
    <w:rsid w:val="13B43589"/>
    <w:rsid w:val="13BB0808"/>
    <w:rsid w:val="13BC175F"/>
    <w:rsid w:val="13CB5FFB"/>
    <w:rsid w:val="14060571"/>
    <w:rsid w:val="1426082A"/>
    <w:rsid w:val="14561D62"/>
    <w:rsid w:val="145A5FD6"/>
    <w:rsid w:val="147014A9"/>
    <w:rsid w:val="14B856A7"/>
    <w:rsid w:val="14DE0C0F"/>
    <w:rsid w:val="14DE573A"/>
    <w:rsid w:val="14DF3546"/>
    <w:rsid w:val="14EE1A04"/>
    <w:rsid w:val="14F134BB"/>
    <w:rsid w:val="151246ED"/>
    <w:rsid w:val="152C2AC9"/>
    <w:rsid w:val="15367333"/>
    <w:rsid w:val="153C255C"/>
    <w:rsid w:val="154304FD"/>
    <w:rsid w:val="154923E9"/>
    <w:rsid w:val="156952E9"/>
    <w:rsid w:val="157D32D4"/>
    <w:rsid w:val="15924B9F"/>
    <w:rsid w:val="15957D8F"/>
    <w:rsid w:val="15BD5E7C"/>
    <w:rsid w:val="15DA10CC"/>
    <w:rsid w:val="15EA37AE"/>
    <w:rsid w:val="1606775E"/>
    <w:rsid w:val="160A610E"/>
    <w:rsid w:val="16462E87"/>
    <w:rsid w:val="16786253"/>
    <w:rsid w:val="169F561C"/>
    <w:rsid w:val="16A132F1"/>
    <w:rsid w:val="16A90C06"/>
    <w:rsid w:val="16BC04A0"/>
    <w:rsid w:val="16C8192A"/>
    <w:rsid w:val="171A332F"/>
    <w:rsid w:val="17251EAC"/>
    <w:rsid w:val="172F5A62"/>
    <w:rsid w:val="174602F3"/>
    <w:rsid w:val="174B3433"/>
    <w:rsid w:val="175201A4"/>
    <w:rsid w:val="17581F6D"/>
    <w:rsid w:val="1763479D"/>
    <w:rsid w:val="176B007C"/>
    <w:rsid w:val="177A1481"/>
    <w:rsid w:val="177B2B64"/>
    <w:rsid w:val="17844E8E"/>
    <w:rsid w:val="179914B3"/>
    <w:rsid w:val="17A116AE"/>
    <w:rsid w:val="17B33E4D"/>
    <w:rsid w:val="17D252F9"/>
    <w:rsid w:val="17EB1780"/>
    <w:rsid w:val="17EF5266"/>
    <w:rsid w:val="18071B33"/>
    <w:rsid w:val="180E5A00"/>
    <w:rsid w:val="1813342D"/>
    <w:rsid w:val="181B2BBC"/>
    <w:rsid w:val="181B53C4"/>
    <w:rsid w:val="183C091C"/>
    <w:rsid w:val="183F3519"/>
    <w:rsid w:val="1841459E"/>
    <w:rsid w:val="184A01D4"/>
    <w:rsid w:val="186F7BC5"/>
    <w:rsid w:val="187D225E"/>
    <w:rsid w:val="187E196E"/>
    <w:rsid w:val="188C47E4"/>
    <w:rsid w:val="189039E8"/>
    <w:rsid w:val="18B157FE"/>
    <w:rsid w:val="18CF3CC0"/>
    <w:rsid w:val="18D32F39"/>
    <w:rsid w:val="18E237E6"/>
    <w:rsid w:val="18EB4A89"/>
    <w:rsid w:val="18ED10F1"/>
    <w:rsid w:val="19104A6E"/>
    <w:rsid w:val="194818B4"/>
    <w:rsid w:val="195C2DAE"/>
    <w:rsid w:val="19670B39"/>
    <w:rsid w:val="196846B9"/>
    <w:rsid w:val="1979599D"/>
    <w:rsid w:val="19A65C35"/>
    <w:rsid w:val="19A86CE9"/>
    <w:rsid w:val="19C72EE6"/>
    <w:rsid w:val="19D55685"/>
    <w:rsid w:val="19D63097"/>
    <w:rsid w:val="19FD504D"/>
    <w:rsid w:val="1A08732E"/>
    <w:rsid w:val="1A0D2A4A"/>
    <w:rsid w:val="1A2F6045"/>
    <w:rsid w:val="1A400204"/>
    <w:rsid w:val="1A4C2D0F"/>
    <w:rsid w:val="1A5678E5"/>
    <w:rsid w:val="1A685EB8"/>
    <w:rsid w:val="1A700C76"/>
    <w:rsid w:val="1A817DEA"/>
    <w:rsid w:val="1A977783"/>
    <w:rsid w:val="1A994D33"/>
    <w:rsid w:val="1AAC1FB7"/>
    <w:rsid w:val="1ABE7DC8"/>
    <w:rsid w:val="1AC57478"/>
    <w:rsid w:val="1AD35B55"/>
    <w:rsid w:val="1B064BEB"/>
    <w:rsid w:val="1B571741"/>
    <w:rsid w:val="1B6A64B9"/>
    <w:rsid w:val="1B6F33E5"/>
    <w:rsid w:val="1B7F2276"/>
    <w:rsid w:val="1B871004"/>
    <w:rsid w:val="1B963FA6"/>
    <w:rsid w:val="1B9B5BFE"/>
    <w:rsid w:val="1BA94E24"/>
    <w:rsid w:val="1BB362E2"/>
    <w:rsid w:val="1BBA15EF"/>
    <w:rsid w:val="1BC162E8"/>
    <w:rsid w:val="1BD83779"/>
    <w:rsid w:val="1BEB4746"/>
    <w:rsid w:val="1C000FBC"/>
    <w:rsid w:val="1C010D1D"/>
    <w:rsid w:val="1C154BFE"/>
    <w:rsid w:val="1C207F73"/>
    <w:rsid w:val="1C282F6F"/>
    <w:rsid w:val="1C3B4A23"/>
    <w:rsid w:val="1C57773B"/>
    <w:rsid w:val="1C762B3D"/>
    <w:rsid w:val="1C837BC5"/>
    <w:rsid w:val="1C8D776B"/>
    <w:rsid w:val="1CA0383F"/>
    <w:rsid w:val="1CCC1EBA"/>
    <w:rsid w:val="1CE32728"/>
    <w:rsid w:val="1CFB7BD4"/>
    <w:rsid w:val="1D1D4E2E"/>
    <w:rsid w:val="1D1F2F14"/>
    <w:rsid w:val="1D470019"/>
    <w:rsid w:val="1D494CCF"/>
    <w:rsid w:val="1D52669D"/>
    <w:rsid w:val="1D5E4918"/>
    <w:rsid w:val="1D740B6A"/>
    <w:rsid w:val="1D8645B5"/>
    <w:rsid w:val="1D8675F0"/>
    <w:rsid w:val="1D8E6A36"/>
    <w:rsid w:val="1DB753E9"/>
    <w:rsid w:val="1DBA2E2E"/>
    <w:rsid w:val="1DBB1C42"/>
    <w:rsid w:val="1DE103FA"/>
    <w:rsid w:val="1DE72F8B"/>
    <w:rsid w:val="1DF41671"/>
    <w:rsid w:val="1E1D71A4"/>
    <w:rsid w:val="1E2668F4"/>
    <w:rsid w:val="1E2E6377"/>
    <w:rsid w:val="1E3104EB"/>
    <w:rsid w:val="1E3B7B3E"/>
    <w:rsid w:val="1E6D128D"/>
    <w:rsid w:val="1E722C69"/>
    <w:rsid w:val="1EB072B1"/>
    <w:rsid w:val="1EB50BBD"/>
    <w:rsid w:val="1EC06BEC"/>
    <w:rsid w:val="1EF43A77"/>
    <w:rsid w:val="1F5B5733"/>
    <w:rsid w:val="1F5F2F92"/>
    <w:rsid w:val="1F677541"/>
    <w:rsid w:val="1F6F5384"/>
    <w:rsid w:val="1FA31C4E"/>
    <w:rsid w:val="1FAA1EEE"/>
    <w:rsid w:val="1FB20C2C"/>
    <w:rsid w:val="1FCD35E0"/>
    <w:rsid w:val="1FD02EE8"/>
    <w:rsid w:val="1FD2597E"/>
    <w:rsid w:val="1FD71810"/>
    <w:rsid w:val="1FF20FA0"/>
    <w:rsid w:val="1FFF6B0A"/>
    <w:rsid w:val="2004034F"/>
    <w:rsid w:val="20084C24"/>
    <w:rsid w:val="200B13E8"/>
    <w:rsid w:val="201D443B"/>
    <w:rsid w:val="201E1EB2"/>
    <w:rsid w:val="203129D6"/>
    <w:rsid w:val="203F0AAD"/>
    <w:rsid w:val="204149C1"/>
    <w:rsid w:val="2044159C"/>
    <w:rsid w:val="20492558"/>
    <w:rsid w:val="205A55A3"/>
    <w:rsid w:val="205E38F0"/>
    <w:rsid w:val="206521F7"/>
    <w:rsid w:val="2075089D"/>
    <w:rsid w:val="20AA0500"/>
    <w:rsid w:val="20AD3BEB"/>
    <w:rsid w:val="20C02E9F"/>
    <w:rsid w:val="210920EF"/>
    <w:rsid w:val="21392153"/>
    <w:rsid w:val="213D3995"/>
    <w:rsid w:val="213E63DA"/>
    <w:rsid w:val="214572A0"/>
    <w:rsid w:val="21514B5B"/>
    <w:rsid w:val="216A4356"/>
    <w:rsid w:val="217F7026"/>
    <w:rsid w:val="21992531"/>
    <w:rsid w:val="21A4757C"/>
    <w:rsid w:val="21AB746C"/>
    <w:rsid w:val="21BA7AFB"/>
    <w:rsid w:val="21BD7A67"/>
    <w:rsid w:val="21C66054"/>
    <w:rsid w:val="21D132BC"/>
    <w:rsid w:val="21D92705"/>
    <w:rsid w:val="21F0010E"/>
    <w:rsid w:val="222B1128"/>
    <w:rsid w:val="223B02CB"/>
    <w:rsid w:val="223F0C2A"/>
    <w:rsid w:val="2253337B"/>
    <w:rsid w:val="22753104"/>
    <w:rsid w:val="22781D0B"/>
    <w:rsid w:val="22A50CDA"/>
    <w:rsid w:val="22C54964"/>
    <w:rsid w:val="22D75201"/>
    <w:rsid w:val="22F310EC"/>
    <w:rsid w:val="22F6254F"/>
    <w:rsid w:val="230B3186"/>
    <w:rsid w:val="232A7F55"/>
    <w:rsid w:val="232E17C5"/>
    <w:rsid w:val="2363312E"/>
    <w:rsid w:val="236E7FC9"/>
    <w:rsid w:val="23704814"/>
    <w:rsid w:val="237F3F46"/>
    <w:rsid w:val="23A07B25"/>
    <w:rsid w:val="23A835D3"/>
    <w:rsid w:val="23BF2684"/>
    <w:rsid w:val="23C11335"/>
    <w:rsid w:val="23DF4103"/>
    <w:rsid w:val="24055FBC"/>
    <w:rsid w:val="241271DB"/>
    <w:rsid w:val="242F013F"/>
    <w:rsid w:val="24381601"/>
    <w:rsid w:val="24944FF6"/>
    <w:rsid w:val="2498033F"/>
    <w:rsid w:val="249C22E1"/>
    <w:rsid w:val="24B94BCF"/>
    <w:rsid w:val="24F11672"/>
    <w:rsid w:val="251331E9"/>
    <w:rsid w:val="251E464F"/>
    <w:rsid w:val="25345D39"/>
    <w:rsid w:val="25493364"/>
    <w:rsid w:val="254F7A0F"/>
    <w:rsid w:val="255C378E"/>
    <w:rsid w:val="258A22CD"/>
    <w:rsid w:val="258C2F14"/>
    <w:rsid w:val="259C58FE"/>
    <w:rsid w:val="25B152B5"/>
    <w:rsid w:val="25B862D0"/>
    <w:rsid w:val="25C001F1"/>
    <w:rsid w:val="25CB3A81"/>
    <w:rsid w:val="25F9257C"/>
    <w:rsid w:val="262C5C6D"/>
    <w:rsid w:val="265D48E5"/>
    <w:rsid w:val="26662FC1"/>
    <w:rsid w:val="266F480A"/>
    <w:rsid w:val="267D1FC5"/>
    <w:rsid w:val="26805560"/>
    <w:rsid w:val="268414F9"/>
    <w:rsid w:val="269E1774"/>
    <w:rsid w:val="26A71D59"/>
    <w:rsid w:val="26C14A80"/>
    <w:rsid w:val="26CA79B1"/>
    <w:rsid w:val="26DC6C93"/>
    <w:rsid w:val="26E36DA9"/>
    <w:rsid w:val="270D444F"/>
    <w:rsid w:val="271916C3"/>
    <w:rsid w:val="273A24AE"/>
    <w:rsid w:val="27456DDA"/>
    <w:rsid w:val="274704F7"/>
    <w:rsid w:val="27506187"/>
    <w:rsid w:val="27512C81"/>
    <w:rsid w:val="27591CFC"/>
    <w:rsid w:val="275A4399"/>
    <w:rsid w:val="276F63C2"/>
    <w:rsid w:val="276F6648"/>
    <w:rsid w:val="27703BAC"/>
    <w:rsid w:val="27816204"/>
    <w:rsid w:val="278909E9"/>
    <w:rsid w:val="278D77E9"/>
    <w:rsid w:val="27900E5F"/>
    <w:rsid w:val="279F2ADE"/>
    <w:rsid w:val="27A72656"/>
    <w:rsid w:val="27B039C8"/>
    <w:rsid w:val="27CB356E"/>
    <w:rsid w:val="27DB14E9"/>
    <w:rsid w:val="27E61A3A"/>
    <w:rsid w:val="27E63708"/>
    <w:rsid w:val="27E852AA"/>
    <w:rsid w:val="27F95DF6"/>
    <w:rsid w:val="27FC68FC"/>
    <w:rsid w:val="28015AEC"/>
    <w:rsid w:val="280B7F29"/>
    <w:rsid w:val="281175D2"/>
    <w:rsid w:val="281F6326"/>
    <w:rsid w:val="28242737"/>
    <w:rsid w:val="28501150"/>
    <w:rsid w:val="28637B86"/>
    <w:rsid w:val="28642840"/>
    <w:rsid w:val="286B37C0"/>
    <w:rsid w:val="286F6445"/>
    <w:rsid w:val="2880029E"/>
    <w:rsid w:val="28872154"/>
    <w:rsid w:val="289243A6"/>
    <w:rsid w:val="28943227"/>
    <w:rsid w:val="28AD4E25"/>
    <w:rsid w:val="28B214EF"/>
    <w:rsid w:val="28F8088B"/>
    <w:rsid w:val="290D4165"/>
    <w:rsid w:val="291E414A"/>
    <w:rsid w:val="292661E0"/>
    <w:rsid w:val="29326F94"/>
    <w:rsid w:val="293A5C24"/>
    <w:rsid w:val="29496672"/>
    <w:rsid w:val="295223C1"/>
    <w:rsid w:val="29704239"/>
    <w:rsid w:val="29970233"/>
    <w:rsid w:val="299710B2"/>
    <w:rsid w:val="29C03002"/>
    <w:rsid w:val="29C341ED"/>
    <w:rsid w:val="29D17C06"/>
    <w:rsid w:val="29D3340F"/>
    <w:rsid w:val="29E13C7C"/>
    <w:rsid w:val="29E26806"/>
    <w:rsid w:val="29E940D0"/>
    <w:rsid w:val="29F4710C"/>
    <w:rsid w:val="29FF0B07"/>
    <w:rsid w:val="2A0E00CA"/>
    <w:rsid w:val="2A264443"/>
    <w:rsid w:val="2A2D064F"/>
    <w:rsid w:val="2A497078"/>
    <w:rsid w:val="2A4B3C6C"/>
    <w:rsid w:val="2A4C5B4D"/>
    <w:rsid w:val="2A615D77"/>
    <w:rsid w:val="2A630D17"/>
    <w:rsid w:val="2A791B21"/>
    <w:rsid w:val="2A87357D"/>
    <w:rsid w:val="2AA5169E"/>
    <w:rsid w:val="2AE57AC4"/>
    <w:rsid w:val="2AED38FF"/>
    <w:rsid w:val="2AF13218"/>
    <w:rsid w:val="2AFD3174"/>
    <w:rsid w:val="2B1E480B"/>
    <w:rsid w:val="2B367DA6"/>
    <w:rsid w:val="2B5934AE"/>
    <w:rsid w:val="2B626BBA"/>
    <w:rsid w:val="2B69017C"/>
    <w:rsid w:val="2B7A5423"/>
    <w:rsid w:val="2B7F51D7"/>
    <w:rsid w:val="2B8123CB"/>
    <w:rsid w:val="2B853CF9"/>
    <w:rsid w:val="2B914B5D"/>
    <w:rsid w:val="2BA9469B"/>
    <w:rsid w:val="2BE529C4"/>
    <w:rsid w:val="2BF544D2"/>
    <w:rsid w:val="2C063C1D"/>
    <w:rsid w:val="2C3D1CE0"/>
    <w:rsid w:val="2C6A56B2"/>
    <w:rsid w:val="2C893B0D"/>
    <w:rsid w:val="2C9846B7"/>
    <w:rsid w:val="2C9E0649"/>
    <w:rsid w:val="2CBC5FB0"/>
    <w:rsid w:val="2CBF274A"/>
    <w:rsid w:val="2CD17CCF"/>
    <w:rsid w:val="2CF81347"/>
    <w:rsid w:val="2D1C517B"/>
    <w:rsid w:val="2D2824B2"/>
    <w:rsid w:val="2D355A17"/>
    <w:rsid w:val="2D6138B7"/>
    <w:rsid w:val="2D666BF9"/>
    <w:rsid w:val="2D680546"/>
    <w:rsid w:val="2D833B32"/>
    <w:rsid w:val="2D896548"/>
    <w:rsid w:val="2D8B5FDC"/>
    <w:rsid w:val="2D917EAF"/>
    <w:rsid w:val="2DB0030F"/>
    <w:rsid w:val="2DC70DEE"/>
    <w:rsid w:val="2DCA0BF2"/>
    <w:rsid w:val="2DCB3C37"/>
    <w:rsid w:val="2DD02FC8"/>
    <w:rsid w:val="2DE14B3C"/>
    <w:rsid w:val="2DE55A1E"/>
    <w:rsid w:val="2DFF2CE2"/>
    <w:rsid w:val="2E002321"/>
    <w:rsid w:val="2E1C647D"/>
    <w:rsid w:val="2E2F1CD6"/>
    <w:rsid w:val="2E3C37AA"/>
    <w:rsid w:val="2E3F37FA"/>
    <w:rsid w:val="2E414B35"/>
    <w:rsid w:val="2E4B4DBA"/>
    <w:rsid w:val="2E580F8F"/>
    <w:rsid w:val="2E7926B6"/>
    <w:rsid w:val="2E8639C6"/>
    <w:rsid w:val="2EB81807"/>
    <w:rsid w:val="2EC47A74"/>
    <w:rsid w:val="2ED9015F"/>
    <w:rsid w:val="2EDB7001"/>
    <w:rsid w:val="2F06700C"/>
    <w:rsid w:val="2F331B4A"/>
    <w:rsid w:val="2F3B45C5"/>
    <w:rsid w:val="2F5E5535"/>
    <w:rsid w:val="2F67006B"/>
    <w:rsid w:val="2F7F38EF"/>
    <w:rsid w:val="2F841DC0"/>
    <w:rsid w:val="2F992A53"/>
    <w:rsid w:val="2FAB044B"/>
    <w:rsid w:val="2FDD7AA8"/>
    <w:rsid w:val="2FDF05E9"/>
    <w:rsid w:val="2FE240AD"/>
    <w:rsid w:val="301221C0"/>
    <w:rsid w:val="302A451F"/>
    <w:rsid w:val="302E0A39"/>
    <w:rsid w:val="30407780"/>
    <w:rsid w:val="305A76AB"/>
    <w:rsid w:val="30841252"/>
    <w:rsid w:val="30A21A3A"/>
    <w:rsid w:val="30AE5D9B"/>
    <w:rsid w:val="30B96527"/>
    <w:rsid w:val="30BD5A46"/>
    <w:rsid w:val="30C670C4"/>
    <w:rsid w:val="30CA166B"/>
    <w:rsid w:val="30E87423"/>
    <w:rsid w:val="30ED1101"/>
    <w:rsid w:val="30F64606"/>
    <w:rsid w:val="30F72E6E"/>
    <w:rsid w:val="30F857B9"/>
    <w:rsid w:val="31170894"/>
    <w:rsid w:val="313A36E5"/>
    <w:rsid w:val="31445C71"/>
    <w:rsid w:val="314F6742"/>
    <w:rsid w:val="31554AE7"/>
    <w:rsid w:val="31570D79"/>
    <w:rsid w:val="315C7F7F"/>
    <w:rsid w:val="31785A4E"/>
    <w:rsid w:val="31CF2D29"/>
    <w:rsid w:val="31E82675"/>
    <w:rsid w:val="31F05FAD"/>
    <w:rsid w:val="31FE41EC"/>
    <w:rsid w:val="320A31B2"/>
    <w:rsid w:val="321E6DA8"/>
    <w:rsid w:val="32280685"/>
    <w:rsid w:val="324E222E"/>
    <w:rsid w:val="325869D8"/>
    <w:rsid w:val="326D7BCF"/>
    <w:rsid w:val="32792D2B"/>
    <w:rsid w:val="327A6BD0"/>
    <w:rsid w:val="32832ED6"/>
    <w:rsid w:val="32AC1117"/>
    <w:rsid w:val="32C258EB"/>
    <w:rsid w:val="32C31B6B"/>
    <w:rsid w:val="32CA7F95"/>
    <w:rsid w:val="32D1723E"/>
    <w:rsid w:val="32D45531"/>
    <w:rsid w:val="32D96982"/>
    <w:rsid w:val="32E8371C"/>
    <w:rsid w:val="33050AAD"/>
    <w:rsid w:val="33116608"/>
    <w:rsid w:val="3329332C"/>
    <w:rsid w:val="332C3F79"/>
    <w:rsid w:val="333429CE"/>
    <w:rsid w:val="33392236"/>
    <w:rsid w:val="334530F3"/>
    <w:rsid w:val="336815C3"/>
    <w:rsid w:val="336E02D4"/>
    <w:rsid w:val="33861D25"/>
    <w:rsid w:val="338A7437"/>
    <w:rsid w:val="33BE2810"/>
    <w:rsid w:val="33C32064"/>
    <w:rsid w:val="33C96CCF"/>
    <w:rsid w:val="33D10F85"/>
    <w:rsid w:val="33D1513C"/>
    <w:rsid w:val="33DA46B1"/>
    <w:rsid w:val="33E97899"/>
    <w:rsid w:val="33EF1DDB"/>
    <w:rsid w:val="33F30E32"/>
    <w:rsid w:val="33F85143"/>
    <w:rsid w:val="340505DC"/>
    <w:rsid w:val="342041F4"/>
    <w:rsid w:val="34254E5C"/>
    <w:rsid w:val="34270AC1"/>
    <w:rsid w:val="342927FC"/>
    <w:rsid w:val="343F154C"/>
    <w:rsid w:val="344469FD"/>
    <w:rsid w:val="34515C51"/>
    <w:rsid w:val="345356CC"/>
    <w:rsid w:val="34562F70"/>
    <w:rsid w:val="346106CD"/>
    <w:rsid w:val="34793D6B"/>
    <w:rsid w:val="347E3539"/>
    <w:rsid w:val="34830369"/>
    <w:rsid w:val="34C603ED"/>
    <w:rsid w:val="34D93DEB"/>
    <w:rsid w:val="35023FE2"/>
    <w:rsid w:val="350D407B"/>
    <w:rsid w:val="351C0A51"/>
    <w:rsid w:val="352128A9"/>
    <w:rsid w:val="352548D7"/>
    <w:rsid w:val="3528106A"/>
    <w:rsid w:val="354503F4"/>
    <w:rsid w:val="35453CE8"/>
    <w:rsid w:val="35465780"/>
    <w:rsid w:val="35841377"/>
    <w:rsid w:val="358F1EC3"/>
    <w:rsid w:val="359A09ED"/>
    <w:rsid w:val="35AA1BCA"/>
    <w:rsid w:val="35B33563"/>
    <w:rsid w:val="35BC4AB2"/>
    <w:rsid w:val="35E87B72"/>
    <w:rsid w:val="35E915DE"/>
    <w:rsid w:val="35E936E6"/>
    <w:rsid w:val="35EB0A3D"/>
    <w:rsid w:val="35F71D4F"/>
    <w:rsid w:val="35FA1982"/>
    <w:rsid w:val="35FE2F69"/>
    <w:rsid w:val="35FF12E2"/>
    <w:rsid w:val="36056B5B"/>
    <w:rsid w:val="360C3486"/>
    <w:rsid w:val="36201A4D"/>
    <w:rsid w:val="36441F53"/>
    <w:rsid w:val="364C0351"/>
    <w:rsid w:val="36694098"/>
    <w:rsid w:val="367E53BD"/>
    <w:rsid w:val="36816371"/>
    <w:rsid w:val="368559A2"/>
    <w:rsid w:val="36995CF0"/>
    <w:rsid w:val="36B15DF4"/>
    <w:rsid w:val="36C070E9"/>
    <w:rsid w:val="36D121F1"/>
    <w:rsid w:val="36E836E6"/>
    <w:rsid w:val="371C0FF6"/>
    <w:rsid w:val="37203126"/>
    <w:rsid w:val="37237201"/>
    <w:rsid w:val="37383C9E"/>
    <w:rsid w:val="37393FF5"/>
    <w:rsid w:val="375A58F9"/>
    <w:rsid w:val="376C22FC"/>
    <w:rsid w:val="376D0505"/>
    <w:rsid w:val="376D4567"/>
    <w:rsid w:val="37717A3A"/>
    <w:rsid w:val="378E4453"/>
    <w:rsid w:val="37965470"/>
    <w:rsid w:val="37A058ED"/>
    <w:rsid w:val="37B07E7F"/>
    <w:rsid w:val="37B1241A"/>
    <w:rsid w:val="37D56240"/>
    <w:rsid w:val="37E17558"/>
    <w:rsid w:val="37F609F5"/>
    <w:rsid w:val="37FB779C"/>
    <w:rsid w:val="38132788"/>
    <w:rsid w:val="38142EE2"/>
    <w:rsid w:val="382D35E2"/>
    <w:rsid w:val="383E613C"/>
    <w:rsid w:val="387F6F98"/>
    <w:rsid w:val="38890DD2"/>
    <w:rsid w:val="38A914AA"/>
    <w:rsid w:val="38AC2771"/>
    <w:rsid w:val="38CF1737"/>
    <w:rsid w:val="38EB788B"/>
    <w:rsid w:val="38EE54CC"/>
    <w:rsid w:val="391477F6"/>
    <w:rsid w:val="39202BE9"/>
    <w:rsid w:val="392F6C22"/>
    <w:rsid w:val="3937628D"/>
    <w:rsid w:val="3945589A"/>
    <w:rsid w:val="397054D7"/>
    <w:rsid w:val="397131B7"/>
    <w:rsid w:val="397B172D"/>
    <w:rsid w:val="397F6BAE"/>
    <w:rsid w:val="39C616EE"/>
    <w:rsid w:val="39D178FD"/>
    <w:rsid w:val="39D20836"/>
    <w:rsid w:val="39E55C79"/>
    <w:rsid w:val="39F529BD"/>
    <w:rsid w:val="39FC3CDD"/>
    <w:rsid w:val="3A005897"/>
    <w:rsid w:val="3A0E4A66"/>
    <w:rsid w:val="3A0F5041"/>
    <w:rsid w:val="3A4458BD"/>
    <w:rsid w:val="3A49697E"/>
    <w:rsid w:val="3A57248F"/>
    <w:rsid w:val="3A5930B4"/>
    <w:rsid w:val="3A6F731F"/>
    <w:rsid w:val="3A8551B2"/>
    <w:rsid w:val="3AAA1FCB"/>
    <w:rsid w:val="3AAE4831"/>
    <w:rsid w:val="3AC22C8F"/>
    <w:rsid w:val="3AE82205"/>
    <w:rsid w:val="3B3F4A55"/>
    <w:rsid w:val="3B401F9F"/>
    <w:rsid w:val="3B596F6F"/>
    <w:rsid w:val="3B5A3279"/>
    <w:rsid w:val="3B703203"/>
    <w:rsid w:val="3B754CFB"/>
    <w:rsid w:val="3B8770EE"/>
    <w:rsid w:val="3B91770A"/>
    <w:rsid w:val="3B951E85"/>
    <w:rsid w:val="3B967E52"/>
    <w:rsid w:val="3B9823CE"/>
    <w:rsid w:val="3BB56FEB"/>
    <w:rsid w:val="3BD76595"/>
    <w:rsid w:val="3C1017BA"/>
    <w:rsid w:val="3C1C1508"/>
    <w:rsid w:val="3C266A0E"/>
    <w:rsid w:val="3C2F3068"/>
    <w:rsid w:val="3C3519B4"/>
    <w:rsid w:val="3C404ADE"/>
    <w:rsid w:val="3C4D6189"/>
    <w:rsid w:val="3C7A1ABD"/>
    <w:rsid w:val="3C812464"/>
    <w:rsid w:val="3C85139E"/>
    <w:rsid w:val="3C8E5EA7"/>
    <w:rsid w:val="3C8E7AB6"/>
    <w:rsid w:val="3CB30A45"/>
    <w:rsid w:val="3CBF2D6A"/>
    <w:rsid w:val="3CC51781"/>
    <w:rsid w:val="3CC84549"/>
    <w:rsid w:val="3D080961"/>
    <w:rsid w:val="3D0C0513"/>
    <w:rsid w:val="3D2321D5"/>
    <w:rsid w:val="3D2A2527"/>
    <w:rsid w:val="3D325793"/>
    <w:rsid w:val="3D3E055F"/>
    <w:rsid w:val="3D4628FC"/>
    <w:rsid w:val="3D631D18"/>
    <w:rsid w:val="3D865F4C"/>
    <w:rsid w:val="3D9B0FF3"/>
    <w:rsid w:val="3D9E12A1"/>
    <w:rsid w:val="3DB836BF"/>
    <w:rsid w:val="3DBA1054"/>
    <w:rsid w:val="3DBF01AF"/>
    <w:rsid w:val="3DBF54D1"/>
    <w:rsid w:val="3DC701EB"/>
    <w:rsid w:val="3DD0070F"/>
    <w:rsid w:val="3DD0314B"/>
    <w:rsid w:val="3DD24540"/>
    <w:rsid w:val="3DD31094"/>
    <w:rsid w:val="3DE11624"/>
    <w:rsid w:val="3DFA21F0"/>
    <w:rsid w:val="3DFF6D97"/>
    <w:rsid w:val="3E0A6273"/>
    <w:rsid w:val="3E4A01B8"/>
    <w:rsid w:val="3E4C2268"/>
    <w:rsid w:val="3E536402"/>
    <w:rsid w:val="3E5D2E08"/>
    <w:rsid w:val="3E65120B"/>
    <w:rsid w:val="3E6825AB"/>
    <w:rsid w:val="3E990BCE"/>
    <w:rsid w:val="3EA74100"/>
    <w:rsid w:val="3EA84B3D"/>
    <w:rsid w:val="3EC4153C"/>
    <w:rsid w:val="3ED71CC0"/>
    <w:rsid w:val="3ED723E2"/>
    <w:rsid w:val="3EE36D79"/>
    <w:rsid w:val="3EE43339"/>
    <w:rsid w:val="3EF53C17"/>
    <w:rsid w:val="3F0C16B6"/>
    <w:rsid w:val="3F2244FB"/>
    <w:rsid w:val="3F2376C5"/>
    <w:rsid w:val="3F373E09"/>
    <w:rsid w:val="3F396430"/>
    <w:rsid w:val="3F3D51AB"/>
    <w:rsid w:val="3F46049A"/>
    <w:rsid w:val="3F483449"/>
    <w:rsid w:val="3F4C559B"/>
    <w:rsid w:val="3F80503B"/>
    <w:rsid w:val="3F8276E6"/>
    <w:rsid w:val="3F8C483D"/>
    <w:rsid w:val="3F956F3B"/>
    <w:rsid w:val="3F9738B9"/>
    <w:rsid w:val="3FA91189"/>
    <w:rsid w:val="3FB54320"/>
    <w:rsid w:val="3FD40286"/>
    <w:rsid w:val="3FD85B95"/>
    <w:rsid w:val="3FDF57D7"/>
    <w:rsid w:val="3FE1730C"/>
    <w:rsid w:val="40006203"/>
    <w:rsid w:val="401A0A3D"/>
    <w:rsid w:val="4025470B"/>
    <w:rsid w:val="402E0D38"/>
    <w:rsid w:val="40355480"/>
    <w:rsid w:val="404439DB"/>
    <w:rsid w:val="40454E93"/>
    <w:rsid w:val="40457334"/>
    <w:rsid w:val="404A1C06"/>
    <w:rsid w:val="40533686"/>
    <w:rsid w:val="405E6311"/>
    <w:rsid w:val="406B6BFC"/>
    <w:rsid w:val="40805696"/>
    <w:rsid w:val="40945BD7"/>
    <w:rsid w:val="40C07E55"/>
    <w:rsid w:val="410406EE"/>
    <w:rsid w:val="411A2CA9"/>
    <w:rsid w:val="411C1CDD"/>
    <w:rsid w:val="412E769D"/>
    <w:rsid w:val="4159217C"/>
    <w:rsid w:val="415A2939"/>
    <w:rsid w:val="416B0A4A"/>
    <w:rsid w:val="418A1B92"/>
    <w:rsid w:val="418A2F70"/>
    <w:rsid w:val="41963683"/>
    <w:rsid w:val="419B6E25"/>
    <w:rsid w:val="41AA597E"/>
    <w:rsid w:val="41BD7303"/>
    <w:rsid w:val="42050C0E"/>
    <w:rsid w:val="420E585D"/>
    <w:rsid w:val="4214206C"/>
    <w:rsid w:val="421D3B80"/>
    <w:rsid w:val="421E197A"/>
    <w:rsid w:val="421F4397"/>
    <w:rsid w:val="42553004"/>
    <w:rsid w:val="425560C8"/>
    <w:rsid w:val="42640A6C"/>
    <w:rsid w:val="428B1BDB"/>
    <w:rsid w:val="428E0BC9"/>
    <w:rsid w:val="429121FE"/>
    <w:rsid w:val="429644F7"/>
    <w:rsid w:val="42BD6518"/>
    <w:rsid w:val="42DA0918"/>
    <w:rsid w:val="42E6012C"/>
    <w:rsid w:val="42E63401"/>
    <w:rsid w:val="42F33C51"/>
    <w:rsid w:val="430C340A"/>
    <w:rsid w:val="4324415B"/>
    <w:rsid w:val="432B2BDD"/>
    <w:rsid w:val="433B24A0"/>
    <w:rsid w:val="43442D25"/>
    <w:rsid w:val="434737C5"/>
    <w:rsid w:val="434C6777"/>
    <w:rsid w:val="43803E5D"/>
    <w:rsid w:val="438172BC"/>
    <w:rsid w:val="438D7205"/>
    <w:rsid w:val="43A31501"/>
    <w:rsid w:val="43A51A0F"/>
    <w:rsid w:val="43A63ED9"/>
    <w:rsid w:val="43CA4ED5"/>
    <w:rsid w:val="43D3039E"/>
    <w:rsid w:val="43F50C88"/>
    <w:rsid w:val="440F5CB7"/>
    <w:rsid w:val="4410164C"/>
    <w:rsid w:val="4421190E"/>
    <w:rsid w:val="44387A96"/>
    <w:rsid w:val="443F6059"/>
    <w:rsid w:val="4440389E"/>
    <w:rsid w:val="44404FD8"/>
    <w:rsid w:val="44467B33"/>
    <w:rsid w:val="44471594"/>
    <w:rsid w:val="44507687"/>
    <w:rsid w:val="446108C6"/>
    <w:rsid w:val="44983E14"/>
    <w:rsid w:val="449E6B70"/>
    <w:rsid w:val="44D101C0"/>
    <w:rsid w:val="44D37D84"/>
    <w:rsid w:val="44E7070D"/>
    <w:rsid w:val="44E96140"/>
    <w:rsid w:val="44EF407A"/>
    <w:rsid w:val="45151EC2"/>
    <w:rsid w:val="452D6EC8"/>
    <w:rsid w:val="452E7CA8"/>
    <w:rsid w:val="455D6C0E"/>
    <w:rsid w:val="456237E3"/>
    <w:rsid w:val="45646473"/>
    <w:rsid w:val="45674650"/>
    <w:rsid w:val="45995EE5"/>
    <w:rsid w:val="45996092"/>
    <w:rsid w:val="45A20D7F"/>
    <w:rsid w:val="45A96BB7"/>
    <w:rsid w:val="45B70AB6"/>
    <w:rsid w:val="45BE1896"/>
    <w:rsid w:val="45C21258"/>
    <w:rsid w:val="45C374F7"/>
    <w:rsid w:val="45CF5588"/>
    <w:rsid w:val="45E535E5"/>
    <w:rsid w:val="45E642B4"/>
    <w:rsid w:val="45FD2A9F"/>
    <w:rsid w:val="46185997"/>
    <w:rsid w:val="462C2D3B"/>
    <w:rsid w:val="46480C46"/>
    <w:rsid w:val="464E5B22"/>
    <w:rsid w:val="465719BA"/>
    <w:rsid w:val="466A2D2D"/>
    <w:rsid w:val="46C23E06"/>
    <w:rsid w:val="46C53057"/>
    <w:rsid w:val="46D2232B"/>
    <w:rsid w:val="46D766B5"/>
    <w:rsid w:val="46DB548E"/>
    <w:rsid w:val="46DD6135"/>
    <w:rsid w:val="46EF0895"/>
    <w:rsid w:val="470D6DF4"/>
    <w:rsid w:val="471609FC"/>
    <w:rsid w:val="473F2635"/>
    <w:rsid w:val="47470193"/>
    <w:rsid w:val="474E6020"/>
    <w:rsid w:val="4753398A"/>
    <w:rsid w:val="47537F64"/>
    <w:rsid w:val="476676F8"/>
    <w:rsid w:val="477E64CE"/>
    <w:rsid w:val="478A2625"/>
    <w:rsid w:val="478D0FC4"/>
    <w:rsid w:val="47995509"/>
    <w:rsid w:val="47A96D76"/>
    <w:rsid w:val="47BA075C"/>
    <w:rsid w:val="47BE498F"/>
    <w:rsid w:val="47DA3EE6"/>
    <w:rsid w:val="47E80D20"/>
    <w:rsid w:val="47F66132"/>
    <w:rsid w:val="47FE205C"/>
    <w:rsid w:val="48064ED6"/>
    <w:rsid w:val="48170CBE"/>
    <w:rsid w:val="48286180"/>
    <w:rsid w:val="48340FA3"/>
    <w:rsid w:val="4843730A"/>
    <w:rsid w:val="484E10BE"/>
    <w:rsid w:val="485F529B"/>
    <w:rsid w:val="48662799"/>
    <w:rsid w:val="48691363"/>
    <w:rsid w:val="48897354"/>
    <w:rsid w:val="48917477"/>
    <w:rsid w:val="48945E7F"/>
    <w:rsid w:val="489770C9"/>
    <w:rsid w:val="48B23078"/>
    <w:rsid w:val="48B90382"/>
    <w:rsid w:val="48CB623B"/>
    <w:rsid w:val="48D27C15"/>
    <w:rsid w:val="48FA645F"/>
    <w:rsid w:val="490D0375"/>
    <w:rsid w:val="490F4371"/>
    <w:rsid w:val="4922557C"/>
    <w:rsid w:val="4953099D"/>
    <w:rsid w:val="495D5A00"/>
    <w:rsid w:val="496447B1"/>
    <w:rsid w:val="49656C49"/>
    <w:rsid w:val="49813E8A"/>
    <w:rsid w:val="4989236D"/>
    <w:rsid w:val="49BD5B82"/>
    <w:rsid w:val="49D6259B"/>
    <w:rsid w:val="49D62DD0"/>
    <w:rsid w:val="49DF7B2A"/>
    <w:rsid w:val="49ED3805"/>
    <w:rsid w:val="49F444EB"/>
    <w:rsid w:val="49F64E79"/>
    <w:rsid w:val="4A285F26"/>
    <w:rsid w:val="4A300C6A"/>
    <w:rsid w:val="4A3029FF"/>
    <w:rsid w:val="4A317426"/>
    <w:rsid w:val="4A495F64"/>
    <w:rsid w:val="4A5F5DCB"/>
    <w:rsid w:val="4A6361B0"/>
    <w:rsid w:val="4A6D5817"/>
    <w:rsid w:val="4A6D5A21"/>
    <w:rsid w:val="4A764CF9"/>
    <w:rsid w:val="4A780E6E"/>
    <w:rsid w:val="4A7A4F85"/>
    <w:rsid w:val="4A7D61F3"/>
    <w:rsid w:val="4A9B63A3"/>
    <w:rsid w:val="4A9C4AA6"/>
    <w:rsid w:val="4AC13BA7"/>
    <w:rsid w:val="4AD0298E"/>
    <w:rsid w:val="4AD43CC2"/>
    <w:rsid w:val="4AF70013"/>
    <w:rsid w:val="4B03568E"/>
    <w:rsid w:val="4B073250"/>
    <w:rsid w:val="4B157281"/>
    <w:rsid w:val="4B1B4D9A"/>
    <w:rsid w:val="4B244692"/>
    <w:rsid w:val="4B3D2633"/>
    <w:rsid w:val="4B43338C"/>
    <w:rsid w:val="4B596AA2"/>
    <w:rsid w:val="4B6865B5"/>
    <w:rsid w:val="4B8455EB"/>
    <w:rsid w:val="4B845D24"/>
    <w:rsid w:val="4BA05124"/>
    <w:rsid w:val="4BAF5721"/>
    <w:rsid w:val="4BB932E2"/>
    <w:rsid w:val="4BBA1147"/>
    <w:rsid w:val="4C037012"/>
    <w:rsid w:val="4C2C12C3"/>
    <w:rsid w:val="4C3008D0"/>
    <w:rsid w:val="4C3679C6"/>
    <w:rsid w:val="4C390B55"/>
    <w:rsid w:val="4C5C5F9D"/>
    <w:rsid w:val="4C720AD0"/>
    <w:rsid w:val="4C75532B"/>
    <w:rsid w:val="4C7A5603"/>
    <w:rsid w:val="4C8111CA"/>
    <w:rsid w:val="4C8220ED"/>
    <w:rsid w:val="4C961F41"/>
    <w:rsid w:val="4CA334F9"/>
    <w:rsid w:val="4CA86B2F"/>
    <w:rsid w:val="4CAB4709"/>
    <w:rsid w:val="4CB5597E"/>
    <w:rsid w:val="4CC153CA"/>
    <w:rsid w:val="4CCA2622"/>
    <w:rsid w:val="4CCF5635"/>
    <w:rsid w:val="4CD27DDB"/>
    <w:rsid w:val="4CD951A0"/>
    <w:rsid w:val="4CE05184"/>
    <w:rsid w:val="4CE524B9"/>
    <w:rsid w:val="4CE61651"/>
    <w:rsid w:val="4CF2752F"/>
    <w:rsid w:val="4D271487"/>
    <w:rsid w:val="4D2A7EDF"/>
    <w:rsid w:val="4D2B58BF"/>
    <w:rsid w:val="4D2E3A04"/>
    <w:rsid w:val="4D4030BE"/>
    <w:rsid w:val="4D40791C"/>
    <w:rsid w:val="4D8515C9"/>
    <w:rsid w:val="4D890E9D"/>
    <w:rsid w:val="4D8F7DD5"/>
    <w:rsid w:val="4D901638"/>
    <w:rsid w:val="4D916E14"/>
    <w:rsid w:val="4D9F6363"/>
    <w:rsid w:val="4DB90941"/>
    <w:rsid w:val="4DC22632"/>
    <w:rsid w:val="4DD80CDF"/>
    <w:rsid w:val="4DDF6B8F"/>
    <w:rsid w:val="4DF236E4"/>
    <w:rsid w:val="4DF75681"/>
    <w:rsid w:val="4DFA0703"/>
    <w:rsid w:val="4E67354A"/>
    <w:rsid w:val="4E73266B"/>
    <w:rsid w:val="4E7929BA"/>
    <w:rsid w:val="4E7B6778"/>
    <w:rsid w:val="4E991BE4"/>
    <w:rsid w:val="4EA847B3"/>
    <w:rsid w:val="4EC5306C"/>
    <w:rsid w:val="4ECE3F06"/>
    <w:rsid w:val="4ED15497"/>
    <w:rsid w:val="4ED4741A"/>
    <w:rsid w:val="4EEE643C"/>
    <w:rsid w:val="4EEF4A17"/>
    <w:rsid w:val="4EFD28C2"/>
    <w:rsid w:val="4F0D40E2"/>
    <w:rsid w:val="4F3A6603"/>
    <w:rsid w:val="4F3B2DCB"/>
    <w:rsid w:val="4F3C0C95"/>
    <w:rsid w:val="4F6009B3"/>
    <w:rsid w:val="4F7D3F49"/>
    <w:rsid w:val="4F8B50E7"/>
    <w:rsid w:val="4FB45182"/>
    <w:rsid w:val="4FB71A5D"/>
    <w:rsid w:val="4FB72C7A"/>
    <w:rsid w:val="4FC4795B"/>
    <w:rsid w:val="4FD25C82"/>
    <w:rsid w:val="4FD6135A"/>
    <w:rsid w:val="4FE00F0B"/>
    <w:rsid w:val="4FF379A4"/>
    <w:rsid w:val="4FFF16B7"/>
    <w:rsid w:val="500217A5"/>
    <w:rsid w:val="500F14D6"/>
    <w:rsid w:val="50220E8F"/>
    <w:rsid w:val="50500572"/>
    <w:rsid w:val="505C064C"/>
    <w:rsid w:val="50693ADF"/>
    <w:rsid w:val="506D5405"/>
    <w:rsid w:val="50950C9A"/>
    <w:rsid w:val="50AC4899"/>
    <w:rsid w:val="50B24934"/>
    <w:rsid w:val="50E920BD"/>
    <w:rsid w:val="50EE3B03"/>
    <w:rsid w:val="50F82A75"/>
    <w:rsid w:val="50FA3EB1"/>
    <w:rsid w:val="51053257"/>
    <w:rsid w:val="51431E42"/>
    <w:rsid w:val="5146092A"/>
    <w:rsid w:val="51634A9A"/>
    <w:rsid w:val="517073FB"/>
    <w:rsid w:val="517600F9"/>
    <w:rsid w:val="517A0EF1"/>
    <w:rsid w:val="51826FF2"/>
    <w:rsid w:val="518516ED"/>
    <w:rsid w:val="51852DBA"/>
    <w:rsid w:val="518571F6"/>
    <w:rsid w:val="518E3D0C"/>
    <w:rsid w:val="51906CB3"/>
    <w:rsid w:val="51A947E6"/>
    <w:rsid w:val="51D9122E"/>
    <w:rsid w:val="51F81EA3"/>
    <w:rsid w:val="51FB5766"/>
    <w:rsid w:val="52003972"/>
    <w:rsid w:val="52011459"/>
    <w:rsid w:val="5201513B"/>
    <w:rsid w:val="520274EA"/>
    <w:rsid w:val="52047653"/>
    <w:rsid w:val="52384E06"/>
    <w:rsid w:val="52387C4A"/>
    <w:rsid w:val="52535BCC"/>
    <w:rsid w:val="52623D08"/>
    <w:rsid w:val="52644CB0"/>
    <w:rsid w:val="52757A71"/>
    <w:rsid w:val="527C7722"/>
    <w:rsid w:val="52863AC7"/>
    <w:rsid w:val="52BF212E"/>
    <w:rsid w:val="52C21144"/>
    <w:rsid w:val="52EC5B41"/>
    <w:rsid w:val="52F6155C"/>
    <w:rsid w:val="52F9655C"/>
    <w:rsid w:val="531460EC"/>
    <w:rsid w:val="5315385C"/>
    <w:rsid w:val="531600F1"/>
    <w:rsid w:val="533162A1"/>
    <w:rsid w:val="5342491C"/>
    <w:rsid w:val="53806217"/>
    <w:rsid w:val="53A06ACE"/>
    <w:rsid w:val="53A85BF6"/>
    <w:rsid w:val="53B86A58"/>
    <w:rsid w:val="53C02053"/>
    <w:rsid w:val="53C072FC"/>
    <w:rsid w:val="53C56D73"/>
    <w:rsid w:val="53CC7CB4"/>
    <w:rsid w:val="53D233D8"/>
    <w:rsid w:val="53DD44AD"/>
    <w:rsid w:val="53E002AC"/>
    <w:rsid w:val="53E120F2"/>
    <w:rsid w:val="53FF5EFB"/>
    <w:rsid w:val="54196B64"/>
    <w:rsid w:val="54217E20"/>
    <w:rsid w:val="542875FB"/>
    <w:rsid w:val="54297BF9"/>
    <w:rsid w:val="543547EF"/>
    <w:rsid w:val="544822BD"/>
    <w:rsid w:val="54632D29"/>
    <w:rsid w:val="549E261B"/>
    <w:rsid w:val="54AF5270"/>
    <w:rsid w:val="54B1543D"/>
    <w:rsid w:val="54C27769"/>
    <w:rsid w:val="54C4350C"/>
    <w:rsid w:val="55036E2A"/>
    <w:rsid w:val="55157F87"/>
    <w:rsid w:val="5519173E"/>
    <w:rsid w:val="551D6E0E"/>
    <w:rsid w:val="55246B06"/>
    <w:rsid w:val="5534121F"/>
    <w:rsid w:val="55390B69"/>
    <w:rsid w:val="553B71F6"/>
    <w:rsid w:val="553F1E51"/>
    <w:rsid w:val="5579725C"/>
    <w:rsid w:val="557C65CC"/>
    <w:rsid w:val="55890B98"/>
    <w:rsid w:val="559F30F0"/>
    <w:rsid w:val="55A84BFE"/>
    <w:rsid w:val="55B45F63"/>
    <w:rsid w:val="55B90C0A"/>
    <w:rsid w:val="55D63591"/>
    <w:rsid w:val="55ED6C72"/>
    <w:rsid w:val="55FD7369"/>
    <w:rsid w:val="560A087F"/>
    <w:rsid w:val="56122C31"/>
    <w:rsid w:val="561974BB"/>
    <w:rsid w:val="56281E78"/>
    <w:rsid w:val="562A4387"/>
    <w:rsid w:val="56334986"/>
    <w:rsid w:val="56394FFE"/>
    <w:rsid w:val="564E2FEA"/>
    <w:rsid w:val="56520376"/>
    <w:rsid w:val="56533581"/>
    <w:rsid w:val="56556A86"/>
    <w:rsid w:val="565A2E32"/>
    <w:rsid w:val="568858B4"/>
    <w:rsid w:val="56AE6CD3"/>
    <w:rsid w:val="56CE0807"/>
    <w:rsid w:val="56CF1ADE"/>
    <w:rsid w:val="56FA2C95"/>
    <w:rsid w:val="57075BF9"/>
    <w:rsid w:val="57082B77"/>
    <w:rsid w:val="570E2351"/>
    <w:rsid w:val="57172D90"/>
    <w:rsid w:val="57260DE0"/>
    <w:rsid w:val="57313A9F"/>
    <w:rsid w:val="57386662"/>
    <w:rsid w:val="574F03D9"/>
    <w:rsid w:val="57500B92"/>
    <w:rsid w:val="575F3E73"/>
    <w:rsid w:val="576F699C"/>
    <w:rsid w:val="57850AAF"/>
    <w:rsid w:val="57900DA2"/>
    <w:rsid w:val="57923690"/>
    <w:rsid w:val="57A21B1B"/>
    <w:rsid w:val="57A60B39"/>
    <w:rsid w:val="57AD6121"/>
    <w:rsid w:val="57BC62D0"/>
    <w:rsid w:val="57C6377C"/>
    <w:rsid w:val="57DB7459"/>
    <w:rsid w:val="58185E8D"/>
    <w:rsid w:val="582020A9"/>
    <w:rsid w:val="58271974"/>
    <w:rsid w:val="58290DC5"/>
    <w:rsid w:val="583170EE"/>
    <w:rsid w:val="58366D88"/>
    <w:rsid w:val="584279F0"/>
    <w:rsid w:val="58527FC8"/>
    <w:rsid w:val="58647470"/>
    <w:rsid w:val="58723020"/>
    <w:rsid w:val="587303D7"/>
    <w:rsid w:val="58806C98"/>
    <w:rsid w:val="58961943"/>
    <w:rsid w:val="58B45DE2"/>
    <w:rsid w:val="58C67691"/>
    <w:rsid w:val="58CB0566"/>
    <w:rsid w:val="58D411FE"/>
    <w:rsid w:val="58E20B05"/>
    <w:rsid w:val="58E40C92"/>
    <w:rsid w:val="590162FC"/>
    <w:rsid w:val="590B0BE2"/>
    <w:rsid w:val="590E217B"/>
    <w:rsid w:val="59121580"/>
    <w:rsid w:val="593E4EAE"/>
    <w:rsid w:val="59695CB6"/>
    <w:rsid w:val="598C3104"/>
    <w:rsid w:val="59A41CA5"/>
    <w:rsid w:val="59A801F0"/>
    <w:rsid w:val="59B2180F"/>
    <w:rsid w:val="59B24FB1"/>
    <w:rsid w:val="59CC6F66"/>
    <w:rsid w:val="59E22D24"/>
    <w:rsid w:val="59F82FAA"/>
    <w:rsid w:val="59FA6DBB"/>
    <w:rsid w:val="5A18706C"/>
    <w:rsid w:val="5A2956B2"/>
    <w:rsid w:val="5A2F034B"/>
    <w:rsid w:val="5A334CA4"/>
    <w:rsid w:val="5A376642"/>
    <w:rsid w:val="5A3E0892"/>
    <w:rsid w:val="5A4C460E"/>
    <w:rsid w:val="5A4D497B"/>
    <w:rsid w:val="5A874A8D"/>
    <w:rsid w:val="5A8B33BB"/>
    <w:rsid w:val="5A97386D"/>
    <w:rsid w:val="5A9A2F72"/>
    <w:rsid w:val="5AB250D9"/>
    <w:rsid w:val="5AB44254"/>
    <w:rsid w:val="5AB47148"/>
    <w:rsid w:val="5AB95DB4"/>
    <w:rsid w:val="5ABA476B"/>
    <w:rsid w:val="5ABB4FF8"/>
    <w:rsid w:val="5ABC62D9"/>
    <w:rsid w:val="5AF12B77"/>
    <w:rsid w:val="5B2A3919"/>
    <w:rsid w:val="5B351435"/>
    <w:rsid w:val="5B691FD4"/>
    <w:rsid w:val="5B926846"/>
    <w:rsid w:val="5BA57414"/>
    <w:rsid w:val="5BB8544A"/>
    <w:rsid w:val="5C1C73FB"/>
    <w:rsid w:val="5C2A2C70"/>
    <w:rsid w:val="5C4952DC"/>
    <w:rsid w:val="5C51394C"/>
    <w:rsid w:val="5C72662A"/>
    <w:rsid w:val="5C960E86"/>
    <w:rsid w:val="5C9A5AE0"/>
    <w:rsid w:val="5CC15D47"/>
    <w:rsid w:val="5CCE3449"/>
    <w:rsid w:val="5CDE7166"/>
    <w:rsid w:val="5CE23177"/>
    <w:rsid w:val="5CE86B44"/>
    <w:rsid w:val="5CEE15FE"/>
    <w:rsid w:val="5CFD25D5"/>
    <w:rsid w:val="5D033BE7"/>
    <w:rsid w:val="5D2B4537"/>
    <w:rsid w:val="5D3C2E5D"/>
    <w:rsid w:val="5D5C0BDE"/>
    <w:rsid w:val="5D604509"/>
    <w:rsid w:val="5D703211"/>
    <w:rsid w:val="5D9E1D99"/>
    <w:rsid w:val="5DAD470E"/>
    <w:rsid w:val="5DC85EB7"/>
    <w:rsid w:val="5DD33B7E"/>
    <w:rsid w:val="5DE03167"/>
    <w:rsid w:val="5DFC0FC1"/>
    <w:rsid w:val="5E135FCC"/>
    <w:rsid w:val="5E45181D"/>
    <w:rsid w:val="5E47579C"/>
    <w:rsid w:val="5E50105F"/>
    <w:rsid w:val="5E870EC2"/>
    <w:rsid w:val="5E8D672F"/>
    <w:rsid w:val="5E9138DC"/>
    <w:rsid w:val="5EB56C59"/>
    <w:rsid w:val="5EC461DB"/>
    <w:rsid w:val="5EC64E6D"/>
    <w:rsid w:val="5EE44A5F"/>
    <w:rsid w:val="5EEB1665"/>
    <w:rsid w:val="5F0A4389"/>
    <w:rsid w:val="5F2A0360"/>
    <w:rsid w:val="5F3D3A6B"/>
    <w:rsid w:val="5F5E1D1B"/>
    <w:rsid w:val="5F635AAB"/>
    <w:rsid w:val="5F702B80"/>
    <w:rsid w:val="5F973A30"/>
    <w:rsid w:val="5FB223E4"/>
    <w:rsid w:val="5FB34363"/>
    <w:rsid w:val="5FC446C9"/>
    <w:rsid w:val="5FC61843"/>
    <w:rsid w:val="5FCB0E07"/>
    <w:rsid w:val="5FD62FEA"/>
    <w:rsid w:val="5FDD424F"/>
    <w:rsid w:val="5FDF6B44"/>
    <w:rsid w:val="5FF13B6D"/>
    <w:rsid w:val="5FF31011"/>
    <w:rsid w:val="5FF9505A"/>
    <w:rsid w:val="5FFE0263"/>
    <w:rsid w:val="600F52EB"/>
    <w:rsid w:val="60152B0C"/>
    <w:rsid w:val="603424E2"/>
    <w:rsid w:val="605777D0"/>
    <w:rsid w:val="605E656B"/>
    <w:rsid w:val="608655C1"/>
    <w:rsid w:val="609465DD"/>
    <w:rsid w:val="60A10BD7"/>
    <w:rsid w:val="60B915E0"/>
    <w:rsid w:val="61071A00"/>
    <w:rsid w:val="611F1BFA"/>
    <w:rsid w:val="6127216E"/>
    <w:rsid w:val="612826A2"/>
    <w:rsid w:val="61302D6A"/>
    <w:rsid w:val="614B240F"/>
    <w:rsid w:val="61767A26"/>
    <w:rsid w:val="617732D0"/>
    <w:rsid w:val="61A07A90"/>
    <w:rsid w:val="61A41EF3"/>
    <w:rsid w:val="61CF1393"/>
    <w:rsid w:val="61E80983"/>
    <w:rsid w:val="61EB70F5"/>
    <w:rsid w:val="61EF14EF"/>
    <w:rsid w:val="62132500"/>
    <w:rsid w:val="621A1EA2"/>
    <w:rsid w:val="62567799"/>
    <w:rsid w:val="625A2D1C"/>
    <w:rsid w:val="627574D8"/>
    <w:rsid w:val="62812FAA"/>
    <w:rsid w:val="62894684"/>
    <w:rsid w:val="62903706"/>
    <w:rsid w:val="629358D4"/>
    <w:rsid w:val="62AC1B8A"/>
    <w:rsid w:val="62BC587D"/>
    <w:rsid w:val="62C03E1E"/>
    <w:rsid w:val="62C13140"/>
    <w:rsid w:val="62C570C0"/>
    <w:rsid w:val="62D17FA8"/>
    <w:rsid w:val="62DD2EA7"/>
    <w:rsid w:val="62EB02B5"/>
    <w:rsid w:val="62EB04C8"/>
    <w:rsid w:val="62F77154"/>
    <w:rsid w:val="630F0EC2"/>
    <w:rsid w:val="6318550E"/>
    <w:rsid w:val="63353BCF"/>
    <w:rsid w:val="634F383A"/>
    <w:rsid w:val="63500CFE"/>
    <w:rsid w:val="637D1ECB"/>
    <w:rsid w:val="63BA052F"/>
    <w:rsid w:val="63BE0AD3"/>
    <w:rsid w:val="63F221BC"/>
    <w:rsid w:val="63F6567C"/>
    <w:rsid w:val="64032C6B"/>
    <w:rsid w:val="64087A7B"/>
    <w:rsid w:val="640B57D3"/>
    <w:rsid w:val="641A5836"/>
    <w:rsid w:val="6432180C"/>
    <w:rsid w:val="64421735"/>
    <w:rsid w:val="64452D39"/>
    <w:rsid w:val="64585427"/>
    <w:rsid w:val="645B2788"/>
    <w:rsid w:val="646F5CE5"/>
    <w:rsid w:val="6477726A"/>
    <w:rsid w:val="648D6455"/>
    <w:rsid w:val="64B72E0C"/>
    <w:rsid w:val="64B86B2D"/>
    <w:rsid w:val="64CB244A"/>
    <w:rsid w:val="64E31C9A"/>
    <w:rsid w:val="64EA4C89"/>
    <w:rsid w:val="64F32289"/>
    <w:rsid w:val="64F4303F"/>
    <w:rsid w:val="64FE0A7A"/>
    <w:rsid w:val="65036497"/>
    <w:rsid w:val="650B74EE"/>
    <w:rsid w:val="65150451"/>
    <w:rsid w:val="651C6FE9"/>
    <w:rsid w:val="651D3FC4"/>
    <w:rsid w:val="652D26C7"/>
    <w:rsid w:val="655059E1"/>
    <w:rsid w:val="65571136"/>
    <w:rsid w:val="65585F78"/>
    <w:rsid w:val="65604F99"/>
    <w:rsid w:val="65682F42"/>
    <w:rsid w:val="6584208A"/>
    <w:rsid w:val="65895139"/>
    <w:rsid w:val="65947981"/>
    <w:rsid w:val="659A1FB5"/>
    <w:rsid w:val="659A4539"/>
    <w:rsid w:val="65A652CF"/>
    <w:rsid w:val="65C32871"/>
    <w:rsid w:val="65C328EA"/>
    <w:rsid w:val="65D51FB2"/>
    <w:rsid w:val="65DA4CF7"/>
    <w:rsid w:val="65DF0CA7"/>
    <w:rsid w:val="65E24BB0"/>
    <w:rsid w:val="66014227"/>
    <w:rsid w:val="660C7630"/>
    <w:rsid w:val="660E3E13"/>
    <w:rsid w:val="661C5600"/>
    <w:rsid w:val="661C75BD"/>
    <w:rsid w:val="66206B4D"/>
    <w:rsid w:val="66405DB3"/>
    <w:rsid w:val="66530A5C"/>
    <w:rsid w:val="665836A7"/>
    <w:rsid w:val="667E108E"/>
    <w:rsid w:val="667F356D"/>
    <w:rsid w:val="66B34699"/>
    <w:rsid w:val="66C34609"/>
    <w:rsid w:val="670B6EA6"/>
    <w:rsid w:val="67187ECE"/>
    <w:rsid w:val="6727739D"/>
    <w:rsid w:val="67320624"/>
    <w:rsid w:val="673A09AE"/>
    <w:rsid w:val="673E76D0"/>
    <w:rsid w:val="67504513"/>
    <w:rsid w:val="67724BEA"/>
    <w:rsid w:val="677C68AC"/>
    <w:rsid w:val="67A16DDF"/>
    <w:rsid w:val="67AD71F1"/>
    <w:rsid w:val="67B558B7"/>
    <w:rsid w:val="67B96881"/>
    <w:rsid w:val="67D16185"/>
    <w:rsid w:val="67ED5C91"/>
    <w:rsid w:val="680A12F6"/>
    <w:rsid w:val="682928D9"/>
    <w:rsid w:val="683318FD"/>
    <w:rsid w:val="6845768F"/>
    <w:rsid w:val="68694A1F"/>
    <w:rsid w:val="68727727"/>
    <w:rsid w:val="68786E71"/>
    <w:rsid w:val="688B4389"/>
    <w:rsid w:val="68A0671B"/>
    <w:rsid w:val="68B93CC3"/>
    <w:rsid w:val="68B960C7"/>
    <w:rsid w:val="68E11F64"/>
    <w:rsid w:val="68EF0D46"/>
    <w:rsid w:val="68FE23F7"/>
    <w:rsid w:val="692C1C8F"/>
    <w:rsid w:val="69320D51"/>
    <w:rsid w:val="693370F8"/>
    <w:rsid w:val="69384D87"/>
    <w:rsid w:val="69452AD1"/>
    <w:rsid w:val="694B590C"/>
    <w:rsid w:val="694F16CF"/>
    <w:rsid w:val="69591A02"/>
    <w:rsid w:val="696848C8"/>
    <w:rsid w:val="696B2CBA"/>
    <w:rsid w:val="696F7F2A"/>
    <w:rsid w:val="69817BF8"/>
    <w:rsid w:val="698B577F"/>
    <w:rsid w:val="69972F92"/>
    <w:rsid w:val="69981827"/>
    <w:rsid w:val="69A60607"/>
    <w:rsid w:val="69B87748"/>
    <w:rsid w:val="6A426C8D"/>
    <w:rsid w:val="6A44524F"/>
    <w:rsid w:val="6A582524"/>
    <w:rsid w:val="6A68006A"/>
    <w:rsid w:val="6A6A371E"/>
    <w:rsid w:val="6A6E1944"/>
    <w:rsid w:val="6A8F1412"/>
    <w:rsid w:val="6A903551"/>
    <w:rsid w:val="6A944812"/>
    <w:rsid w:val="6A9F203B"/>
    <w:rsid w:val="6ABC5CB6"/>
    <w:rsid w:val="6AD02208"/>
    <w:rsid w:val="6ADE3F6B"/>
    <w:rsid w:val="6AED5A81"/>
    <w:rsid w:val="6AF32E2F"/>
    <w:rsid w:val="6AFF3CC9"/>
    <w:rsid w:val="6B0B793A"/>
    <w:rsid w:val="6B132234"/>
    <w:rsid w:val="6B4610E1"/>
    <w:rsid w:val="6B7B079E"/>
    <w:rsid w:val="6B7E1823"/>
    <w:rsid w:val="6BA12017"/>
    <w:rsid w:val="6BA24C08"/>
    <w:rsid w:val="6BA55399"/>
    <w:rsid w:val="6BBC293F"/>
    <w:rsid w:val="6BC97482"/>
    <w:rsid w:val="6BD9606B"/>
    <w:rsid w:val="6BDA2FAE"/>
    <w:rsid w:val="6BDE7AE6"/>
    <w:rsid w:val="6BEF1E2F"/>
    <w:rsid w:val="6BFC50BC"/>
    <w:rsid w:val="6C11344C"/>
    <w:rsid w:val="6C134FBF"/>
    <w:rsid w:val="6C380E3A"/>
    <w:rsid w:val="6C4B4758"/>
    <w:rsid w:val="6C4F06C1"/>
    <w:rsid w:val="6C576F2D"/>
    <w:rsid w:val="6C680298"/>
    <w:rsid w:val="6C6C0B71"/>
    <w:rsid w:val="6C6D5838"/>
    <w:rsid w:val="6C7B0CBE"/>
    <w:rsid w:val="6C8A5926"/>
    <w:rsid w:val="6C952553"/>
    <w:rsid w:val="6C9F051B"/>
    <w:rsid w:val="6CA51388"/>
    <w:rsid w:val="6CC22FFA"/>
    <w:rsid w:val="6CC74771"/>
    <w:rsid w:val="6CF879DA"/>
    <w:rsid w:val="6CFD0614"/>
    <w:rsid w:val="6CFE2E1D"/>
    <w:rsid w:val="6D036C13"/>
    <w:rsid w:val="6D207157"/>
    <w:rsid w:val="6D3E5422"/>
    <w:rsid w:val="6D55344D"/>
    <w:rsid w:val="6D5F6682"/>
    <w:rsid w:val="6D7B66EA"/>
    <w:rsid w:val="6D7C5122"/>
    <w:rsid w:val="6D982BCA"/>
    <w:rsid w:val="6DB51690"/>
    <w:rsid w:val="6DB876AF"/>
    <w:rsid w:val="6DCA1943"/>
    <w:rsid w:val="6DCB4E90"/>
    <w:rsid w:val="6DD416E4"/>
    <w:rsid w:val="6DDE5E7F"/>
    <w:rsid w:val="6DE555D6"/>
    <w:rsid w:val="6DED0138"/>
    <w:rsid w:val="6DF74044"/>
    <w:rsid w:val="6E005A16"/>
    <w:rsid w:val="6E090523"/>
    <w:rsid w:val="6E16168F"/>
    <w:rsid w:val="6E205FD6"/>
    <w:rsid w:val="6E2F26AE"/>
    <w:rsid w:val="6E370799"/>
    <w:rsid w:val="6E471F93"/>
    <w:rsid w:val="6E5E7234"/>
    <w:rsid w:val="6E667928"/>
    <w:rsid w:val="6E6F2871"/>
    <w:rsid w:val="6E7921E8"/>
    <w:rsid w:val="6E863EA4"/>
    <w:rsid w:val="6E871171"/>
    <w:rsid w:val="6E8941F3"/>
    <w:rsid w:val="6E8E1B2B"/>
    <w:rsid w:val="6E9F5E9B"/>
    <w:rsid w:val="6EAA17BE"/>
    <w:rsid w:val="6EB8323D"/>
    <w:rsid w:val="6EE63F17"/>
    <w:rsid w:val="6EEB3AF6"/>
    <w:rsid w:val="6EEE4ED9"/>
    <w:rsid w:val="6F222A98"/>
    <w:rsid w:val="6F523436"/>
    <w:rsid w:val="6F7166F6"/>
    <w:rsid w:val="6F933322"/>
    <w:rsid w:val="6F940239"/>
    <w:rsid w:val="6FA27D4C"/>
    <w:rsid w:val="6FB241F8"/>
    <w:rsid w:val="6FB53332"/>
    <w:rsid w:val="6FCC5990"/>
    <w:rsid w:val="6FD14EA5"/>
    <w:rsid w:val="6FD31471"/>
    <w:rsid w:val="6FDC4FC3"/>
    <w:rsid w:val="6FFB7662"/>
    <w:rsid w:val="70094ED2"/>
    <w:rsid w:val="70570FF5"/>
    <w:rsid w:val="705A7660"/>
    <w:rsid w:val="7060463A"/>
    <w:rsid w:val="708417D4"/>
    <w:rsid w:val="70894A34"/>
    <w:rsid w:val="709C1327"/>
    <w:rsid w:val="70AF0B0E"/>
    <w:rsid w:val="70CA782D"/>
    <w:rsid w:val="70EE23B6"/>
    <w:rsid w:val="71007D30"/>
    <w:rsid w:val="710A3193"/>
    <w:rsid w:val="711102D2"/>
    <w:rsid w:val="713245A2"/>
    <w:rsid w:val="713C6FC6"/>
    <w:rsid w:val="71444497"/>
    <w:rsid w:val="71535404"/>
    <w:rsid w:val="715541A6"/>
    <w:rsid w:val="71687B5B"/>
    <w:rsid w:val="717B05A6"/>
    <w:rsid w:val="71840E5C"/>
    <w:rsid w:val="7184489C"/>
    <w:rsid w:val="71902AE4"/>
    <w:rsid w:val="71A73234"/>
    <w:rsid w:val="71B06E02"/>
    <w:rsid w:val="71BF0765"/>
    <w:rsid w:val="71D71F74"/>
    <w:rsid w:val="71D912D4"/>
    <w:rsid w:val="71DB4038"/>
    <w:rsid w:val="71F20DEA"/>
    <w:rsid w:val="72080E01"/>
    <w:rsid w:val="7229032E"/>
    <w:rsid w:val="723430FA"/>
    <w:rsid w:val="72357A4A"/>
    <w:rsid w:val="725513DB"/>
    <w:rsid w:val="72953F04"/>
    <w:rsid w:val="72B27CB2"/>
    <w:rsid w:val="72BD5C84"/>
    <w:rsid w:val="72CA1C8E"/>
    <w:rsid w:val="72F62DED"/>
    <w:rsid w:val="730078FC"/>
    <w:rsid w:val="730A3E35"/>
    <w:rsid w:val="731B32C3"/>
    <w:rsid w:val="733A5DD6"/>
    <w:rsid w:val="733B309E"/>
    <w:rsid w:val="734934E2"/>
    <w:rsid w:val="73505231"/>
    <w:rsid w:val="73576CED"/>
    <w:rsid w:val="736A69E8"/>
    <w:rsid w:val="73892A07"/>
    <w:rsid w:val="738C335A"/>
    <w:rsid w:val="73CA5314"/>
    <w:rsid w:val="73D24CA1"/>
    <w:rsid w:val="73DF7FDA"/>
    <w:rsid w:val="740B7090"/>
    <w:rsid w:val="742C2582"/>
    <w:rsid w:val="74820981"/>
    <w:rsid w:val="74835319"/>
    <w:rsid w:val="74A01E17"/>
    <w:rsid w:val="74A72014"/>
    <w:rsid w:val="74BA44BB"/>
    <w:rsid w:val="74C70189"/>
    <w:rsid w:val="74C84547"/>
    <w:rsid w:val="74CE2B0B"/>
    <w:rsid w:val="74F35FA9"/>
    <w:rsid w:val="751A3921"/>
    <w:rsid w:val="751F6AD9"/>
    <w:rsid w:val="752F48B2"/>
    <w:rsid w:val="75341056"/>
    <w:rsid w:val="75506001"/>
    <w:rsid w:val="755A2348"/>
    <w:rsid w:val="755D5A0A"/>
    <w:rsid w:val="75694E17"/>
    <w:rsid w:val="756D3B06"/>
    <w:rsid w:val="75724C91"/>
    <w:rsid w:val="75752FAA"/>
    <w:rsid w:val="7587423B"/>
    <w:rsid w:val="758A609D"/>
    <w:rsid w:val="759C3C2D"/>
    <w:rsid w:val="759E1D8F"/>
    <w:rsid w:val="75A35A28"/>
    <w:rsid w:val="75B81F99"/>
    <w:rsid w:val="75C55FD3"/>
    <w:rsid w:val="75DE1737"/>
    <w:rsid w:val="75FA20BE"/>
    <w:rsid w:val="75FF7F78"/>
    <w:rsid w:val="76003BE2"/>
    <w:rsid w:val="7618178E"/>
    <w:rsid w:val="761B584F"/>
    <w:rsid w:val="76343CA5"/>
    <w:rsid w:val="763D4F16"/>
    <w:rsid w:val="764A3CD3"/>
    <w:rsid w:val="76635A18"/>
    <w:rsid w:val="766E31EC"/>
    <w:rsid w:val="76752F45"/>
    <w:rsid w:val="768704C9"/>
    <w:rsid w:val="768946F7"/>
    <w:rsid w:val="769C0E3E"/>
    <w:rsid w:val="769C6C00"/>
    <w:rsid w:val="76AF60AC"/>
    <w:rsid w:val="76B145E2"/>
    <w:rsid w:val="76BC4508"/>
    <w:rsid w:val="76F26DE2"/>
    <w:rsid w:val="770B4DD1"/>
    <w:rsid w:val="773076F2"/>
    <w:rsid w:val="7733706B"/>
    <w:rsid w:val="773A0EE5"/>
    <w:rsid w:val="77653B81"/>
    <w:rsid w:val="7769030A"/>
    <w:rsid w:val="77877C60"/>
    <w:rsid w:val="77BA0EA6"/>
    <w:rsid w:val="77C2448A"/>
    <w:rsid w:val="77C556C0"/>
    <w:rsid w:val="77C822DD"/>
    <w:rsid w:val="7807075C"/>
    <w:rsid w:val="781836F9"/>
    <w:rsid w:val="782563B0"/>
    <w:rsid w:val="78374B57"/>
    <w:rsid w:val="784126A6"/>
    <w:rsid w:val="784A3CD3"/>
    <w:rsid w:val="78615480"/>
    <w:rsid w:val="78812164"/>
    <w:rsid w:val="788C2661"/>
    <w:rsid w:val="78A703AF"/>
    <w:rsid w:val="78AC1E9F"/>
    <w:rsid w:val="78B76EA7"/>
    <w:rsid w:val="78FC3F71"/>
    <w:rsid w:val="79063F3E"/>
    <w:rsid w:val="790A172B"/>
    <w:rsid w:val="792E189B"/>
    <w:rsid w:val="79493484"/>
    <w:rsid w:val="795D308D"/>
    <w:rsid w:val="79673400"/>
    <w:rsid w:val="79676DE2"/>
    <w:rsid w:val="796850A8"/>
    <w:rsid w:val="7977219F"/>
    <w:rsid w:val="7978273D"/>
    <w:rsid w:val="79AC79FB"/>
    <w:rsid w:val="79AD1192"/>
    <w:rsid w:val="79DA518F"/>
    <w:rsid w:val="79DB1DF5"/>
    <w:rsid w:val="79FE700A"/>
    <w:rsid w:val="7A02599B"/>
    <w:rsid w:val="7A1547FF"/>
    <w:rsid w:val="7A481EBA"/>
    <w:rsid w:val="7A5507C4"/>
    <w:rsid w:val="7A643CD7"/>
    <w:rsid w:val="7A652B57"/>
    <w:rsid w:val="7A8B1C79"/>
    <w:rsid w:val="7A9F1116"/>
    <w:rsid w:val="7AB42307"/>
    <w:rsid w:val="7ACD1F36"/>
    <w:rsid w:val="7AD62AFA"/>
    <w:rsid w:val="7AFA5C24"/>
    <w:rsid w:val="7B097BDE"/>
    <w:rsid w:val="7B123EC9"/>
    <w:rsid w:val="7B2037E2"/>
    <w:rsid w:val="7B376C34"/>
    <w:rsid w:val="7B3A0A78"/>
    <w:rsid w:val="7B484A08"/>
    <w:rsid w:val="7B614722"/>
    <w:rsid w:val="7B675BAF"/>
    <w:rsid w:val="7B6C2665"/>
    <w:rsid w:val="7B935302"/>
    <w:rsid w:val="7BA65D51"/>
    <w:rsid w:val="7BBF53C8"/>
    <w:rsid w:val="7BC37918"/>
    <w:rsid w:val="7BC44B32"/>
    <w:rsid w:val="7BC90C1C"/>
    <w:rsid w:val="7BD16478"/>
    <w:rsid w:val="7BDD0E17"/>
    <w:rsid w:val="7BDE611C"/>
    <w:rsid w:val="7BE85E4B"/>
    <w:rsid w:val="7C021D23"/>
    <w:rsid w:val="7C0750B2"/>
    <w:rsid w:val="7C0C4CCC"/>
    <w:rsid w:val="7C15390B"/>
    <w:rsid w:val="7C1B3232"/>
    <w:rsid w:val="7C4F2764"/>
    <w:rsid w:val="7C602641"/>
    <w:rsid w:val="7C80182D"/>
    <w:rsid w:val="7C816210"/>
    <w:rsid w:val="7CB138FF"/>
    <w:rsid w:val="7CB336CB"/>
    <w:rsid w:val="7CC24DA0"/>
    <w:rsid w:val="7CD347C3"/>
    <w:rsid w:val="7CDC699E"/>
    <w:rsid w:val="7D1563E6"/>
    <w:rsid w:val="7D3E0B18"/>
    <w:rsid w:val="7D3E70D3"/>
    <w:rsid w:val="7D4F6073"/>
    <w:rsid w:val="7D5C3EB4"/>
    <w:rsid w:val="7D5F0804"/>
    <w:rsid w:val="7D663E6F"/>
    <w:rsid w:val="7D71615B"/>
    <w:rsid w:val="7D912F29"/>
    <w:rsid w:val="7DA54F3A"/>
    <w:rsid w:val="7DB14677"/>
    <w:rsid w:val="7DBD0F25"/>
    <w:rsid w:val="7DC5730E"/>
    <w:rsid w:val="7DCA57F6"/>
    <w:rsid w:val="7DD64891"/>
    <w:rsid w:val="7DD73BA6"/>
    <w:rsid w:val="7DD74E45"/>
    <w:rsid w:val="7DFC1D56"/>
    <w:rsid w:val="7E1C6248"/>
    <w:rsid w:val="7E2B5B66"/>
    <w:rsid w:val="7E3D6F9A"/>
    <w:rsid w:val="7E4D14B0"/>
    <w:rsid w:val="7E5514BB"/>
    <w:rsid w:val="7E5E1B1E"/>
    <w:rsid w:val="7E6D0A27"/>
    <w:rsid w:val="7E704832"/>
    <w:rsid w:val="7E761F9C"/>
    <w:rsid w:val="7E800C15"/>
    <w:rsid w:val="7E853073"/>
    <w:rsid w:val="7E892F73"/>
    <w:rsid w:val="7E8F2119"/>
    <w:rsid w:val="7E953617"/>
    <w:rsid w:val="7ED634A8"/>
    <w:rsid w:val="7EE439ED"/>
    <w:rsid w:val="7EF1686D"/>
    <w:rsid w:val="7EFC1C0D"/>
    <w:rsid w:val="7F0A4EC1"/>
    <w:rsid w:val="7F171A2C"/>
    <w:rsid w:val="7F2A7F3B"/>
    <w:rsid w:val="7F3E07EB"/>
    <w:rsid w:val="7F593177"/>
    <w:rsid w:val="7F96147F"/>
    <w:rsid w:val="7F9711EC"/>
    <w:rsid w:val="7F9814CA"/>
    <w:rsid w:val="7FB004FC"/>
    <w:rsid w:val="7FB53AF5"/>
    <w:rsid w:val="7FE173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99"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2"/>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3"/>
    <w:autoRedefine/>
    <w:qFormat/>
    <w:uiPriority w:val="0"/>
    <w:pPr>
      <w:keepNext/>
      <w:keepLines/>
      <w:spacing w:before="260" w:after="260" w:line="412" w:lineRule="auto"/>
      <w:outlineLvl w:val="1"/>
    </w:pPr>
    <w:rPr>
      <w:rFonts w:ascii="Arial" w:hAnsi="Arial" w:eastAsia="??"/>
      <w:b/>
      <w:sz w:val="32"/>
      <w:szCs w:val="28"/>
    </w:rPr>
  </w:style>
  <w:style w:type="paragraph" w:styleId="4">
    <w:name w:val="heading 3"/>
    <w:basedOn w:val="1"/>
    <w:next w:val="1"/>
    <w:autoRedefine/>
    <w:qFormat/>
    <w:uiPriority w:val="0"/>
    <w:pPr>
      <w:keepNext/>
      <w:keepLines/>
      <w:autoSpaceDE w:val="0"/>
      <w:autoSpaceDN w:val="0"/>
      <w:adjustRightInd w:val="0"/>
      <w:spacing w:before="360" w:after="120"/>
      <w:jc w:val="left"/>
      <w:outlineLvl w:val="2"/>
    </w:pPr>
    <w:rPr>
      <w:rFonts w:ascii="宋体" w:hAnsi="Tahoma"/>
      <w:b/>
      <w:kern w:val="0"/>
      <w:sz w:val="24"/>
      <w:u w:val="single"/>
    </w:rPr>
  </w:style>
  <w:style w:type="paragraph" w:styleId="5">
    <w:name w:val="heading 4"/>
    <w:basedOn w:val="1"/>
    <w:next w:val="1"/>
    <w:autoRedefine/>
    <w:unhideWhenUsed/>
    <w:qFormat/>
    <w:uiPriority w:val="9"/>
    <w:pPr>
      <w:keepNext/>
      <w:keepLines/>
      <w:numPr>
        <w:ilvl w:val="3"/>
        <w:numId w:val="1"/>
      </w:numPr>
      <w:spacing w:before="280" w:after="290" w:line="480" w:lineRule="auto"/>
      <w:outlineLvl w:val="3"/>
    </w:pPr>
    <w:rPr>
      <w:b/>
      <w:sz w:val="30"/>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6">
    <w:name w:val="List Number"/>
    <w:basedOn w:val="1"/>
    <w:autoRedefine/>
    <w:qFormat/>
    <w:uiPriority w:val="0"/>
    <w:pPr>
      <w:widowControl/>
      <w:tabs>
        <w:tab w:val="left" w:pos="360"/>
        <w:tab w:val="left" w:pos="454"/>
        <w:tab w:val="left" w:pos="720"/>
      </w:tabs>
      <w:spacing w:after="156" w:afterLines="50"/>
      <w:ind w:left="454" w:hanging="284"/>
      <w:jc w:val="left"/>
    </w:pPr>
    <w:rPr>
      <w:kern w:val="0"/>
      <w:sz w:val="24"/>
    </w:rPr>
  </w:style>
  <w:style w:type="paragraph" w:styleId="7">
    <w:name w:val="Normal Indent"/>
    <w:basedOn w:val="1"/>
    <w:next w:val="1"/>
    <w:autoRedefine/>
    <w:qFormat/>
    <w:uiPriority w:val="0"/>
    <w:pPr>
      <w:spacing w:line="300" w:lineRule="auto"/>
      <w:ind w:firstLine="420"/>
    </w:pPr>
  </w:style>
  <w:style w:type="paragraph" w:styleId="8">
    <w:name w:val="annotation text"/>
    <w:basedOn w:val="1"/>
    <w:link w:val="44"/>
    <w:autoRedefine/>
    <w:qFormat/>
    <w:uiPriority w:val="0"/>
    <w:pPr>
      <w:jc w:val="left"/>
    </w:pPr>
    <w:rPr>
      <w:szCs w:val="24"/>
    </w:rPr>
  </w:style>
  <w:style w:type="paragraph" w:styleId="9">
    <w:name w:val="Body Text"/>
    <w:basedOn w:val="1"/>
    <w:next w:val="10"/>
    <w:link w:val="37"/>
    <w:autoRedefine/>
    <w:qFormat/>
    <w:uiPriority w:val="0"/>
    <w:pPr>
      <w:spacing w:after="120"/>
    </w:pPr>
    <w:rPr>
      <w:rFonts w:eastAsia="??"/>
      <w:sz w:val="28"/>
      <w:szCs w:val="28"/>
    </w:rPr>
  </w:style>
  <w:style w:type="paragraph" w:styleId="10">
    <w:name w:val="Body Text First Indent"/>
    <w:basedOn w:val="9"/>
    <w:next w:val="11"/>
    <w:autoRedefine/>
    <w:qFormat/>
    <w:uiPriority w:val="0"/>
    <w:pPr>
      <w:ind w:firstLine="420" w:firstLineChars="100"/>
    </w:pPr>
    <w:rPr>
      <w:szCs w:val="24"/>
    </w:rPr>
  </w:style>
  <w:style w:type="paragraph" w:styleId="11">
    <w:name w:val="toc 6"/>
    <w:basedOn w:val="1"/>
    <w:next w:val="1"/>
    <w:autoRedefine/>
    <w:qFormat/>
    <w:uiPriority w:val="0"/>
    <w:pPr>
      <w:ind w:left="1000" w:leftChars="1000"/>
    </w:pPr>
  </w:style>
  <w:style w:type="paragraph" w:styleId="12">
    <w:name w:val="Body Text Indent"/>
    <w:basedOn w:val="1"/>
    <w:next w:val="7"/>
    <w:link w:val="40"/>
    <w:autoRedefine/>
    <w:qFormat/>
    <w:uiPriority w:val="0"/>
    <w:pPr>
      <w:spacing w:after="120"/>
      <w:ind w:left="420" w:leftChars="200"/>
    </w:pPr>
  </w:style>
  <w:style w:type="paragraph" w:styleId="13">
    <w:name w:val="Block Text"/>
    <w:basedOn w:val="1"/>
    <w:autoRedefine/>
    <w:qFormat/>
    <w:uiPriority w:val="0"/>
    <w:pPr>
      <w:adjustRightInd w:val="0"/>
      <w:spacing w:line="300" w:lineRule="auto"/>
      <w:ind w:left="958" w:right="-120" w:rightChars="-120"/>
      <w:jc w:val="left"/>
    </w:pPr>
    <w:rPr>
      <w:rFonts w:ascii="宋体" w:hAnsi="宋体"/>
      <w:sz w:val="28"/>
    </w:rPr>
  </w:style>
  <w:style w:type="paragraph" w:styleId="14">
    <w:name w:val="Plain Text"/>
    <w:basedOn w:val="1"/>
    <w:link w:val="45"/>
    <w:autoRedefine/>
    <w:qFormat/>
    <w:uiPriority w:val="0"/>
    <w:rPr>
      <w:rFonts w:ascii="宋体" w:hAnsi="Courier New" w:eastAsia="仿宋_GB2312"/>
      <w:sz w:val="30"/>
    </w:rPr>
  </w:style>
  <w:style w:type="paragraph" w:styleId="15">
    <w:name w:val="Body Text Indent 2"/>
    <w:basedOn w:val="1"/>
    <w:link w:val="46"/>
    <w:autoRedefine/>
    <w:qFormat/>
    <w:uiPriority w:val="0"/>
    <w:pPr>
      <w:spacing w:line="500" w:lineRule="exact"/>
      <w:ind w:left="105" w:firstLine="465" w:firstLineChars="166"/>
    </w:pPr>
    <w:rPr>
      <w:sz w:val="28"/>
    </w:rPr>
  </w:style>
  <w:style w:type="paragraph" w:styleId="16">
    <w:name w:val="Balloon Text"/>
    <w:basedOn w:val="1"/>
    <w:link w:val="47"/>
    <w:autoRedefine/>
    <w:qFormat/>
    <w:uiPriority w:val="0"/>
    <w:rPr>
      <w:sz w:val="18"/>
      <w:szCs w:val="18"/>
    </w:rPr>
  </w:style>
  <w:style w:type="paragraph" w:styleId="17">
    <w:name w:val="footer"/>
    <w:basedOn w:val="1"/>
    <w:next w:val="18"/>
    <w:link w:val="48"/>
    <w:autoRedefine/>
    <w:qFormat/>
    <w:uiPriority w:val="0"/>
    <w:pPr>
      <w:tabs>
        <w:tab w:val="center" w:pos="4153"/>
        <w:tab w:val="right" w:pos="8306"/>
      </w:tabs>
      <w:snapToGrid w:val="0"/>
      <w:jc w:val="left"/>
    </w:pPr>
    <w:rPr>
      <w:sz w:val="18"/>
      <w:szCs w:val="18"/>
    </w:rPr>
  </w:style>
  <w:style w:type="paragraph" w:styleId="18">
    <w:name w:val="toc 2"/>
    <w:basedOn w:val="1"/>
    <w:next w:val="1"/>
    <w:autoRedefine/>
    <w:qFormat/>
    <w:uiPriority w:val="0"/>
    <w:pPr>
      <w:tabs>
        <w:tab w:val="right" w:leader="middleDot" w:pos="8948"/>
      </w:tabs>
      <w:spacing w:before="60" w:after="60"/>
      <w:ind w:left="210"/>
    </w:pPr>
    <w:rPr>
      <w:smallCaps/>
    </w:rPr>
  </w:style>
  <w:style w:type="paragraph" w:styleId="19">
    <w:name w:val="header"/>
    <w:basedOn w:val="1"/>
    <w:link w:val="49"/>
    <w:autoRedefine/>
    <w:qFormat/>
    <w:uiPriority w:val="0"/>
    <w:pPr>
      <w:pBdr>
        <w:bottom w:val="single" w:color="auto" w:sz="6" w:space="1"/>
      </w:pBdr>
      <w:tabs>
        <w:tab w:val="center" w:pos="4153"/>
        <w:tab w:val="right" w:pos="8306"/>
      </w:tabs>
      <w:snapToGrid w:val="0"/>
      <w:jc w:val="center"/>
    </w:pPr>
    <w:rPr>
      <w:sz w:val="18"/>
      <w:szCs w:val="18"/>
    </w:rPr>
  </w:style>
  <w:style w:type="paragraph" w:styleId="20">
    <w:name w:val="List"/>
    <w:basedOn w:val="1"/>
    <w:autoRedefine/>
    <w:qFormat/>
    <w:uiPriority w:val="0"/>
    <w:pPr>
      <w:ind w:left="200" w:hanging="200" w:hangingChars="200"/>
    </w:pPr>
  </w:style>
  <w:style w:type="paragraph" w:styleId="21">
    <w:name w:val="Body Text Indent 3"/>
    <w:basedOn w:val="1"/>
    <w:link w:val="50"/>
    <w:autoRedefine/>
    <w:qFormat/>
    <w:uiPriority w:val="0"/>
    <w:pPr>
      <w:spacing w:after="120"/>
      <w:ind w:left="420" w:leftChars="200"/>
    </w:pPr>
    <w:rPr>
      <w:sz w:val="16"/>
      <w:szCs w:val="16"/>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23">
    <w:name w:val="Title"/>
    <w:basedOn w:val="1"/>
    <w:link w:val="51"/>
    <w:autoRedefine/>
    <w:qFormat/>
    <w:uiPriority w:val="0"/>
    <w:pPr>
      <w:jc w:val="center"/>
    </w:pPr>
    <w:rPr>
      <w:rFonts w:ascii="Calibri" w:hAnsi="Calibri"/>
      <w:sz w:val="30"/>
      <w:szCs w:val="30"/>
    </w:rPr>
  </w:style>
  <w:style w:type="paragraph" w:styleId="24">
    <w:name w:val="annotation subject"/>
    <w:basedOn w:val="8"/>
    <w:next w:val="8"/>
    <w:link w:val="52"/>
    <w:autoRedefine/>
    <w:qFormat/>
    <w:uiPriority w:val="0"/>
    <w:rPr>
      <w:b/>
      <w:bCs/>
    </w:rPr>
  </w:style>
  <w:style w:type="paragraph" w:styleId="25">
    <w:name w:val="Body Text First Indent 2"/>
    <w:basedOn w:val="12"/>
    <w:next w:val="9"/>
    <w:link w:val="41"/>
    <w:autoRedefine/>
    <w:qFormat/>
    <w:uiPriority w:val="0"/>
    <w:pPr>
      <w:ind w:firstLine="420" w:firstLineChars="200"/>
    </w:p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autoRedefine/>
    <w:qFormat/>
    <w:uiPriority w:val="22"/>
    <w:rPr>
      <w:rFonts w:ascii="Times New Roman" w:hAnsi="Times New Roman" w:eastAsia="宋体" w:cs="Times New Roman"/>
      <w:b/>
      <w:bCs/>
    </w:rPr>
  </w:style>
  <w:style w:type="character" w:styleId="30">
    <w:name w:val="page number"/>
    <w:autoRedefine/>
    <w:qFormat/>
    <w:uiPriority w:val="0"/>
    <w:rPr>
      <w:rFonts w:ascii="Times New Roman" w:hAnsi="Times New Roman" w:eastAsia="宋体" w:cs="Times New Roman"/>
    </w:rPr>
  </w:style>
  <w:style w:type="character" w:styleId="31">
    <w:name w:val="Hyperlink"/>
    <w:autoRedefine/>
    <w:qFormat/>
    <w:uiPriority w:val="0"/>
    <w:rPr>
      <w:rFonts w:ascii="Times New Roman" w:hAnsi="Times New Roman" w:eastAsia="宋体" w:cs="Times New Roman"/>
      <w:color w:val="0000FF"/>
      <w:u w:val="single"/>
    </w:rPr>
  </w:style>
  <w:style w:type="character" w:styleId="32">
    <w:name w:val="annotation reference"/>
    <w:autoRedefine/>
    <w:qFormat/>
    <w:uiPriority w:val="0"/>
    <w:rPr>
      <w:rFonts w:ascii="Times New Roman" w:hAnsi="Times New Roman" w:eastAsia="宋体" w:cs="Times New Roman"/>
      <w:sz w:val="21"/>
      <w:szCs w:val="21"/>
    </w:rPr>
  </w:style>
  <w:style w:type="character" w:styleId="33">
    <w:name w:val="HTML Sample"/>
    <w:autoRedefine/>
    <w:qFormat/>
    <w:uiPriority w:val="99"/>
    <w:rPr>
      <w:rFonts w:ascii="Courier New" w:hAnsi="Courier New" w:eastAsia="宋体" w:cs="Times New Roman"/>
    </w:rPr>
  </w:style>
  <w:style w:type="paragraph" w:customStyle="1" w:styleId="34">
    <w:name w:val="表格文字"/>
    <w:basedOn w:val="14"/>
    <w:next w:val="9"/>
    <w:autoRedefine/>
    <w:qFormat/>
    <w:uiPriority w:val="0"/>
    <w:pPr>
      <w:adjustRightInd w:val="0"/>
      <w:spacing w:line="420" w:lineRule="atLeast"/>
      <w:textAlignment w:val="baseline"/>
    </w:pPr>
    <w:rPr>
      <w:rFonts w:ascii="Calibri" w:hAnsi="Calibri" w:eastAsia="宋体"/>
      <w:sz w:val="28"/>
    </w:rPr>
  </w:style>
  <w:style w:type="paragraph" w:customStyle="1" w:styleId="35">
    <w:name w:val="样式 正文文本缩进 + 首行缩进:  2 字符 行距: 1.5 倍行距"/>
    <w:basedOn w:val="12"/>
    <w:autoRedefine/>
    <w:qFormat/>
    <w:uiPriority w:val="0"/>
    <w:pPr>
      <w:spacing w:before="156" w:line="360" w:lineRule="auto"/>
      <w:ind w:left="0" w:leftChars="0" w:firstLine="482"/>
    </w:pPr>
    <w:rPr>
      <w:rFonts w:eastAsia="仿宋" w:cs="宋体"/>
      <w:b/>
      <w:sz w:val="20"/>
    </w:rPr>
  </w:style>
  <w:style w:type="paragraph" w:customStyle="1" w:styleId="36">
    <w:name w:val="_Style 3"/>
    <w:basedOn w:val="1"/>
    <w:autoRedefine/>
    <w:qFormat/>
    <w:uiPriority w:val="0"/>
    <w:pPr>
      <w:widowControl/>
      <w:spacing w:after="200" w:line="276" w:lineRule="auto"/>
      <w:ind w:left="720"/>
      <w:contextualSpacing/>
      <w:jc w:val="left"/>
    </w:pPr>
    <w:rPr>
      <w:rFonts w:ascii="Calibri" w:hAnsi="Calibri"/>
      <w:kern w:val="0"/>
      <w:sz w:val="22"/>
      <w:szCs w:val="22"/>
    </w:rPr>
  </w:style>
  <w:style w:type="character" w:customStyle="1" w:styleId="37">
    <w:name w:val="正文文本 字符"/>
    <w:link w:val="9"/>
    <w:autoRedefine/>
    <w:qFormat/>
    <w:uiPriority w:val="0"/>
    <w:rPr>
      <w:rFonts w:ascii="Times New Roman" w:hAnsi="Times New Roman" w:eastAsia="??" w:cs="Times New Roman"/>
      <w:kern w:val="2"/>
      <w:sz w:val="28"/>
      <w:szCs w:val="28"/>
      <w:lang w:val="en-US" w:eastAsia="zh-CN" w:bidi="ar-SA"/>
    </w:rPr>
  </w:style>
  <w:style w:type="paragraph" w:customStyle="1" w:styleId="38">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9">
    <w:name w:val="正文1"/>
    <w:basedOn w:val="1"/>
    <w:next w:val="1"/>
    <w:autoRedefine/>
    <w:qFormat/>
    <w:uiPriority w:val="0"/>
    <w:pPr>
      <w:adjustRightInd w:val="0"/>
      <w:spacing w:line="318" w:lineRule="atLeast"/>
      <w:ind w:left="369" w:firstLine="369"/>
      <w:textAlignment w:val="baseline"/>
    </w:pPr>
    <w:rPr>
      <w:rFonts w:ascii="宋体"/>
    </w:rPr>
  </w:style>
  <w:style w:type="character" w:customStyle="1" w:styleId="40">
    <w:name w:val="正文文本缩进 字符"/>
    <w:link w:val="12"/>
    <w:autoRedefine/>
    <w:qFormat/>
    <w:uiPriority w:val="0"/>
    <w:rPr>
      <w:rFonts w:ascii="Times New Roman" w:hAnsi="Times New Roman" w:eastAsia="宋体" w:cs="Times New Roman"/>
      <w:kern w:val="2"/>
      <w:sz w:val="21"/>
    </w:rPr>
  </w:style>
  <w:style w:type="character" w:customStyle="1" w:styleId="41">
    <w:name w:val="正文文本首行缩进 2 字符"/>
    <w:link w:val="25"/>
    <w:autoRedefine/>
    <w:qFormat/>
    <w:uiPriority w:val="0"/>
    <w:rPr>
      <w:rFonts w:ascii="Times New Roman" w:hAnsi="Times New Roman" w:eastAsia="宋体" w:cs="Times New Roman"/>
    </w:rPr>
  </w:style>
  <w:style w:type="character" w:customStyle="1" w:styleId="42">
    <w:name w:val="标题 1 字符"/>
    <w:link w:val="2"/>
    <w:autoRedefine/>
    <w:qFormat/>
    <w:uiPriority w:val="0"/>
    <w:rPr>
      <w:rFonts w:ascii="Times New Roman" w:hAnsi="Times New Roman" w:eastAsia="宋体" w:cs="Times New Roman"/>
      <w:b/>
      <w:bCs/>
      <w:kern w:val="44"/>
      <w:sz w:val="44"/>
      <w:szCs w:val="44"/>
    </w:rPr>
  </w:style>
  <w:style w:type="character" w:customStyle="1" w:styleId="43">
    <w:name w:val="标题 2 字符"/>
    <w:link w:val="3"/>
    <w:autoRedefine/>
    <w:qFormat/>
    <w:uiPriority w:val="0"/>
    <w:rPr>
      <w:rFonts w:ascii="Arial" w:hAnsi="Arial" w:eastAsia="??" w:cs="Times New Roman"/>
      <w:b/>
      <w:kern w:val="2"/>
      <w:sz w:val="32"/>
      <w:szCs w:val="28"/>
      <w:lang w:val="en-US" w:eastAsia="zh-CN" w:bidi="ar-SA"/>
    </w:rPr>
  </w:style>
  <w:style w:type="character" w:customStyle="1" w:styleId="44">
    <w:name w:val="批注文字 字符"/>
    <w:link w:val="8"/>
    <w:autoRedefine/>
    <w:qFormat/>
    <w:uiPriority w:val="0"/>
    <w:rPr>
      <w:rFonts w:ascii="Times New Roman" w:hAnsi="Times New Roman" w:eastAsia="宋体" w:cs="Times New Roman"/>
      <w:kern w:val="2"/>
      <w:sz w:val="21"/>
      <w:szCs w:val="24"/>
    </w:rPr>
  </w:style>
  <w:style w:type="character" w:customStyle="1" w:styleId="45">
    <w:name w:val="纯文本 字符"/>
    <w:link w:val="14"/>
    <w:autoRedefine/>
    <w:qFormat/>
    <w:uiPriority w:val="0"/>
    <w:rPr>
      <w:rFonts w:ascii="宋体" w:hAnsi="Courier New" w:eastAsia="仿宋_GB2312" w:cs="Times New Roman"/>
      <w:kern w:val="2"/>
      <w:sz w:val="30"/>
      <w:lang w:val="en-US" w:eastAsia="zh-CN" w:bidi="ar-SA"/>
    </w:rPr>
  </w:style>
  <w:style w:type="character" w:customStyle="1" w:styleId="46">
    <w:name w:val="正文文本缩进 2 字符"/>
    <w:link w:val="15"/>
    <w:autoRedefine/>
    <w:qFormat/>
    <w:uiPriority w:val="0"/>
    <w:rPr>
      <w:rFonts w:ascii="Times New Roman" w:hAnsi="Times New Roman" w:eastAsia="宋体" w:cs="Times New Roman"/>
      <w:kern w:val="2"/>
      <w:sz w:val="28"/>
    </w:rPr>
  </w:style>
  <w:style w:type="character" w:customStyle="1" w:styleId="47">
    <w:name w:val="批注框文本 字符"/>
    <w:link w:val="16"/>
    <w:autoRedefine/>
    <w:qFormat/>
    <w:uiPriority w:val="0"/>
    <w:rPr>
      <w:rFonts w:ascii="Times New Roman" w:hAnsi="Times New Roman" w:eastAsia="宋体" w:cs="Times New Roman"/>
      <w:kern w:val="2"/>
      <w:sz w:val="18"/>
      <w:szCs w:val="18"/>
    </w:rPr>
  </w:style>
  <w:style w:type="character" w:customStyle="1" w:styleId="48">
    <w:name w:val="页脚 字符"/>
    <w:link w:val="17"/>
    <w:autoRedefine/>
    <w:qFormat/>
    <w:uiPriority w:val="0"/>
    <w:rPr>
      <w:rFonts w:ascii="Times New Roman" w:hAnsi="Times New Roman" w:eastAsia="宋体" w:cs="Times New Roman"/>
      <w:kern w:val="2"/>
      <w:sz w:val="18"/>
      <w:szCs w:val="18"/>
    </w:rPr>
  </w:style>
  <w:style w:type="character" w:customStyle="1" w:styleId="49">
    <w:name w:val="页眉 字符"/>
    <w:link w:val="19"/>
    <w:autoRedefine/>
    <w:qFormat/>
    <w:uiPriority w:val="0"/>
    <w:rPr>
      <w:rFonts w:ascii="Times New Roman" w:hAnsi="Times New Roman" w:eastAsia="宋体" w:cs="Times New Roman"/>
      <w:kern w:val="2"/>
      <w:sz w:val="18"/>
      <w:szCs w:val="18"/>
    </w:rPr>
  </w:style>
  <w:style w:type="character" w:customStyle="1" w:styleId="50">
    <w:name w:val="正文文本缩进 3 字符"/>
    <w:link w:val="21"/>
    <w:autoRedefine/>
    <w:qFormat/>
    <w:uiPriority w:val="0"/>
    <w:rPr>
      <w:rFonts w:ascii="Times New Roman" w:hAnsi="Times New Roman" w:eastAsia="宋体" w:cs="Times New Roman"/>
      <w:kern w:val="2"/>
      <w:sz w:val="16"/>
      <w:szCs w:val="16"/>
    </w:rPr>
  </w:style>
  <w:style w:type="character" w:customStyle="1" w:styleId="51">
    <w:name w:val="标题 字符"/>
    <w:link w:val="23"/>
    <w:autoRedefine/>
    <w:qFormat/>
    <w:uiPriority w:val="0"/>
    <w:rPr>
      <w:rFonts w:ascii="Calibri" w:hAnsi="Calibri" w:eastAsia="宋体" w:cs="Times New Roman"/>
      <w:kern w:val="2"/>
      <w:sz w:val="30"/>
      <w:szCs w:val="30"/>
    </w:rPr>
  </w:style>
  <w:style w:type="character" w:customStyle="1" w:styleId="52">
    <w:name w:val="批注主题 字符"/>
    <w:link w:val="24"/>
    <w:autoRedefine/>
    <w:qFormat/>
    <w:uiPriority w:val="0"/>
    <w:rPr>
      <w:rFonts w:ascii="Times New Roman" w:hAnsi="Times New Roman" w:eastAsia="宋体" w:cs="Times New Roman"/>
      <w:b/>
      <w:bCs/>
      <w:kern w:val="2"/>
      <w:sz w:val="21"/>
      <w:szCs w:val="24"/>
    </w:rPr>
  </w:style>
  <w:style w:type="paragraph" w:customStyle="1" w:styleId="53">
    <w:name w:val="正文首行缩进 21"/>
    <w:basedOn w:val="54"/>
    <w:autoRedefine/>
    <w:qFormat/>
    <w:uiPriority w:val="0"/>
    <w:pPr>
      <w:ind w:firstLine="420"/>
    </w:pPr>
    <w:rPr>
      <w:rFonts w:ascii="Times New Roman" w:eastAsia="宋体"/>
    </w:rPr>
  </w:style>
  <w:style w:type="paragraph" w:customStyle="1" w:styleId="54">
    <w:name w:val="正文文本缩进1"/>
    <w:basedOn w:val="1"/>
    <w:autoRedefine/>
    <w:qFormat/>
    <w:uiPriority w:val="0"/>
    <w:pPr>
      <w:ind w:firstLine="200"/>
    </w:pPr>
    <w:rPr>
      <w:rFonts w:ascii="仿宋_GB2312" w:eastAsia="仿宋_GB2312"/>
      <w:sz w:val="32"/>
    </w:rPr>
  </w:style>
  <w:style w:type="paragraph" w:customStyle="1" w:styleId="55">
    <w:name w:val="Default Text"/>
    <w:basedOn w:val="1"/>
    <w:autoRedefine/>
    <w:qFormat/>
    <w:uiPriority w:val="0"/>
    <w:pPr>
      <w:widowControl/>
      <w:overflowPunct w:val="0"/>
      <w:autoSpaceDE w:val="0"/>
      <w:autoSpaceDN w:val="0"/>
      <w:adjustRightInd w:val="0"/>
      <w:jc w:val="left"/>
      <w:textAlignment w:val="baseline"/>
    </w:pPr>
    <w:rPr>
      <w:kern w:val="0"/>
      <w:sz w:val="24"/>
    </w:rPr>
  </w:style>
  <w:style w:type="paragraph" w:customStyle="1" w:styleId="56">
    <w:name w:val="无间隔1"/>
    <w:autoRedefine/>
    <w:qFormat/>
    <w:uiPriority w:val="0"/>
    <w:pPr>
      <w:widowControl w:val="0"/>
      <w:jc w:val="both"/>
    </w:pPr>
    <w:rPr>
      <w:rFonts w:ascii="Times New Roman" w:hAnsi="Times New Roman" w:eastAsia="Times New Roman" w:cs="Calibri"/>
      <w:kern w:val="2"/>
      <w:sz w:val="21"/>
      <w:szCs w:val="22"/>
      <w:lang w:val="en-US" w:eastAsia="zh-CN" w:bidi="ar-SA"/>
    </w:rPr>
  </w:style>
  <w:style w:type="character" w:customStyle="1" w:styleId="57">
    <w:name w:val="apple-style-span"/>
    <w:autoRedefine/>
    <w:qFormat/>
    <w:uiPriority w:val="0"/>
    <w:rPr>
      <w:rFonts w:ascii="Tahoma" w:hAnsi="Tahoma" w:eastAsia="宋体" w:cs="Times New Roman"/>
      <w:sz w:val="24"/>
      <w:szCs w:val="20"/>
    </w:rPr>
  </w:style>
  <w:style w:type="character" w:customStyle="1" w:styleId="58">
    <w:name w:val="font51"/>
    <w:autoRedefine/>
    <w:qFormat/>
    <w:uiPriority w:val="0"/>
    <w:rPr>
      <w:rFonts w:hint="eastAsia" w:ascii="宋体" w:hAnsi="宋体" w:eastAsia="宋体" w:cs="宋体"/>
      <w:color w:val="000000"/>
      <w:sz w:val="22"/>
      <w:szCs w:val="22"/>
      <w:u w:val="none"/>
    </w:rPr>
  </w:style>
  <w:style w:type="character" w:customStyle="1" w:styleId="59">
    <w:name w:val="NormalCharacter"/>
    <w:autoRedefine/>
    <w:qFormat/>
    <w:uiPriority w:val="0"/>
    <w:rPr>
      <w:rFonts w:ascii="Calibri" w:hAnsi="Calibri" w:eastAsia="宋体" w:cs="Times New Roman"/>
    </w:rPr>
  </w:style>
  <w:style w:type="character" w:customStyle="1" w:styleId="60">
    <w:name w:val="font01"/>
    <w:basedOn w:val="28"/>
    <w:autoRedefine/>
    <w:qFormat/>
    <w:uiPriority w:val="0"/>
    <w:rPr>
      <w:rFonts w:hint="eastAsia" w:ascii="宋体" w:hAnsi="宋体" w:eastAsia="宋体" w:cs="宋体"/>
      <w:b/>
      <w:color w:val="000000"/>
      <w:sz w:val="40"/>
      <w:szCs w:val="40"/>
      <w:u w:val="none"/>
    </w:rPr>
  </w:style>
  <w:style w:type="character" w:customStyle="1" w:styleId="61">
    <w:name w:val="font91"/>
    <w:autoRedefine/>
    <w:qFormat/>
    <w:uiPriority w:val="0"/>
    <w:rPr>
      <w:rFonts w:hint="eastAsia" w:ascii="宋体" w:hAnsi="宋体" w:eastAsia="宋体" w:cs="宋体"/>
      <w:color w:val="000000"/>
      <w:sz w:val="20"/>
      <w:szCs w:val="20"/>
      <w:u w:val="none"/>
    </w:rPr>
  </w:style>
  <w:style w:type="character" w:customStyle="1" w:styleId="62">
    <w:name w:val="font11"/>
    <w:autoRedefine/>
    <w:qFormat/>
    <w:uiPriority w:val="0"/>
    <w:rPr>
      <w:rFonts w:hint="eastAsia" w:ascii="宋体" w:hAnsi="宋体" w:eastAsia="宋体" w:cs="宋体"/>
      <w:b/>
      <w:color w:val="000000"/>
      <w:sz w:val="22"/>
      <w:szCs w:val="22"/>
      <w:u w:val="none"/>
    </w:rPr>
  </w:style>
  <w:style w:type="character" w:customStyle="1" w:styleId="63">
    <w:name w:val="font112"/>
    <w:autoRedefine/>
    <w:qFormat/>
    <w:uiPriority w:val="0"/>
    <w:rPr>
      <w:rFonts w:hint="eastAsia" w:ascii="宋体" w:hAnsi="宋体" w:eastAsia="宋体" w:cs="宋体"/>
      <w:color w:val="000000"/>
      <w:sz w:val="22"/>
      <w:szCs w:val="22"/>
      <w:u w:val="none"/>
    </w:rPr>
  </w:style>
  <w:style w:type="character" w:customStyle="1" w:styleId="64">
    <w:name w:val="font61"/>
    <w:autoRedefine/>
    <w:qFormat/>
    <w:uiPriority w:val="0"/>
    <w:rPr>
      <w:rFonts w:hint="default" w:ascii="Times New Roman" w:hAnsi="Times New Roman" w:eastAsia="宋体" w:cs="Times New Roman"/>
      <w:color w:val="000000"/>
      <w:sz w:val="20"/>
      <w:szCs w:val="20"/>
      <w:u w:val="none"/>
    </w:rPr>
  </w:style>
  <w:style w:type="character" w:customStyle="1" w:styleId="65">
    <w:name w:val="font81"/>
    <w:autoRedefine/>
    <w:qFormat/>
    <w:uiPriority w:val="0"/>
    <w:rPr>
      <w:rFonts w:hint="eastAsia" w:ascii="宋体" w:hAnsi="宋体" w:eastAsia="宋体" w:cs="宋体"/>
      <w:color w:val="000000"/>
      <w:sz w:val="20"/>
      <w:szCs w:val="20"/>
      <w:u w:val="none"/>
    </w:rPr>
  </w:style>
  <w:style w:type="character" w:customStyle="1" w:styleId="66">
    <w:name w:val="Char Char7"/>
    <w:autoRedefine/>
    <w:qFormat/>
    <w:uiPriority w:val="0"/>
    <w:rPr>
      <w:rFonts w:ascii="??" w:hAnsi="??" w:eastAsia="??" w:cs="宋体"/>
      <w:kern w:val="2"/>
      <w:sz w:val="24"/>
      <w:szCs w:val="28"/>
    </w:rPr>
  </w:style>
  <w:style w:type="character" w:customStyle="1" w:styleId="67">
    <w:name w:val="font71"/>
    <w:autoRedefine/>
    <w:qFormat/>
    <w:uiPriority w:val="0"/>
    <w:rPr>
      <w:rFonts w:ascii="Arial" w:hAnsi="Arial" w:eastAsia="宋体" w:cs="Arial"/>
      <w:color w:val="000000"/>
      <w:sz w:val="20"/>
      <w:szCs w:val="20"/>
      <w:u w:val="none"/>
    </w:rPr>
  </w:style>
  <w:style w:type="paragraph" w:customStyle="1" w:styleId="68">
    <w:name w:val="中等深浅列表 2 - 强调文字颜色 41"/>
    <w:basedOn w:val="1"/>
    <w:autoRedefine/>
    <w:qFormat/>
    <w:uiPriority w:val="0"/>
    <w:pPr>
      <w:ind w:firstLine="420" w:firstLineChars="200"/>
    </w:pPr>
    <w:rPr>
      <w:rFonts w:ascii="Calibri" w:hAnsi="Calibri"/>
      <w:szCs w:val="22"/>
    </w:rPr>
  </w:style>
  <w:style w:type="paragraph" w:customStyle="1" w:styleId="69">
    <w:name w:val="正文样式"/>
    <w:basedOn w:val="1"/>
    <w:autoRedefine/>
    <w:qFormat/>
    <w:uiPriority w:val="0"/>
    <w:pPr>
      <w:spacing w:before="156" w:beforeLines="50" w:line="312" w:lineRule="auto"/>
      <w:ind w:firstLine="200" w:firstLineChars="200"/>
    </w:pPr>
    <w:rPr>
      <w:rFonts w:ascii="Calibri" w:hAnsi="Calibri"/>
      <w:sz w:val="24"/>
      <w:szCs w:val="24"/>
    </w:rPr>
  </w:style>
  <w:style w:type="paragraph" w:customStyle="1" w:styleId="70">
    <w:name w:val="p16"/>
    <w:basedOn w:val="1"/>
    <w:autoRedefine/>
    <w:qFormat/>
    <w:uiPriority w:val="0"/>
    <w:pPr>
      <w:widowControl/>
    </w:pPr>
    <w:rPr>
      <w:rFonts w:ascii="宋体" w:hAnsi="宋体" w:cs="宋体"/>
      <w:kern w:val="0"/>
      <w:sz w:val="30"/>
      <w:szCs w:val="30"/>
    </w:rPr>
  </w:style>
  <w:style w:type="paragraph" w:styleId="71">
    <w:name w:val="List Paragraph"/>
    <w:basedOn w:val="1"/>
    <w:autoRedefine/>
    <w:qFormat/>
    <w:uiPriority w:val="0"/>
    <w:pPr>
      <w:autoSpaceDE w:val="0"/>
      <w:autoSpaceDN w:val="0"/>
      <w:adjustRightInd w:val="0"/>
      <w:ind w:firstLine="200" w:firstLineChars="200"/>
      <w:jc w:val="left"/>
    </w:pPr>
    <w:rPr>
      <w:rFonts w:eastAsia="??"/>
      <w:kern w:val="0"/>
      <w:sz w:val="24"/>
      <w:szCs w:val="24"/>
    </w:rPr>
  </w:style>
  <w:style w:type="paragraph" w:customStyle="1" w:styleId="72">
    <w:name w:val="_Style 8"/>
    <w:basedOn w:val="1"/>
    <w:next w:val="71"/>
    <w:autoRedefine/>
    <w:qFormat/>
    <w:uiPriority w:val="0"/>
    <w:pPr>
      <w:ind w:firstLine="420" w:firstLineChars="200"/>
    </w:pPr>
    <w:rPr>
      <w:rFonts w:ascii="Calibri" w:hAnsi="Calibri"/>
      <w:szCs w:val="22"/>
    </w:rPr>
  </w:style>
  <w:style w:type="paragraph" w:customStyle="1" w:styleId="73">
    <w:name w:val="书籍标题1"/>
    <w:basedOn w:val="1"/>
    <w:next w:val="1"/>
    <w:autoRedefine/>
    <w:qFormat/>
    <w:uiPriority w:val="0"/>
    <w:pPr>
      <w:pageBreakBefore/>
      <w:widowControl/>
      <w:tabs>
        <w:tab w:val="left" w:pos="360"/>
      </w:tabs>
      <w:spacing w:before="624" w:beforeLines="200" w:after="624" w:afterLines="200"/>
      <w:ind w:hanging="360"/>
      <w:jc w:val="center"/>
      <w:outlineLvl w:val="0"/>
    </w:pPr>
    <w:rPr>
      <w:rFonts w:eastAsia="黑体"/>
      <w:b/>
      <w:bCs/>
      <w:spacing w:val="20"/>
      <w:kern w:val="44"/>
      <w:sz w:val="44"/>
    </w:rPr>
  </w:style>
  <w:style w:type="paragraph" w:customStyle="1" w:styleId="74">
    <w:name w:val="newnewnewnew"/>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75">
    <w:name w:val="正文2"/>
    <w:autoRedefine/>
    <w:qFormat/>
    <w:uiPriority w:val="0"/>
    <w:pPr>
      <w:jc w:val="both"/>
    </w:pPr>
    <w:rPr>
      <w:rFonts w:ascii="Calibri" w:hAnsi="Calibri" w:eastAsia="宋体" w:cs="宋体"/>
      <w:kern w:val="2"/>
      <w:sz w:val="21"/>
      <w:szCs w:val="21"/>
      <w:lang w:val="en-US" w:eastAsia="zh-CN" w:bidi="ar-SA"/>
    </w:rPr>
  </w:style>
  <w:style w:type="paragraph" w:customStyle="1" w:styleId="76">
    <w:name w:val="newnew"/>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77">
    <w:name w:val="列出段落1"/>
    <w:basedOn w:val="1"/>
    <w:autoRedefine/>
    <w:qFormat/>
    <w:uiPriority w:val="0"/>
    <w:pPr>
      <w:ind w:firstLine="420" w:firstLineChars="200"/>
    </w:pPr>
    <w:rPr>
      <w:rFonts w:ascii="Calibri" w:hAnsi="Calibri"/>
      <w:szCs w:val="22"/>
    </w:rPr>
  </w:style>
  <w:style w:type="paragraph" w:customStyle="1" w:styleId="78">
    <w:name w:val="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9">
    <w:name w:val="Body text|1"/>
    <w:basedOn w:val="1"/>
    <w:autoRedefine/>
    <w:qFormat/>
    <w:uiPriority w:val="0"/>
    <w:pPr>
      <w:spacing w:line="413" w:lineRule="auto"/>
    </w:pPr>
    <w:rPr>
      <w:rFonts w:ascii="宋体" w:hAnsi="宋体" w:cs="宋体"/>
      <w:sz w:val="20"/>
      <w:lang w:val="zh-CN" w:bidi="zh-CN"/>
    </w:rPr>
  </w:style>
  <w:style w:type="paragraph" w:customStyle="1" w:styleId="80">
    <w:name w:val="xl35"/>
    <w:basedOn w:val="1"/>
    <w:autoRedefine/>
    <w:qFormat/>
    <w:uiPriority w:val="0"/>
    <w:pPr>
      <w:widowControl/>
      <w:spacing w:before="100" w:beforeAutospacing="1" w:after="100" w:afterAutospacing="1"/>
      <w:jc w:val="right"/>
      <w:textAlignment w:val="center"/>
    </w:pPr>
    <w:rPr>
      <w:rFonts w:ascii="宋体" w:hAnsi="宋体"/>
      <w:kern w:val="0"/>
      <w:sz w:val="18"/>
    </w:rPr>
  </w:style>
  <w:style w:type="paragraph" w:customStyle="1" w:styleId="81">
    <w:name w:val="List Paragraph1"/>
    <w:basedOn w:val="1"/>
    <w:autoRedefine/>
    <w:qFormat/>
    <w:uiPriority w:val="0"/>
    <w:pPr>
      <w:ind w:firstLine="420" w:firstLineChars="200"/>
    </w:pPr>
  </w:style>
  <w:style w:type="paragraph" w:customStyle="1" w:styleId="82">
    <w:name w:val="reader-word-layer reader-word-s1-0"/>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83">
    <w:name w:val="font5"/>
    <w:basedOn w:val="1"/>
    <w:autoRedefine/>
    <w:qFormat/>
    <w:uiPriority w:val="0"/>
    <w:pPr>
      <w:widowControl/>
      <w:spacing w:before="100" w:beforeAutospacing="1" w:after="100" w:afterAutospacing="1"/>
      <w:jc w:val="left"/>
    </w:pPr>
    <w:rPr>
      <w:rFonts w:hint="eastAsia" w:ascii="宋体" w:hAnsi="宋体"/>
      <w:kern w:val="0"/>
      <w:sz w:val="18"/>
    </w:rPr>
  </w:style>
  <w:style w:type="paragraph" w:customStyle="1" w:styleId="84">
    <w:name w:val="Char"/>
    <w:basedOn w:val="1"/>
    <w:autoRedefine/>
    <w:qFormat/>
    <w:uiPriority w:val="0"/>
    <w:rPr>
      <w:szCs w:val="24"/>
    </w:rPr>
  </w:style>
  <w:style w:type="paragraph" w:customStyle="1" w:styleId="85">
    <w:name w:val="xl30"/>
    <w:basedOn w:val="1"/>
    <w:autoRedefine/>
    <w:qFormat/>
    <w:uiPriority w:val="0"/>
    <w:pPr>
      <w:widowControl/>
      <w:spacing w:before="100" w:beforeAutospacing="1" w:after="100" w:afterAutospacing="1"/>
      <w:jc w:val="center"/>
      <w:textAlignment w:val="center"/>
    </w:pPr>
    <w:rPr>
      <w:rFonts w:ascii="楷体_GB2312" w:hAnsi="宋体" w:eastAsia="楷体_GB2312"/>
      <w:b/>
      <w:kern w:val="0"/>
      <w:sz w:val="32"/>
    </w:rPr>
  </w:style>
  <w:style w:type="paragraph" w:customStyle="1" w:styleId="86">
    <w:name w:val="[Normal]"/>
    <w:autoRedefine/>
    <w:qFormat/>
    <w:uiPriority w:val="0"/>
    <w:rPr>
      <w:rFonts w:ascii="宋体" w:hAnsi="宋体" w:eastAsia="宋体" w:cs="Times New Roman"/>
      <w:sz w:val="24"/>
      <w:szCs w:val="22"/>
      <w:lang w:val="zh-CN" w:eastAsia="zh-CN" w:bidi="ar-SA"/>
    </w:rPr>
  </w:style>
  <w:style w:type="paragraph" w:customStyle="1" w:styleId="87">
    <w:name w:val="p0"/>
    <w:basedOn w:val="1"/>
    <w:autoRedefine/>
    <w:qFormat/>
    <w:uiPriority w:val="0"/>
    <w:pPr>
      <w:widowControl/>
    </w:pPr>
    <w:rPr>
      <w:kern w:val="0"/>
      <w:szCs w:val="21"/>
    </w:rPr>
  </w:style>
  <w:style w:type="table" w:customStyle="1" w:styleId="88">
    <w:name w:val="网格型1"/>
    <w:basedOn w:val="26"/>
    <w:autoRedefine/>
    <w:qFormat/>
    <w:uiPriority w:val="0"/>
    <w:rPr>
      <w:rFonts w:ascii="Calibri" w:hAnsi="Calibri" w:cs="宋体"/>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9">
    <w:name w:val="Table Paragraph"/>
    <w:basedOn w:val="1"/>
    <w:autoRedefine/>
    <w:qFormat/>
    <w:uiPriority w:val="0"/>
    <w:rPr>
      <w:rFonts w:ascii="宋体" w:hAnsi="宋体" w:cs="宋体"/>
      <w:lang w:val="zh-CN" w:bidi="zh-CN"/>
    </w:rPr>
  </w:style>
  <w:style w:type="paragraph" w:customStyle="1" w:styleId="90">
    <w:name w:val="正文（首行缩进2字符）"/>
    <w:basedOn w:val="1"/>
    <w:autoRedefine/>
    <w:qFormat/>
    <w:uiPriority w:val="0"/>
    <w:pPr>
      <w:spacing w:line="360" w:lineRule="auto"/>
      <w:ind w:firstLine="420" w:firstLineChars="200"/>
    </w:pPr>
    <w:rPr>
      <w:szCs w:val="21"/>
    </w:rPr>
  </w:style>
  <w:style w:type="paragraph" w:customStyle="1" w:styleId="91">
    <w:name w:val="文档正文"/>
    <w:basedOn w:val="1"/>
    <w:autoRedefine/>
    <w:qFormat/>
    <w:uiPriority w:val="0"/>
    <w:rPr>
      <w:rFonts w:ascii="宋体" w:hAnsi="宋体" w:cs="Arial"/>
      <w:bCs/>
      <w:szCs w:val="21"/>
    </w:rPr>
  </w:style>
  <w:style w:type="paragraph" w:customStyle="1" w:styleId="92">
    <w:name w:val="form"/>
    <w:basedOn w:val="1"/>
    <w:autoRedefine/>
    <w:qFormat/>
    <w:uiPriority w:val="0"/>
    <w:pPr>
      <w:wordWrap w:val="0"/>
      <w:jc w:val="center"/>
    </w:pPr>
    <w:rPr>
      <w:rFonts w:ascii="宋体" w:hAnsi="Calibri" w:cs="宋体"/>
    </w:rPr>
  </w:style>
  <w:style w:type="paragraph" w:customStyle="1" w:styleId="93">
    <w:name w:val="仿宋小四"/>
    <w:basedOn w:val="7"/>
    <w:autoRedefine/>
    <w:qFormat/>
    <w:uiPriority w:val="0"/>
    <w:pPr>
      <w:spacing w:line="360" w:lineRule="auto"/>
      <w:ind w:firstLine="480"/>
    </w:pPr>
    <w:rPr>
      <w:rFonts w:ascii="仿宋_GB2312" w:hAnsi="仿宋_GB2312" w:eastAsia="仿宋_GB2312"/>
      <w:sz w:val="24"/>
    </w:rPr>
  </w:style>
  <w:style w:type="character" w:customStyle="1" w:styleId="94">
    <w:name w:val="font21"/>
    <w:basedOn w:val="28"/>
    <w:autoRedefine/>
    <w:qFormat/>
    <w:uiPriority w:val="0"/>
    <w:rPr>
      <w:rFonts w:hint="eastAsia" w:ascii="宋体" w:hAnsi="宋体" w:eastAsia="宋体" w:cs="宋体"/>
      <w:color w:val="000000"/>
      <w:sz w:val="24"/>
      <w:szCs w:val="24"/>
      <w:u w:val="none"/>
    </w:rPr>
  </w:style>
  <w:style w:type="table" w:customStyle="1" w:styleId="95">
    <w:name w:val="Table Normal"/>
    <w:autoRedefine/>
    <w:semiHidden/>
    <w:unhideWhenUsed/>
    <w:qFormat/>
    <w:uiPriority w:val="0"/>
    <w:tblPr>
      <w:tblCellMar>
        <w:top w:w="0" w:type="dxa"/>
        <w:left w:w="0" w:type="dxa"/>
        <w:bottom w:w="0" w:type="dxa"/>
        <w:right w:w="0" w:type="dxa"/>
      </w:tblCellMar>
    </w:tblPr>
  </w:style>
  <w:style w:type="character" w:customStyle="1" w:styleId="96">
    <w:name w:val="font41"/>
    <w:basedOn w:val="28"/>
    <w:autoRedefine/>
    <w:qFormat/>
    <w:uiPriority w:val="0"/>
    <w:rPr>
      <w:rFonts w:hint="eastAsia" w:ascii="宋体" w:hAnsi="宋体" w:eastAsia="宋体" w:cs="宋体"/>
      <w:b/>
      <w:bCs/>
      <w:color w:val="000000"/>
      <w:sz w:val="21"/>
      <w:szCs w:val="21"/>
      <w:u w:val="none"/>
    </w:rPr>
  </w:style>
  <w:style w:type="character" w:customStyle="1" w:styleId="97">
    <w:name w:val="font31"/>
    <w:basedOn w:val="28"/>
    <w:autoRedefine/>
    <w:qFormat/>
    <w:uiPriority w:val="0"/>
    <w:rPr>
      <w:rFonts w:hint="eastAsia" w:ascii="宋体" w:hAnsi="宋体" w:eastAsia="宋体" w:cs="宋体"/>
      <w:color w:val="000000"/>
      <w:sz w:val="21"/>
      <w:szCs w:val="21"/>
      <w:u w:val="none"/>
    </w:rPr>
  </w:style>
  <w:style w:type="paragraph" w:customStyle="1" w:styleId="98">
    <w:name w:val="*正文"/>
    <w:basedOn w:val="1"/>
    <w:autoRedefine/>
    <w:qFormat/>
    <w:uiPriority w:val="0"/>
  </w:style>
  <w:style w:type="character" w:customStyle="1" w:styleId="99">
    <w:name w:val="bookmark-item"/>
    <w:basedOn w:val="28"/>
    <w:autoRedefine/>
    <w:qFormat/>
    <w:uiPriority w:val="0"/>
  </w:style>
  <w:style w:type="paragraph" w:customStyle="1" w:styleId="100">
    <w:name w:val="列出段落2"/>
    <w:basedOn w:val="1"/>
    <w:autoRedefine/>
    <w:qFormat/>
    <w:uiPriority w:val="34"/>
    <w:pPr>
      <w:spacing w:line="360" w:lineRule="auto"/>
      <w:ind w:firstLine="420" w:firstLineChars="200"/>
    </w:pPr>
    <w:rPr>
      <w:szCs w:val="21"/>
    </w:rPr>
  </w:style>
  <w:style w:type="paragraph" w:customStyle="1" w:styleId="101">
    <w:name w:val="纯文本1"/>
    <w:basedOn w:val="1"/>
    <w:autoRedefine/>
    <w:qFormat/>
    <w:uiPriority w:val="0"/>
    <w:pPr>
      <w:spacing w:beforeLines="50" w:afterLines="50" w:line="400" w:lineRule="exact"/>
    </w:pPr>
    <w:rPr>
      <w:rFonts w:ascii="宋体" w:hAnsi="Courier New" w:eastAsia="仿宋_GB2312"/>
      <w:sz w:val="30"/>
    </w:rPr>
  </w:style>
  <w:style w:type="paragraph" w:customStyle="1" w:styleId="102">
    <w:name w:val="表格内容"/>
    <w:autoRedefine/>
    <w:qFormat/>
    <w:uiPriority w:val="0"/>
    <w:pPr>
      <w:widowControl w:val="0"/>
      <w:jc w:val="both"/>
    </w:pPr>
    <w:rPr>
      <w:rFonts w:ascii="Times New Roman" w:hAnsi="Times New Roman" w:eastAsia="宋体" w:cs="Times New Roman"/>
      <w:kern w:val="2"/>
      <w:sz w:val="24"/>
      <w:szCs w:val="22"/>
      <w:lang w:val="en-US" w:eastAsia="zh-CN" w:bidi="ar-SA"/>
    </w:rPr>
  </w:style>
  <w:style w:type="paragraph" w:customStyle="1" w:styleId="103">
    <w:name w:val="Body Text First Indent 21"/>
    <w:basedOn w:val="104"/>
    <w:autoRedefine/>
    <w:qFormat/>
    <w:uiPriority w:val="0"/>
    <w:pPr>
      <w:ind w:firstLine="420"/>
    </w:pPr>
  </w:style>
  <w:style w:type="paragraph" w:customStyle="1" w:styleId="104">
    <w:name w:val="Body Text Indent1"/>
    <w:basedOn w:val="1"/>
    <w:autoRedefine/>
    <w:qFormat/>
    <w:uiPriority w:val="0"/>
    <w:pPr>
      <w:ind w:left="420" w:leftChars="200"/>
    </w:pPr>
  </w:style>
  <w:style w:type="paragraph" w:customStyle="1" w:styleId="105">
    <w:name w:val="msolistparagraph"/>
    <w:basedOn w:val="1"/>
    <w:autoRedefine/>
    <w:qFormat/>
    <w:uiPriority w:val="0"/>
    <w:pPr>
      <w:ind w:firstLine="420" w:firstLineChars="200"/>
    </w:pPr>
    <w:rPr>
      <w:rFonts w:ascii="Calibri" w:hAnsi="Calibri" w:cs="Calibri"/>
      <w:szCs w:val="22"/>
    </w:rPr>
  </w:style>
  <w:style w:type="paragraph" w:customStyle="1" w:styleId="106">
    <w:name w:val="列出段落11"/>
    <w:basedOn w:val="1"/>
    <w:autoRedefine/>
    <w:qFormat/>
    <w:uiPriority w:val="34"/>
    <w:pPr>
      <w:ind w:firstLine="420" w:firstLineChars="200"/>
    </w:pPr>
    <w:rPr>
      <w:rFonts w:asciiTheme="minorHAnsi" w:hAnsiTheme="minorHAnsi" w:eastAsiaTheme="minorEastAsia" w:cstheme="minorBidi"/>
      <w:szCs w:val="22"/>
    </w:rPr>
  </w:style>
  <w:style w:type="character" w:customStyle="1" w:styleId="107">
    <w:name w:val="font131"/>
    <w:basedOn w:val="28"/>
    <w:autoRedefine/>
    <w:qFormat/>
    <w:uiPriority w:val="0"/>
    <w:rPr>
      <w:rFonts w:hint="default" w:ascii="Times New Roman" w:hAnsi="Times New Roman" w:cs="Times New Roman"/>
      <w:color w:val="C00000"/>
      <w:sz w:val="21"/>
      <w:szCs w:val="21"/>
      <w:u w:val="none"/>
    </w:rPr>
  </w:style>
  <w:style w:type="character" w:customStyle="1" w:styleId="108">
    <w:name w:val="font161"/>
    <w:basedOn w:val="28"/>
    <w:autoRedefine/>
    <w:qFormat/>
    <w:uiPriority w:val="0"/>
    <w:rPr>
      <w:rFonts w:hint="default" w:ascii="Times New Roman" w:hAnsi="Times New Roman" w:cs="Times New Roman"/>
      <w:color w:val="000000"/>
      <w:sz w:val="28"/>
      <w:szCs w:val="28"/>
      <w:u w:val="none"/>
    </w:rPr>
  </w:style>
  <w:style w:type="character" w:customStyle="1" w:styleId="109">
    <w:name w:val="font101"/>
    <w:basedOn w:val="28"/>
    <w:autoRedefine/>
    <w:qFormat/>
    <w:uiPriority w:val="0"/>
    <w:rPr>
      <w:rFonts w:hint="default" w:ascii="??" w:hAnsi="??" w:eastAsia="??" w:cs="??"/>
      <w:color w:val="000000"/>
      <w:sz w:val="28"/>
      <w:szCs w:val="28"/>
      <w:u w:val="none"/>
    </w:rPr>
  </w:style>
  <w:style w:type="character" w:customStyle="1" w:styleId="110">
    <w:name w:val="font141"/>
    <w:basedOn w:val="28"/>
    <w:autoRedefine/>
    <w:qFormat/>
    <w:uiPriority w:val="0"/>
    <w:rPr>
      <w:rFonts w:hint="eastAsia" w:ascii="宋体" w:hAnsi="宋体" w:eastAsia="宋体" w:cs="宋体"/>
      <w:color w:val="000000"/>
      <w:sz w:val="21"/>
      <w:szCs w:val="21"/>
      <w:u w:val="none"/>
    </w:rPr>
  </w:style>
  <w:style w:type="character" w:customStyle="1" w:styleId="111">
    <w:name w:val="font151"/>
    <w:basedOn w:val="28"/>
    <w:autoRedefine/>
    <w:qFormat/>
    <w:uiPriority w:val="0"/>
    <w:rPr>
      <w:rFonts w:hint="default" w:ascii="Times New Roman" w:hAnsi="Times New Roman" w:cs="Times New Roman"/>
      <w:color w:val="000000"/>
      <w:sz w:val="21"/>
      <w:szCs w:val="21"/>
      <w:u w:val="none"/>
    </w:rPr>
  </w:style>
  <w:style w:type="character" w:customStyle="1" w:styleId="112">
    <w:name w:val="font121"/>
    <w:basedOn w:val="28"/>
    <w:autoRedefine/>
    <w:qFormat/>
    <w:uiPriority w:val="0"/>
    <w:rPr>
      <w:rFonts w:hint="default" w:ascii="??" w:hAnsi="??" w:eastAsia="??" w:cs="??"/>
      <w:b/>
      <w:bCs/>
      <w:color w:val="000000"/>
      <w:sz w:val="20"/>
      <w:szCs w:val="20"/>
      <w:u w:val="none"/>
    </w:rPr>
  </w:style>
  <w:style w:type="paragraph" w:customStyle="1" w:styleId="113">
    <w:name w:val="默认段落字体 Para Char Char Char Char Char Char Char Char Char1 Char Char Char Char"/>
    <w:basedOn w:val="1"/>
    <w:autoRedefine/>
    <w:qFormat/>
    <w:uiPriority w:val="99"/>
    <w:rPr>
      <w:rFonts w:ascii="Tahoma" w:hAnsi="Tahoma" w:cs="Tahoma"/>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95</Pages>
  <Words>33281</Words>
  <Characters>34794</Characters>
  <Lines>1</Lines>
  <Paragraphs>1</Paragraphs>
  <TotalTime>97</TotalTime>
  <ScaleCrop>false</ScaleCrop>
  <LinksUpToDate>false</LinksUpToDate>
  <CharactersWithSpaces>37305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2020-04-22T06:04:00Z</dcterms:created>
  <dc:creator>Administrator</dc:creator>
  <cp:lastModifiedBy>kuku</cp:lastModifiedBy>
  <cp:lastPrinted>2024-05-09T05:48:00Z</cp:lastPrinted>
  <dcterms:modified xsi:type="dcterms:W3CDTF">2024-05-21T03:16:02Z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1F95E29F019047D39F3025B400D3702F_13</vt:lpwstr>
  </property>
  <property fmtid="{D5CDD505-2E9C-101B-9397-08002B2CF9AE}" pid="4" name="commondata">
    <vt:lpwstr>eyJoZGlkIjoiMTY3NmVmZDMzNjIyYzhhNDE2N2E5MmI0Mzg3OGM1YTYifQ==</vt:lpwstr>
  </property>
</Properties>
</file>