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both"/>
        <w:rPr>
          <w:rFonts w:ascii="宋体" w:hAnsi="宋体" w:cs="宋体"/>
          <w:b/>
          <w:bCs/>
          <w:color w:val="FF0000"/>
          <w:sz w:val="32"/>
          <w:szCs w:val="32"/>
        </w:rPr>
      </w:pPr>
      <w:bookmarkStart w:id="0" w:name="_Toc125344502"/>
    </w:p>
    <w:p>
      <w:pPr>
        <w:autoSpaceDE/>
        <w:autoSpaceDN/>
        <w:spacing w:line="360" w:lineRule="auto"/>
        <w:jc w:val="center"/>
        <w:rPr>
          <w:rFonts w:hint="eastAsia" w:ascii="仿宋" w:hAnsi="仿宋" w:eastAsia="仿宋" w:cs="仿宋"/>
          <w:b/>
          <w:bCs/>
          <w:sz w:val="56"/>
          <w:szCs w:val="56"/>
          <w:lang w:val="en-US" w:eastAsia="zh-CN"/>
        </w:rPr>
      </w:pPr>
      <w:r>
        <w:rPr>
          <w:rFonts w:hint="eastAsia" w:ascii="仿宋" w:hAnsi="仿宋" w:eastAsia="仿宋" w:cs="仿宋"/>
          <w:b/>
          <w:bCs/>
          <w:sz w:val="56"/>
          <w:szCs w:val="56"/>
          <w:lang w:val="en-US" w:eastAsia="zh-CN"/>
        </w:rPr>
        <w:t>诸暨市暨南街道2024年度地质灾害工程设计服务采购项目</w:t>
      </w:r>
    </w:p>
    <w:p>
      <w:pPr>
        <w:autoSpaceDE/>
        <w:autoSpaceDN/>
        <w:spacing w:line="360" w:lineRule="auto"/>
        <w:ind w:left="420" w:hanging="42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（项目编号：</w:t>
      </w:r>
      <w:r>
        <w:rPr>
          <w:rFonts w:hint="eastAsia" w:ascii="仿宋" w:hAnsi="仿宋" w:eastAsia="仿宋" w:cs="仿宋"/>
          <w:b/>
          <w:color w:val="auto"/>
          <w:sz w:val="32"/>
          <w:szCs w:val="32"/>
          <w:lang w:val="en-US" w:eastAsia="zh-CN"/>
        </w:rPr>
        <w:t>ZJZT-2024-10533</w:t>
      </w:r>
      <w:r>
        <w:rPr>
          <w:rFonts w:hint="eastAsia" w:ascii="仿宋" w:hAnsi="仿宋" w:eastAsia="仿宋" w:cs="仿宋"/>
          <w:b/>
          <w:color w:val="auto"/>
          <w:sz w:val="32"/>
          <w:szCs w:val="32"/>
        </w:rPr>
        <w:t>）</w:t>
      </w:r>
    </w:p>
    <w:p>
      <w:pPr>
        <w:autoSpaceDE/>
        <w:autoSpaceDN/>
        <w:spacing w:line="360" w:lineRule="auto"/>
        <w:rPr>
          <w:rFonts w:hint="eastAsia" w:ascii="仿宋" w:hAnsi="仿宋" w:eastAsia="仿宋" w:cs="仿宋"/>
          <w:color w:val="auto"/>
        </w:rPr>
      </w:pPr>
    </w:p>
    <w:p>
      <w:pPr>
        <w:autoSpaceDE/>
        <w:autoSpaceDN/>
        <w:spacing w:line="360" w:lineRule="auto"/>
        <w:jc w:val="center"/>
        <w:rPr>
          <w:rFonts w:hint="eastAsia" w:ascii="仿宋" w:hAnsi="仿宋" w:eastAsia="仿宋" w:cs="仿宋"/>
          <w:b/>
          <w:bCs/>
          <w:color w:val="auto"/>
          <w:sz w:val="72"/>
          <w:szCs w:val="72"/>
        </w:rPr>
      </w:pPr>
    </w:p>
    <w:p>
      <w:pPr>
        <w:spacing w:line="360" w:lineRule="auto"/>
        <w:jc w:val="center"/>
        <w:rPr>
          <w:rFonts w:hint="eastAsia" w:ascii="仿宋" w:hAnsi="仿宋" w:eastAsia="仿宋" w:cs="仿宋"/>
          <w:b/>
          <w:color w:val="000000" w:themeColor="text1"/>
          <w:spacing w:val="-6"/>
          <w:sz w:val="84"/>
          <w:szCs w:val="84"/>
        </w:rPr>
      </w:pPr>
      <w:r>
        <w:rPr>
          <w:rFonts w:hint="eastAsia" w:ascii="仿宋" w:hAnsi="仿宋" w:eastAsia="仿宋" w:cs="仿宋"/>
          <w:b/>
          <w:color w:val="000000" w:themeColor="text1"/>
          <w:spacing w:val="-6"/>
          <w:sz w:val="84"/>
          <w:szCs w:val="84"/>
        </w:rPr>
        <w:t>招  标  文  件</w:t>
      </w:r>
    </w:p>
    <w:p>
      <w:pPr>
        <w:autoSpaceDE/>
        <w:autoSpaceDN/>
        <w:spacing w:line="360" w:lineRule="auto"/>
        <w:jc w:val="center"/>
        <w:rPr>
          <w:rFonts w:hint="eastAsia" w:ascii="仿宋" w:hAnsi="仿宋" w:eastAsia="仿宋" w:cs="仿宋"/>
          <w:b/>
          <w:color w:val="000000" w:themeColor="text1"/>
          <w:spacing w:val="36"/>
          <w:sz w:val="36"/>
        </w:rPr>
      </w:pPr>
      <w:r>
        <w:rPr>
          <w:rFonts w:hint="eastAsia" w:ascii="仿宋" w:hAnsi="仿宋" w:eastAsia="仿宋" w:cs="仿宋"/>
          <w:b/>
          <w:color w:val="000000" w:themeColor="text1"/>
          <w:spacing w:val="36"/>
          <w:sz w:val="36"/>
        </w:rPr>
        <w:t>（电子招投标）</w:t>
      </w:r>
    </w:p>
    <w:p>
      <w:pPr>
        <w:autoSpaceDE/>
        <w:autoSpaceDN/>
        <w:spacing w:line="360" w:lineRule="auto"/>
        <w:jc w:val="center"/>
        <w:rPr>
          <w:rFonts w:hint="eastAsia" w:ascii="仿宋" w:hAnsi="仿宋" w:eastAsia="仿宋" w:cs="仿宋"/>
          <w:b/>
          <w:bCs/>
          <w:color w:val="auto"/>
          <w:sz w:val="72"/>
          <w:szCs w:val="72"/>
        </w:rPr>
      </w:pPr>
    </w:p>
    <w:tbl>
      <w:tblPr>
        <w:tblStyle w:val="4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472" w:type="dxa"/>
            <w:vAlign w:val="center"/>
          </w:tcPr>
          <w:p>
            <w:pPr>
              <w:pStyle w:val="43"/>
              <w:shd w:val="clear" w:color="auto" w:fill="FFFFFF"/>
              <w:spacing w:beforeAutospacing="0" w:afterAutospacing="0"/>
              <w:rPr>
                <w:rFonts w:hint="default" w:ascii="仿宋" w:hAnsi="仿宋" w:eastAsia="仿宋" w:cs="仿宋"/>
                <w:lang w:val="en-US" w:eastAsia="zh-CN"/>
              </w:rPr>
            </w:pPr>
            <w:r>
              <w:rPr>
                <w:rFonts w:hint="eastAsia" w:ascii="仿宋" w:hAnsi="仿宋" w:eastAsia="仿宋" w:cs="仿宋"/>
                <w:b/>
                <w:bCs/>
                <w:spacing w:val="-20"/>
                <w:w w:val="95"/>
                <w:kern w:val="0"/>
                <w:sz w:val="30"/>
                <w:szCs w:val="30"/>
              </w:rPr>
              <w:t xml:space="preserve">采  购  </w:t>
            </w:r>
            <w:r>
              <w:rPr>
                <w:rFonts w:hint="eastAsia" w:ascii="仿宋" w:hAnsi="仿宋" w:eastAsia="仿宋" w:cs="仿宋"/>
                <w:b/>
                <w:bCs/>
                <w:color w:val="auto"/>
                <w:spacing w:val="-20"/>
                <w:w w:val="95"/>
                <w:kern w:val="0"/>
                <w:sz w:val="30"/>
                <w:szCs w:val="30"/>
              </w:rPr>
              <w:t>单  位</w:t>
            </w:r>
            <w:r>
              <w:rPr>
                <w:rFonts w:hint="eastAsia" w:ascii="仿宋" w:hAnsi="仿宋" w:eastAsia="仿宋" w:cs="仿宋"/>
                <w:b/>
                <w:bCs/>
                <w:color w:val="auto"/>
                <w:w w:val="95"/>
                <w:kern w:val="0"/>
                <w:sz w:val="30"/>
                <w:szCs w:val="30"/>
              </w:rPr>
              <w:t xml:space="preserve"> ：</w:t>
            </w:r>
            <w:r>
              <w:rPr>
                <w:rFonts w:hint="eastAsia" w:ascii="仿宋" w:hAnsi="仿宋" w:eastAsia="仿宋" w:cs="仿宋"/>
                <w:b/>
                <w:bCs/>
                <w:color w:val="auto"/>
                <w:w w:val="95"/>
                <w:kern w:val="0"/>
                <w:sz w:val="30"/>
                <w:szCs w:val="30"/>
                <w:lang w:eastAsia="zh-CN"/>
              </w:rPr>
              <w:t>诸暨市人民政府暨南街道办事处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6472" w:type="dxa"/>
            <w:vAlign w:val="center"/>
          </w:tcPr>
          <w:p>
            <w:pPr>
              <w:pStyle w:val="25"/>
              <w:snapToGrid w:val="0"/>
              <w:spacing w:before="120" w:after="120" w:line="360" w:lineRule="auto"/>
              <w:rPr>
                <w:rFonts w:hint="eastAsia" w:ascii="仿宋" w:hAnsi="仿宋" w:eastAsia="仿宋" w:cs="仿宋"/>
                <w:b/>
                <w:bCs/>
                <w:w w:val="95"/>
                <w:kern w:val="0"/>
                <w:sz w:val="30"/>
                <w:szCs w:val="30"/>
                <w:lang w:val="en-US" w:eastAsia="zh-CN"/>
              </w:rPr>
            </w:pPr>
            <w:r>
              <w:rPr>
                <w:rFonts w:hint="eastAsia" w:ascii="仿宋" w:hAnsi="仿宋" w:eastAsia="仿宋" w:cs="仿宋"/>
                <w:b/>
                <w:bCs/>
                <w:w w:val="95"/>
                <w:kern w:val="0"/>
                <w:sz w:val="30"/>
                <w:szCs w:val="30"/>
              </w:rPr>
              <w:t>采购代理机构：</w:t>
            </w:r>
            <w:r>
              <w:rPr>
                <w:rFonts w:hint="eastAsia" w:ascii="仿宋" w:hAnsi="仿宋" w:eastAsia="仿宋" w:cs="仿宋"/>
                <w:b/>
                <w:bCs/>
                <w:w w:val="95"/>
                <w:kern w:val="0"/>
                <w:sz w:val="30"/>
                <w:szCs w:val="30"/>
                <w:lang w:val="en-US" w:eastAsia="zh-CN"/>
              </w:rPr>
              <w:t>浙江中通通信有限公司</w:t>
            </w:r>
          </w:p>
        </w:tc>
      </w:tr>
    </w:tbl>
    <w:p>
      <w:pPr>
        <w:spacing w:line="360" w:lineRule="auto"/>
        <w:jc w:val="center"/>
        <w:rPr>
          <w:rFonts w:hint="eastAsia" w:ascii="宋体" w:hAnsi="宋体"/>
          <w:b/>
          <w:bCs/>
          <w:color w:val="auto"/>
          <w:w w:val="95"/>
          <w:sz w:val="30"/>
          <w:szCs w:val="30"/>
        </w:rPr>
      </w:pPr>
    </w:p>
    <w:p>
      <w:pPr>
        <w:spacing w:line="360" w:lineRule="auto"/>
        <w:jc w:val="center"/>
        <w:rPr>
          <w:rFonts w:ascii="宋体" w:hAnsi="宋体" w:cs="楷体_GB2312"/>
          <w:b/>
          <w:bCs/>
          <w:color w:val="auto"/>
          <w:w w:val="95"/>
          <w:sz w:val="30"/>
          <w:szCs w:val="30"/>
        </w:rPr>
      </w:pPr>
      <w:r>
        <w:rPr>
          <w:rFonts w:hint="eastAsia" w:ascii="宋体" w:hAnsi="宋体"/>
          <w:b/>
          <w:bCs/>
          <w:color w:val="auto"/>
          <w:w w:val="95"/>
          <w:sz w:val="30"/>
          <w:szCs w:val="30"/>
        </w:rPr>
        <w:t>二</w:t>
      </w:r>
      <w:r>
        <w:rPr>
          <w:rFonts w:hint="eastAsia" w:ascii="宋体" w:hAnsi="宋体" w:cs="宋体"/>
          <w:b/>
          <w:bCs/>
          <w:color w:val="auto"/>
          <w:w w:val="95"/>
          <w:sz w:val="30"/>
          <w:szCs w:val="30"/>
        </w:rPr>
        <w:t>〇</w:t>
      </w:r>
      <w:r>
        <w:rPr>
          <w:rFonts w:hint="eastAsia" w:ascii="宋体" w:hAnsi="宋体" w:cs="楷体_GB2312"/>
          <w:b/>
          <w:bCs/>
          <w:color w:val="auto"/>
          <w:w w:val="95"/>
          <w:sz w:val="30"/>
          <w:szCs w:val="30"/>
        </w:rPr>
        <w:t>二</w:t>
      </w:r>
      <w:r>
        <w:rPr>
          <w:rFonts w:hint="eastAsia" w:ascii="宋体" w:hAnsi="宋体" w:cs="楷体_GB2312"/>
          <w:b/>
          <w:bCs/>
          <w:color w:val="auto"/>
          <w:w w:val="95"/>
          <w:sz w:val="30"/>
          <w:szCs w:val="30"/>
          <w:lang w:val="en-US" w:eastAsia="zh-CN"/>
        </w:rPr>
        <w:t>四</w:t>
      </w:r>
      <w:r>
        <w:rPr>
          <w:rFonts w:hint="eastAsia" w:ascii="宋体" w:hAnsi="宋体" w:cs="楷体_GB2312"/>
          <w:b/>
          <w:bCs/>
          <w:color w:val="auto"/>
          <w:w w:val="95"/>
          <w:sz w:val="30"/>
          <w:szCs w:val="30"/>
        </w:rPr>
        <w:t>年</w:t>
      </w:r>
      <w:r>
        <w:rPr>
          <w:rFonts w:hint="eastAsia" w:ascii="宋体" w:hAnsi="宋体" w:cs="楷体_GB2312"/>
          <w:b/>
          <w:bCs/>
          <w:color w:val="auto"/>
          <w:w w:val="95"/>
          <w:sz w:val="30"/>
          <w:szCs w:val="30"/>
          <w:lang w:val="en-US" w:eastAsia="zh-CN"/>
        </w:rPr>
        <w:t>二</w:t>
      </w:r>
      <w:r>
        <w:rPr>
          <w:rFonts w:hint="eastAsia" w:ascii="宋体" w:hAnsi="宋体" w:cs="楷体_GB2312"/>
          <w:b/>
          <w:bCs/>
          <w:color w:val="auto"/>
          <w:w w:val="95"/>
          <w:sz w:val="30"/>
          <w:szCs w:val="30"/>
        </w:rPr>
        <w:t>月</w:t>
      </w:r>
    </w:p>
    <w:p>
      <w:pPr>
        <w:spacing w:line="360" w:lineRule="auto"/>
        <w:rPr>
          <w:rFonts w:ascii="宋体" w:hAnsi="宋体" w:cs="楷体_GB2312"/>
          <w:b/>
          <w:bCs/>
          <w:color w:val="auto"/>
          <w:w w:val="95"/>
          <w:sz w:val="30"/>
          <w:szCs w:val="30"/>
        </w:rPr>
        <w:sectPr>
          <w:headerReference r:id="rId3" w:type="default"/>
          <w:footerReference r:id="rId4" w:type="default"/>
          <w:pgSz w:w="11910" w:h="16840"/>
          <w:pgMar w:top="1600" w:right="1260" w:bottom="1700" w:left="1420" w:header="283" w:footer="1508" w:gutter="0"/>
          <w:pgNumType w:fmt="numberInDash"/>
          <w:cols w:space="720" w:num="1"/>
          <w:docGrid w:linePitch="286" w:charSpace="0"/>
        </w:sectPr>
      </w:pPr>
    </w:p>
    <w:p>
      <w:pPr>
        <w:spacing w:after="720" w:afterLines="300" w:line="360" w:lineRule="auto"/>
        <w:jc w:val="center"/>
        <w:rPr>
          <w:rFonts w:ascii="仿宋_GB2312" w:hAnsi="华文中宋" w:eastAsia="仿宋_GB2312"/>
          <w:b/>
          <w:color w:val="auto"/>
          <w:sz w:val="44"/>
          <w:szCs w:val="44"/>
        </w:rPr>
      </w:pPr>
      <w:r>
        <w:rPr>
          <w:rFonts w:hint="eastAsia" w:ascii="仿宋_GB2312" w:hAnsi="华文中宋" w:eastAsia="仿宋_GB2312"/>
          <w:b/>
          <w:color w:val="auto"/>
          <w:sz w:val="44"/>
          <w:szCs w:val="44"/>
        </w:rPr>
        <w:t>目录</w:t>
      </w:r>
    </w:p>
    <w:p>
      <w:pPr>
        <w:snapToGrid w:val="0"/>
        <w:spacing w:after="360" w:afterLines="150" w:line="360" w:lineRule="auto"/>
        <w:ind w:firstLine="2168" w:firstLineChars="600"/>
        <w:jc w:val="left"/>
        <w:rPr>
          <w:rFonts w:ascii="仿宋_GB2312" w:hAnsi="华文中宋" w:eastAsia="仿宋_GB2312"/>
          <w:b/>
          <w:color w:val="auto"/>
          <w:sz w:val="36"/>
          <w:szCs w:val="36"/>
        </w:rPr>
      </w:pPr>
      <w:r>
        <w:rPr>
          <w:rFonts w:hint="eastAsia" w:ascii="仿宋_GB2312" w:hAnsi="华文中宋" w:eastAsia="仿宋_GB2312"/>
          <w:b/>
          <w:color w:val="auto"/>
          <w:sz w:val="36"/>
          <w:szCs w:val="36"/>
        </w:rPr>
        <w:t>第一章    招标公告</w:t>
      </w:r>
    </w:p>
    <w:p>
      <w:pPr>
        <w:snapToGrid w:val="0"/>
        <w:spacing w:after="360" w:afterLines="150" w:line="360" w:lineRule="auto"/>
        <w:ind w:firstLine="2168" w:firstLineChars="600"/>
        <w:jc w:val="left"/>
        <w:rPr>
          <w:rFonts w:ascii="仿宋_GB2312" w:hAnsi="华文中宋" w:eastAsia="仿宋_GB2312"/>
          <w:b/>
          <w:color w:val="auto"/>
          <w:sz w:val="36"/>
          <w:szCs w:val="36"/>
        </w:rPr>
      </w:pPr>
      <w:r>
        <w:rPr>
          <w:rFonts w:hint="eastAsia" w:ascii="仿宋_GB2312" w:hAnsi="华文中宋" w:eastAsia="仿宋_GB2312"/>
          <w:b/>
          <w:color w:val="auto"/>
          <w:sz w:val="36"/>
          <w:szCs w:val="36"/>
        </w:rPr>
        <w:t xml:space="preserve">第二章    </w:t>
      </w:r>
      <w:r>
        <w:rPr>
          <w:rFonts w:hint="eastAsia" w:ascii="仿宋_GB2312" w:hAnsi="华文中宋" w:eastAsia="仿宋_GB2312"/>
          <w:b/>
          <w:color w:val="auto"/>
          <w:sz w:val="36"/>
          <w:szCs w:val="36"/>
          <w:lang w:val="en-US" w:eastAsia="zh-CN"/>
        </w:rPr>
        <w:t>磋商</w:t>
      </w:r>
      <w:r>
        <w:rPr>
          <w:rFonts w:hint="eastAsia" w:ascii="仿宋_GB2312" w:hAnsi="华文中宋" w:eastAsia="仿宋_GB2312"/>
          <w:b/>
          <w:color w:val="auto"/>
          <w:sz w:val="36"/>
          <w:szCs w:val="36"/>
        </w:rPr>
        <w:t>须知</w:t>
      </w:r>
    </w:p>
    <w:p>
      <w:pPr>
        <w:snapToGrid w:val="0"/>
        <w:spacing w:after="360" w:afterLines="150" w:line="360" w:lineRule="auto"/>
        <w:ind w:firstLine="2168" w:firstLineChars="600"/>
        <w:jc w:val="left"/>
        <w:rPr>
          <w:rFonts w:ascii="仿宋_GB2312" w:hAnsi="华文中宋" w:eastAsia="仿宋_GB2312"/>
          <w:b/>
          <w:color w:val="auto"/>
          <w:sz w:val="36"/>
          <w:szCs w:val="36"/>
        </w:rPr>
      </w:pPr>
      <w:r>
        <w:rPr>
          <w:rFonts w:hint="eastAsia" w:ascii="仿宋_GB2312" w:hAnsi="华文中宋" w:eastAsia="仿宋_GB2312"/>
          <w:b/>
          <w:color w:val="auto"/>
          <w:sz w:val="36"/>
          <w:szCs w:val="36"/>
        </w:rPr>
        <w:t>第三章    评标办法及评分标准</w:t>
      </w:r>
    </w:p>
    <w:p>
      <w:pPr>
        <w:snapToGrid w:val="0"/>
        <w:spacing w:after="360" w:afterLines="150" w:line="360" w:lineRule="auto"/>
        <w:ind w:firstLine="2168" w:firstLineChars="600"/>
        <w:jc w:val="left"/>
        <w:rPr>
          <w:rFonts w:ascii="仿宋_GB2312" w:hAnsi="华文中宋" w:eastAsia="仿宋_GB2312"/>
          <w:b/>
          <w:color w:val="auto"/>
          <w:sz w:val="36"/>
          <w:szCs w:val="36"/>
        </w:rPr>
      </w:pPr>
      <w:r>
        <w:rPr>
          <w:rFonts w:hint="eastAsia" w:ascii="仿宋_GB2312" w:hAnsi="华文中宋" w:eastAsia="仿宋_GB2312"/>
          <w:b/>
          <w:color w:val="auto"/>
          <w:sz w:val="36"/>
          <w:szCs w:val="36"/>
        </w:rPr>
        <w:t>第四章    招标需求</w:t>
      </w:r>
    </w:p>
    <w:p>
      <w:pPr>
        <w:snapToGrid w:val="0"/>
        <w:spacing w:after="360" w:afterLines="150" w:line="360" w:lineRule="auto"/>
        <w:ind w:firstLine="2168" w:firstLineChars="600"/>
        <w:jc w:val="left"/>
        <w:rPr>
          <w:rFonts w:ascii="仿宋_GB2312" w:hAnsi="华文中宋" w:eastAsia="仿宋_GB2312"/>
          <w:b/>
          <w:color w:val="auto"/>
          <w:sz w:val="36"/>
          <w:szCs w:val="36"/>
        </w:rPr>
      </w:pPr>
      <w:r>
        <w:rPr>
          <w:rFonts w:hint="eastAsia" w:ascii="仿宋_GB2312" w:hAnsi="华文中宋" w:eastAsia="仿宋_GB2312"/>
          <w:b/>
          <w:color w:val="auto"/>
          <w:sz w:val="36"/>
          <w:szCs w:val="36"/>
        </w:rPr>
        <w:t>第五章    诸暨市政府采购合同</w:t>
      </w:r>
    </w:p>
    <w:p>
      <w:pPr>
        <w:snapToGrid w:val="0"/>
        <w:spacing w:after="360" w:afterLines="150" w:line="360" w:lineRule="auto"/>
        <w:ind w:firstLine="2168" w:firstLineChars="600"/>
        <w:jc w:val="left"/>
        <w:rPr>
          <w:rFonts w:ascii="仿宋_GB2312" w:hAnsi="华文中宋" w:eastAsia="仿宋_GB2312"/>
          <w:b/>
          <w:color w:val="auto"/>
          <w:sz w:val="36"/>
          <w:szCs w:val="36"/>
        </w:rPr>
      </w:pPr>
      <w:r>
        <w:rPr>
          <w:rFonts w:hint="eastAsia" w:ascii="仿宋_GB2312" w:hAnsi="华文中宋" w:eastAsia="仿宋_GB2312"/>
          <w:b/>
          <w:color w:val="auto"/>
          <w:sz w:val="36"/>
          <w:szCs w:val="36"/>
        </w:rPr>
        <w:t>第六章    应提交的有关格式范例</w:t>
      </w:r>
    </w:p>
    <w:p>
      <w:pPr>
        <w:snapToGrid w:val="0"/>
        <w:spacing w:line="360" w:lineRule="auto"/>
        <w:ind w:firstLine="1807" w:firstLineChars="500"/>
        <w:jc w:val="left"/>
        <w:rPr>
          <w:rFonts w:ascii="仿宋_GB2312" w:hAnsi="华文中宋" w:eastAsia="仿宋_GB2312"/>
          <w:b/>
          <w:color w:val="auto"/>
          <w:sz w:val="36"/>
          <w:szCs w:val="36"/>
        </w:rPr>
      </w:pPr>
    </w:p>
    <w:p>
      <w:pPr>
        <w:spacing w:line="360" w:lineRule="auto"/>
        <w:jc w:val="center"/>
        <w:rPr>
          <w:rStyle w:val="54"/>
          <w:rFonts w:ascii="宋体" w:hAnsi="宋体"/>
          <w:color w:val="auto"/>
          <w:sz w:val="30"/>
        </w:rPr>
        <w:sectPr>
          <w:pgSz w:w="11910" w:h="16840"/>
          <w:pgMar w:top="1600" w:right="1260" w:bottom="1700" w:left="1420" w:header="283" w:footer="1508" w:gutter="0"/>
          <w:pgNumType w:fmt="numberInDash"/>
          <w:cols w:space="720" w:num="1"/>
          <w:docGrid w:linePitch="286" w:charSpace="0"/>
        </w:sectPr>
      </w:pPr>
      <w:r>
        <w:rPr>
          <w:rFonts w:hint="eastAsia" w:ascii="仿宋_GB2312" w:hAnsi="华文中宋" w:eastAsia="仿宋_GB2312"/>
          <w:b/>
          <w:color w:val="auto"/>
          <w:sz w:val="28"/>
          <w:szCs w:val="28"/>
        </w:rPr>
        <w:t>请各位投标人详细阅读</w:t>
      </w:r>
    </w:p>
    <w:p>
      <w:pPr>
        <w:pStyle w:val="2"/>
        <w:spacing w:before="0" w:after="160" w:line="240" w:lineRule="auto"/>
        <w:jc w:val="center"/>
        <w:rPr>
          <w:rFonts w:ascii="仿宋" w:hAnsi="仿宋" w:eastAsia="仿宋"/>
          <w:color w:val="auto"/>
          <w:sz w:val="36"/>
          <w:szCs w:val="36"/>
        </w:rPr>
      </w:pPr>
      <w:bookmarkStart w:id="1" w:name="_Toc125344501"/>
      <w:r>
        <w:rPr>
          <w:rFonts w:hint="eastAsia" w:ascii="仿宋" w:hAnsi="仿宋" w:eastAsia="仿宋"/>
          <w:color w:val="auto"/>
          <w:sz w:val="36"/>
          <w:szCs w:val="36"/>
        </w:rPr>
        <w:t xml:space="preserve">第一章  </w:t>
      </w:r>
      <w:bookmarkEnd w:id="1"/>
      <w:r>
        <w:rPr>
          <w:rFonts w:hint="eastAsia" w:ascii="仿宋" w:hAnsi="仿宋" w:eastAsia="仿宋" w:cs="仿宋"/>
          <w:b/>
          <w:bCs/>
          <w:color w:val="auto"/>
          <w:sz w:val="36"/>
          <w:szCs w:val="36"/>
          <w:lang w:val="en-US" w:eastAsia="zh-CN"/>
        </w:rPr>
        <w:t>竞争性磋商</w:t>
      </w:r>
      <w:r>
        <w:rPr>
          <w:rFonts w:hint="eastAsia" w:ascii="仿宋" w:hAnsi="仿宋" w:eastAsia="仿宋" w:cs="仿宋"/>
          <w:b/>
          <w:bCs/>
          <w:color w:val="auto"/>
          <w:sz w:val="36"/>
          <w:szCs w:val="36"/>
        </w:rPr>
        <w:t>公告</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628" w:type="dxa"/>
            <w:vAlign w:val="center"/>
          </w:tcPr>
          <w:p>
            <w:pPr>
              <w:spacing w:line="360" w:lineRule="exact"/>
              <w:jc w:val="left"/>
              <w:rPr>
                <w:rFonts w:ascii="仿宋" w:hAnsi="仿宋" w:eastAsia="仿宋"/>
                <w:b/>
                <w:color w:val="auto"/>
                <w:sz w:val="24"/>
                <w:szCs w:val="24"/>
              </w:rPr>
            </w:pPr>
            <w:r>
              <w:rPr>
                <w:rFonts w:ascii="仿宋" w:hAnsi="仿宋" w:eastAsia="仿宋"/>
                <w:b/>
                <w:color w:val="auto"/>
                <w:sz w:val="24"/>
                <w:szCs w:val="24"/>
              </w:rPr>
              <w:t>项目概况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3" w:hRule="atLeast"/>
          <w:jc w:val="center"/>
        </w:trPr>
        <w:tc>
          <w:tcPr>
            <w:tcW w:w="9628" w:type="dxa"/>
            <w:vAlign w:val="center"/>
          </w:tcPr>
          <w:p>
            <w:pPr>
              <w:spacing w:line="360" w:lineRule="exact"/>
              <w:ind w:firstLine="480" w:firstLineChars="200"/>
              <w:jc w:val="left"/>
              <w:rPr>
                <w:rFonts w:ascii="仿宋" w:hAnsi="仿宋" w:eastAsia="仿宋"/>
                <w:b/>
                <w:color w:val="auto"/>
                <w:sz w:val="24"/>
                <w:szCs w:val="24"/>
              </w:rPr>
            </w:pPr>
            <w:r>
              <w:rPr>
                <w:rFonts w:hint="eastAsia" w:ascii="仿宋" w:hAnsi="仿宋" w:eastAsia="仿宋"/>
                <w:color w:val="auto"/>
                <w:sz w:val="24"/>
                <w:szCs w:val="24"/>
                <w:highlight w:val="none"/>
                <w:u w:val="single"/>
                <w:lang w:val="en-US" w:eastAsia="zh-CN"/>
              </w:rPr>
              <w:t>诸暨市暨南街道2024年度地质灾害工程设计服务采购项目</w:t>
            </w:r>
            <w:r>
              <w:rPr>
                <w:rFonts w:hint="eastAsia" w:ascii="仿宋" w:hAnsi="仿宋" w:eastAsia="仿宋"/>
                <w:sz w:val="24"/>
                <w:szCs w:val="24"/>
              </w:rPr>
              <w:t>的潜在投标人应</w:t>
            </w:r>
            <w:r>
              <w:rPr>
                <w:rFonts w:hint="eastAsia" w:ascii="仿宋" w:hAnsi="仿宋" w:eastAsia="仿宋" w:cs="Times New Roman"/>
                <w:sz w:val="24"/>
                <w:szCs w:val="24"/>
              </w:rPr>
              <w:t>在浙江政府采购网“政府采购云平台”获</w:t>
            </w:r>
            <w:r>
              <w:rPr>
                <w:rFonts w:ascii="仿宋" w:hAnsi="仿宋" w:eastAsia="仿宋"/>
                <w:sz w:val="24"/>
                <w:szCs w:val="24"/>
              </w:rPr>
              <w:t>取（下载）招标文件</w:t>
            </w:r>
            <w:r>
              <w:rPr>
                <w:rFonts w:hint="eastAsia" w:ascii="仿宋" w:hAnsi="仿宋" w:eastAsia="仿宋"/>
                <w:sz w:val="24"/>
                <w:szCs w:val="24"/>
              </w:rPr>
              <w:t>，并</w:t>
            </w:r>
            <w:r>
              <w:rPr>
                <w:rFonts w:hint="eastAsia" w:ascii="仿宋" w:hAnsi="仿宋" w:eastAsia="仿宋"/>
                <w:color w:val="auto"/>
                <w:sz w:val="24"/>
                <w:szCs w:val="24"/>
              </w:rPr>
              <w:t>于</w:t>
            </w:r>
            <w:r>
              <w:rPr>
                <w:rFonts w:hint="eastAsia" w:ascii="仿宋" w:hAnsi="仿宋" w:eastAsia="仿宋"/>
                <w:color w:val="0000FF"/>
                <w:sz w:val="24"/>
                <w:szCs w:val="24"/>
                <w:highlight w:val="none"/>
                <w:u w:val="single"/>
              </w:rPr>
              <w:t>202</w:t>
            </w:r>
            <w:r>
              <w:rPr>
                <w:rFonts w:hint="eastAsia" w:ascii="仿宋" w:hAnsi="仿宋" w:eastAsia="仿宋"/>
                <w:color w:val="0000FF"/>
                <w:sz w:val="24"/>
                <w:szCs w:val="24"/>
                <w:highlight w:val="none"/>
                <w:u w:val="single"/>
                <w:lang w:val="en-US" w:eastAsia="zh-CN"/>
              </w:rPr>
              <w:t>4</w:t>
            </w:r>
            <w:r>
              <w:rPr>
                <w:rFonts w:hint="eastAsia" w:ascii="仿宋" w:hAnsi="仿宋" w:eastAsia="仿宋"/>
                <w:color w:val="0000FF"/>
                <w:sz w:val="24"/>
                <w:szCs w:val="24"/>
                <w:highlight w:val="none"/>
                <w:u w:val="single"/>
              </w:rPr>
              <w:t>年</w:t>
            </w:r>
            <w:r>
              <w:rPr>
                <w:rFonts w:hint="eastAsia" w:ascii="仿宋" w:hAnsi="仿宋" w:eastAsia="仿宋"/>
                <w:color w:val="0000FF"/>
                <w:sz w:val="24"/>
                <w:szCs w:val="24"/>
                <w:highlight w:val="none"/>
                <w:u w:val="single"/>
                <w:lang w:val="en-US" w:eastAsia="zh-CN"/>
              </w:rPr>
              <w:t>2</w:t>
            </w:r>
            <w:r>
              <w:rPr>
                <w:rFonts w:hint="eastAsia" w:ascii="仿宋" w:hAnsi="仿宋" w:eastAsia="仿宋"/>
                <w:color w:val="0000FF"/>
                <w:sz w:val="24"/>
                <w:szCs w:val="24"/>
                <w:highlight w:val="none"/>
                <w:u w:val="single"/>
              </w:rPr>
              <w:t>月</w:t>
            </w:r>
            <w:r>
              <w:rPr>
                <w:rFonts w:hint="eastAsia" w:ascii="仿宋" w:hAnsi="仿宋" w:eastAsia="仿宋"/>
                <w:color w:val="0000FF"/>
                <w:sz w:val="24"/>
                <w:szCs w:val="24"/>
                <w:highlight w:val="none"/>
                <w:u w:val="single"/>
                <w:lang w:val="en-US" w:eastAsia="zh-CN"/>
              </w:rPr>
              <w:t>21</w:t>
            </w:r>
            <w:r>
              <w:rPr>
                <w:rFonts w:hint="eastAsia" w:ascii="仿宋" w:hAnsi="仿宋" w:eastAsia="仿宋"/>
                <w:color w:val="0000FF"/>
                <w:sz w:val="24"/>
                <w:szCs w:val="24"/>
                <w:highlight w:val="none"/>
                <w:u w:val="single"/>
              </w:rPr>
              <w:t>日</w:t>
            </w:r>
            <w:r>
              <w:rPr>
                <w:rFonts w:hint="eastAsia" w:ascii="仿宋" w:hAnsi="仿宋" w:eastAsia="仿宋"/>
                <w:color w:val="0000FF"/>
                <w:sz w:val="24"/>
                <w:szCs w:val="24"/>
                <w:highlight w:val="none"/>
                <w:u w:val="single"/>
                <w:lang w:val="en-US" w:eastAsia="zh-CN"/>
              </w:rPr>
              <w:t>14</w:t>
            </w:r>
            <w:r>
              <w:rPr>
                <w:rFonts w:hint="eastAsia" w:ascii="仿宋" w:hAnsi="仿宋" w:eastAsia="仿宋"/>
                <w:color w:val="0000FF"/>
                <w:sz w:val="24"/>
                <w:szCs w:val="24"/>
                <w:highlight w:val="none"/>
                <w:u w:val="single"/>
              </w:rPr>
              <w:t>点</w:t>
            </w:r>
            <w:r>
              <w:rPr>
                <w:rFonts w:hint="eastAsia" w:ascii="仿宋" w:hAnsi="仿宋" w:eastAsia="仿宋"/>
                <w:color w:val="0000FF"/>
                <w:sz w:val="24"/>
                <w:szCs w:val="24"/>
                <w:highlight w:val="none"/>
                <w:u w:val="single"/>
                <w:lang w:val="en-US" w:eastAsia="zh-CN"/>
              </w:rPr>
              <w:t>0</w:t>
            </w:r>
            <w:r>
              <w:rPr>
                <w:rFonts w:hint="eastAsia" w:ascii="仿宋" w:hAnsi="仿宋" w:eastAsia="仿宋"/>
                <w:color w:val="0000FF"/>
                <w:sz w:val="24"/>
                <w:szCs w:val="24"/>
                <w:highlight w:val="none"/>
                <w:u w:val="single"/>
              </w:rPr>
              <w:t>0分</w:t>
            </w:r>
            <w:r>
              <w:rPr>
                <w:rFonts w:hint="eastAsia" w:ascii="仿宋" w:hAnsi="仿宋" w:eastAsia="仿宋"/>
                <w:color w:val="auto"/>
                <w:sz w:val="24"/>
                <w:szCs w:val="24"/>
                <w:highlight w:val="none"/>
                <w:u w:val="single"/>
              </w:rPr>
              <w:t>（北京时间）</w:t>
            </w:r>
            <w:r>
              <w:rPr>
                <w:rFonts w:hint="eastAsia" w:ascii="仿宋" w:hAnsi="仿宋" w:eastAsia="仿宋"/>
                <w:color w:val="auto"/>
                <w:sz w:val="24"/>
                <w:szCs w:val="24"/>
                <w:highlight w:val="none"/>
              </w:rPr>
              <w:t>前递交（上传）投标文件。</w:t>
            </w:r>
          </w:p>
        </w:tc>
      </w:tr>
    </w:tbl>
    <w:p>
      <w:pPr>
        <w:pStyle w:val="3"/>
        <w:spacing w:before="240" w:after="156" w:afterLines="50" w:line="300" w:lineRule="exact"/>
        <w:rPr>
          <w:rFonts w:ascii="仿宋" w:hAnsi="仿宋" w:eastAsia="仿宋"/>
          <w:sz w:val="24"/>
          <w:szCs w:val="24"/>
        </w:rPr>
      </w:pPr>
      <w:r>
        <w:rPr>
          <w:rFonts w:hint="eastAsia" w:ascii="仿宋" w:hAnsi="仿宋" w:eastAsia="仿宋"/>
          <w:bCs w:val="0"/>
          <w:sz w:val="24"/>
          <w:szCs w:val="24"/>
        </w:rPr>
        <w:t>一、项目基本情况</w:t>
      </w:r>
    </w:p>
    <w:p>
      <w:pPr>
        <w:pStyle w:val="43"/>
        <w:pageBreakBefore w:val="0"/>
        <w:kinsoku/>
        <w:wordWrap/>
        <w:overflowPunct/>
        <w:topLinePunct w:val="0"/>
        <w:bidi w:val="0"/>
        <w:snapToGrid/>
        <w:spacing w:before="0" w:beforeAutospacing="0" w:after="0" w:afterAutospacing="0" w:line="300" w:lineRule="auto"/>
        <w:ind w:firstLine="556"/>
        <w:textAlignment w:val="auto"/>
        <w:rPr>
          <w:rFonts w:hint="default" w:ascii="仿宋" w:hAnsi="仿宋" w:eastAsia="仿宋"/>
          <w:color w:val="auto"/>
          <w:lang w:val="en-US" w:eastAsia="zh-CN"/>
        </w:rPr>
      </w:pPr>
      <w:r>
        <w:rPr>
          <w:rFonts w:hint="eastAsia" w:ascii="仿宋" w:hAnsi="仿宋" w:eastAsia="仿宋"/>
        </w:rPr>
        <w:t>项目编号：</w:t>
      </w:r>
      <w:r>
        <w:rPr>
          <w:rFonts w:hint="eastAsia" w:ascii="仿宋" w:hAnsi="仿宋" w:eastAsia="仿宋"/>
          <w:color w:val="auto"/>
          <w:lang w:val="en-US" w:eastAsia="zh-CN"/>
        </w:rPr>
        <w:t xml:space="preserve">    </w:t>
      </w:r>
    </w:p>
    <w:p>
      <w:pPr>
        <w:pStyle w:val="43"/>
        <w:pageBreakBefore w:val="0"/>
        <w:kinsoku/>
        <w:wordWrap/>
        <w:overflowPunct/>
        <w:topLinePunct w:val="0"/>
        <w:bidi w:val="0"/>
        <w:snapToGrid/>
        <w:spacing w:before="0" w:beforeAutospacing="0" w:after="0" w:afterAutospacing="0" w:line="300" w:lineRule="auto"/>
        <w:ind w:firstLine="556"/>
        <w:textAlignment w:val="auto"/>
        <w:rPr>
          <w:rFonts w:hint="eastAsia" w:ascii="仿宋" w:hAnsi="仿宋" w:eastAsia="仿宋" w:cs="宋体"/>
          <w:bCs/>
          <w:sz w:val="24"/>
          <w:szCs w:val="24"/>
          <w:u w:val="none"/>
          <w:lang w:val="en-US" w:eastAsia="zh-CN"/>
        </w:rPr>
      </w:pPr>
      <w:r>
        <w:rPr>
          <w:rFonts w:hint="eastAsia" w:ascii="仿宋" w:hAnsi="仿宋" w:eastAsia="仿宋"/>
        </w:rPr>
        <w:t>项目名称：</w:t>
      </w:r>
      <w:r>
        <w:rPr>
          <w:rFonts w:hint="eastAsia" w:ascii="仿宋" w:hAnsi="仿宋" w:eastAsia="仿宋"/>
          <w:color w:val="auto"/>
          <w:lang w:val="en-US" w:eastAsia="zh-CN"/>
        </w:rPr>
        <w:t>诸暨市暨南街道2024年度地质灾害工程设计服务采购项目</w:t>
      </w:r>
    </w:p>
    <w:p>
      <w:pPr>
        <w:pStyle w:val="43"/>
        <w:pageBreakBefore w:val="0"/>
        <w:kinsoku/>
        <w:wordWrap/>
        <w:overflowPunct/>
        <w:topLinePunct w:val="0"/>
        <w:bidi w:val="0"/>
        <w:snapToGrid/>
        <w:spacing w:before="0" w:beforeAutospacing="0" w:after="0" w:afterAutospacing="0" w:line="300" w:lineRule="auto"/>
        <w:ind w:firstLine="556"/>
        <w:textAlignment w:val="auto"/>
        <w:rPr>
          <w:rFonts w:hint="default" w:ascii="仿宋" w:hAnsi="仿宋" w:eastAsia="仿宋" w:cs="宋体"/>
          <w:bCs/>
          <w:sz w:val="24"/>
          <w:szCs w:val="24"/>
          <w:u w:val="none"/>
          <w:lang w:val="en-US" w:eastAsia="zh-CN"/>
        </w:rPr>
      </w:pPr>
      <w:r>
        <w:rPr>
          <w:rFonts w:hint="eastAsia" w:ascii="仿宋" w:hAnsi="仿宋" w:eastAsia="仿宋" w:cs="宋体"/>
          <w:bCs/>
          <w:sz w:val="24"/>
          <w:szCs w:val="24"/>
          <w:u w:val="none"/>
          <w:lang w:val="en-US" w:eastAsia="zh-CN"/>
        </w:rPr>
        <w:t xml:space="preserve">采购方式：竞争性磋商 </w:t>
      </w:r>
    </w:p>
    <w:p>
      <w:pPr>
        <w:pStyle w:val="43"/>
        <w:pageBreakBefore w:val="0"/>
        <w:kinsoku/>
        <w:wordWrap/>
        <w:overflowPunct/>
        <w:topLinePunct w:val="0"/>
        <w:bidi w:val="0"/>
        <w:snapToGrid/>
        <w:spacing w:before="0" w:beforeAutospacing="0" w:after="0" w:afterAutospacing="0" w:line="300" w:lineRule="auto"/>
        <w:ind w:firstLine="556"/>
        <w:textAlignment w:val="auto"/>
        <w:rPr>
          <w:rFonts w:hint="default" w:ascii="仿宋" w:hAnsi="仿宋" w:eastAsia="仿宋"/>
          <w:lang w:val="en-US" w:eastAsia="zh-CN"/>
        </w:rPr>
      </w:pPr>
      <w:r>
        <w:rPr>
          <w:rFonts w:hint="eastAsia" w:ascii="仿宋" w:hAnsi="仿宋" w:eastAsia="仿宋"/>
        </w:rPr>
        <w:t>预算金额</w:t>
      </w:r>
      <w:r>
        <w:rPr>
          <w:rFonts w:hint="eastAsia" w:ascii="仿宋" w:hAnsi="仿宋" w:eastAsia="仿宋"/>
          <w:lang w:eastAsia="zh-CN"/>
        </w:rPr>
        <w:t>（元）</w:t>
      </w:r>
      <w:r>
        <w:rPr>
          <w:rFonts w:hint="eastAsia" w:ascii="仿宋" w:hAnsi="仿宋" w:eastAsia="仿宋"/>
        </w:rPr>
        <w:t>：</w:t>
      </w:r>
      <w:r>
        <w:rPr>
          <w:rFonts w:hint="eastAsia" w:ascii="仿宋" w:hAnsi="仿宋" w:eastAsia="仿宋"/>
          <w:lang w:val="en-US" w:eastAsia="zh-CN"/>
        </w:rPr>
        <w:t>300000</w:t>
      </w:r>
    </w:p>
    <w:p>
      <w:pPr>
        <w:pStyle w:val="43"/>
        <w:pageBreakBefore w:val="0"/>
        <w:kinsoku/>
        <w:wordWrap/>
        <w:overflowPunct/>
        <w:topLinePunct w:val="0"/>
        <w:bidi w:val="0"/>
        <w:snapToGrid/>
        <w:spacing w:before="0" w:beforeAutospacing="0" w:after="0" w:afterAutospacing="0" w:line="300" w:lineRule="auto"/>
        <w:ind w:firstLine="556"/>
        <w:textAlignment w:val="auto"/>
        <w:rPr>
          <w:rFonts w:hint="default" w:ascii="仿宋" w:hAnsi="仿宋" w:eastAsia="仿宋"/>
          <w:lang w:val="en-US" w:eastAsia="zh-CN"/>
        </w:rPr>
      </w:pPr>
      <w:r>
        <w:rPr>
          <w:rFonts w:hint="eastAsia" w:ascii="仿宋" w:hAnsi="仿宋" w:eastAsia="仿宋"/>
        </w:rPr>
        <w:t>最高限价</w:t>
      </w:r>
      <w:r>
        <w:rPr>
          <w:rFonts w:hint="eastAsia" w:ascii="仿宋" w:hAnsi="仿宋" w:eastAsia="仿宋"/>
          <w:lang w:eastAsia="zh-CN"/>
        </w:rPr>
        <w:t>（元）</w:t>
      </w:r>
      <w:r>
        <w:rPr>
          <w:rFonts w:hint="eastAsia" w:ascii="仿宋" w:hAnsi="仿宋" w:eastAsia="仿宋"/>
        </w:rPr>
        <w:t>：</w:t>
      </w:r>
      <w:r>
        <w:rPr>
          <w:rFonts w:hint="eastAsia" w:ascii="仿宋" w:hAnsi="仿宋" w:eastAsia="仿宋"/>
          <w:lang w:val="en-US" w:eastAsia="zh-CN"/>
        </w:rPr>
        <w:t>/</w:t>
      </w:r>
    </w:p>
    <w:p>
      <w:pPr>
        <w:pStyle w:val="43"/>
        <w:pageBreakBefore w:val="0"/>
        <w:kinsoku/>
        <w:wordWrap/>
        <w:overflowPunct/>
        <w:topLinePunct w:val="0"/>
        <w:bidi w:val="0"/>
        <w:snapToGrid/>
        <w:spacing w:before="0" w:beforeAutospacing="0" w:after="0" w:afterAutospacing="0" w:line="300" w:lineRule="auto"/>
        <w:ind w:firstLine="556"/>
        <w:textAlignment w:val="auto"/>
        <w:rPr>
          <w:rFonts w:ascii="仿宋" w:hAnsi="仿宋" w:eastAsia="仿宋"/>
        </w:rPr>
      </w:pPr>
      <w:r>
        <w:rPr>
          <w:rFonts w:hint="eastAsia" w:ascii="仿宋" w:hAnsi="仿宋" w:eastAsia="仿宋"/>
        </w:rPr>
        <w:t>采购需求：</w:t>
      </w:r>
      <w:r>
        <w:rPr>
          <w:rFonts w:hint="eastAsia" w:ascii="仿宋" w:hAnsi="仿宋" w:eastAsia="仿宋"/>
          <w:color w:val="auto"/>
          <w:lang w:val="en-US" w:eastAsia="zh-CN"/>
        </w:rPr>
        <w:t>诸暨市暨南街道2024年度地质灾害工程设计服务采购项目</w:t>
      </w:r>
      <w:r>
        <w:rPr>
          <w:rFonts w:hint="eastAsia" w:ascii="仿宋" w:hAnsi="仿宋" w:eastAsia="仿宋" w:cs="宋体"/>
          <w:lang w:eastAsia="zh-CN"/>
        </w:rPr>
        <w:t>，</w:t>
      </w:r>
      <w:r>
        <w:rPr>
          <w:rFonts w:hint="eastAsia" w:ascii="仿宋" w:hAnsi="仿宋" w:eastAsia="仿宋" w:cs="宋体"/>
          <w:lang w:val="en-US" w:eastAsia="zh-CN"/>
        </w:rPr>
        <w:t>采购预算金额30万元，</w:t>
      </w:r>
      <w:r>
        <w:rPr>
          <w:rFonts w:hint="eastAsia" w:ascii="仿宋" w:hAnsi="仿宋" w:eastAsia="仿宋" w:cs="宋体"/>
        </w:rPr>
        <w:t>具体详见采购需求</w:t>
      </w:r>
      <w:r>
        <w:rPr>
          <w:rFonts w:hint="eastAsia" w:ascii="仿宋" w:hAnsi="仿宋" w:eastAsia="仿宋" w:cs="宋体"/>
          <w:bCs/>
        </w:rPr>
        <w:t>。</w:t>
      </w:r>
    </w:p>
    <w:p>
      <w:pPr>
        <w:pStyle w:val="43"/>
        <w:pageBreakBefore w:val="0"/>
        <w:kinsoku/>
        <w:wordWrap/>
        <w:overflowPunct/>
        <w:topLinePunct w:val="0"/>
        <w:bidi w:val="0"/>
        <w:snapToGrid/>
        <w:spacing w:before="0" w:beforeAutospacing="0" w:after="0" w:afterAutospacing="0" w:line="300" w:lineRule="auto"/>
        <w:ind w:firstLine="556"/>
        <w:textAlignment w:val="auto"/>
        <w:rPr>
          <w:rFonts w:ascii="仿宋" w:hAnsi="仿宋" w:eastAsia="仿宋"/>
        </w:rPr>
      </w:pPr>
      <w:r>
        <w:rPr>
          <w:rFonts w:hint="eastAsia" w:ascii="仿宋" w:hAnsi="仿宋" w:eastAsia="仿宋"/>
          <w:color w:val="auto"/>
        </w:rPr>
        <w:t>合同履行期限：</w:t>
      </w:r>
      <w:r>
        <w:rPr>
          <w:rFonts w:hint="eastAsia" w:ascii="仿宋" w:hAnsi="仿宋" w:eastAsia="仿宋" w:cs="宋体"/>
          <w:lang w:eastAsia="zh-CN"/>
        </w:rPr>
        <w:t>详见采购需求</w:t>
      </w:r>
      <w:r>
        <w:rPr>
          <w:rFonts w:hint="eastAsia" w:ascii="仿宋" w:hAnsi="仿宋" w:eastAsia="仿宋"/>
          <w:color w:val="auto"/>
        </w:rPr>
        <w:t>。</w:t>
      </w:r>
    </w:p>
    <w:p>
      <w:pPr>
        <w:pageBreakBefore w:val="0"/>
        <w:kinsoku/>
        <w:wordWrap/>
        <w:overflowPunct/>
        <w:topLinePunct w:val="0"/>
        <w:bidi w:val="0"/>
        <w:snapToGrid/>
        <w:spacing w:line="300" w:lineRule="auto"/>
        <w:textAlignment w:val="auto"/>
        <w:rPr>
          <w:rFonts w:ascii="仿宋" w:hAnsi="仿宋" w:eastAsia="仿宋"/>
          <w:sz w:val="24"/>
          <w:szCs w:val="24"/>
        </w:rPr>
      </w:pPr>
      <w:r>
        <w:rPr>
          <w:rFonts w:hint="eastAsia" w:ascii="仿宋" w:hAnsi="仿宋" w:eastAsia="仿宋"/>
          <w:bCs w:val="0"/>
          <w:sz w:val="24"/>
          <w:szCs w:val="24"/>
        </w:rPr>
        <w:t>二、</w:t>
      </w:r>
      <w:r>
        <w:rPr>
          <w:rFonts w:hint="eastAsia" w:ascii="仿宋" w:hAnsi="仿宋" w:eastAsia="仿宋"/>
          <w:b/>
          <w:sz w:val="24"/>
          <w:lang w:val="en-US" w:eastAsia="zh-CN"/>
        </w:rPr>
        <w:t>磋商</w:t>
      </w:r>
      <w:r>
        <w:rPr>
          <w:rFonts w:ascii="仿宋" w:hAnsi="仿宋" w:eastAsia="仿宋"/>
          <w:b/>
          <w:sz w:val="24"/>
        </w:rPr>
        <w:t>（供应商）资格要求</w:t>
      </w:r>
      <w:r>
        <w:rPr>
          <w:rFonts w:hint="eastAsia" w:ascii="仿宋" w:hAnsi="仿宋" w:eastAsia="仿宋"/>
          <w:bCs w:val="0"/>
          <w:sz w:val="24"/>
          <w:szCs w:val="24"/>
        </w:rPr>
        <w:t>：</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556"/>
        <w:textAlignment w:val="auto"/>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满足《中华人民共和国政府采购法》第二十二条规定，且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theme="minorBidi"/>
          <w:color w:val="auto"/>
          <w:kern w:val="2"/>
          <w:sz w:val="24"/>
          <w:szCs w:val="24"/>
          <w:lang w:val="en-US" w:eastAsia="zh-CN" w:bidi="ar-SA"/>
        </w:rPr>
      </w:pPr>
      <w:r>
        <w:rPr>
          <w:rFonts w:hint="eastAsia" w:ascii="仿宋" w:hAnsi="仿宋" w:eastAsia="仿宋" w:cstheme="minorBidi"/>
          <w:color w:val="auto"/>
          <w:kern w:val="2"/>
          <w:sz w:val="24"/>
          <w:szCs w:val="24"/>
          <w:lang w:val="en-US" w:eastAsia="zh-CN" w:bidi="ar-SA"/>
        </w:rPr>
        <w:t>2.落实政府采购政策需满足的资格要求：</w:t>
      </w:r>
      <w:r>
        <w:rPr>
          <w:rFonts w:hint="eastAsia" w:ascii="仿宋" w:hAnsi="仿宋" w:eastAsia="仿宋" w:cstheme="minorBidi"/>
          <w:color w:val="auto"/>
          <w:kern w:val="2"/>
          <w:sz w:val="24"/>
          <w:szCs w:val="24"/>
          <w:lang w:val="en-US" w:eastAsia="zh-CN" w:bidi="ar-SA"/>
        </w:rPr>
        <w:sym w:font="Wingdings" w:char="F0FE"/>
      </w:r>
      <w:r>
        <w:rPr>
          <w:rFonts w:hint="eastAsia" w:ascii="仿宋" w:hAnsi="仿宋" w:eastAsia="仿宋" w:cstheme="minorBidi"/>
          <w:color w:val="auto"/>
          <w:kern w:val="2"/>
          <w:sz w:val="24"/>
          <w:szCs w:val="24"/>
          <w:lang w:val="en-US" w:eastAsia="zh-CN" w:bidi="ar-SA"/>
        </w:rPr>
        <w:t>专门面向中小企业。供应商应为中小微企业、监狱企业、残疾人福利性单位。</w:t>
      </w:r>
    </w:p>
    <w:p>
      <w:pPr>
        <w:ind w:firstLine="480" w:firstLineChars="200"/>
        <w:rPr>
          <w:rFonts w:hint="eastAsia" w:ascii="仿宋" w:hAnsi="仿宋" w:eastAsia="仿宋" w:cstheme="minorBidi"/>
          <w:color w:val="auto"/>
          <w:kern w:val="2"/>
          <w:sz w:val="24"/>
          <w:szCs w:val="24"/>
          <w:lang w:val="en-US" w:eastAsia="zh-CN" w:bidi="ar-SA"/>
        </w:rPr>
      </w:pPr>
      <w:r>
        <w:rPr>
          <w:rFonts w:hint="eastAsia" w:ascii="仿宋" w:hAnsi="仿宋" w:eastAsia="仿宋" w:cstheme="minorBidi"/>
          <w:color w:val="auto"/>
          <w:kern w:val="2"/>
          <w:sz w:val="24"/>
          <w:szCs w:val="24"/>
          <w:lang w:val="en-US" w:eastAsia="zh-CN" w:bidi="ar-SA"/>
        </w:rPr>
        <w:t>3.本项目的特定资格要求：投标人须同时具有地质灾害防治（勘查）乙级及以上资质和地质灾害防治（设计）乙级及以上资质；</w:t>
      </w:r>
    </w:p>
    <w:p>
      <w:pPr>
        <w:pStyle w:val="25"/>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spacing w:val="7"/>
          <w:sz w:val="20"/>
          <w:szCs w:val="20"/>
          <w:highlight w:val="none"/>
        </w:rPr>
      </w:pPr>
      <w:r>
        <w:rPr>
          <w:rFonts w:hint="eastAsia" w:ascii="仿宋" w:hAnsi="仿宋" w:eastAsia="仿宋" w:cs="仿宋"/>
          <w:color w:val="000000"/>
          <w:szCs w:val="24"/>
          <w:highlight w:val="none"/>
          <w:lang w:val="en-US" w:eastAsia="zh-CN"/>
        </w:rPr>
        <w:t>4.本项目</w:t>
      </w:r>
      <w:r>
        <w:rPr>
          <w:rFonts w:hint="eastAsia" w:ascii="仿宋" w:hAnsi="仿宋" w:eastAsia="仿宋" w:cs="仿宋"/>
          <w:color w:val="000000"/>
          <w:szCs w:val="24"/>
          <w:highlight w:val="none"/>
          <w:u w:val="single"/>
          <w:lang w:val="en-US" w:eastAsia="zh-CN"/>
        </w:rPr>
        <w:t>不</w:t>
      </w:r>
      <w:r>
        <w:rPr>
          <w:rFonts w:hint="eastAsia" w:ascii="仿宋" w:hAnsi="仿宋" w:eastAsia="仿宋" w:cs="仿宋"/>
          <w:color w:val="000000"/>
          <w:szCs w:val="24"/>
          <w:highlight w:val="none"/>
          <w:lang w:val="en-US" w:eastAsia="zh-CN"/>
        </w:rPr>
        <w:t>接受联合体投标。</w:t>
      </w:r>
    </w:p>
    <w:p>
      <w:pPr>
        <w:pStyle w:val="43"/>
        <w:pageBreakBefore w:val="0"/>
        <w:kinsoku/>
        <w:wordWrap/>
        <w:overflowPunct/>
        <w:topLinePunct w:val="0"/>
        <w:bidi w:val="0"/>
        <w:snapToGrid/>
        <w:spacing w:before="0" w:beforeAutospacing="0" w:after="0" w:afterAutospacing="0" w:line="300" w:lineRule="auto"/>
        <w:textAlignment w:val="auto"/>
        <w:rPr>
          <w:rFonts w:hint="eastAsia" w:ascii="仿宋" w:hAnsi="仿宋" w:eastAsia="仿宋"/>
          <w:lang w:eastAsia="zh-CN"/>
        </w:rPr>
      </w:pPr>
      <w:r>
        <w:rPr>
          <w:rFonts w:hint="eastAsia" w:ascii="仿宋" w:hAnsi="仿宋" w:eastAsia="仿宋"/>
          <w:b/>
          <w:bCs/>
        </w:rPr>
        <w:t>三、</w:t>
      </w:r>
      <w:r>
        <w:rPr>
          <w:rFonts w:hint="eastAsia" w:ascii="仿宋" w:hAnsi="仿宋" w:eastAsia="仿宋"/>
          <w:b/>
          <w:bCs/>
          <w:lang w:val="en-US" w:eastAsia="zh-CN"/>
        </w:rPr>
        <w:t>磋商</w:t>
      </w:r>
      <w:r>
        <w:rPr>
          <w:rFonts w:hint="eastAsia" w:ascii="仿宋" w:hAnsi="仿宋" w:eastAsia="仿宋"/>
          <w:b/>
          <w:bCs/>
        </w:rPr>
        <w:t>文件</w:t>
      </w:r>
      <w:r>
        <w:rPr>
          <w:rFonts w:hint="eastAsia" w:ascii="仿宋" w:hAnsi="仿宋" w:eastAsia="仿宋"/>
          <w:b/>
          <w:bCs/>
          <w:lang w:val="en-US" w:eastAsia="zh-CN"/>
        </w:rPr>
        <w:t>的</w:t>
      </w:r>
      <w:r>
        <w:rPr>
          <w:rFonts w:hint="eastAsia" w:ascii="仿宋" w:hAnsi="仿宋" w:eastAsia="仿宋"/>
          <w:b/>
          <w:bCs/>
        </w:rPr>
        <w:t>获取</w:t>
      </w:r>
      <w:r>
        <w:rPr>
          <w:rFonts w:hint="eastAsia" w:ascii="仿宋" w:hAnsi="仿宋" w:eastAsia="仿宋"/>
          <w:b/>
          <w:bCs/>
          <w:lang w:eastAsia="zh-CN"/>
        </w:rPr>
        <w:t>：</w:t>
      </w:r>
    </w:p>
    <w:p>
      <w:pPr>
        <w:pStyle w:val="43"/>
        <w:pageBreakBefore w:val="0"/>
        <w:kinsoku/>
        <w:wordWrap/>
        <w:overflowPunct/>
        <w:topLinePunct w:val="0"/>
        <w:bidi w:val="0"/>
        <w:snapToGrid/>
        <w:spacing w:before="0" w:beforeAutospacing="0" w:after="0" w:afterAutospacing="0" w:line="300" w:lineRule="auto"/>
        <w:ind w:firstLine="556"/>
        <w:textAlignment w:val="auto"/>
        <w:rPr>
          <w:rFonts w:ascii="仿宋" w:hAnsi="仿宋" w:eastAsia="仿宋"/>
          <w:color w:val="auto"/>
        </w:rPr>
      </w:pPr>
      <w:r>
        <w:rPr>
          <w:rFonts w:hint="eastAsia" w:ascii="仿宋" w:hAnsi="仿宋" w:eastAsia="仿宋"/>
        </w:rPr>
        <w:t>时间</w:t>
      </w:r>
      <w:r>
        <w:rPr>
          <w:rFonts w:hint="eastAsia" w:ascii="仿宋" w:hAnsi="仿宋" w:eastAsia="仿宋"/>
          <w:color w:val="auto"/>
        </w:rPr>
        <w:t>：</w:t>
      </w:r>
      <w:r>
        <w:rPr>
          <w:rFonts w:hint="eastAsia" w:ascii="仿宋" w:hAnsi="仿宋" w:eastAsia="仿宋"/>
          <w:color w:val="auto"/>
          <w:highlight w:val="none"/>
          <w:u w:val="single"/>
        </w:rPr>
        <w:t xml:space="preserve"> </w:t>
      </w:r>
      <w:r>
        <w:rPr>
          <w:rFonts w:hint="eastAsia" w:ascii="仿宋" w:hAnsi="仿宋" w:eastAsia="仿宋"/>
          <w:color w:val="auto"/>
          <w:highlight w:val="none"/>
          <w:u w:val="single"/>
          <w:lang w:val="en-US" w:eastAsia="zh-CN"/>
        </w:rPr>
        <w:t>/</w:t>
      </w:r>
      <w:r>
        <w:rPr>
          <w:rFonts w:hint="eastAsia" w:ascii="仿宋" w:hAnsi="仿宋" w:eastAsia="仿宋"/>
          <w:color w:val="auto"/>
          <w:highlight w:val="none"/>
          <w:u w:val="single"/>
        </w:rPr>
        <w:t xml:space="preserve">  </w:t>
      </w:r>
      <w:r>
        <w:rPr>
          <w:rFonts w:hint="eastAsia" w:ascii="仿宋" w:hAnsi="仿宋" w:eastAsia="仿宋"/>
          <w:color w:val="0000FF"/>
          <w:highlight w:val="none"/>
        </w:rPr>
        <w:t>至</w:t>
      </w:r>
      <w:r>
        <w:rPr>
          <w:rFonts w:hint="eastAsia" w:ascii="仿宋" w:hAnsi="仿宋" w:eastAsia="仿宋"/>
          <w:color w:val="0000FF"/>
          <w:highlight w:val="none"/>
          <w:u w:val="single"/>
        </w:rPr>
        <w:t>202</w:t>
      </w:r>
      <w:r>
        <w:rPr>
          <w:rFonts w:hint="eastAsia" w:ascii="仿宋" w:hAnsi="仿宋" w:eastAsia="仿宋"/>
          <w:color w:val="0000FF"/>
          <w:highlight w:val="none"/>
          <w:u w:val="single"/>
          <w:lang w:val="en-US" w:eastAsia="zh-CN"/>
        </w:rPr>
        <w:t>4</w:t>
      </w:r>
      <w:r>
        <w:rPr>
          <w:rFonts w:hint="eastAsia" w:ascii="仿宋" w:hAnsi="仿宋" w:eastAsia="仿宋"/>
          <w:color w:val="0000FF"/>
          <w:highlight w:val="none"/>
          <w:u w:val="single"/>
        </w:rPr>
        <w:t>年</w:t>
      </w:r>
      <w:r>
        <w:rPr>
          <w:rFonts w:hint="eastAsia" w:ascii="仿宋" w:hAnsi="仿宋" w:eastAsia="仿宋"/>
          <w:color w:val="0000FF"/>
          <w:highlight w:val="none"/>
          <w:u w:val="single"/>
          <w:lang w:val="en-US" w:eastAsia="zh-CN"/>
        </w:rPr>
        <w:t>2</w:t>
      </w:r>
      <w:r>
        <w:rPr>
          <w:rFonts w:hint="eastAsia" w:ascii="仿宋" w:hAnsi="仿宋" w:eastAsia="仿宋"/>
          <w:color w:val="0000FF"/>
          <w:highlight w:val="none"/>
          <w:u w:val="single"/>
        </w:rPr>
        <w:t>月</w:t>
      </w:r>
      <w:r>
        <w:rPr>
          <w:rFonts w:hint="eastAsia" w:ascii="仿宋" w:hAnsi="仿宋" w:eastAsia="仿宋"/>
          <w:color w:val="0000FF"/>
          <w:highlight w:val="none"/>
          <w:u w:val="single"/>
          <w:lang w:val="en-US" w:eastAsia="zh-CN"/>
        </w:rPr>
        <w:t>21</w:t>
      </w:r>
      <w:r>
        <w:rPr>
          <w:rFonts w:hint="eastAsia" w:ascii="仿宋" w:hAnsi="仿宋" w:eastAsia="仿宋"/>
          <w:color w:val="0000FF"/>
          <w:highlight w:val="none"/>
          <w:u w:val="single"/>
        </w:rPr>
        <w:t>日</w:t>
      </w:r>
      <w:r>
        <w:rPr>
          <w:rFonts w:hint="eastAsia" w:ascii="仿宋" w:hAnsi="仿宋" w:eastAsia="仿宋"/>
          <w:color w:val="auto"/>
        </w:rPr>
        <w:t>，每天上午</w:t>
      </w:r>
      <w:r>
        <w:rPr>
          <w:rFonts w:hint="eastAsia" w:ascii="仿宋" w:hAnsi="仿宋" w:eastAsia="仿宋"/>
          <w:color w:val="auto"/>
          <w:u w:val="single"/>
        </w:rPr>
        <w:t>00:00</w:t>
      </w:r>
      <w:r>
        <w:rPr>
          <w:rFonts w:hint="eastAsia" w:ascii="仿宋" w:hAnsi="仿宋" w:eastAsia="仿宋"/>
          <w:color w:val="auto"/>
        </w:rPr>
        <w:t>至</w:t>
      </w:r>
      <w:r>
        <w:rPr>
          <w:rFonts w:hint="eastAsia" w:ascii="仿宋" w:hAnsi="仿宋" w:eastAsia="仿宋"/>
          <w:color w:val="auto"/>
          <w:u w:val="single"/>
        </w:rPr>
        <w:t>12:00</w:t>
      </w:r>
      <w:r>
        <w:rPr>
          <w:rFonts w:hint="eastAsia" w:ascii="仿宋" w:hAnsi="仿宋" w:eastAsia="仿宋"/>
          <w:color w:val="auto"/>
        </w:rPr>
        <w:t>，下午</w:t>
      </w:r>
      <w:r>
        <w:rPr>
          <w:rFonts w:hint="eastAsia" w:ascii="仿宋" w:hAnsi="仿宋" w:eastAsia="仿宋"/>
          <w:color w:val="auto"/>
          <w:u w:val="single"/>
        </w:rPr>
        <w:t>12:00</w:t>
      </w:r>
      <w:r>
        <w:rPr>
          <w:rFonts w:hint="eastAsia" w:ascii="仿宋" w:hAnsi="仿宋" w:eastAsia="仿宋"/>
          <w:color w:val="auto"/>
        </w:rPr>
        <w:t>至</w:t>
      </w:r>
      <w:r>
        <w:rPr>
          <w:rFonts w:ascii="仿宋" w:hAnsi="仿宋" w:eastAsia="仿宋"/>
          <w:u w:val="single"/>
        </w:rPr>
        <w:t>23:59</w:t>
      </w:r>
      <w:r>
        <w:rPr>
          <w:rFonts w:hint="eastAsia" w:ascii="仿宋" w:hAnsi="仿宋" w:eastAsia="仿宋"/>
          <w:color w:val="auto"/>
        </w:rPr>
        <w:t>（北京时间，线上获取法定节假日均可，线下获取文件法定节假日除外）</w:t>
      </w:r>
    </w:p>
    <w:p>
      <w:pPr>
        <w:pStyle w:val="43"/>
        <w:pageBreakBefore w:val="0"/>
        <w:kinsoku/>
        <w:wordWrap/>
        <w:overflowPunct/>
        <w:topLinePunct w:val="0"/>
        <w:bidi w:val="0"/>
        <w:snapToGrid/>
        <w:spacing w:before="0" w:beforeAutospacing="0" w:after="0" w:afterAutospacing="0" w:line="300" w:lineRule="auto"/>
        <w:ind w:firstLine="556"/>
        <w:textAlignment w:val="auto"/>
        <w:rPr>
          <w:rFonts w:hint="eastAsia" w:ascii="仿宋" w:hAnsi="仿宋" w:eastAsia="仿宋"/>
        </w:rPr>
      </w:pPr>
      <w:r>
        <w:rPr>
          <w:rFonts w:hint="eastAsia" w:ascii="仿宋" w:hAnsi="仿宋" w:eastAsia="仿宋"/>
        </w:rPr>
        <w:t>地点（网址）：政府采购云平台（http://zfcg.czt.zj.gov.cn/）</w:t>
      </w:r>
    </w:p>
    <w:p>
      <w:pPr>
        <w:spacing w:line="360" w:lineRule="auto"/>
        <w:ind w:firstLine="630" w:firstLineChars="300"/>
        <w:rPr>
          <w:rFonts w:hint="eastAsia" w:ascii="仿宋" w:hAnsi="仿宋" w:eastAsia="仿宋"/>
        </w:rPr>
      </w:pPr>
      <w:r>
        <w:rPr>
          <w:rFonts w:hint="eastAsia" w:ascii="仿宋" w:hAnsi="仿宋" w:eastAsia="仿宋"/>
        </w:rPr>
        <w:t>方式：</w:t>
      </w:r>
      <w:r>
        <w:rPr>
          <w:rFonts w:hint="eastAsia" w:ascii="仿宋" w:hAnsi="仿宋" w:eastAsia="仿宋" w:cstheme="minorBidi"/>
          <w:color w:val="000000"/>
          <w:kern w:val="2"/>
          <w:sz w:val="24"/>
          <w:szCs w:val="24"/>
          <w:lang w:val="en-US" w:eastAsia="zh-CN" w:bidi="ar-SA"/>
        </w:rPr>
        <w:t>本项目招标文件采用网上下载方式发布，不提供招标文件纸质版。符合投标人资格条件的供应商请在上述网站采购公告栏目中获取招标文件。本项目无须报名，直接在政府采购云平台上参与电子投标。</w:t>
      </w:r>
    </w:p>
    <w:p>
      <w:pPr>
        <w:pStyle w:val="43"/>
        <w:pageBreakBefore w:val="0"/>
        <w:kinsoku/>
        <w:wordWrap/>
        <w:overflowPunct/>
        <w:topLinePunct w:val="0"/>
        <w:bidi w:val="0"/>
        <w:snapToGrid/>
        <w:spacing w:before="0" w:beforeAutospacing="0" w:after="0" w:afterAutospacing="0" w:line="300" w:lineRule="auto"/>
        <w:ind w:firstLine="556"/>
        <w:textAlignment w:val="auto"/>
        <w:rPr>
          <w:rFonts w:ascii="仿宋" w:hAnsi="仿宋" w:eastAsia="仿宋"/>
        </w:rPr>
      </w:pPr>
      <w:r>
        <w:rPr>
          <w:rFonts w:hint="eastAsia" w:ascii="仿宋" w:hAnsi="仿宋" w:eastAsia="仿宋"/>
        </w:rPr>
        <w:t>售价：免费。</w:t>
      </w:r>
    </w:p>
    <w:p>
      <w:pPr>
        <w:pStyle w:val="3"/>
        <w:pageBreakBefore w:val="0"/>
        <w:kinsoku/>
        <w:wordWrap/>
        <w:overflowPunct/>
        <w:topLinePunct w:val="0"/>
        <w:bidi w:val="0"/>
        <w:snapToGrid/>
        <w:spacing w:before="0" w:after="0" w:line="300" w:lineRule="auto"/>
        <w:textAlignment w:val="auto"/>
        <w:rPr>
          <w:rFonts w:ascii="仿宋" w:hAnsi="仿宋" w:eastAsia="仿宋"/>
          <w:sz w:val="24"/>
          <w:szCs w:val="24"/>
        </w:rPr>
      </w:pPr>
      <w:r>
        <w:rPr>
          <w:rFonts w:hint="eastAsia" w:ascii="仿宋" w:hAnsi="仿宋" w:eastAsia="仿宋"/>
          <w:bCs w:val="0"/>
          <w:sz w:val="24"/>
          <w:szCs w:val="24"/>
        </w:rPr>
        <w:t>四、提交</w:t>
      </w:r>
      <w:r>
        <w:rPr>
          <w:rFonts w:hint="eastAsia" w:ascii="仿宋" w:hAnsi="仿宋" w:eastAsia="仿宋"/>
          <w:bCs w:val="0"/>
          <w:sz w:val="24"/>
          <w:szCs w:val="24"/>
          <w:lang w:val="en-US" w:eastAsia="zh-CN"/>
        </w:rPr>
        <w:t>磋商</w:t>
      </w:r>
      <w:r>
        <w:rPr>
          <w:rFonts w:hint="eastAsia" w:ascii="仿宋" w:hAnsi="仿宋" w:eastAsia="仿宋"/>
          <w:bCs w:val="0"/>
          <w:sz w:val="24"/>
          <w:szCs w:val="24"/>
        </w:rPr>
        <w:t>文件截止时间、开标时间和地点</w:t>
      </w:r>
    </w:p>
    <w:p>
      <w:pPr>
        <w:pStyle w:val="25"/>
        <w:spacing w:line="240" w:lineRule="auto"/>
        <w:ind w:firstLine="482" w:firstLineChars="200"/>
        <w:rPr>
          <w:rFonts w:hint="eastAsia" w:ascii="仿宋" w:hAnsi="仿宋" w:eastAsia="仿宋" w:cs="仿宋"/>
          <w:sz w:val="24"/>
        </w:rPr>
      </w:pPr>
      <w:r>
        <w:rPr>
          <w:rFonts w:hint="eastAsia" w:ascii="仿宋" w:hAnsi="仿宋" w:eastAsia="仿宋" w:cs="仿宋"/>
          <w:b/>
          <w:snapToGrid/>
          <w:sz w:val="24"/>
          <w:szCs w:val="24"/>
        </w:rPr>
        <w:t>提交投标文件截止时间及开标时间：</w:t>
      </w:r>
      <w:r>
        <w:rPr>
          <w:rFonts w:hint="eastAsia" w:ascii="仿宋" w:hAnsi="仿宋" w:eastAsia="仿宋" w:cs="仿宋"/>
          <w:sz w:val="24"/>
        </w:rPr>
        <w:t>投标人应于</w:t>
      </w:r>
      <w:r>
        <w:rPr>
          <w:rFonts w:hint="eastAsia" w:ascii="仿宋" w:hAnsi="仿宋" w:eastAsia="仿宋" w:cs="仿宋"/>
          <w:color w:val="0000FF"/>
          <w:sz w:val="24"/>
          <w:lang w:eastAsia="zh-CN"/>
        </w:rPr>
        <w:t>202</w:t>
      </w:r>
      <w:r>
        <w:rPr>
          <w:rFonts w:hint="eastAsia" w:ascii="仿宋" w:hAnsi="仿宋" w:eastAsia="仿宋" w:cs="仿宋"/>
          <w:color w:val="0000FF"/>
          <w:sz w:val="24"/>
          <w:lang w:val="en-US" w:eastAsia="zh-CN"/>
        </w:rPr>
        <w:t>4</w:t>
      </w:r>
      <w:r>
        <w:rPr>
          <w:rFonts w:hint="eastAsia" w:ascii="仿宋" w:hAnsi="仿宋" w:eastAsia="仿宋" w:cs="仿宋"/>
          <w:color w:val="0000FF"/>
          <w:sz w:val="24"/>
          <w:lang w:eastAsia="zh-CN"/>
        </w:rPr>
        <w:t>年</w:t>
      </w:r>
      <w:r>
        <w:rPr>
          <w:rFonts w:hint="eastAsia" w:ascii="仿宋" w:hAnsi="仿宋" w:eastAsia="仿宋" w:cs="仿宋"/>
          <w:color w:val="0000FF"/>
          <w:sz w:val="24"/>
          <w:lang w:val="en-US" w:eastAsia="zh-CN"/>
        </w:rPr>
        <w:t>2</w:t>
      </w:r>
      <w:r>
        <w:rPr>
          <w:rFonts w:hint="eastAsia" w:ascii="仿宋" w:hAnsi="仿宋" w:eastAsia="仿宋" w:cs="仿宋"/>
          <w:color w:val="0000FF"/>
          <w:sz w:val="24"/>
          <w:lang w:eastAsia="zh-CN"/>
        </w:rPr>
        <w:t>月</w:t>
      </w:r>
      <w:r>
        <w:rPr>
          <w:rFonts w:hint="eastAsia" w:ascii="仿宋" w:hAnsi="仿宋" w:eastAsia="仿宋" w:cs="仿宋"/>
          <w:color w:val="0000FF"/>
          <w:sz w:val="24"/>
          <w:lang w:val="en-US" w:eastAsia="zh-CN"/>
        </w:rPr>
        <w:t>21</w:t>
      </w:r>
      <w:r>
        <w:rPr>
          <w:rFonts w:hint="eastAsia" w:ascii="仿宋" w:hAnsi="仿宋" w:eastAsia="仿宋" w:cs="仿宋"/>
          <w:color w:val="0000FF"/>
          <w:sz w:val="24"/>
          <w:lang w:eastAsia="zh-CN"/>
        </w:rPr>
        <w:t>日</w:t>
      </w:r>
      <w:r>
        <w:rPr>
          <w:rFonts w:hint="eastAsia" w:ascii="仿宋" w:hAnsi="仿宋" w:eastAsia="仿宋" w:cs="仿宋"/>
          <w:color w:val="0000FF"/>
          <w:sz w:val="24"/>
          <w:lang w:val="en-US" w:eastAsia="zh-CN"/>
        </w:rPr>
        <w:t>14</w:t>
      </w:r>
      <w:r>
        <w:rPr>
          <w:rFonts w:hint="eastAsia" w:ascii="仿宋" w:hAnsi="仿宋" w:eastAsia="仿宋" w:cs="仿宋"/>
          <w:color w:val="0000FF"/>
          <w:sz w:val="24"/>
          <w:lang w:eastAsia="zh-CN"/>
        </w:rPr>
        <w:t>时</w:t>
      </w:r>
      <w:r>
        <w:rPr>
          <w:rFonts w:hint="eastAsia" w:ascii="仿宋" w:hAnsi="仿宋" w:eastAsia="仿宋" w:cs="仿宋"/>
          <w:sz w:val="24"/>
        </w:rPr>
        <w:t>（北京时间）前按照电子投标要求将电子加密标书上传到政府采购云平台，逾期或未上传成功的将导致无法投标或投标无效。</w:t>
      </w:r>
    </w:p>
    <w:p>
      <w:pPr>
        <w:pStyle w:val="25"/>
        <w:spacing w:line="240" w:lineRule="auto"/>
        <w:ind w:firstLine="482" w:firstLineChars="200"/>
        <w:rPr>
          <w:rFonts w:hint="eastAsia" w:ascii="仿宋" w:hAnsi="仿宋" w:eastAsia="仿宋" w:cs="仿宋"/>
          <w:sz w:val="24"/>
        </w:rPr>
      </w:pPr>
      <w:r>
        <w:rPr>
          <w:rFonts w:hint="eastAsia" w:ascii="仿宋" w:hAnsi="仿宋" w:eastAsia="仿宋" w:cs="仿宋"/>
          <w:b/>
          <w:snapToGrid/>
          <w:sz w:val="24"/>
          <w:szCs w:val="24"/>
        </w:rPr>
        <w:t>开标地点：</w:t>
      </w:r>
      <w:r>
        <w:rPr>
          <w:rFonts w:hint="eastAsia" w:ascii="仿宋" w:hAnsi="仿宋" w:eastAsia="仿宋" w:cs="仿宋"/>
          <w:sz w:val="24"/>
        </w:rPr>
        <w:t>政府采购云平台（www.zcygov.cn）。所有投标人均须准时在“政府采购云平台”在线参加。</w:t>
      </w:r>
    </w:p>
    <w:p>
      <w:pPr>
        <w:pStyle w:val="3"/>
        <w:pageBreakBefore w:val="0"/>
        <w:kinsoku/>
        <w:wordWrap/>
        <w:overflowPunct/>
        <w:topLinePunct w:val="0"/>
        <w:bidi w:val="0"/>
        <w:snapToGrid/>
        <w:spacing w:before="0" w:after="0" w:line="300" w:lineRule="auto"/>
        <w:textAlignment w:val="auto"/>
        <w:rPr>
          <w:rFonts w:ascii="仿宋" w:hAnsi="仿宋" w:eastAsia="仿宋"/>
          <w:sz w:val="24"/>
          <w:szCs w:val="24"/>
        </w:rPr>
      </w:pPr>
      <w:r>
        <w:rPr>
          <w:rFonts w:hint="eastAsia" w:ascii="仿宋" w:hAnsi="仿宋" w:eastAsia="仿宋"/>
          <w:bCs w:val="0"/>
          <w:sz w:val="24"/>
          <w:szCs w:val="24"/>
        </w:rPr>
        <w:t>五、公告期限</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自本公告发布之日起3个工作日。</w:t>
      </w:r>
    </w:p>
    <w:p>
      <w:pPr>
        <w:pStyle w:val="3"/>
        <w:pageBreakBefore w:val="0"/>
        <w:kinsoku/>
        <w:wordWrap/>
        <w:overflowPunct/>
        <w:topLinePunct w:val="0"/>
        <w:bidi w:val="0"/>
        <w:snapToGrid/>
        <w:spacing w:before="0" w:after="0" w:line="300" w:lineRule="auto"/>
        <w:textAlignment w:val="auto"/>
        <w:rPr>
          <w:rFonts w:ascii="仿宋" w:hAnsi="仿宋" w:eastAsia="仿宋"/>
          <w:sz w:val="24"/>
          <w:szCs w:val="24"/>
        </w:rPr>
      </w:pPr>
      <w:r>
        <w:rPr>
          <w:rFonts w:hint="eastAsia" w:ascii="仿宋" w:hAnsi="仿宋" w:eastAsia="仿宋"/>
          <w:bCs w:val="0"/>
          <w:sz w:val="24"/>
          <w:szCs w:val="24"/>
        </w:rPr>
        <w:t>六、其他补充事宜</w:t>
      </w:r>
    </w:p>
    <w:p>
      <w:pPr>
        <w:spacing w:line="24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240" w:lineRule="auto"/>
        <w:ind w:firstLine="480" w:firstLineChars="200"/>
        <w:rPr>
          <w:rFonts w:hint="eastAsia" w:ascii="仿宋" w:hAnsi="仿宋" w:eastAsia="仿宋" w:cs="仿宋"/>
          <w:sz w:val="24"/>
        </w:rPr>
      </w:pPr>
      <w:r>
        <w:rPr>
          <w:rFonts w:hint="eastAsia" w:ascii="仿宋" w:hAnsi="仿宋" w:eastAsia="仿宋" w:cs="仿宋"/>
          <w:sz w:val="24"/>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240" w:lineRule="auto"/>
        <w:ind w:firstLine="480" w:firstLineChars="200"/>
        <w:rPr>
          <w:rFonts w:hint="eastAsia"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240" w:lineRule="auto"/>
        <w:ind w:firstLine="480" w:firstLineChars="200"/>
        <w:rPr>
          <w:rFonts w:hint="eastAsia" w:ascii="仿宋" w:hAnsi="仿宋" w:eastAsia="仿宋" w:cs="仿宋"/>
          <w:sz w:val="24"/>
        </w:rPr>
      </w:pPr>
      <w:r>
        <w:rPr>
          <w:rFonts w:hint="eastAsia" w:ascii="仿宋" w:hAnsi="仿宋" w:eastAsia="仿宋" w:cs="仿宋"/>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仿宋" w:hAnsi="仿宋" w:eastAsia="仿宋" w:cs="仿宋"/>
          <w:b/>
          <w:bCs/>
          <w:sz w:val="24"/>
        </w:rPr>
        <w:t>备份投标文件的制作、递交详见招标文件第二部分第15点—“备份投标文件”；</w:t>
      </w:r>
      <w:r>
        <w:rPr>
          <w:rFonts w:hint="eastAsia" w:ascii="仿宋" w:hAnsi="仿宋" w:eastAsia="仿宋" w:cs="仿宋"/>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pStyle w:val="3"/>
        <w:pageBreakBefore w:val="0"/>
        <w:kinsoku/>
        <w:wordWrap/>
        <w:overflowPunct/>
        <w:topLinePunct w:val="0"/>
        <w:bidi w:val="0"/>
        <w:snapToGrid/>
        <w:spacing w:before="0" w:after="0" w:line="300" w:lineRule="auto"/>
        <w:textAlignment w:val="auto"/>
        <w:rPr>
          <w:rFonts w:ascii="仿宋" w:hAnsi="仿宋" w:eastAsia="仿宋"/>
          <w:sz w:val="24"/>
          <w:szCs w:val="24"/>
        </w:rPr>
      </w:pPr>
      <w:r>
        <w:rPr>
          <w:rFonts w:hint="eastAsia" w:ascii="仿宋" w:hAnsi="仿宋" w:eastAsia="仿宋"/>
          <w:bCs w:val="0"/>
          <w:sz w:val="24"/>
          <w:szCs w:val="24"/>
        </w:rPr>
        <w:t>七、对本次采购提出询问、质疑、投诉，请按以下方式联系</w:t>
      </w:r>
    </w:p>
    <w:p>
      <w:pPr>
        <w:pStyle w:val="43"/>
        <w:pageBreakBefore w:val="0"/>
        <w:kinsoku/>
        <w:wordWrap/>
        <w:overflowPunct/>
        <w:topLinePunct w:val="0"/>
        <w:bidi w:val="0"/>
        <w:snapToGrid/>
        <w:spacing w:before="0" w:beforeAutospacing="0" w:after="0" w:afterAutospacing="0" w:line="300" w:lineRule="auto"/>
        <w:ind w:firstLine="556"/>
        <w:textAlignment w:val="auto"/>
        <w:rPr>
          <w:rFonts w:hint="eastAsia" w:ascii="仿宋" w:hAnsi="仿宋" w:eastAsia="仿宋"/>
          <w:b/>
          <w:bCs/>
        </w:rPr>
      </w:pPr>
    </w:p>
    <w:p>
      <w:pPr>
        <w:pStyle w:val="43"/>
        <w:pageBreakBefore w:val="0"/>
        <w:kinsoku/>
        <w:wordWrap/>
        <w:overflowPunct/>
        <w:topLinePunct w:val="0"/>
        <w:bidi w:val="0"/>
        <w:snapToGrid/>
        <w:spacing w:before="0" w:beforeAutospacing="0" w:after="0" w:afterAutospacing="0" w:line="300" w:lineRule="auto"/>
        <w:ind w:firstLine="556"/>
        <w:textAlignment w:val="auto"/>
        <w:rPr>
          <w:rFonts w:ascii="仿宋" w:hAnsi="仿宋" w:eastAsia="仿宋"/>
          <w:b/>
          <w:bCs/>
        </w:rPr>
      </w:pPr>
      <w:r>
        <w:rPr>
          <w:rFonts w:hint="eastAsia" w:ascii="仿宋" w:hAnsi="仿宋" w:eastAsia="仿宋"/>
          <w:b/>
          <w:bCs/>
        </w:rPr>
        <w:t>1.采购人信息</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名     称： 诸暨市人民政府暨南街道办事处     地 址：诸暨市暨南路7号</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default" w:ascii="微软雅黑" w:hAnsi="微软雅黑" w:eastAsia="微软雅黑" w:cs="微软雅黑"/>
          <w:i w:val="0"/>
          <w:iCs w:val="0"/>
          <w:caps w:val="0"/>
          <w:color w:val="333333"/>
          <w:spacing w:val="0"/>
          <w:sz w:val="21"/>
          <w:szCs w:val="21"/>
          <w:shd w:val="clear" w:fill="FFFFFF"/>
          <w:lang w:val="en-US"/>
        </w:rPr>
      </w:pPr>
      <w:r>
        <w:rPr>
          <w:rFonts w:hint="eastAsia" w:ascii="仿宋" w:hAnsi="仿宋" w:eastAsia="仿宋" w:cs="仿宋"/>
          <w:color w:val="000000"/>
          <w:kern w:val="2"/>
          <w:sz w:val="24"/>
          <w:szCs w:val="24"/>
          <w:highlight w:val="none"/>
          <w:lang w:val="en-US" w:eastAsia="zh-CN" w:bidi="ar-SA"/>
        </w:rPr>
        <w:t>项目联系人：傅雪薇                  工作电话：0575-87596036</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default" w:ascii="仿宋" w:hAnsi="仿宋" w:eastAsia="微软雅黑" w:cs="仿宋"/>
          <w:color w:val="FF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质疑联系人：</w:t>
      </w:r>
      <w:r>
        <w:rPr>
          <w:rFonts w:hint="eastAsia" w:ascii="仿宋" w:hAnsi="仿宋" w:eastAsia="仿宋"/>
          <w:color w:val="auto"/>
        </w:rPr>
        <w:t>俞金科</w:t>
      </w:r>
      <w:r>
        <w:rPr>
          <w:rFonts w:hint="eastAsia" w:ascii="仿宋" w:hAnsi="仿宋" w:eastAsia="仿宋" w:cs="仿宋"/>
          <w:color w:val="000000"/>
          <w:kern w:val="2"/>
          <w:sz w:val="24"/>
          <w:szCs w:val="24"/>
          <w:highlight w:val="none"/>
          <w:lang w:val="en-US" w:eastAsia="zh-CN" w:bidi="ar-SA"/>
        </w:rPr>
        <w:t xml:space="preserve">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仿宋" w:hAnsi="仿宋" w:eastAsia="仿宋" w:cs="仿宋"/>
          <w:color w:val="000000"/>
          <w:kern w:val="2"/>
          <w:sz w:val="24"/>
          <w:szCs w:val="24"/>
          <w:highlight w:val="none"/>
          <w:lang w:val="en-US" w:eastAsia="zh-CN" w:bidi="ar-SA"/>
        </w:rPr>
        <w:t>工作电话：17858169613</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eastAsia" w:ascii="仿宋" w:hAnsi="仿宋" w:eastAsia="仿宋" w:cs="仿宋"/>
          <w:color w:val="000000"/>
          <w:kern w:val="2"/>
          <w:sz w:val="24"/>
          <w:szCs w:val="24"/>
          <w:highlight w:val="none"/>
          <w:lang w:val="en-US" w:eastAsia="zh-CN" w:bidi="ar-SA"/>
        </w:rPr>
      </w:pP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2.采购代理机构信息</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名      称：浙江中通通信有限公司</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地      址：诸暨市浣东街道恒远大厦1502</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项目联系人：张  彬                工作电话：15168587034</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质疑联系人：干祥平                工作电话：17300958799</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eastAsia" w:ascii="仿宋" w:hAnsi="仿宋" w:eastAsia="仿宋" w:cs="仿宋"/>
          <w:color w:val="000000"/>
          <w:kern w:val="2"/>
          <w:sz w:val="24"/>
          <w:szCs w:val="24"/>
          <w:highlight w:val="none"/>
          <w:lang w:val="en-US" w:eastAsia="zh-CN" w:bidi="ar-SA"/>
        </w:rPr>
      </w:pP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3.同级政府采购监督管理部门</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名    称：</w:t>
      </w:r>
      <w:r>
        <w:rPr>
          <w:rFonts w:hint="eastAsia" w:ascii="仿宋" w:hAnsi="仿宋" w:eastAsia="仿宋" w:cs="仿宋"/>
          <w:i w:val="0"/>
          <w:caps w:val="0"/>
          <w:color w:val="auto"/>
          <w:spacing w:val="0"/>
          <w:sz w:val="24"/>
          <w:szCs w:val="24"/>
          <w:highlight w:val="none"/>
          <w:u w:val="none"/>
        </w:rPr>
        <w:t>诸暨市财政局 </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地    址：诸暨市人民中路356号</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联 系 人：吕康玮</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监督投诉电话：0575-87113458</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eastAsia" w:ascii="仿宋" w:hAnsi="仿宋" w:eastAsia="仿宋" w:cs="仿宋"/>
          <w:color w:val="000000"/>
          <w:kern w:val="2"/>
          <w:sz w:val="24"/>
          <w:szCs w:val="24"/>
          <w:highlight w:val="none"/>
          <w:lang w:val="en-US" w:eastAsia="zh-CN" w:bidi="ar-SA"/>
        </w:rPr>
      </w:pP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eastAsia" w:ascii="仿宋" w:hAnsi="仿宋" w:eastAsia="仿宋" w:cs="仿宋"/>
          <w:color w:val="000000"/>
          <w:kern w:val="2"/>
          <w:sz w:val="24"/>
          <w:szCs w:val="24"/>
          <w:highlight w:val="none"/>
          <w:lang w:val="en-US" w:eastAsia="zh-CN" w:bidi="ar-SA"/>
        </w:rPr>
        <w:sectPr>
          <w:headerReference r:id="rId6" w:type="first"/>
          <w:footerReference r:id="rId8" w:type="first"/>
          <w:headerReference r:id="rId5" w:type="default"/>
          <w:footerReference r:id="rId7" w:type="default"/>
          <w:pgSz w:w="11906" w:h="16838"/>
          <w:pgMar w:top="1021" w:right="1247" w:bottom="1021" w:left="1247" w:header="284" w:footer="454" w:gutter="0"/>
          <w:pgNumType w:fmt="numberInDash" w:start="1"/>
          <w:cols w:space="720" w:num="1"/>
          <w:titlePg/>
          <w:docGrid w:type="lines" w:linePitch="312" w:charSpace="0"/>
        </w:sectPr>
      </w:pPr>
      <w:r>
        <w:rPr>
          <w:rFonts w:hint="eastAsia" w:ascii="仿宋" w:hAnsi="仿宋" w:eastAsia="仿宋" w:cs="仿宋"/>
          <w:color w:val="000000"/>
          <w:kern w:val="2"/>
          <w:sz w:val="24"/>
          <w:szCs w:val="24"/>
          <w:highlight w:val="none"/>
          <w:lang w:val="en-US" w:eastAsia="zh-CN" w:bidi="ar-SA"/>
        </w:rPr>
        <w:t>若对项目采购电子交易系统操作有疑问，可登录政采云（https://www.zcygov.cn/），点击右侧咨询小采，获取采小蜜智能服务管家帮助，或拨打政采云服务热线400-881-7190获取热线服务帮助。</w:t>
      </w:r>
      <w:r>
        <w:rPr>
          <w:rFonts w:hint="eastAsia" w:ascii="仿宋" w:hAnsi="仿宋" w:eastAsia="仿宋" w:cs="仿宋"/>
          <w:color w:val="000000"/>
          <w:kern w:val="2"/>
          <w:sz w:val="24"/>
          <w:szCs w:val="24"/>
          <w:highlight w:val="none"/>
          <w:lang w:val="en-US" w:eastAsia="zh-CN" w:bidi="ar-SA"/>
        </w:rPr>
        <w:br w:type="textWrapping"/>
      </w:r>
      <w:r>
        <w:rPr>
          <w:rFonts w:hint="eastAsia" w:ascii="仿宋" w:hAnsi="仿宋" w:eastAsia="仿宋" w:cs="仿宋"/>
          <w:color w:val="000000"/>
          <w:kern w:val="2"/>
          <w:sz w:val="24"/>
          <w:szCs w:val="24"/>
          <w:highlight w:val="none"/>
          <w:lang w:val="en-US" w:eastAsia="zh-CN" w:bidi="ar-SA"/>
        </w:rPr>
        <w:t xml:space="preserve">     CA问题联系电话（人工）：汇信CA 400-888-4636；天谷CA 400-087-8198。</w:t>
      </w:r>
    </w:p>
    <w:bookmarkEnd w:id="0"/>
    <w:p>
      <w:pPr>
        <w:pStyle w:val="2"/>
        <w:spacing w:before="0" w:after="240" w:line="400" w:lineRule="exact"/>
        <w:jc w:val="center"/>
        <w:rPr>
          <w:rFonts w:hint="eastAsia" w:ascii="仿宋" w:hAnsi="仿宋" w:eastAsia="仿宋" w:cs="仿宋"/>
          <w:b/>
          <w:color w:val="auto"/>
          <w:sz w:val="36"/>
          <w:szCs w:val="20"/>
          <w:highlight w:val="none"/>
        </w:rPr>
      </w:pPr>
      <w:bookmarkStart w:id="2" w:name="_Toc125344512"/>
      <w:r>
        <w:rPr>
          <w:rFonts w:hint="eastAsia" w:ascii="仿宋" w:hAnsi="仿宋" w:eastAsia="仿宋" w:cs="仿宋"/>
          <w:b/>
          <w:color w:val="auto"/>
          <w:sz w:val="36"/>
          <w:szCs w:val="20"/>
          <w:highlight w:val="none"/>
        </w:rPr>
        <w:t xml:space="preserve">第二部分 </w:t>
      </w:r>
      <w:r>
        <w:rPr>
          <w:rFonts w:hint="eastAsia" w:ascii="仿宋" w:hAnsi="仿宋" w:eastAsia="仿宋" w:cs="仿宋"/>
          <w:color w:val="auto"/>
          <w:sz w:val="36"/>
          <w:szCs w:val="36"/>
          <w:lang w:val="en-US" w:eastAsia="zh-CN"/>
        </w:rPr>
        <w:t>磋商</w:t>
      </w:r>
      <w:r>
        <w:rPr>
          <w:rFonts w:hint="eastAsia" w:ascii="仿宋" w:hAnsi="仿宋" w:eastAsia="仿宋" w:cs="仿宋"/>
          <w:color w:val="auto"/>
          <w:sz w:val="36"/>
          <w:szCs w:val="36"/>
        </w:rPr>
        <w:t>须知</w:t>
      </w:r>
    </w:p>
    <w:p>
      <w:pPr>
        <w:snapToGrid w:val="0"/>
        <w:spacing w:line="24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48"/>
        <w:tblpPr w:leftFromText="180" w:rightFromText="180" w:vertAnchor="text" w:horzAnchor="page" w:tblpX="1168" w:tblpY="365"/>
        <w:tblOverlap w:val="never"/>
        <w:tblW w:w="95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4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1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4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p>
        </w:tc>
        <w:tc>
          <w:tcPr>
            <w:tcW w:w="181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评标办法</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本项目采用</w:t>
            </w:r>
            <w:r>
              <w:rPr>
                <w:rFonts w:hint="eastAsia" w:ascii="仿宋" w:hAnsi="仿宋" w:eastAsia="仿宋" w:cs="仿宋"/>
                <w:color w:val="auto"/>
                <w:kern w:val="0"/>
                <w:sz w:val="24"/>
                <w:highlight w:val="none"/>
                <w:u w:val="single"/>
                <w:lang w:val="zh-CN"/>
              </w:rPr>
              <w:t xml:space="preserve">  综合评分法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4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1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w:t>
            </w:r>
            <w:r>
              <w:rPr>
                <w:rFonts w:hint="eastAsia" w:ascii="仿宋" w:hAnsi="仿宋" w:eastAsia="仿宋" w:cs="仿宋"/>
                <w:color w:val="auto"/>
                <w:kern w:val="0"/>
                <w:sz w:val="24"/>
                <w:highlight w:val="none"/>
                <w:lang w:val="en-US" w:eastAsia="zh-CN"/>
              </w:rPr>
              <w:t>或招标文件规定形式的</w:t>
            </w:r>
            <w:r>
              <w:rPr>
                <w:rFonts w:hint="eastAsia" w:ascii="仿宋" w:hAnsi="仿宋" w:eastAsia="仿宋" w:cs="仿宋"/>
                <w:color w:val="auto"/>
                <w:kern w:val="0"/>
                <w:sz w:val="24"/>
                <w:highlight w:val="none"/>
                <w:lang w:val="zh-CN"/>
              </w:rPr>
              <w:t>报价。</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招标文件未列明，而磋商供应商认为必需的费用也需列入报价。</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pStyle w:val="71"/>
              <w:keepNext w:val="0"/>
              <w:keepLines w:val="0"/>
              <w:pageBreakBefore w:val="0"/>
              <w:widowControl w:val="0"/>
              <w:numPr>
                <w:ilvl w:val="0"/>
                <w:numId w:val="11"/>
              </w:numPr>
              <w:kinsoku/>
              <w:wordWrap/>
              <w:overflowPunct/>
              <w:topLinePunct w:val="0"/>
              <w:autoSpaceDE/>
              <w:autoSpaceDN/>
              <w:bidi w:val="0"/>
              <w:adjustRightInd w:val="0"/>
              <w:snapToGrid/>
              <w:spacing w:line="240" w:lineRule="auto"/>
              <w:ind w:left="420" w:leftChars="0" w:firstLineChars="0"/>
              <w:jc w:val="left"/>
              <w:textAlignment w:val="auto"/>
              <w:rPr>
                <w:rFonts w:hint="eastAsia" w:ascii="仿宋" w:hAnsi="仿宋" w:eastAsia="仿宋" w:cs="仿宋"/>
                <w:bCs/>
                <w:color w:val="auto"/>
                <w:kern w:val="0"/>
                <w:sz w:val="24"/>
                <w:szCs w:val="28"/>
                <w:highlight w:val="none"/>
                <w:lang w:val="zh-CN"/>
              </w:rPr>
            </w:pPr>
            <w:r>
              <w:rPr>
                <w:rFonts w:hint="eastAsia" w:ascii="仿宋" w:hAnsi="仿宋" w:eastAsia="仿宋" w:cs="仿宋"/>
                <w:bCs/>
                <w:color w:val="auto"/>
                <w:kern w:val="0"/>
                <w:sz w:val="24"/>
                <w:szCs w:val="28"/>
                <w:highlight w:val="none"/>
                <w:lang w:val="zh-CN"/>
              </w:rPr>
              <w:t>投标文件出现不是唯一的、有选择性投标报价的；</w:t>
            </w:r>
          </w:p>
          <w:p>
            <w:pPr>
              <w:pStyle w:val="71"/>
              <w:keepNext w:val="0"/>
              <w:keepLines w:val="0"/>
              <w:pageBreakBefore w:val="0"/>
              <w:widowControl w:val="0"/>
              <w:numPr>
                <w:ilvl w:val="0"/>
                <w:numId w:val="11"/>
              </w:numPr>
              <w:kinsoku/>
              <w:wordWrap/>
              <w:overflowPunct/>
              <w:topLinePunct w:val="0"/>
              <w:autoSpaceDE/>
              <w:autoSpaceDN/>
              <w:bidi w:val="0"/>
              <w:adjustRightInd w:val="0"/>
              <w:snapToGrid/>
              <w:spacing w:line="240" w:lineRule="auto"/>
              <w:ind w:left="420" w:leftChars="0" w:firstLineChars="0"/>
              <w:jc w:val="left"/>
              <w:textAlignment w:val="auto"/>
              <w:rPr>
                <w:rFonts w:hint="eastAsia" w:ascii="仿宋" w:hAnsi="仿宋" w:eastAsia="仿宋" w:cs="仿宋"/>
                <w:bCs/>
                <w:color w:val="auto"/>
                <w:kern w:val="0"/>
                <w:sz w:val="24"/>
                <w:szCs w:val="28"/>
                <w:highlight w:val="none"/>
                <w:lang w:val="zh-CN"/>
              </w:rPr>
            </w:pPr>
            <w:r>
              <w:rPr>
                <w:rFonts w:hint="eastAsia" w:ascii="仿宋" w:hAnsi="仿宋" w:eastAsia="仿宋" w:cs="仿宋"/>
                <w:bCs/>
                <w:color w:val="auto"/>
                <w:kern w:val="0"/>
                <w:sz w:val="24"/>
                <w:szCs w:val="28"/>
                <w:highlight w:val="none"/>
                <w:lang w:val="zh-CN"/>
              </w:rPr>
              <w:t>投标报价超过招标文件中规定的预算金额或者最高限价的；</w:t>
            </w:r>
          </w:p>
          <w:p>
            <w:pPr>
              <w:pStyle w:val="71"/>
              <w:keepNext w:val="0"/>
              <w:keepLines w:val="0"/>
              <w:pageBreakBefore w:val="0"/>
              <w:widowControl w:val="0"/>
              <w:numPr>
                <w:ilvl w:val="0"/>
                <w:numId w:val="11"/>
              </w:numPr>
              <w:kinsoku/>
              <w:wordWrap/>
              <w:overflowPunct/>
              <w:topLinePunct w:val="0"/>
              <w:autoSpaceDE/>
              <w:autoSpaceDN/>
              <w:bidi w:val="0"/>
              <w:adjustRightInd w:val="0"/>
              <w:snapToGrid/>
              <w:spacing w:line="240" w:lineRule="auto"/>
              <w:ind w:left="420" w:leftChars="0" w:firstLineChars="0"/>
              <w:textAlignment w:val="auto"/>
              <w:rPr>
                <w:rFonts w:hint="eastAsia" w:ascii="仿宋" w:hAnsi="仿宋" w:eastAsia="仿宋" w:cs="仿宋"/>
                <w:bCs/>
                <w:color w:val="auto"/>
                <w:kern w:val="0"/>
                <w:sz w:val="24"/>
                <w:szCs w:val="28"/>
                <w:highlight w:val="none"/>
                <w:lang w:val="zh-CN"/>
              </w:rPr>
            </w:pPr>
            <w:r>
              <w:rPr>
                <w:rFonts w:hint="eastAsia" w:ascii="仿宋" w:hAnsi="仿宋" w:eastAsia="仿宋" w:cs="仿宋"/>
                <w:bCs/>
                <w:color w:val="auto"/>
                <w:kern w:val="0"/>
                <w:sz w:val="24"/>
                <w:szCs w:val="28"/>
                <w:highlight w:val="none"/>
                <w:lang w:val="zh-CN"/>
              </w:rPr>
              <w:t>评标委员会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评标委员会应当将其作为无效投标处理；</w:t>
            </w:r>
          </w:p>
          <w:p>
            <w:pPr>
              <w:pStyle w:val="71"/>
              <w:keepNext w:val="0"/>
              <w:keepLines w:val="0"/>
              <w:pageBreakBefore w:val="0"/>
              <w:widowControl w:val="0"/>
              <w:numPr>
                <w:ilvl w:val="0"/>
                <w:numId w:val="11"/>
              </w:numPr>
              <w:kinsoku/>
              <w:wordWrap/>
              <w:overflowPunct/>
              <w:topLinePunct w:val="0"/>
              <w:autoSpaceDE/>
              <w:autoSpaceDN/>
              <w:bidi w:val="0"/>
              <w:adjustRightInd w:val="0"/>
              <w:snapToGrid/>
              <w:spacing w:line="240" w:lineRule="auto"/>
              <w:ind w:left="420" w:leftChars="0" w:firstLineChars="0"/>
              <w:textAlignment w:val="auto"/>
              <w:rPr>
                <w:rFonts w:hint="eastAsia" w:ascii="仿宋" w:hAnsi="仿宋" w:eastAsia="仿宋" w:cs="仿宋"/>
                <w:bCs/>
                <w:color w:val="auto"/>
                <w:kern w:val="0"/>
                <w:highlight w:val="none"/>
                <w:lang w:val="zh-CN"/>
              </w:rPr>
            </w:pPr>
            <w:r>
              <w:rPr>
                <w:rFonts w:hint="eastAsia" w:ascii="仿宋" w:hAnsi="仿宋" w:eastAsia="仿宋" w:cs="仿宋"/>
                <w:bCs/>
                <w:color w:val="auto"/>
                <w:kern w:val="0"/>
                <w:sz w:val="24"/>
                <w:szCs w:val="28"/>
                <w:highlight w:val="none"/>
                <w:lang w:eastAsia="zh-CN"/>
              </w:rPr>
              <w:t>磋商供应商</w:t>
            </w:r>
            <w:r>
              <w:rPr>
                <w:rFonts w:hint="eastAsia" w:ascii="仿宋" w:hAnsi="仿宋" w:eastAsia="仿宋" w:cs="仿宋"/>
                <w:bCs/>
                <w:color w:val="auto"/>
                <w:kern w:val="0"/>
                <w:sz w:val="24"/>
                <w:szCs w:val="28"/>
                <w:highlight w:val="none"/>
              </w:rPr>
              <w:t>对根据修正原则修正后的报价不确认的</w:t>
            </w:r>
            <w:r>
              <w:rPr>
                <w:rFonts w:hint="eastAsia" w:ascii="仿宋" w:hAnsi="仿宋" w:eastAsia="仿宋" w:cs="仿宋"/>
                <w:bCs/>
                <w:color w:val="auto"/>
                <w:sz w:val="24"/>
                <w:szCs w:val="2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4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1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none"/>
                <w:lang w:val="en-US" w:eastAsia="zh-CN"/>
              </w:rPr>
              <w:t>工作</w:t>
            </w:r>
            <w:r>
              <w:rPr>
                <w:rFonts w:hint="eastAsia" w:ascii="仿宋" w:hAnsi="仿宋" w:eastAsia="仿宋" w:cs="仿宋"/>
                <w:color w:val="auto"/>
                <w:sz w:val="24"/>
                <w:highlight w:val="none"/>
              </w:rPr>
              <w:t>分包。</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45"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13" w:type="dxa"/>
            <w:tcBorders>
              <w:top w:val="single" w:color="000000" w:sz="8" w:space="0"/>
              <w:left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应当提供的资格文件</w:t>
            </w:r>
          </w:p>
        </w:tc>
        <w:tc>
          <w:tcPr>
            <w:tcW w:w="7125" w:type="dxa"/>
            <w:tcBorders>
              <w:top w:val="single" w:color="000000" w:sz="8" w:space="0"/>
              <w:left w:val="single" w:color="000000" w:sz="2" w:space="0"/>
              <w:right w:val="single" w:color="000000" w:sz="8" w:space="0"/>
            </w:tcBorders>
            <w:noWrap w:val="0"/>
            <w:vAlign w:val="center"/>
          </w:tcPr>
          <w:p>
            <w:pPr>
              <w:pStyle w:val="71"/>
              <w:keepNext w:val="0"/>
              <w:keepLines w:val="0"/>
              <w:pageBreakBefore w:val="0"/>
              <w:widowControl w:val="0"/>
              <w:numPr>
                <w:ilvl w:val="0"/>
                <w:numId w:val="0"/>
              </w:numPr>
              <w:kinsoku/>
              <w:wordWrap/>
              <w:overflowPunct/>
              <w:topLinePunct w:val="0"/>
              <w:autoSpaceDE/>
              <w:autoSpaceDN/>
              <w:bidi w:val="0"/>
              <w:snapToGrid/>
              <w:spacing w:line="240" w:lineRule="auto"/>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①符合参加政府采购活动应当具备的一般条件的承诺函；</w:t>
            </w:r>
          </w:p>
          <w:p>
            <w:pPr>
              <w:keepNext w:val="0"/>
              <w:keepLines w:val="0"/>
              <w:pageBreakBefore w:val="0"/>
              <w:kinsoku/>
              <w:wordWrap/>
              <w:overflowPunct/>
              <w:topLinePunct w:val="0"/>
              <w:autoSpaceDE/>
              <w:autoSpaceDN/>
              <w:bidi w:val="0"/>
              <w:snapToGrid/>
              <w:spacing w:line="240"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rPr>
              <w:t>落</w:t>
            </w:r>
            <w:r>
              <w:rPr>
                <w:rFonts w:hint="eastAsia" w:ascii="仿宋" w:hAnsi="仿宋" w:eastAsia="仿宋" w:cs="仿宋"/>
                <w:color w:val="auto"/>
                <w:kern w:val="2"/>
                <w:sz w:val="24"/>
                <w:szCs w:val="24"/>
                <w:highlight w:val="none"/>
                <w:lang w:val="en-US" w:eastAsia="zh-CN" w:bidi="ar-SA"/>
              </w:rPr>
              <w:t>实政府采购政策需满足</w:t>
            </w:r>
            <w:r>
              <w:rPr>
                <w:rFonts w:hint="eastAsia" w:ascii="仿宋" w:hAnsi="仿宋" w:eastAsia="仿宋" w:cs="仿宋"/>
                <w:color w:val="auto"/>
                <w:kern w:val="0"/>
                <w:sz w:val="24"/>
                <w:szCs w:val="24"/>
                <w:highlight w:val="none"/>
                <w:lang w:val="en-US" w:eastAsia="zh-CN" w:bidi="ar-SA"/>
              </w:rPr>
              <w:t>的资格要求：提供中小企业声明函；</w:t>
            </w:r>
          </w:p>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③本</w:t>
            </w:r>
            <w:r>
              <w:rPr>
                <w:rFonts w:hint="eastAsia" w:ascii="仿宋" w:hAnsi="仿宋" w:eastAsia="仿宋" w:cs="仿宋"/>
                <w:color w:val="auto"/>
                <w:kern w:val="2"/>
                <w:sz w:val="24"/>
                <w:szCs w:val="24"/>
                <w:highlight w:val="none"/>
                <w:lang w:val="en-US" w:eastAsia="zh-CN" w:bidi="ar-SA"/>
              </w:rPr>
              <w:t>项目的特定资格要求：投标人须同时具有地质灾害防治（勘查）乙级及以上资质和地质灾害防治（设计）乙级及以上资质；</w:t>
            </w:r>
          </w:p>
          <w:p>
            <w:pPr>
              <w:rPr>
                <w:rFonts w:hint="eastAsia" w:ascii="仿宋" w:hAnsi="仿宋" w:eastAsia="仿宋" w:cstheme="minorBidi"/>
                <w:color w:val="auto"/>
                <w:kern w:val="2"/>
                <w:sz w:val="24"/>
                <w:szCs w:val="24"/>
                <w:lang w:val="en-US" w:eastAsia="zh-CN" w:bidi="ar-SA"/>
              </w:rPr>
            </w:pPr>
            <w:r>
              <w:rPr>
                <w:rFonts w:hint="eastAsia" w:ascii="仿宋" w:hAnsi="仿宋" w:eastAsia="仿宋" w:cs="仿宋"/>
                <w:color w:val="auto"/>
                <w:kern w:val="2"/>
                <w:sz w:val="24"/>
                <w:szCs w:val="24"/>
                <w:highlight w:val="none"/>
                <w:lang w:val="en-US" w:eastAsia="zh-CN" w:bidi="ar-SA"/>
              </w:rPr>
              <w:t>4.本项目不接受联合体投标</w:t>
            </w:r>
            <w:r>
              <w:rPr>
                <w:rFonts w:hint="eastAsia" w:ascii="仿宋" w:hAnsi="仿宋" w:eastAsia="仿宋" w:cstheme="minorBidi"/>
                <w:color w:val="auto"/>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240" w:lineRule="auto"/>
              <w:ind w:leftChars="0"/>
              <w:textAlignment w:val="auto"/>
              <w:rPr>
                <w:rFonts w:hint="eastAsia" w:ascii="仿宋" w:hAnsi="仿宋" w:eastAsia="仿宋" w:cs="仿宋"/>
                <w:b w:val="0"/>
                <w:bCs w:val="0"/>
                <w:color w:val="auto"/>
                <w:kern w:val="0"/>
                <w:sz w:val="24"/>
                <w:szCs w:val="24"/>
                <w:highlight w:val="none"/>
                <w:lang w:val="zh-CN" w:eastAsia="zh-CN"/>
              </w:rPr>
            </w:pPr>
            <w:r>
              <w:rPr>
                <w:rFonts w:hint="eastAsia" w:ascii="仿宋" w:hAnsi="仿宋" w:eastAsia="仿宋" w:cs="仿宋"/>
                <w:color w:val="auto"/>
                <w:sz w:val="24"/>
                <w:szCs w:val="24"/>
                <w:highlight w:val="none"/>
                <w:lang w:val="en-US" w:eastAsia="zh-CN"/>
              </w:rPr>
              <w:t>④</w:t>
            </w:r>
            <w:r>
              <w:rPr>
                <w:rFonts w:hint="eastAsia" w:ascii="仿宋" w:hAnsi="仿宋" w:eastAsia="仿宋" w:cs="仿宋"/>
                <w:color w:val="auto"/>
                <w:sz w:val="24"/>
                <w:szCs w:val="24"/>
                <w:highlight w:val="none"/>
              </w:rPr>
              <w:t>联合协议（如需）</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snapToGrid/>
              <w:spacing w:line="240" w:lineRule="auto"/>
              <w:ind w:leftChars="0"/>
              <w:textAlignment w:val="auto"/>
              <w:rPr>
                <w:rFonts w:hint="eastAsia" w:ascii="仿宋" w:hAnsi="仿宋" w:eastAsia="仿宋" w:cs="仿宋"/>
                <w:b/>
                <w:color w:val="auto"/>
                <w:kern w:val="0"/>
                <w:sz w:val="24"/>
                <w:szCs w:val="24"/>
                <w:highlight w:val="none"/>
                <w:lang w:val="zh-CN" w:eastAsia="zh-CN"/>
              </w:rPr>
            </w:pPr>
            <w:r>
              <w:rPr>
                <w:rFonts w:hint="eastAsia" w:ascii="仿宋" w:hAnsi="仿宋" w:eastAsia="仿宋" w:cs="仿宋"/>
                <w:color w:val="auto"/>
                <w:sz w:val="24"/>
                <w:szCs w:val="24"/>
                <w:highlight w:val="none"/>
                <w:lang w:val="en-US" w:eastAsia="zh-CN"/>
              </w:rPr>
              <w:t>⑤</w:t>
            </w:r>
            <w:r>
              <w:rPr>
                <w:rFonts w:hint="eastAsia" w:ascii="仿宋" w:hAnsi="仿宋" w:eastAsia="仿宋" w:cs="仿宋"/>
                <w:color w:val="auto"/>
                <w:sz w:val="24"/>
                <w:szCs w:val="24"/>
                <w:highlight w:val="none"/>
              </w:rPr>
              <w:t>分包意向协议（如需）</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snapToGrid/>
              <w:spacing w:line="240" w:lineRule="auto"/>
              <w:ind w:left="0" w:leftChars="0" w:firstLine="0" w:firstLineChars="0"/>
              <w:textAlignment w:val="auto"/>
              <w:rPr>
                <w:rFonts w:hint="eastAsia" w:ascii="仿宋" w:hAnsi="仿宋" w:eastAsia="仿宋" w:cs="仿宋"/>
                <w:b/>
                <w:snapToGrid w:val="0"/>
                <w:color w:val="auto"/>
                <w:kern w:val="0"/>
                <w:szCs w:val="21"/>
                <w:highlight w:val="none"/>
              </w:rPr>
            </w:pPr>
            <w:r>
              <w:rPr>
                <w:rFonts w:hint="eastAsia" w:ascii="仿宋" w:hAnsi="仿宋" w:eastAsia="仿宋" w:cs="仿宋"/>
                <w:b/>
                <w:color w:val="auto"/>
                <w:kern w:val="0"/>
                <w:sz w:val="24"/>
                <w:highlight w:val="none"/>
                <w:lang w:val="zh-CN"/>
              </w:rPr>
              <w:t>磋商供应商未提供有效的资格证明文件的，视为磋商供应商不具备招标文件中规定的资格要求，其投标无效。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45"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13" w:type="dxa"/>
            <w:tcBorders>
              <w:top w:val="single" w:color="000000" w:sz="8" w:space="0"/>
              <w:left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应当提供的商务技术文件</w:t>
            </w:r>
          </w:p>
        </w:tc>
        <w:tc>
          <w:tcPr>
            <w:tcW w:w="7125" w:type="dxa"/>
            <w:tcBorders>
              <w:top w:val="single" w:color="000000" w:sz="8" w:space="0"/>
              <w:left w:val="single" w:color="000000" w:sz="2" w:space="0"/>
              <w:right w:val="single" w:color="000000" w:sz="8" w:space="0"/>
            </w:tcBorders>
            <w:noWrap w:val="0"/>
            <w:vAlign w:val="center"/>
          </w:tcPr>
          <w:p>
            <w:pPr>
              <w:pStyle w:val="71"/>
              <w:keepNext w:val="0"/>
              <w:keepLines w:val="0"/>
              <w:pageBreakBefore w:val="0"/>
              <w:widowControl w:val="0"/>
              <w:numPr>
                <w:ilvl w:val="0"/>
                <w:numId w:val="12"/>
              </w:numPr>
              <w:kinsoku/>
              <w:wordWrap/>
              <w:overflowPunct/>
              <w:topLinePunct w:val="0"/>
              <w:autoSpaceDE/>
              <w:autoSpaceDN/>
              <w:bidi w:val="0"/>
              <w:snapToGrid/>
              <w:spacing w:line="240" w:lineRule="auto"/>
              <w:ind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投标函；</w:t>
            </w:r>
          </w:p>
          <w:p>
            <w:pPr>
              <w:pStyle w:val="71"/>
              <w:keepNext w:val="0"/>
              <w:keepLines w:val="0"/>
              <w:pageBreakBefore w:val="0"/>
              <w:widowControl w:val="0"/>
              <w:numPr>
                <w:ilvl w:val="0"/>
                <w:numId w:val="12"/>
              </w:numPr>
              <w:kinsoku/>
              <w:wordWrap/>
              <w:overflowPunct/>
              <w:topLinePunct w:val="0"/>
              <w:autoSpaceDE/>
              <w:autoSpaceDN/>
              <w:bidi w:val="0"/>
              <w:snapToGrid/>
              <w:spacing w:line="240" w:lineRule="auto"/>
              <w:ind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授权委托书或法定代表人（单位负责人、自然人本人）身份证明；</w:t>
            </w:r>
          </w:p>
          <w:p>
            <w:pPr>
              <w:pStyle w:val="71"/>
              <w:keepNext w:val="0"/>
              <w:keepLines w:val="0"/>
              <w:pageBreakBefore w:val="0"/>
              <w:widowControl w:val="0"/>
              <w:numPr>
                <w:ilvl w:val="0"/>
                <w:numId w:val="12"/>
              </w:numPr>
              <w:kinsoku/>
              <w:wordWrap/>
              <w:overflowPunct/>
              <w:topLinePunct w:val="0"/>
              <w:autoSpaceDE/>
              <w:autoSpaceDN/>
              <w:bidi w:val="0"/>
              <w:snapToGrid/>
              <w:spacing w:line="240" w:lineRule="auto"/>
              <w:ind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符合性审查资料；</w:t>
            </w:r>
          </w:p>
          <w:p>
            <w:pPr>
              <w:pStyle w:val="71"/>
              <w:keepNext w:val="0"/>
              <w:keepLines w:val="0"/>
              <w:pageBreakBefore w:val="0"/>
              <w:widowControl w:val="0"/>
              <w:numPr>
                <w:ilvl w:val="0"/>
                <w:numId w:val="12"/>
              </w:numPr>
              <w:kinsoku/>
              <w:wordWrap/>
              <w:overflowPunct/>
              <w:topLinePunct w:val="0"/>
              <w:autoSpaceDE/>
              <w:autoSpaceDN/>
              <w:bidi w:val="0"/>
              <w:snapToGrid/>
              <w:spacing w:line="240" w:lineRule="auto"/>
              <w:ind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评标标准相应的商务技术资料（按评标标准顺序编写）；</w:t>
            </w:r>
          </w:p>
          <w:p>
            <w:pPr>
              <w:pStyle w:val="71"/>
              <w:keepNext w:val="0"/>
              <w:keepLines w:val="0"/>
              <w:pageBreakBefore w:val="0"/>
              <w:widowControl w:val="0"/>
              <w:numPr>
                <w:ilvl w:val="0"/>
                <w:numId w:val="12"/>
              </w:numPr>
              <w:kinsoku/>
              <w:wordWrap/>
              <w:overflowPunct/>
              <w:topLinePunct w:val="0"/>
              <w:autoSpaceDE/>
              <w:autoSpaceDN/>
              <w:bidi w:val="0"/>
              <w:snapToGrid/>
              <w:spacing w:line="240" w:lineRule="auto"/>
              <w:ind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商务技术偏离表；</w:t>
            </w:r>
          </w:p>
          <w:p>
            <w:pPr>
              <w:pStyle w:val="71"/>
              <w:keepNext w:val="0"/>
              <w:keepLines w:val="0"/>
              <w:pageBreakBefore w:val="0"/>
              <w:widowControl w:val="0"/>
              <w:numPr>
                <w:ilvl w:val="0"/>
                <w:numId w:val="12"/>
              </w:numPr>
              <w:kinsoku/>
              <w:wordWrap/>
              <w:overflowPunct/>
              <w:topLinePunct w:val="0"/>
              <w:autoSpaceDE/>
              <w:autoSpaceDN/>
              <w:bidi w:val="0"/>
              <w:snapToGrid/>
              <w:spacing w:line="240" w:lineRule="auto"/>
              <w:ind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政府采购供应商廉洁自律承诺书。</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highlight w:val="none"/>
                <w:lang w:val="zh-CN"/>
              </w:rPr>
            </w:pPr>
            <w:r>
              <w:rPr>
                <w:rFonts w:hint="eastAsia" w:ascii="仿宋" w:hAnsi="仿宋" w:eastAsia="仿宋" w:cs="仿宋"/>
                <w:b/>
                <w:color w:val="auto"/>
                <w:kern w:val="0"/>
                <w:sz w:val="24"/>
                <w:highlight w:val="none"/>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45"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13" w:type="dxa"/>
            <w:tcBorders>
              <w:top w:val="single" w:color="000000" w:sz="8" w:space="0"/>
              <w:left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应当提供的报价文件</w:t>
            </w:r>
          </w:p>
        </w:tc>
        <w:tc>
          <w:tcPr>
            <w:tcW w:w="7125" w:type="dxa"/>
            <w:tcBorders>
              <w:top w:val="single" w:color="000000" w:sz="8" w:space="0"/>
              <w:left w:val="single" w:color="000000" w:sz="2" w:space="0"/>
              <w:right w:val="single" w:color="000000" w:sz="8" w:space="0"/>
            </w:tcBorders>
            <w:noWrap w:val="0"/>
            <w:vAlign w:val="center"/>
          </w:tcPr>
          <w:p>
            <w:pPr>
              <w:pStyle w:val="71"/>
              <w:keepNext w:val="0"/>
              <w:keepLines w:val="0"/>
              <w:pageBreakBefore w:val="0"/>
              <w:widowControl w:val="0"/>
              <w:numPr>
                <w:ilvl w:val="0"/>
                <w:numId w:val="12"/>
              </w:numPr>
              <w:kinsoku/>
              <w:wordWrap/>
              <w:overflowPunct/>
              <w:topLinePunct w:val="0"/>
              <w:autoSpaceDE/>
              <w:autoSpaceDN/>
              <w:bidi w:val="0"/>
              <w:snapToGrid/>
              <w:spacing w:line="240" w:lineRule="auto"/>
              <w:ind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开标一览表（报价表）；</w:t>
            </w:r>
          </w:p>
          <w:p>
            <w:pPr>
              <w:pStyle w:val="71"/>
              <w:keepNext w:val="0"/>
              <w:keepLines w:val="0"/>
              <w:pageBreakBefore w:val="0"/>
              <w:widowControl w:val="0"/>
              <w:numPr>
                <w:ilvl w:val="0"/>
                <w:numId w:val="12"/>
              </w:numPr>
              <w:kinsoku/>
              <w:wordWrap/>
              <w:overflowPunct/>
              <w:topLinePunct w:val="0"/>
              <w:autoSpaceDE/>
              <w:autoSpaceDN/>
              <w:bidi w:val="0"/>
              <w:snapToGrid/>
              <w:spacing w:line="240" w:lineRule="auto"/>
              <w:ind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中小企业声明函（如需）。</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w:t>
            </w:r>
            <w:r>
              <w:rPr>
                <w:rFonts w:hint="eastAsia" w:ascii="仿宋" w:hAnsi="仿宋" w:eastAsia="仿宋" w:cs="仿宋"/>
                <w:b/>
                <w:color w:val="auto"/>
                <w:kern w:val="0"/>
                <w:sz w:val="24"/>
                <w:highlight w:val="none"/>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4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1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rPr>
              <w:sym w:font="Wingdings" w:char="F0FE"/>
            </w:r>
            <w:r>
              <w:rPr>
                <w:rFonts w:hint="eastAsia" w:ascii="仿宋" w:hAnsi="仿宋" w:eastAsia="仿宋" w:cs="仿宋"/>
                <w:b/>
                <w:bCs/>
                <w:color w:val="auto"/>
                <w:kern w:val="0"/>
                <w:sz w:val="24"/>
                <w:highlight w:val="none"/>
              </w:rPr>
              <w:t>A</w:t>
            </w:r>
            <w:r>
              <w:rPr>
                <w:rFonts w:hint="eastAsia" w:ascii="仿宋" w:hAnsi="仿宋" w:eastAsia="仿宋" w:cs="仿宋"/>
                <w:b/>
                <w:bCs/>
                <w:color w:val="auto"/>
                <w:sz w:val="24"/>
                <w:highlight w:val="none"/>
              </w:rPr>
              <w:t>不组织。</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sz w:val="24"/>
                <w:szCs w:val="20"/>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4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1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rPr>
              <w:sym w:font="Wingdings" w:char="00FE"/>
            </w:r>
            <w:r>
              <w:rPr>
                <w:rFonts w:hint="eastAsia" w:ascii="仿宋" w:hAnsi="仿宋" w:eastAsia="仿宋" w:cs="仿宋"/>
                <w:b/>
                <w:bCs/>
                <w:color w:val="auto"/>
                <w:kern w:val="0"/>
                <w:sz w:val="24"/>
                <w:highlight w:val="none"/>
              </w:rPr>
              <w:t xml:space="preserve"> A不要求提供</w:t>
            </w:r>
            <w:r>
              <w:rPr>
                <w:rFonts w:hint="eastAsia" w:ascii="仿宋" w:hAnsi="仿宋" w:eastAsia="仿宋" w:cs="仿宋"/>
                <w:b/>
                <w:bCs/>
                <w:color w:val="auto"/>
                <w:sz w:val="24"/>
                <w:highlight w:val="none"/>
              </w:rPr>
              <w:t>。</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B要求提供：</w:t>
            </w:r>
          </w:p>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样品的评审方法以及评审标准</w:t>
            </w:r>
            <w:r>
              <w:rPr>
                <w:rFonts w:hint="eastAsia" w:ascii="仿宋" w:hAnsi="仿宋" w:eastAsia="仿宋" w:cs="仿宋"/>
                <w:snapToGrid w:val="0"/>
                <w:color w:val="auto"/>
                <w:kern w:val="28"/>
                <w:sz w:val="24"/>
                <w:highlight w:val="none"/>
              </w:rPr>
              <w:t>：</w:t>
            </w:r>
            <w:r>
              <w:rPr>
                <w:rFonts w:hint="eastAsia" w:ascii="仿宋" w:hAnsi="仿宋" w:eastAsia="仿宋" w:cs="仿宋"/>
                <w:color w:val="auto"/>
                <w:kern w:val="0"/>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是否需要随样品提交检测报告：</w:t>
            </w:r>
            <w:r>
              <w:rPr>
                <w:rFonts w:hint="eastAsia" w:ascii="仿宋" w:hAnsi="仿宋" w:eastAsia="仿宋" w:cs="仿宋"/>
                <w:b/>
                <w:bCs/>
                <w:color w:val="auto"/>
                <w:kern w:val="0"/>
                <w:sz w:val="24"/>
                <w:highlight w:val="none"/>
              </w:rPr>
              <w:sym w:font="Wingdings" w:char="F0FE"/>
            </w:r>
            <w:r>
              <w:rPr>
                <w:rFonts w:hint="eastAsia" w:ascii="仿宋" w:hAnsi="仿宋" w:eastAsia="仿宋" w:cs="仿宋"/>
                <w:b/>
                <w:bCs/>
                <w:color w:val="auto"/>
                <w:kern w:val="0"/>
                <w:sz w:val="24"/>
                <w:highlight w:val="none"/>
              </w:rPr>
              <w:t>否</w:t>
            </w:r>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制作、运输、安装和保管样品所发生的一切费用由</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45"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1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b/>
                <w:bCs/>
                <w:color w:val="auto"/>
                <w:kern w:val="0"/>
                <w:sz w:val="24"/>
                <w:highlight w:val="none"/>
                <w:lang w:eastAsia="zh-CN"/>
              </w:rPr>
            </w:pPr>
            <w:r>
              <w:rPr>
                <w:rFonts w:hint="eastAsia" w:ascii="仿宋" w:hAnsi="仿宋" w:eastAsia="仿宋" w:cs="仿宋"/>
                <w:b/>
                <w:bCs/>
                <w:color w:val="auto"/>
                <w:kern w:val="0"/>
                <w:sz w:val="24"/>
                <w:highlight w:val="none"/>
                <w:lang w:eastAsia="zh-CN"/>
              </w:rPr>
              <w:sym w:font="Wingdings" w:char="00FE"/>
            </w:r>
            <w:r>
              <w:rPr>
                <w:rFonts w:hint="eastAsia" w:ascii="仿宋" w:hAnsi="仿宋" w:eastAsia="仿宋" w:cs="仿宋"/>
                <w:b/>
                <w:bCs/>
                <w:color w:val="auto"/>
                <w:kern w:val="0"/>
                <w:sz w:val="24"/>
                <w:highlight w:val="none"/>
                <w:lang w:eastAsia="zh-CN"/>
              </w:rPr>
              <w:t xml:space="preserve"> A不组织。</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sym w:font="Wingdings" w:char="00A8"/>
            </w:r>
            <w:r>
              <w:rPr>
                <w:rFonts w:hint="eastAsia" w:ascii="仿宋" w:hAnsi="仿宋" w:eastAsia="仿宋" w:cs="仿宋"/>
                <w:color w:val="auto"/>
                <w:kern w:val="0"/>
                <w:sz w:val="24"/>
                <w:highlight w:val="none"/>
                <w:lang w:eastAsia="zh-CN"/>
              </w:rPr>
              <w:t xml:space="preserve"> B组织。</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本项目方案讲解演示采用U盘演示。磋商供应商须通过现场或邮寄方式递交此项目演示视频存储介质，请各磋商供应商在邮寄过程中自行保护好隐私，并确保在投标截止时间前寄到收件人处。每个磋商供应商演示时间不超过15分钟。</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eastAsia="zh-CN"/>
              </w:rPr>
              <w:t>注：因磋商供应商自身原因导致无法演示或者演示效果不理想的，责任自负。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6" w:hRule="atLeast"/>
        </w:trPr>
        <w:tc>
          <w:tcPr>
            <w:tcW w:w="645"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1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保证金收取</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45"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1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采购进口产品</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3" w:hRule="atLeast"/>
        </w:trPr>
        <w:tc>
          <w:tcPr>
            <w:tcW w:w="645"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1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A货物类，单一产品或核心产品为：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sym w:font="Wingdings" w:char="00FE"/>
            </w:r>
            <w:r>
              <w:rPr>
                <w:rFonts w:hint="eastAsia" w:ascii="仿宋" w:hAnsi="仿宋" w:eastAsia="仿宋" w:cs="仿宋"/>
                <w:color w:val="auto"/>
                <w:sz w:val="24"/>
                <w:szCs w:val="24"/>
                <w:highlight w:val="none"/>
              </w:rPr>
              <w:t>B服务类：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8" w:hRule="atLeast"/>
        </w:trPr>
        <w:tc>
          <w:tcPr>
            <w:tcW w:w="645"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1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标的:</w:t>
            </w:r>
            <w:r>
              <w:rPr>
                <w:rFonts w:hint="eastAsia" w:ascii="仿宋" w:hAnsi="仿宋" w:eastAsia="仿宋"/>
                <w:color w:val="auto"/>
                <w:sz w:val="24"/>
                <w:szCs w:val="24"/>
                <w:highlight w:val="none"/>
                <w:u w:val="single"/>
                <w:lang w:val="en-US" w:eastAsia="zh-CN"/>
              </w:rPr>
              <w:t>诸暨市暨南街道2024年度地质灾害工程设计服务采购项目</w:t>
            </w:r>
            <w:r>
              <w:rPr>
                <w:rFonts w:hint="eastAsia" w:ascii="仿宋" w:hAnsi="仿宋" w:eastAsia="仿宋" w:cs="仿宋"/>
                <w:color w:val="auto"/>
                <w:kern w:val="0"/>
                <w:sz w:val="24"/>
                <w:szCs w:val="24"/>
                <w:highlight w:val="none"/>
                <w:lang w:val="en-US" w:eastAsia="zh-CN" w:bidi="ar-SA"/>
              </w:rPr>
              <w:t>，属于</w:t>
            </w:r>
            <w:r>
              <w:rPr>
                <w:rFonts w:hint="eastAsia" w:ascii="仿宋" w:hAnsi="仿宋" w:eastAsia="仿宋" w:cs="仿宋"/>
                <w:color w:val="auto"/>
                <w:kern w:val="0"/>
                <w:sz w:val="24"/>
                <w:szCs w:val="24"/>
                <w:highlight w:val="none"/>
                <w:u w:val="single"/>
                <w:lang w:val="en-US" w:eastAsia="zh-CN" w:bidi="ar-SA"/>
              </w:rPr>
              <w:t xml:space="preserve"> 其他未列明行业</w:t>
            </w:r>
            <w:r>
              <w:rPr>
                <w:rFonts w:hint="eastAsia" w:ascii="仿宋" w:hAnsi="仿宋" w:eastAsia="仿宋" w:cs="仿宋"/>
                <w:color w:val="auto"/>
                <w:kern w:val="0"/>
                <w:sz w:val="24"/>
                <w:szCs w:val="24"/>
                <w:highlight w:val="none"/>
                <w:u w:val="none"/>
                <w:lang w:val="en-US" w:eastAsia="zh-CN" w:bidi="ar-SA"/>
              </w:rPr>
              <w:t>；</w:t>
            </w:r>
          </w:p>
          <w:p>
            <w:pPr>
              <w:pStyle w:val="20"/>
              <w:keepNext w:val="0"/>
              <w:keepLines w:val="0"/>
              <w:pageBreakBefore w:val="0"/>
              <w:widowControl w:val="0"/>
              <w:kinsoku/>
              <w:wordWrap/>
              <w:overflowPunct/>
              <w:topLinePunct w:val="0"/>
              <w:autoSpaceDE/>
              <w:autoSpaceDN/>
              <w:bidi w:val="0"/>
              <w:adjustRightInd w:val="0"/>
              <w:snapToGrid/>
              <w:spacing w:after="0" w:line="240" w:lineRule="auto"/>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rPr>
              <w:t>供应商在</w:t>
            </w:r>
            <w:r>
              <w:rPr>
                <w:rFonts w:hint="eastAsia" w:ascii="仿宋" w:hAnsi="仿宋" w:eastAsia="仿宋" w:cs="仿宋"/>
                <w:color w:val="auto"/>
                <w:kern w:val="0"/>
                <w:sz w:val="24"/>
                <w:szCs w:val="24"/>
                <w:highlight w:val="none"/>
              </w:rPr>
              <w:t>出具《中小企业声明函》</w:t>
            </w:r>
            <w:r>
              <w:rPr>
                <w:rFonts w:hint="eastAsia" w:ascii="仿宋" w:hAnsi="仿宋" w:eastAsia="仿宋" w:cs="仿宋"/>
                <w:color w:val="auto"/>
                <w:kern w:val="0"/>
                <w:sz w:val="24"/>
                <w:szCs w:val="24"/>
                <w:highlight w:val="none"/>
                <w:lang w:val="en-US" w:eastAsia="zh-CN"/>
              </w:rPr>
              <w:t>前，可通过工业和信息化部官网公共服务平台“</w:t>
            </w:r>
            <w:r>
              <w:rPr>
                <w:rFonts w:hint="eastAsia" w:ascii="仿宋" w:hAnsi="仿宋" w:eastAsia="仿宋" w:cs="仿宋"/>
                <w:color w:val="auto"/>
                <w:kern w:val="0"/>
                <w:sz w:val="24"/>
                <w:szCs w:val="24"/>
                <w:highlight w:val="none"/>
              </w:rPr>
              <w:t>中小企业规模类型自测小程序</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自测</w:t>
            </w:r>
            <w:r>
              <w:rPr>
                <w:rFonts w:hint="eastAsia" w:ascii="仿宋" w:hAnsi="仿宋" w:eastAsia="仿宋" w:cs="仿宋"/>
                <w:color w:val="auto"/>
                <w:kern w:val="0"/>
                <w:sz w:val="24"/>
                <w:szCs w:val="24"/>
                <w:highlight w:val="none"/>
              </w:rPr>
              <w:t>企业规模类型</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自测时</w:t>
            </w:r>
            <w:r>
              <w:rPr>
                <w:rFonts w:hint="eastAsia" w:ascii="仿宋" w:hAnsi="仿宋" w:eastAsia="仿宋" w:cs="仿宋"/>
                <w:color w:val="auto"/>
                <w:kern w:val="0"/>
                <w:sz w:val="24"/>
                <w:szCs w:val="24"/>
                <w:highlight w:val="none"/>
              </w:rPr>
              <w:t>企业所属行业</w:t>
            </w:r>
            <w:r>
              <w:rPr>
                <w:rFonts w:hint="eastAsia" w:ascii="仿宋" w:hAnsi="仿宋" w:eastAsia="仿宋" w:cs="仿宋"/>
                <w:color w:val="auto"/>
                <w:kern w:val="0"/>
                <w:sz w:val="24"/>
                <w:szCs w:val="24"/>
                <w:highlight w:val="none"/>
                <w:lang w:val="en-US" w:eastAsia="zh-CN"/>
              </w:rPr>
              <w:t>请选择</w:t>
            </w:r>
            <w:r>
              <w:rPr>
                <w:rFonts w:hint="eastAsia" w:ascii="仿宋" w:hAnsi="仿宋" w:eastAsia="仿宋" w:cs="仿宋"/>
                <w:color w:val="auto"/>
                <w:kern w:val="0"/>
                <w:sz w:val="24"/>
                <w:szCs w:val="24"/>
                <w:highlight w:val="none"/>
                <w:u w:val="single"/>
                <w:lang w:val="en-US" w:eastAsia="zh-CN" w:bidi="ar-SA"/>
              </w:rPr>
              <w:t>其他未列明行业</w:t>
            </w:r>
            <w:r>
              <w:rPr>
                <w:rFonts w:hint="eastAsia" w:ascii="仿宋" w:hAnsi="仿宋" w:eastAsia="仿宋" w:cs="仿宋"/>
                <w:b w:val="0"/>
                <w:bCs w:val="0"/>
                <w:i w:val="0"/>
                <w:caps w:val="0"/>
                <w:color w:val="auto"/>
                <w:spacing w:val="0"/>
                <w:sz w:val="24"/>
                <w:szCs w:val="24"/>
                <w:highlight w:val="none"/>
                <w:u w:val="single"/>
                <w:shd w:val="clear" w:color="auto" w:fill="auto"/>
                <w:lang w:val="en-US" w:eastAsia="zh-CN"/>
              </w:rPr>
              <w:t xml:space="preserve"> </w:t>
            </w:r>
            <w:r>
              <w:rPr>
                <w:rFonts w:hint="eastAsia" w:ascii="仿宋" w:hAnsi="仿宋" w:eastAsia="仿宋" w:cs="仿宋"/>
                <w:b w:val="0"/>
                <w:bCs w:val="0"/>
                <w:i w:val="0"/>
                <w:caps w:val="0"/>
                <w:color w:val="auto"/>
                <w:spacing w:val="0"/>
                <w:sz w:val="24"/>
                <w:szCs w:val="24"/>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45" w:type="dxa"/>
            <w:tcBorders>
              <w:top w:val="single" w:color="auto" w:sz="4" w:space="0"/>
              <w:left w:val="single" w:color="000000" w:sz="8"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13" w:type="dxa"/>
            <w:tcBorders>
              <w:top w:val="single" w:color="000000" w:sz="8" w:space="0"/>
              <w:left w:val="single" w:color="000000" w:sz="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7125" w:type="dxa"/>
            <w:tcBorders>
              <w:top w:val="single" w:color="000000" w:sz="8" w:space="0"/>
              <w:left w:val="single" w:color="000000" w:sz="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45"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1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 </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pPr>
              <w:pStyle w:val="25"/>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lang w:eastAsia="zh-CN"/>
              </w:rPr>
              <w:t>浙江中通通信有限公司</w:t>
            </w:r>
            <w:r>
              <w:rPr>
                <w:rFonts w:hint="eastAsia" w:ascii="仿宋" w:hAnsi="仿宋" w:eastAsia="仿宋" w:cs="仿宋"/>
                <w:b/>
                <w:color w:val="auto"/>
                <w:sz w:val="24"/>
                <w:szCs w:val="24"/>
                <w:highlight w:val="none"/>
              </w:rPr>
              <w:t>邮箱（</w:t>
            </w:r>
            <w:r>
              <w:rPr>
                <w:rFonts w:hint="eastAsia" w:ascii="仿宋" w:hAnsi="仿宋" w:eastAsia="仿宋" w:cs="仿宋"/>
                <w:b/>
                <w:color w:val="auto"/>
                <w:sz w:val="24"/>
                <w:szCs w:val="24"/>
                <w:highlight w:val="none"/>
                <w:lang w:eastAsia="zh-CN"/>
              </w:rPr>
              <w:fldChar w:fldCharType="begin"/>
            </w:r>
            <w:r>
              <w:rPr>
                <w:rFonts w:hint="eastAsia" w:ascii="仿宋" w:hAnsi="仿宋" w:eastAsia="仿宋" w:cs="仿宋"/>
                <w:b/>
                <w:color w:val="auto"/>
                <w:sz w:val="24"/>
                <w:szCs w:val="24"/>
                <w:highlight w:val="none"/>
                <w:lang w:eastAsia="zh-CN"/>
              </w:rPr>
              <w:instrText xml:space="preserve"> HYPERLINK "mailto:zjztb001@aliyun.com" </w:instrText>
            </w:r>
            <w:r>
              <w:rPr>
                <w:rFonts w:hint="eastAsia" w:ascii="仿宋" w:hAnsi="仿宋" w:eastAsia="仿宋" w:cs="仿宋"/>
                <w:b/>
                <w:color w:val="auto"/>
                <w:sz w:val="24"/>
                <w:szCs w:val="24"/>
                <w:highlight w:val="none"/>
                <w:lang w:eastAsia="zh-CN"/>
              </w:rPr>
              <w:fldChar w:fldCharType="separate"/>
            </w:r>
            <w:r>
              <w:rPr>
                <w:rFonts w:hint="eastAsia" w:ascii="仿宋" w:hAnsi="仿宋" w:eastAsia="仿宋" w:cs="仿宋"/>
                <w:b/>
                <w:color w:val="auto"/>
                <w:sz w:val="24"/>
                <w:szCs w:val="24"/>
                <w:highlight w:val="none"/>
                <w:lang w:val="en-US" w:eastAsia="zh-CN"/>
              </w:rPr>
              <w:t>zhangbin3@chinaccs.cn</w:t>
            </w:r>
            <w:r>
              <w:rPr>
                <w:rFonts w:hint="eastAsia" w:ascii="仿宋" w:hAnsi="仿宋" w:eastAsia="仿宋" w:cs="仿宋"/>
                <w:b/>
                <w:color w:val="auto"/>
                <w:sz w:val="24"/>
                <w:szCs w:val="24"/>
                <w:highlight w:val="none"/>
                <w:lang w:eastAsia="zh-CN"/>
              </w:rPr>
              <w:fldChar w:fldCharType="end"/>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45"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1813" w:type="dxa"/>
            <w:tcBorders>
              <w:top w:val="single" w:color="000000" w:sz="8" w:space="0"/>
              <w:left w:val="single" w:color="000000" w:sz="2" w:space="0"/>
              <w:bottom w:val="single" w:color="000000" w:sz="8" w:space="0"/>
              <w:right w:val="single" w:color="000000" w:sz="8" w:space="0"/>
            </w:tcBorders>
            <w:noWrap w:val="0"/>
            <w:vAlign w:val="center"/>
          </w:tcPr>
          <w:p>
            <w:pPr>
              <w:pStyle w:val="25"/>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Cs w:val="24"/>
                <w:highlight w:val="none"/>
              </w:rPr>
              <w:t>其他</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pPr>
              <w:pStyle w:val="59"/>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textAlignment w:val="auto"/>
              <w:rPr>
                <w:rFonts w:hint="eastAsia" w:ascii="仿宋" w:hAnsi="仿宋" w:eastAsia="仿宋" w:cs="仿宋"/>
                <w:snapToGrid w:val="0"/>
                <w:color w:val="auto"/>
                <w:spacing w:val="0"/>
                <w:kern w:val="28"/>
                <w:sz w:val="24"/>
                <w:szCs w:val="24"/>
                <w:highlight w:val="none"/>
                <w:lang w:val="en-US" w:eastAsia="zh-CN" w:bidi="ar-SA"/>
              </w:rPr>
            </w:pPr>
            <w:r>
              <w:rPr>
                <w:rFonts w:hint="eastAsia" w:ascii="仿宋" w:hAnsi="仿宋" w:eastAsia="仿宋" w:cs="仿宋"/>
                <w:snapToGrid w:val="0"/>
                <w:color w:val="auto"/>
                <w:spacing w:val="0"/>
                <w:kern w:val="28"/>
                <w:sz w:val="24"/>
                <w:szCs w:val="24"/>
                <w:highlight w:val="none"/>
                <w:lang w:val="en-US" w:eastAsia="zh-CN" w:bidi="ar-SA"/>
              </w:rPr>
              <w:t>1、招标代理服务费由中标人支付，具体收费标准参照国家发改委【2011】534号文件和国家计委【2002】1980号文件执行，收费基数为合同总金额。具体为中标金额×1.5%，最低收费不低于3000元。</w:t>
            </w:r>
          </w:p>
          <w:p>
            <w:pPr>
              <w:pStyle w:val="57"/>
              <w:keepNext w:val="0"/>
              <w:keepLines w:val="0"/>
              <w:pageBreakBefore w:val="0"/>
              <w:widowControl w:val="0"/>
              <w:kinsoku/>
              <w:wordWrap/>
              <w:overflowPunct/>
              <w:topLinePunct w:val="0"/>
              <w:bidi w:val="0"/>
              <w:spacing w:line="300" w:lineRule="exact"/>
              <w:ind w:left="0" w:leftChars="0" w:right="0" w:rightChars="0" w:firstLine="0"/>
              <w:textAlignment w:val="auto"/>
              <w:rPr>
                <w:rFonts w:hint="eastAsia" w:ascii="仿宋" w:hAnsi="仿宋" w:eastAsia="仿宋" w:cs="仿宋"/>
                <w:snapToGrid w:val="0"/>
                <w:color w:val="auto"/>
                <w:spacing w:val="0"/>
                <w:kern w:val="28"/>
                <w:sz w:val="24"/>
                <w:szCs w:val="24"/>
                <w:highlight w:val="none"/>
                <w:lang w:val="en-US" w:eastAsia="zh-CN" w:bidi="ar-SA"/>
              </w:rPr>
            </w:pPr>
            <w:r>
              <w:rPr>
                <w:rFonts w:hint="eastAsia" w:ascii="仿宋" w:hAnsi="仿宋" w:eastAsia="仿宋" w:cs="仿宋"/>
                <w:snapToGrid w:val="0"/>
                <w:color w:val="auto"/>
                <w:spacing w:val="0"/>
                <w:kern w:val="28"/>
                <w:sz w:val="24"/>
                <w:szCs w:val="24"/>
                <w:highlight w:val="none"/>
                <w:lang w:val="en-US" w:eastAsia="zh-CN" w:bidi="ar-SA"/>
              </w:rPr>
              <w:t>2、本项目招标代理服务费以中标总金额为计算基数，按以下费率标准计算，计算方式采用差额定率累进法：</w:t>
            </w:r>
          </w:p>
          <w:tbl>
            <w:tblPr>
              <w:tblStyle w:val="48"/>
              <w:tblW w:w="4978" w:type="pct"/>
              <w:tblCellSpacing w:w="0" w:type="dxa"/>
              <w:tblInd w:w="-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156"/>
              <w:gridCol w:w="955"/>
              <w:gridCol w:w="955"/>
              <w:gridCol w:w="9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4166"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              </w:t>
                  </w:r>
                  <w:r>
                    <w:rPr>
                      <w:rFonts w:hint="eastAsia" w:ascii="仿宋" w:hAnsi="仿宋" w:eastAsia="仿宋" w:cs="仿宋"/>
                      <w:b/>
                      <w:bCs/>
                      <w:i w:val="0"/>
                      <w:iCs w:val="0"/>
                      <w:caps w:val="0"/>
                      <w:color w:val="000000"/>
                      <w:spacing w:val="0"/>
                      <w:kern w:val="0"/>
                      <w:sz w:val="18"/>
                      <w:szCs w:val="18"/>
                      <w:lang w:val="en-US" w:eastAsia="zh-CN" w:bidi="ar"/>
                    </w:rPr>
                    <w:t>服务类型     中标金额（万元）</w:t>
                  </w:r>
                </w:p>
              </w:tc>
              <w:tc>
                <w:tcPr>
                  <w:tcW w:w="957" w:type="dxa"/>
                  <w:noWrap w:val="0"/>
                  <w:vAlign w:val="center"/>
                </w:tcPr>
                <w:p>
                  <w:pPr>
                    <w:pStyle w:val="43"/>
                    <w:keepNext w:val="0"/>
                    <w:keepLines w:val="0"/>
                    <w:widowControl/>
                    <w:suppressLineNumbers w:val="0"/>
                    <w:jc w:val="center"/>
                    <w:rPr>
                      <w:rFonts w:hint="eastAsia" w:ascii="仿宋" w:hAnsi="仿宋" w:eastAsia="仿宋" w:cs="仿宋"/>
                    </w:rPr>
                  </w:pPr>
                  <w:r>
                    <w:rPr>
                      <w:rFonts w:hint="eastAsia" w:ascii="仿宋" w:hAnsi="仿宋" w:eastAsia="仿宋" w:cs="仿宋"/>
                      <w:b/>
                      <w:bCs/>
                      <w:i w:val="0"/>
                      <w:iCs w:val="0"/>
                      <w:caps w:val="0"/>
                      <w:color w:val="000000"/>
                      <w:spacing w:val="0"/>
                      <w:sz w:val="18"/>
                      <w:szCs w:val="18"/>
                    </w:rPr>
                    <w:t>货物招标</w:t>
                  </w:r>
                </w:p>
              </w:tc>
              <w:tc>
                <w:tcPr>
                  <w:tcW w:w="957"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服务招标</w:t>
                  </w:r>
                </w:p>
              </w:tc>
              <w:tc>
                <w:tcPr>
                  <w:tcW w:w="944"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工程招标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166" w:type="dxa"/>
                  <w:noWrap w:val="0"/>
                  <w:vAlign w:val="center"/>
                </w:tcPr>
                <w:p>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100以下</w:t>
                  </w:r>
                </w:p>
              </w:tc>
              <w:tc>
                <w:tcPr>
                  <w:tcW w:w="957"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1.5％</w:t>
                  </w:r>
                </w:p>
              </w:tc>
              <w:tc>
                <w:tcPr>
                  <w:tcW w:w="957"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1.5％</w:t>
                  </w:r>
                </w:p>
              </w:tc>
              <w:tc>
                <w:tcPr>
                  <w:tcW w:w="944"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166" w:type="dxa"/>
                  <w:noWrap w:val="0"/>
                  <w:vAlign w:val="center"/>
                </w:tcPr>
                <w:p>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100—500</w:t>
                  </w:r>
                </w:p>
              </w:tc>
              <w:tc>
                <w:tcPr>
                  <w:tcW w:w="957"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1.1％</w:t>
                  </w:r>
                </w:p>
              </w:tc>
              <w:tc>
                <w:tcPr>
                  <w:tcW w:w="957"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0.8％</w:t>
                  </w:r>
                </w:p>
              </w:tc>
              <w:tc>
                <w:tcPr>
                  <w:tcW w:w="944"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0.7％</w:t>
                  </w:r>
                </w:p>
              </w:tc>
            </w:tr>
          </w:tbl>
          <w:p>
            <w:pPr>
              <w:pStyle w:val="59"/>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仿宋" w:hAnsi="仿宋" w:eastAsia="仿宋" w:cs="仿宋"/>
                <w:color w:val="auto"/>
                <w:spacing w:val="-5"/>
                <w:kern w:val="0"/>
                <w:sz w:val="24"/>
                <w:szCs w:val="20"/>
                <w:highlight w:val="none"/>
                <w:lang w:val="en-US" w:eastAsia="zh-CN" w:bidi="ar-SA"/>
              </w:rPr>
            </w:pPr>
            <w:r>
              <w:rPr>
                <w:rFonts w:hint="eastAsia" w:ascii="仿宋" w:hAnsi="仿宋" w:eastAsia="仿宋" w:cs="仿宋"/>
                <w:snapToGrid w:val="0"/>
                <w:color w:val="auto"/>
                <w:spacing w:val="0"/>
                <w:kern w:val="28"/>
                <w:sz w:val="24"/>
                <w:szCs w:val="24"/>
                <w:highlight w:val="none"/>
                <w:lang w:val="en-US" w:eastAsia="zh-CN" w:bidi="ar-SA"/>
              </w:rPr>
              <w:t>3、收取方式：本项目的招标代理服务费由中标人支付，在领取中标通知书时，一次性向采购代理机构付清。</w:t>
            </w:r>
          </w:p>
        </w:tc>
      </w:tr>
    </w:tbl>
    <w:p>
      <w:pPr>
        <w:pStyle w:val="3"/>
        <w:rPr>
          <w:rFonts w:hint="eastAsia"/>
        </w:rPr>
      </w:pPr>
    </w:p>
    <w:p>
      <w:pPr>
        <w:pStyle w:val="3"/>
        <w:rPr>
          <w:rFonts w:hint="eastAsia"/>
        </w:rPr>
      </w:pPr>
    </w:p>
    <w:p>
      <w:pPr>
        <w:spacing w:line="240" w:lineRule="auto"/>
        <w:rPr>
          <w:rFonts w:hint="eastAsia" w:ascii="仿宋" w:hAnsi="仿宋" w:eastAsia="仿宋" w:cs="仿宋"/>
          <w:color w:val="auto"/>
          <w:highlight w:val="none"/>
          <w:lang w:eastAsia="zh-CN"/>
        </w:rPr>
      </w:pPr>
    </w:p>
    <w:p>
      <w:pPr>
        <w:spacing w:line="240" w:lineRule="auto"/>
        <w:rPr>
          <w:rFonts w:hint="eastAsia" w:ascii="仿宋" w:hAnsi="仿宋" w:eastAsia="仿宋" w:cs="仿宋"/>
          <w:color w:val="auto"/>
          <w:highlight w:val="none"/>
        </w:rPr>
      </w:pPr>
    </w:p>
    <w:p>
      <w:pPr>
        <w:spacing w:line="240" w:lineRule="auto"/>
        <w:rPr>
          <w:rFonts w:hint="eastAsia" w:ascii="仿宋" w:hAnsi="仿宋" w:eastAsia="仿宋" w:cs="仿宋"/>
          <w:color w:val="auto"/>
          <w:highlight w:val="none"/>
        </w:rPr>
      </w:pPr>
    </w:p>
    <w:p>
      <w:pPr>
        <w:spacing w:line="240" w:lineRule="auto"/>
        <w:rPr>
          <w:rFonts w:hint="eastAsia" w:ascii="仿宋" w:hAnsi="仿宋" w:eastAsia="仿宋" w:cs="仿宋"/>
          <w:color w:val="auto"/>
          <w:highlight w:val="none"/>
        </w:rPr>
      </w:pPr>
    </w:p>
    <w:p>
      <w:pPr>
        <w:spacing w:line="240" w:lineRule="auto"/>
        <w:rPr>
          <w:rFonts w:ascii="宋体" w:cs="宋体"/>
          <w:color w:val="auto"/>
          <w:highlight w:val="none"/>
        </w:rPr>
      </w:pPr>
    </w:p>
    <w:p>
      <w:pPr>
        <w:pStyle w:val="20"/>
      </w:pPr>
    </w:p>
    <w:p>
      <w:pPr>
        <w:spacing w:line="240" w:lineRule="auto"/>
        <w:rPr>
          <w:rFonts w:ascii="宋体" w:cs="宋体"/>
          <w:color w:val="auto"/>
          <w:highlight w:val="none"/>
        </w:rPr>
      </w:pPr>
    </w:p>
    <w:p>
      <w:pPr>
        <w:rPr>
          <w:rFonts w:hint="eastAsia"/>
        </w:rPr>
      </w:pPr>
    </w:p>
    <w:p>
      <w:pPr>
        <w:keepNext w:val="0"/>
        <w:keepLines w:val="0"/>
        <w:pageBreakBefore w:val="0"/>
        <w:kinsoku/>
        <w:wordWrap/>
        <w:overflowPunct/>
        <w:topLinePunct w:val="0"/>
        <w:bidi w:val="0"/>
        <w:adjustRightInd/>
        <w:snapToGrid/>
        <w:spacing w:line="240" w:lineRule="auto"/>
        <w:jc w:val="both"/>
        <w:textAlignment w:val="auto"/>
        <w:outlineLvl w:val="0"/>
        <w:rPr>
          <w:rFonts w:hint="eastAsia" w:ascii="宋体" w:hAnsi="宋体" w:eastAsia="宋体" w:cs="宋体"/>
          <w:b/>
          <w:color w:val="auto"/>
          <w:sz w:val="32"/>
          <w:szCs w:val="20"/>
          <w:highlight w:val="none"/>
        </w:rPr>
      </w:pPr>
    </w:p>
    <w:p>
      <w:pPr>
        <w:pStyle w:val="20"/>
        <w:jc w:val="center"/>
        <w:rPr>
          <w:rFonts w:hint="eastAsia" w:ascii="仿宋" w:hAnsi="仿宋" w:eastAsia="仿宋" w:cs="仿宋"/>
          <w:b/>
          <w:bCs/>
          <w:color w:val="auto"/>
          <w:sz w:val="28"/>
          <w:szCs w:val="28"/>
          <w:highlight w:val="none"/>
        </w:rPr>
      </w:pPr>
    </w:p>
    <w:p>
      <w:pPr>
        <w:pStyle w:val="20"/>
        <w:jc w:val="center"/>
        <w:rPr>
          <w:rFonts w:hint="eastAsia" w:ascii="仿宋" w:hAnsi="仿宋" w:eastAsia="仿宋" w:cs="仿宋"/>
          <w:b/>
          <w:bCs/>
          <w:color w:val="auto"/>
          <w:sz w:val="28"/>
          <w:szCs w:val="28"/>
          <w:highlight w:val="none"/>
        </w:rPr>
      </w:pPr>
    </w:p>
    <w:p>
      <w:pPr>
        <w:pStyle w:val="20"/>
        <w:jc w:val="center"/>
        <w:rPr>
          <w:rFonts w:hint="eastAsia" w:ascii="仿宋" w:hAnsi="仿宋" w:eastAsia="仿宋" w:cs="仿宋"/>
          <w:b/>
          <w:bCs/>
          <w:color w:val="auto"/>
          <w:sz w:val="28"/>
          <w:szCs w:val="28"/>
          <w:highlight w:val="none"/>
        </w:rPr>
      </w:pPr>
    </w:p>
    <w:p>
      <w:pPr>
        <w:pStyle w:val="20"/>
        <w:jc w:val="center"/>
        <w:rPr>
          <w:rFonts w:hint="eastAsia" w:ascii="仿宋" w:hAnsi="仿宋" w:eastAsia="仿宋" w:cs="仿宋"/>
          <w:b/>
          <w:bCs/>
          <w:color w:val="auto"/>
          <w:sz w:val="28"/>
          <w:szCs w:val="28"/>
          <w:highlight w:val="none"/>
        </w:rPr>
      </w:pPr>
    </w:p>
    <w:p>
      <w:pPr>
        <w:pStyle w:val="20"/>
        <w:jc w:val="center"/>
        <w:rPr>
          <w:rFonts w:hint="eastAsia" w:ascii="仿宋" w:hAnsi="仿宋" w:eastAsia="仿宋" w:cs="仿宋"/>
          <w:b/>
          <w:bCs/>
          <w:color w:val="auto"/>
          <w:sz w:val="28"/>
          <w:szCs w:val="28"/>
          <w:highlight w:val="none"/>
        </w:rPr>
      </w:pPr>
    </w:p>
    <w:p>
      <w:pPr>
        <w:pStyle w:val="20"/>
        <w:jc w:val="center"/>
        <w:rPr>
          <w:rFonts w:hint="eastAsia" w:ascii="仿宋" w:hAnsi="仿宋" w:eastAsia="仿宋" w:cs="仿宋"/>
          <w:b/>
          <w:bCs/>
          <w:color w:val="auto"/>
          <w:sz w:val="28"/>
          <w:szCs w:val="28"/>
          <w:highlight w:val="none"/>
        </w:rPr>
      </w:pPr>
    </w:p>
    <w:p>
      <w:pPr>
        <w:pStyle w:val="21"/>
        <w:rPr>
          <w:rFonts w:hint="eastAsia" w:ascii="仿宋" w:hAnsi="仿宋" w:eastAsia="仿宋" w:cs="仿宋"/>
          <w:b/>
          <w:bCs/>
          <w:color w:val="auto"/>
          <w:sz w:val="28"/>
          <w:szCs w:val="28"/>
          <w:highlight w:val="none"/>
        </w:rPr>
      </w:pPr>
    </w:p>
    <w:p>
      <w:pPr>
        <w:pStyle w:val="20"/>
        <w:jc w:val="both"/>
        <w:rPr>
          <w:rFonts w:hint="eastAsia" w:ascii="仿宋" w:hAnsi="仿宋" w:eastAsia="仿宋" w:cs="仿宋"/>
          <w:b/>
          <w:bCs/>
          <w:color w:val="auto"/>
          <w:sz w:val="28"/>
          <w:szCs w:val="28"/>
          <w:highlight w:val="none"/>
        </w:rPr>
      </w:pPr>
    </w:p>
    <w:p>
      <w:pPr>
        <w:pStyle w:val="21"/>
        <w:rPr>
          <w:rFonts w:hint="eastAsia" w:ascii="仿宋" w:hAnsi="仿宋" w:eastAsia="仿宋" w:cs="仿宋"/>
          <w:b/>
          <w:bCs/>
          <w:color w:val="auto"/>
          <w:sz w:val="28"/>
          <w:szCs w:val="28"/>
          <w:highlight w:val="none"/>
        </w:rPr>
      </w:pPr>
    </w:p>
    <w:p>
      <w:pPr>
        <w:rPr>
          <w:rFonts w:hint="eastAsia" w:ascii="仿宋" w:hAnsi="仿宋" w:eastAsia="仿宋" w:cs="仿宋"/>
          <w:b/>
          <w:bCs/>
          <w:color w:val="auto"/>
          <w:sz w:val="28"/>
          <w:szCs w:val="28"/>
          <w:highlight w:val="none"/>
        </w:rPr>
      </w:pPr>
    </w:p>
    <w:p>
      <w:pPr>
        <w:rPr>
          <w:rFonts w:hint="eastAsia"/>
        </w:rPr>
      </w:pPr>
      <w:r>
        <w:rPr>
          <w:rFonts w:hint="eastAsia"/>
        </w:rPr>
        <w:br w:type="page"/>
      </w:r>
    </w:p>
    <w:p>
      <w:pPr>
        <w:pStyle w:val="3"/>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一、总   则</w:t>
      </w:r>
    </w:p>
    <w:p>
      <w:pPr>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sz w:val="24"/>
          <w:highlight w:val="none"/>
        </w:rPr>
        <w:t>1.</w:t>
      </w:r>
      <w:r>
        <w:rPr>
          <w:rFonts w:hint="eastAsia" w:ascii="仿宋" w:hAnsi="仿宋" w:eastAsia="仿宋" w:cs="仿宋"/>
          <w:b/>
          <w:color w:val="auto"/>
          <w:sz w:val="24"/>
          <w:highlight w:val="none"/>
        </w:rPr>
        <w:t>适用范围</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适用于本次所述项目的</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w:t>
      </w:r>
    </w:p>
    <w:p>
      <w:pPr>
        <w:pageBreakBefore w:val="0"/>
        <w:widowControl w:val="0"/>
        <w:kinsoku/>
        <w:wordWrap/>
        <w:overflowPunct/>
        <w:topLinePunct w:val="0"/>
        <w:bidi w:val="0"/>
        <w:snapToGrid w:val="0"/>
        <w:spacing w:line="240" w:lineRule="auto"/>
        <w:ind w:firstLine="472" w:firstLineChars="196"/>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2.1“采购人”系指组织本次</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的</w:t>
      </w:r>
      <w:r>
        <w:rPr>
          <w:rFonts w:hint="eastAsia" w:ascii="仿宋" w:hAnsi="仿宋" w:eastAsia="仿宋" w:cs="仿宋"/>
          <w:color w:val="auto"/>
          <w:kern w:val="0"/>
          <w:sz w:val="24"/>
          <w:highlight w:val="none"/>
          <w:lang w:eastAsia="zh-CN"/>
        </w:rPr>
        <w:t>采购单位</w:t>
      </w:r>
      <w:r>
        <w:rPr>
          <w:rFonts w:hint="eastAsia" w:ascii="仿宋" w:hAnsi="仿宋" w:eastAsia="仿宋" w:cs="仿宋"/>
          <w:color w:val="auto"/>
          <w:sz w:val="24"/>
          <w:highlight w:val="none"/>
        </w:rPr>
        <w:t>。</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2.2“采购代理机构”系指</w:t>
      </w:r>
      <w:r>
        <w:rPr>
          <w:rFonts w:hint="eastAsia" w:ascii="仿宋" w:hAnsi="仿宋" w:eastAsia="仿宋" w:cs="仿宋"/>
          <w:color w:val="auto"/>
          <w:sz w:val="24"/>
          <w:highlight w:val="none"/>
          <w:lang w:eastAsia="zh-CN"/>
        </w:rPr>
        <w:t>浙江中通通信有限公司</w:t>
      </w:r>
      <w:r>
        <w:rPr>
          <w:rFonts w:hint="eastAsia" w:ascii="仿宋" w:hAnsi="仿宋" w:eastAsia="仿宋" w:cs="仿宋"/>
          <w:color w:val="auto"/>
          <w:sz w:val="24"/>
          <w:highlight w:val="none"/>
        </w:rPr>
        <w:t>。</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”系指向采购人和采购代理机构提交</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文件的供应商。</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2.4“货物”系指供方按</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规定，须向采购人提供的一切设备、保险、税金、备品备件、工具、手册及其它有关技术资料和材料。</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2.5“服务”系指</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规定</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须承担的安装、调试、技术协助、校准、培训、技术指导以及其他类似的义务。</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2.6“项目”系指</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按</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规定向采购人提供的货物和服务。</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2.7“书面形式”包括信函、传真、电报等。</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2.8本</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所述设备品牌、型号是结合实际现有情况的推荐性参考方案，</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方也可根据</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得要求参考性能相当或高于、服务条款相等或高于、符合</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方实际业务需求其他同档次优质品牌的产品，进行方案优化。所投产品不在参考品牌范围内的，是否符合</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要求由评标委员会在</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文件评审时集体讨论决定。</w:t>
      </w:r>
    </w:p>
    <w:p>
      <w:pPr>
        <w:pageBreakBefore w:val="0"/>
        <w:widowControl w:val="0"/>
        <w:kinsoku/>
        <w:wordWrap/>
        <w:overflowPunct/>
        <w:topLinePunct w:val="0"/>
        <w:bidi w:val="0"/>
        <w:snapToGrid w:val="0"/>
        <w:spacing w:line="24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3.采购方式</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本次采购采用</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sz w:val="24"/>
          <w:highlight w:val="none"/>
        </w:rPr>
        <w:t>方式进行。</w:t>
      </w:r>
    </w:p>
    <w:p>
      <w:pPr>
        <w:pageBreakBefore w:val="0"/>
        <w:widowControl w:val="0"/>
        <w:kinsoku/>
        <w:wordWrap/>
        <w:overflowPunct/>
        <w:topLinePunct w:val="0"/>
        <w:bidi w:val="0"/>
        <w:snapToGrid w:val="0"/>
        <w:spacing w:line="240" w:lineRule="auto"/>
        <w:ind w:firstLine="472" w:firstLineChars="196"/>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及投标委托有关说明</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4.1</w:t>
      </w:r>
      <w:r>
        <w:rPr>
          <w:rFonts w:hint="eastAsia" w:ascii="仿宋" w:hAnsi="仿宋" w:eastAsia="仿宋" w:cs="仿宋"/>
          <w:b/>
          <w:color w:val="auto"/>
          <w:sz w:val="24"/>
          <w:highlight w:val="none"/>
        </w:rPr>
        <w:t>授权代表须为</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正式员工，投标文件中需提供法定代表人和被授权人身份证复印件加盖</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公章。</w:t>
      </w:r>
      <w:r>
        <w:rPr>
          <w:rFonts w:hint="eastAsia" w:ascii="仿宋" w:hAnsi="仿宋" w:eastAsia="仿宋" w:cs="仿宋"/>
          <w:b/>
          <w:color w:val="auto"/>
          <w:sz w:val="24"/>
          <w:highlight w:val="none"/>
          <w:lang w:val="en-US" w:eastAsia="zh-CN"/>
        </w:rPr>
        <w:t>法人代表只需提供身份证复印件。</w:t>
      </w:r>
    </w:p>
    <w:p>
      <w:pPr>
        <w:pageBreakBefore w:val="0"/>
        <w:widowControl w:val="0"/>
        <w:kinsoku/>
        <w:wordWrap/>
        <w:overflowPunct/>
        <w:topLinePunct w:val="0"/>
        <w:bidi w:val="0"/>
        <w:snapToGrid w:val="0"/>
        <w:spacing w:line="240" w:lineRule="auto"/>
        <w:ind w:firstLine="472" w:firstLineChars="196"/>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5.投标费用</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应自行承担获得</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和编制、提交</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文件所涉及的一切费用。不论投标结果如何，</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均应自行承担所有与投标有关的全部费用。对中标人收</w:t>
      </w:r>
      <w:r>
        <w:rPr>
          <w:rFonts w:hint="eastAsia" w:ascii="仿宋" w:hAnsi="仿宋" w:eastAsia="仿宋" w:cs="仿宋"/>
          <w:color w:val="auto"/>
          <w:sz w:val="24"/>
          <w:highlight w:val="none"/>
          <w:lang w:eastAsia="zh-CN"/>
        </w:rPr>
        <w:t>取</w:t>
      </w:r>
      <w:r>
        <w:rPr>
          <w:rFonts w:hint="eastAsia" w:ascii="仿宋" w:hAnsi="仿宋" w:eastAsia="仿宋" w:cs="仿宋"/>
          <w:color w:val="auto"/>
          <w:sz w:val="24"/>
          <w:highlight w:val="none"/>
        </w:rPr>
        <w:t>政府采购代理服务费。</w:t>
      </w:r>
    </w:p>
    <w:p>
      <w:pPr>
        <w:pageBreakBefore w:val="0"/>
        <w:widowControl w:val="0"/>
        <w:kinsoku/>
        <w:wordWrap/>
        <w:overflowPunct/>
        <w:topLinePunct w:val="0"/>
        <w:bidi w:val="0"/>
        <w:snapToGrid w:val="0"/>
        <w:spacing w:line="240" w:lineRule="auto"/>
        <w:ind w:firstLine="472" w:firstLineChars="196"/>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6.特别说明：</w:t>
      </w:r>
    </w:p>
    <w:p>
      <w:pPr>
        <w:pStyle w:val="25"/>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6.1</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应仔细阅读</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的所有内容，按照</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的要求提交</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文件，并对所提供的全部资料的真实性承担法律责任。</w:t>
      </w:r>
    </w:p>
    <w:p>
      <w:pPr>
        <w:pStyle w:val="25"/>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6.2</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的行政与刑事责任。</w:t>
      </w:r>
    </w:p>
    <w:p>
      <w:pPr>
        <w:pStyle w:val="25"/>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6.3</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25"/>
        <w:pageBreakBefore w:val="0"/>
        <w:widowControl w:val="0"/>
        <w:kinsoku/>
        <w:wordWrap/>
        <w:overflowPunct/>
        <w:topLinePunct w:val="0"/>
        <w:bidi w:val="0"/>
        <w:snapToGrid w:val="0"/>
        <w:spacing w:line="240" w:lineRule="auto"/>
        <w:ind w:left="2" w:leftChars="1"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6.4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pStyle w:val="25"/>
        <w:pageBreakBefore w:val="0"/>
        <w:widowControl w:val="0"/>
        <w:kinsoku/>
        <w:wordWrap/>
        <w:overflowPunct/>
        <w:topLinePunct w:val="0"/>
        <w:bidi w:val="0"/>
        <w:snapToGrid w:val="0"/>
        <w:spacing w:line="240" w:lineRule="auto"/>
        <w:ind w:left="2" w:leftChars="1"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6.5本项目涉及采购货物必须是全新、未使用过的原装合格正品（包括零部件），如安装或配置了软件的，须为正版软件。</w:t>
      </w:r>
    </w:p>
    <w:p>
      <w:pPr>
        <w:pStyle w:val="25"/>
        <w:pageBreakBefore w:val="0"/>
        <w:widowControl w:val="0"/>
        <w:kinsoku/>
        <w:wordWrap/>
        <w:overflowPunct/>
        <w:topLinePunct w:val="0"/>
        <w:bidi w:val="0"/>
        <w:snapToGrid w:val="0"/>
        <w:spacing w:line="240" w:lineRule="auto"/>
        <w:ind w:left="2" w:leftChars="1"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6.6国产的货物及其有关服务必须符合中华人民共和国的设计和制造生产标准或行业标准。</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公告有其他要求的，亦应符合其要求。</w:t>
      </w:r>
    </w:p>
    <w:p>
      <w:pPr>
        <w:pStyle w:val="25"/>
        <w:pageBreakBefore w:val="0"/>
        <w:widowControl w:val="0"/>
        <w:kinsoku/>
        <w:wordWrap/>
        <w:overflowPunct/>
        <w:topLinePunct w:val="0"/>
        <w:bidi w:val="0"/>
        <w:snapToGrid w:val="0"/>
        <w:spacing w:line="240" w:lineRule="auto"/>
        <w:ind w:left="2" w:leftChars="1"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6.7进口货物及其有关服务必须符合原产地和/或中华人民共和国的设计和制造生产标准或行业标准。进口的货物必须具有合法的进口手续和途径，并通过中华人民共和国商检部门检验。</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公告有其他要求的，亦应符合其要求。</w:t>
      </w: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6.8</w:t>
      </w:r>
      <w:r>
        <w:rPr>
          <w:rFonts w:hint="eastAsia" w:ascii="仿宋" w:hAnsi="仿宋" w:eastAsia="仿宋" w:cs="仿宋"/>
          <w:color w:val="auto"/>
          <w:sz w:val="24"/>
          <w:highlight w:val="none"/>
        </w:rPr>
        <w:t>支持中小企业发展</w:t>
      </w: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6.8</w:t>
      </w:r>
      <w:r>
        <w:rPr>
          <w:rFonts w:hint="eastAsia" w:ascii="仿宋" w:hAnsi="仿宋" w:eastAsia="仿宋" w:cs="仿宋"/>
          <w:color w:val="auto"/>
          <w:sz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lang w:eastAsia="zh-CN"/>
        </w:rPr>
        <w:t>6.8</w:t>
      </w:r>
      <w:r>
        <w:rPr>
          <w:rFonts w:hint="eastAsia" w:ascii="仿宋" w:hAnsi="仿宋" w:eastAsia="仿宋" w:cs="仿宋"/>
          <w:bCs/>
          <w:color w:val="auto"/>
          <w:sz w:val="24"/>
          <w:highlight w:val="none"/>
        </w:rPr>
        <w:t>.2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6.8</w:t>
      </w:r>
      <w:r>
        <w:rPr>
          <w:rFonts w:hint="eastAsia" w:ascii="仿宋" w:hAnsi="仿宋" w:eastAsia="仿宋" w:cs="仿宋"/>
          <w:color w:val="auto"/>
          <w:kern w:val="0"/>
          <w:sz w:val="24"/>
          <w:highlight w:val="none"/>
        </w:rPr>
        <w:t>.2.1在货物采购项目中，货物由中小企业制造，即货物由中小企业生产且使用该中小企业商号或者注册商标；</w:t>
      </w:r>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6.8</w:t>
      </w:r>
      <w:r>
        <w:rPr>
          <w:rFonts w:hint="eastAsia" w:ascii="仿宋" w:hAnsi="仿宋" w:eastAsia="仿宋" w:cs="仿宋"/>
          <w:color w:val="auto"/>
          <w:kern w:val="0"/>
          <w:sz w:val="24"/>
          <w:highlight w:val="none"/>
        </w:rPr>
        <w:t>.2.2在工程采购项目中，工程由中小企业承建，即工程施工单位为中小企业；</w:t>
      </w:r>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6.8</w:t>
      </w:r>
      <w:r>
        <w:rPr>
          <w:rFonts w:hint="eastAsia" w:ascii="仿宋" w:hAnsi="仿宋" w:eastAsia="仿宋" w:cs="仿宋"/>
          <w:color w:val="auto"/>
          <w:kern w:val="0"/>
          <w:sz w:val="24"/>
          <w:highlight w:val="none"/>
        </w:rPr>
        <w:t>.2.3在服务采购项目中，服务由中小企业承接，即提供服务的人员为中小企业依照《中华人民共和国民法典》订立劳动合同的从业人员。</w:t>
      </w:r>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6.8</w:t>
      </w:r>
      <w:r>
        <w:rPr>
          <w:rFonts w:hint="eastAsia" w:ascii="仿宋" w:hAnsi="仿宋" w:eastAsia="仿宋" w:cs="仿宋"/>
          <w:color w:val="auto"/>
          <w:sz w:val="24"/>
          <w:highlight w:val="none"/>
        </w:rPr>
        <w:t>.3对于未预留份额专门面向中小企业的政府采购货物或服务项目，以及预留份额政府采购货物或服务项目中的非预留部分标项，对小型和微型企业的投标报价给予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6.8</w:t>
      </w:r>
      <w:r>
        <w:rPr>
          <w:rFonts w:hint="eastAsia" w:ascii="仿宋" w:hAnsi="仿宋" w:eastAsia="仿宋" w:cs="仿宋"/>
          <w:color w:val="auto"/>
          <w:sz w:val="24"/>
          <w:highlight w:val="none"/>
        </w:rPr>
        <w:t>.4符合《关于促进残疾人就业政府采购政策的通知》（财库〔2017〕141号）规定的条件并提供《残疾人福利性单位声明函》（附件1）的残疾人福利性单位视同小型、微型企业；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6.8</w:t>
      </w:r>
      <w:r>
        <w:rPr>
          <w:rFonts w:hint="eastAsia" w:ascii="仿宋" w:hAnsi="仿宋" w:eastAsia="仿宋" w:cs="仿宋"/>
          <w:color w:val="auto"/>
          <w:sz w:val="24"/>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6.8</w:t>
      </w:r>
      <w:r>
        <w:rPr>
          <w:rFonts w:hint="eastAsia" w:ascii="仿宋" w:hAnsi="仿宋" w:eastAsia="仿宋" w:cs="仿宋"/>
          <w:color w:val="auto"/>
          <w:sz w:val="24"/>
          <w:highlight w:val="none"/>
        </w:rPr>
        <w:t>.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6.8</w:t>
      </w:r>
      <w:r>
        <w:rPr>
          <w:rFonts w:hint="eastAsia" w:ascii="仿宋" w:hAnsi="仿宋" w:eastAsia="仿宋" w:cs="仿宋"/>
          <w:color w:val="auto"/>
          <w:sz w:val="24"/>
          <w:highlight w:val="none"/>
        </w:rPr>
        <w:t xml:space="preserve">.7中小企业享受扶持政策获得政府采购合同的，小微企业不得将合同分包给大中型企业，中型企业不得将合同分包给大型企业。 </w:t>
      </w: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6.8</w:t>
      </w:r>
      <w:r>
        <w:rPr>
          <w:rFonts w:hint="eastAsia" w:ascii="仿宋" w:hAnsi="仿宋" w:eastAsia="仿宋" w:cs="仿宋"/>
          <w:color w:val="auto"/>
          <w:sz w:val="24"/>
          <w:highlight w:val="none"/>
        </w:rPr>
        <w:t>.8采购人严格贯彻落实《保障中小企业款项支付条例》，按规定向中小企业支付款项。</w:t>
      </w: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6.8</w:t>
      </w:r>
      <w:r>
        <w:rPr>
          <w:rFonts w:hint="eastAsia" w:ascii="仿宋" w:hAnsi="仿宋" w:eastAsia="仿宋" w:cs="仿宋"/>
          <w:color w:val="auto"/>
          <w:sz w:val="24"/>
          <w:highlight w:val="none"/>
        </w:rPr>
        <w:t>.9中小企业信用融资：供应商中标后可在政府采购云平台申请政采贷：操作路径：登录政府采购云平台-金融服务中心-【融资服务】。</w:t>
      </w: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6.9</w:t>
      </w:r>
      <w:r>
        <w:rPr>
          <w:rFonts w:hint="eastAsia" w:ascii="仿宋" w:hAnsi="仿宋" w:eastAsia="仿宋" w:cs="仿宋"/>
          <w:bCs/>
          <w:color w:val="auto"/>
          <w:sz w:val="24"/>
          <w:highlight w:val="none"/>
        </w:rPr>
        <w:t>支持创新发展</w:t>
      </w: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6.9</w:t>
      </w:r>
      <w:r>
        <w:rPr>
          <w:rFonts w:hint="eastAsia" w:ascii="仿宋" w:hAnsi="仿宋" w:eastAsia="仿宋" w:cs="仿宋"/>
          <w:color w:val="auto"/>
          <w:sz w:val="24"/>
          <w:highlight w:val="none"/>
        </w:rPr>
        <w:t>.1 采购人优先采购被认定为首台套产品和“制造精品”的自主创新产品。</w:t>
      </w: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6.9</w:t>
      </w:r>
      <w:r>
        <w:rPr>
          <w:rFonts w:hint="eastAsia" w:ascii="仿宋" w:hAnsi="仿宋" w:eastAsia="仿宋" w:cs="仿宋"/>
          <w:color w:val="auto"/>
          <w:sz w:val="24"/>
          <w:highlight w:val="none"/>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pageBreakBefore w:val="0"/>
        <w:widowControl w:val="0"/>
        <w:kinsoku/>
        <w:wordWrap/>
        <w:overflowPunct/>
        <w:topLinePunct w:val="0"/>
        <w:bidi w:val="0"/>
        <w:snapToGrid w:val="0"/>
        <w:spacing w:line="240" w:lineRule="auto"/>
        <w:ind w:firstLine="472" w:firstLineChars="196"/>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7.质疑和投诉</w:t>
      </w:r>
    </w:p>
    <w:p>
      <w:pPr>
        <w:pStyle w:val="25"/>
        <w:pageBreakBefore w:val="0"/>
        <w:widowControl w:val="0"/>
        <w:kinsoku/>
        <w:wordWrap/>
        <w:overflowPunct/>
        <w:topLinePunct w:val="0"/>
        <w:bidi w:val="0"/>
        <w:snapToGrid w:val="0"/>
        <w:spacing w:line="240" w:lineRule="auto"/>
        <w:ind w:left="1" w:firstLine="480" w:firstLineChars="200"/>
        <w:textAlignment w:val="auto"/>
        <w:rPr>
          <w:rFonts w:hint="eastAsia" w:ascii="仿宋" w:hAnsi="仿宋" w:eastAsia="仿宋" w:cs="仿宋"/>
          <w:color w:val="auto"/>
          <w:highlight w:val="none"/>
        </w:rPr>
      </w:pPr>
      <w:r>
        <w:rPr>
          <w:rFonts w:hint="eastAsia" w:ascii="仿宋" w:hAnsi="仿宋" w:eastAsia="仿宋" w:cs="仿宋"/>
          <w:bCs/>
          <w:color w:val="auto"/>
          <w:highlight w:val="none"/>
        </w:rPr>
        <w:t>7.1</w:t>
      </w:r>
      <w:r>
        <w:rPr>
          <w:rFonts w:hint="eastAsia" w:ascii="仿宋" w:hAnsi="仿宋" w:eastAsia="仿宋" w:cs="仿宋"/>
          <w:bCs/>
          <w:color w:val="auto"/>
          <w:highlight w:val="none"/>
          <w:lang w:eastAsia="zh-CN"/>
        </w:rPr>
        <w:t>磋商供应商</w:t>
      </w:r>
      <w:r>
        <w:rPr>
          <w:rFonts w:hint="eastAsia" w:ascii="仿宋" w:hAnsi="仿宋" w:eastAsia="仿宋" w:cs="仿宋"/>
          <w:bCs/>
          <w:color w:val="auto"/>
          <w:highlight w:val="none"/>
        </w:rPr>
        <w:t>认为</w:t>
      </w:r>
      <w:r>
        <w:rPr>
          <w:rFonts w:hint="eastAsia" w:ascii="仿宋" w:hAnsi="仿宋" w:eastAsia="仿宋" w:cs="仿宋"/>
          <w:bCs/>
          <w:color w:val="auto"/>
          <w:highlight w:val="none"/>
          <w:lang w:eastAsia="zh-CN"/>
        </w:rPr>
        <w:t>磋商文件</w:t>
      </w:r>
      <w:r>
        <w:rPr>
          <w:rFonts w:hint="eastAsia" w:ascii="仿宋" w:hAnsi="仿宋" w:eastAsia="仿宋" w:cs="仿宋"/>
          <w:bCs/>
          <w:color w:val="auto"/>
          <w:highlight w:val="none"/>
        </w:rPr>
        <w:t>、</w:t>
      </w:r>
      <w:r>
        <w:rPr>
          <w:rFonts w:hint="eastAsia" w:ascii="仿宋" w:hAnsi="仿宋" w:eastAsia="仿宋" w:cs="仿宋"/>
          <w:bCs/>
          <w:color w:val="auto"/>
          <w:highlight w:val="none"/>
          <w:lang w:eastAsia="zh-CN"/>
        </w:rPr>
        <w:t>采购</w:t>
      </w:r>
      <w:r>
        <w:rPr>
          <w:rFonts w:hint="eastAsia" w:ascii="仿宋" w:hAnsi="仿宋" w:eastAsia="仿宋" w:cs="仿宋"/>
          <w:bCs/>
          <w:color w:val="auto"/>
          <w:highlight w:val="none"/>
        </w:rPr>
        <w:t>过程和中标结果使自己的合法权益受到损害的，应当在知道或者</w:t>
      </w:r>
      <w:r>
        <w:rPr>
          <w:rFonts w:hint="eastAsia" w:ascii="仿宋" w:hAnsi="仿宋" w:eastAsia="仿宋" w:cs="仿宋"/>
          <w:color w:val="auto"/>
          <w:highlight w:val="none"/>
        </w:rPr>
        <w:t>应知其权益受到损害之日起七个工作日内，以书面形式向采购人、采购代理机构提出质疑。</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对采购人的质疑答复不满意或者采购人未在规定时间内作出答复的，可以在答复期满后十五个工作日内向同级采购监管部门投诉。逾期提出的，采购代理机构不予受理、答复。</w:t>
      </w:r>
    </w:p>
    <w:p>
      <w:pPr>
        <w:pStyle w:val="25"/>
        <w:pageBreakBefore w:val="0"/>
        <w:widowControl w:val="0"/>
        <w:kinsoku/>
        <w:wordWrap/>
        <w:overflowPunct/>
        <w:topLinePunct w:val="0"/>
        <w:bidi w:val="0"/>
        <w:snapToGrid w:val="0"/>
        <w:spacing w:line="240" w:lineRule="auto"/>
        <w:ind w:left="1" w:firstLine="480" w:firstLineChars="200"/>
        <w:textAlignment w:val="auto"/>
        <w:rPr>
          <w:rFonts w:hint="eastAsia" w:ascii="仿宋" w:hAnsi="仿宋" w:eastAsia="仿宋" w:cs="仿宋"/>
          <w:color w:val="auto"/>
          <w:highlight w:val="none"/>
        </w:rPr>
      </w:pPr>
      <w:r>
        <w:rPr>
          <w:rFonts w:hint="eastAsia" w:ascii="仿宋" w:hAnsi="仿宋" w:eastAsia="仿宋" w:cs="仿宋"/>
          <w:bCs/>
          <w:color w:val="auto"/>
          <w:highlight w:val="none"/>
        </w:rPr>
        <w:t>7.2质疑、投诉应当采用书面形式，质疑书、投诉书均应明确阐述</w:t>
      </w:r>
      <w:r>
        <w:rPr>
          <w:rFonts w:hint="eastAsia" w:ascii="仿宋" w:hAnsi="仿宋" w:eastAsia="仿宋" w:cs="仿宋"/>
          <w:bCs/>
          <w:color w:val="auto"/>
          <w:highlight w:val="none"/>
          <w:lang w:eastAsia="zh-CN"/>
        </w:rPr>
        <w:t>磋商文件</w:t>
      </w:r>
      <w:r>
        <w:rPr>
          <w:rFonts w:hint="eastAsia" w:ascii="仿宋" w:hAnsi="仿宋" w:eastAsia="仿宋" w:cs="仿宋"/>
          <w:bCs/>
          <w:color w:val="auto"/>
          <w:highlight w:val="none"/>
        </w:rPr>
        <w:t>、</w:t>
      </w:r>
      <w:r>
        <w:rPr>
          <w:rFonts w:hint="eastAsia" w:ascii="仿宋" w:hAnsi="仿宋" w:eastAsia="仿宋" w:cs="仿宋"/>
          <w:bCs/>
          <w:color w:val="auto"/>
          <w:highlight w:val="none"/>
          <w:lang w:eastAsia="zh-CN"/>
        </w:rPr>
        <w:t>采购</w:t>
      </w:r>
      <w:r>
        <w:rPr>
          <w:rFonts w:hint="eastAsia" w:ascii="仿宋" w:hAnsi="仿宋" w:eastAsia="仿宋" w:cs="仿宋"/>
          <w:bCs/>
          <w:color w:val="auto"/>
          <w:highlight w:val="none"/>
        </w:rPr>
        <w:t>过程和中标结果中使自己合法权益受到损害的实质性内容，提供相关事实、依据和证据及</w:t>
      </w:r>
      <w:r>
        <w:rPr>
          <w:rFonts w:hint="eastAsia" w:ascii="仿宋" w:hAnsi="仿宋" w:eastAsia="仿宋" w:cs="仿宋"/>
          <w:color w:val="auto"/>
          <w:highlight w:val="none"/>
        </w:rPr>
        <w:t>其来源或线索，便于有关单位调查、答复和处理。</w:t>
      </w:r>
    </w:p>
    <w:p>
      <w:pPr>
        <w:pStyle w:val="25"/>
        <w:pageBreakBefore w:val="0"/>
        <w:widowControl w:val="0"/>
        <w:kinsoku/>
        <w:wordWrap/>
        <w:overflowPunct/>
        <w:topLinePunct w:val="0"/>
        <w:bidi w:val="0"/>
        <w:snapToGrid w:val="0"/>
        <w:spacing w:line="240" w:lineRule="auto"/>
        <w:ind w:left="1"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7.3</w:t>
      </w:r>
      <w:r>
        <w:rPr>
          <w:rFonts w:hint="eastAsia" w:ascii="仿宋" w:hAnsi="仿宋" w:eastAsia="仿宋" w:cs="仿宋"/>
          <w:color w:val="auto"/>
          <w:szCs w:val="24"/>
          <w:highlight w:val="none"/>
        </w:rPr>
        <w:t>采购代理机构与采购人研究后，对认为有必要回答的问题，采购人和采购代理机构将补充（更正）以网上发布公告的形式通知所有</w:t>
      </w:r>
      <w:r>
        <w:rPr>
          <w:rFonts w:hint="eastAsia" w:ascii="仿宋" w:hAnsi="仿宋" w:eastAsia="仿宋" w:cs="仿宋"/>
          <w:color w:val="auto"/>
          <w:szCs w:val="24"/>
          <w:highlight w:val="none"/>
          <w:lang w:eastAsia="zh-CN"/>
        </w:rPr>
        <w:t>磋商供应商</w:t>
      </w:r>
      <w:r>
        <w:rPr>
          <w:rFonts w:hint="eastAsia" w:ascii="仿宋" w:hAnsi="仿宋" w:eastAsia="仿宋" w:cs="仿宋"/>
          <w:color w:val="auto"/>
          <w:szCs w:val="24"/>
          <w:highlight w:val="none"/>
        </w:rPr>
        <w:t>，补充（更正）是</w:t>
      </w:r>
      <w:r>
        <w:rPr>
          <w:rFonts w:hint="eastAsia" w:ascii="仿宋" w:hAnsi="仿宋" w:eastAsia="仿宋" w:cs="仿宋"/>
          <w:color w:val="auto"/>
          <w:szCs w:val="24"/>
          <w:highlight w:val="none"/>
          <w:lang w:eastAsia="zh-CN"/>
        </w:rPr>
        <w:t>磋商文件</w:t>
      </w:r>
      <w:r>
        <w:rPr>
          <w:rFonts w:hint="eastAsia" w:ascii="仿宋" w:hAnsi="仿宋" w:eastAsia="仿宋" w:cs="仿宋"/>
          <w:color w:val="auto"/>
          <w:szCs w:val="24"/>
          <w:highlight w:val="none"/>
        </w:rPr>
        <w:t>的组成部份。</w:t>
      </w:r>
    </w:p>
    <w:p>
      <w:pPr>
        <w:pStyle w:val="25"/>
        <w:pageBreakBefore w:val="0"/>
        <w:widowControl w:val="0"/>
        <w:kinsoku/>
        <w:wordWrap/>
        <w:overflowPunct/>
        <w:topLinePunct w:val="0"/>
        <w:bidi w:val="0"/>
        <w:snapToGrid w:val="0"/>
        <w:spacing w:line="240" w:lineRule="auto"/>
        <w:ind w:left="1"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7.4</w:t>
      </w:r>
      <w:r>
        <w:rPr>
          <w:rFonts w:hint="eastAsia" w:ascii="仿宋" w:hAnsi="仿宋" w:eastAsia="仿宋" w:cs="仿宋"/>
          <w:b/>
          <w:color w:val="auto"/>
          <w:highlight w:val="none"/>
          <w:u w:val="single"/>
        </w:rPr>
        <w:t>质疑供应商在收到该更正（补充）公告后应于1日内，以书面或传真形式（签署意见并加盖公章）向采购代理机构回函给予确认。过期未回复的，视为默认接受。</w:t>
      </w:r>
    </w:p>
    <w:p>
      <w:pPr>
        <w:pStyle w:val="3"/>
        <w:pageBreakBefore w:val="0"/>
        <w:widowControl w:val="0"/>
        <w:kinsoku/>
        <w:wordWrap/>
        <w:overflowPunct/>
        <w:topLinePunct w:val="0"/>
        <w:bidi w:val="0"/>
        <w:snapToGrid w:val="0"/>
        <w:spacing w:before="0" w:after="0" w:line="240" w:lineRule="auto"/>
        <w:jc w:val="center"/>
        <w:textAlignment w:val="auto"/>
        <w:rPr>
          <w:rFonts w:hint="eastAsia" w:ascii="仿宋" w:hAnsi="仿宋" w:eastAsia="仿宋" w:cs="仿宋"/>
          <w:color w:val="auto"/>
          <w:sz w:val="28"/>
          <w:szCs w:val="28"/>
          <w:highlight w:val="none"/>
          <w:lang w:eastAsia="zh-CN"/>
        </w:rPr>
      </w:pPr>
      <w:bookmarkStart w:id="3" w:name="_Toc125344504"/>
      <w:r>
        <w:rPr>
          <w:rFonts w:hint="eastAsia" w:ascii="仿宋" w:hAnsi="仿宋" w:eastAsia="仿宋" w:cs="仿宋"/>
          <w:color w:val="auto"/>
          <w:sz w:val="28"/>
          <w:szCs w:val="28"/>
          <w:highlight w:val="none"/>
        </w:rPr>
        <w:t>二、</w:t>
      </w:r>
      <w:bookmarkEnd w:id="3"/>
      <w:r>
        <w:rPr>
          <w:rFonts w:hint="eastAsia" w:ascii="仿宋" w:hAnsi="仿宋" w:eastAsia="仿宋" w:cs="仿宋"/>
          <w:color w:val="auto"/>
          <w:sz w:val="28"/>
          <w:szCs w:val="28"/>
          <w:highlight w:val="none"/>
          <w:lang w:eastAsia="zh-CN"/>
        </w:rPr>
        <w:t>磋商文件</w:t>
      </w:r>
    </w:p>
    <w:p>
      <w:pPr>
        <w:pageBreakBefore w:val="0"/>
        <w:widowControl w:val="0"/>
        <w:kinsoku/>
        <w:wordWrap/>
        <w:overflowPunct/>
        <w:topLinePunct w:val="0"/>
        <w:bidi w:val="0"/>
        <w:snapToGrid w:val="0"/>
        <w:spacing w:line="240" w:lineRule="auto"/>
        <w:ind w:firstLine="354" w:firstLineChars="147"/>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eastAsia="zh-CN"/>
        </w:rPr>
        <w:t>磋商文件</w:t>
      </w:r>
      <w:r>
        <w:rPr>
          <w:rFonts w:hint="eastAsia" w:ascii="仿宋" w:hAnsi="仿宋" w:eastAsia="仿宋" w:cs="仿宋"/>
          <w:b/>
          <w:color w:val="auto"/>
          <w:sz w:val="24"/>
          <w:highlight w:val="none"/>
        </w:rPr>
        <w:t>的构成。</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由以下部份组成：</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8.1</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公告；</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须知；</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8.3评标办法及评分标准；</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8.4采购需求；</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8.5应提交的有关格式范例；</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8.6本项目</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的澄清、答复、修改、补充的内容。</w:t>
      </w:r>
    </w:p>
    <w:p>
      <w:pPr>
        <w:pageBreakBefore w:val="0"/>
        <w:widowControl w:val="0"/>
        <w:kinsoku/>
        <w:wordWrap/>
        <w:overflowPunct/>
        <w:topLinePunct w:val="0"/>
        <w:bidi w:val="0"/>
        <w:snapToGrid w:val="0"/>
        <w:spacing w:line="240" w:lineRule="auto"/>
        <w:ind w:firstLine="472" w:firstLineChars="196"/>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的风险</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9.1</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应仔细阅读</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的所有内容，并按照</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的要求提交</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没有按照</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要求提供全部资料，或者</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没有对</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在各方面作出实质性响应是</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的风险，并可能导致其投标被拒绝。</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9.2任何人或任何组织向</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提交的任何书面或口头资料，未经采购代理机构在网上发布或书面通知，均作无效处理，不得作为</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的组成部分。采购代理机构对</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由此而做出的推论、理解和结论概不负责。</w:t>
      </w:r>
    </w:p>
    <w:p>
      <w:pPr>
        <w:pageBreakBefore w:val="0"/>
        <w:widowControl w:val="0"/>
        <w:kinsoku/>
        <w:wordWrap/>
        <w:overflowPunct/>
        <w:topLinePunct w:val="0"/>
        <w:bidi w:val="0"/>
        <w:snapToGrid w:val="0"/>
        <w:spacing w:line="240" w:lineRule="auto"/>
        <w:ind w:firstLine="472" w:firstLineChars="196"/>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10.</w:t>
      </w:r>
      <w:r>
        <w:rPr>
          <w:rFonts w:hint="eastAsia" w:ascii="仿宋" w:hAnsi="仿宋" w:eastAsia="仿宋" w:cs="仿宋"/>
          <w:b/>
          <w:color w:val="auto"/>
          <w:sz w:val="24"/>
          <w:highlight w:val="none"/>
          <w:lang w:eastAsia="zh-CN"/>
        </w:rPr>
        <w:t>磋商文件</w:t>
      </w:r>
      <w:r>
        <w:rPr>
          <w:rFonts w:hint="eastAsia" w:ascii="仿宋" w:hAnsi="仿宋" w:eastAsia="仿宋" w:cs="仿宋"/>
          <w:b/>
          <w:color w:val="auto"/>
          <w:sz w:val="24"/>
          <w:highlight w:val="none"/>
        </w:rPr>
        <w:t xml:space="preserve">的澄清与修改 </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10.1</w:t>
      </w:r>
      <w:r>
        <w:rPr>
          <w:rFonts w:hint="eastAsia" w:ascii="仿宋" w:hAnsi="仿宋" w:eastAsia="仿宋" w:cs="仿宋"/>
          <w:bCs/>
          <w:color w:val="auto"/>
          <w:highlight w:val="none"/>
          <w:lang w:eastAsia="zh-CN"/>
        </w:rPr>
        <w:t>磋商供应商</w:t>
      </w:r>
      <w:r>
        <w:rPr>
          <w:rFonts w:hint="eastAsia" w:ascii="仿宋" w:hAnsi="仿宋" w:eastAsia="仿宋" w:cs="仿宋"/>
          <w:bCs/>
          <w:color w:val="auto"/>
          <w:highlight w:val="none"/>
        </w:rPr>
        <w:t>下载</w:t>
      </w:r>
      <w:r>
        <w:rPr>
          <w:rFonts w:hint="eastAsia" w:ascii="仿宋" w:hAnsi="仿宋" w:eastAsia="仿宋" w:cs="仿宋"/>
          <w:bCs/>
          <w:color w:val="auto"/>
          <w:highlight w:val="none"/>
          <w:lang w:eastAsia="zh-CN"/>
        </w:rPr>
        <w:t>磋商文件</w:t>
      </w:r>
      <w:r>
        <w:rPr>
          <w:rFonts w:hint="eastAsia" w:ascii="仿宋" w:hAnsi="仿宋" w:eastAsia="仿宋" w:cs="仿宋"/>
          <w:bCs/>
          <w:color w:val="auto"/>
          <w:highlight w:val="none"/>
        </w:rPr>
        <w:t>后，应认真阅读本</w:t>
      </w:r>
      <w:r>
        <w:rPr>
          <w:rFonts w:hint="eastAsia" w:ascii="仿宋" w:hAnsi="仿宋" w:eastAsia="仿宋" w:cs="仿宋"/>
          <w:bCs/>
          <w:color w:val="auto"/>
          <w:highlight w:val="none"/>
          <w:lang w:eastAsia="zh-CN"/>
        </w:rPr>
        <w:t>磋商文件</w:t>
      </w:r>
      <w:r>
        <w:rPr>
          <w:rFonts w:hint="eastAsia" w:ascii="仿宋" w:hAnsi="仿宋" w:eastAsia="仿宋" w:cs="仿宋"/>
          <w:bCs/>
          <w:color w:val="auto"/>
          <w:highlight w:val="none"/>
        </w:rPr>
        <w:t>的所有内容，发现其中有误或有不合理要求的，</w:t>
      </w:r>
      <w:r>
        <w:rPr>
          <w:rFonts w:hint="eastAsia" w:ascii="仿宋" w:hAnsi="仿宋" w:eastAsia="仿宋" w:cs="仿宋"/>
          <w:bCs/>
          <w:color w:val="auto"/>
          <w:highlight w:val="none"/>
          <w:lang w:eastAsia="zh-CN"/>
        </w:rPr>
        <w:t>磋商供应商</w:t>
      </w:r>
      <w:r>
        <w:rPr>
          <w:rFonts w:hint="eastAsia" w:ascii="仿宋" w:hAnsi="仿宋" w:eastAsia="仿宋" w:cs="仿宋"/>
          <w:bCs/>
          <w:color w:val="auto"/>
          <w:highlight w:val="none"/>
        </w:rPr>
        <w:t>必须按前附表规定的时间前以书面形式</w:t>
      </w:r>
      <w:r>
        <w:rPr>
          <w:rFonts w:hint="eastAsia" w:ascii="仿宋" w:hAnsi="仿宋" w:eastAsia="仿宋" w:cs="仿宋"/>
          <w:color w:val="auto"/>
          <w:highlight w:val="none"/>
        </w:rPr>
        <w:t>(包括书面文字、传真等)</w:t>
      </w:r>
      <w:r>
        <w:rPr>
          <w:rFonts w:hint="eastAsia" w:ascii="仿宋" w:hAnsi="仿宋" w:eastAsia="仿宋" w:cs="仿宋"/>
          <w:bCs/>
          <w:color w:val="auto"/>
          <w:highlight w:val="none"/>
        </w:rPr>
        <w:t>要求采购人澄清</w:t>
      </w:r>
      <w:r>
        <w:rPr>
          <w:rFonts w:hint="eastAsia" w:ascii="仿宋" w:hAnsi="仿宋" w:eastAsia="仿宋" w:cs="仿宋"/>
          <w:color w:val="auto"/>
          <w:highlight w:val="none"/>
        </w:rPr>
        <w:t>。逾期提出的，采购人将不予受理。</w:t>
      </w:r>
      <w:r>
        <w:rPr>
          <w:rFonts w:hint="eastAsia" w:ascii="仿宋" w:hAnsi="仿宋" w:eastAsia="仿宋" w:cs="仿宋"/>
          <w:color w:val="auto"/>
          <w:szCs w:val="24"/>
          <w:highlight w:val="none"/>
        </w:rPr>
        <w:t>采购代理机构与采购人研究后，对认为有必要回答的问题，采购人将补充（更正内容）以网上发布公告的形式通知所有</w:t>
      </w:r>
      <w:r>
        <w:rPr>
          <w:rFonts w:hint="eastAsia" w:ascii="仿宋" w:hAnsi="仿宋" w:eastAsia="仿宋" w:cs="仿宋"/>
          <w:color w:val="auto"/>
          <w:szCs w:val="24"/>
          <w:highlight w:val="none"/>
          <w:lang w:eastAsia="zh-CN"/>
        </w:rPr>
        <w:t>磋商供应商</w:t>
      </w:r>
      <w:r>
        <w:rPr>
          <w:rFonts w:hint="eastAsia" w:ascii="仿宋" w:hAnsi="仿宋" w:eastAsia="仿宋" w:cs="仿宋"/>
          <w:color w:val="auto"/>
          <w:szCs w:val="24"/>
          <w:highlight w:val="none"/>
        </w:rPr>
        <w:t>，补充（更正）内容是</w:t>
      </w:r>
      <w:r>
        <w:rPr>
          <w:rFonts w:hint="eastAsia" w:ascii="仿宋" w:hAnsi="仿宋" w:eastAsia="仿宋" w:cs="仿宋"/>
          <w:color w:val="auto"/>
          <w:szCs w:val="24"/>
          <w:highlight w:val="none"/>
          <w:lang w:eastAsia="zh-CN"/>
        </w:rPr>
        <w:t>磋商文件</w:t>
      </w:r>
      <w:r>
        <w:rPr>
          <w:rFonts w:hint="eastAsia" w:ascii="仿宋" w:hAnsi="仿宋" w:eastAsia="仿宋" w:cs="仿宋"/>
          <w:color w:val="auto"/>
          <w:szCs w:val="24"/>
          <w:highlight w:val="none"/>
        </w:rPr>
        <w:t>的组成部份。</w:t>
      </w:r>
      <w:r>
        <w:rPr>
          <w:rFonts w:hint="eastAsia" w:ascii="仿宋" w:hAnsi="仿宋" w:eastAsia="仿宋" w:cs="仿宋"/>
          <w:color w:val="auto"/>
          <w:szCs w:val="24"/>
          <w:highlight w:val="none"/>
          <w:lang w:eastAsia="zh-CN"/>
        </w:rPr>
        <w:t>磋商供应商</w:t>
      </w:r>
      <w:r>
        <w:rPr>
          <w:rFonts w:hint="eastAsia" w:ascii="仿宋" w:hAnsi="仿宋" w:eastAsia="仿宋" w:cs="仿宋"/>
          <w:color w:val="auto"/>
          <w:szCs w:val="24"/>
          <w:highlight w:val="none"/>
        </w:rPr>
        <w:t>可以通过诸暨市公共资源交易网自行下载，以确认已阅知该澄清或修改内容，否则，由此导致的风险由</w:t>
      </w:r>
      <w:r>
        <w:rPr>
          <w:rFonts w:hint="eastAsia" w:ascii="仿宋" w:hAnsi="仿宋" w:eastAsia="仿宋" w:cs="仿宋"/>
          <w:color w:val="auto"/>
          <w:szCs w:val="24"/>
          <w:highlight w:val="none"/>
          <w:lang w:eastAsia="zh-CN"/>
        </w:rPr>
        <w:t>磋商供应商</w:t>
      </w:r>
      <w:r>
        <w:rPr>
          <w:rFonts w:hint="eastAsia" w:ascii="仿宋" w:hAnsi="仿宋" w:eastAsia="仿宋" w:cs="仿宋"/>
          <w:color w:val="auto"/>
          <w:szCs w:val="24"/>
          <w:highlight w:val="none"/>
        </w:rPr>
        <w:t>自行承担，采购人不承担任何责任。</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10.2</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澄清、答复、修改、补充的内容为</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的组成部分。当</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与</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的答复、澄清、修改、补充公告就同一内容的表述不一致时，以最后发出的文件或公告或通知为准。</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10.3在投标截止时间前，采购人有权修改</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，并以网站发布补充公告的形式通知所有</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，通知中没有注明更改投标截止时间的视为截止时间不变。修改的文件作为</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的补充和组成部分，对所有</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均有约束力。</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10.4为使</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在编制</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文件时，把补充公告内容进行研究，采购代理机构可以酌情推迟递交</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文件的截止时间。</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10.5</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一旦参与本次</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活动，即被视为接受了本</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的所有内容，如有任何异议，均须在答疑截止时间前提出。</w:t>
      </w:r>
    </w:p>
    <w:p>
      <w:pPr>
        <w:pStyle w:val="3"/>
        <w:pageBreakBefore w:val="0"/>
        <w:widowControl w:val="0"/>
        <w:kinsoku/>
        <w:wordWrap/>
        <w:overflowPunct/>
        <w:topLinePunct w:val="0"/>
        <w:bidi w:val="0"/>
        <w:snapToGrid w:val="0"/>
        <w:spacing w:before="0" w:after="0" w:line="240" w:lineRule="auto"/>
        <w:jc w:val="center"/>
        <w:textAlignment w:val="auto"/>
        <w:rPr>
          <w:rFonts w:hint="eastAsia" w:ascii="仿宋" w:hAnsi="仿宋" w:eastAsia="仿宋" w:cs="仿宋"/>
          <w:color w:val="auto"/>
          <w:sz w:val="28"/>
          <w:szCs w:val="28"/>
          <w:highlight w:val="none"/>
        </w:rPr>
      </w:pPr>
      <w:bookmarkStart w:id="4" w:name="_Toc125344505"/>
      <w:r>
        <w:rPr>
          <w:rFonts w:hint="eastAsia" w:ascii="仿宋" w:hAnsi="仿宋" w:eastAsia="仿宋" w:cs="仿宋"/>
          <w:color w:val="auto"/>
          <w:sz w:val="28"/>
          <w:szCs w:val="28"/>
          <w:highlight w:val="none"/>
        </w:rPr>
        <w:t>三、</w:t>
      </w:r>
      <w:r>
        <w:rPr>
          <w:rFonts w:hint="eastAsia" w:ascii="仿宋" w:hAnsi="仿宋" w:eastAsia="仿宋" w:cs="仿宋"/>
          <w:color w:val="auto"/>
          <w:sz w:val="28"/>
          <w:szCs w:val="28"/>
          <w:highlight w:val="none"/>
          <w:lang w:eastAsia="zh-CN"/>
        </w:rPr>
        <w:t>磋商</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文件编制</w:t>
      </w:r>
      <w:bookmarkEnd w:id="4"/>
      <w:r>
        <w:rPr>
          <w:rFonts w:hint="eastAsia" w:ascii="仿宋" w:hAnsi="仿宋" w:eastAsia="仿宋" w:cs="仿宋"/>
          <w:color w:val="auto"/>
          <w:sz w:val="28"/>
          <w:szCs w:val="28"/>
          <w:highlight w:val="none"/>
        </w:rPr>
        <w:t>和提交</w:t>
      </w:r>
    </w:p>
    <w:p>
      <w:pPr>
        <w:pageBreakBefore w:val="0"/>
        <w:widowControl w:val="0"/>
        <w:kinsoku/>
        <w:wordWrap/>
        <w:overflowPunct/>
        <w:topLinePunct w:val="0"/>
        <w:bidi w:val="0"/>
        <w:snapToGrid w:val="0"/>
        <w:spacing w:line="240" w:lineRule="auto"/>
        <w:ind w:firstLine="354" w:firstLineChars="147"/>
        <w:jc w:val="left"/>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文件的组成</w:t>
      </w:r>
    </w:p>
    <w:p>
      <w:pPr>
        <w:pageBreakBefore w:val="0"/>
        <w:widowControl w:val="0"/>
        <w:kinsoku/>
        <w:wordWrap/>
        <w:overflowPunct/>
        <w:topLinePunct w:val="0"/>
        <w:bidi w:val="0"/>
        <w:snapToGrid w:val="0"/>
        <w:spacing w:line="240" w:lineRule="auto"/>
        <w:ind w:firstLine="360" w:firstLineChars="1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文件由资格文件、</w:t>
      </w:r>
      <w:r>
        <w:rPr>
          <w:rFonts w:hint="eastAsia" w:ascii="仿宋" w:hAnsi="仿宋" w:eastAsia="仿宋" w:cs="仿宋"/>
          <w:color w:val="auto"/>
          <w:sz w:val="24"/>
          <w:highlight w:val="none"/>
          <w:lang w:eastAsia="zh-CN"/>
        </w:rPr>
        <w:t>商务技术文件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报价文件</w:t>
      </w:r>
      <w:r>
        <w:rPr>
          <w:rFonts w:hint="eastAsia" w:ascii="仿宋" w:hAnsi="仿宋" w:eastAsia="仿宋" w:cs="仿宋"/>
          <w:color w:val="auto"/>
          <w:sz w:val="24"/>
          <w:highlight w:val="none"/>
        </w:rPr>
        <w:t>三部分组成。详见前附表。</w:t>
      </w:r>
    </w:p>
    <w:p>
      <w:pPr>
        <w:pageBreakBefore w:val="0"/>
        <w:widowControl w:val="0"/>
        <w:kinsoku/>
        <w:wordWrap/>
        <w:overflowPunct/>
        <w:topLinePunct w:val="0"/>
        <w:bidi w:val="0"/>
        <w:snapToGrid w:val="0"/>
        <w:spacing w:line="240" w:lineRule="auto"/>
        <w:ind w:firstLine="354" w:firstLineChars="147"/>
        <w:jc w:val="left"/>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文件的语言及计量</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12.1</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文件以及</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与采购代理机构就有关投标事宜的所有往来通知、函电，均应以中文汉语书写。除签名、盖章、专用名称等特殊情形外，以中文汉语以外的文字表述的</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文件视同未提供。</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随</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文件提供的证明文件和资料可以为其它语言，但必须附中文译文。翻译的中文资料与外文资料如果出现差异时，以中文为准，但翻译错误的除外。</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12.2投标计量单位，</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已有明确规定的，使用</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规定的计量单位；</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没有规定的，应采用中华人民共和国法定计量单位（货币单位：人民币元），否则视同未响应。</w:t>
      </w:r>
    </w:p>
    <w:p>
      <w:pPr>
        <w:pageBreakBefore w:val="0"/>
        <w:widowControl w:val="0"/>
        <w:kinsoku/>
        <w:wordWrap/>
        <w:overflowPunct/>
        <w:topLinePunct w:val="0"/>
        <w:bidi w:val="0"/>
        <w:snapToGrid w:val="0"/>
        <w:spacing w:line="240" w:lineRule="auto"/>
        <w:ind w:firstLine="354" w:firstLineChars="147"/>
        <w:jc w:val="left"/>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13.投标报价</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13.1投标报价应按</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中相关附表格式填写。本项目的投标应以人民币计。</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13.2投标报价应包括货款、标准附件、备品备件、专用工具、包装、运输、装卸、保险、税金、货到就位以及安装、调试、培训、保修等一切税金和费用。投标报价（包括单价、总价等）均保留到小数点后两位（如：</w:t>
      </w:r>
      <w:r>
        <w:rPr>
          <w:rFonts w:hint="eastAsia" w:ascii="仿宋" w:hAnsi="仿宋" w:eastAsia="仿宋" w:cs="仿宋"/>
          <w:color w:val="auto"/>
          <w:highlight w:val="none"/>
          <w:lang w:val="en-US" w:eastAsia="zh-CN"/>
        </w:rPr>
        <w:t>90.00元</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必须报有合理单价，其将作为设备增减的主要依据。如有漏项，视同已包含在其它项目中，合同总价和单价不做调整。</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13.3</w:t>
      </w:r>
      <w:r>
        <w:rPr>
          <w:rFonts w:hint="eastAsia" w:ascii="仿宋" w:hAnsi="仿宋" w:eastAsia="仿宋" w:cs="仿宋"/>
          <w:b/>
          <w:color w:val="auto"/>
          <w:highlight w:val="none"/>
        </w:rPr>
        <w:t>根据本次竞争性磋商结束后，磋商供应商应在各自服务的基础上并充分考虑本项目的重要性，在规定的时间内提供最后报价。</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13.4</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未列明，而磋商供应商认为必需的费用也需列入报价。</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13.5</w:t>
      </w:r>
      <w:r>
        <w:rPr>
          <w:rFonts w:hint="eastAsia" w:ascii="仿宋" w:hAnsi="仿宋" w:eastAsia="仿宋" w:cs="仿宋"/>
          <w:b/>
          <w:color w:val="auto"/>
          <w:highlight w:val="none"/>
        </w:rPr>
        <w:t>最后报价应低于前次报价（</w:t>
      </w:r>
      <w:r>
        <w:rPr>
          <w:rFonts w:hint="eastAsia" w:ascii="仿宋" w:hAnsi="仿宋" w:eastAsia="仿宋" w:cs="仿宋"/>
          <w:b/>
          <w:bCs/>
          <w:color w:val="auto"/>
          <w:highlight w:val="none"/>
        </w:rPr>
        <w:t>最后报价不得高于前次报价，否则该报价无效，以最低的报价为准）</w:t>
      </w:r>
      <w:r>
        <w:rPr>
          <w:rFonts w:hint="eastAsia" w:ascii="仿宋" w:hAnsi="仿宋" w:eastAsia="仿宋" w:cs="仿宋"/>
          <w:b/>
          <w:color w:val="auto"/>
          <w:highlight w:val="none"/>
        </w:rPr>
        <w:t>，其报价明细表中各项报价需另行明确，否则各项报价均按比例下调。</w:t>
      </w:r>
    </w:p>
    <w:p>
      <w:pPr>
        <w:pStyle w:val="25"/>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13.6磋商供应商若有方案和报价未被</w:t>
      </w:r>
      <w:r>
        <w:rPr>
          <w:rFonts w:hint="eastAsia" w:ascii="仿宋" w:hAnsi="仿宋" w:eastAsia="仿宋" w:cs="仿宋"/>
          <w:b/>
          <w:color w:val="auto"/>
          <w:highlight w:val="none"/>
          <w:lang w:eastAsia="zh-CN"/>
        </w:rPr>
        <w:t>开启</w:t>
      </w:r>
      <w:r>
        <w:rPr>
          <w:rFonts w:hint="eastAsia" w:ascii="仿宋" w:hAnsi="仿宋" w:eastAsia="仿宋" w:cs="仿宋"/>
          <w:b/>
          <w:color w:val="auto"/>
          <w:highlight w:val="none"/>
        </w:rPr>
        <w:t>，应在开标时及时声明或提请采购代理机构</w:t>
      </w:r>
      <w:r>
        <w:rPr>
          <w:rFonts w:hint="eastAsia" w:ascii="仿宋" w:hAnsi="仿宋" w:eastAsia="仿宋" w:cs="仿宋"/>
          <w:b/>
          <w:color w:val="auto"/>
          <w:highlight w:val="none"/>
          <w:lang w:eastAsia="zh-CN"/>
        </w:rPr>
        <w:t>查阅</w:t>
      </w:r>
      <w:r>
        <w:rPr>
          <w:rFonts w:hint="eastAsia" w:ascii="仿宋" w:hAnsi="仿宋" w:eastAsia="仿宋" w:cs="仿宋"/>
          <w:b/>
          <w:color w:val="auto"/>
          <w:highlight w:val="none"/>
        </w:rPr>
        <w:t>，否则是磋商供应商自己的风险，采购代理机构对此不承担任何责任。</w:t>
      </w:r>
    </w:p>
    <w:p>
      <w:pPr>
        <w:pStyle w:val="25"/>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14.</w:t>
      </w:r>
      <w:r>
        <w:rPr>
          <w:rFonts w:hint="eastAsia" w:ascii="仿宋" w:hAnsi="仿宋" w:eastAsia="仿宋" w:cs="仿宋"/>
          <w:b/>
          <w:color w:val="auto"/>
          <w:highlight w:val="none"/>
          <w:lang w:eastAsia="zh-CN"/>
        </w:rPr>
        <w:t>磋商</w:t>
      </w:r>
      <w:r>
        <w:rPr>
          <w:rFonts w:hint="eastAsia" w:ascii="仿宋" w:hAnsi="仿宋" w:eastAsia="仿宋" w:cs="仿宋"/>
          <w:b/>
          <w:color w:val="auto"/>
          <w:highlight w:val="none"/>
          <w:lang w:val="en-US" w:eastAsia="zh-CN"/>
        </w:rPr>
        <w:t>响应</w:t>
      </w:r>
      <w:r>
        <w:rPr>
          <w:rFonts w:hint="eastAsia" w:ascii="仿宋" w:hAnsi="仿宋" w:eastAsia="仿宋" w:cs="仿宋"/>
          <w:b/>
          <w:color w:val="auto"/>
          <w:highlight w:val="none"/>
        </w:rPr>
        <w:t>文件的有效期</w:t>
      </w: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sz w:val="24"/>
          <w:szCs w:val="20"/>
          <w:highlight w:val="none"/>
          <w:lang w:val="en-US" w:eastAsia="zh-CN" w:bidi="ar-SA"/>
        </w:rPr>
        <w:t>14.1投标有效期为从投标截止之日算起的日历天数，自投标截止日起90天投标书应保持有效。如采购人认为必要，可延长投标有效期。有效期短于这个规定期限的投标将被拒绝。</w:t>
      </w:r>
      <w:r>
        <w:rPr>
          <w:rFonts w:hint="eastAsia" w:ascii="仿宋" w:hAnsi="仿宋" w:eastAsia="仿宋" w:cs="仿宋"/>
          <w:color w:val="auto"/>
          <w:sz w:val="24"/>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14.2在特殊情况下，采购人可与</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协商延长投标书的有效期，这种要求和答复均以书面形式进行。</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14.3</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可拒绝接受延期要求，但其投标在原投标有效期满后不再有效。同意延长有效期的</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不能修改</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 xml:space="preserve">文件。 </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14.4中标人的</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文件自开标之日起至合同履行完毕止均应保持有效。</w:t>
      </w:r>
    </w:p>
    <w:p>
      <w:pPr>
        <w:pageBreakBefore w:val="0"/>
        <w:widowControl w:val="0"/>
        <w:kinsoku/>
        <w:wordWrap/>
        <w:overflowPunct/>
        <w:topLinePunct w:val="0"/>
        <w:bidi w:val="0"/>
        <w:snapToGrid w:val="0"/>
        <w:spacing w:line="240" w:lineRule="auto"/>
        <w:ind w:firstLine="354" w:firstLineChars="147"/>
        <w:jc w:val="left"/>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保证金</w:t>
      </w:r>
    </w:p>
    <w:p>
      <w:pPr>
        <w:pageBreakBefore w:val="0"/>
        <w:widowControl w:val="0"/>
        <w:kinsoku/>
        <w:wordWrap/>
        <w:overflowPunct/>
        <w:topLinePunct w:val="0"/>
        <w:bidi w:val="0"/>
        <w:snapToGrid w:val="0"/>
        <w:spacing w:line="240" w:lineRule="auto"/>
        <w:ind w:firstLine="480"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15.1本项目免收</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保证金。</w:t>
      </w:r>
    </w:p>
    <w:p>
      <w:pPr>
        <w:pageBreakBefore w:val="0"/>
        <w:widowControl w:val="0"/>
        <w:kinsoku/>
        <w:wordWrap/>
        <w:overflowPunct/>
        <w:topLinePunct w:val="0"/>
        <w:bidi w:val="0"/>
        <w:snapToGrid w:val="0"/>
        <w:spacing w:line="240" w:lineRule="auto"/>
        <w:ind w:firstLine="480" w:firstLineChars="200"/>
        <w:jc w:val="left"/>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15.2如</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有下列情形</w:t>
      </w:r>
      <w:r>
        <w:rPr>
          <w:rFonts w:hint="eastAsia" w:ascii="仿宋" w:hAnsi="仿宋" w:eastAsia="仿宋" w:cs="仿宋"/>
          <w:color w:val="auto"/>
          <w:sz w:val="24"/>
          <w:highlight w:val="none"/>
        </w:rPr>
        <w:t>之一的，应当按照本项目采购预算价2%的标准承担因此给采购单位造成的损失的赔偿责任及相应的法律责任：</w:t>
      </w:r>
    </w:p>
    <w:p>
      <w:pPr>
        <w:pageBreakBefore w:val="0"/>
        <w:widowControl w:val="0"/>
        <w:kinsoku/>
        <w:wordWrap/>
        <w:overflowPunct/>
        <w:topLinePunct w:val="0"/>
        <w:bidi w:val="0"/>
        <w:snapToGrid w:val="0"/>
        <w:spacing w:line="240" w:lineRule="auto"/>
        <w:ind w:firstLine="480" w:firstLineChars="200"/>
        <w:jc w:val="left"/>
        <w:textAlignment w:val="auto"/>
        <w:outlineLvl w:val="0"/>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15.3.1</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在投标有效期内撤回</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bCs/>
          <w:color w:val="auto"/>
          <w:sz w:val="24"/>
          <w:szCs w:val="24"/>
          <w:highlight w:val="none"/>
        </w:rPr>
        <w:t>文件的；</w:t>
      </w:r>
    </w:p>
    <w:p>
      <w:pPr>
        <w:pageBreakBefore w:val="0"/>
        <w:widowControl w:val="0"/>
        <w:kinsoku/>
        <w:wordWrap/>
        <w:overflowPunct/>
        <w:topLinePunct w:val="0"/>
        <w:bidi w:val="0"/>
        <w:snapToGrid w:val="0"/>
        <w:spacing w:line="240" w:lineRule="auto"/>
        <w:ind w:firstLine="470" w:firstLineChars="196"/>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15.3.2</w:t>
      </w:r>
      <w:r>
        <w:rPr>
          <w:rFonts w:hint="eastAsia" w:ascii="仿宋" w:hAnsi="仿宋" w:eastAsia="仿宋" w:cs="仿宋"/>
          <w:bCs/>
          <w:color w:val="auto"/>
          <w:sz w:val="24"/>
          <w:szCs w:val="24"/>
          <w:highlight w:val="none"/>
          <w:lang w:eastAsia="zh-CN"/>
        </w:rPr>
        <w:t>磋商供应商</w:t>
      </w:r>
      <w:r>
        <w:rPr>
          <w:rFonts w:hint="eastAsia" w:ascii="仿宋" w:hAnsi="仿宋" w:eastAsia="仿宋" w:cs="仿宋"/>
          <w:bCs/>
          <w:color w:val="auto"/>
          <w:sz w:val="24"/>
          <w:szCs w:val="24"/>
          <w:highlight w:val="none"/>
        </w:rPr>
        <w:t>在投标过程中弄虚作假，提供虚假材料的；</w:t>
      </w:r>
    </w:p>
    <w:p>
      <w:pPr>
        <w:pageBreakBefore w:val="0"/>
        <w:widowControl w:val="0"/>
        <w:kinsoku/>
        <w:wordWrap/>
        <w:overflowPunct/>
        <w:topLinePunct w:val="0"/>
        <w:bidi w:val="0"/>
        <w:snapToGrid w:val="0"/>
        <w:spacing w:line="240" w:lineRule="auto"/>
        <w:ind w:firstLine="470" w:firstLineChars="196"/>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15.3.3中标人无正当理由在规定的时间内不与采购人签订合同的；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15.3.4</w:t>
      </w:r>
      <w:r>
        <w:rPr>
          <w:rFonts w:hint="eastAsia" w:ascii="仿宋" w:hAnsi="仿宋" w:eastAsia="仿宋" w:cs="仿宋"/>
          <w:color w:val="auto"/>
          <w:sz w:val="24"/>
          <w:szCs w:val="24"/>
          <w:highlight w:val="none"/>
        </w:rPr>
        <w:t>将中标项目转让给他人或者在</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文件中未说明且未经采购人同意，将中标项目分包给他人的；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15.3</w:t>
      </w:r>
      <w:r>
        <w:rPr>
          <w:rFonts w:hint="eastAsia" w:ascii="仿宋" w:hAnsi="仿宋" w:eastAsia="仿宋" w:cs="仿宋"/>
          <w:color w:val="auto"/>
          <w:sz w:val="24"/>
          <w:szCs w:val="24"/>
          <w:highlight w:val="none"/>
        </w:rPr>
        <w:t>.5其他严重扰乱招投标程序的；</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15.3.6向有关人员行贿或者采取其他不正当手段谋取中标的；</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15.3.7中标人无正当理由放弃中标的；</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15.3.8</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质疑投诉提供虚假情况；</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15.3.9存在法律、法规规定的其它损害采购人或采购单位利益或社会公共利益的情形的。</w:t>
      </w:r>
    </w:p>
    <w:p>
      <w:pPr>
        <w:pageBreakBefore w:val="0"/>
        <w:widowControl w:val="0"/>
        <w:kinsoku/>
        <w:wordWrap/>
        <w:overflowPunct/>
        <w:topLinePunct w:val="0"/>
        <w:bidi w:val="0"/>
        <w:snapToGrid w:val="0"/>
        <w:spacing w:line="240" w:lineRule="auto"/>
        <w:ind w:firstLine="472" w:firstLineChars="196"/>
        <w:jc w:val="left"/>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文件的制作</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应按</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前附表规定的内容编制</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应按本</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规定的格式和顺序编制</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文件并标注页码，</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文件内容不完整、编排混乱导致</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文件被误读、漏读或者查找不到相关内容的，是</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的责任。</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b/>
          <w:color w:val="auto"/>
          <w:highlight w:val="none"/>
          <w:u w:val="single"/>
        </w:rPr>
      </w:pPr>
      <w:r>
        <w:rPr>
          <w:rFonts w:hint="eastAsia" w:ascii="仿宋" w:hAnsi="仿宋" w:eastAsia="仿宋" w:cs="仿宋"/>
          <w:color w:val="auto"/>
          <w:sz w:val="24"/>
          <w:szCs w:val="24"/>
          <w:highlight w:val="none"/>
        </w:rPr>
        <w:t>16.3</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文件须由</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在规定位置盖章，</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应写全称。</w:t>
      </w:r>
      <w:r>
        <w:rPr>
          <w:rFonts w:hint="eastAsia" w:ascii="仿宋" w:hAnsi="仿宋" w:eastAsia="仿宋" w:cs="仿宋"/>
          <w:b/>
          <w:color w:val="auto"/>
          <w:sz w:val="24"/>
          <w:szCs w:val="24"/>
          <w:highlight w:val="none"/>
        </w:rPr>
        <w:t>电子</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文件中所有加盖公章均采用CA签章。</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16.4</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文件不得涂改，若有修改错漏处，须加盖单位公章。</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文件因表达不清所引起的后果由</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负责。</w:t>
      </w:r>
    </w:p>
    <w:p>
      <w:pPr>
        <w:pageBreakBefore w:val="0"/>
        <w:widowControl w:val="0"/>
        <w:kinsoku/>
        <w:wordWrap/>
        <w:overflowPunct/>
        <w:topLinePunct w:val="0"/>
        <w:bidi w:val="0"/>
        <w:snapToGrid w:val="0"/>
        <w:spacing w:line="24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16.5</w:t>
      </w:r>
      <w:r>
        <w:rPr>
          <w:rFonts w:hint="eastAsia" w:ascii="仿宋" w:hAnsi="仿宋" w:eastAsia="仿宋" w:cs="仿宋"/>
          <w:b/>
          <w:color w:val="auto"/>
          <w:sz w:val="24"/>
          <w:szCs w:val="24"/>
          <w:highlight w:val="none"/>
          <w:lang w:eastAsia="zh-CN"/>
        </w:rPr>
        <w:t>磋商供应商</w:t>
      </w:r>
      <w:r>
        <w:rPr>
          <w:rFonts w:hint="eastAsia" w:ascii="仿宋" w:hAnsi="仿宋" w:eastAsia="仿宋" w:cs="仿宋"/>
          <w:b/>
          <w:color w:val="auto"/>
          <w:sz w:val="24"/>
          <w:szCs w:val="24"/>
          <w:highlight w:val="none"/>
        </w:rPr>
        <w:t>应认真阅读</w:t>
      </w:r>
      <w:r>
        <w:rPr>
          <w:rFonts w:hint="eastAsia" w:ascii="仿宋" w:hAnsi="仿宋" w:eastAsia="仿宋" w:cs="仿宋"/>
          <w:b/>
          <w:color w:val="auto"/>
          <w:sz w:val="24"/>
          <w:szCs w:val="24"/>
          <w:highlight w:val="none"/>
          <w:lang w:eastAsia="zh-CN"/>
        </w:rPr>
        <w:t>磋商文件</w:t>
      </w:r>
      <w:r>
        <w:rPr>
          <w:rFonts w:hint="eastAsia" w:ascii="仿宋" w:hAnsi="仿宋" w:eastAsia="仿宋" w:cs="仿宋"/>
          <w:b/>
          <w:color w:val="auto"/>
          <w:sz w:val="24"/>
          <w:szCs w:val="24"/>
          <w:highlight w:val="none"/>
        </w:rPr>
        <w:t>中所有的内容。如果</w:t>
      </w:r>
      <w:r>
        <w:rPr>
          <w:rFonts w:hint="eastAsia" w:ascii="仿宋" w:hAnsi="仿宋" w:eastAsia="仿宋" w:cs="仿宋"/>
          <w:b/>
          <w:color w:val="auto"/>
          <w:sz w:val="24"/>
          <w:szCs w:val="24"/>
          <w:highlight w:val="none"/>
          <w:lang w:eastAsia="zh-CN"/>
        </w:rPr>
        <w:t>磋商供应商</w:t>
      </w:r>
      <w:r>
        <w:rPr>
          <w:rFonts w:hint="eastAsia" w:ascii="仿宋" w:hAnsi="仿宋" w:eastAsia="仿宋" w:cs="仿宋"/>
          <w:b/>
          <w:color w:val="auto"/>
          <w:sz w:val="24"/>
          <w:szCs w:val="24"/>
          <w:highlight w:val="none"/>
        </w:rPr>
        <w:t>编制的</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文件实质上不响应</w:t>
      </w:r>
      <w:r>
        <w:rPr>
          <w:rFonts w:hint="eastAsia" w:ascii="仿宋" w:hAnsi="仿宋" w:eastAsia="仿宋" w:cs="仿宋"/>
          <w:b/>
          <w:color w:val="auto"/>
          <w:sz w:val="24"/>
          <w:szCs w:val="24"/>
          <w:highlight w:val="none"/>
          <w:lang w:eastAsia="zh-CN"/>
        </w:rPr>
        <w:t>磋商文件</w:t>
      </w:r>
      <w:r>
        <w:rPr>
          <w:rFonts w:hint="eastAsia" w:ascii="仿宋" w:hAnsi="仿宋" w:eastAsia="仿宋" w:cs="仿宋"/>
          <w:b/>
          <w:color w:val="auto"/>
          <w:sz w:val="24"/>
          <w:szCs w:val="24"/>
          <w:highlight w:val="none"/>
        </w:rPr>
        <w:t>的要求，其</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文件将作无效标处理。</w:t>
      </w:r>
    </w:p>
    <w:p>
      <w:pPr>
        <w:pageBreakBefore w:val="0"/>
        <w:widowControl w:val="0"/>
        <w:kinsoku/>
        <w:wordWrap/>
        <w:overflowPunct/>
        <w:topLinePunct w:val="0"/>
        <w:bidi w:val="0"/>
        <w:snapToGrid w:val="0"/>
        <w:spacing w:line="240" w:lineRule="auto"/>
        <w:ind w:firstLine="354" w:firstLineChars="147"/>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文件的递交、修改和撤回</w:t>
      </w:r>
    </w:p>
    <w:p>
      <w:pPr>
        <w:pStyle w:val="14"/>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b/>
          <w:bCs/>
          <w:color w:val="auto"/>
          <w:sz w:val="24"/>
          <w:szCs w:val="24"/>
          <w:highlight w:val="none"/>
          <w:lang w:eastAsia="zh-CN"/>
        </w:rPr>
        <w:t>磋商供应商</w:t>
      </w:r>
      <w:r>
        <w:rPr>
          <w:rFonts w:hint="eastAsia" w:ascii="仿宋" w:hAnsi="仿宋" w:eastAsia="仿宋" w:cs="仿宋"/>
          <w:b/>
          <w:bCs/>
          <w:color w:val="auto"/>
          <w:sz w:val="24"/>
          <w:szCs w:val="24"/>
          <w:highlight w:val="none"/>
        </w:rPr>
        <w:t>应将</w:t>
      </w:r>
      <w:r>
        <w:rPr>
          <w:rFonts w:hint="eastAsia" w:ascii="仿宋" w:hAnsi="仿宋" w:eastAsia="仿宋" w:cs="仿宋"/>
          <w:b/>
          <w:bCs/>
          <w:color w:val="auto"/>
          <w:sz w:val="24"/>
          <w:szCs w:val="24"/>
          <w:highlight w:val="none"/>
          <w:lang w:eastAsia="zh-CN"/>
        </w:rPr>
        <w:t>磋商</w:t>
      </w:r>
      <w:r>
        <w:rPr>
          <w:rFonts w:hint="eastAsia" w:ascii="仿宋" w:hAnsi="仿宋" w:eastAsia="仿宋" w:cs="仿宋"/>
          <w:b/>
          <w:bCs/>
          <w:color w:val="auto"/>
          <w:sz w:val="24"/>
          <w:szCs w:val="24"/>
          <w:highlight w:val="none"/>
          <w:lang w:val="en-US" w:eastAsia="zh-CN"/>
        </w:rPr>
        <w:t>响应</w:t>
      </w:r>
      <w:r>
        <w:rPr>
          <w:rFonts w:hint="eastAsia" w:ascii="仿宋" w:hAnsi="仿宋" w:eastAsia="仿宋" w:cs="仿宋"/>
          <w:b/>
          <w:bCs/>
          <w:color w:val="auto"/>
          <w:sz w:val="24"/>
          <w:szCs w:val="24"/>
          <w:highlight w:val="none"/>
        </w:rPr>
        <w:t>文件的资格文件、</w:t>
      </w:r>
      <w:r>
        <w:rPr>
          <w:rFonts w:hint="eastAsia" w:ascii="仿宋" w:hAnsi="仿宋" w:eastAsia="仿宋" w:cs="仿宋"/>
          <w:b/>
          <w:bCs/>
          <w:color w:val="auto"/>
          <w:sz w:val="24"/>
          <w:szCs w:val="24"/>
          <w:highlight w:val="none"/>
          <w:lang w:eastAsia="zh-CN"/>
        </w:rPr>
        <w:t>商务技术文件</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报价文件</w:t>
      </w:r>
      <w:r>
        <w:rPr>
          <w:rFonts w:hint="eastAsia" w:ascii="仿宋" w:hAnsi="仿宋" w:eastAsia="仿宋" w:cs="仿宋"/>
          <w:b/>
          <w:bCs/>
          <w:color w:val="auto"/>
          <w:sz w:val="24"/>
          <w:szCs w:val="24"/>
          <w:highlight w:val="none"/>
        </w:rPr>
        <w:t>分开制作。</w:t>
      </w:r>
      <w:r>
        <w:rPr>
          <w:rFonts w:hint="eastAsia" w:ascii="仿宋" w:hAnsi="仿宋" w:eastAsia="仿宋" w:cs="仿宋"/>
          <w:b/>
          <w:color w:val="auto"/>
          <w:sz w:val="24"/>
          <w:szCs w:val="24"/>
          <w:highlight w:val="none"/>
        </w:rPr>
        <w:t>如</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文件技术标内容含有商务报价的内容，将被视作无效标处理。</w:t>
      </w:r>
    </w:p>
    <w:p>
      <w:pPr>
        <w:pStyle w:val="14"/>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17.2</w:t>
      </w:r>
      <w:r>
        <w:rPr>
          <w:rFonts w:hint="eastAsia" w:ascii="仿宋" w:hAnsi="仿宋" w:eastAsia="仿宋" w:cs="仿宋"/>
          <w:b/>
          <w:color w:val="auto"/>
          <w:sz w:val="24"/>
          <w:szCs w:val="24"/>
          <w:highlight w:val="none"/>
          <w:lang w:eastAsia="zh-CN"/>
        </w:rPr>
        <w:t>磋商供应商</w:t>
      </w:r>
      <w:r>
        <w:rPr>
          <w:rFonts w:hint="eastAsia" w:ascii="仿宋" w:hAnsi="仿宋" w:eastAsia="仿宋" w:cs="仿宋"/>
          <w:b/>
          <w:color w:val="auto"/>
          <w:sz w:val="24"/>
          <w:szCs w:val="24"/>
          <w:highlight w:val="none"/>
        </w:rPr>
        <w:t>应在开标前在“政采云”上自行加密上传电子</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文件，逾期上传或未按要求上传的</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文件将予以拒收。</w:t>
      </w:r>
    </w:p>
    <w:p>
      <w:pPr>
        <w:pStyle w:val="14"/>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17.3</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在投标截止时间之前，可以对已提交的</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文件进行修改或撤回，补充、修改的内容为</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文件的组成部分。</w:t>
      </w:r>
    </w:p>
    <w:p>
      <w:pPr>
        <w:pStyle w:val="14"/>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17.4投标截止时间后，</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不得撤回、修改</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p>
    <w:p>
      <w:pPr>
        <w:pStyle w:val="14"/>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17.5不论</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中标与否，</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文件均不得撤回其投标。</w:t>
      </w:r>
    </w:p>
    <w:p>
      <w:pPr>
        <w:pStyle w:val="14"/>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17.6未按时解密视为磋商响应文件撤回。</w:t>
      </w:r>
    </w:p>
    <w:p>
      <w:pPr>
        <w:pageBreakBefore w:val="0"/>
        <w:widowControl w:val="0"/>
        <w:kinsoku/>
        <w:wordWrap/>
        <w:overflowPunct/>
        <w:topLinePunct w:val="0"/>
        <w:bidi w:val="0"/>
        <w:snapToGrid w:val="0"/>
        <w:spacing w:line="240" w:lineRule="auto"/>
        <w:ind w:firstLine="354" w:firstLineChars="147"/>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18.投标无效的情形</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实质上没有响应</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要求的投标将被视为无效投标。</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不得通过修正或撤消不合要求的偏离或保留从而使其投标成为实质上响应的投标，但经评标委员会认定属于</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疏忽所造成的差错，应当允许其在评标结束之前进行修改或者补正。限时内不补正或经补正后仍不符合</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要求的，应认定其投标无效。</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修改、补正</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文件后，不影响评标委员会对其</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文件所作的评价和评分结果。</w:t>
      </w:r>
    </w:p>
    <w:p>
      <w:pPr>
        <w:pStyle w:val="15"/>
        <w:pageBreakBefore w:val="0"/>
        <w:widowControl w:val="0"/>
        <w:kinsoku/>
        <w:wordWrap/>
        <w:overflowPunct/>
        <w:topLinePunct w:val="0"/>
        <w:bidi w:val="0"/>
        <w:snapToGrid w:val="0"/>
        <w:spacing w:after="0" w:line="240" w:lineRule="auto"/>
        <w:ind w:left="0" w:leftChars="0" w:firstLine="472" w:firstLineChars="196"/>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18.1在符合性审查和资格性审查时，如发现下列情形之一的，</w:t>
      </w:r>
      <w:r>
        <w:rPr>
          <w:rFonts w:hint="eastAsia" w:ascii="仿宋" w:hAnsi="仿宋" w:eastAsia="仿宋" w:cs="仿宋"/>
          <w:b/>
          <w:bCs/>
          <w:color w:val="auto"/>
          <w:sz w:val="24"/>
          <w:szCs w:val="24"/>
          <w:highlight w:val="none"/>
          <w:lang w:eastAsia="zh-CN"/>
        </w:rPr>
        <w:t>磋商</w:t>
      </w:r>
      <w:r>
        <w:rPr>
          <w:rFonts w:hint="eastAsia" w:ascii="仿宋" w:hAnsi="仿宋" w:eastAsia="仿宋" w:cs="仿宋"/>
          <w:b/>
          <w:bCs/>
          <w:color w:val="auto"/>
          <w:sz w:val="24"/>
          <w:szCs w:val="24"/>
          <w:highlight w:val="none"/>
          <w:lang w:val="en-US" w:eastAsia="zh-CN"/>
        </w:rPr>
        <w:t>响应</w:t>
      </w:r>
      <w:r>
        <w:rPr>
          <w:rFonts w:hint="eastAsia" w:ascii="仿宋" w:hAnsi="仿宋" w:eastAsia="仿宋" w:cs="仿宋"/>
          <w:b/>
          <w:bCs/>
          <w:color w:val="auto"/>
          <w:sz w:val="24"/>
          <w:szCs w:val="24"/>
          <w:highlight w:val="none"/>
        </w:rPr>
        <w:t>文件将被视为无效投标：</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18.1.1资格证明文件不全的，或者不符合</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标明的资格要求的；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18.1.2未按照</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规定要求盖章；</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18.1.3</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文件项目不齐全或者内容虚假的；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18.1.4</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文件的实质性内容未使用中文表述、意思表述不明确、前后矛盾或者使用计量单位不符合</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要求的；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18.1.5投标有效期、交货时间、质保期、售后服务承诺等条款不能满足</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要求的；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18.1.6</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文件的技术标内容含有商务报价的内容；</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18.1.7</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文件含有采购人不能接受的附加条件的；</w:t>
      </w:r>
    </w:p>
    <w:p>
      <w:pPr>
        <w:pageBreakBefore w:val="0"/>
        <w:widowControl w:val="0"/>
        <w:kinsoku/>
        <w:wordWrap/>
        <w:overflowPunct/>
        <w:topLinePunct w:val="0"/>
        <w:bidi w:val="0"/>
        <w:snapToGrid w:val="0"/>
        <w:spacing w:line="240" w:lineRule="auto"/>
        <w:ind w:left="420" w:firstLine="48" w:firstLineChars="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18.1.8不符合法律、法规或未实质性响应</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要求或者</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文件有</w:t>
      </w:r>
    </w:p>
    <w:p>
      <w:pPr>
        <w:pageBreakBefore w:val="0"/>
        <w:widowControl w:val="0"/>
        <w:kinsoku/>
        <w:wordWrap/>
        <w:overflowPunct/>
        <w:topLinePunct w:val="0"/>
        <w:bidi w:val="0"/>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采购人不能接受的附加条件的。</w:t>
      </w:r>
    </w:p>
    <w:p>
      <w:pPr>
        <w:pStyle w:val="15"/>
        <w:pageBreakBefore w:val="0"/>
        <w:widowControl w:val="0"/>
        <w:kinsoku/>
        <w:wordWrap/>
        <w:overflowPunct/>
        <w:topLinePunct w:val="0"/>
        <w:bidi w:val="0"/>
        <w:snapToGrid w:val="0"/>
        <w:spacing w:after="0"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18.2在技术评审时，如发现下列情形之一的，</w:t>
      </w:r>
      <w:r>
        <w:rPr>
          <w:rFonts w:hint="eastAsia" w:ascii="仿宋" w:hAnsi="仿宋" w:eastAsia="仿宋" w:cs="仿宋"/>
          <w:b/>
          <w:bCs/>
          <w:color w:val="auto"/>
          <w:sz w:val="24"/>
          <w:szCs w:val="24"/>
          <w:highlight w:val="none"/>
          <w:lang w:eastAsia="zh-CN"/>
        </w:rPr>
        <w:t>磋商</w:t>
      </w:r>
      <w:r>
        <w:rPr>
          <w:rFonts w:hint="eastAsia" w:ascii="仿宋" w:hAnsi="仿宋" w:eastAsia="仿宋" w:cs="仿宋"/>
          <w:b/>
          <w:bCs/>
          <w:color w:val="auto"/>
          <w:sz w:val="24"/>
          <w:szCs w:val="24"/>
          <w:highlight w:val="none"/>
          <w:lang w:val="en-US" w:eastAsia="zh-CN"/>
        </w:rPr>
        <w:t>响应</w:t>
      </w:r>
      <w:r>
        <w:rPr>
          <w:rFonts w:hint="eastAsia" w:ascii="仿宋" w:hAnsi="仿宋" w:eastAsia="仿宋" w:cs="仿宋"/>
          <w:b/>
          <w:bCs/>
          <w:color w:val="auto"/>
          <w:sz w:val="24"/>
          <w:szCs w:val="24"/>
          <w:highlight w:val="none"/>
        </w:rPr>
        <w:t>文件将被视为无效：</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18.2.1未提供或未如实提供投标货物的技术参数，或者</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文件标明的响应或偏离与事实不符或虚假投标的；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18.2.2明显不符合</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要求的规格型号、质量标准，或者与</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中标“★”的技术指标、主要功能项目发生实质性偏离的；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18.2.3允许偏离的技术、性能指标或者辅助功能项目发生负偏离达20项（含）以上的；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18.2.4投标技术方案不明确，存在一个或一个以上备选（替代）投标方案的；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18.2.5</w:t>
      </w:r>
      <w:r>
        <w:rPr>
          <w:rFonts w:hint="eastAsia" w:ascii="仿宋" w:hAnsi="仿宋" w:eastAsia="仿宋" w:cs="仿宋"/>
          <w:b/>
          <w:color w:val="auto"/>
          <w:sz w:val="24"/>
          <w:szCs w:val="24"/>
          <w:highlight w:val="none"/>
        </w:rPr>
        <w:t>发现有二份及二份以上</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文件的相互之间有特别相同或相似之处，且经询标澄清</w:t>
      </w:r>
      <w:r>
        <w:rPr>
          <w:rFonts w:hint="eastAsia" w:ascii="仿宋" w:hAnsi="仿宋" w:eastAsia="仿宋" w:cs="仿宋"/>
          <w:b/>
          <w:color w:val="auto"/>
          <w:sz w:val="24"/>
          <w:szCs w:val="24"/>
          <w:highlight w:val="none"/>
          <w:lang w:eastAsia="zh-CN"/>
        </w:rPr>
        <w:t>磋商供应商</w:t>
      </w:r>
      <w:r>
        <w:rPr>
          <w:rFonts w:hint="eastAsia" w:ascii="仿宋" w:hAnsi="仿宋" w:eastAsia="仿宋" w:cs="仿宋"/>
          <w:b/>
          <w:color w:val="auto"/>
          <w:sz w:val="24"/>
          <w:szCs w:val="24"/>
          <w:highlight w:val="none"/>
        </w:rPr>
        <w:t>无令人信服的理由和可靠证据证明其合理性的，经评标委员会半数以上成员确认有串通投标嫌疑的，其</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文件按无效标处理，予以废除，不再对其进行评审，也不影响</w:t>
      </w:r>
      <w:r>
        <w:rPr>
          <w:rFonts w:hint="eastAsia" w:ascii="仿宋" w:hAnsi="仿宋" w:eastAsia="仿宋" w:cs="仿宋"/>
          <w:b/>
          <w:color w:val="auto"/>
          <w:sz w:val="24"/>
          <w:szCs w:val="24"/>
          <w:highlight w:val="none"/>
          <w:lang w:eastAsia="zh-CN"/>
        </w:rPr>
        <w:t>采购</w:t>
      </w:r>
      <w:r>
        <w:rPr>
          <w:rFonts w:hint="eastAsia" w:ascii="仿宋" w:hAnsi="仿宋" w:eastAsia="仿宋" w:cs="仿宋"/>
          <w:b/>
          <w:color w:val="auto"/>
          <w:sz w:val="24"/>
          <w:szCs w:val="24"/>
          <w:highlight w:val="none"/>
        </w:rPr>
        <w:t>工作继续评标。</w:t>
      </w:r>
    </w:p>
    <w:p>
      <w:pPr>
        <w:pStyle w:val="15"/>
        <w:pageBreakBefore w:val="0"/>
        <w:widowControl w:val="0"/>
        <w:kinsoku/>
        <w:wordWrap/>
        <w:overflowPunct/>
        <w:topLinePunct w:val="0"/>
        <w:bidi w:val="0"/>
        <w:snapToGrid w:val="0"/>
        <w:spacing w:after="0"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18.3在报价评审时，如发现下列情形之一的，</w:t>
      </w:r>
      <w:r>
        <w:rPr>
          <w:rFonts w:hint="eastAsia" w:ascii="仿宋" w:hAnsi="仿宋" w:eastAsia="仿宋" w:cs="仿宋"/>
          <w:b/>
          <w:bCs/>
          <w:color w:val="auto"/>
          <w:sz w:val="24"/>
          <w:szCs w:val="24"/>
          <w:highlight w:val="none"/>
          <w:lang w:eastAsia="zh-CN"/>
        </w:rPr>
        <w:t>磋商</w:t>
      </w:r>
      <w:r>
        <w:rPr>
          <w:rFonts w:hint="eastAsia" w:ascii="仿宋" w:hAnsi="仿宋" w:eastAsia="仿宋" w:cs="仿宋"/>
          <w:b/>
          <w:bCs/>
          <w:color w:val="auto"/>
          <w:sz w:val="24"/>
          <w:szCs w:val="24"/>
          <w:highlight w:val="none"/>
          <w:lang w:val="en-US" w:eastAsia="zh-CN"/>
        </w:rPr>
        <w:t>响应</w:t>
      </w:r>
      <w:r>
        <w:rPr>
          <w:rFonts w:hint="eastAsia" w:ascii="仿宋" w:hAnsi="仿宋" w:eastAsia="仿宋" w:cs="仿宋"/>
          <w:b/>
          <w:bCs/>
          <w:color w:val="auto"/>
          <w:sz w:val="24"/>
          <w:szCs w:val="24"/>
          <w:highlight w:val="none"/>
        </w:rPr>
        <w:t>文件将被视为无效：</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（1）未采用人民币报价或者未按照</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标明的币种报价的；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（2）投标报价超过</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中规定的最高限价的；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（3）评标委员会认为</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的报价明显低于其他通过符合性审查</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的报价，有可能影响产品质量或者不能诚信履约，且</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不能证明其报价合理性的；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不接受报价文件中修正后的报价的；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（5）投标报价具有选择性。</w:t>
      </w:r>
    </w:p>
    <w:p>
      <w:pPr>
        <w:pStyle w:val="15"/>
        <w:pageBreakBefore w:val="0"/>
        <w:widowControl w:val="0"/>
        <w:kinsoku/>
        <w:wordWrap/>
        <w:overflowPunct/>
        <w:topLinePunct w:val="0"/>
        <w:bidi w:val="0"/>
        <w:snapToGrid w:val="0"/>
        <w:spacing w:after="0"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18.4符合</w:t>
      </w:r>
      <w:r>
        <w:rPr>
          <w:rFonts w:hint="eastAsia" w:ascii="仿宋" w:hAnsi="仿宋" w:eastAsia="仿宋" w:cs="仿宋"/>
          <w:b/>
          <w:bCs/>
          <w:color w:val="auto"/>
          <w:sz w:val="24"/>
          <w:szCs w:val="24"/>
          <w:highlight w:val="none"/>
          <w:lang w:eastAsia="zh-CN"/>
        </w:rPr>
        <w:t>磋商文件</w:t>
      </w:r>
      <w:r>
        <w:rPr>
          <w:rFonts w:hint="eastAsia" w:ascii="仿宋" w:hAnsi="仿宋" w:eastAsia="仿宋" w:cs="仿宋"/>
          <w:b/>
          <w:bCs/>
          <w:color w:val="auto"/>
          <w:sz w:val="24"/>
          <w:szCs w:val="24"/>
          <w:highlight w:val="none"/>
        </w:rPr>
        <w:t>明确规定的其他无效投标条款的。</w:t>
      </w:r>
    </w:p>
    <w:p>
      <w:pPr>
        <w:pStyle w:val="3"/>
        <w:pageBreakBefore w:val="0"/>
        <w:widowControl w:val="0"/>
        <w:kinsoku/>
        <w:wordWrap/>
        <w:overflowPunct/>
        <w:topLinePunct w:val="0"/>
        <w:bidi w:val="0"/>
        <w:snapToGrid w:val="0"/>
        <w:spacing w:before="0" w:after="0" w:line="240" w:lineRule="auto"/>
        <w:jc w:val="center"/>
        <w:textAlignment w:val="auto"/>
        <w:rPr>
          <w:rFonts w:hint="eastAsia" w:ascii="仿宋" w:hAnsi="仿宋" w:eastAsia="仿宋" w:cs="仿宋"/>
          <w:color w:val="auto"/>
          <w:sz w:val="28"/>
          <w:szCs w:val="28"/>
          <w:highlight w:val="none"/>
        </w:rPr>
      </w:pPr>
      <w:bookmarkStart w:id="5" w:name="_Toc125344507"/>
      <w:r>
        <w:rPr>
          <w:rFonts w:hint="eastAsia" w:ascii="仿宋" w:hAnsi="仿宋" w:eastAsia="仿宋" w:cs="仿宋"/>
          <w:color w:val="auto"/>
          <w:sz w:val="28"/>
          <w:szCs w:val="28"/>
          <w:highlight w:val="none"/>
        </w:rPr>
        <w:t>四、开  标</w:t>
      </w:r>
      <w:bookmarkEnd w:id="5"/>
    </w:p>
    <w:p>
      <w:pPr>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19.</w:t>
      </w:r>
      <w:r>
        <w:rPr>
          <w:rFonts w:hint="eastAsia" w:ascii="仿宋" w:hAnsi="仿宋" w:eastAsia="仿宋" w:cs="仿宋"/>
          <w:b/>
          <w:color w:val="auto"/>
          <w:sz w:val="24"/>
          <w:highlight w:val="none"/>
        </w:rPr>
        <w:t>开标</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19.1采购代理机构将在前附表规定的时间、地点进行开标。无关人员不得进入开标现场。</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19.2本项目实行电子开评标，</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无需前往开评标现场，只需在规定时间内在“政采云”平台上上传电子</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 xml:space="preserve">文件。 </w:t>
      </w:r>
    </w:p>
    <w:p>
      <w:pPr>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20.开标程序</w:t>
      </w:r>
    </w:p>
    <w:p>
      <w:pPr>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20.1投标截止时间后的</w:t>
      </w:r>
      <w:r>
        <w:rPr>
          <w:rFonts w:hint="eastAsia" w:ascii="仿宋" w:hAnsi="仿宋" w:eastAsia="仿宋" w:cs="仿宋"/>
          <w:b/>
          <w:color w:val="auto"/>
          <w:sz w:val="24"/>
          <w:highlight w:val="none"/>
          <w:lang w:eastAsia="zh-CN"/>
        </w:rPr>
        <w:t>30分钟</w:t>
      </w:r>
      <w:r>
        <w:rPr>
          <w:rFonts w:hint="eastAsia" w:ascii="仿宋" w:hAnsi="仿宋" w:eastAsia="仿宋" w:cs="仿宋"/>
          <w:b/>
          <w:color w:val="auto"/>
          <w:sz w:val="24"/>
          <w:highlight w:val="none"/>
        </w:rPr>
        <w:t>内，由各</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自行对电子</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文件进行解密（请各</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务必在规定时间内完成电子</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文件的解密工作，在电子开评标期间，</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（授权代表）需确保在各自所在的区域具备上网的技术条件并保持网络及联系方式畅通），同时为避免出现意外，建议全程由一台电脑进行操作（包括标书制作、上传、解密等），中途不要更换电脑；</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20.2评标委员会对</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的商务技术响应文件进行评审；</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20.3对技术标有效的投标单位的投标报价在“政采云”平台上予以公开；</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20.4评标委员会对技术标有效的投标单位进行投标报价评审，确定投标报价评审有效投标单位；</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20.5对投标报价评审后有效的投标单位计算投标报价分和综合得分；</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20.6确定预中标人。</w:t>
      </w:r>
    </w:p>
    <w:p>
      <w:pPr>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bookmarkStart w:id="6" w:name="_Toc125344508"/>
      <w:r>
        <w:rPr>
          <w:rFonts w:hint="eastAsia" w:ascii="仿宋" w:hAnsi="仿宋" w:eastAsia="仿宋" w:cs="仿宋"/>
          <w:b/>
          <w:color w:val="auto"/>
          <w:sz w:val="24"/>
          <w:highlight w:val="none"/>
        </w:rPr>
        <w:t>特别说明：</w:t>
      </w:r>
    </w:p>
    <w:p>
      <w:pPr>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1、政采云公司如对电子化开标及评审程序有调整的，按调整后的程序操作。</w:t>
      </w:r>
    </w:p>
    <w:p>
      <w:pPr>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2、如中标单位</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文件和</w:t>
      </w:r>
      <w:r>
        <w:rPr>
          <w:rFonts w:hint="eastAsia" w:ascii="仿宋" w:hAnsi="仿宋" w:eastAsia="仿宋" w:cs="仿宋"/>
          <w:b/>
          <w:color w:val="auto"/>
          <w:sz w:val="24"/>
          <w:highlight w:val="none"/>
          <w:lang w:eastAsia="zh-CN"/>
        </w:rPr>
        <w:t>磋商文件</w:t>
      </w:r>
      <w:r>
        <w:rPr>
          <w:rFonts w:hint="eastAsia" w:ascii="仿宋" w:hAnsi="仿宋" w:eastAsia="仿宋" w:cs="仿宋"/>
          <w:b/>
          <w:color w:val="auto"/>
          <w:sz w:val="24"/>
          <w:highlight w:val="none"/>
        </w:rPr>
        <w:t>要求不一致，且评审过程中未发现的，履约应按有利于采购人的要求执行。</w:t>
      </w:r>
    </w:p>
    <w:p>
      <w:pPr>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3、采购过程中出现以下情形，导致电子交易平台无法正常运行，或者无法保证电子交易的公平、公正和安全时，采购组织机构可中止电子交易活动：</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（一）电子交易平台发生故障而无法登录访问的； </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（二）电子交易平台应用或数据库出现错误，不能进行正常操作的；</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（三）电子交易平台发现严重安全漏洞，有潜在泄密危险的；</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（四）病毒发作导致不能进行正常操作的； </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（五）其他无法保证电子交易的公平、公正和安全的情况。</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出现前款规定情形，不影响采购公平、公正性的，采购组织机构可以待上述情形消除后继续组织电子交易活动；影响或可能影响采购公平、公正性的，应当重新采购。</w:t>
      </w:r>
    </w:p>
    <w:p>
      <w:pPr>
        <w:pStyle w:val="3"/>
        <w:pageBreakBefore w:val="0"/>
        <w:widowControl w:val="0"/>
        <w:kinsoku/>
        <w:wordWrap/>
        <w:overflowPunct/>
        <w:topLinePunct w:val="0"/>
        <w:bidi w:val="0"/>
        <w:snapToGrid w:val="0"/>
        <w:spacing w:before="0" w:after="0"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bCs/>
          <w:color w:val="auto"/>
          <w:kern w:val="2"/>
          <w:sz w:val="28"/>
          <w:szCs w:val="28"/>
          <w:highlight w:val="none"/>
          <w:lang w:val="en-US" w:eastAsia="zh-CN" w:bidi="ar-SA"/>
        </w:rPr>
        <w:t>五、评　标</w:t>
      </w:r>
      <w:bookmarkEnd w:id="6"/>
    </w:p>
    <w:p>
      <w:pPr>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 组建评标委员会</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评标委员会按照有关规定组建。</w:t>
      </w:r>
    </w:p>
    <w:p>
      <w:pPr>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22.评标原则</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22.1评标委员会必须公平、公正、客观，不带任何倾向性和启发性；</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22.2不得向外界透露任何与评标有关的内容；</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22.3任何单位和个人不得干扰、影响评标的正常进行；</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22.4评标委员会及有关工作人员不得私下与</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接触。</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择期重新评审的时间和地点。</w:t>
      </w:r>
    </w:p>
    <w:p>
      <w:pPr>
        <w:pageBreakBefore w:val="0"/>
        <w:widowControl w:val="0"/>
        <w:kinsoku/>
        <w:wordWrap/>
        <w:overflowPunct/>
        <w:topLinePunct w:val="0"/>
        <w:bidi w:val="0"/>
        <w:snapToGrid w:val="0"/>
        <w:spacing w:line="24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22.6提供相同品牌产品且通过资格审查、符合性审查的不同</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参加同一合同项下投标的，按一家</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计算，评审后得分最高的同品牌</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获得中标人推荐资格；评审得分相同的，由采购人或者采购人委托评标委员会按照</w:t>
      </w:r>
      <w:r>
        <w:rPr>
          <w:rFonts w:hint="eastAsia" w:ascii="仿宋" w:hAnsi="仿宋" w:eastAsia="仿宋" w:cs="仿宋"/>
          <w:b/>
          <w:color w:val="auto"/>
          <w:sz w:val="24"/>
          <w:highlight w:val="none"/>
          <w:lang w:eastAsia="zh-CN"/>
        </w:rPr>
        <w:t>磋商文件</w:t>
      </w:r>
      <w:r>
        <w:rPr>
          <w:rFonts w:hint="eastAsia" w:ascii="仿宋" w:hAnsi="仿宋" w:eastAsia="仿宋" w:cs="仿宋"/>
          <w:b/>
          <w:color w:val="auto"/>
          <w:sz w:val="24"/>
          <w:highlight w:val="none"/>
        </w:rPr>
        <w:t>规定的方式确定一个</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获得中标人推荐资格，</w:t>
      </w:r>
      <w:r>
        <w:rPr>
          <w:rFonts w:hint="eastAsia" w:ascii="仿宋" w:hAnsi="仿宋" w:eastAsia="仿宋" w:cs="仿宋"/>
          <w:b/>
          <w:color w:val="auto"/>
          <w:sz w:val="24"/>
          <w:highlight w:val="none"/>
          <w:lang w:eastAsia="zh-CN"/>
        </w:rPr>
        <w:t>磋商文件</w:t>
      </w:r>
      <w:r>
        <w:rPr>
          <w:rFonts w:hint="eastAsia" w:ascii="仿宋" w:hAnsi="仿宋" w:eastAsia="仿宋" w:cs="仿宋"/>
          <w:b/>
          <w:color w:val="auto"/>
          <w:sz w:val="24"/>
          <w:highlight w:val="none"/>
        </w:rPr>
        <w:t>未规定的采取随机抽取方式确定，其他同品牌</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不作为中标候选人。</w:t>
      </w:r>
    </w:p>
    <w:p>
      <w:pPr>
        <w:pageBreakBefore w:val="0"/>
        <w:widowControl w:val="0"/>
        <w:kinsoku/>
        <w:wordWrap/>
        <w:overflowPunct/>
        <w:topLinePunct w:val="0"/>
        <w:bidi w:val="0"/>
        <w:snapToGrid w:val="0"/>
        <w:spacing w:line="24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非单一产品采购项目，采购人应当根据采购项目技术构成、产品价格比重等合理确定核心产品，并在</w:t>
      </w:r>
      <w:r>
        <w:rPr>
          <w:rFonts w:hint="eastAsia" w:ascii="仿宋" w:hAnsi="仿宋" w:eastAsia="仿宋" w:cs="仿宋"/>
          <w:b/>
          <w:color w:val="auto"/>
          <w:sz w:val="24"/>
          <w:highlight w:val="none"/>
          <w:lang w:eastAsia="zh-CN"/>
        </w:rPr>
        <w:t>磋商文件</w:t>
      </w:r>
      <w:r>
        <w:rPr>
          <w:rFonts w:hint="eastAsia" w:ascii="仿宋" w:hAnsi="仿宋" w:eastAsia="仿宋" w:cs="仿宋"/>
          <w:b/>
          <w:color w:val="auto"/>
          <w:sz w:val="24"/>
          <w:highlight w:val="none"/>
        </w:rPr>
        <w:t>中载明。多家</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提供的核心产品品牌相同的，按前款规定处理。</w:t>
      </w:r>
    </w:p>
    <w:p>
      <w:pPr>
        <w:pageBreakBefore w:val="0"/>
        <w:widowControl w:val="0"/>
        <w:kinsoku/>
        <w:wordWrap/>
        <w:overflowPunct/>
        <w:topLinePunct w:val="0"/>
        <w:bidi w:val="0"/>
        <w:snapToGrid w:val="0"/>
        <w:spacing w:line="240" w:lineRule="auto"/>
        <w:ind w:firstLine="482" w:firstLineChars="200"/>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22.7</w:t>
      </w:r>
      <w:r>
        <w:rPr>
          <w:rFonts w:hint="eastAsia" w:ascii="仿宋" w:hAnsi="仿宋" w:eastAsia="仿宋" w:cs="仿宋"/>
          <w:color w:val="auto"/>
          <w:sz w:val="24"/>
          <w:highlight w:val="none"/>
        </w:rPr>
        <w:t>以联合体形式参加政府采购活动的，联合体各方不得再单独参加或者与其他供应商另外组成联合体参加同一合同项下的政府采购活动。</w:t>
      </w:r>
    </w:p>
    <w:p>
      <w:pPr>
        <w:pageBreakBefore w:val="0"/>
        <w:widowControl w:val="0"/>
        <w:kinsoku/>
        <w:wordWrap/>
        <w:overflowPunct/>
        <w:topLinePunct w:val="0"/>
        <w:bidi w:val="0"/>
        <w:snapToGrid w:val="0"/>
        <w:spacing w:line="24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22.8除单一来源采购以外，为采购项目提供整体设计、规范编制或者项目管理、监理、检测等服务的供应商，不得参加本采购项目。</w:t>
      </w:r>
    </w:p>
    <w:p>
      <w:pPr>
        <w:pageBreakBefore w:val="0"/>
        <w:widowControl w:val="0"/>
        <w:kinsoku/>
        <w:wordWrap/>
        <w:overflowPunct/>
        <w:topLinePunct w:val="0"/>
        <w:bidi w:val="0"/>
        <w:snapToGrid w:val="0"/>
        <w:spacing w:line="24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22.9单位负责人为同一人或者存在直接控股、管理关系的不同供应商，不得参加同一合同项下的政府采购活动。</w:t>
      </w:r>
    </w:p>
    <w:p>
      <w:pPr>
        <w:pStyle w:val="25"/>
        <w:pageBreakBefore w:val="0"/>
        <w:widowControl w:val="0"/>
        <w:kinsoku/>
        <w:wordWrap/>
        <w:overflowPunct/>
        <w:topLinePunct w:val="0"/>
        <w:bidi w:val="0"/>
        <w:snapToGrid w:val="0"/>
        <w:spacing w:line="240" w:lineRule="auto"/>
        <w:ind w:left="2" w:leftChars="1"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22.10本项目涉及提供的有关资质证书，若原有资质证书处于年审期间，</w:t>
      </w:r>
      <w:r>
        <w:rPr>
          <w:rFonts w:hint="eastAsia" w:ascii="仿宋" w:hAnsi="仿宋" w:eastAsia="仿宋" w:cs="仿宋"/>
          <w:b/>
          <w:color w:val="auto"/>
          <w:highlight w:val="none"/>
          <w:lang w:eastAsia="zh-CN"/>
        </w:rPr>
        <w:t>磋商供应商</w:t>
      </w:r>
      <w:r>
        <w:rPr>
          <w:rFonts w:hint="eastAsia" w:ascii="仿宋" w:hAnsi="仿宋" w:eastAsia="仿宋" w:cs="仿宋"/>
          <w:b/>
          <w:color w:val="auto"/>
          <w:highlight w:val="none"/>
        </w:rPr>
        <w:t>提供年审证明的可按原资质投标；若</w:t>
      </w:r>
      <w:r>
        <w:rPr>
          <w:rFonts w:hint="eastAsia" w:ascii="仿宋" w:hAnsi="仿宋" w:eastAsia="仿宋" w:cs="仿宋"/>
          <w:b/>
          <w:color w:val="auto"/>
          <w:highlight w:val="none"/>
          <w:lang w:eastAsia="zh-CN"/>
        </w:rPr>
        <w:t>磋商供应商</w:t>
      </w:r>
      <w:r>
        <w:rPr>
          <w:rFonts w:hint="eastAsia" w:ascii="仿宋" w:hAnsi="仿宋" w:eastAsia="仿宋" w:cs="仿宋"/>
          <w:b/>
          <w:color w:val="auto"/>
          <w:highlight w:val="none"/>
        </w:rPr>
        <w:t>正在申报上一级别资质，在未获批准之前，仍按原级别资质投标。</w:t>
      </w:r>
    </w:p>
    <w:p>
      <w:pPr>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23.评标程序</w:t>
      </w:r>
    </w:p>
    <w:p>
      <w:pPr>
        <w:pageBreakBefore w:val="0"/>
        <w:widowControl w:val="0"/>
        <w:kinsoku/>
        <w:wordWrap/>
        <w:overflowPunct/>
        <w:topLinePunct w:val="0"/>
        <w:bidi w:val="0"/>
        <w:snapToGrid w:val="0"/>
        <w:spacing w:line="240" w:lineRule="auto"/>
        <w:ind w:firstLine="472" w:firstLineChars="196"/>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23.1资格审查</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的资格进行审查。</w:t>
      </w:r>
    </w:p>
    <w:p>
      <w:pPr>
        <w:pageBreakBefore w:val="0"/>
        <w:widowControl w:val="0"/>
        <w:kinsoku/>
        <w:wordWrap/>
        <w:overflowPunct/>
        <w:topLinePunct w:val="0"/>
        <w:bidi w:val="0"/>
        <w:snapToGrid w:val="0"/>
        <w:spacing w:line="240" w:lineRule="auto"/>
        <w:ind w:firstLine="472" w:firstLineChars="196"/>
        <w:textAlignment w:val="auto"/>
        <w:rPr>
          <w:rFonts w:hint="eastAsia" w:ascii="仿宋" w:hAnsi="仿宋" w:eastAsia="仿宋" w:cs="仿宋"/>
          <w:b/>
          <w:bCs/>
          <w:color w:val="auto"/>
          <w:sz w:val="24"/>
          <w:szCs w:val="20"/>
          <w:highlight w:val="none"/>
        </w:rPr>
      </w:pPr>
      <w:r>
        <w:rPr>
          <w:rFonts w:hint="eastAsia" w:ascii="仿宋" w:hAnsi="仿宋" w:eastAsia="仿宋" w:cs="仿宋"/>
          <w:b/>
          <w:bCs/>
          <w:color w:val="auto"/>
          <w:sz w:val="24"/>
          <w:highlight w:val="none"/>
        </w:rPr>
        <w:t>23.2形式审查</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rPr>
        <w:t>评标委员会对</w:t>
      </w:r>
      <w:r>
        <w:rPr>
          <w:rFonts w:hint="eastAsia" w:ascii="仿宋" w:hAnsi="仿宋" w:eastAsia="仿宋" w:cs="仿宋"/>
          <w:color w:val="auto"/>
          <w:kern w:val="2"/>
          <w:sz w:val="24"/>
          <w:szCs w:val="24"/>
          <w:highlight w:val="none"/>
          <w:lang w:eastAsia="zh-CN"/>
        </w:rPr>
        <w:t>磋商供应商</w:t>
      </w:r>
      <w:r>
        <w:rPr>
          <w:rFonts w:hint="eastAsia" w:ascii="仿宋" w:hAnsi="仿宋" w:eastAsia="仿宋" w:cs="仿宋"/>
          <w:color w:val="auto"/>
          <w:kern w:val="2"/>
          <w:sz w:val="24"/>
          <w:szCs w:val="24"/>
          <w:highlight w:val="none"/>
        </w:rPr>
        <w:t>的</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文件的完整性、合法性等进行审查。</w:t>
      </w:r>
    </w:p>
    <w:p>
      <w:pPr>
        <w:pageBreakBefore w:val="0"/>
        <w:widowControl w:val="0"/>
        <w:kinsoku/>
        <w:wordWrap/>
        <w:overflowPunct/>
        <w:topLinePunct w:val="0"/>
        <w:bidi w:val="0"/>
        <w:snapToGrid w:val="0"/>
        <w:spacing w:line="240" w:lineRule="auto"/>
        <w:ind w:firstLine="472" w:firstLineChars="196"/>
        <w:textAlignment w:val="auto"/>
        <w:rPr>
          <w:rFonts w:hint="eastAsia" w:ascii="仿宋" w:hAnsi="仿宋" w:eastAsia="仿宋" w:cs="仿宋"/>
          <w:b/>
          <w:bCs/>
          <w:color w:val="auto"/>
          <w:sz w:val="24"/>
          <w:szCs w:val="20"/>
          <w:highlight w:val="none"/>
        </w:rPr>
      </w:pPr>
      <w:r>
        <w:rPr>
          <w:rFonts w:hint="eastAsia" w:ascii="仿宋" w:hAnsi="仿宋" w:eastAsia="仿宋" w:cs="仿宋"/>
          <w:b/>
          <w:bCs/>
          <w:color w:val="auto"/>
          <w:sz w:val="24"/>
          <w:highlight w:val="none"/>
        </w:rPr>
        <w:t>23.3实质审查与比较</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23.3.1评标时，评标委员会将以</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为基本依据，首先评定每份</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文件是否在实质上响应了</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的要求。所谓实质上响应，是指</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文件应与</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的所有实质性条款、条件和要求相符，无显著差异或保留，或者对合同中约定的采购人的权利和</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的义务方面造成重大的限制，纠正这些显著差异或保留将会对其他实质上响应</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要求的</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文件的</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的竞争地位产生不公平的影响。</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23.3.2评标委员会将根据</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文件进行审查、核对,如有疑问,将对</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进行询标,</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要向评标委员会澄清有关问题,并最终以“政采云”在线询标或其他有效形式形式进行答复。</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代表拒绝澄清或者澄清的内容改变了</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文件的实质性内容的，评标委员会有权对该</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文件作出不利于</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的评判。</w:t>
      </w:r>
    </w:p>
    <w:p>
      <w:pPr>
        <w:pStyle w:val="38"/>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23.3.3</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应详细说明投标技术方案中产品的具体参数，不得照搬照抄</w:t>
      </w:r>
      <w:r>
        <w:rPr>
          <w:rFonts w:hint="eastAsia" w:ascii="仿宋" w:hAnsi="仿宋" w:eastAsia="仿宋" w:cs="仿宋"/>
          <w:b/>
          <w:color w:val="auto"/>
          <w:sz w:val="24"/>
          <w:highlight w:val="none"/>
          <w:lang w:eastAsia="zh-CN"/>
        </w:rPr>
        <w:t>磋商文件</w:t>
      </w:r>
      <w:r>
        <w:rPr>
          <w:rFonts w:hint="eastAsia" w:ascii="仿宋" w:hAnsi="仿宋" w:eastAsia="仿宋" w:cs="仿宋"/>
          <w:b/>
          <w:color w:val="auto"/>
          <w:sz w:val="24"/>
          <w:highlight w:val="none"/>
        </w:rPr>
        <w:t>的技术要求。否则，评标委员会有权认定为投标技术方案不合格响应，其相关分数予以扣减或作无效标处理。</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23.3.4如果</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文件实质不响应</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的各项要求，评标委员会将予以拒绝，并且不允许</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通过修改或撤销其不符合要求的差异或保留，使之成为具有响应性的投标。</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23.3.5各</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的技术得分为所有评委的有效评分的算术平均数。</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23.3.6评标委员会完成评标后,评委对各部分得分汇总,计算出本项目最终得分。评标委员会按评标原则推荐中标候选人，同时起草评标报告。</w:t>
      </w:r>
    </w:p>
    <w:p>
      <w:pPr>
        <w:pStyle w:val="38"/>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23.3.7评标委员会对明显不合理的投标报价，有权要求</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在规定时间内提交说明，</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不能提供的或提供的材料不能说明问题的，评标委员会可以判定其投标无效。</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23.3.8评审人员对有关</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23.3.9评标委员会发现</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存在歧义、重大缺陷导致评标工作无法进行，或者</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内容违反国家有关强制性规定的，应当停止评标工作，与采购人或者采购代理机构沟通并作书面记录。采购人或者采购代理机构确认后，应当修改</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，重新组织采购活动。</w:t>
      </w:r>
    </w:p>
    <w:p>
      <w:pPr>
        <w:pageBreakBefore w:val="0"/>
        <w:widowControl w:val="0"/>
        <w:kinsoku/>
        <w:wordWrap/>
        <w:overflowPunct/>
        <w:topLinePunct w:val="0"/>
        <w:bidi w:val="0"/>
        <w:snapToGrid w:val="0"/>
        <w:spacing w:line="240" w:lineRule="auto"/>
        <w:ind w:firstLine="479" w:firstLineChars="199"/>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24.</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或采购人有下列情形之一的，应按串通投标行为认定，禁止其一至三年内进入本市政府采购市场，情节严重的移送有关部门依法处理。</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24.1不同</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 xml:space="preserve">文件由同一单位或人员编制； </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24.2不同</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委托同一单位或个人办理投标事宜；</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24.3不同</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文件载明的项目管理或联系人员为同一人；</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24.4不同</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 xml:space="preserve">文件异常一致或者投标报价呈规律性差异； </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24.5不同</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文件遗留其他</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不属于本</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参加政府采购必需的信息资料的；</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24.6不同</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 xml:space="preserve">的授权代表为同一单位的工作人员的；   </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24.7采购响应截止时间后，采购人协助</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撤换或更改</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文件的；</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24.8采购人泄露有意向参加政府采购的</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名称、数量等应当保密的事项的；</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24.9不同</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之间私下达成书面或口头协议，指定一家</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中标或轮流中标的；</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24.10属于同一集团、协会、商会等组织成员的</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按照该组织要求协同的投标；</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24.11</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之间为谋取中标或者排斥特定</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而采取的其他联合行动；</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24.12不同</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与同一</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联合投标的；</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24.13采购人（或采购代理机构）明示或者暗示</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压低或者抬高投标报价；</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24.14采购人（或采购代理机构）明示或者暗示</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为特定</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中标提供方便；</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24.15采购人（或采购代理机构）与</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为谋求特定</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中标而采取的其他串通行为；</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24.16法律、法规或规章规定的其他串通行为。</w:t>
      </w:r>
    </w:p>
    <w:p>
      <w:pPr>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文件的澄清</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文件中含义不明确、同类问题表述不一致或者有明显文字错误的内容，评标委员会可以在“政采云”平台在线询标或其他有效形式要求</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对同一份</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文件含义不明确或同类问题表述不一致的内容（</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其它地方有规定处理方法的除外）作必要的澄清或说明，</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应采用在线回复或其他有效形式在询标规定时间内进行澄清或说明（需盖电子签章或实体公章），但不得超出</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文件的范围或改变</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文件的实质性内容。凡属于评标小组在评标中发现的计算错误并进行核实的修改不在此列。</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的澄清文件是其</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文件的组成部分。</w:t>
      </w:r>
    </w:p>
    <w:p>
      <w:pPr>
        <w:pStyle w:val="25"/>
        <w:pageBreakBefore w:val="0"/>
        <w:widowControl w:val="0"/>
        <w:kinsoku/>
        <w:wordWrap/>
        <w:overflowPunct/>
        <w:topLinePunct w:val="0"/>
        <w:bidi w:val="0"/>
        <w:snapToGrid w:val="0"/>
        <w:spacing w:line="240" w:lineRule="auto"/>
        <w:ind w:left="720" w:leftChars="228" w:hanging="241" w:hangingChars="1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26.错误修正</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文件报价出现前后不一致的，按照下列规定修正：</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26.1</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文件中开标一览表（报价表）内容与</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文件中相应内容不一致的，以开标一览表（报价表）为准。</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26.2大写金额和小写金额不一致的，以大写金额为准。</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26.3单价金额小数点或者百分比有明显错位的，以开标一览表的总价为准，并修改单价。</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26.4总价金额与按单价汇总金额不一致的，以单价金额计算结果为准。</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同时出现两种以上不一致的，按照上述规定的顺序修正。</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按上述修正错误的原则及方法调整或修正</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文件的投标报价，</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同意并加盖公章确认，调整后的投标报价对</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具有约束作用。如果</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不接受修正后的报价，则其投标将作为无效投标处理。</w:t>
      </w:r>
    </w:p>
    <w:p>
      <w:pPr>
        <w:pStyle w:val="38"/>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27.评标办法。</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本项目评标办法是综合评分法，具体评标内容及评分标准等详见《第三章：评标办法及评分标准》。</w:t>
      </w:r>
    </w:p>
    <w:p>
      <w:pPr>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28.</w:t>
      </w:r>
      <w:r>
        <w:rPr>
          <w:rFonts w:hint="eastAsia" w:ascii="仿宋" w:hAnsi="仿宋" w:eastAsia="仿宋" w:cs="仿宋"/>
          <w:b/>
          <w:bCs/>
          <w:color w:val="auto"/>
          <w:sz w:val="24"/>
          <w:highlight w:val="none"/>
        </w:rPr>
        <w:t>评标过程的保密</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28.1开标后，直到宣布授予中标人合同为止，凡属于审查、澄清、评价和比较</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文件的有关资料和授予合同的信息，采购人、评标委员会成员都不应向</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或与该过程无关的其他人员泄露。</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28.2任何单位和个人都不得干扰、影响评标活动的正常进行。</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在评标过程中所进行的试图影响评标结果的一切不符合法律或</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规定的活动，都可能导致其被取消投标资格，并由其承担相应的法律责任。</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28.3中标人确定后，采购人不对未中标人就评标过程以及未能中标原因作出任何解释。未中标人不得向评标委员会或其他有关人员索问评标过程的情况和材料。</w:t>
      </w:r>
    </w:p>
    <w:p>
      <w:pPr>
        <w:pStyle w:val="25"/>
        <w:keepNext w:val="0"/>
        <w:keepLines w:val="0"/>
        <w:pageBreakBefore w:val="0"/>
        <w:widowControl w:val="0"/>
        <w:tabs>
          <w:tab w:val="left" w:pos="90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kern w:val="2"/>
          <w:sz w:val="28"/>
          <w:szCs w:val="28"/>
          <w:highlight w:val="none"/>
          <w:lang w:val="en-US" w:eastAsia="zh-CN" w:bidi="ar-SA"/>
        </w:rPr>
      </w:pPr>
      <w:bookmarkStart w:id="7" w:name="_Toc125344509"/>
      <w:r>
        <w:rPr>
          <w:rFonts w:hint="eastAsia" w:ascii="仿宋" w:hAnsi="仿宋" w:eastAsia="仿宋" w:cs="仿宋"/>
          <w:b/>
          <w:bCs/>
          <w:color w:val="auto"/>
          <w:kern w:val="2"/>
          <w:sz w:val="28"/>
          <w:szCs w:val="28"/>
          <w:highlight w:val="none"/>
          <w:lang w:val="en-US" w:eastAsia="zh-CN" w:bidi="ar-SA"/>
        </w:rPr>
        <w:t>六、</w:t>
      </w:r>
      <w:bookmarkEnd w:id="7"/>
      <w:r>
        <w:rPr>
          <w:rFonts w:hint="eastAsia" w:ascii="仿宋" w:hAnsi="仿宋" w:eastAsia="仿宋" w:cs="仿宋"/>
          <w:b/>
          <w:bCs/>
          <w:color w:val="auto"/>
          <w:kern w:val="2"/>
          <w:sz w:val="28"/>
          <w:szCs w:val="28"/>
          <w:highlight w:val="none"/>
          <w:lang w:val="en-US" w:eastAsia="zh-CN" w:bidi="ar-SA"/>
        </w:rPr>
        <w:t>定标</w:t>
      </w:r>
    </w:p>
    <w:p>
      <w:pPr>
        <w:pStyle w:val="38"/>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29.确定中标人。</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29.1采购人应当自收到评标报告之日起</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29.2第一名中标候选人无正当理由放弃中标成交或被取消中标资格的，将上报诸暨市财政局，诸暨市财政局将按《中华人民共和国政府采购法》、《诸暨市招投标市场不良行为记录暂行规定》等有关法律、法规、制度进行处理。</w:t>
      </w:r>
      <w:r>
        <w:rPr>
          <w:rFonts w:hint="eastAsia" w:ascii="仿宋" w:hAnsi="仿宋" w:eastAsia="仿宋" w:cs="仿宋"/>
          <w:b/>
          <w:color w:val="auto"/>
          <w:sz w:val="24"/>
          <w:highlight w:val="none"/>
        </w:rPr>
        <w:t>此标的将另行组织采购</w:t>
      </w:r>
      <w:r>
        <w:rPr>
          <w:rFonts w:hint="eastAsia" w:ascii="仿宋" w:hAnsi="仿宋" w:eastAsia="仿宋" w:cs="仿宋"/>
          <w:color w:val="auto"/>
          <w:sz w:val="24"/>
          <w:highlight w:val="none"/>
        </w:rPr>
        <w:t>。</w:t>
      </w:r>
    </w:p>
    <w:p>
      <w:pPr>
        <w:pStyle w:val="38"/>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30.中标通知与中标结果公告</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30.1采购结果经采购人确认后，采购代理机构将于2个工作日内在浙江省政府采购网上发布中标公告，由采购代理机构通过“政采云”平台确认并签发《中标通知书》。《中标通知书》一经发出即发生法律效力。</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30.2中标结果公告内容包括采购人及其委托的采购代理机构的名称、地址、联系方式，项目名称和项目编号，中标人名称、地址和中标金额，主要中标标的名称、规格型号、数量、单价、服务要求，中标公告期限以及评审专家名单。</w:t>
      </w:r>
    </w:p>
    <w:p>
      <w:pPr>
        <w:pageBreakBefore w:val="0"/>
        <w:widowControl w:val="0"/>
        <w:kinsoku/>
        <w:wordWrap/>
        <w:overflowPunct/>
        <w:topLinePunct w:val="0"/>
        <w:bidi w:val="0"/>
        <w:snapToGrid w:val="0"/>
        <w:spacing w:line="240" w:lineRule="auto"/>
        <w:ind w:firstLine="472" w:firstLineChars="196"/>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 中标无效情形</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中标人存在下列情形之一的，中标无效：</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31.1提供虚假材料谋取中标的；</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31.2采取不正当手段诋毁、排挤其他</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的；</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31.3与采购人、其他</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恶意串通的；</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31.4向采购人、采购代理机构行贿或者提供其他不正当利益的；</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31.5在</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过程中与采购人进行协商谈判；不按照</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和</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文件订立合同或者与采购人另行背离合同实质性内容的协议的；</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31.6拖延、拒签合同的；</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31.7存在法律、法规规定的其它损害采购人或采购单位利益或社会公共利益的情形的</w:t>
      </w:r>
      <w:r>
        <w:rPr>
          <w:rFonts w:hint="eastAsia" w:ascii="仿宋" w:hAnsi="仿宋" w:eastAsia="仿宋" w:cs="仿宋"/>
          <w:color w:val="auto"/>
          <w:sz w:val="24"/>
          <w:szCs w:val="24"/>
          <w:highlight w:val="none"/>
        </w:rPr>
        <w:t>。</w:t>
      </w:r>
    </w:p>
    <w:p>
      <w:pPr>
        <w:pageBreakBefore w:val="0"/>
        <w:widowControl w:val="0"/>
        <w:kinsoku/>
        <w:wordWrap/>
        <w:overflowPunct/>
        <w:topLinePunct w:val="0"/>
        <w:bidi w:val="0"/>
        <w:snapToGrid w:val="0"/>
        <w:spacing w:line="240" w:lineRule="auto"/>
        <w:ind w:firstLine="472" w:firstLineChars="196"/>
        <w:textAlignment w:val="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32.重新</w:t>
      </w:r>
      <w:r>
        <w:rPr>
          <w:rFonts w:hint="eastAsia" w:ascii="仿宋" w:hAnsi="仿宋" w:eastAsia="仿宋" w:cs="仿宋"/>
          <w:b/>
          <w:bCs/>
          <w:color w:val="auto"/>
          <w:sz w:val="24"/>
          <w:highlight w:val="none"/>
          <w:lang w:eastAsia="zh-CN"/>
        </w:rPr>
        <w:t>采购</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投标截止时间及评审期间，出现有效供应商不足3家的，如采购信息已在当地主流媒体公告，</w:t>
      </w:r>
      <w:r>
        <w:rPr>
          <w:rFonts w:hint="eastAsia" w:ascii="仿宋" w:hAnsi="仿宋" w:eastAsia="仿宋" w:cs="仿宋"/>
          <w:color w:val="auto"/>
          <w:sz w:val="24"/>
          <w:highlight w:val="none"/>
          <w:lang w:val="en-US" w:eastAsia="zh-CN"/>
        </w:rPr>
        <w:t>潜在</w:t>
      </w: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val="en-US" w:eastAsia="zh-CN"/>
        </w:rPr>
        <w:t>对采购内容</w:t>
      </w:r>
      <w:r>
        <w:rPr>
          <w:rFonts w:hint="eastAsia" w:ascii="仿宋" w:hAnsi="仿宋" w:eastAsia="仿宋" w:cs="仿宋"/>
          <w:color w:val="auto"/>
          <w:sz w:val="24"/>
          <w:highlight w:val="none"/>
        </w:rPr>
        <w:t>无重大异议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且</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的发售和截止时间符合法定或本文件规定的，可以按原采购方式继续进行采购活动。但出现下列情形的，采购代理机构一般应降低供应商特定资格条件或采购技术标准，重新组织采购活动：</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（1）截止时间止仅有1家供应商参加或评审后只有1家供应商作出实质性响应；</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中已指定了有关产品的品牌且有效响应的品牌不足3个的；</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（3）二分之一以上的评审人员认为供应商报价明显高于市场平均价的；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（4）供应商报价超过预算价的。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若投标方案不能满足</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要求的，将被废标。</w:t>
      </w:r>
    </w:p>
    <w:p>
      <w:pPr>
        <w:pStyle w:val="25"/>
        <w:keepNext w:val="0"/>
        <w:keepLines w:val="0"/>
        <w:pageBreakBefore w:val="0"/>
        <w:widowControl w:val="0"/>
        <w:tabs>
          <w:tab w:val="left" w:pos="90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七、授予合同</w:t>
      </w:r>
    </w:p>
    <w:p>
      <w:pPr>
        <w:pageBreakBefore w:val="0"/>
        <w:widowControl w:val="0"/>
        <w:kinsoku/>
        <w:wordWrap/>
        <w:overflowPunct/>
        <w:topLinePunct w:val="0"/>
        <w:bidi w:val="0"/>
        <w:snapToGrid w:val="0"/>
        <w:spacing w:line="240" w:lineRule="auto"/>
        <w:ind w:firstLine="472" w:firstLineChars="196"/>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33.签订合同</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33.1采购人与中标人应当在《中标通知书》发出之日起30日内签订政府采购合同。</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33.2</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、中标人的</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文件和评标过程中</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的询标时作出的承诺及其澄清文件等作为合同签订的依据和主要附件。</w:t>
      </w:r>
    </w:p>
    <w:p>
      <w:pPr>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33.3采购人对合同内容负责。合同金额200万元及以上的必须由法律顾问根据《</w:t>
      </w:r>
      <w:r>
        <w:rPr>
          <w:rFonts w:hint="eastAsia" w:ascii="仿宋" w:hAnsi="仿宋" w:eastAsia="仿宋" w:cs="仿宋"/>
          <w:b/>
          <w:color w:val="auto"/>
          <w:sz w:val="24"/>
          <w:highlight w:val="none"/>
          <w:lang w:val="en-US" w:eastAsia="zh-CN"/>
        </w:rPr>
        <w:t>中华人民共和国</w:t>
      </w:r>
      <w:r>
        <w:rPr>
          <w:rFonts w:hint="eastAsia" w:ascii="仿宋" w:hAnsi="仿宋" w:eastAsia="仿宋" w:cs="仿宋"/>
          <w:b/>
          <w:color w:val="auto"/>
          <w:sz w:val="24"/>
          <w:highlight w:val="none"/>
        </w:rPr>
        <w:t>政府采购法》、《</w:t>
      </w:r>
      <w:r>
        <w:rPr>
          <w:rFonts w:hint="eastAsia" w:ascii="仿宋" w:hAnsi="仿宋" w:eastAsia="仿宋" w:cs="仿宋"/>
          <w:b/>
          <w:color w:val="auto"/>
          <w:sz w:val="24"/>
          <w:highlight w:val="none"/>
          <w:lang w:val="en-US" w:eastAsia="zh-CN"/>
        </w:rPr>
        <w:t>中华人民共和国</w:t>
      </w:r>
      <w:r>
        <w:rPr>
          <w:rFonts w:hint="eastAsia" w:ascii="仿宋" w:hAnsi="仿宋" w:eastAsia="仿宋" w:cs="仿宋"/>
          <w:b/>
          <w:color w:val="auto"/>
          <w:sz w:val="24"/>
          <w:highlight w:val="none"/>
        </w:rPr>
        <w:t>合同法》对合同条款进行审查，出具法律意见书后方可签订合同。对于合同金额200万元以下的项目，采购单位自行组织审查合同条款。</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33.4合同一式</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rPr>
        <w:t>份，采购单位和中标人各执一份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招标办、</w:t>
      </w:r>
      <w:r>
        <w:rPr>
          <w:rFonts w:hint="eastAsia" w:ascii="仿宋" w:hAnsi="仿宋" w:eastAsia="仿宋" w:cs="仿宋"/>
          <w:color w:val="auto"/>
          <w:sz w:val="24"/>
          <w:highlight w:val="none"/>
          <w:lang w:eastAsia="zh-CN"/>
        </w:rPr>
        <w:t>代理公司存档一份</w:t>
      </w:r>
      <w:r>
        <w:rPr>
          <w:rFonts w:hint="eastAsia" w:ascii="仿宋" w:hAnsi="仿宋" w:eastAsia="仿宋" w:cs="仿宋"/>
          <w:color w:val="auto"/>
          <w:sz w:val="24"/>
          <w:highlight w:val="none"/>
        </w:rPr>
        <w:t>。</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33.5中标人和采购单位不得擅自变更、中止或者终止合同，不得另外订立背离合同实质性内容的其它协议。</w:t>
      </w:r>
    </w:p>
    <w:p>
      <w:pPr>
        <w:pageBreakBefore w:val="0"/>
        <w:widowControl w:val="0"/>
        <w:kinsoku/>
        <w:wordWrap/>
        <w:overflowPunct/>
        <w:topLinePunct w:val="0"/>
        <w:bidi w:val="0"/>
        <w:snapToGrid w:val="0"/>
        <w:spacing w:line="240" w:lineRule="auto"/>
        <w:ind w:firstLine="472" w:firstLineChars="196"/>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34.履约保证金</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34.1中标人应按</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要求向采购人提交履约保证金，履约保证金作为中标人在履行合同合服务承诺的保证。</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34.2中标人应当以支票、汇票、本票等非现金形式提交。中标人在履行完合同约定事项后，采购人应及时退还履约保证金。履约保证金不计息。</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34.3签订合同后，如中标人不按双方合同约定履约，则没收其全部履约保证金，履约保证金不足以赔偿损失的，按实际损失赔偿。</w:t>
      </w:r>
    </w:p>
    <w:p>
      <w:pPr>
        <w:pageBreakBefore w:val="0"/>
        <w:widowControl w:val="0"/>
        <w:kinsoku/>
        <w:wordWrap/>
        <w:overflowPunct/>
        <w:topLinePunct w:val="0"/>
        <w:bidi w:val="0"/>
        <w:snapToGrid w:val="0"/>
        <w:spacing w:line="240" w:lineRule="auto"/>
        <w:ind w:firstLine="472" w:firstLineChars="196"/>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35.合同备案</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采购人应当自采购合同签订之日起七个工作日内，按照有关规定通过政采云系统将采购合同进行网上备案。</w:t>
      </w:r>
    </w:p>
    <w:p>
      <w:pPr>
        <w:pStyle w:val="25"/>
        <w:keepNext w:val="0"/>
        <w:keepLines w:val="0"/>
        <w:pageBreakBefore w:val="0"/>
        <w:widowControl w:val="0"/>
        <w:tabs>
          <w:tab w:val="left" w:pos="90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kern w:val="2"/>
          <w:sz w:val="28"/>
          <w:szCs w:val="28"/>
          <w:highlight w:val="none"/>
          <w:lang w:val="en-US" w:eastAsia="zh-CN" w:bidi="ar-SA"/>
        </w:rPr>
      </w:pPr>
      <w:bookmarkStart w:id="8" w:name="_Toc352165696"/>
      <w:bookmarkStart w:id="9" w:name="_Toc339459646"/>
      <w:bookmarkStart w:id="10" w:name="_Toc125344511"/>
      <w:r>
        <w:rPr>
          <w:rFonts w:hint="eastAsia" w:ascii="仿宋" w:hAnsi="仿宋" w:eastAsia="仿宋" w:cs="仿宋"/>
          <w:b/>
          <w:bCs/>
          <w:color w:val="auto"/>
          <w:kern w:val="2"/>
          <w:sz w:val="28"/>
          <w:szCs w:val="28"/>
          <w:highlight w:val="none"/>
          <w:lang w:val="en-US" w:eastAsia="zh-CN" w:bidi="ar-SA"/>
        </w:rPr>
        <w:t>八、质疑和投诉</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36.1开标过程中，</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对开标有异议的，应当在“政采云”平台上及时提出，评审委员应对异常情况制作相关记录。</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36.2开评标结束后，</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或者其他利害关系人对依法必须进行</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的项目的评标结果有异议的，应在采购结果公告期限结束之日（公告发布之日起至第2日24小时止）起7个工作日内依据招投标相关法律法规向采购人、</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代理机构提出质疑。采购人或</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代理机构将在收到书面质疑后7个工作日内对质疑内容作出答复。若</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对采购人或</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代理机构的答复、处理结果不满意，应在收到采购人或</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代理机构的书面答复后十五个工作日内到</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投标管理部门投诉。</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36.3质疑投诉的相关规定</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（一）质疑投诉递交的资料需为书面材料。质疑投诉书面材料需法人代表人（或负责人）或授权代表签字并加盖公章。</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（二）质疑投诉属于以下情况之一的，将不予受理：</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(1)质疑投诉人不是所投诉项目的参与者，或者与质疑投诉项目无任何利害关系。</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(2)质疑投诉事项不具体，且未提供有效线索，难以查证。</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(3)未提供书面质疑或者质疑未加盖公章的；投诉人为法人或者其他组织，其投诉书未经法定代表人或者主要负责人签字并加盖公章的。</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(4)已超过</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规定质疑投诉提出期限的事项。</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(5)投诉事项已作出处理决定，并且投诉人没有提出新的证据</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(6)质疑投诉的事项已经进入行政复议或者行政诉讼程序的；投诉事项应先提出质疑而没有提出质疑的。</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(7)不符合《政府采购质疑和投诉办法》（财政部令第94号）等有关规定的投诉。</w:t>
      </w:r>
    </w:p>
    <w:bookmarkEnd w:id="8"/>
    <w:bookmarkEnd w:id="9"/>
    <w:p>
      <w:pPr>
        <w:keepNext w:val="0"/>
        <w:keepLines w:val="0"/>
        <w:pageBreakBefore w:val="0"/>
        <w:kinsoku/>
        <w:wordWrap/>
        <w:overflowPunct/>
        <w:topLinePunct w:val="0"/>
        <w:bidi w:val="0"/>
        <w:snapToGrid/>
        <w:spacing w:line="240" w:lineRule="auto"/>
        <w:ind w:left="120" w:leftChars="57" w:firstLine="482" w:firstLineChars="150"/>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15"/>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37</w:t>
      </w:r>
      <w:r>
        <w:rPr>
          <w:rFonts w:hint="eastAsia" w:ascii="仿宋" w:hAnsi="仿宋" w:eastAsia="仿宋" w:cs="仿宋"/>
          <w:b/>
          <w:color w:val="auto"/>
          <w:sz w:val="24"/>
          <w:szCs w:val="24"/>
          <w:highlight w:val="none"/>
        </w:rPr>
        <w:t>.验收</w:t>
      </w:r>
    </w:p>
    <w:p>
      <w:pPr>
        <w:keepNext w:val="0"/>
        <w:keepLines w:val="0"/>
        <w:pageBreakBefore w:val="0"/>
        <w:widowControl w:val="0"/>
        <w:tabs>
          <w:tab w:val="left" w:pos="0"/>
        </w:tabs>
        <w:kinsoku/>
        <w:wordWrap/>
        <w:overflowPunct/>
        <w:topLinePunct w:val="0"/>
        <w:autoSpaceDE w:val="0"/>
        <w:autoSpaceDN w:val="0"/>
        <w:bidi w:val="0"/>
        <w:adjustRightInd w:val="0"/>
        <w:snapToGrid/>
        <w:spacing w:line="24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37</w:t>
      </w:r>
      <w:r>
        <w:rPr>
          <w:rFonts w:hint="eastAsia" w:ascii="仿宋" w:hAnsi="仿宋" w:eastAsia="仿宋" w:cs="仿宋"/>
          <w:color w:val="auto"/>
          <w:kern w:val="0"/>
          <w:sz w:val="24"/>
          <w:szCs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tabs>
          <w:tab w:val="left" w:pos="0"/>
        </w:tabs>
        <w:kinsoku/>
        <w:wordWrap/>
        <w:overflowPunct/>
        <w:topLinePunct w:val="0"/>
        <w:autoSpaceDE w:val="0"/>
        <w:autoSpaceDN w:val="0"/>
        <w:bidi w:val="0"/>
        <w:adjustRightInd w:val="0"/>
        <w:snapToGrid/>
        <w:spacing w:line="24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37</w:t>
      </w:r>
      <w:r>
        <w:rPr>
          <w:rFonts w:hint="eastAsia" w:ascii="仿宋" w:hAnsi="仿宋" w:eastAsia="仿宋" w:cs="仿宋"/>
          <w:color w:val="auto"/>
          <w:kern w:val="0"/>
          <w:sz w:val="24"/>
          <w:szCs w:val="24"/>
          <w:highlight w:val="none"/>
        </w:rPr>
        <w:t>.2采购人可以邀请参加本项目的其他投标人或者第三方机构参与验收。参与验收的投标人或者第三方机构的意见作为验收书的参考资料一并存档。</w:t>
      </w:r>
    </w:p>
    <w:p>
      <w:pPr>
        <w:keepNext w:val="0"/>
        <w:keepLines w:val="0"/>
        <w:pageBreakBefore w:val="0"/>
        <w:widowControl w:val="0"/>
        <w:tabs>
          <w:tab w:val="left" w:pos="0"/>
        </w:tabs>
        <w:kinsoku/>
        <w:wordWrap/>
        <w:overflowPunct/>
        <w:topLinePunct w:val="0"/>
        <w:autoSpaceDE w:val="0"/>
        <w:autoSpaceDN w:val="0"/>
        <w:bidi w:val="0"/>
        <w:adjustRightInd w:val="0"/>
        <w:snapToGrid/>
        <w:spacing w:line="24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37</w:t>
      </w:r>
      <w:r>
        <w:rPr>
          <w:rFonts w:hint="eastAsia" w:ascii="仿宋" w:hAnsi="仿宋" w:eastAsia="仿宋" w:cs="仿宋"/>
          <w:color w:val="auto"/>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tabs>
          <w:tab w:val="left" w:pos="0"/>
        </w:tabs>
        <w:kinsoku/>
        <w:wordWrap/>
        <w:overflowPunct/>
        <w:topLinePunct w:val="0"/>
        <w:autoSpaceDE w:val="0"/>
        <w:autoSpaceDN w:val="0"/>
        <w:bidi w:val="0"/>
        <w:adjustRightInd w:val="0"/>
        <w:snapToGrid/>
        <w:spacing w:line="24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37</w:t>
      </w:r>
      <w:r>
        <w:rPr>
          <w:rFonts w:hint="eastAsia" w:ascii="仿宋" w:hAnsi="仿宋" w:eastAsia="仿宋" w:cs="仿宋"/>
          <w:color w:val="auto"/>
          <w:kern w:val="0"/>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1" w:name="_Hlt68403820"/>
      <w:bookmarkEnd w:id="11"/>
      <w:bookmarkStart w:id="12" w:name="_Hlt68073093"/>
      <w:bookmarkEnd w:id="12"/>
      <w:bookmarkStart w:id="13" w:name="_Hlt74707468"/>
      <w:bookmarkEnd w:id="13"/>
      <w:bookmarkStart w:id="14" w:name="_Hlt68072990"/>
      <w:bookmarkEnd w:id="14"/>
      <w:bookmarkStart w:id="15" w:name="_Hlt74729768"/>
      <w:bookmarkEnd w:id="15"/>
      <w:bookmarkStart w:id="16" w:name="_Hlt75236101"/>
      <w:bookmarkEnd w:id="16"/>
      <w:bookmarkStart w:id="17" w:name="_Hlt68072998"/>
      <w:bookmarkEnd w:id="17"/>
      <w:bookmarkStart w:id="18" w:name="_Hlt75236011"/>
      <w:bookmarkEnd w:id="18"/>
      <w:bookmarkStart w:id="19" w:name="_Hlt68057669"/>
      <w:bookmarkEnd w:id="19"/>
      <w:bookmarkStart w:id="20" w:name="_Hlt74714665"/>
      <w:bookmarkEnd w:id="20"/>
      <w:bookmarkStart w:id="21" w:name="_Hlt74730295"/>
      <w:bookmarkEnd w:id="21"/>
      <w:bookmarkStart w:id="22" w:name="_Hlt75236290"/>
      <w:bookmarkEnd w:id="22"/>
    </w:p>
    <w:p>
      <w:pPr>
        <w:pStyle w:val="3"/>
        <w:pageBreakBefore w:val="0"/>
        <w:widowControl w:val="0"/>
        <w:kinsoku/>
        <w:wordWrap/>
        <w:overflowPunct/>
        <w:topLinePunct w:val="0"/>
        <w:bidi w:val="0"/>
        <w:snapToGrid w:val="0"/>
        <w:spacing w:before="0" w:after="0" w:line="240" w:lineRule="auto"/>
        <w:ind w:firstLine="562" w:firstLineChars="200"/>
        <w:jc w:val="center"/>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十、监督和解释</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本次招标活动接受诸暨市财政局的监督。</w:t>
      </w:r>
    </w:p>
    <w:p>
      <w:pPr>
        <w:pStyle w:val="21"/>
        <w:keepNext w:val="0"/>
        <w:keepLines w:val="0"/>
        <w:pageBreakBefore w:val="0"/>
        <w:widowControl w:val="0"/>
        <w:kinsoku/>
        <w:wordWrap/>
        <w:overflowPunct/>
        <w:topLinePunct w:val="0"/>
        <w:autoSpaceDE w:val="0"/>
        <w:autoSpaceDN w:val="0"/>
        <w:bidi w:val="0"/>
        <w:adjustRightInd w:val="0"/>
        <w:spacing w:line="240" w:lineRule="auto"/>
        <w:ind w:left="0" w:leftChars="0" w:firstLine="482" w:firstLineChars="200"/>
        <w:textAlignment w:val="auto"/>
        <w:rPr>
          <w:rFonts w:hint="eastAsia" w:ascii="仿宋" w:hAnsi="仿宋" w:eastAsia="仿宋" w:cs="仿宋"/>
          <w:color w:val="auto"/>
          <w:highlight w:val="none"/>
          <w:lang w:eastAsia="zh-CN"/>
        </w:rPr>
        <w:sectPr>
          <w:pgSz w:w="11906" w:h="16838"/>
          <w:pgMar w:top="1236" w:right="1236" w:bottom="1236" w:left="1236" w:header="851" w:footer="992" w:gutter="0"/>
          <w:cols w:space="720" w:num="1"/>
          <w:titlePg/>
          <w:docGrid w:linePitch="312" w:charSpace="0"/>
        </w:sectPr>
      </w:pPr>
      <w:r>
        <w:rPr>
          <w:rFonts w:hint="eastAsia" w:ascii="仿宋" w:hAnsi="仿宋" w:eastAsia="仿宋" w:cs="仿宋"/>
          <w:b/>
          <w:bCs/>
          <w:color w:val="auto"/>
          <w:sz w:val="24"/>
          <w:highlight w:val="none"/>
        </w:rPr>
        <w:t>3</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文件的解释权属于采购单位和</w:t>
      </w:r>
      <w:r>
        <w:rPr>
          <w:rFonts w:hint="eastAsia" w:ascii="仿宋" w:hAnsi="仿宋" w:eastAsia="仿宋" w:cs="仿宋"/>
          <w:color w:val="auto"/>
          <w:sz w:val="24"/>
          <w:highlight w:val="none"/>
          <w:lang w:eastAsia="zh-CN"/>
        </w:rPr>
        <w:t>浙江中通通信有限公司。</w:t>
      </w:r>
    </w:p>
    <w:bookmarkEnd w:id="10"/>
    <w:p>
      <w:pPr>
        <w:numPr>
          <w:ilvl w:val="0"/>
          <w:numId w:val="0"/>
        </w:numPr>
        <w:jc w:val="center"/>
        <w:rPr>
          <w:rFonts w:hint="eastAsia" w:ascii="仿宋" w:hAnsi="仿宋" w:eastAsia="仿宋" w:cs="仿宋"/>
        </w:rPr>
      </w:pPr>
      <w:r>
        <w:rPr>
          <w:rFonts w:hint="eastAsia" w:ascii="仿宋" w:hAnsi="仿宋" w:eastAsia="仿宋" w:cs="仿宋"/>
          <w:b/>
          <w:color w:val="auto"/>
          <w:sz w:val="36"/>
          <w:szCs w:val="36"/>
          <w:highlight w:val="none"/>
          <w:lang w:val="en-US" w:eastAsia="zh-CN"/>
        </w:rPr>
        <w:t>第三章</w:t>
      </w:r>
      <w:r>
        <w:rPr>
          <w:rFonts w:hint="eastAsia" w:ascii="仿宋" w:hAnsi="仿宋" w:eastAsia="仿宋" w:cs="仿宋"/>
          <w:b/>
          <w:color w:val="auto"/>
          <w:sz w:val="36"/>
          <w:szCs w:val="36"/>
          <w:highlight w:val="none"/>
        </w:rPr>
        <w:t>评标办法及评分标准</w:t>
      </w:r>
    </w:p>
    <w:p>
      <w:pPr>
        <w:pStyle w:val="59"/>
        <w:rPr>
          <w:rFonts w:hint="eastAsia" w:ascii="仿宋" w:hAnsi="仿宋" w:eastAsia="仿宋" w:cs="仿宋"/>
        </w:rPr>
      </w:pPr>
    </w:p>
    <w:p>
      <w:pPr>
        <w:ind w:firstLine="480" w:firstLineChars="200"/>
        <w:rPr>
          <w:rFonts w:hint="eastAsia" w:ascii="仿宋" w:hAnsi="仿宋" w:eastAsia="仿宋" w:cs="仿宋"/>
          <w:color w:val="auto"/>
          <w:sz w:val="24"/>
        </w:rPr>
      </w:pPr>
      <w:r>
        <w:rPr>
          <w:rFonts w:hint="eastAsia" w:ascii="仿宋" w:hAnsi="仿宋" w:eastAsia="仿宋" w:cs="仿宋"/>
          <w:color w:val="auto"/>
          <w:sz w:val="24"/>
        </w:rPr>
        <w:t>1、采用</w:t>
      </w:r>
      <w:r>
        <w:rPr>
          <w:rFonts w:hint="eastAsia" w:ascii="仿宋" w:hAnsi="仿宋" w:eastAsia="仿宋" w:cs="仿宋"/>
          <w:color w:val="auto"/>
          <w:sz w:val="24"/>
          <w:u w:val="single"/>
        </w:rPr>
        <w:t>　综合评分法　</w:t>
      </w:r>
      <w:r>
        <w:rPr>
          <w:rFonts w:hint="eastAsia" w:ascii="仿宋" w:hAnsi="仿宋" w:eastAsia="仿宋" w:cs="仿宋"/>
          <w:color w:val="auto"/>
          <w:sz w:val="24"/>
        </w:rPr>
        <w:t>。即在符合招标文件要求的前提下，择定最高得分者为第一中标候选人，即预中标人。</w:t>
      </w:r>
    </w:p>
    <w:p>
      <w:pPr>
        <w:ind w:firstLine="480" w:firstLineChars="200"/>
        <w:rPr>
          <w:rFonts w:hint="eastAsia" w:ascii="仿宋" w:hAnsi="仿宋" w:eastAsia="仿宋" w:cs="仿宋"/>
          <w:color w:val="auto"/>
          <w:sz w:val="24"/>
        </w:rPr>
      </w:pPr>
      <w:r>
        <w:rPr>
          <w:rFonts w:hint="eastAsia" w:ascii="仿宋" w:hAnsi="仿宋" w:eastAsia="仿宋" w:cs="仿宋"/>
          <w:color w:val="auto"/>
          <w:sz w:val="24"/>
        </w:rPr>
        <w:t>2、 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cs="仿宋"/>
          <w:bCs/>
          <w:color w:val="auto"/>
          <w:sz w:val="24"/>
        </w:rPr>
        <w:t>评分过程中采用四舍五入</w:t>
      </w:r>
      <w:r>
        <w:rPr>
          <w:rFonts w:hint="eastAsia" w:ascii="仿宋" w:hAnsi="仿宋" w:eastAsia="仿宋" w:cs="仿宋"/>
          <w:color w:val="auto"/>
          <w:sz w:val="24"/>
        </w:rPr>
        <w:t>法，并保留小数2位。</w:t>
      </w:r>
    </w:p>
    <w:p>
      <w:pPr>
        <w:ind w:firstLine="480" w:firstLineChars="200"/>
        <w:rPr>
          <w:rFonts w:hint="eastAsia" w:ascii="仿宋" w:hAnsi="仿宋" w:eastAsia="仿宋" w:cs="仿宋"/>
          <w:color w:val="auto"/>
          <w:sz w:val="24"/>
        </w:rPr>
      </w:pPr>
      <w:r>
        <w:rPr>
          <w:rFonts w:hint="eastAsia" w:ascii="仿宋" w:hAnsi="仿宋" w:eastAsia="仿宋" w:cs="仿宋"/>
          <w:color w:val="auto"/>
          <w:sz w:val="24"/>
        </w:rPr>
        <w:t>3、评分办法</w:t>
      </w:r>
    </w:p>
    <w:p>
      <w:pPr>
        <w:ind w:left="479" w:leftChars="228"/>
        <w:rPr>
          <w:rFonts w:hint="eastAsia" w:ascii="仿宋" w:hAnsi="仿宋" w:eastAsia="仿宋" w:cs="仿宋"/>
          <w:sz w:val="24"/>
        </w:rPr>
      </w:pPr>
      <w:r>
        <w:rPr>
          <w:rFonts w:hint="eastAsia" w:ascii="仿宋" w:hAnsi="仿宋" w:eastAsia="仿宋" w:cs="仿宋"/>
          <w:sz w:val="24"/>
        </w:rPr>
        <w:t>（1）满分为100分。总得分=技术得分+商务得分；</w:t>
      </w:r>
    </w:p>
    <w:p>
      <w:pPr>
        <w:ind w:firstLine="480" w:firstLineChars="200"/>
        <w:rPr>
          <w:rFonts w:hint="eastAsia" w:ascii="仿宋" w:hAnsi="仿宋" w:eastAsia="仿宋" w:cs="仿宋"/>
          <w:sz w:val="24"/>
        </w:rPr>
      </w:pPr>
      <w:r>
        <w:rPr>
          <w:rFonts w:hint="eastAsia" w:ascii="仿宋" w:hAnsi="仿宋" w:eastAsia="仿宋" w:cs="仿宋"/>
          <w:sz w:val="24"/>
        </w:rPr>
        <w:t>（2）技术得分=技术评分，</w:t>
      </w:r>
      <w:r>
        <w:rPr>
          <w:rFonts w:hint="eastAsia" w:ascii="仿宋" w:hAnsi="仿宋" w:eastAsia="仿宋" w:cs="仿宋"/>
          <w:bCs/>
          <w:sz w:val="24"/>
        </w:rPr>
        <w:t>技术评分=所有评委的有效评分的算术平均数</w:t>
      </w:r>
      <w:r>
        <w:rPr>
          <w:rFonts w:hint="eastAsia" w:ascii="仿宋" w:hAnsi="仿宋" w:eastAsia="仿宋" w:cs="仿宋"/>
          <w:sz w:val="24"/>
        </w:rPr>
        <w:t>；</w:t>
      </w:r>
    </w:p>
    <w:p>
      <w:pPr>
        <w:ind w:firstLine="480" w:firstLineChars="200"/>
        <w:rPr>
          <w:rFonts w:hint="eastAsia" w:ascii="仿宋" w:hAnsi="仿宋" w:eastAsia="仿宋" w:cs="仿宋"/>
          <w:sz w:val="24"/>
        </w:rPr>
      </w:pPr>
      <w:r>
        <w:rPr>
          <w:rFonts w:hint="eastAsia" w:ascii="仿宋" w:hAnsi="仿宋" w:eastAsia="仿宋" w:cs="仿宋"/>
          <w:sz w:val="24"/>
        </w:rPr>
        <w:t>（3）商务得分=（评标基准价/投标报价）*价格权值*100，评标基准价=通过技术评审入围的最低</w:t>
      </w:r>
      <w:r>
        <w:rPr>
          <w:rFonts w:hint="eastAsia" w:ascii="仿宋" w:hAnsi="仿宋" w:eastAsia="仿宋" w:cs="仿宋"/>
          <w:sz w:val="24"/>
          <w:lang w:val="en-US" w:eastAsia="zh-CN"/>
        </w:rPr>
        <w:t>有效</w:t>
      </w:r>
      <w:r>
        <w:rPr>
          <w:rFonts w:hint="eastAsia" w:ascii="仿宋" w:hAnsi="仿宋" w:eastAsia="仿宋" w:cs="仿宋"/>
          <w:sz w:val="24"/>
        </w:rPr>
        <w:t>投标报价，价格权值=</w:t>
      </w:r>
      <w:r>
        <w:rPr>
          <w:rFonts w:hint="eastAsia" w:ascii="仿宋" w:hAnsi="仿宋" w:eastAsia="仿宋" w:cs="仿宋"/>
          <w:sz w:val="24"/>
          <w:lang w:val="en-US" w:eastAsia="zh-CN"/>
        </w:rPr>
        <w:t>2</w:t>
      </w:r>
      <w:r>
        <w:rPr>
          <w:rFonts w:hint="eastAsia" w:ascii="仿宋" w:hAnsi="仿宋" w:eastAsia="仿宋" w:cs="仿宋"/>
          <w:sz w:val="24"/>
        </w:rPr>
        <w:t>0%；</w:t>
      </w:r>
    </w:p>
    <w:p>
      <w:pPr>
        <w:ind w:firstLine="480" w:firstLineChars="200"/>
        <w:rPr>
          <w:rFonts w:hint="eastAsia" w:ascii="仿宋" w:hAnsi="仿宋" w:eastAsia="仿宋" w:cs="仿宋"/>
          <w:sz w:val="24"/>
        </w:rPr>
      </w:pPr>
      <w:r>
        <w:rPr>
          <w:rFonts w:hint="eastAsia" w:ascii="仿宋" w:hAnsi="仿宋" w:eastAsia="仿宋" w:cs="仿宋"/>
          <w:sz w:val="24"/>
        </w:rPr>
        <w:t>（4）技术分评分细则（</w:t>
      </w:r>
      <w:r>
        <w:rPr>
          <w:rFonts w:hint="eastAsia" w:ascii="仿宋" w:hAnsi="仿宋" w:eastAsia="仿宋" w:cs="仿宋"/>
          <w:sz w:val="24"/>
          <w:lang w:val="en-US" w:eastAsia="zh-CN"/>
        </w:rPr>
        <w:t>8</w:t>
      </w:r>
      <w:r>
        <w:rPr>
          <w:rFonts w:hint="eastAsia" w:ascii="仿宋" w:hAnsi="仿宋" w:eastAsia="仿宋" w:cs="仿宋"/>
          <w:sz w:val="24"/>
        </w:rPr>
        <w:t>0分）</w:t>
      </w:r>
    </w:p>
    <w:tbl>
      <w:tblPr>
        <w:tblStyle w:val="48"/>
        <w:tblW w:w="101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9"/>
        <w:gridCol w:w="841"/>
        <w:gridCol w:w="7796"/>
        <w:gridCol w:w="8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699"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序号</w:t>
            </w:r>
          </w:p>
        </w:tc>
        <w:tc>
          <w:tcPr>
            <w:tcW w:w="841"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项目</w:t>
            </w:r>
          </w:p>
        </w:tc>
        <w:tc>
          <w:tcPr>
            <w:tcW w:w="7796"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评分标准</w:t>
            </w:r>
          </w:p>
        </w:tc>
        <w:tc>
          <w:tcPr>
            <w:tcW w:w="828"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699" w:type="dxa"/>
            <w:vMerge w:val="restart"/>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1</w:t>
            </w:r>
          </w:p>
        </w:tc>
        <w:tc>
          <w:tcPr>
            <w:tcW w:w="841" w:type="dxa"/>
            <w:vMerge w:val="restart"/>
            <w:vAlign w:val="center"/>
          </w:tcPr>
          <w:p>
            <w:pPr>
              <w:spacing w:line="300" w:lineRule="auto"/>
              <w:jc w:val="center"/>
              <w:rPr>
                <w:rFonts w:ascii="仿宋" w:hAnsi="仿宋" w:eastAsia="仿宋" w:cs="宋体"/>
                <w:b/>
                <w:sz w:val="24"/>
                <w:szCs w:val="24"/>
              </w:rPr>
            </w:pPr>
            <w:r>
              <w:rPr>
                <w:rFonts w:ascii="仿宋" w:hAnsi="仿宋" w:eastAsia="仿宋" w:cs="宋体"/>
                <w:b/>
                <w:sz w:val="24"/>
                <w:szCs w:val="24"/>
              </w:rPr>
              <w:t>企业资信</w:t>
            </w:r>
          </w:p>
        </w:tc>
        <w:tc>
          <w:tcPr>
            <w:tcW w:w="7796" w:type="dxa"/>
            <w:vAlign w:val="center"/>
          </w:tcPr>
          <w:p>
            <w:pPr>
              <w:spacing w:line="300" w:lineRule="auto"/>
              <w:rPr>
                <w:rFonts w:ascii="仿宋" w:hAnsi="仿宋" w:eastAsia="仿宋" w:cs="宋体"/>
                <w:sz w:val="24"/>
                <w:szCs w:val="24"/>
              </w:rPr>
            </w:pPr>
            <w:r>
              <w:rPr>
                <w:rFonts w:hint="eastAsia" w:ascii="仿宋" w:hAnsi="仿宋" w:eastAsia="仿宋" w:cs="宋体"/>
                <w:sz w:val="24"/>
                <w:szCs w:val="24"/>
              </w:rPr>
              <w:t>投标人具有质量管理体系认证、环境管理体系认证、职业健康安全管理体系认证的，每提供1个有效证书得2分，最高得6分。</w:t>
            </w:r>
            <w:r>
              <w:rPr>
                <w:rFonts w:hint="eastAsia" w:ascii="楷体" w:hAnsi="楷体" w:eastAsia="楷体"/>
                <w:sz w:val="24"/>
                <w:szCs w:val="24"/>
              </w:rPr>
              <w:t>（注：商务技术文件中需提供有效期内证书复印件并加盖投标人公章，否则不得分。）</w:t>
            </w:r>
          </w:p>
        </w:tc>
        <w:tc>
          <w:tcPr>
            <w:tcW w:w="828"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5" w:hRule="atLeast"/>
          <w:jc w:val="center"/>
        </w:trPr>
        <w:tc>
          <w:tcPr>
            <w:tcW w:w="699" w:type="dxa"/>
            <w:vMerge w:val="continue"/>
            <w:vAlign w:val="center"/>
          </w:tcPr>
          <w:p>
            <w:pPr>
              <w:spacing w:line="300" w:lineRule="auto"/>
              <w:jc w:val="center"/>
              <w:rPr>
                <w:rFonts w:ascii="仿宋" w:hAnsi="仿宋" w:eastAsia="仿宋" w:cs="宋体"/>
                <w:b/>
                <w:bCs/>
                <w:sz w:val="24"/>
                <w:szCs w:val="24"/>
              </w:rPr>
            </w:pPr>
          </w:p>
        </w:tc>
        <w:tc>
          <w:tcPr>
            <w:tcW w:w="841" w:type="dxa"/>
            <w:vMerge w:val="continue"/>
            <w:vAlign w:val="center"/>
          </w:tcPr>
          <w:p>
            <w:pPr>
              <w:spacing w:line="300" w:lineRule="auto"/>
              <w:jc w:val="center"/>
              <w:rPr>
                <w:rFonts w:ascii="仿宋" w:hAnsi="仿宋" w:eastAsia="仿宋" w:cs="宋体"/>
                <w:b/>
                <w:sz w:val="24"/>
                <w:szCs w:val="24"/>
              </w:rPr>
            </w:pPr>
          </w:p>
        </w:tc>
        <w:tc>
          <w:tcPr>
            <w:tcW w:w="7796" w:type="dxa"/>
            <w:vAlign w:val="center"/>
          </w:tcPr>
          <w:p>
            <w:pPr>
              <w:spacing w:line="300" w:lineRule="auto"/>
              <w:rPr>
                <w:rFonts w:ascii="仿宋" w:hAnsi="仿宋" w:eastAsia="仿宋" w:cs="宋体"/>
                <w:sz w:val="24"/>
                <w:szCs w:val="24"/>
              </w:rPr>
            </w:pPr>
            <w:r>
              <w:rPr>
                <w:rFonts w:hint="eastAsia" w:ascii="仿宋" w:hAnsi="仿宋" w:eastAsia="仿宋" w:cs="宋体"/>
                <w:sz w:val="24"/>
                <w:szCs w:val="24"/>
              </w:rPr>
              <w:t>投标人自20</w:t>
            </w:r>
            <w:r>
              <w:rPr>
                <w:rFonts w:hint="eastAsia" w:ascii="仿宋" w:hAnsi="仿宋" w:eastAsia="仿宋" w:cs="宋体"/>
                <w:sz w:val="24"/>
                <w:szCs w:val="24"/>
                <w:lang w:val="en-US" w:eastAsia="zh-CN"/>
              </w:rPr>
              <w:t>20</w:t>
            </w:r>
            <w:r>
              <w:rPr>
                <w:rFonts w:hint="eastAsia" w:ascii="仿宋" w:hAnsi="仿宋" w:eastAsia="仿宋" w:cs="宋体"/>
                <w:sz w:val="24"/>
                <w:szCs w:val="24"/>
              </w:rPr>
              <w:t>年1月1日以来（以获奖时间为准），获得过市级及以上行业主管部门或行业协会地质灾害工程设计相关奖项或荣誉的，每个得1分，最高得2分。</w:t>
            </w:r>
            <w:r>
              <w:rPr>
                <w:rFonts w:hint="eastAsia" w:ascii="楷体" w:hAnsi="楷体" w:eastAsia="楷体"/>
                <w:sz w:val="24"/>
                <w:szCs w:val="24"/>
              </w:rPr>
              <w:t>（注：商务技术文件中需提供相关证明材料复印件并加盖投标人公章，否则不得分。）</w:t>
            </w:r>
          </w:p>
        </w:tc>
        <w:tc>
          <w:tcPr>
            <w:tcW w:w="828"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699"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2</w:t>
            </w:r>
          </w:p>
        </w:tc>
        <w:tc>
          <w:tcPr>
            <w:tcW w:w="841" w:type="dxa"/>
            <w:vAlign w:val="center"/>
          </w:tcPr>
          <w:p>
            <w:pPr>
              <w:spacing w:line="300" w:lineRule="auto"/>
              <w:jc w:val="center"/>
              <w:rPr>
                <w:rFonts w:ascii="仿宋" w:hAnsi="仿宋" w:eastAsia="仿宋" w:cs="宋体"/>
                <w:b/>
                <w:sz w:val="24"/>
                <w:szCs w:val="24"/>
              </w:rPr>
            </w:pPr>
            <w:r>
              <w:rPr>
                <w:rFonts w:ascii="仿宋" w:hAnsi="仿宋" w:eastAsia="仿宋" w:cs="宋体"/>
                <w:b/>
                <w:sz w:val="24"/>
                <w:szCs w:val="24"/>
              </w:rPr>
              <w:t>业绩</w:t>
            </w:r>
          </w:p>
          <w:p>
            <w:pPr>
              <w:spacing w:line="300" w:lineRule="auto"/>
              <w:jc w:val="center"/>
              <w:rPr>
                <w:rFonts w:ascii="仿宋" w:hAnsi="仿宋" w:eastAsia="仿宋" w:cs="宋体"/>
                <w:b/>
                <w:sz w:val="24"/>
                <w:szCs w:val="24"/>
              </w:rPr>
            </w:pPr>
            <w:r>
              <w:rPr>
                <w:rFonts w:ascii="仿宋" w:hAnsi="仿宋" w:eastAsia="仿宋" w:cs="宋体"/>
                <w:b/>
                <w:sz w:val="24"/>
                <w:szCs w:val="24"/>
              </w:rPr>
              <w:t>经验</w:t>
            </w:r>
          </w:p>
        </w:tc>
        <w:tc>
          <w:tcPr>
            <w:tcW w:w="7796" w:type="dxa"/>
            <w:vAlign w:val="center"/>
          </w:tcPr>
          <w:p>
            <w:pPr>
              <w:spacing w:line="300" w:lineRule="auto"/>
              <w:rPr>
                <w:rFonts w:ascii="仿宋" w:hAnsi="仿宋" w:eastAsia="仿宋" w:cs="宋体"/>
                <w:sz w:val="24"/>
                <w:szCs w:val="24"/>
              </w:rPr>
            </w:pPr>
            <w:r>
              <w:rPr>
                <w:rFonts w:hint="eastAsia" w:ascii="仿宋" w:hAnsi="仿宋" w:eastAsia="仿宋" w:cs="宋体"/>
                <w:sz w:val="24"/>
                <w:szCs w:val="24"/>
              </w:rPr>
              <w:t>投标人自202</w:t>
            </w:r>
            <w:r>
              <w:rPr>
                <w:rFonts w:hint="eastAsia" w:ascii="仿宋" w:hAnsi="仿宋" w:eastAsia="仿宋" w:cs="宋体"/>
                <w:sz w:val="24"/>
                <w:szCs w:val="24"/>
                <w:lang w:val="en-US" w:eastAsia="zh-CN"/>
              </w:rPr>
              <w:t>1</w:t>
            </w:r>
            <w:r>
              <w:rPr>
                <w:rFonts w:hint="eastAsia" w:ascii="仿宋" w:hAnsi="仿宋" w:eastAsia="仿宋" w:cs="宋体"/>
                <w:sz w:val="24"/>
                <w:szCs w:val="24"/>
              </w:rPr>
              <w:t>年1月1日至今（以合同签订时间为准），具有承接过地质灾害治理工程设计服务的项目业绩，每提供1个业绩合同得1分，最高得2分。</w:t>
            </w:r>
            <w:r>
              <w:rPr>
                <w:rFonts w:hint="eastAsia" w:ascii="楷体" w:hAnsi="楷体" w:eastAsia="楷体"/>
                <w:sz w:val="24"/>
                <w:szCs w:val="24"/>
              </w:rPr>
              <w:t>（注：商务技术文件中需提供合同（包括但不限于合同内容、双方签字盖章、签署时间；若合同内容不能体现相关信息的，还需提供合同业主盖章的证明材料）复印件并加盖投标人公章，否则不得分。）</w:t>
            </w:r>
          </w:p>
        </w:tc>
        <w:tc>
          <w:tcPr>
            <w:tcW w:w="828"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5" w:hRule="atLeast"/>
          <w:jc w:val="center"/>
        </w:trPr>
        <w:tc>
          <w:tcPr>
            <w:tcW w:w="699"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3</w:t>
            </w:r>
          </w:p>
        </w:tc>
        <w:tc>
          <w:tcPr>
            <w:tcW w:w="841" w:type="dxa"/>
            <w:vAlign w:val="center"/>
          </w:tcPr>
          <w:p>
            <w:pPr>
              <w:spacing w:line="300" w:lineRule="auto"/>
              <w:jc w:val="center"/>
              <w:rPr>
                <w:rFonts w:ascii="仿宋" w:hAnsi="仿宋" w:eastAsia="仿宋" w:cs="宋体"/>
                <w:b/>
                <w:sz w:val="24"/>
                <w:szCs w:val="24"/>
              </w:rPr>
            </w:pPr>
            <w:r>
              <w:rPr>
                <w:rFonts w:ascii="仿宋" w:hAnsi="仿宋" w:eastAsia="仿宋" w:cs="宋体"/>
                <w:b/>
                <w:bCs/>
                <w:sz w:val="24"/>
                <w:szCs w:val="24"/>
              </w:rPr>
              <w:t>项目人员配备情况</w:t>
            </w:r>
          </w:p>
        </w:tc>
        <w:tc>
          <w:tcPr>
            <w:tcW w:w="7796" w:type="dxa"/>
            <w:vAlign w:val="center"/>
          </w:tcPr>
          <w:p>
            <w:pPr>
              <w:spacing w:line="300" w:lineRule="auto"/>
              <w:rPr>
                <w:rFonts w:ascii="仿宋" w:hAnsi="仿宋" w:eastAsia="仿宋" w:cs="宋体"/>
                <w:bCs/>
                <w:sz w:val="24"/>
                <w:szCs w:val="24"/>
              </w:rPr>
            </w:pPr>
            <w:r>
              <w:rPr>
                <w:rFonts w:hint="eastAsia" w:ascii="仿宋" w:hAnsi="仿宋" w:eastAsia="仿宋" w:cs="宋体"/>
                <w:bCs/>
                <w:sz w:val="24"/>
                <w:szCs w:val="24"/>
              </w:rPr>
              <w:t>根据投标人拟派项目组人员配备情况进行打分：</w:t>
            </w:r>
          </w:p>
          <w:p>
            <w:pPr>
              <w:spacing w:line="300" w:lineRule="auto"/>
              <w:rPr>
                <w:rFonts w:ascii="仿宋" w:hAnsi="仿宋" w:eastAsia="仿宋" w:cs="宋体"/>
                <w:b/>
                <w:bCs/>
                <w:sz w:val="24"/>
                <w:szCs w:val="24"/>
              </w:rPr>
            </w:pPr>
            <w:r>
              <w:rPr>
                <w:rFonts w:hint="eastAsia" w:ascii="仿宋" w:hAnsi="仿宋" w:eastAsia="仿宋" w:cs="宋体"/>
                <w:b/>
                <w:bCs/>
                <w:sz w:val="24"/>
                <w:szCs w:val="24"/>
              </w:rPr>
              <w:t>（1）项目负责人：</w:t>
            </w:r>
            <w:r>
              <w:rPr>
                <w:rFonts w:hint="eastAsia" w:ascii="仿宋" w:hAnsi="仿宋" w:eastAsia="仿宋" w:cs="宋体"/>
                <w:bCs/>
                <w:sz w:val="24"/>
                <w:szCs w:val="24"/>
              </w:rPr>
              <w:t>具有岩土工程或水文地质或工程地质或环境地质或结构工程高级工程师职称的得5分。</w:t>
            </w:r>
          </w:p>
          <w:p>
            <w:pPr>
              <w:spacing w:line="300" w:lineRule="auto"/>
              <w:rPr>
                <w:rFonts w:ascii="仿宋" w:hAnsi="仿宋" w:eastAsia="仿宋" w:cs="宋体"/>
                <w:b/>
                <w:bCs/>
                <w:sz w:val="24"/>
                <w:szCs w:val="24"/>
              </w:rPr>
            </w:pPr>
            <w:r>
              <w:rPr>
                <w:rFonts w:hint="eastAsia" w:ascii="仿宋" w:hAnsi="仿宋" w:eastAsia="仿宋" w:cs="宋体"/>
                <w:b/>
                <w:bCs/>
                <w:sz w:val="24"/>
                <w:szCs w:val="24"/>
              </w:rPr>
              <w:t>（2）项目组其他人员（不含项目负责人）：</w:t>
            </w:r>
            <w:r>
              <w:rPr>
                <w:rFonts w:hint="eastAsia" w:ascii="仿宋" w:hAnsi="仿宋" w:eastAsia="仿宋" w:cs="宋体"/>
                <w:bCs/>
                <w:sz w:val="24"/>
                <w:szCs w:val="24"/>
              </w:rPr>
              <w:t>具有岩土工程或水文地质或工程地质或环境地质或结构工程中级及以上工程师职称的，每人得4分，最高得12分</w:t>
            </w:r>
            <w:r>
              <w:rPr>
                <w:rFonts w:hint="eastAsia" w:ascii="仿宋" w:hAnsi="仿宋" w:eastAsia="仿宋" w:cs="仿宋_GB2312"/>
                <w:bCs/>
                <w:sz w:val="24"/>
                <w:szCs w:val="24"/>
              </w:rPr>
              <w:t>（</w:t>
            </w:r>
            <w:r>
              <w:rPr>
                <w:rFonts w:hint="eastAsia" w:ascii="楷体" w:hAnsi="楷体" w:eastAsia="楷体"/>
                <w:sz w:val="24"/>
                <w:szCs w:val="24"/>
              </w:rPr>
              <w:t>同一人不重复计分</w:t>
            </w:r>
            <w:r>
              <w:rPr>
                <w:rFonts w:hint="eastAsia" w:ascii="仿宋" w:hAnsi="仿宋" w:eastAsia="仿宋" w:cs="仿宋_GB2312"/>
                <w:bCs/>
                <w:sz w:val="24"/>
                <w:szCs w:val="24"/>
              </w:rPr>
              <w:t>）。</w:t>
            </w:r>
          </w:p>
          <w:p>
            <w:pPr>
              <w:spacing w:line="300" w:lineRule="auto"/>
              <w:rPr>
                <w:rFonts w:ascii="仿宋" w:hAnsi="仿宋" w:eastAsia="仿宋" w:cs="宋体"/>
                <w:sz w:val="24"/>
                <w:szCs w:val="24"/>
              </w:rPr>
            </w:pPr>
            <w:r>
              <w:rPr>
                <w:rFonts w:hint="eastAsia" w:ascii="楷体" w:hAnsi="楷体" w:eastAsia="楷体"/>
                <w:sz w:val="24"/>
                <w:szCs w:val="24"/>
              </w:rPr>
              <w:t>（注：商务技术文件中需提供人员相关证书复印件以及投标人为其缴纳的近3个月社保证明</w:t>
            </w:r>
            <w:r>
              <w:rPr>
                <w:rFonts w:ascii="楷体" w:hAnsi="楷体" w:eastAsia="楷体"/>
                <w:sz w:val="24"/>
                <w:szCs w:val="24"/>
              </w:rPr>
              <w:t>（社保缴纳证明以社保机构出具的社保证明为准；</w:t>
            </w:r>
            <w:r>
              <w:rPr>
                <w:rFonts w:hint="eastAsia" w:ascii="楷体" w:hAnsi="楷体" w:eastAsia="楷体"/>
                <w:sz w:val="24"/>
                <w:szCs w:val="24"/>
              </w:rPr>
              <w:t>具有事业双重性质的单位人员社保情况需出具主管部门的意见，视同投标人缴纳</w:t>
            </w:r>
            <w:r>
              <w:rPr>
                <w:rFonts w:ascii="楷体" w:hAnsi="楷体" w:eastAsia="楷体"/>
                <w:sz w:val="24"/>
                <w:szCs w:val="24"/>
              </w:rPr>
              <w:t>）</w:t>
            </w:r>
            <w:r>
              <w:rPr>
                <w:rFonts w:hint="eastAsia" w:ascii="楷体" w:hAnsi="楷体" w:eastAsia="楷体"/>
                <w:sz w:val="24"/>
                <w:szCs w:val="24"/>
              </w:rPr>
              <w:t>；以上证明材料均需加盖投标人公章，不提供或提供不全的不得分。）</w:t>
            </w:r>
          </w:p>
        </w:tc>
        <w:tc>
          <w:tcPr>
            <w:tcW w:w="828"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17分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699" w:type="dxa"/>
            <w:vMerge w:val="restart"/>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4</w:t>
            </w:r>
          </w:p>
        </w:tc>
        <w:tc>
          <w:tcPr>
            <w:tcW w:w="841" w:type="dxa"/>
            <w:vMerge w:val="restart"/>
            <w:vAlign w:val="center"/>
          </w:tcPr>
          <w:p>
            <w:pPr>
              <w:spacing w:line="300" w:lineRule="auto"/>
              <w:jc w:val="center"/>
              <w:rPr>
                <w:rFonts w:ascii="仿宋" w:hAnsi="仿宋" w:eastAsia="仿宋" w:cs="宋体"/>
                <w:b/>
                <w:bCs/>
                <w:sz w:val="24"/>
                <w:szCs w:val="24"/>
              </w:rPr>
            </w:pPr>
            <w:r>
              <w:rPr>
                <w:rFonts w:ascii="仿宋" w:hAnsi="仿宋" w:eastAsia="仿宋" w:cs="宋体"/>
                <w:b/>
                <w:bCs/>
                <w:sz w:val="24"/>
                <w:szCs w:val="24"/>
              </w:rPr>
              <w:t>项目的了解与分析</w:t>
            </w:r>
          </w:p>
        </w:tc>
        <w:tc>
          <w:tcPr>
            <w:tcW w:w="7796" w:type="dxa"/>
            <w:vAlign w:val="center"/>
          </w:tcPr>
          <w:p>
            <w:pPr>
              <w:spacing w:line="300" w:lineRule="auto"/>
              <w:rPr>
                <w:rFonts w:ascii="仿宋" w:hAnsi="仿宋" w:eastAsia="仿宋" w:cs="宋体"/>
                <w:b/>
                <w:bCs/>
                <w:sz w:val="24"/>
                <w:szCs w:val="24"/>
              </w:rPr>
            </w:pPr>
            <w:r>
              <w:rPr>
                <w:rFonts w:hint="eastAsia" w:ascii="仿宋" w:hAnsi="仿宋" w:eastAsia="仿宋"/>
                <w:bCs/>
                <w:sz w:val="24"/>
                <w:szCs w:val="24"/>
              </w:rPr>
              <w:t>根据</w:t>
            </w:r>
            <w:r>
              <w:rPr>
                <w:rFonts w:hint="eastAsia" w:ascii="仿宋" w:hAnsi="仿宋" w:eastAsia="仿宋" w:cs="宋体"/>
                <w:sz w:val="24"/>
              </w:rPr>
              <w:t>投标人对本项目的理解和熟悉程度，</w:t>
            </w:r>
            <w:r>
              <w:rPr>
                <w:rFonts w:hint="eastAsia" w:ascii="仿宋" w:hAnsi="仿宋" w:eastAsia="仿宋"/>
                <w:bCs/>
                <w:sz w:val="24"/>
                <w:szCs w:val="24"/>
              </w:rPr>
              <w:t>对暨南街道地质环境条件和地质灾害防治现状阐述的全面性、合理性进行综合评价。</w:t>
            </w:r>
            <w:r>
              <w:rPr>
                <w:rFonts w:hint="eastAsia" w:ascii="仿宋" w:hAnsi="仿宋" w:eastAsia="仿宋" w:cs="仿宋"/>
                <w:sz w:val="24"/>
                <w:szCs w:val="24"/>
                <w:lang w:val="zh-CN"/>
              </w:rPr>
              <w:t>（分析阐述全面合理、明确的得3分；分析阐述存在缺陷但基本全面、合理的得2分；</w:t>
            </w:r>
            <w:r>
              <w:rPr>
                <w:rFonts w:hint="eastAsia" w:ascii="仿宋" w:hAnsi="仿宋" w:eastAsia="仿宋" w:cs="宋体"/>
                <w:sz w:val="24"/>
                <w:szCs w:val="24"/>
              </w:rPr>
              <w:t>分析阐述过于粗略，层次不清晰，缺陷较多或与项目切合较差的得1分</w:t>
            </w:r>
            <w:r>
              <w:rPr>
                <w:rFonts w:hint="eastAsia" w:ascii="仿宋" w:hAnsi="仿宋" w:eastAsia="仿宋" w:cs="仿宋"/>
                <w:sz w:val="24"/>
                <w:szCs w:val="24"/>
                <w:lang w:val="zh-CN"/>
              </w:rPr>
              <w:t>；无相关内容阐述或不符合项目的不得分。）</w:t>
            </w:r>
          </w:p>
        </w:tc>
        <w:tc>
          <w:tcPr>
            <w:tcW w:w="828"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7" w:hRule="atLeast"/>
          <w:jc w:val="center"/>
        </w:trPr>
        <w:tc>
          <w:tcPr>
            <w:tcW w:w="699" w:type="dxa"/>
            <w:vMerge w:val="continue"/>
            <w:vAlign w:val="center"/>
          </w:tcPr>
          <w:p>
            <w:pPr>
              <w:spacing w:line="300" w:lineRule="auto"/>
              <w:jc w:val="center"/>
              <w:rPr>
                <w:rFonts w:ascii="仿宋" w:hAnsi="仿宋" w:eastAsia="仿宋" w:cs="宋体"/>
                <w:b/>
                <w:bCs/>
                <w:sz w:val="24"/>
                <w:szCs w:val="24"/>
              </w:rPr>
            </w:pPr>
          </w:p>
        </w:tc>
        <w:tc>
          <w:tcPr>
            <w:tcW w:w="841" w:type="dxa"/>
            <w:vMerge w:val="continue"/>
            <w:vAlign w:val="center"/>
          </w:tcPr>
          <w:p>
            <w:pPr>
              <w:spacing w:line="300" w:lineRule="auto"/>
              <w:jc w:val="center"/>
              <w:rPr>
                <w:rFonts w:ascii="仿宋" w:hAnsi="仿宋" w:eastAsia="仿宋" w:cs="宋体"/>
                <w:b/>
                <w:bCs/>
                <w:sz w:val="24"/>
                <w:szCs w:val="24"/>
              </w:rPr>
            </w:pPr>
          </w:p>
        </w:tc>
        <w:tc>
          <w:tcPr>
            <w:tcW w:w="7796" w:type="dxa"/>
            <w:vAlign w:val="center"/>
          </w:tcPr>
          <w:p>
            <w:pPr>
              <w:spacing w:line="300" w:lineRule="auto"/>
              <w:rPr>
                <w:rFonts w:ascii="仿宋" w:hAnsi="仿宋" w:eastAsia="仿宋" w:cs="宋体"/>
                <w:b/>
                <w:bCs/>
                <w:sz w:val="24"/>
                <w:szCs w:val="24"/>
              </w:rPr>
            </w:pPr>
            <w:r>
              <w:rPr>
                <w:rFonts w:hint="eastAsia" w:ascii="仿宋" w:hAnsi="仿宋" w:eastAsia="仿宋" w:cs="宋体"/>
                <w:color w:val="000000" w:themeColor="text1"/>
                <w:sz w:val="24"/>
              </w:rPr>
              <w:t>投标人结合项目背景、现状及需求，对项目实施重点、难点、关键技术问题进行分析并提出应对措施，评委根据分析和应对措施的全面性、有效性进行综合评价。</w:t>
            </w:r>
            <w:r>
              <w:rPr>
                <w:rFonts w:hint="eastAsia" w:ascii="仿宋" w:hAnsi="仿宋" w:eastAsia="仿宋" w:cs="仿宋"/>
                <w:color w:val="000000" w:themeColor="text1"/>
                <w:sz w:val="24"/>
                <w:szCs w:val="24"/>
                <w:lang w:val="zh-CN"/>
              </w:rPr>
              <w:t>（分析全面合理，措施有效的得</w:t>
            </w:r>
            <w:r>
              <w:rPr>
                <w:rFonts w:hint="eastAsia" w:ascii="仿宋" w:hAnsi="仿宋" w:eastAsia="仿宋" w:cs="宋体"/>
                <w:sz w:val="24"/>
                <w:szCs w:val="24"/>
              </w:rPr>
              <w:t>3</w:t>
            </w:r>
            <w:r>
              <w:rPr>
                <w:rFonts w:hint="eastAsia" w:ascii="仿宋" w:hAnsi="仿宋" w:eastAsia="仿宋" w:cs="仿宋"/>
                <w:color w:val="000000" w:themeColor="text1"/>
                <w:sz w:val="24"/>
                <w:szCs w:val="24"/>
                <w:lang w:val="zh-CN"/>
              </w:rPr>
              <w:t>分；分析存在缺陷但基本全面合理，措施基本有效的得</w:t>
            </w:r>
            <w:r>
              <w:rPr>
                <w:rFonts w:hint="eastAsia" w:ascii="仿宋" w:hAnsi="仿宋" w:eastAsia="仿宋" w:cs="宋体"/>
                <w:sz w:val="24"/>
                <w:szCs w:val="24"/>
              </w:rPr>
              <w:t>2</w:t>
            </w:r>
            <w:r>
              <w:rPr>
                <w:rFonts w:hint="eastAsia" w:ascii="仿宋" w:hAnsi="仿宋" w:eastAsia="仿宋" w:cs="仿宋"/>
                <w:color w:val="000000" w:themeColor="text1"/>
                <w:sz w:val="24"/>
                <w:szCs w:val="24"/>
                <w:lang w:val="zh-CN"/>
              </w:rPr>
              <w:t>分；分析粗略，缺陷较多，措施有效性较弱的得</w:t>
            </w:r>
            <w:r>
              <w:rPr>
                <w:rFonts w:hint="eastAsia" w:ascii="仿宋" w:hAnsi="仿宋" w:eastAsia="仿宋" w:cs="宋体"/>
                <w:sz w:val="24"/>
                <w:szCs w:val="24"/>
              </w:rPr>
              <w:t>1</w:t>
            </w:r>
            <w:r>
              <w:rPr>
                <w:rFonts w:hint="eastAsia" w:ascii="仿宋" w:hAnsi="仿宋" w:eastAsia="仿宋" w:cs="仿宋"/>
                <w:color w:val="000000" w:themeColor="text1"/>
                <w:sz w:val="24"/>
                <w:szCs w:val="24"/>
                <w:lang w:val="zh-CN"/>
              </w:rPr>
              <w:t>分；无相关内容阐述或不符合项目的不得分。）</w:t>
            </w:r>
          </w:p>
        </w:tc>
        <w:tc>
          <w:tcPr>
            <w:tcW w:w="828"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699" w:type="dxa"/>
            <w:vMerge w:val="restart"/>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5</w:t>
            </w:r>
          </w:p>
        </w:tc>
        <w:tc>
          <w:tcPr>
            <w:tcW w:w="841" w:type="dxa"/>
            <w:vMerge w:val="restart"/>
            <w:vAlign w:val="center"/>
          </w:tcPr>
          <w:p>
            <w:pPr>
              <w:spacing w:line="300" w:lineRule="auto"/>
              <w:jc w:val="center"/>
              <w:rPr>
                <w:rFonts w:ascii="仿宋" w:hAnsi="仿宋" w:eastAsia="仿宋" w:cs="宋体"/>
                <w:b/>
                <w:bCs/>
                <w:sz w:val="24"/>
                <w:szCs w:val="24"/>
              </w:rPr>
            </w:pPr>
            <w:r>
              <w:rPr>
                <w:rFonts w:ascii="仿宋" w:hAnsi="仿宋" w:eastAsia="仿宋" w:cs="宋体"/>
                <w:b/>
                <w:bCs/>
                <w:sz w:val="24"/>
                <w:szCs w:val="24"/>
              </w:rPr>
              <w:t>技术方案</w:t>
            </w:r>
          </w:p>
        </w:tc>
        <w:tc>
          <w:tcPr>
            <w:tcW w:w="7796" w:type="dxa"/>
            <w:vAlign w:val="center"/>
          </w:tcPr>
          <w:p>
            <w:pPr>
              <w:spacing w:line="300" w:lineRule="auto"/>
              <w:rPr>
                <w:rFonts w:ascii="仿宋" w:hAnsi="仿宋" w:eastAsia="仿宋" w:cs="宋体"/>
                <w:color w:val="000000" w:themeColor="text1"/>
                <w:sz w:val="24"/>
              </w:rPr>
            </w:pPr>
            <w:r>
              <w:rPr>
                <w:rFonts w:hint="eastAsia" w:ascii="仿宋" w:hAnsi="仿宋" w:eastAsia="仿宋" w:cs="宋体"/>
                <w:sz w:val="24"/>
                <w:szCs w:val="24"/>
              </w:rPr>
              <w:t>根据投标人对本项目组织实施是否具有完备的管理组织、实施规范，包括组织架构设立是否完善、管理组织运作机制（包括内部校审制度等）是否明确合理、可行，由评委进行综合评价。</w:t>
            </w:r>
            <w:r>
              <w:rPr>
                <w:rFonts w:hint="eastAsia" w:ascii="仿宋" w:hAnsi="仿宋" w:eastAsia="仿宋" w:cs="宋体"/>
                <w:sz w:val="24"/>
              </w:rPr>
              <w:t>（管理组织设立完善，运作机制明确，合理可行的得</w:t>
            </w:r>
            <w:r>
              <w:rPr>
                <w:rFonts w:hint="eastAsia" w:ascii="仿宋" w:hAnsi="仿宋" w:eastAsia="仿宋" w:cs="宋体"/>
                <w:sz w:val="24"/>
                <w:szCs w:val="24"/>
              </w:rPr>
              <w:t>[</w:t>
            </w:r>
            <w:r>
              <w:rPr>
                <w:rFonts w:ascii="仿宋" w:hAnsi="仿宋" w:eastAsia="仿宋" w:cs="宋体"/>
                <w:sz w:val="24"/>
                <w:szCs w:val="24"/>
              </w:rPr>
              <w:t>5</w:t>
            </w:r>
            <w:r>
              <w:rPr>
                <w:rFonts w:hint="eastAsia" w:ascii="仿宋" w:hAnsi="仿宋" w:eastAsia="仿宋" w:cs="宋体"/>
                <w:sz w:val="24"/>
                <w:szCs w:val="24"/>
              </w:rPr>
              <w:t>,6]</w:t>
            </w:r>
            <w:r>
              <w:rPr>
                <w:rFonts w:hint="eastAsia" w:ascii="仿宋" w:hAnsi="仿宋" w:eastAsia="仿宋" w:cs="宋体"/>
                <w:sz w:val="24"/>
              </w:rPr>
              <w:t>分；管理组织设立或运作机制有欠缺，但基本合理可行的得</w:t>
            </w: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,4]</w:t>
            </w:r>
            <w:r>
              <w:rPr>
                <w:rFonts w:hint="eastAsia" w:ascii="仿宋" w:hAnsi="仿宋" w:eastAsia="仿宋" w:cs="宋体"/>
                <w:sz w:val="24"/>
              </w:rPr>
              <w:t>分；管理组织设立或运作机制粗略、不够明确，欠缺合理性、可行性较弱的得</w:t>
            </w:r>
            <w:r>
              <w:rPr>
                <w:rFonts w:hint="eastAsia" w:ascii="仿宋" w:hAnsi="仿宋" w:eastAsia="仿宋" w:cs="宋体"/>
                <w:sz w:val="24"/>
                <w:szCs w:val="24"/>
              </w:rPr>
              <w:t>[1,2]</w:t>
            </w:r>
            <w:r>
              <w:rPr>
                <w:rFonts w:hint="eastAsia" w:ascii="仿宋" w:hAnsi="仿宋" w:eastAsia="仿宋" w:cs="宋体"/>
                <w:sz w:val="24"/>
              </w:rPr>
              <w:t>分；无相关内容阐述或不符合项目的不得分。）</w:t>
            </w:r>
          </w:p>
        </w:tc>
        <w:tc>
          <w:tcPr>
            <w:tcW w:w="828"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699" w:type="dxa"/>
            <w:vMerge w:val="continue"/>
            <w:vAlign w:val="center"/>
          </w:tcPr>
          <w:p>
            <w:pPr>
              <w:spacing w:line="300" w:lineRule="auto"/>
              <w:jc w:val="center"/>
              <w:rPr>
                <w:rFonts w:ascii="仿宋" w:hAnsi="仿宋" w:eastAsia="仿宋" w:cs="宋体"/>
                <w:b/>
                <w:bCs/>
                <w:sz w:val="24"/>
                <w:szCs w:val="24"/>
              </w:rPr>
            </w:pPr>
          </w:p>
        </w:tc>
        <w:tc>
          <w:tcPr>
            <w:tcW w:w="841" w:type="dxa"/>
            <w:vMerge w:val="continue"/>
            <w:vAlign w:val="center"/>
          </w:tcPr>
          <w:p>
            <w:pPr>
              <w:spacing w:line="300" w:lineRule="auto"/>
              <w:jc w:val="center"/>
              <w:rPr>
                <w:rFonts w:ascii="仿宋" w:hAnsi="仿宋" w:eastAsia="仿宋" w:cs="宋体"/>
                <w:b/>
                <w:bCs/>
                <w:sz w:val="24"/>
                <w:szCs w:val="24"/>
              </w:rPr>
            </w:pPr>
          </w:p>
        </w:tc>
        <w:tc>
          <w:tcPr>
            <w:tcW w:w="7796" w:type="dxa"/>
            <w:vAlign w:val="center"/>
          </w:tcPr>
          <w:p>
            <w:pPr>
              <w:spacing w:line="300" w:lineRule="auto"/>
              <w:rPr>
                <w:rFonts w:ascii="仿宋" w:hAnsi="仿宋" w:eastAsia="仿宋" w:cs="宋体"/>
                <w:sz w:val="24"/>
                <w:szCs w:val="24"/>
              </w:rPr>
            </w:pPr>
            <w:r>
              <w:rPr>
                <w:rFonts w:hint="eastAsia" w:ascii="仿宋" w:hAnsi="仿宋" w:eastAsia="仿宋" w:cs="宋体"/>
                <w:sz w:val="24"/>
                <w:szCs w:val="24"/>
              </w:rPr>
              <w:t>根据投标人对本项目系统总体要求的理解、设计思路是否清晰、</w:t>
            </w:r>
            <w:r>
              <w:rPr>
                <w:rFonts w:ascii="仿宋" w:hAnsi="仿宋" w:eastAsia="仿宋"/>
                <w:snapToGrid w:val="0"/>
                <w:kern w:val="0"/>
                <w:sz w:val="24"/>
              </w:rPr>
              <w:t>整体工作阶段及任务划分、</w:t>
            </w:r>
            <w:r>
              <w:rPr>
                <w:rFonts w:hint="eastAsia" w:ascii="仿宋" w:hAnsi="仿宋" w:eastAsia="仿宋" w:cs="宋体"/>
                <w:sz w:val="24"/>
                <w:szCs w:val="24"/>
              </w:rPr>
              <w:t>技术路线、工作方式方法等</w:t>
            </w:r>
            <w:r>
              <w:rPr>
                <w:rFonts w:hint="eastAsia" w:ascii="仿宋" w:hAnsi="仿宋" w:eastAsia="仿宋" w:cs="宋体"/>
                <w:sz w:val="24"/>
              </w:rPr>
              <w:t>是否详细明确、合理可行，由评委进行综合评价。</w:t>
            </w:r>
            <w:r>
              <w:rPr>
                <w:rFonts w:hint="eastAsia" w:ascii="仿宋" w:hAnsi="仿宋" w:eastAsia="仿宋"/>
                <w:sz w:val="24"/>
              </w:rPr>
              <w:t>（详尽、准确且合理可行的得</w:t>
            </w:r>
            <w:r>
              <w:rPr>
                <w:rFonts w:hint="eastAsia" w:ascii="仿宋" w:hAnsi="仿宋" w:eastAsia="仿宋" w:cs="宋体"/>
                <w:sz w:val="24"/>
                <w:szCs w:val="24"/>
              </w:rPr>
              <w:t>[</w:t>
            </w:r>
            <w:r>
              <w:rPr>
                <w:rFonts w:ascii="仿宋" w:hAnsi="仿宋" w:eastAsia="仿宋" w:cs="宋体"/>
                <w:sz w:val="24"/>
                <w:szCs w:val="24"/>
              </w:rPr>
              <w:t>5</w:t>
            </w:r>
            <w:r>
              <w:rPr>
                <w:rFonts w:hint="eastAsia" w:ascii="仿宋" w:hAnsi="仿宋" w:eastAsia="仿宋" w:cs="宋体"/>
                <w:sz w:val="24"/>
                <w:szCs w:val="24"/>
              </w:rPr>
              <w:t>,6]</w:t>
            </w:r>
            <w:r>
              <w:rPr>
                <w:rFonts w:hint="eastAsia" w:ascii="仿宋" w:hAnsi="仿宋" w:eastAsia="仿宋"/>
                <w:sz w:val="24"/>
              </w:rPr>
              <w:t>分；较详尽、准确且较合理可行的得</w:t>
            </w: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,4]</w:t>
            </w:r>
            <w:r>
              <w:rPr>
                <w:rFonts w:hint="eastAsia" w:ascii="仿宋" w:hAnsi="仿宋" w:eastAsia="仿宋"/>
                <w:sz w:val="24"/>
              </w:rPr>
              <w:t>分；粗略、缺陷较多，部分合理可行的得</w:t>
            </w:r>
            <w:r>
              <w:rPr>
                <w:rFonts w:hint="eastAsia" w:ascii="仿宋" w:hAnsi="仿宋" w:eastAsia="仿宋" w:cs="宋体"/>
                <w:sz w:val="24"/>
                <w:szCs w:val="24"/>
              </w:rPr>
              <w:t>[1,2]</w:t>
            </w:r>
            <w:r>
              <w:rPr>
                <w:rFonts w:hint="eastAsia" w:ascii="仿宋" w:hAnsi="仿宋" w:eastAsia="仿宋"/>
                <w:sz w:val="24"/>
              </w:rPr>
              <w:t>分；未提供或不符合的不得分。）</w:t>
            </w:r>
          </w:p>
        </w:tc>
        <w:tc>
          <w:tcPr>
            <w:tcW w:w="828"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699" w:type="dxa"/>
            <w:vMerge w:val="continue"/>
            <w:vAlign w:val="center"/>
          </w:tcPr>
          <w:p>
            <w:pPr>
              <w:spacing w:line="300" w:lineRule="auto"/>
              <w:jc w:val="center"/>
              <w:rPr>
                <w:rFonts w:ascii="仿宋" w:hAnsi="仿宋" w:eastAsia="仿宋" w:cs="宋体"/>
                <w:b/>
                <w:bCs/>
                <w:sz w:val="24"/>
                <w:szCs w:val="24"/>
              </w:rPr>
            </w:pPr>
          </w:p>
        </w:tc>
        <w:tc>
          <w:tcPr>
            <w:tcW w:w="841" w:type="dxa"/>
            <w:vMerge w:val="continue"/>
            <w:vAlign w:val="center"/>
          </w:tcPr>
          <w:p>
            <w:pPr>
              <w:spacing w:line="300" w:lineRule="auto"/>
              <w:jc w:val="center"/>
              <w:rPr>
                <w:rFonts w:ascii="仿宋" w:hAnsi="仿宋" w:eastAsia="仿宋" w:cs="宋体"/>
                <w:b/>
                <w:bCs/>
                <w:sz w:val="24"/>
                <w:szCs w:val="24"/>
              </w:rPr>
            </w:pPr>
          </w:p>
        </w:tc>
        <w:tc>
          <w:tcPr>
            <w:tcW w:w="7796" w:type="dxa"/>
            <w:vAlign w:val="center"/>
          </w:tcPr>
          <w:p>
            <w:pPr>
              <w:spacing w:line="300" w:lineRule="auto"/>
              <w:rPr>
                <w:rFonts w:ascii="仿宋" w:hAnsi="仿宋" w:eastAsia="仿宋" w:cs="宋体"/>
                <w:color w:val="000000" w:themeColor="text1"/>
                <w:sz w:val="24"/>
              </w:rPr>
            </w:pPr>
            <w:r>
              <w:rPr>
                <w:rFonts w:hint="eastAsia" w:ascii="仿宋" w:hAnsi="仿宋" w:eastAsia="仿宋" w:cs="宋体"/>
                <w:sz w:val="24"/>
              </w:rPr>
              <w:t>根据投标人提供的项目进度方案（包括进度计划及相应的进度控制措施）是否详细明确、合理可行，由评委进行综合评价。</w:t>
            </w:r>
            <w:r>
              <w:rPr>
                <w:rFonts w:hint="eastAsia" w:ascii="仿宋" w:hAnsi="仿宋" w:eastAsia="仿宋"/>
                <w:sz w:val="24"/>
              </w:rPr>
              <w:t>（详尽、准确且合理可行的得</w:t>
            </w:r>
            <w:r>
              <w:rPr>
                <w:rFonts w:hint="eastAsia" w:ascii="仿宋" w:hAnsi="仿宋" w:eastAsia="仿宋" w:cs="宋体"/>
                <w:sz w:val="24"/>
                <w:szCs w:val="24"/>
              </w:rPr>
              <w:t>[</w:t>
            </w:r>
            <w:r>
              <w:rPr>
                <w:rFonts w:ascii="仿宋" w:hAnsi="仿宋" w:eastAsia="仿宋" w:cs="宋体"/>
                <w:sz w:val="24"/>
                <w:szCs w:val="24"/>
              </w:rPr>
              <w:t>5</w:t>
            </w:r>
            <w:r>
              <w:rPr>
                <w:rFonts w:hint="eastAsia" w:ascii="仿宋" w:hAnsi="仿宋" w:eastAsia="仿宋" w:cs="宋体"/>
                <w:sz w:val="24"/>
                <w:szCs w:val="24"/>
              </w:rPr>
              <w:t>,6]</w:t>
            </w:r>
            <w:r>
              <w:rPr>
                <w:rFonts w:hint="eastAsia" w:ascii="仿宋" w:hAnsi="仿宋" w:eastAsia="仿宋"/>
                <w:sz w:val="24"/>
              </w:rPr>
              <w:t>分；较详尽、准确且较合理可行的得</w:t>
            </w: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,4]</w:t>
            </w:r>
            <w:r>
              <w:rPr>
                <w:rFonts w:hint="eastAsia" w:ascii="仿宋" w:hAnsi="仿宋" w:eastAsia="仿宋"/>
                <w:sz w:val="24"/>
              </w:rPr>
              <w:t>分；粗略、缺陷较多，部分合理可行的得</w:t>
            </w:r>
            <w:r>
              <w:rPr>
                <w:rFonts w:hint="eastAsia" w:ascii="仿宋" w:hAnsi="仿宋" w:eastAsia="仿宋" w:cs="宋体"/>
                <w:sz w:val="24"/>
                <w:szCs w:val="24"/>
              </w:rPr>
              <w:t>[1,2]</w:t>
            </w:r>
            <w:r>
              <w:rPr>
                <w:rFonts w:hint="eastAsia" w:ascii="仿宋" w:hAnsi="仿宋" w:eastAsia="仿宋"/>
                <w:sz w:val="24"/>
              </w:rPr>
              <w:t>分；未提供或不符合的不得分。）</w:t>
            </w:r>
          </w:p>
        </w:tc>
        <w:tc>
          <w:tcPr>
            <w:tcW w:w="828"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699" w:type="dxa"/>
            <w:vMerge w:val="continue"/>
            <w:vAlign w:val="center"/>
          </w:tcPr>
          <w:p>
            <w:pPr>
              <w:spacing w:line="300" w:lineRule="auto"/>
              <w:jc w:val="center"/>
              <w:rPr>
                <w:rFonts w:ascii="仿宋" w:hAnsi="仿宋" w:eastAsia="仿宋" w:cs="宋体"/>
                <w:b/>
                <w:bCs/>
                <w:sz w:val="24"/>
                <w:szCs w:val="24"/>
              </w:rPr>
            </w:pPr>
          </w:p>
        </w:tc>
        <w:tc>
          <w:tcPr>
            <w:tcW w:w="841" w:type="dxa"/>
            <w:vMerge w:val="continue"/>
            <w:vAlign w:val="center"/>
          </w:tcPr>
          <w:p>
            <w:pPr>
              <w:spacing w:line="300" w:lineRule="auto"/>
              <w:jc w:val="center"/>
              <w:rPr>
                <w:rFonts w:ascii="仿宋" w:hAnsi="仿宋" w:eastAsia="仿宋" w:cs="宋体"/>
                <w:b/>
                <w:bCs/>
                <w:sz w:val="24"/>
                <w:szCs w:val="24"/>
              </w:rPr>
            </w:pPr>
          </w:p>
        </w:tc>
        <w:tc>
          <w:tcPr>
            <w:tcW w:w="7796" w:type="dxa"/>
            <w:vAlign w:val="center"/>
          </w:tcPr>
          <w:p>
            <w:pPr>
              <w:spacing w:line="300" w:lineRule="auto"/>
              <w:rPr>
                <w:rFonts w:ascii="仿宋" w:hAnsi="仿宋" w:eastAsia="仿宋" w:cs="宋体"/>
                <w:color w:val="000000" w:themeColor="text1"/>
                <w:sz w:val="24"/>
              </w:rPr>
            </w:pPr>
            <w:r>
              <w:rPr>
                <w:rFonts w:ascii="仿宋" w:hAnsi="仿宋" w:eastAsia="仿宋" w:cs="宋体"/>
                <w:sz w:val="24"/>
              </w:rPr>
              <w:t>根据投标人提供的项目质量保障方案（包括质量目标及相应的质量控制措施）是否详细明确、合理可行，由评委进行综合评价。</w:t>
            </w:r>
            <w:r>
              <w:rPr>
                <w:rFonts w:hint="eastAsia" w:ascii="仿宋" w:hAnsi="仿宋" w:eastAsia="仿宋"/>
                <w:sz w:val="24"/>
              </w:rPr>
              <w:t>（详尽、准确且合理可行的得</w:t>
            </w:r>
            <w:r>
              <w:rPr>
                <w:rFonts w:hint="eastAsia" w:ascii="仿宋" w:hAnsi="仿宋" w:eastAsia="仿宋" w:cs="宋体"/>
                <w:sz w:val="24"/>
                <w:szCs w:val="24"/>
              </w:rPr>
              <w:t>[</w:t>
            </w:r>
            <w:r>
              <w:rPr>
                <w:rFonts w:ascii="仿宋" w:hAnsi="仿宋" w:eastAsia="仿宋" w:cs="宋体"/>
                <w:sz w:val="24"/>
                <w:szCs w:val="24"/>
              </w:rPr>
              <w:t>5</w:t>
            </w:r>
            <w:r>
              <w:rPr>
                <w:rFonts w:hint="eastAsia" w:ascii="仿宋" w:hAnsi="仿宋" w:eastAsia="仿宋" w:cs="宋体"/>
                <w:sz w:val="24"/>
                <w:szCs w:val="24"/>
              </w:rPr>
              <w:t>,6]</w:t>
            </w:r>
            <w:r>
              <w:rPr>
                <w:rFonts w:hint="eastAsia" w:ascii="仿宋" w:hAnsi="仿宋" w:eastAsia="仿宋"/>
                <w:sz w:val="24"/>
              </w:rPr>
              <w:t>分；较详尽、准确且较合理可行的得</w:t>
            </w: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,4]</w:t>
            </w:r>
            <w:r>
              <w:rPr>
                <w:rFonts w:hint="eastAsia" w:ascii="仿宋" w:hAnsi="仿宋" w:eastAsia="仿宋"/>
                <w:sz w:val="24"/>
              </w:rPr>
              <w:t>分；粗略、缺陷较多，部分合理可行的得</w:t>
            </w:r>
            <w:r>
              <w:rPr>
                <w:rFonts w:hint="eastAsia" w:ascii="仿宋" w:hAnsi="仿宋" w:eastAsia="仿宋" w:cs="宋体"/>
                <w:sz w:val="24"/>
                <w:szCs w:val="24"/>
              </w:rPr>
              <w:t>[1,2]</w:t>
            </w:r>
            <w:r>
              <w:rPr>
                <w:rFonts w:hint="eastAsia" w:ascii="仿宋" w:hAnsi="仿宋" w:eastAsia="仿宋"/>
                <w:sz w:val="24"/>
              </w:rPr>
              <w:t>分；未提供或不符合的不得分。）</w:t>
            </w:r>
          </w:p>
        </w:tc>
        <w:tc>
          <w:tcPr>
            <w:tcW w:w="828"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699" w:type="dxa"/>
            <w:vMerge w:val="continue"/>
            <w:vAlign w:val="center"/>
          </w:tcPr>
          <w:p>
            <w:pPr>
              <w:spacing w:line="300" w:lineRule="auto"/>
              <w:jc w:val="center"/>
              <w:rPr>
                <w:rFonts w:ascii="仿宋" w:hAnsi="仿宋" w:eastAsia="仿宋" w:cs="宋体"/>
                <w:b/>
                <w:bCs/>
                <w:sz w:val="24"/>
                <w:szCs w:val="24"/>
              </w:rPr>
            </w:pPr>
          </w:p>
        </w:tc>
        <w:tc>
          <w:tcPr>
            <w:tcW w:w="841" w:type="dxa"/>
            <w:vMerge w:val="continue"/>
            <w:vAlign w:val="center"/>
          </w:tcPr>
          <w:p>
            <w:pPr>
              <w:spacing w:line="300" w:lineRule="auto"/>
              <w:jc w:val="center"/>
              <w:rPr>
                <w:rFonts w:ascii="仿宋" w:hAnsi="仿宋" w:eastAsia="仿宋" w:cs="宋体"/>
                <w:b/>
                <w:bCs/>
                <w:sz w:val="24"/>
                <w:szCs w:val="24"/>
              </w:rPr>
            </w:pPr>
          </w:p>
        </w:tc>
        <w:tc>
          <w:tcPr>
            <w:tcW w:w="7796" w:type="dxa"/>
            <w:vAlign w:val="center"/>
          </w:tcPr>
          <w:p>
            <w:pPr>
              <w:spacing w:line="300" w:lineRule="auto"/>
              <w:rPr>
                <w:rFonts w:ascii="仿宋" w:hAnsi="仿宋" w:eastAsia="仿宋" w:cs="宋体"/>
                <w:sz w:val="24"/>
              </w:rPr>
            </w:pPr>
            <w:r>
              <w:rPr>
                <w:rFonts w:ascii="仿宋" w:hAnsi="仿宋" w:eastAsia="仿宋" w:cs="宋体"/>
                <w:sz w:val="24"/>
              </w:rPr>
              <w:t>根据投标人提供的安全保障方案，包括人员、数据与档案的安全管理措施、保密措施是否详细明确、合理可行，由评委进行综合评价。</w:t>
            </w:r>
            <w:r>
              <w:rPr>
                <w:rFonts w:hint="eastAsia" w:ascii="仿宋" w:hAnsi="仿宋" w:eastAsia="仿宋"/>
                <w:sz w:val="24"/>
              </w:rPr>
              <w:t>（详尽、准确且合理可行的得</w:t>
            </w:r>
            <w:r>
              <w:rPr>
                <w:rFonts w:hint="eastAsia" w:ascii="仿宋" w:hAnsi="仿宋" w:eastAsia="仿宋" w:cs="宋体"/>
                <w:sz w:val="24"/>
                <w:szCs w:val="24"/>
              </w:rPr>
              <w:t>[</w:t>
            </w:r>
            <w:r>
              <w:rPr>
                <w:rFonts w:ascii="仿宋" w:hAnsi="仿宋" w:eastAsia="仿宋" w:cs="宋体"/>
                <w:sz w:val="24"/>
                <w:szCs w:val="24"/>
              </w:rPr>
              <w:t>5</w:t>
            </w:r>
            <w:r>
              <w:rPr>
                <w:rFonts w:hint="eastAsia" w:ascii="仿宋" w:hAnsi="仿宋" w:eastAsia="仿宋" w:cs="宋体"/>
                <w:sz w:val="24"/>
                <w:szCs w:val="24"/>
              </w:rPr>
              <w:t>,6]分</w:t>
            </w:r>
            <w:r>
              <w:rPr>
                <w:rFonts w:hint="eastAsia" w:ascii="仿宋" w:hAnsi="仿宋" w:eastAsia="仿宋"/>
                <w:sz w:val="24"/>
              </w:rPr>
              <w:t>；较详尽、准确且较合理可行的得</w:t>
            </w: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,4]</w:t>
            </w:r>
            <w:r>
              <w:rPr>
                <w:rFonts w:hint="eastAsia" w:ascii="仿宋" w:hAnsi="仿宋" w:eastAsia="仿宋"/>
                <w:sz w:val="24"/>
              </w:rPr>
              <w:t>分；粗略、缺陷较多，部分合理可行的得</w:t>
            </w:r>
            <w:r>
              <w:rPr>
                <w:rFonts w:hint="eastAsia" w:ascii="仿宋" w:hAnsi="仿宋" w:eastAsia="仿宋" w:cs="宋体"/>
                <w:sz w:val="24"/>
                <w:szCs w:val="24"/>
              </w:rPr>
              <w:t>[1,2]</w:t>
            </w:r>
            <w:r>
              <w:rPr>
                <w:rFonts w:hint="eastAsia" w:ascii="仿宋" w:hAnsi="仿宋" w:eastAsia="仿宋"/>
                <w:sz w:val="24"/>
              </w:rPr>
              <w:t>分；未提供或不符合的不得分。）</w:t>
            </w:r>
          </w:p>
        </w:tc>
        <w:tc>
          <w:tcPr>
            <w:tcW w:w="828"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699" w:type="dxa"/>
            <w:vMerge w:val="continue"/>
            <w:vAlign w:val="center"/>
          </w:tcPr>
          <w:p>
            <w:pPr>
              <w:spacing w:line="300" w:lineRule="auto"/>
              <w:jc w:val="center"/>
              <w:rPr>
                <w:rFonts w:ascii="仿宋" w:hAnsi="仿宋" w:eastAsia="仿宋" w:cs="宋体"/>
                <w:b/>
                <w:bCs/>
                <w:sz w:val="24"/>
                <w:szCs w:val="24"/>
              </w:rPr>
            </w:pPr>
          </w:p>
        </w:tc>
        <w:tc>
          <w:tcPr>
            <w:tcW w:w="841" w:type="dxa"/>
            <w:vMerge w:val="continue"/>
            <w:vAlign w:val="center"/>
          </w:tcPr>
          <w:p>
            <w:pPr>
              <w:spacing w:line="300" w:lineRule="auto"/>
              <w:jc w:val="center"/>
              <w:rPr>
                <w:rFonts w:ascii="仿宋" w:hAnsi="仿宋" w:eastAsia="仿宋" w:cs="宋体"/>
                <w:b/>
                <w:bCs/>
                <w:sz w:val="24"/>
                <w:szCs w:val="24"/>
              </w:rPr>
            </w:pPr>
          </w:p>
        </w:tc>
        <w:tc>
          <w:tcPr>
            <w:tcW w:w="7796" w:type="dxa"/>
            <w:vAlign w:val="center"/>
          </w:tcPr>
          <w:p>
            <w:pPr>
              <w:spacing w:line="300" w:lineRule="auto"/>
              <w:rPr>
                <w:rFonts w:ascii="仿宋" w:hAnsi="仿宋" w:eastAsia="仿宋" w:cs="宋体"/>
                <w:sz w:val="24"/>
              </w:rPr>
            </w:pPr>
            <w:r>
              <w:rPr>
                <w:rFonts w:ascii="仿宋" w:hAnsi="仿宋" w:eastAsia="仿宋" w:cs="宋体"/>
                <w:sz w:val="24"/>
                <w:szCs w:val="24"/>
              </w:rPr>
              <w:t>根据投标人提供的针对本项目的应急预案，包括应急响应时间、人员应急安排等应急保障措施情况的合理程度及完备程度进行综合评价。</w:t>
            </w:r>
            <w:r>
              <w:rPr>
                <w:rFonts w:hint="eastAsia" w:ascii="仿宋" w:hAnsi="仿宋" w:eastAsia="仿宋"/>
                <w:sz w:val="24"/>
              </w:rPr>
              <w:t>（详尽、准确且合理可行的得</w:t>
            </w:r>
            <w:r>
              <w:rPr>
                <w:rFonts w:hint="eastAsia" w:ascii="仿宋" w:hAnsi="仿宋" w:eastAsia="仿宋" w:cs="宋体"/>
                <w:sz w:val="24"/>
                <w:szCs w:val="24"/>
              </w:rPr>
              <w:t>[</w:t>
            </w:r>
            <w:r>
              <w:rPr>
                <w:rFonts w:ascii="仿宋" w:hAnsi="仿宋" w:eastAsia="仿宋" w:cs="宋体"/>
                <w:sz w:val="24"/>
                <w:szCs w:val="24"/>
              </w:rPr>
              <w:t>5</w:t>
            </w:r>
            <w:r>
              <w:rPr>
                <w:rFonts w:hint="eastAsia" w:ascii="仿宋" w:hAnsi="仿宋" w:eastAsia="仿宋" w:cs="宋体"/>
                <w:sz w:val="24"/>
                <w:szCs w:val="24"/>
              </w:rPr>
              <w:t>,6]</w:t>
            </w:r>
            <w:r>
              <w:rPr>
                <w:rFonts w:hint="eastAsia" w:ascii="仿宋" w:hAnsi="仿宋" w:eastAsia="仿宋"/>
                <w:sz w:val="24"/>
              </w:rPr>
              <w:t>分；较详尽、准确且较合理可行的得</w:t>
            </w: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,4]</w:t>
            </w:r>
            <w:r>
              <w:rPr>
                <w:rFonts w:hint="eastAsia" w:ascii="仿宋" w:hAnsi="仿宋" w:eastAsia="仿宋"/>
                <w:sz w:val="24"/>
              </w:rPr>
              <w:t>分；粗略、缺陷较多，部分合理可行的得</w:t>
            </w:r>
            <w:r>
              <w:rPr>
                <w:rFonts w:hint="eastAsia" w:ascii="仿宋" w:hAnsi="仿宋" w:eastAsia="仿宋" w:cs="宋体"/>
                <w:sz w:val="24"/>
                <w:szCs w:val="24"/>
              </w:rPr>
              <w:t>[1,2]</w:t>
            </w:r>
            <w:r>
              <w:rPr>
                <w:rFonts w:hint="eastAsia" w:ascii="仿宋" w:hAnsi="仿宋" w:eastAsia="仿宋"/>
                <w:sz w:val="24"/>
              </w:rPr>
              <w:t>分；未提供或不符合的不得分。）</w:t>
            </w:r>
          </w:p>
        </w:tc>
        <w:tc>
          <w:tcPr>
            <w:tcW w:w="828"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14" w:hRule="atLeast"/>
          <w:jc w:val="center"/>
        </w:trPr>
        <w:tc>
          <w:tcPr>
            <w:tcW w:w="699" w:type="dxa"/>
            <w:vMerge w:val="continue"/>
            <w:vAlign w:val="center"/>
          </w:tcPr>
          <w:p>
            <w:pPr>
              <w:spacing w:line="300" w:lineRule="auto"/>
              <w:jc w:val="center"/>
              <w:rPr>
                <w:rFonts w:ascii="仿宋" w:hAnsi="仿宋" w:eastAsia="仿宋" w:cs="宋体"/>
                <w:b/>
                <w:bCs/>
                <w:sz w:val="24"/>
                <w:szCs w:val="24"/>
              </w:rPr>
            </w:pPr>
          </w:p>
        </w:tc>
        <w:tc>
          <w:tcPr>
            <w:tcW w:w="841" w:type="dxa"/>
            <w:vMerge w:val="continue"/>
            <w:vAlign w:val="center"/>
          </w:tcPr>
          <w:p>
            <w:pPr>
              <w:spacing w:line="300" w:lineRule="auto"/>
              <w:jc w:val="center"/>
              <w:rPr>
                <w:rFonts w:ascii="仿宋" w:hAnsi="仿宋" w:eastAsia="仿宋" w:cs="宋体"/>
                <w:b/>
                <w:bCs/>
                <w:sz w:val="24"/>
                <w:szCs w:val="24"/>
              </w:rPr>
            </w:pPr>
          </w:p>
        </w:tc>
        <w:tc>
          <w:tcPr>
            <w:tcW w:w="7796" w:type="dxa"/>
            <w:vAlign w:val="center"/>
          </w:tcPr>
          <w:p>
            <w:pPr>
              <w:spacing w:line="300" w:lineRule="auto"/>
              <w:rPr>
                <w:rFonts w:ascii="仿宋" w:hAnsi="仿宋" w:eastAsia="仿宋" w:cs="宋体"/>
                <w:color w:val="000000" w:themeColor="text1"/>
                <w:sz w:val="24"/>
              </w:rPr>
            </w:pPr>
            <w:r>
              <w:rPr>
                <w:rFonts w:hint="eastAsia" w:ascii="仿宋" w:hAnsi="仿宋" w:eastAsia="仿宋" w:cs="宋体"/>
                <w:sz w:val="24"/>
                <w:szCs w:val="24"/>
              </w:rPr>
              <w:t>根据投标人提供的针对本项目的前期对接、设计过程及项目实施中与各方沟通协调的措施的合理性、可行性进行综合评价。</w:t>
            </w:r>
            <w:r>
              <w:rPr>
                <w:rFonts w:hint="eastAsia" w:ascii="仿宋" w:hAnsi="仿宋" w:eastAsia="仿宋"/>
                <w:sz w:val="24"/>
              </w:rPr>
              <w:t>（详尽、准确且合理可行的得</w:t>
            </w:r>
            <w:r>
              <w:rPr>
                <w:rFonts w:hint="eastAsia" w:ascii="仿宋" w:hAnsi="仿宋" w:eastAsia="仿宋" w:cs="宋体"/>
                <w:sz w:val="24"/>
                <w:szCs w:val="24"/>
              </w:rPr>
              <w:t>[</w:t>
            </w:r>
            <w:r>
              <w:rPr>
                <w:rFonts w:ascii="仿宋" w:hAnsi="仿宋" w:eastAsia="仿宋" w:cs="宋体"/>
                <w:sz w:val="24"/>
                <w:szCs w:val="24"/>
              </w:rPr>
              <w:t>5</w:t>
            </w:r>
            <w:r>
              <w:rPr>
                <w:rFonts w:hint="eastAsia" w:ascii="仿宋" w:hAnsi="仿宋" w:eastAsia="仿宋" w:cs="宋体"/>
                <w:sz w:val="24"/>
                <w:szCs w:val="24"/>
              </w:rPr>
              <w:t>,6]</w:t>
            </w:r>
            <w:r>
              <w:rPr>
                <w:rFonts w:hint="eastAsia" w:ascii="仿宋" w:hAnsi="仿宋" w:eastAsia="仿宋"/>
                <w:sz w:val="24"/>
              </w:rPr>
              <w:t>分；较详尽、准确且较合理可行的得</w:t>
            </w: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,4]</w:t>
            </w:r>
            <w:r>
              <w:rPr>
                <w:rFonts w:hint="eastAsia" w:ascii="仿宋" w:hAnsi="仿宋" w:eastAsia="仿宋"/>
                <w:sz w:val="24"/>
              </w:rPr>
              <w:t>分；粗略、缺陷较多，部分合理可行的得</w:t>
            </w:r>
            <w:r>
              <w:rPr>
                <w:rFonts w:hint="eastAsia" w:ascii="仿宋" w:hAnsi="仿宋" w:eastAsia="仿宋" w:cs="宋体"/>
                <w:sz w:val="24"/>
                <w:szCs w:val="24"/>
              </w:rPr>
              <w:t>[1,2]</w:t>
            </w:r>
            <w:r>
              <w:rPr>
                <w:rFonts w:hint="eastAsia" w:ascii="仿宋" w:hAnsi="仿宋" w:eastAsia="仿宋"/>
                <w:sz w:val="24"/>
              </w:rPr>
              <w:t>分；未提供或不符合的不得分。）</w:t>
            </w:r>
          </w:p>
        </w:tc>
        <w:tc>
          <w:tcPr>
            <w:tcW w:w="828"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5" w:hRule="atLeast"/>
          <w:jc w:val="center"/>
        </w:trPr>
        <w:tc>
          <w:tcPr>
            <w:tcW w:w="699"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6</w:t>
            </w:r>
          </w:p>
        </w:tc>
        <w:tc>
          <w:tcPr>
            <w:tcW w:w="841" w:type="dxa"/>
            <w:vAlign w:val="center"/>
          </w:tcPr>
          <w:p>
            <w:pPr>
              <w:spacing w:line="300" w:lineRule="auto"/>
              <w:jc w:val="center"/>
              <w:rPr>
                <w:rFonts w:ascii="仿宋" w:hAnsi="仿宋" w:eastAsia="仿宋" w:cs="宋体"/>
                <w:b/>
                <w:bCs/>
                <w:sz w:val="24"/>
                <w:szCs w:val="24"/>
              </w:rPr>
            </w:pPr>
            <w:r>
              <w:rPr>
                <w:rFonts w:ascii="仿宋" w:hAnsi="仿宋" w:eastAsia="仿宋" w:cs="宋体"/>
                <w:b/>
                <w:bCs/>
                <w:sz w:val="24"/>
                <w:szCs w:val="24"/>
              </w:rPr>
              <w:t>本地化服务</w:t>
            </w:r>
          </w:p>
        </w:tc>
        <w:tc>
          <w:tcPr>
            <w:tcW w:w="7796" w:type="dxa"/>
            <w:vAlign w:val="center"/>
          </w:tcPr>
          <w:p>
            <w:pPr>
              <w:spacing w:line="300" w:lineRule="auto"/>
              <w:jc w:val="left"/>
              <w:rPr>
                <w:rFonts w:ascii="仿宋" w:hAnsi="仿宋" w:eastAsia="仿宋" w:cs="宋体"/>
                <w:bCs/>
                <w:sz w:val="24"/>
                <w:szCs w:val="24"/>
              </w:rPr>
            </w:pPr>
            <w:bookmarkStart w:id="26" w:name="_GoBack"/>
            <w:r>
              <w:rPr>
                <w:rFonts w:hint="eastAsia" w:ascii="仿宋" w:hAnsi="仿宋" w:eastAsia="仿宋" w:cs="宋体"/>
                <w:bCs/>
                <w:sz w:val="24"/>
                <w:szCs w:val="24"/>
              </w:rPr>
              <w:t>根据投标人本地化服务响应方案（包括</w:t>
            </w:r>
            <w:r>
              <w:rPr>
                <w:rFonts w:hint="eastAsia" w:ascii="仿宋" w:hAnsi="仿宋" w:eastAsia="仿宋" w:cs="Times New Roman"/>
                <w:sz w:val="24"/>
                <w:szCs w:val="24"/>
              </w:rPr>
              <w:t>本地化服务承诺、对拟投入的技术人员制定具体本地服务工作计划，确保技术人员到位，提供</w:t>
            </w:r>
            <w:r>
              <w:rPr>
                <w:rFonts w:hint="eastAsia" w:ascii="仿宋" w:hAnsi="仿宋" w:eastAsia="仿宋" w:cs="仿宋"/>
                <w:sz w:val="24"/>
                <w:szCs w:val="24"/>
              </w:rPr>
              <w:t>快速本地服务响应</w:t>
            </w:r>
            <w:r>
              <w:rPr>
                <w:rFonts w:hint="eastAsia" w:ascii="仿宋" w:hAnsi="仿宋" w:eastAsia="仿宋" w:cs="Times New Roman"/>
                <w:sz w:val="24"/>
                <w:szCs w:val="24"/>
              </w:rPr>
              <w:t>等相应的保障措施</w:t>
            </w:r>
            <w:r>
              <w:rPr>
                <w:rFonts w:hint="eastAsia" w:ascii="仿宋" w:hAnsi="仿宋" w:eastAsia="仿宋" w:cs="宋体"/>
                <w:bCs/>
                <w:sz w:val="24"/>
                <w:szCs w:val="24"/>
              </w:rPr>
              <w:t>）是否详细明确、合理可行进行综合评价。（方案阐述</w:t>
            </w:r>
            <w:r>
              <w:rPr>
                <w:rFonts w:hint="eastAsia" w:ascii="仿宋" w:hAnsi="仿宋" w:eastAsia="仿宋" w:cs="Times New Roman"/>
                <w:sz w:val="24"/>
                <w:szCs w:val="24"/>
              </w:rPr>
              <w:t>详细，有明确、合理可行的承诺及措施，能够充分保证及时有效服务响应的得</w:t>
            </w:r>
            <w:r>
              <w:rPr>
                <w:rFonts w:hint="eastAsia" w:ascii="仿宋" w:hAnsi="仿宋" w:eastAsia="仿宋" w:cs="宋体"/>
                <w:sz w:val="24"/>
                <w:szCs w:val="24"/>
              </w:rPr>
              <w:t>[4,5]</w:t>
            </w:r>
            <w:r>
              <w:rPr>
                <w:rFonts w:hint="eastAsia" w:ascii="仿宋" w:hAnsi="仿宋" w:eastAsia="仿宋" w:cs="Times New Roman"/>
                <w:sz w:val="24"/>
                <w:szCs w:val="24"/>
              </w:rPr>
              <w:t>分；方案阐述较为详细，有较合理可行的承诺及措施，能较好的保障及时有效服务响应的得</w:t>
            </w:r>
            <w:r>
              <w:rPr>
                <w:rFonts w:hint="eastAsia" w:ascii="仿宋" w:hAnsi="仿宋" w:eastAsia="仿宋" w:cs="宋体"/>
                <w:sz w:val="24"/>
                <w:szCs w:val="24"/>
              </w:rPr>
              <w:t>[2,3]</w:t>
            </w:r>
            <w:r>
              <w:rPr>
                <w:rFonts w:hint="eastAsia" w:ascii="仿宋" w:hAnsi="仿宋" w:eastAsia="仿宋" w:cs="Times New Roman"/>
                <w:sz w:val="24"/>
                <w:szCs w:val="24"/>
              </w:rPr>
              <w:t>分；方案阐述较为粗略，</w:t>
            </w:r>
            <w:r>
              <w:rPr>
                <w:rFonts w:hint="eastAsia" w:ascii="仿宋" w:hAnsi="仿宋" w:eastAsia="仿宋"/>
                <w:sz w:val="24"/>
                <w:szCs w:val="24"/>
              </w:rPr>
              <w:t>内容</w:t>
            </w:r>
            <w:r>
              <w:rPr>
                <w:rFonts w:hint="eastAsia" w:ascii="仿宋" w:hAnsi="仿宋" w:eastAsia="仿宋" w:cs="仿宋_GB2312"/>
                <w:bCs/>
                <w:sz w:val="24"/>
                <w:szCs w:val="24"/>
              </w:rPr>
              <w:t>存在缺陷、</w:t>
            </w:r>
            <w:r>
              <w:rPr>
                <w:rFonts w:hint="eastAsia" w:ascii="仿宋" w:hAnsi="仿宋" w:eastAsia="仿宋"/>
                <w:sz w:val="24"/>
              </w:rPr>
              <w:t>合理可行性欠缺，</w:t>
            </w:r>
            <w:r>
              <w:rPr>
                <w:rFonts w:hint="eastAsia" w:ascii="仿宋" w:hAnsi="仿宋" w:eastAsia="仿宋" w:cs="Times New Roman"/>
                <w:sz w:val="24"/>
                <w:szCs w:val="24"/>
              </w:rPr>
              <w:t>总体服务响应保障能力较为一般的得</w:t>
            </w:r>
            <w:r>
              <w:rPr>
                <w:rFonts w:hint="eastAsia" w:ascii="仿宋" w:hAnsi="仿宋" w:eastAsia="仿宋" w:cs="宋体"/>
                <w:sz w:val="24"/>
                <w:szCs w:val="24"/>
              </w:rPr>
              <w:t>(0,1]</w:t>
            </w:r>
            <w:r>
              <w:rPr>
                <w:rFonts w:hint="eastAsia" w:ascii="仿宋" w:hAnsi="仿宋" w:eastAsia="仿宋" w:cs="Times New Roman"/>
                <w:sz w:val="24"/>
                <w:szCs w:val="24"/>
              </w:rPr>
              <w:t>分；无</w:t>
            </w:r>
            <w:r>
              <w:rPr>
                <w:rFonts w:hint="eastAsia" w:ascii="仿宋" w:hAnsi="仿宋" w:eastAsia="仿宋" w:cs="宋体"/>
                <w:sz w:val="24"/>
              </w:rPr>
              <w:t>相关内容阐述或不符合项目的不得分。</w:t>
            </w:r>
            <w:r>
              <w:rPr>
                <w:rFonts w:hint="eastAsia" w:ascii="仿宋" w:hAnsi="仿宋" w:eastAsia="仿宋" w:cs="宋体"/>
                <w:bCs/>
                <w:sz w:val="24"/>
                <w:szCs w:val="24"/>
              </w:rPr>
              <w:t>）</w:t>
            </w:r>
            <w:bookmarkEnd w:id="26"/>
          </w:p>
        </w:tc>
        <w:tc>
          <w:tcPr>
            <w:tcW w:w="828"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5分</w:t>
            </w:r>
          </w:p>
        </w:tc>
      </w:tr>
    </w:tbl>
    <w:p>
      <w:pPr>
        <w:spacing w:line="400" w:lineRule="exact"/>
        <w:rPr>
          <w:rFonts w:hint="eastAsia" w:ascii="仿宋" w:hAnsi="仿宋" w:eastAsia="仿宋" w:cs="仿宋"/>
          <w:sz w:val="24"/>
          <w:szCs w:val="24"/>
        </w:rPr>
      </w:pPr>
      <w:r>
        <w:rPr>
          <w:rFonts w:hint="eastAsia" w:ascii="仿宋" w:hAnsi="仿宋" w:eastAsia="仿宋" w:cs="仿宋"/>
          <w:b/>
          <w:sz w:val="24"/>
          <w:szCs w:val="24"/>
        </w:rPr>
        <w:t>（5）通过资格评审和符合性评审的投标人全部入围进行报价评审。</w:t>
      </w:r>
    </w:p>
    <w:p>
      <w:pPr>
        <w:spacing w:line="360" w:lineRule="auto"/>
        <w:ind w:firstLine="480" w:firstLineChars="200"/>
        <w:rPr>
          <w:rFonts w:ascii="仿宋" w:hAnsi="仿宋" w:eastAsia="仿宋" w:cs="宋体"/>
          <w:i/>
          <w:sz w:val="24"/>
          <w:szCs w:val="24"/>
        </w:rPr>
      </w:pPr>
      <w:r>
        <w:rPr>
          <w:rFonts w:hint="eastAsia" w:ascii="仿宋" w:hAnsi="仿宋" w:eastAsia="仿宋" w:cs="宋体"/>
          <w:i/>
          <w:sz w:val="24"/>
          <w:szCs w:val="24"/>
        </w:rPr>
        <w:t>注：</w:t>
      </w:r>
    </w:p>
    <w:p>
      <w:pPr>
        <w:spacing w:line="360" w:lineRule="auto"/>
        <w:ind w:firstLine="480" w:firstLineChars="200"/>
        <w:rPr>
          <w:rFonts w:ascii="仿宋" w:hAnsi="仿宋" w:eastAsia="仿宋" w:cs="宋体"/>
          <w:i/>
          <w:sz w:val="24"/>
          <w:szCs w:val="24"/>
        </w:rPr>
      </w:pPr>
      <w:r>
        <w:rPr>
          <w:rFonts w:hint="eastAsia" w:ascii="仿宋" w:hAnsi="仿宋" w:eastAsia="仿宋" w:cs="宋体"/>
          <w:i/>
          <w:sz w:val="24"/>
          <w:szCs w:val="24"/>
        </w:rPr>
        <w:t>①</w:t>
      </w:r>
      <w:r>
        <w:rPr>
          <w:rFonts w:hint="eastAsia" w:ascii="仿宋" w:hAnsi="仿宋" w:eastAsia="仿宋" w:cs="宋体"/>
          <w:i/>
          <w:sz w:val="24"/>
          <w:szCs w:val="24"/>
          <w:u w:val="single"/>
        </w:rPr>
        <w:t>上述评审细则中要求提供的相关证书等证明材料均需加盖投标人电子签章，且所有证书等证明材料均需在有效期内，否则对应项不得分</w:t>
      </w:r>
      <w:r>
        <w:rPr>
          <w:rFonts w:hint="eastAsia" w:ascii="仿宋" w:hAnsi="仿宋" w:eastAsia="仿宋" w:cs="宋体"/>
          <w:i/>
          <w:sz w:val="24"/>
          <w:szCs w:val="24"/>
        </w:rPr>
        <w:t>。</w:t>
      </w:r>
    </w:p>
    <w:p>
      <w:pPr>
        <w:spacing w:line="300" w:lineRule="auto"/>
        <w:ind w:firstLine="477" w:firstLineChars="199"/>
        <w:rPr>
          <w:rFonts w:ascii="仿宋" w:hAnsi="仿宋" w:eastAsia="仿宋" w:cs="宋体"/>
          <w:i/>
          <w:sz w:val="24"/>
          <w:szCs w:val="24"/>
        </w:rPr>
      </w:pPr>
      <w:r>
        <w:rPr>
          <w:rFonts w:hint="eastAsia" w:ascii="仿宋" w:hAnsi="仿宋" w:eastAsia="仿宋" w:cs="宋体"/>
          <w:i/>
          <w:sz w:val="24"/>
          <w:szCs w:val="24"/>
        </w:rPr>
        <w:t>②</w:t>
      </w:r>
      <w:r>
        <w:rPr>
          <w:rFonts w:hint="eastAsia" w:ascii="仿宋" w:hAnsi="仿宋" w:eastAsia="仿宋" w:cs="宋体"/>
          <w:i/>
          <w:sz w:val="24"/>
          <w:szCs w:val="24"/>
          <w:u w:val="single"/>
        </w:rPr>
        <w:t>投标人编制投标文件（商务技术文件部分）时，建议按上述评审细则的顺序提供评分标准中相对应的商务技术资料</w:t>
      </w:r>
      <w:r>
        <w:rPr>
          <w:rFonts w:hint="eastAsia" w:ascii="仿宋" w:hAnsi="仿宋" w:eastAsia="仿宋" w:cs="宋体"/>
          <w:i/>
          <w:sz w:val="24"/>
          <w:szCs w:val="24"/>
        </w:rPr>
        <w:t>。</w:t>
      </w:r>
    </w:p>
    <w:p>
      <w:pPr>
        <w:rPr>
          <w:rFonts w:ascii="宋体" w:hAnsi="宋体"/>
          <w:sz w:val="24"/>
          <w:szCs w:val="24"/>
        </w:rPr>
        <w:sectPr>
          <w:headerReference r:id="rId10" w:type="first"/>
          <w:footerReference r:id="rId12" w:type="first"/>
          <w:headerReference r:id="rId9" w:type="default"/>
          <w:footerReference r:id="rId11" w:type="default"/>
          <w:pgSz w:w="11906" w:h="16838"/>
          <w:pgMar w:top="1134" w:right="1247" w:bottom="1021" w:left="1247" w:header="284" w:footer="454" w:gutter="0"/>
          <w:pgNumType w:fmt="numberInDash"/>
          <w:cols w:space="720" w:num="1"/>
          <w:titlePg/>
          <w:docGrid w:type="lines" w:linePitch="312" w:charSpace="0"/>
        </w:sectPr>
      </w:pPr>
    </w:p>
    <w:p>
      <w:pPr>
        <w:pStyle w:val="2"/>
        <w:spacing w:before="0" w:after="120" w:line="400" w:lineRule="exact"/>
        <w:jc w:val="center"/>
        <w:rPr>
          <w:rFonts w:ascii="仿宋" w:hAnsi="仿宋" w:eastAsia="仿宋"/>
          <w:bCs/>
          <w:color w:val="auto"/>
          <w:sz w:val="30"/>
          <w:szCs w:val="30"/>
          <w:u w:val="single"/>
        </w:rPr>
      </w:pPr>
      <w:r>
        <w:rPr>
          <w:rFonts w:hint="eastAsia" w:ascii="仿宋" w:hAnsi="仿宋" w:eastAsia="仿宋"/>
          <w:color w:val="auto"/>
          <w:sz w:val="36"/>
          <w:szCs w:val="36"/>
        </w:rPr>
        <w:t>第四章   采购需</w:t>
      </w:r>
      <w:bookmarkEnd w:id="2"/>
      <w:r>
        <w:rPr>
          <w:rFonts w:hint="eastAsia" w:ascii="仿宋" w:hAnsi="仿宋" w:eastAsia="仿宋"/>
          <w:color w:val="auto"/>
          <w:sz w:val="36"/>
          <w:szCs w:val="36"/>
        </w:rPr>
        <w:t>求</w:t>
      </w:r>
    </w:p>
    <w:p>
      <w:pPr>
        <w:spacing w:line="360" w:lineRule="auto"/>
        <w:rPr>
          <w:rFonts w:ascii="仿宋" w:hAnsi="仿宋" w:eastAsia="仿宋"/>
          <w:b/>
          <w:bCs/>
          <w:sz w:val="24"/>
          <w:szCs w:val="24"/>
          <w:u w:val="none"/>
        </w:rPr>
      </w:pPr>
      <w:r>
        <w:rPr>
          <w:rFonts w:hint="eastAsia" w:ascii="仿宋" w:hAnsi="仿宋" w:eastAsia="仿宋"/>
          <w:b/>
          <w:bCs/>
          <w:sz w:val="24"/>
          <w:szCs w:val="24"/>
          <w:u w:val="none"/>
        </w:rPr>
        <w:t>一.项目概况</w:t>
      </w:r>
    </w:p>
    <w:p>
      <w:pPr>
        <w:spacing w:line="360" w:lineRule="auto"/>
        <w:ind w:firstLine="470" w:firstLineChars="196"/>
        <w:rPr>
          <w:rFonts w:ascii="仿宋" w:hAnsi="仿宋" w:eastAsia="仿宋"/>
          <w:bCs/>
          <w:sz w:val="24"/>
          <w:szCs w:val="24"/>
        </w:rPr>
      </w:pPr>
      <w:r>
        <w:rPr>
          <w:rFonts w:hint="eastAsia" w:ascii="仿宋" w:hAnsi="仿宋" w:eastAsia="仿宋"/>
          <w:bCs/>
          <w:sz w:val="24"/>
          <w:szCs w:val="24"/>
        </w:rPr>
        <w:t>1.标项规模：诸暨市暨南街道202</w:t>
      </w:r>
      <w:r>
        <w:rPr>
          <w:rFonts w:hint="eastAsia" w:ascii="仿宋" w:hAnsi="仿宋" w:eastAsia="仿宋"/>
          <w:bCs/>
          <w:sz w:val="24"/>
          <w:szCs w:val="24"/>
          <w:lang w:val="en-US" w:eastAsia="zh-CN"/>
        </w:rPr>
        <w:t>4</w:t>
      </w:r>
      <w:r>
        <w:rPr>
          <w:rFonts w:hint="eastAsia" w:ascii="仿宋" w:hAnsi="仿宋" w:eastAsia="仿宋"/>
          <w:bCs/>
          <w:sz w:val="24"/>
          <w:szCs w:val="24"/>
        </w:rPr>
        <w:t>年度</w:t>
      </w:r>
      <w:r>
        <w:rPr>
          <w:rFonts w:ascii="仿宋" w:hAnsi="仿宋" w:eastAsia="仿宋"/>
          <w:sz w:val="24"/>
          <w:szCs w:val="24"/>
        </w:rPr>
        <w:t>地质灾害工程设计服务</w:t>
      </w:r>
      <w:r>
        <w:rPr>
          <w:rFonts w:hint="eastAsia" w:ascii="仿宋" w:hAnsi="仿宋" w:eastAsia="仿宋"/>
          <w:bCs/>
          <w:sz w:val="24"/>
          <w:szCs w:val="24"/>
        </w:rPr>
        <w:t>，采购预算总金额为人民币叁拾万元整（</w:t>
      </w:r>
      <w:r>
        <w:rPr>
          <w:rFonts w:hint="eastAsia" w:ascii="宋体" w:hAnsi="宋体" w:eastAsia="宋体"/>
          <w:bCs/>
          <w:sz w:val="24"/>
          <w:szCs w:val="24"/>
        </w:rPr>
        <w:t>¥</w:t>
      </w:r>
      <w:r>
        <w:rPr>
          <w:rFonts w:hint="eastAsia" w:ascii="仿宋" w:hAnsi="仿宋" w:eastAsia="仿宋"/>
          <w:bCs/>
          <w:sz w:val="24"/>
          <w:szCs w:val="24"/>
        </w:rPr>
        <w:t>300000.00</w:t>
      </w:r>
      <w:r>
        <w:rPr>
          <w:rFonts w:ascii="仿宋" w:hAnsi="仿宋" w:eastAsia="仿宋"/>
          <w:bCs/>
          <w:sz w:val="24"/>
          <w:szCs w:val="24"/>
        </w:rPr>
        <w:t>），按折扣率招标，工程量按实结算；</w:t>
      </w:r>
      <w:r>
        <w:rPr>
          <w:rFonts w:hint="eastAsia" w:ascii="仿宋" w:hAnsi="仿宋" w:eastAsia="仿宋"/>
          <w:bCs/>
          <w:sz w:val="24"/>
          <w:szCs w:val="24"/>
          <w:u w:val="none"/>
        </w:rPr>
        <w:t>年度服务期限内，中标单位累计结算金额最高不超过人民币30万元</w:t>
      </w:r>
      <w:r>
        <w:rPr>
          <w:rFonts w:hint="eastAsia" w:ascii="仿宋" w:hAnsi="仿宋" w:eastAsia="仿宋"/>
          <w:bCs/>
          <w:sz w:val="24"/>
          <w:szCs w:val="24"/>
        </w:rPr>
        <w:t>。</w:t>
      </w:r>
    </w:p>
    <w:p>
      <w:pPr>
        <w:spacing w:line="360" w:lineRule="auto"/>
        <w:ind w:firstLine="470" w:firstLineChars="196"/>
        <w:rPr>
          <w:rFonts w:ascii="仿宋" w:hAnsi="仿宋" w:eastAsia="仿宋" w:cs="宋体"/>
          <w:spacing w:val="-4"/>
          <w:sz w:val="24"/>
          <w:szCs w:val="24"/>
        </w:rPr>
      </w:pPr>
      <w:r>
        <w:rPr>
          <w:rFonts w:hint="eastAsia" w:ascii="仿宋" w:hAnsi="仿宋" w:eastAsia="仿宋"/>
          <w:bCs/>
          <w:sz w:val="24"/>
          <w:szCs w:val="24"/>
        </w:rPr>
        <w:t>2.</w:t>
      </w:r>
      <w:r>
        <w:rPr>
          <w:rFonts w:hint="eastAsia" w:ascii="仿宋" w:hAnsi="仿宋" w:eastAsia="仿宋"/>
          <w:sz w:val="24"/>
        </w:rPr>
        <w:t>收费标准：</w:t>
      </w:r>
    </w:p>
    <w:tbl>
      <w:tblPr>
        <w:tblStyle w:val="48"/>
        <w:tblW w:w="8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4678"/>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052" w:type="dxa"/>
            <w:noWrap/>
            <w:vAlign w:val="center"/>
          </w:tcPr>
          <w:p>
            <w:pPr>
              <w:jc w:val="center"/>
              <w:rPr>
                <w:rFonts w:ascii="仿宋" w:hAnsi="仿宋" w:eastAsia="仿宋" w:cs="宋体"/>
                <w:sz w:val="24"/>
                <w:szCs w:val="24"/>
              </w:rPr>
            </w:pPr>
            <w:r>
              <w:rPr>
                <w:rFonts w:hint="eastAsia" w:ascii="仿宋" w:hAnsi="仿宋" w:eastAsia="仿宋" w:cs="宋体"/>
                <w:sz w:val="24"/>
                <w:szCs w:val="24"/>
              </w:rPr>
              <w:t>采购内容</w:t>
            </w:r>
          </w:p>
        </w:tc>
        <w:tc>
          <w:tcPr>
            <w:tcW w:w="4678" w:type="dxa"/>
            <w:noWrap/>
            <w:vAlign w:val="center"/>
          </w:tcPr>
          <w:p>
            <w:pPr>
              <w:jc w:val="center"/>
              <w:rPr>
                <w:rFonts w:ascii="仿宋" w:hAnsi="仿宋" w:eastAsia="仿宋" w:cs="宋体"/>
                <w:sz w:val="24"/>
                <w:szCs w:val="24"/>
              </w:rPr>
            </w:pPr>
            <w:r>
              <w:rPr>
                <w:rFonts w:hint="eastAsia" w:ascii="仿宋" w:hAnsi="仿宋" w:eastAsia="仿宋" w:cs="宋体"/>
                <w:sz w:val="24"/>
                <w:szCs w:val="24"/>
              </w:rPr>
              <w:t>收费标准</w:t>
            </w:r>
          </w:p>
        </w:tc>
        <w:tc>
          <w:tcPr>
            <w:tcW w:w="1624" w:type="dxa"/>
            <w:vAlign w:val="center"/>
          </w:tcPr>
          <w:p>
            <w:pPr>
              <w:jc w:val="center"/>
              <w:rPr>
                <w:rFonts w:ascii="仿宋" w:hAnsi="仿宋" w:eastAsia="仿宋" w:cs="宋体"/>
                <w:sz w:val="24"/>
                <w:szCs w:val="24"/>
              </w:rPr>
            </w:pPr>
            <w:r>
              <w:rPr>
                <w:rFonts w:ascii="仿宋" w:hAnsi="仿宋" w:eastAsia="仿宋" w:cs="宋体"/>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2" w:type="dxa"/>
            <w:noWrap/>
            <w:vAlign w:val="center"/>
          </w:tcPr>
          <w:p>
            <w:pPr>
              <w:jc w:val="center"/>
              <w:rPr>
                <w:rFonts w:ascii="仿宋" w:hAnsi="仿宋" w:eastAsia="仿宋" w:cs="宋体"/>
                <w:sz w:val="24"/>
                <w:szCs w:val="24"/>
              </w:rPr>
            </w:pPr>
            <w:r>
              <w:rPr>
                <w:rFonts w:hint="eastAsia" w:ascii="仿宋" w:hAnsi="仿宋" w:eastAsia="仿宋" w:cs="宋体"/>
                <w:sz w:val="24"/>
                <w:szCs w:val="24"/>
              </w:rPr>
              <w:t>合同履行期限内地质灾害治理工程设计服务工作</w:t>
            </w:r>
          </w:p>
        </w:tc>
        <w:tc>
          <w:tcPr>
            <w:tcW w:w="4678" w:type="dxa"/>
            <w:noWrap/>
            <w:vAlign w:val="center"/>
          </w:tcPr>
          <w:p>
            <w:pPr>
              <w:jc w:val="center"/>
              <w:rPr>
                <w:rFonts w:ascii="仿宋" w:hAnsi="仿宋" w:eastAsia="仿宋" w:cs="宋体"/>
                <w:sz w:val="24"/>
                <w:szCs w:val="24"/>
              </w:rPr>
            </w:pPr>
            <w:r>
              <w:rPr>
                <w:rFonts w:hint="eastAsia" w:ascii="仿宋" w:hAnsi="仿宋" w:eastAsia="仿宋" w:cs="宋体"/>
                <w:spacing w:val="-4"/>
                <w:sz w:val="24"/>
                <w:szCs w:val="24"/>
              </w:rPr>
              <w:t>《工程勘察设计收费标准》（2002年修订本），按中标折扣率和诸暨市人民政府办公室关于加强政府性投资项目工程勘察设计规范管理的意见（试行）（诸政办发〔2016〕69号）文件规定结算服务费。</w:t>
            </w:r>
          </w:p>
        </w:tc>
        <w:tc>
          <w:tcPr>
            <w:tcW w:w="1624" w:type="dxa"/>
            <w:vAlign w:val="center"/>
          </w:tcPr>
          <w:p>
            <w:pPr>
              <w:jc w:val="center"/>
              <w:rPr>
                <w:rFonts w:ascii="仿宋" w:hAnsi="仿宋" w:eastAsia="仿宋" w:cs="宋体"/>
                <w:sz w:val="24"/>
                <w:szCs w:val="24"/>
              </w:rPr>
            </w:pPr>
            <w:r>
              <w:rPr>
                <w:rFonts w:ascii="仿宋" w:hAnsi="仿宋" w:eastAsia="仿宋" w:cs="宋体"/>
                <w:sz w:val="24"/>
                <w:szCs w:val="24"/>
              </w:rPr>
              <w:t>收费标准×</w:t>
            </w:r>
            <w:r>
              <w:rPr>
                <w:rFonts w:hint="eastAsia" w:ascii="仿宋" w:hAnsi="仿宋" w:eastAsia="仿宋" w:cs="宋体"/>
                <w:sz w:val="24"/>
                <w:szCs w:val="24"/>
              </w:rPr>
              <w:t>60%（折扣率）</w:t>
            </w:r>
          </w:p>
        </w:tc>
      </w:tr>
    </w:tbl>
    <w:p>
      <w:pPr>
        <w:spacing w:line="360" w:lineRule="auto"/>
        <w:ind w:firstLine="470" w:firstLineChars="196"/>
        <w:rPr>
          <w:rFonts w:ascii="仿宋" w:hAnsi="仿宋" w:eastAsia="仿宋" w:cs="宋体"/>
          <w:sz w:val="24"/>
          <w:szCs w:val="24"/>
        </w:rPr>
      </w:pPr>
      <w:r>
        <w:rPr>
          <w:rFonts w:hint="eastAsia" w:ascii="仿宋" w:hAnsi="仿宋" w:eastAsia="仿宋" w:cs="宋体"/>
          <w:sz w:val="24"/>
          <w:szCs w:val="24"/>
        </w:rPr>
        <w:t>基本设计收费=工程设计收费基价×专业调整系数×工程复杂程度调整系数×工程附加调整系数（专业调整系数为1，工程附加调整系数为1，工程复杂程度调整系数为1）</w:t>
      </w:r>
    </w:p>
    <w:p>
      <w:pPr>
        <w:spacing w:line="360" w:lineRule="auto"/>
        <w:ind w:firstLine="470" w:firstLineChars="196"/>
        <w:rPr>
          <w:rFonts w:ascii="仿宋" w:hAnsi="仿宋" w:eastAsia="仿宋" w:cs="宋体"/>
          <w:sz w:val="24"/>
          <w:szCs w:val="24"/>
        </w:rPr>
      </w:pPr>
      <w:r>
        <w:rPr>
          <w:rFonts w:hint="eastAsia" w:ascii="仿宋" w:hAnsi="仿宋" w:eastAsia="仿宋" w:cs="宋体"/>
          <w:sz w:val="24"/>
          <w:szCs w:val="24"/>
        </w:rPr>
        <w:t>本项目最终设计收费=基本设计收费×中标折扣率。</w:t>
      </w:r>
    </w:p>
    <w:p>
      <w:pPr>
        <w:spacing w:line="360" w:lineRule="auto"/>
        <w:ind w:firstLine="470" w:firstLineChars="196"/>
        <w:rPr>
          <w:rFonts w:ascii="仿宋" w:hAnsi="仿宋" w:eastAsia="仿宋" w:cs="宋体"/>
          <w:sz w:val="24"/>
          <w:szCs w:val="24"/>
        </w:rPr>
      </w:pPr>
      <w:r>
        <w:rPr>
          <w:rFonts w:hint="eastAsia" w:ascii="仿宋" w:hAnsi="仿宋" w:eastAsia="仿宋" w:cs="宋体"/>
          <w:sz w:val="24"/>
          <w:szCs w:val="24"/>
        </w:rPr>
        <w:t>3.服务期限</w:t>
      </w:r>
      <w:r>
        <w:rPr>
          <w:rFonts w:hint="eastAsia" w:ascii="仿宋" w:hAnsi="仿宋" w:eastAsia="仿宋" w:cs="仿宋"/>
          <w:sz w:val="24"/>
          <w:szCs w:val="24"/>
        </w:rPr>
        <w:t>（</w:t>
      </w:r>
      <w:r>
        <w:rPr>
          <w:rFonts w:hint="eastAsia" w:ascii="仿宋" w:hAnsi="仿宋" w:eastAsia="仿宋" w:cs="仿宋"/>
          <w:sz w:val="24"/>
          <w:szCs w:val="24"/>
          <w:u w:val="single"/>
        </w:rPr>
        <w:t>以先到为准</w:t>
      </w:r>
      <w:r>
        <w:rPr>
          <w:rFonts w:hint="eastAsia" w:ascii="仿宋" w:hAnsi="仿宋" w:eastAsia="仿宋" w:cs="仿宋"/>
          <w:sz w:val="24"/>
          <w:szCs w:val="24"/>
        </w:rPr>
        <w:t>）</w:t>
      </w:r>
      <w:r>
        <w:rPr>
          <w:rFonts w:hint="eastAsia" w:ascii="仿宋" w:hAnsi="仿宋" w:eastAsia="仿宋" w:cs="宋体"/>
          <w:sz w:val="24"/>
          <w:szCs w:val="24"/>
        </w:rPr>
        <w:t>：</w:t>
      </w:r>
      <w:r>
        <w:rPr>
          <w:rFonts w:hint="eastAsia" w:ascii="仿宋" w:hAnsi="仿宋" w:eastAsia="仿宋" w:cs="仿宋"/>
          <w:sz w:val="24"/>
          <w:szCs w:val="24"/>
        </w:rPr>
        <w:t>自合同签订之日起1年或本标项采购预算金额满止。</w:t>
      </w:r>
    </w:p>
    <w:p>
      <w:pPr>
        <w:spacing w:line="360" w:lineRule="auto"/>
        <w:rPr>
          <w:rFonts w:ascii="仿宋" w:hAnsi="仿宋" w:eastAsia="仿宋"/>
          <w:b/>
          <w:bCs/>
          <w:sz w:val="24"/>
          <w:szCs w:val="24"/>
          <w:u w:val="none"/>
        </w:rPr>
      </w:pPr>
      <w:r>
        <w:rPr>
          <w:rFonts w:hint="eastAsia" w:ascii="仿宋" w:hAnsi="仿宋" w:eastAsia="仿宋"/>
          <w:b/>
          <w:bCs/>
          <w:sz w:val="24"/>
          <w:szCs w:val="24"/>
          <w:u w:val="none"/>
        </w:rPr>
        <w:t>二.基本要求</w:t>
      </w:r>
    </w:p>
    <w:p>
      <w:pPr>
        <w:spacing w:line="360" w:lineRule="auto"/>
        <w:ind w:firstLine="470" w:firstLineChars="196"/>
        <w:rPr>
          <w:rFonts w:ascii="仿宋" w:hAnsi="仿宋" w:eastAsia="仿宋"/>
          <w:b/>
          <w:bCs/>
          <w:sz w:val="24"/>
          <w:szCs w:val="24"/>
          <w:u w:val="single"/>
        </w:rPr>
      </w:pPr>
      <w:r>
        <w:rPr>
          <w:rFonts w:ascii="仿宋" w:hAnsi="仿宋" w:eastAsia="仿宋"/>
          <w:bCs/>
          <w:sz w:val="24"/>
          <w:szCs w:val="24"/>
        </w:rPr>
        <w:t>完成项目方案设计及深化、初步设计、施工图设计、概算编制、报批审查配合、按审查和招标人意见对整个设计过程的修改、深化整合和优化设计；按文件要求提供纸质 和电子图纸；设计补图和工程施工阶段的变更联系单；施工配合、验收配合等相关服务； 根据工程实际需要提供现场服务等。</w:t>
      </w:r>
    </w:p>
    <w:p>
      <w:pPr>
        <w:spacing w:line="360" w:lineRule="auto"/>
        <w:rPr>
          <w:rFonts w:ascii="仿宋" w:hAnsi="仿宋" w:eastAsia="仿宋"/>
          <w:b/>
          <w:bCs/>
          <w:sz w:val="24"/>
          <w:szCs w:val="24"/>
          <w:u w:val="none"/>
        </w:rPr>
      </w:pPr>
      <w:r>
        <w:rPr>
          <w:rFonts w:hint="eastAsia" w:ascii="仿宋" w:hAnsi="仿宋" w:eastAsia="仿宋"/>
          <w:b/>
          <w:bCs/>
          <w:sz w:val="24"/>
          <w:szCs w:val="24"/>
          <w:u w:val="none"/>
        </w:rPr>
        <w:t>三.项目技术标准</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1.设计过程和成果必须符合国家有关标准强制性条文现行的标准、规范、规程、定额、办法、示例，以及招标项目所在地设计方面的文件、规定。</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2.中标单位在工作中使用或参考上述标准、规范以外的技术标准、规范时，应征得采购人或采购人的指定代表人的同意。</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3.在合同履行过程中，如果国家或有关部门颁布了新的技术标准或规范，则应采用新的标准或规范进行设计。</w:t>
      </w:r>
    </w:p>
    <w:p>
      <w:pPr>
        <w:spacing w:line="360" w:lineRule="auto"/>
        <w:rPr>
          <w:rFonts w:ascii="仿宋" w:hAnsi="仿宋" w:eastAsia="仿宋"/>
          <w:b/>
          <w:bCs/>
          <w:sz w:val="24"/>
          <w:szCs w:val="24"/>
          <w:u w:val="none"/>
        </w:rPr>
      </w:pPr>
      <w:r>
        <w:rPr>
          <w:rFonts w:hint="eastAsia" w:ascii="仿宋" w:hAnsi="仿宋" w:eastAsia="仿宋"/>
          <w:b/>
          <w:bCs/>
          <w:sz w:val="24"/>
          <w:szCs w:val="24"/>
          <w:u w:val="none"/>
        </w:rPr>
        <w:t>四.甲方承担的主要工作内容及责任</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1.甲方</w:t>
      </w:r>
      <w:r>
        <w:rPr>
          <w:rFonts w:ascii="仿宋" w:hAnsi="仿宋" w:eastAsia="仿宋" w:cs="宋体"/>
          <w:sz w:val="24"/>
          <w:szCs w:val="24"/>
        </w:rPr>
        <w:t>按合同规定的内容，在规定的时间内向</w:t>
      </w:r>
      <w:r>
        <w:rPr>
          <w:rFonts w:hint="eastAsia" w:ascii="仿宋" w:hAnsi="仿宋" w:eastAsia="仿宋" w:cs="宋体"/>
          <w:sz w:val="24"/>
          <w:szCs w:val="24"/>
        </w:rPr>
        <w:t>乙方</w:t>
      </w:r>
      <w:r>
        <w:rPr>
          <w:rFonts w:ascii="仿宋" w:hAnsi="仿宋" w:eastAsia="仿宋" w:cs="宋体"/>
          <w:sz w:val="24"/>
          <w:szCs w:val="24"/>
        </w:rPr>
        <w:t>提交基础资料及文件，并对其完整性、正确性及时限负责。</w:t>
      </w:r>
      <w:r>
        <w:rPr>
          <w:rFonts w:hint="eastAsia" w:ascii="仿宋" w:hAnsi="仿宋" w:eastAsia="仿宋" w:cs="宋体"/>
          <w:sz w:val="24"/>
          <w:szCs w:val="24"/>
        </w:rPr>
        <w:t>甲方</w:t>
      </w:r>
      <w:r>
        <w:rPr>
          <w:rFonts w:ascii="仿宋" w:hAnsi="仿宋" w:eastAsia="仿宋" w:cs="宋体"/>
          <w:sz w:val="24"/>
          <w:szCs w:val="24"/>
        </w:rPr>
        <w:t>不得要求</w:t>
      </w:r>
      <w:r>
        <w:rPr>
          <w:rFonts w:hint="eastAsia" w:ascii="仿宋" w:hAnsi="仿宋" w:eastAsia="仿宋" w:cs="宋体"/>
          <w:sz w:val="24"/>
          <w:szCs w:val="24"/>
        </w:rPr>
        <w:t>乙方</w:t>
      </w:r>
      <w:r>
        <w:rPr>
          <w:rFonts w:ascii="仿宋" w:hAnsi="仿宋" w:eastAsia="仿宋" w:cs="宋体"/>
          <w:sz w:val="24"/>
          <w:szCs w:val="24"/>
        </w:rPr>
        <w:t>违反国家有关标准进行设计。</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甲方</w:t>
      </w:r>
      <w:r>
        <w:rPr>
          <w:rFonts w:ascii="仿宋" w:hAnsi="仿宋" w:eastAsia="仿宋" w:cs="宋体"/>
          <w:sz w:val="24"/>
          <w:szCs w:val="24"/>
        </w:rPr>
        <w:t>提交上述资料及文件超过规定期限15天以内，</w:t>
      </w:r>
      <w:r>
        <w:rPr>
          <w:rFonts w:hint="eastAsia" w:ascii="仿宋" w:hAnsi="仿宋" w:eastAsia="仿宋" w:cs="宋体"/>
          <w:sz w:val="24"/>
          <w:szCs w:val="24"/>
        </w:rPr>
        <w:t>乙方</w:t>
      </w:r>
      <w:r>
        <w:rPr>
          <w:rFonts w:ascii="仿宋" w:hAnsi="仿宋" w:eastAsia="仿宋" w:cs="宋体"/>
          <w:sz w:val="24"/>
          <w:szCs w:val="24"/>
        </w:rPr>
        <w:t>按合同规定的交付设计文件时间顺延；</w:t>
      </w:r>
      <w:r>
        <w:rPr>
          <w:rFonts w:hint="eastAsia" w:ascii="仿宋" w:hAnsi="仿宋" w:eastAsia="仿宋" w:cs="宋体"/>
          <w:sz w:val="24"/>
          <w:szCs w:val="24"/>
        </w:rPr>
        <w:t>甲方</w:t>
      </w:r>
      <w:r>
        <w:rPr>
          <w:rFonts w:ascii="仿宋" w:hAnsi="仿宋" w:eastAsia="仿宋" w:cs="宋体"/>
          <w:sz w:val="24"/>
          <w:szCs w:val="24"/>
        </w:rPr>
        <w:t>交付上述资料及文件超过规定期限15天以上时，</w:t>
      </w:r>
      <w:r>
        <w:rPr>
          <w:rFonts w:hint="eastAsia" w:ascii="仿宋" w:hAnsi="仿宋" w:eastAsia="仿宋" w:cs="宋体"/>
          <w:sz w:val="24"/>
          <w:szCs w:val="24"/>
        </w:rPr>
        <w:t>乙方</w:t>
      </w:r>
      <w:r>
        <w:rPr>
          <w:rFonts w:ascii="仿宋" w:hAnsi="仿宋" w:eastAsia="仿宋" w:cs="宋体"/>
          <w:sz w:val="24"/>
          <w:szCs w:val="24"/>
        </w:rPr>
        <w:t>有权重新确定提交设计文件的时间。</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甲方变更委托设计项目、规模、条件或因提交的资料错误，或所提交资料作较大修改，以致造成乙方设计返工时，三方除另行协商签订补充协议（或另订合同）、重新明确有关条款外，甲方应按乙方所耗工作量向乙方支付返工费。</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3.在合同履行期间，甲方要求终止或解除合同，已开始设计工作的，甲方应根据乙方已进行的实际工作量支付。</w:t>
      </w:r>
    </w:p>
    <w:p>
      <w:pPr>
        <w:spacing w:line="360" w:lineRule="auto"/>
        <w:ind w:firstLine="480" w:firstLineChars="200"/>
        <w:rPr>
          <w:rFonts w:ascii="仿宋" w:hAnsi="仿宋" w:eastAsia="仿宋" w:cs="宋体"/>
          <w:sz w:val="24"/>
          <w:szCs w:val="24"/>
        </w:rPr>
      </w:pPr>
      <w:r>
        <w:rPr>
          <w:rFonts w:ascii="仿宋" w:hAnsi="仿宋" w:eastAsia="仿宋" w:cs="宋体"/>
          <w:sz w:val="24"/>
          <w:szCs w:val="24"/>
        </w:rPr>
        <w:t>4.</w:t>
      </w:r>
      <w:r>
        <w:rPr>
          <w:rFonts w:hint="eastAsia" w:ascii="仿宋" w:hAnsi="仿宋" w:eastAsia="仿宋" w:cs="宋体"/>
          <w:sz w:val="24"/>
          <w:szCs w:val="24"/>
        </w:rPr>
        <w:t>甲方应按合同规定支付设计费。</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甲方应按本合同规定的金额和日期向乙方支付设计费，逾期超过30天以上时，乙方有权暂停履行本工程有关工作，并书面通知甲方。甲方的上级或设计审批部门对设计文件不审批或本合同项目停缓建，甲方均应支付应付的设计费。</w:t>
      </w:r>
    </w:p>
    <w:p>
      <w:pPr>
        <w:spacing w:line="360" w:lineRule="auto"/>
        <w:ind w:firstLine="360" w:firstLineChars="150"/>
        <w:rPr>
          <w:rFonts w:ascii="仿宋" w:hAnsi="仿宋" w:eastAsia="仿宋" w:cs="宋体"/>
          <w:sz w:val="24"/>
          <w:szCs w:val="24"/>
        </w:rPr>
      </w:pPr>
      <w:r>
        <w:rPr>
          <w:rFonts w:hint="eastAsia" w:ascii="仿宋" w:hAnsi="仿宋" w:eastAsia="仿宋" w:cs="宋体"/>
          <w:sz w:val="24"/>
          <w:szCs w:val="24"/>
        </w:rPr>
        <w:t>6.甲方要求乙方比合同规定时间提前交付设计文件时，须征得乙方同意，不得严重背离合理设计周期，且甲方应支付赶工费。</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7.甲方应为乙方派驻现场的工作人员提供工作、生活及交通等方面的便利条件及必要的劳动保护装备。</w:t>
      </w:r>
    </w:p>
    <w:p>
      <w:pPr>
        <w:spacing w:line="360" w:lineRule="auto"/>
        <w:rPr>
          <w:rFonts w:ascii="仿宋" w:hAnsi="仿宋" w:eastAsia="仿宋"/>
          <w:b/>
          <w:bCs/>
          <w:sz w:val="24"/>
          <w:szCs w:val="24"/>
          <w:u w:val="none"/>
        </w:rPr>
      </w:pPr>
      <w:r>
        <w:rPr>
          <w:rFonts w:hint="eastAsia" w:ascii="仿宋" w:hAnsi="仿宋" w:eastAsia="仿宋"/>
          <w:b/>
          <w:bCs/>
          <w:sz w:val="24"/>
          <w:szCs w:val="24"/>
          <w:u w:val="none"/>
        </w:rPr>
        <w:t>五.乙方承担的主要工作内容及责任</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1.乙方应按国家规定和本合同约定的技术规范、标准进行设计，按规定的内容、时间及份数向甲方交付设计文件并对提交的设计文件的质量负责。</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2.乙方确保在规定时间提交设计成果。</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乙方对设计文件出现的遗漏或错误负责修改或补充。由于乙方设计错误造成工程质量事故损失，乙方除负责采取补救措施外，应免收损失部分的设计费，并根据损失程度向甲方支付赔偿金，赔偿金数额由三方商定，最多与免收的设计费金额相等。</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4.乙方交付设计文件后，按规定参加有关上级部门的设计审查，并根据审查结论负责不超出原定范围的内容做必要调整补充，所需费用由乙方负责。</w:t>
      </w:r>
    </w:p>
    <w:p>
      <w:pPr>
        <w:spacing w:line="360" w:lineRule="auto"/>
        <w:ind w:firstLine="480" w:firstLineChars="200"/>
        <w:rPr>
          <w:rFonts w:ascii="仿宋" w:hAnsi="仿宋" w:eastAsia="仿宋"/>
          <w:bCs/>
          <w:sz w:val="24"/>
          <w:szCs w:val="24"/>
        </w:rPr>
      </w:pPr>
      <w:r>
        <w:rPr>
          <w:rFonts w:hint="eastAsia" w:ascii="仿宋" w:hAnsi="仿宋" w:eastAsia="仿宋" w:cs="宋体"/>
          <w:sz w:val="24"/>
          <w:szCs w:val="24"/>
        </w:rPr>
        <w:t>5.设计单位服务质量差，设计内容出错导致承包人损失的，设计单位需承担相应部分设计费扣除处罚，情节严重的采购人可直接解除合同，由此造成的一切后果由设计人承担。</w:t>
      </w:r>
    </w:p>
    <w:p>
      <w:pPr>
        <w:spacing w:line="360" w:lineRule="auto"/>
        <w:rPr>
          <w:rFonts w:ascii="仿宋" w:hAnsi="仿宋" w:eastAsia="仿宋"/>
          <w:b/>
          <w:bCs/>
          <w:sz w:val="24"/>
          <w:szCs w:val="24"/>
          <w:u w:val="none"/>
        </w:rPr>
      </w:pPr>
      <w:r>
        <w:rPr>
          <w:rFonts w:hint="eastAsia" w:ascii="仿宋" w:hAnsi="仿宋" w:eastAsia="仿宋"/>
          <w:b/>
          <w:bCs/>
          <w:sz w:val="24"/>
          <w:szCs w:val="24"/>
          <w:u w:val="none"/>
        </w:rPr>
        <w:t>六.验收</w:t>
      </w:r>
    </w:p>
    <w:p>
      <w:pPr>
        <w:spacing w:line="360" w:lineRule="auto"/>
        <w:ind w:firstLine="480" w:firstLineChars="200"/>
        <w:rPr>
          <w:rFonts w:ascii="仿宋" w:hAnsi="仿宋" w:eastAsia="仿宋"/>
          <w:b/>
          <w:bCs/>
          <w:sz w:val="24"/>
          <w:szCs w:val="24"/>
          <w:u w:val="single"/>
        </w:rPr>
      </w:pPr>
      <w:r>
        <w:rPr>
          <w:rFonts w:hint="eastAsia" w:ascii="仿宋" w:hAnsi="仿宋" w:eastAsia="仿宋" w:cs="仿宋"/>
          <w:sz w:val="24"/>
          <w:szCs w:val="24"/>
        </w:rPr>
        <w:t>严格遵循国家和行业质量验收相关规范、标准执行。</w:t>
      </w:r>
    </w:p>
    <w:p>
      <w:pPr>
        <w:spacing w:line="360" w:lineRule="auto"/>
        <w:rPr>
          <w:rFonts w:ascii="仿宋" w:hAnsi="仿宋" w:eastAsia="仿宋"/>
          <w:b/>
          <w:bCs/>
          <w:sz w:val="24"/>
          <w:szCs w:val="24"/>
          <w:u w:val="none"/>
        </w:rPr>
      </w:pPr>
      <w:r>
        <w:rPr>
          <w:rFonts w:hint="eastAsia" w:ascii="仿宋" w:hAnsi="仿宋" w:eastAsia="仿宋"/>
          <w:b/>
          <w:bCs/>
          <w:sz w:val="24"/>
          <w:szCs w:val="24"/>
          <w:u w:val="none"/>
        </w:rPr>
        <w:t>七.项目成果</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具体成果及数量按采购人实际要求为准。</w:t>
      </w:r>
    </w:p>
    <w:p>
      <w:pPr>
        <w:spacing w:line="360" w:lineRule="auto"/>
        <w:ind w:firstLine="480"/>
        <w:rPr>
          <w:rFonts w:ascii="仿宋" w:hAnsi="仿宋" w:eastAsia="仿宋"/>
          <w:b/>
          <w:bCs/>
          <w:sz w:val="24"/>
          <w:szCs w:val="24"/>
          <w:u w:val="none"/>
        </w:rPr>
      </w:pPr>
      <w:r>
        <w:rPr>
          <w:rFonts w:hint="eastAsia" w:ascii="仿宋" w:hAnsi="仿宋" w:eastAsia="仿宋"/>
          <w:b/>
          <w:bCs/>
          <w:sz w:val="24"/>
          <w:szCs w:val="24"/>
          <w:u w:val="none"/>
        </w:rPr>
        <w:t>八.履约保证金、付款方式</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1.履约保证金</w:t>
      </w:r>
    </w:p>
    <w:p>
      <w:pPr>
        <w:spacing w:line="360" w:lineRule="auto"/>
        <w:ind w:firstLine="480"/>
        <w:rPr>
          <w:rFonts w:ascii="仿宋" w:hAnsi="仿宋" w:eastAsia="仿宋" w:cs="宋体"/>
          <w:sz w:val="24"/>
          <w:szCs w:val="24"/>
        </w:rPr>
      </w:pPr>
      <w:r>
        <w:rPr>
          <w:rFonts w:hint="eastAsia" w:ascii="仿宋" w:hAnsi="仿宋" w:eastAsia="仿宋" w:cs="宋体"/>
          <w:sz w:val="24"/>
          <w:szCs w:val="24"/>
        </w:rPr>
        <w:t>合同签订之日起7个工作日内，中标单位须向采购人缴纳本标项采购预算金额的</w:t>
      </w:r>
      <w:r>
        <w:rPr>
          <w:rFonts w:hint="eastAsia" w:ascii="仿宋" w:hAnsi="仿宋" w:eastAsia="仿宋" w:cs="宋体"/>
          <w:bCs/>
          <w:sz w:val="24"/>
          <w:szCs w:val="24"/>
        </w:rPr>
        <w:t>1%</w:t>
      </w:r>
      <w:r>
        <w:rPr>
          <w:rFonts w:hint="eastAsia" w:ascii="仿宋" w:hAnsi="仿宋" w:eastAsia="仿宋" w:cs="宋体"/>
          <w:sz w:val="24"/>
          <w:szCs w:val="24"/>
        </w:rPr>
        <w:t>作为履约保证金，合同期满且无任何问题15天内退还（不计息）。</w:t>
      </w:r>
    </w:p>
    <w:p>
      <w:pPr>
        <w:spacing w:line="360" w:lineRule="auto"/>
        <w:ind w:firstLine="480"/>
        <w:rPr>
          <w:rFonts w:ascii="仿宋" w:hAnsi="仿宋" w:eastAsia="仿宋" w:cs="宋体"/>
          <w:sz w:val="24"/>
          <w:szCs w:val="24"/>
        </w:rPr>
      </w:pPr>
      <w:r>
        <w:rPr>
          <w:rFonts w:hint="eastAsia" w:ascii="仿宋" w:hAnsi="仿宋" w:eastAsia="仿宋" w:cs="宋体"/>
          <w:sz w:val="24"/>
          <w:szCs w:val="24"/>
        </w:rPr>
        <w:t>2.付款方式</w:t>
      </w:r>
    </w:p>
    <w:p>
      <w:pPr>
        <w:spacing w:line="360" w:lineRule="auto"/>
        <w:ind w:firstLine="480"/>
        <w:rPr>
          <w:rFonts w:ascii="仿宋" w:hAnsi="仿宋" w:eastAsia="仿宋" w:cs="宋体"/>
          <w:sz w:val="24"/>
          <w:szCs w:val="24"/>
        </w:rPr>
      </w:pPr>
      <w:r>
        <w:rPr>
          <w:rFonts w:hint="eastAsia" w:ascii="仿宋" w:hAnsi="仿宋" w:eastAsia="仿宋" w:cs="宋体"/>
          <w:sz w:val="24"/>
          <w:szCs w:val="24"/>
        </w:rPr>
        <w:t>2.1设计费按《工程勘察设计收费标准》（2002年修订本）乘以中标折扣率进行计取（其中：专业调整系数为1，工程附加调整系数为1，工程复杂程度调整系数为1）。所有项目设计费用不设最低价。</w:t>
      </w:r>
    </w:p>
    <w:p>
      <w:pPr>
        <w:spacing w:line="360" w:lineRule="auto"/>
        <w:ind w:firstLine="480"/>
        <w:rPr>
          <w:rFonts w:ascii="仿宋" w:hAnsi="仿宋" w:eastAsia="仿宋" w:cs="宋体"/>
          <w:sz w:val="24"/>
          <w:szCs w:val="24"/>
        </w:rPr>
      </w:pPr>
      <w:r>
        <w:rPr>
          <w:rFonts w:hint="eastAsia" w:ascii="仿宋" w:hAnsi="仿宋" w:eastAsia="仿宋" w:cs="宋体"/>
          <w:sz w:val="24"/>
          <w:szCs w:val="24"/>
        </w:rPr>
        <w:t>2.2合同签订之日起7个工作日内，采购人向中标人支付本标项采购预算金额得20%作为预付款（在签订合同时，中标人明确表示无需预付款或者主动要求降低预付款比例的，采购人可不适用前述规定；支付预付款的，中标人应当向采购人提交发票以及银行、保险公司等金融机构出具的预付款保函）；项目竣工验收后由中标方出具费用结算清单及正式的税务发票，采购单位审核无异议后15个工作日内支付余款（余款=实际结算费用-全部预付款）。</w:t>
      </w:r>
    </w:p>
    <w:p>
      <w:pPr>
        <w:spacing w:line="360" w:lineRule="auto"/>
        <w:ind w:firstLine="480" w:firstLineChars="200"/>
        <w:rPr>
          <w:rFonts w:ascii="仿宋" w:hAnsi="仿宋" w:eastAsia="仿宋"/>
          <w:color w:val="FF0000"/>
          <w:sz w:val="28"/>
          <w:szCs w:val="28"/>
        </w:rPr>
      </w:pPr>
      <w:r>
        <w:rPr>
          <w:rFonts w:ascii="仿宋" w:hAnsi="仿宋" w:eastAsia="仿宋" w:cs="仿宋_GB2312"/>
          <w:kern w:val="16"/>
          <w:sz w:val="24"/>
        </w:rPr>
        <w:t>（注：支付前中标单位需根据采购人要求</w:t>
      </w:r>
      <w:r>
        <w:rPr>
          <w:rFonts w:hint="eastAsia" w:ascii="仿宋" w:hAnsi="仿宋" w:eastAsia="仿宋" w:cs="仿宋_GB2312"/>
          <w:kern w:val="16"/>
          <w:sz w:val="24"/>
        </w:rPr>
        <w:t>提供结算清单及正式的税务发票</w:t>
      </w:r>
      <w:r>
        <w:rPr>
          <w:rFonts w:ascii="仿宋" w:hAnsi="仿宋" w:eastAsia="仿宋" w:cs="仿宋_GB2312"/>
          <w:kern w:val="16"/>
          <w:sz w:val="24"/>
        </w:rPr>
        <w:t>，</w:t>
      </w:r>
      <w:r>
        <w:rPr>
          <w:rFonts w:hint="eastAsia" w:ascii="仿宋" w:hAnsi="仿宋" w:eastAsia="仿宋" w:cs="仿宋_GB2312"/>
          <w:kern w:val="16"/>
          <w:sz w:val="24"/>
        </w:rPr>
        <w:t>因未按要求提供结算清单及正式的税务发票而引起的延迟付款由中标单位自行承担责任</w:t>
      </w:r>
      <w:r>
        <w:rPr>
          <w:rFonts w:ascii="仿宋" w:hAnsi="仿宋" w:eastAsia="仿宋" w:cs="仿宋_GB2312"/>
          <w:kern w:val="16"/>
          <w:sz w:val="24"/>
        </w:rPr>
        <w:t>；</w:t>
      </w:r>
      <w:r>
        <w:rPr>
          <w:rFonts w:hint="eastAsia" w:ascii="仿宋" w:hAnsi="仿宋" w:eastAsia="仿宋" w:cs="宋体"/>
          <w:sz w:val="24"/>
          <w:szCs w:val="24"/>
        </w:rPr>
        <w:t>以上付款时间是指采购人完成向财政部门申报支付手续的时间，因财政部门资金申报、审查、拨付造成的支付时间延误的，不视为采购人违约。</w:t>
      </w:r>
      <w:r>
        <w:rPr>
          <w:rFonts w:ascii="仿宋" w:hAnsi="仿宋" w:eastAsia="仿宋" w:cs="仿宋_GB2312"/>
          <w:kern w:val="16"/>
          <w:sz w:val="24"/>
        </w:rPr>
        <w:t>）</w:t>
      </w:r>
    </w:p>
    <w:p>
      <w:pPr>
        <w:spacing w:line="360" w:lineRule="auto"/>
        <w:rPr>
          <w:rFonts w:ascii="仿宋" w:hAnsi="仿宋" w:eastAsia="仿宋"/>
          <w:b/>
          <w:bCs/>
          <w:sz w:val="24"/>
          <w:szCs w:val="24"/>
          <w:u w:val="none"/>
        </w:rPr>
      </w:pPr>
      <w:r>
        <w:rPr>
          <w:rFonts w:hint="eastAsia" w:ascii="仿宋" w:hAnsi="仿宋" w:eastAsia="仿宋"/>
          <w:b/>
          <w:bCs/>
          <w:sz w:val="24"/>
          <w:szCs w:val="24"/>
          <w:u w:val="none"/>
          <w:lang w:eastAsia="zh-CN"/>
        </w:rPr>
        <w:t>九</w:t>
      </w:r>
      <w:r>
        <w:rPr>
          <w:rFonts w:hint="eastAsia" w:ascii="仿宋" w:hAnsi="仿宋" w:eastAsia="仿宋"/>
          <w:b/>
          <w:bCs/>
          <w:sz w:val="24"/>
          <w:szCs w:val="24"/>
          <w:u w:val="none"/>
          <w:lang w:val="en-US" w:eastAsia="zh-CN"/>
        </w:rPr>
        <w:t>.</w:t>
      </w:r>
      <w:r>
        <w:rPr>
          <w:rFonts w:hint="eastAsia" w:ascii="仿宋" w:hAnsi="仿宋" w:eastAsia="仿宋"/>
          <w:b/>
          <w:bCs/>
          <w:sz w:val="24"/>
          <w:szCs w:val="24"/>
          <w:u w:val="none"/>
        </w:rPr>
        <w:t>报价要求</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本标项投标报价采用折扣率方式报价；</w:t>
      </w:r>
      <w:r>
        <w:rPr>
          <w:rFonts w:hint="eastAsia" w:ascii="仿宋" w:hAnsi="仿宋" w:eastAsia="仿宋" w:cs="仿宋"/>
          <w:b/>
          <w:bCs/>
          <w:sz w:val="24"/>
          <w:szCs w:val="24"/>
          <w:u w:val="none"/>
        </w:rPr>
        <w:t>折扣率报价上限为60%，任何高于60%的报价将被认定为无效报价，作无效投标处理</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b/>
          <w:i/>
          <w:sz w:val="24"/>
          <w:szCs w:val="24"/>
          <w:lang w:eastAsia="zh-CN"/>
        </w:rPr>
      </w:pPr>
      <w:r>
        <w:rPr>
          <w:rFonts w:hint="eastAsia" w:ascii="仿宋" w:hAnsi="仿宋" w:eastAsia="仿宋" w:cs="仿宋"/>
          <w:sz w:val="24"/>
          <w:szCs w:val="24"/>
        </w:rPr>
        <w:t>投标折扣率</w:t>
      </w:r>
      <w:r>
        <w:rPr>
          <w:rFonts w:hint="eastAsia" w:ascii="仿宋" w:hAnsi="仿宋" w:eastAsia="仿宋"/>
          <w:sz w:val="24"/>
          <w:szCs w:val="24"/>
        </w:rPr>
        <w:t>在合同实施期间均保持不变，</w:t>
      </w:r>
      <w:r>
        <w:rPr>
          <w:rFonts w:hint="eastAsia" w:ascii="仿宋" w:hAnsi="仿宋" w:eastAsia="仿宋"/>
          <w:spacing w:val="-6"/>
          <w:sz w:val="24"/>
          <w:szCs w:val="24"/>
        </w:rPr>
        <w:t>报价包括履行本项目所有规定服务所产生的全部</w:t>
      </w:r>
      <w:r>
        <w:rPr>
          <w:rFonts w:hint="eastAsia" w:ascii="仿宋" w:hAnsi="仿宋" w:eastAsia="仿宋"/>
          <w:sz w:val="24"/>
          <w:szCs w:val="24"/>
        </w:rPr>
        <w:t>税金、利润和费用</w:t>
      </w:r>
      <w:r>
        <w:rPr>
          <w:rFonts w:hint="eastAsia" w:ascii="仿宋" w:hAnsi="仿宋" w:eastAsia="仿宋"/>
          <w:spacing w:val="-6"/>
          <w:sz w:val="24"/>
          <w:szCs w:val="24"/>
        </w:rPr>
        <w:t>，</w:t>
      </w:r>
      <w:r>
        <w:rPr>
          <w:rFonts w:hint="eastAsia" w:ascii="仿宋" w:hAnsi="仿宋" w:eastAsia="仿宋" w:cs="宋体"/>
          <w:sz w:val="24"/>
          <w:szCs w:val="24"/>
        </w:rPr>
        <w:t>投标人应充分考虑并将</w:t>
      </w:r>
      <w:r>
        <w:rPr>
          <w:rFonts w:hint="eastAsia" w:ascii="仿宋" w:hAnsi="仿宋" w:eastAsia="仿宋" w:cs="仿宋_GB2312"/>
          <w:sz w:val="24"/>
          <w:lang w:val="zh-CN"/>
        </w:rPr>
        <w:t>有关本项目实施所涉及的一切费用均计入报价。</w:t>
      </w:r>
    </w:p>
    <w:p>
      <w:pPr>
        <w:spacing w:line="360" w:lineRule="auto"/>
        <w:ind w:firstLine="480"/>
        <w:rPr>
          <w:rFonts w:ascii="仿宋" w:hAnsi="仿宋" w:eastAsia="仿宋" w:cs="仿宋"/>
          <w:sz w:val="24"/>
          <w:szCs w:val="24"/>
        </w:rPr>
      </w:pPr>
    </w:p>
    <w:p>
      <w:pPr>
        <w:keepNext w:val="0"/>
        <w:keepLines w:val="0"/>
        <w:pageBreakBefore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en-US" w:eastAsia="zh-CN"/>
        </w:rPr>
      </w:pPr>
    </w:p>
    <w:p>
      <w:pPr>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pageBreakBefore w:val="0"/>
        <w:kinsoku/>
        <w:wordWrap/>
        <w:overflowPunct/>
        <w:topLinePunct w:val="0"/>
        <w:bidi w:val="0"/>
        <w:snapToGrid/>
        <w:spacing w:line="240" w:lineRule="auto"/>
        <w:jc w:val="both"/>
        <w:textAlignment w:val="auto"/>
        <w:outlineLvl w:val="0"/>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pageBreakBefore w:val="0"/>
        <w:kinsoku/>
        <w:wordWrap/>
        <w:overflowPunct/>
        <w:topLinePunct w:val="0"/>
        <w:bidi w:val="0"/>
        <w:snapToGrid/>
        <w:spacing w:line="240" w:lineRule="auto"/>
        <w:jc w:val="center"/>
        <w:textAlignment w:val="auto"/>
        <w:outlineLvl w:val="0"/>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第五部分 政府采购合同参考范本</w:t>
      </w: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lang w:val="en-US" w:eastAsia="zh-CN"/>
        </w:rPr>
        <w:t>供参考）</w:t>
      </w:r>
    </w:p>
    <w:p>
      <w:pPr>
        <w:pageBreakBefore w:val="0"/>
        <w:kinsoku/>
        <w:wordWrap/>
        <w:overflowPunct/>
        <w:topLinePunct w:val="0"/>
        <w:bidi w:val="0"/>
        <w:snapToGrid/>
        <w:spacing w:line="240" w:lineRule="auto"/>
        <w:textAlignment w:val="auto"/>
        <w:rPr>
          <w:rFonts w:hint="eastAsia" w:ascii="仿宋" w:hAnsi="仿宋" w:eastAsia="仿宋" w:cs="仿宋"/>
          <w:color w:val="auto"/>
          <w:sz w:val="24"/>
          <w:highlight w:val="none"/>
        </w:rPr>
      </w:pPr>
    </w:p>
    <w:p>
      <w:pPr>
        <w:pageBreakBefore w:val="0"/>
        <w:kinsoku/>
        <w:wordWrap/>
        <w:overflowPunct/>
        <w:topLinePunct w:val="0"/>
        <w:bidi w:val="0"/>
        <w:snapToGrid/>
        <w:spacing w:line="240" w:lineRule="auto"/>
        <w:textAlignment w:val="auto"/>
        <w:rPr>
          <w:rFonts w:hint="eastAsia" w:ascii="仿宋" w:hAnsi="仿宋" w:eastAsia="仿宋" w:cs="仿宋"/>
          <w:color w:val="auto"/>
          <w:sz w:val="24"/>
          <w:highlight w:val="none"/>
        </w:rPr>
      </w:pPr>
    </w:p>
    <w:p>
      <w:pPr>
        <w:pageBreakBefore w:val="0"/>
        <w:kinsoku/>
        <w:wordWrap/>
        <w:overflowPunct/>
        <w:topLinePunct w:val="0"/>
        <w:bidi w:val="0"/>
        <w:snapToGrid/>
        <w:spacing w:line="24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napToGrid/>
        <w:spacing w:line="240" w:lineRule="auto"/>
        <w:jc w:val="center"/>
        <w:textAlignment w:val="auto"/>
        <w:rPr>
          <w:rFonts w:hint="eastAsia" w:ascii="仿宋" w:hAnsi="仿宋" w:eastAsia="仿宋" w:cs="仿宋"/>
          <w:b/>
          <w:color w:val="auto"/>
          <w:sz w:val="28"/>
          <w:szCs w:val="28"/>
          <w:highlight w:val="none"/>
        </w:rPr>
      </w:pPr>
    </w:p>
    <w:p>
      <w:pPr>
        <w:pageBreakBefore w:val="0"/>
        <w:kinsoku/>
        <w:wordWrap/>
        <w:overflowPunct/>
        <w:topLinePunct w:val="0"/>
        <w:bidi w:val="0"/>
        <w:snapToGrid/>
        <w:spacing w:line="240" w:lineRule="auto"/>
        <w:jc w:val="center"/>
        <w:textAlignment w:val="auto"/>
        <w:rPr>
          <w:rFonts w:hint="eastAsia" w:ascii="仿宋" w:hAnsi="仿宋" w:eastAsia="仿宋" w:cs="仿宋"/>
          <w:b/>
          <w:color w:val="auto"/>
          <w:sz w:val="24"/>
          <w:highlight w:val="none"/>
        </w:rPr>
      </w:pPr>
    </w:p>
    <w:p>
      <w:pPr>
        <w:pageBreakBefore w:val="0"/>
        <w:kinsoku/>
        <w:wordWrap/>
        <w:overflowPunct/>
        <w:topLinePunct w:val="0"/>
        <w:bidi w:val="0"/>
        <w:snapToGrid/>
        <w:spacing w:line="240" w:lineRule="auto"/>
        <w:jc w:val="center"/>
        <w:textAlignment w:val="auto"/>
        <w:rPr>
          <w:rFonts w:hint="eastAsia" w:ascii="仿宋" w:hAnsi="仿宋" w:eastAsia="仿宋" w:cs="仿宋"/>
          <w:b/>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36"/>
          <w:szCs w:val="36"/>
          <w:highlight w:val="none"/>
        </w:rPr>
      </w:pPr>
    </w:p>
    <w:p>
      <w:pPr>
        <w:pStyle w:val="203"/>
        <w:pageBreakBefore w:val="0"/>
        <w:kinsoku/>
        <w:wordWrap/>
        <w:overflowPunct/>
        <w:topLinePunct w:val="0"/>
        <w:bidi w:val="0"/>
        <w:snapToGrid/>
        <w:spacing w:after="0" w:line="240" w:lineRule="auto"/>
        <w:ind w:firstLine="3331" w:firstLineChars="158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通用合同书</w:t>
      </w:r>
    </w:p>
    <w:p>
      <w:pPr>
        <w:pStyle w:val="203"/>
        <w:pageBreakBefore w:val="0"/>
        <w:kinsoku/>
        <w:wordWrap/>
        <w:overflowPunct/>
        <w:topLinePunct w:val="0"/>
        <w:bidi w:val="0"/>
        <w:snapToGrid/>
        <w:spacing w:after="0" w:line="240" w:lineRule="auto"/>
        <w:textAlignment w:val="auto"/>
        <w:rPr>
          <w:rFonts w:hint="eastAsia" w:ascii="仿宋" w:hAnsi="仿宋" w:eastAsia="仿宋" w:cs="仿宋"/>
          <w:color w:val="auto"/>
          <w:szCs w:val="24"/>
          <w:highlight w:val="none"/>
        </w:rPr>
      </w:pPr>
    </w:p>
    <w:p>
      <w:pPr>
        <w:pStyle w:val="203"/>
        <w:pageBreakBefore w:val="0"/>
        <w:kinsoku/>
        <w:wordWrap/>
        <w:overflowPunct/>
        <w:topLinePunct w:val="0"/>
        <w:bidi w:val="0"/>
        <w:snapToGrid/>
        <w:spacing w:after="0" w:line="240" w:lineRule="auto"/>
        <w:textAlignment w:val="auto"/>
        <w:rPr>
          <w:rFonts w:hint="eastAsia" w:ascii="仿宋" w:hAnsi="仿宋" w:eastAsia="仿宋" w:cs="仿宋"/>
          <w:color w:val="auto"/>
          <w:szCs w:val="24"/>
          <w:highlight w:val="none"/>
        </w:rPr>
      </w:pPr>
    </w:p>
    <w:p>
      <w:pPr>
        <w:pStyle w:val="15"/>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p>
    <w:p>
      <w:pPr>
        <w:pageBreakBefore w:val="0"/>
        <w:kinsoku/>
        <w:wordWrap/>
        <w:overflowPunct/>
        <w:topLinePunct w:val="0"/>
        <w:bidi w:val="0"/>
        <w:snapToGrid/>
        <w:spacing w:line="240" w:lineRule="auto"/>
        <w:textAlignment w:val="auto"/>
        <w:rPr>
          <w:rFonts w:hint="eastAsia" w:ascii="仿宋" w:hAnsi="仿宋" w:eastAsia="仿宋" w:cs="仿宋"/>
          <w:color w:val="auto"/>
          <w:sz w:val="24"/>
          <w:highlight w:val="none"/>
        </w:rPr>
      </w:pPr>
    </w:p>
    <w:p>
      <w:pPr>
        <w:pageBreakBefore w:val="0"/>
        <w:kinsoku/>
        <w:wordWrap/>
        <w:overflowPunct/>
        <w:topLinePunct w:val="0"/>
        <w:bidi w:val="0"/>
        <w:snapToGrid/>
        <w:spacing w:line="240" w:lineRule="auto"/>
        <w:ind w:left="96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254"/>
        <w:pageBreakBefore w:val="0"/>
        <w:kinsoku/>
        <w:wordWrap/>
        <w:overflowPunct/>
        <w:topLinePunct w:val="0"/>
        <w:bidi w:val="0"/>
        <w:snapToGrid/>
        <w:spacing w:line="240" w:lineRule="auto"/>
        <w:textAlignment w:val="auto"/>
        <w:rPr>
          <w:rFonts w:hint="eastAsia" w:ascii="仿宋" w:hAnsi="仿宋" w:eastAsia="仿宋" w:cs="仿宋"/>
          <w:color w:val="auto"/>
          <w:szCs w:val="24"/>
          <w:highlight w:val="none"/>
        </w:rPr>
      </w:pPr>
    </w:p>
    <w:p>
      <w:pPr>
        <w:pStyle w:val="254"/>
        <w:pageBreakBefore w:val="0"/>
        <w:kinsoku/>
        <w:wordWrap/>
        <w:overflowPunct/>
        <w:topLinePunct w:val="0"/>
        <w:bidi w:val="0"/>
        <w:snapToGrid/>
        <w:spacing w:line="240" w:lineRule="auto"/>
        <w:textAlignment w:val="auto"/>
        <w:rPr>
          <w:rFonts w:hint="eastAsia" w:ascii="仿宋" w:hAnsi="仿宋" w:eastAsia="仿宋" w:cs="仿宋"/>
          <w:color w:val="auto"/>
          <w:szCs w:val="24"/>
          <w:highlight w:val="none"/>
        </w:rPr>
      </w:pPr>
    </w:p>
    <w:p>
      <w:pPr>
        <w:pageBreakBefore w:val="0"/>
        <w:kinsoku/>
        <w:wordWrap/>
        <w:overflowPunct/>
        <w:topLinePunct w:val="0"/>
        <w:bidi w:val="0"/>
        <w:snapToGrid/>
        <w:spacing w:line="240" w:lineRule="auto"/>
        <w:textAlignment w:val="auto"/>
        <w:rPr>
          <w:rFonts w:hint="eastAsia" w:ascii="仿宋" w:hAnsi="仿宋" w:eastAsia="仿宋" w:cs="仿宋"/>
          <w:color w:val="auto"/>
          <w:sz w:val="24"/>
          <w:highlight w:val="none"/>
        </w:rPr>
      </w:pPr>
    </w:p>
    <w:p>
      <w:pPr>
        <w:pageBreakBefore w:val="0"/>
        <w:kinsoku/>
        <w:wordWrap/>
        <w:overflowPunct/>
        <w:topLinePunct w:val="0"/>
        <w:bidi w:val="0"/>
        <w:snapToGrid/>
        <w:spacing w:line="240" w:lineRule="auto"/>
        <w:ind w:left="96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napToGrid/>
        <w:spacing w:line="240" w:lineRule="auto"/>
        <w:textAlignment w:val="auto"/>
        <w:rPr>
          <w:rFonts w:hint="eastAsia" w:ascii="仿宋" w:hAnsi="仿宋" w:eastAsia="仿宋" w:cs="仿宋"/>
          <w:color w:val="auto"/>
          <w:sz w:val="24"/>
          <w:highlight w:val="none"/>
        </w:rPr>
      </w:pPr>
    </w:p>
    <w:p>
      <w:pPr>
        <w:pageBreakBefore w:val="0"/>
        <w:kinsoku/>
        <w:wordWrap/>
        <w:overflowPunct/>
        <w:topLinePunct w:val="0"/>
        <w:bidi w:val="0"/>
        <w:snapToGrid/>
        <w:spacing w:line="240" w:lineRule="auto"/>
        <w:ind w:left="96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napToGrid/>
        <w:spacing w:line="240" w:lineRule="auto"/>
        <w:textAlignment w:val="auto"/>
        <w:rPr>
          <w:rFonts w:hint="eastAsia" w:ascii="仿宋" w:hAnsi="仿宋" w:eastAsia="仿宋" w:cs="仿宋"/>
          <w:color w:val="auto"/>
          <w:sz w:val="24"/>
          <w:highlight w:val="none"/>
        </w:rPr>
      </w:pPr>
    </w:p>
    <w:p>
      <w:pPr>
        <w:pageBreakBefore w:val="0"/>
        <w:kinsoku/>
        <w:wordWrap/>
        <w:overflowPunct/>
        <w:topLinePunct w:val="0"/>
        <w:bidi w:val="0"/>
        <w:snapToGrid/>
        <w:spacing w:line="240" w:lineRule="auto"/>
        <w:ind w:firstLine="960" w:firstLineChars="4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napToGrid/>
        <w:spacing w:line="240" w:lineRule="auto"/>
        <w:textAlignment w:val="auto"/>
        <w:rPr>
          <w:rFonts w:hint="eastAsia" w:ascii="仿宋" w:hAnsi="仿宋" w:eastAsia="仿宋" w:cs="仿宋"/>
          <w:color w:val="auto"/>
          <w:sz w:val="24"/>
          <w:highlight w:val="none"/>
        </w:rPr>
      </w:pPr>
    </w:p>
    <w:p>
      <w:pPr>
        <w:pageBreakBefore w:val="0"/>
        <w:kinsoku/>
        <w:wordWrap/>
        <w:overflowPunct/>
        <w:topLinePunct w:val="0"/>
        <w:bidi w:val="0"/>
        <w:snapToGrid/>
        <w:spacing w:line="240" w:lineRule="auto"/>
        <w:ind w:firstLine="960" w:firstLineChars="400"/>
        <w:textAlignment w:val="auto"/>
        <w:rPr>
          <w:rFonts w:hint="eastAsia" w:ascii="仿宋" w:hAnsi="仿宋" w:eastAsia="仿宋" w:cs="仿宋"/>
          <w:color w:val="auto"/>
          <w:kern w:val="0"/>
          <w:sz w:val="24"/>
          <w:highlight w:val="none"/>
        </w:rPr>
        <w:sectPr>
          <w:footerReference r:id="rId13" w:type="default"/>
          <w:pgSz w:w="11907" w:h="16840"/>
          <w:pgMar w:top="1474" w:right="1814" w:bottom="1474" w:left="1814" w:header="851" w:footer="851" w:gutter="0"/>
          <w:cols w:space="720" w:num="1"/>
        </w:sect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u w:val="single"/>
        </w:rPr>
      </w:pP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（项目名称）经</w:t>
      </w:r>
      <w:r>
        <w:rPr>
          <w:rFonts w:hint="eastAsia" w:ascii="仿宋" w:hAnsi="仿宋" w:eastAsia="仿宋" w:cs="仿宋"/>
          <w:color w:val="auto"/>
          <w:highlight w:val="none"/>
          <w:lang w:eastAsia="zh-CN"/>
        </w:rPr>
        <w:t>浙江中通通信有限公司</w:t>
      </w:r>
      <w:r>
        <w:rPr>
          <w:rFonts w:hint="eastAsia" w:ascii="仿宋" w:hAnsi="仿宋" w:eastAsia="仿宋" w:cs="仿宋"/>
          <w:color w:val="auto"/>
          <w:highlight w:val="none"/>
        </w:rPr>
        <w:t>以招标文件（编号：</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）进行公开招标。甲方确定</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（乙方）为中标人。甲、乙双方依据《中华人民共和国政府采购法》、《中华人民共和国民法典》，在平等自愿的基础上，同意按照下面的条款和条件，签署本合同。</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u w:val="single"/>
        </w:rPr>
      </w:pPr>
      <w:r>
        <w:rPr>
          <w:rFonts w:hint="eastAsia" w:ascii="仿宋" w:hAnsi="仿宋" w:eastAsia="仿宋" w:cs="仿宋"/>
          <w:b/>
          <w:bCs/>
          <w:color w:val="auto"/>
          <w:highlight w:val="none"/>
        </w:rPr>
        <w:t>（一）项目采购依据</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政府采购预算执行确认书。 </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（二）下列文件构成本合同的组成部分</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以下文件为本合同的组成部分，应该认为是一个整体，彼此相互解释，相互补充。</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a. 本合同书</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b. 中标通知书</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c. 询标承诺</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d. 投标文件</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e. 招标文件</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（三）合同标的物</w:t>
      </w:r>
    </w:p>
    <w:tbl>
      <w:tblPr>
        <w:tblStyle w:val="48"/>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产品名称</w:t>
            </w:r>
          </w:p>
        </w:tc>
        <w:tc>
          <w:tcPr>
            <w:tcW w:w="3960"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规格、型号（或服务内容）</w:t>
            </w:r>
          </w:p>
        </w:tc>
        <w:tc>
          <w:tcPr>
            <w:tcW w:w="1080"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260"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单价（元）</w:t>
            </w:r>
          </w:p>
        </w:tc>
        <w:tc>
          <w:tcPr>
            <w:tcW w:w="1440"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3960"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080"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260"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440"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3960"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080"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260"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440"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3960"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080"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260"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440"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r>
    </w:tbl>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（具体标的物或服务内容可根据实际修改）</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（四）合同总价</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本合同总价为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元人民币，大写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（五）合同价款的支付</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1.本合同中甲乙双方之间所发生的一切费用以人民币进行结算。</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2.支付方式：</w:t>
      </w:r>
    </w:p>
    <w:tbl>
      <w:tblPr>
        <w:tblStyle w:val="48"/>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付款次数</w:t>
            </w:r>
          </w:p>
        </w:tc>
        <w:tc>
          <w:tcPr>
            <w:tcW w:w="1985"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约定支付条件</w:t>
            </w:r>
          </w:p>
        </w:tc>
        <w:tc>
          <w:tcPr>
            <w:tcW w:w="4394"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付款条件</w:t>
            </w:r>
          </w:p>
        </w:tc>
        <w:tc>
          <w:tcPr>
            <w:tcW w:w="1413"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985"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4394"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413"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985"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4394"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413"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985" w:type="dxa"/>
            <w:noWrap w:val="0"/>
            <w:vAlign w:val="center"/>
          </w:tcPr>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p>
        </w:tc>
        <w:tc>
          <w:tcPr>
            <w:tcW w:w="4394"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413"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r>
    </w:tbl>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3.甲方应付合同款至以下乙方指定的银行账户：</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开户名称：</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开户银行：</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账 号：</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（六）履约保证金</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按招标文件执行。</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（七）服务要求</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服务期内，乙方应在充分了解甲方现有环境基础上，提供规范化、高质量的服务，具体服务内容与要求详见附件。</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履行期限：</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履行地点：</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（八）服务人员</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甲乙双方指定代表，作为履行本合同服务事宜的主要联系人。</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甲方代表：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电话：</w:t>
      </w:r>
      <w:r>
        <w:rPr>
          <w:rFonts w:hint="eastAsia" w:ascii="仿宋" w:hAnsi="仿宋" w:eastAsia="仿宋" w:cs="仿宋"/>
          <w:color w:val="auto"/>
          <w:highlight w:val="none"/>
          <w:u w:val="single"/>
        </w:rPr>
        <w:t xml:space="preserve">                     </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乙方代表：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电话：</w:t>
      </w:r>
      <w:r>
        <w:rPr>
          <w:rFonts w:hint="eastAsia" w:ascii="仿宋" w:hAnsi="仿宋" w:eastAsia="仿宋" w:cs="仿宋"/>
          <w:color w:val="auto"/>
          <w:highlight w:val="none"/>
          <w:u w:val="single"/>
        </w:rPr>
        <w:t xml:space="preserve">                     </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（九）服务考核</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甲方对乙方服务质量进行客观评估，具体考核办法（如有）作为合同附件。</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（十）违约责任</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除合同规定的不可抗力外，如果乙方没有按照合同规定的时间提供服务，甲方可要求乙方支付违约金。违约金按每周合同款的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%计收。但违约金的最高限额为合同价的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%。一周按 7 天计算，不足 7 天按一周计算。如果达到最高限额，甲方有权解除合同。</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项目结束时验收不合格，乙方应在收到甲方通知后</w:t>
      </w:r>
      <w:r>
        <w:rPr>
          <w:rFonts w:hint="eastAsia" w:ascii="仿宋" w:hAnsi="仿宋" w:eastAsia="仿宋" w:cs="仿宋"/>
          <w:color w:val="auto"/>
          <w:highlight w:val="none"/>
          <w:u w:val="single"/>
        </w:rPr>
        <w:t xml:space="preserve"> 7 </w:t>
      </w:r>
      <w:r>
        <w:rPr>
          <w:rFonts w:hint="eastAsia" w:ascii="仿宋" w:hAnsi="仿宋" w:eastAsia="仿宋" w:cs="仿宋"/>
          <w:color w:val="auto"/>
          <w:highlight w:val="none"/>
        </w:rPr>
        <w:t>日内退还甲方已支付的合同款，逾期退还合同款的，每日按未退还金额的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%支付违约金。</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其他违约条款双方协商确定：</w:t>
      </w:r>
      <w:r>
        <w:rPr>
          <w:rFonts w:hint="eastAsia" w:ascii="仿宋" w:hAnsi="仿宋" w:eastAsia="仿宋" w:cs="仿宋"/>
          <w:color w:val="auto"/>
          <w:highlight w:val="none"/>
          <w:u w:val="single"/>
        </w:rPr>
        <w:t>如甲方未按约定支付款项的，应向乙方支付逾期利息，利率为合同订立时1年期贷款市场报价利率。</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（十一）解决争议的方法</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color w:val="auto"/>
          <w:highlight w:val="none"/>
          <w:u w:val="single"/>
        </w:rPr>
        <w:t xml:space="preserve">（1）向绍兴市仲裁委员会申请仲裁；（2）向  </w:t>
      </w:r>
      <w:r>
        <w:rPr>
          <w:rFonts w:hint="eastAsia" w:ascii="仿宋" w:hAnsi="仿宋" w:eastAsia="仿宋" w:cs="仿宋"/>
          <w:color w:val="auto"/>
          <w:highlight w:val="none"/>
          <w:u w:val="single"/>
          <w:lang w:val="en-US" w:eastAsia="zh-CN"/>
        </w:rPr>
        <w:t>诸暨市</w:t>
      </w:r>
      <w:r>
        <w:rPr>
          <w:rFonts w:hint="eastAsia" w:ascii="仿宋" w:hAnsi="仿宋" w:eastAsia="仿宋" w:cs="仿宋"/>
          <w:color w:val="auto"/>
          <w:highlight w:val="none"/>
          <w:u w:val="single"/>
        </w:rPr>
        <w:t xml:space="preserve"> 人民法院起诉</w:t>
      </w:r>
      <w:r>
        <w:rPr>
          <w:rFonts w:hint="eastAsia" w:ascii="仿宋" w:hAnsi="仿宋" w:eastAsia="仿宋" w:cs="仿宋"/>
          <w:color w:val="auto"/>
          <w:highlight w:val="none"/>
        </w:rPr>
        <w:t>。诉讼费用除人民法院另有裁决外，应由败诉方负担。</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（十二）违约解除合同</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1.在乙方违约的情况下，甲方可向乙方发出书面通知，部分或全部终止合同,同时保留向乙方追诉的权利：</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乙方未能在合同规定的限期或甲方同意延长的限期内，提供全部或部分标的物的；</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乙方未能履行合同规定的其它主要义务的；</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甲方认为乙方在本合同履行过程中有腐败和欺诈等行为的。</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2.甲方解除合同的，合同于甲方发出书面解除合同通知书送达乙方之日起解除。乙方应在合同解除后</w:t>
      </w:r>
      <w:r>
        <w:rPr>
          <w:rFonts w:hint="eastAsia" w:ascii="仿宋" w:hAnsi="仿宋" w:eastAsia="仿宋" w:cs="仿宋"/>
          <w:color w:val="auto"/>
          <w:highlight w:val="none"/>
          <w:u w:val="single"/>
        </w:rPr>
        <w:t xml:space="preserve"> 7 </w:t>
      </w:r>
      <w:r>
        <w:rPr>
          <w:rFonts w:hint="eastAsia" w:ascii="仿宋" w:hAnsi="仿宋" w:eastAsia="仿宋" w:cs="仿宋"/>
          <w:color w:val="auto"/>
          <w:highlight w:val="none"/>
        </w:rPr>
        <w:t>日内退还甲方已支付的合同款，逾期退还合同款的，每日按未退还金额的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%支付违约金。</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（十三）破产终止合同</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（十四）转让和分包</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1.政府采购合同不能转让。</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2.本项目内容</w:t>
      </w:r>
      <w:r>
        <w:rPr>
          <w:rFonts w:hint="eastAsia" w:ascii="仿宋" w:hAnsi="仿宋" w:eastAsia="仿宋" w:cs="仿宋"/>
          <w:color w:val="auto"/>
          <w:highlight w:val="none"/>
          <w:u w:val="single"/>
        </w:rPr>
        <w:t>不</w:t>
      </w:r>
      <w:r>
        <w:rPr>
          <w:rFonts w:hint="eastAsia" w:ascii="仿宋" w:hAnsi="仿宋" w:eastAsia="仿宋" w:cs="仿宋"/>
          <w:color w:val="auto"/>
          <w:highlight w:val="none"/>
        </w:rPr>
        <w:t>允许分包（按照招标文件要求）。</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（十五）合同变更、解除</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（十六）通知</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本合同任何一方给另一方的通知，都应以书面形式发送，而另一方也应以书面形式确认并发送到对方明确的地址。</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（十七）计量单位</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除技术规范中另有规定外，计量单位均使用国家法定计量单位。</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（十八）不可抗力</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1.如果双方中任何一方遭遇法律规定的不可抗力，致使合同履行受阻时，履行合同的期限应予延长，延长的期限应相当于不可抗力所影响的时间。</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2.受事故影响的一方应在不可抗力的事故发生后尽快书面形式通知另一方，并在事故发生后合同规定时间内，将有关部门出具的证明文件送达另一方。</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3.不可抗力使合同的某些内容有变更必要的，双方应通过协商达成进一步履行合同的协议，因不可抗力致使合同不能履行的，合同终止。</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（十九）合同解释</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本合同应按照《中华人民共和国政府采购法》、《中华人民共和国民法典》、《浙江省政府采购合同暂行办法》等进行解释。</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（二十）合同的生效及其他</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政府采购项目的采购合同内容的确定应以招标文件和投标文件为基础，不得违背其实质性内容。</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合同将在双方签字盖章后开始生效。授权代表签署的应附法定代表人授权书。</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（二十一）合同附件（如有）</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（二十二）合同份数</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本合同一式</w:t>
      </w:r>
      <w:r>
        <w:rPr>
          <w:rFonts w:hint="eastAsia" w:ascii="仿宋" w:hAnsi="仿宋" w:eastAsia="仿宋" w:cs="仿宋"/>
          <w:color w:val="auto"/>
          <w:highlight w:val="none"/>
          <w:u w:val="single"/>
        </w:rPr>
        <w:t>五</w:t>
      </w:r>
      <w:r>
        <w:rPr>
          <w:rFonts w:hint="eastAsia" w:ascii="仿宋" w:hAnsi="仿宋" w:eastAsia="仿宋" w:cs="仿宋"/>
          <w:color w:val="auto"/>
          <w:highlight w:val="none"/>
        </w:rPr>
        <w:t>份，具同等法律效力。</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甲方</w:t>
            </w:r>
          </w:p>
        </w:tc>
        <w:tc>
          <w:tcPr>
            <w:tcW w:w="4234"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noWrap w:val="0"/>
            <w:vAlign w:val="top"/>
          </w:tcPr>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单位名称（盖章）</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单位地址：</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法定代表人：</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委托代理人：</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联系电话：</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传真号码：</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邮政编码：</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开户银行：</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账    号：</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税    号：</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签订时间：</w:t>
            </w:r>
          </w:p>
        </w:tc>
        <w:tc>
          <w:tcPr>
            <w:tcW w:w="4234" w:type="dxa"/>
            <w:noWrap w:val="0"/>
            <w:vAlign w:val="top"/>
          </w:tcPr>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单位名称（盖章）</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单位地址：</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法定代表人：</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委托代理人：</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联系电话：</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传真号码：</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邮政编码：</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开户银行：</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账    号：</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税    号：</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签订时间：</w:t>
            </w:r>
          </w:p>
        </w:tc>
      </w:tr>
    </w:tbl>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p>
    <w:p>
      <w:pPr>
        <w:pageBreakBefore w:val="0"/>
        <w:kinsoku/>
        <w:wordWrap/>
        <w:overflowPunct/>
        <w:topLinePunct w:val="0"/>
        <w:bidi w:val="0"/>
        <w:snapToGrid/>
        <w:spacing w:line="240" w:lineRule="auto"/>
        <w:ind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（注：在正式签约时，双方可以根据上述要求应拟定更为详尽的合同书）</w:t>
      </w:r>
    </w:p>
    <w:p>
      <w:pPr>
        <w:spacing w:line="240" w:lineRule="auto"/>
        <w:ind w:left="-420" w:leftChars="-200" w:right="-420" w:rightChars="-200" w:firstLine="480" w:firstLineChars="200"/>
        <w:jc w:val="center"/>
        <w:outlineLvl w:val="0"/>
        <w:rPr>
          <w:rFonts w:ascii="仿宋" w:hAnsi="仿宋" w:eastAsia="仿宋"/>
          <w:color w:val="auto"/>
          <w:sz w:val="24"/>
          <w:highlight w:val="none"/>
        </w:rPr>
      </w:pPr>
    </w:p>
    <w:p>
      <w:pPr>
        <w:jc w:val="center"/>
        <w:rPr>
          <w:rFonts w:hint="eastAsia" w:ascii="仿宋" w:hAnsi="仿宋" w:eastAsia="仿宋"/>
          <w:b/>
          <w:color w:val="auto"/>
          <w:sz w:val="44"/>
          <w:szCs w:val="44"/>
        </w:rPr>
      </w:pPr>
    </w:p>
    <w:p>
      <w:pPr>
        <w:jc w:val="center"/>
        <w:rPr>
          <w:rFonts w:hint="eastAsia" w:ascii="仿宋" w:hAnsi="仿宋" w:eastAsia="仿宋"/>
          <w:b/>
          <w:color w:val="auto"/>
          <w:sz w:val="44"/>
          <w:szCs w:val="44"/>
        </w:rPr>
      </w:pPr>
    </w:p>
    <w:p>
      <w:pPr>
        <w:pStyle w:val="3"/>
        <w:rPr>
          <w:rFonts w:hint="eastAsia" w:ascii="仿宋" w:hAnsi="仿宋" w:eastAsia="仿宋"/>
          <w:b/>
          <w:color w:val="auto"/>
          <w:sz w:val="44"/>
          <w:szCs w:val="44"/>
        </w:rPr>
      </w:pPr>
    </w:p>
    <w:p>
      <w:pPr>
        <w:rPr>
          <w:rFonts w:hint="eastAsia" w:ascii="仿宋" w:hAnsi="仿宋" w:eastAsia="仿宋"/>
          <w:b/>
          <w:color w:val="auto"/>
          <w:sz w:val="44"/>
          <w:szCs w:val="44"/>
        </w:rPr>
      </w:pPr>
    </w:p>
    <w:p>
      <w:pPr>
        <w:rPr>
          <w:rFonts w:hint="eastAsia" w:ascii="仿宋" w:hAnsi="仿宋" w:eastAsia="仿宋"/>
          <w:b/>
          <w:color w:val="auto"/>
          <w:sz w:val="44"/>
          <w:szCs w:val="44"/>
        </w:rPr>
      </w:pPr>
    </w:p>
    <w:p>
      <w:pPr>
        <w:spacing w:line="240" w:lineRule="auto"/>
        <w:jc w:val="center"/>
        <w:rPr>
          <w:rFonts w:hint="eastAsia" w:ascii="仿宋" w:hAnsi="仿宋" w:eastAsia="仿宋" w:cs="仿宋"/>
          <w:b/>
          <w:color w:val="auto"/>
          <w:sz w:val="36"/>
          <w:szCs w:val="20"/>
          <w:highlight w:val="none"/>
        </w:rPr>
      </w:pPr>
    </w:p>
    <w:p>
      <w:pPr>
        <w:spacing w:line="240" w:lineRule="auto"/>
        <w:jc w:val="center"/>
        <w:rPr>
          <w:rFonts w:hint="eastAsia" w:ascii="仿宋" w:hAnsi="仿宋" w:eastAsia="仿宋" w:cs="仿宋"/>
          <w:b/>
          <w:color w:val="auto"/>
          <w:sz w:val="36"/>
          <w:szCs w:val="20"/>
          <w:highlight w:val="none"/>
        </w:rPr>
      </w:pPr>
    </w:p>
    <w:p>
      <w:pPr>
        <w:spacing w:line="240" w:lineRule="auto"/>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应提交的有关格式范例</w:t>
      </w:r>
    </w:p>
    <w:p>
      <w:pPr>
        <w:spacing w:line="240" w:lineRule="auto"/>
        <w:jc w:val="center"/>
        <w:outlineLvl w:val="0"/>
        <w:rPr>
          <w:rFonts w:hint="eastAsia" w:ascii="仿宋" w:hAnsi="仿宋" w:eastAsia="仿宋" w:cs="仿宋"/>
          <w:b/>
          <w:color w:val="auto"/>
          <w:kern w:val="0"/>
          <w:sz w:val="36"/>
          <w:szCs w:val="36"/>
          <w:highlight w:val="none"/>
        </w:rPr>
      </w:pPr>
    </w:p>
    <w:p>
      <w:pPr>
        <w:spacing w:line="24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24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240" w:lineRule="auto"/>
        <w:jc w:val="center"/>
        <w:outlineLvl w:val="0"/>
        <w:rPr>
          <w:rFonts w:hint="eastAsia" w:ascii="仿宋" w:hAnsi="仿宋" w:eastAsia="仿宋" w:cs="仿宋"/>
          <w:b/>
          <w:color w:val="auto"/>
          <w:kern w:val="0"/>
          <w:sz w:val="36"/>
          <w:szCs w:val="36"/>
          <w:highlight w:val="none"/>
        </w:rPr>
      </w:pPr>
    </w:p>
    <w:p>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（2）落实政府采购政策需满足的资格要求（如需）……………………（页码）</w:t>
      </w:r>
    </w:p>
    <w:p>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（3）本项目的特定资格要求（如需）……………………………………（页码）</w:t>
      </w:r>
    </w:p>
    <w:p>
      <w:pPr>
        <w:snapToGrid w:val="0"/>
        <w:spacing w:line="240" w:lineRule="auto"/>
        <w:ind w:firstLine="480" w:firstLineChars="200"/>
        <w:rPr>
          <w:rFonts w:hint="eastAsia" w:ascii="仿宋" w:hAnsi="仿宋" w:eastAsia="仿宋" w:cs="仿宋"/>
          <w:color w:val="auto"/>
          <w:sz w:val="24"/>
          <w:highlight w:val="none"/>
        </w:rPr>
      </w:pPr>
    </w:p>
    <w:p>
      <w:pPr>
        <w:spacing w:line="240" w:lineRule="auto"/>
        <w:ind w:firstLine="480" w:firstLineChars="200"/>
        <w:rPr>
          <w:rFonts w:hint="eastAsia" w:ascii="仿宋" w:hAnsi="仿宋" w:eastAsia="仿宋" w:cs="仿宋"/>
          <w:color w:val="auto"/>
          <w:sz w:val="24"/>
          <w:highlight w:val="none"/>
        </w:rPr>
      </w:pPr>
    </w:p>
    <w:p>
      <w:pPr>
        <w:pageBreakBefore w:val="0"/>
        <w:widowControl w:val="0"/>
        <w:kinsoku/>
        <w:wordWrap/>
        <w:overflowPunct/>
        <w:topLinePunct w:val="0"/>
        <w:autoSpaceDE/>
        <w:autoSpaceDN/>
        <w:bidi w:val="0"/>
        <w:snapToGrid w:val="0"/>
        <w:spacing w:line="240" w:lineRule="auto"/>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sz w:val="24"/>
          <w:highlight w:val="none"/>
        </w:rPr>
      </w:pPr>
    </w:p>
    <w:p>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pageBreakBefore w:val="0"/>
        <w:widowControl w:val="0"/>
        <w:kinsoku/>
        <w:wordWrap/>
        <w:overflowPunct/>
        <w:topLinePunct w:val="0"/>
        <w:autoSpaceDE/>
        <w:autoSpaceDN/>
        <w:bidi w:val="0"/>
        <w:snapToGrid w:val="0"/>
        <w:spacing w:line="240" w:lineRule="auto"/>
        <w:ind w:firstLine="360" w:firstLineChars="1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（一）具备《中华人民共和国政府采购法》第二十二条规定的以下条件：</w:t>
      </w:r>
    </w:p>
    <w:p>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pStyle w:val="3"/>
        <w:pageBreakBefore w:val="0"/>
        <w:widowControl w:val="0"/>
        <w:tabs>
          <w:tab w:val="left" w:pos="432"/>
        </w:tabs>
        <w:kinsoku/>
        <w:wordWrap/>
        <w:overflowPunct/>
        <w:topLinePunct w:val="0"/>
        <w:autoSpaceDE/>
        <w:autoSpaceDN/>
        <w:bidi w:val="0"/>
        <w:spacing w:line="240" w:lineRule="auto"/>
        <w:textAlignment w:val="auto"/>
        <w:rPr>
          <w:rFonts w:hint="eastAsia" w:ascii="仿宋" w:hAnsi="仿宋" w:eastAsia="仿宋" w:cs="仿宋"/>
          <w:color w:val="auto"/>
          <w:highlight w:val="none"/>
          <w:lang w:val="en-US"/>
        </w:rPr>
      </w:pPr>
    </w:p>
    <w:p>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highlight w:val="none"/>
        </w:rPr>
      </w:pPr>
    </w:p>
    <w:p>
      <w:pPr>
        <w:pStyle w:val="3"/>
        <w:pageBreakBefore w:val="0"/>
        <w:widowControl w:val="0"/>
        <w:tabs>
          <w:tab w:val="left" w:pos="432"/>
        </w:tabs>
        <w:kinsoku/>
        <w:wordWrap/>
        <w:overflowPunct/>
        <w:topLinePunct w:val="0"/>
        <w:autoSpaceDE/>
        <w:autoSpaceDN/>
        <w:bidi w:val="0"/>
        <w:spacing w:line="240" w:lineRule="auto"/>
        <w:textAlignment w:val="auto"/>
        <w:rPr>
          <w:rFonts w:hint="eastAsia" w:ascii="仿宋" w:hAnsi="仿宋" w:eastAsia="仿宋" w:cs="仿宋"/>
          <w:color w:val="auto"/>
          <w:highlight w:val="none"/>
          <w:lang w:val="en-US"/>
        </w:rPr>
      </w:pPr>
    </w:p>
    <w:p>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highlight w:val="none"/>
        </w:rPr>
      </w:pPr>
    </w:p>
    <w:p>
      <w:pPr>
        <w:pStyle w:val="3"/>
        <w:pageBreakBefore w:val="0"/>
        <w:widowControl w:val="0"/>
        <w:tabs>
          <w:tab w:val="left" w:pos="432"/>
        </w:tabs>
        <w:kinsoku/>
        <w:wordWrap/>
        <w:overflowPunct/>
        <w:topLinePunct w:val="0"/>
        <w:autoSpaceDE/>
        <w:autoSpaceDN/>
        <w:bidi w:val="0"/>
        <w:spacing w:line="240" w:lineRule="auto"/>
        <w:textAlignment w:val="auto"/>
        <w:rPr>
          <w:rFonts w:hint="eastAsia" w:ascii="仿宋" w:hAnsi="仿宋" w:eastAsia="仿宋" w:cs="仿宋"/>
          <w:color w:val="auto"/>
          <w:highlight w:val="none"/>
          <w:lang w:val="en-US"/>
        </w:rPr>
      </w:pPr>
    </w:p>
    <w:p>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highlight w:val="none"/>
        </w:rPr>
      </w:pPr>
    </w:p>
    <w:p>
      <w:pPr>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240" w:lineRule="auto"/>
        <w:ind w:right="480"/>
        <w:jc w:val="center"/>
        <w:rPr>
          <w:rFonts w:hint="eastAsia" w:ascii="仿宋" w:hAnsi="仿宋" w:eastAsia="仿宋" w:cs="仿宋"/>
          <w:b/>
          <w:color w:val="auto"/>
          <w:kern w:val="0"/>
          <w:sz w:val="32"/>
          <w:szCs w:val="32"/>
          <w:highlight w:val="none"/>
        </w:rPr>
      </w:pPr>
    </w:p>
    <w:p>
      <w:pPr>
        <w:snapToGrid w:val="0"/>
        <w:spacing w:line="240" w:lineRule="auto"/>
        <w:ind w:right="480"/>
        <w:rPr>
          <w:rFonts w:hint="eastAsia" w:ascii="仿宋" w:hAnsi="仿宋" w:eastAsia="仿宋" w:cs="仿宋"/>
          <w:b/>
          <w:color w:val="auto"/>
          <w:kern w:val="0"/>
          <w:sz w:val="32"/>
          <w:szCs w:val="32"/>
          <w:highlight w:val="none"/>
        </w:rPr>
      </w:pPr>
    </w:p>
    <w:p>
      <w:pPr>
        <w:pageBreakBefore w:val="0"/>
        <w:kinsoku/>
        <w:wordWrap/>
        <w:overflowPunct/>
        <w:topLinePunct w:val="0"/>
        <w:autoSpaceDE/>
        <w:autoSpaceDN/>
        <w:bidi w:val="0"/>
        <w:snapToGrid w:val="0"/>
        <w:spacing w:line="240" w:lineRule="auto"/>
        <w:ind w:right="480"/>
        <w:jc w:val="center"/>
        <w:textAlignment w:val="auto"/>
        <w:rPr>
          <w:rFonts w:hint="eastAsia" w:ascii="仿宋" w:hAnsi="仿宋" w:eastAsia="仿宋" w:cs="仿宋"/>
          <w:b/>
          <w:color w:val="auto"/>
          <w:kern w:val="0"/>
          <w:sz w:val="32"/>
          <w:szCs w:val="32"/>
          <w:highlight w:val="none"/>
        </w:rPr>
      </w:pPr>
    </w:p>
    <w:p>
      <w:pPr>
        <w:pageBreakBefore w:val="0"/>
        <w:kinsoku/>
        <w:wordWrap/>
        <w:overflowPunct/>
        <w:topLinePunct w:val="0"/>
        <w:autoSpaceDE/>
        <w:autoSpaceDN/>
        <w:bidi w:val="0"/>
        <w:snapToGrid w:val="0"/>
        <w:spacing w:line="240" w:lineRule="auto"/>
        <w:ind w:right="480"/>
        <w:jc w:val="center"/>
        <w:textAlignment w:val="auto"/>
        <w:rPr>
          <w:rFonts w:hint="eastAsia" w:ascii="仿宋" w:hAnsi="仿宋" w:eastAsia="仿宋" w:cs="仿宋"/>
          <w:b/>
          <w:color w:val="auto"/>
          <w:kern w:val="0"/>
          <w:sz w:val="32"/>
          <w:szCs w:val="32"/>
          <w:highlight w:val="none"/>
        </w:rPr>
      </w:pPr>
    </w:p>
    <w:p>
      <w:pPr>
        <w:pStyle w:val="20"/>
        <w:rPr>
          <w:rFonts w:hint="eastAsia" w:ascii="仿宋" w:hAnsi="仿宋" w:eastAsia="仿宋" w:cs="仿宋"/>
          <w:b/>
          <w:color w:val="auto"/>
          <w:kern w:val="0"/>
          <w:sz w:val="32"/>
          <w:szCs w:val="32"/>
          <w:highlight w:val="none"/>
        </w:rPr>
      </w:pPr>
    </w:p>
    <w:p>
      <w:pPr>
        <w:pStyle w:val="21"/>
        <w:rPr>
          <w:rFonts w:hint="eastAsia" w:ascii="仿宋" w:hAnsi="仿宋" w:eastAsia="仿宋" w:cs="仿宋"/>
          <w:b/>
          <w:color w:val="auto"/>
          <w:kern w:val="0"/>
          <w:sz w:val="32"/>
          <w:szCs w:val="32"/>
          <w:highlight w:val="none"/>
        </w:rPr>
      </w:pPr>
    </w:p>
    <w:p>
      <w:pPr>
        <w:pStyle w:val="37"/>
        <w:rPr>
          <w:rFonts w:hint="eastAsia" w:ascii="仿宋" w:hAnsi="仿宋" w:eastAsia="仿宋" w:cs="仿宋"/>
          <w:b/>
          <w:color w:val="auto"/>
          <w:kern w:val="0"/>
          <w:sz w:val="32"/>
          <w:szCs w:val="32"/>
          <w:highlight w:val="none"/>
        </w:rPr>
      </w:pPr>
    </w:p>
    <w:p>
      <w:pPr>
        <w:pStyle w:val="21"/>
        <w:ind w:left="0" w:leftChars="0" w:firstLine="0" w:firstLineChars="0"/>
        <w:rPr>
          <w:rFonts w:hint="eastAsia" w:ascii="仿宋" w:hAnsi="仿宋" w:eastAsia="仿宋" w:cs="仿宋"/>
        </w:rPr>
      </w:pPr>
    </w:p>
    <w:p>
      <w:pPr>
        <w:pageBreakBefore w:val="0"/>
        <w:kinsoku/>
        <w:wordWrap/>
        <w:overflowPunct/>
        <w:topLinePunct w:val="0"/>
        <w:autoSpaceDE/>
        <w:autoSpaceDN/>
        <w:bidi w:val="0"/>
        <w:snapToGrid w:val="0"/>
        <w:spacing w:line="240" w:lineRule="auto"/>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pageBreakBefore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pageBreakBefore w:val="0"/>
        <w:kinsoku/>
        <w:wordWrap/>
        <w:overflowPunct/>
        <w:topLinePunct w:val="0"/>
        <w:autoSpaceDE/>
        <w:autoSpaceDN/>
        <w:bidi w:val="0"/>
        <w:snapToGrid w:val="0"/>
        <w:spacing w:line="240" w:lineRule="auto"/>
        <w:ind w:firstLine="472" w:firstLineChars="196"/>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专门面向中小企业，货物全部由符合政策要求的中小企业（或小微企业）制造或者服务全部由符合政策要求的中小企业（或小微企业）承接的，提供相应的中小企业声明函（附件4）。 </w:t>
      </w:r>
    </w:p>
    <w:p>
      <w:pPr>
        <w:pageBreakBefore w:val="0"/>
        <w:kinsoku/>
        <w:wordWrap/>
        <w:overflowPunct/>
        <w:topLinePunct w:val="0"/>
        <w:autoSpaceDE/>
        <w:autoSpaceDN/>
        <w:bidi w:val="0"/>
        <w:snapToGrid w:val="0"/>
        <w:spacing w:line="240" w:lineRule="auto"/>
        <w:ind w:firstLine="482" w:firstLineChars="200"/>
        <w:jc w:val="both"/>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B、</w:t>
      </w:r>
      <w:r>
        <w:rPr>
          <w:rFonts w:hint="eastAsia" w:ascii="仿宋" w:hAnsi="仿宋" w:eastAsia="仿宋" w:cs="仿宋"/>
          <w:b w:val="0"/>
          <w:bCs/>
          <w:color w:val="auto"/>
          <w:sz w:val="24"/>
          <w:highlight w:val="none"/>
          <w:lang w:val="en-US" w:eastAsia="zh-CN"/>
        </w:rPr>
        <w:t>联合体投标的，提供联合体协议，并明确双方的责任和义务和合同金额占比。</w:t>
      </w:r>
      <w:r>
        <w:rPr>
          <w:rFonts w:hint="eastAsia" w:ascii="仿宋" w:hAnsi="仿宋" w:eastAsia="仿宋" w:cs="仿宋"/>
          <w:b/>
          <w:color w:val="auto"/>
          <w:sz w:val="24"/>
          <w:highlight w:val="none"/>
        </w:rPr>
        <w:t xml:space="preserve">    </w:t>
      </w:r>
    </w:p>
    <w:p>
      <w:pPr>
        <w:pageBreakBefore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pageBreakBefore w:val="0"/>
        <w:kinsoku/>
        <w:wordWrap/>
        <w:overflowPunct/>
        <w:topLinePunct w:val="0"/>
        <w:autoSpaceDE/>
        <w:autoSpaceDN/>
        <w:bidi w:val="0"/>
        <w:snapToGrid w:val="0"/>
        <w:spacing w:line="240" w:lineRule="auto"/>
        <w:ind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pageBreakBefore w:val="0"/>
        <w:kinsoku/>
        <w:wordWrap/>
        <w:overflowPunct/>
        <w:topLinePunct w:val="0"/>
        <w:autoSpaceDE/>
        <w:autoSpaceDN/>
        <w:bidi w:val="0"/>
        <w:snapToGrid w:val="0"/>
        <w:spacing w:line="240" w:lineRule="auto"/>
        <w:ind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pageBreakBefore w:val="0"/>
        <w:kinsoku/>
        <w:wordWrap/>
        <w:overflowPunct/>
        <w:topLinePunct w:val="0"/>
        <w:autoSpaceDE/>
        <w:autoSpaceDN/>
        <w:bidi w:val="0"/>
        <w:snapToGrid w:val="0"/>
        <w:spacing w:line="240" w:lineRule="auto"/>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pageBreakBefore w:val="0"/>
        <w:kinsoku/>
        <w:wordWrap/>
        <w:overflowPunct/>
        <w:topLinePunct w:val="0"/>
        <w:autoSpaceDE/>
        <w:autoSpaceDN/>
        <w:bidi w:val="0"/>
        <w:snapToGrid w:val="0"/>
        <w:spacing w:line="240" w:lineRule="auto"/>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pageBreakBefore w:val="0"/>
        <w:numPr>
          <w:ilvl w:val="0"/>
          <w:numId w:val="13"/>
        </w:numPr>
        <w:kinsoku/>
        <w:wordWrap/>
        <w:overflowPunct/>
        <w:topLinePunct w:val="0"/>
        <w:autoSpaceDE/>
        <w:autoSpaceDN/>
        <w:bidi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pPr>
        <w:pStyle w:val="20"/>
        <w:widowControl w:val="0"/>
        <w:numPr>
          <w:ilvl w:val="0"/>
          <w:numId w:val="0"/>
        </w:numPr>
        <w:autoSpaceDE w:val="0"/>
        <w:autoSpaceDN w:val="0"/>
        <w:adjustRightInd w:val="0"/>
        <w:spacing w:line="360" w:lineRule="auto"/>
        <w:jc w:val="both"/>
        <w:rPr>
          <w:rFonts w:hint="eastAsia" w:ascii="仿宋" w:hAnsi="仿宋" w:eastAsia="仿宋" w:cs="仿宋"/>
        </w:rPr>
      </w:pPr>
    </w:p>
    <w:p>
      <w:pPr>
        <w:pStyle w:val="21"/>
        <w:rPr>
          <w:rFonts w:hint="eastAsia" w:ascii="仿宋" w:hAnsi="仿宋" w:eastAsia="仿宋" w:cs="仿宋"/>
        </w:rPr>
      </w:pPr>
    </w:p>
    <w:p>
      <w:pPr>
        <w:pStyle w:val="37"/>
        <w:rPr>
          <w:rFonts w:hint="eastAsia" w:ascii="仿宋" w:hAnsi="仿宋" w:eastAsia="仿宋" w:cs="仿宋"/>
        </w:rPr>
      </w:pPr>
    </w:p>
    <w:p>
      <w:pPr>
        <w:rPr>
          <w:rFonts w:hint="eastAsia" w:ascii="仿宋" w:hAnsi="仿宋" w:eastAsia="仿宋" w:cs="仿宋"/>
        </w:rPr>
      </w:pPr>
    </w:p>
    <w:p>
      <w:pPr>
        <w:pStyle w:val="20"/>
        <w:rPr>
          <w:rFonts w:hint="eastAsia" w:ascii="仿宋" w:hAnsi="仿宋" w:eastAsia="仿宋" w:cs="仿宋"/>
        </w:rPr>
      </w:pPr>
    </w:p>
    <w:p>
      <w:pPr>
        <w:pageBreakBefore w:val="0"/>
        <w:kinsoku/>
        <w:wordWrap/>
        <w:overflowPunct/>
        <w:topLinePunct w:val="0"/>
        <w:autoSpaceDE/>
        <w:autoSpaceDN/>
        <w:bidi w:val="0"/>
        <w:snapToGrid w:val="0"/>
        <w:spacing w:line="240" w:lineRule="auto"/>
        <w:ind w:firstLine="3534" w:firstLineChars="1100"/>
        <w:textAlignment w:val="auto"/>
        <w:rPr>
          <w:rFonts w:hint="eastAsia" w:ascii="仿宋" w:hAnsi="仿宋" w:eastAsia="仿宋" w:cs="仿宋"/>
          <w:b/>
          <w:color w:val="auto"/>
          <w:kern w:val="0"/>
          <w:sz w:val="32"/>
          <w:szCs w:val="32"/>
          <w:highlight w:val="none"/>
        </w:rPr>
      </w:pPr>
    </w:p>
    <w:p>
      <w:pPr>
        <w:pStyle w:val="255"/>
        <w:rPr>
          <w:rFonts w:hint="eastAsia" w:ascii="仿宋" w:hAnsi="仿宋" w:eastAsia="仿宋" w:cs="仿宋"/>
        </w:rPr>
      </w:pPr>
    </w:p>
    <w:p>
      <w:pPr>
        <w:pageBreakBefore w:val="0"/>
        <w:kinsoku/>
        <w:wordWrap/>
        <w:overflowPunct/>
        <w:topLinePunct w:val="0"/>
        <w:autoSpaceDE/>
        <w:autoSpaceDN/>
        <w:bidi w:val="0"/>
        <w:snapToGrid w:val="0"/>
        <w:spacing w:line="240" w:lineRule="auto"/>
        <w:ind w:firstLine="3534" w:firstLineChars="1100"/>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pageBreakBefore w:val="0"/>
        <w:widowControl/>
        <w:kinsoku/>
        <w:wordWrap/>
        <w:overflowPunct/>
        <w:topLinePunct w:val="0"/>
        <w:autoSpaceDE/>
        <w:autoSpaceDN/>
        <w:bidi w:val="0"/>
        <w:spacing w:line="240" w:lineRule="auto"/>
        <w:ind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3"/>
        <w:pageBreakBefore w:val="0"/>
        <w:tabs>
          <w:tab w:val="left" w:pos="432"/>
        </w:tabs>
        <w:kinsoku/>
        <w:wordWrap/>
        <w:overflowPunct/>
        <w:topLinePunct w:val="0"/>
        <w:autoSpaceDE/>
        <w:autoSpaceDN/>
        <w:bidi w:val="0"/>
        <w:spacing w:line="240" w:lineRule="auto"/>
        <w:ind w:left="664" w:leftChars="316" w:firstLine="229" w:firstLineChars="95"/>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pageBreakBefore w:val="0"/>
        <w:kinsoku/>
        <w:wordWrap/>
        <w:overflowPunct/>
        <w:topLinePunct w:val="0"/>
        <w:autoSpaceDE/>
        <w:autoSpaceDN/>
        <w:bidi w:val="0"/>
        <w:snapToGrid w:val="0"/>
        <w:spacing w:line="240" w:lineRule="auto"/>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240" w:lineRule="auto"/>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pageBreakBefore w:val="0"/>
        <w:kinsoku/>
        <w:wordWrap/>
        <w:overflowPunct/>
        <w:topLinePunct w:val="0"/>
        <w:autoSpaceDE/>
        <w:autoSpaceDN/>
        <w:bidi w:val="0"/>
        <w:snapToGrid w:val="0"/>
        <w:spacing w:line="240" w:lineRule="auto"/>
        <w:ind w:left="5758" w:leftChars="342"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pageBreakBefore w:val="0"/>
        <w:kinsoku/>
        <w:wordWrap/>
        <w:overflowPunct/>
        <w:topLinePunct w:val="0"/>
        <w:autoSpaceDE/>
        <w:autoSpaceDN/>
        <w:bidi w:val="0"/>
        <w:snapToGrid w:val="0"/>
        <w:spacing w:line="240" w:lineRule="auto"/>
        <w:ind w:firstLine="5880" w:firstLineChars="245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pageBreakBefore w:val="0"/>
        <w:kinsoku/>
        <w:wordWrap/>
        <w:overflowPunct/>
        <w:topLinePunct w:val="0"/>
        <w:autoSpaceDE/>
        <w:autoSpaceDN/>
        <w:bidi w:val="0"/>
        <w:snapToGrid w:val="0"/>
        <w:spacing w:line="240" w:lineRule="auto"/>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pageBreakBefore w:val="0"/>
        <w:widowControl/>
        <w:kinsoku/>
        <w:wordWrap/>
        <w:overflowPunct/>
        <w:topLinePunct w:val="0"/>
        <w:autoSpaceDE/>
        <w:autoSpaceDN/>
        <w:bidi w:val="0"/>
        <w:spacing w:line="240" w:lineRule="auto"/>
        <w:ind w:left="150"/>
        <w:jc w:val="center"/>
        <w:textAlignment w:val="auto"/>
        <w:rPr>
          <w:rFonts w:hint="eastAsia" w:ascii="仿宋" w:hAnsi="仿宋" w:eastAsia="仿宋" w:cs="仿宋"/>
          <w:b/>
          <w:color w:val="auto"/>
          <w:kern w:val="0"/>
          <w:sz w:val="32"/>
          <w:szCs w:val="32"/>
          <w:highlight w:val="none"/>
        </w:rPr>
      </w:pPr>
    </w:p>
    <w:p>
      <w:pPr>
        <w:pStyle w:val="3"/>
        <w:tabs>
          <w:tab w:val="left" w:pos="432"/>
        </w:tabs>
        <w:spacing w:line="240" w:lineRule="auto"/>
        <w:rPr>
          <w:rFonts w:hint="eastAsia" w:ascii="仿宋" w:hAnsi="仿宋" w:eastAsia="仿宋" w:cs="仿宋"/>
          <w:color w:val="auto"/>
          <w:highlight w:val="none"/>
          <w:lang w:val="en-US"/>
        </w:rPr>
      </w:pPr>
    </w:p>
    <w:p>
      <w:pPr>
        <w:spacing w:line="240" w:lineRule="auto"/>
        <w:rPr>
          <w:rFonts w:hint="eastAsia" w:ascii="仿宋" w:hAnsi="仿宋" w:eastAsia="仿宋" w:cs="仿宋"/>
          <w:color w:val="auto"/>
          <w:highlight w:val="none"/>
        </w:rPr>
      </w:pPr>
    </w:p>
    <w:p>
      <w:pPr>
        <w:pStyle w:val="3"/>
        <w:tabs>
          <w:tab w:val="left" w:pos="432"/>
        </w:tabs>
        <w:spacing w:line="240" w:lineRule="auto"/>
        <w:rPr>
          <w:rFonts w:hint="eastAsia" w:ascii="仿宋" w:hAnsi="仿宋" w:eastAsia="仿宋" w:cs="仿宋"/>
          <w:color w:val="auto"/>
          <w:highlight w:val="none"/>
          <w:lang w:val="en-US"/>
        </w:rPr>
      </w:pPr>
    </w:p>
    <w:p>
      <w:pPr>
        <w:rPr>
          <w:rFonts w:hint="eastAsia" w:ascii="仿宋" w:hAnsi="仿宋" w:eastAsia="仿宋" w:cs="仿宋"/>
          <w:color w:val="auto"/>
          <w:highlight w:val="none"/>
          <w:lang w:val="en-US"/>
        </w:rPr>
      </w:pPr>
    </w:p>
    <w:p>
      <w:pPr>
        <w:pStyle w:val="20"/>
        <w:rPr>
          <w:rFonts w:hint="eastAsia" w:ascii="仿宋" w:hAnsi="仿宋" w:eastAsia="仿宋" w:cs="仿宋"/>
          <w:color w:val="auto"/>
          <w:highlight w:val="none"/>
          <w:lang w:val="en-US"/>
        </w:rPr>
      </w:pPr>
    </w:p>
    <w:p>
      <w:pPr>
        <w:spacing w:line="240" w:lineRule="auto"/>
        <w:rPr>
          <w:rFonts w:hint="eastAsia" w:ascii="仿宋" w:hAnsi="仿宋" w:eastAsia="仿宋" w:cs="仿宋"/>
          <w:color w:val="auto"/>
          <w:highlight w:val="none"/>
        </w:rPr>
      </w:pPr>
    </w:p>
    <w:p>
      <w:pPr>
        <w:widowControl/>
        <w:spacing w:line="240" w:lineRule="auto"/>
        <w:ind w:left="150"/>
        <w:jc w:val="center"/>
        <w:rPr>
          <w:rFonts w:hint="eastAsia" w:ascii="仿宋" w:hAnsi="仿宋" w:eastAsia="仿宋" w:cs="仿宋"/>
          <w:b/>
          <w:color w:val="auto"/>
          <w:kern w:val="0"/>
          <w:sz w:val="32"/>
          <w:szCs w:val="32"/>
          <w:highlight w:val="none"/>
        </w:rPr>
      </w:pPr>
    </w:p>
    <w:p>
      <w:pPr>
        <w:widowControl/>
        <w:spacing w:line="240" w:lineRule="auto"/>
        <w:ind w:left="150"/>
        <w:jc w:val="center"/>
        <w:rPr>
          <w:rFonts w:hint="eastAsia" w:ascii="仿宋" w:hAnsi="仿宋" w:eastAsia="仿宋" w:cs="仿宋"/>
          <w:b/>
          <w:color w:val="auto"/>
          <w:kern w:val="0"/>
          <w:sz w:val="32"/>
          <w:szCs w:val="32"/>
          <w:highlight w:val="none"/>
        </w:rPr>
      </w:pPr>
    </w:p>
    <w:p>
      <w:pPr>
        <w:widowControl/>
        <w:spacing w:line="240" w:lineRule="auto"/>
        <w:ind w:left="150"/>
        <w:jc w:val="center"/>
        <w:rPr>
          <w:rFonts w:hint="eastAsia" w:ascii="仿宋" w:hAnsi="仿宋" w:eastAsia="仿宋" w:cs="仿宋"/>
          <w:b/>
          <w:color w:val="auto"/>
          <w:kern w:val="0"/>
          <w:sz w:val="32"/>
          <w:szCs w:val="32"/>
          <w:highlight w:val="none"/>
        </w:rPr>
      </w:pPr>
    </w:p>
    <w:p>
      <w:pPr>
        <w:widowControl/>
        <w:spacing w:line="240" w:lineRule="auto"/>
        <w:ind w:left="150"/>
        <w:jc w:val="center"/>
        <w:rPr>
          <w:rFonts w:hint="eastAsia" w:ascii="仿宋" w:hAnsi="仿宋" w:eastAsia="仿宋" w:cs="仿宋"/>
          <w:b/>
          <w:color w:val="auto"/>
          <w:kern w:val="0"/>
          <w:sz w:val="32"/>
          <w:szCs w:val="32"/>
          <w:highlight w:val="none"/>
        </w:rPr>
      </w:pPr>
    </w:p>
    <w:p>
      <w:pPr>
        <w:widowControl/>
        <w:spacing w:line="24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spacing w:line="240" w:lineRule="auto"/>
        <w:rPr>
          <w:rFonts w:hint="eastAsia" w:ascii="仿宋" w:hAnsi="仿宋" w:eastAsia="仿宋" w:cs="仿宋"/>
          <w:color w:val="auto"/>
          <w:highlight w:val="none"/>
        </w:rPr>
      </w:pPr>
    </w:p>
    <w:p>
      <w:pPr>
        <w:snapToGrid w:val="0"/>
        <w:spacing w:line="240" w:lineRule="auto"/>
        <w:ind w:right="480"/>
        <w:jc w:val="center"/>
        <w:rPr>
          <w:rFonts w:hint="eastAsia" w:ascii="仿宋" w:hAnsi="仿宋" w:eastAsia="仿宋" w:cs="仿宋"/>
          <w:b/>
          <w:color w:val="auto"/>
          <w:kern w:val="0"/>
          <w:sz w:val="32"/>
          <w:szCs w:val="32"/>
          <w:highlight w:val="none"/>
        </w:rPr>
      </w:pPr>
    </w:p>
    <w:p>
      <w:pPr>
        <w:snapToGrid w:val="0"/>
        <w:spacing w:line="240" w:lineRule="auto"/>
        <w:ind w:right="480"/>
        <w:jc w:val="center"/>
        <w:rPr>
          <w:rFonts w:hint="eastAsia" w:ascii="仿宋" w:hAnsi="仿宋" w:eastAsia="仿宋" w:cs="仿宋"/>
          <w:b/>
          <w:color w:val="auto"/>
          <w:kern w:val="0"/>
          <w:sz w:val="32"/>
          <w:szCs w:val="32"/>
          <w:highlight w:val="none"/>
        </w:rPr>
      </w:pPr>
    </w:p>
    <w:p>
      <w:pPr>
        <w:snapToGrid w:val="0"/>
        <w:spacing w:line="240" w:lineRule="auto"/>
        <w:ind w:right="480"/>
        <w:jc w:val="center"/>
        <w:rPr>
          <w:rFonts w:hint="eastAsia" w:ascii="仿宋" w:hAnsi="仿宋" w:eastAsia="仿宋" w:cs="仿宋"/>
          <w:b/>
          <w:color w:val="auto"/>
          <w:kern w:val="0"/>
          <w:sz w:val="32"/>
          <w:szCs w:val="32"/>
          <w:highlight w:val="none"/>
        </w:rPr>
      </w:pPr>
    </w:p>
    <w:p>
      <w:pPr>
        <w:snapToGrid w:val="0"/>
        <w:spacing w:line="240" w:lineRule="auto"/>
        <w:ind w:right="480"/>
        <w:jc w:val="center"/>
        <w:rPr>
          <w:rFonts w:hint="eastAsia" w:ascii="仿宋" w:hAnsi="仿宋" w:eastAsia="仿宋" w:cs="仿宋"/>
          <w:b/>
          <w:color w:val="auto"/>
          <w:kern w:val="0"/>
          <w:sz w:val="32"/>
          <w:szCs w:val="32"/>
          <w:highlight w:val="none"/>
        </w:rPr>
      </w:pPr>
    </w:p>
    <w:p>
      <w:pPr>
        <w:snapToGrid w:val="0"/>
        <w:spacing w:line="240" w:lineRule="auto"/>
        <w:ind w:right="480"/>
        <w:jc w:val="center"/>
        <w:rPr>
          <w:rFonts w:hint="eastAsia" w:ascii="仿宋" w:hAnsi="仿宋" w:eastAsia="仿宋" w:cs="仿宋"/>
          <w:b/>
          <w:color w:val="auto"/>
          <w:kern w:val="0"/>
          <w:sz w:val="32"/>
          <w:szCs w:val="32"/>
          <w:highlight w:val="none"/>
        </w:rPr>
      </w:pPr>
    </w:p>
    <w:p>
      <w:pPr>
        <w:snapToGrid w:val="0"/>
        <w:spacing w:line="240" w:lineRule="auto"/>
        <w:ind w:right="480"/>
        <w:jc w:val="center"/>
        <w:rPr>
          <w:rFonts w:hint="eastAsia" w:ascii="仿宋" w:hAnsi="仿宋" w:eastAsia="仿宋" w:cs="仿宋"/>
          <w:b/>
          <w:color w:val="auto"/>
          <w:kern w:val="0"/>
          <w:sz w:val="32"/>
          <w:szCs w:val="32"/>
          <w:highlight w:val="none"/>
        </w:rPr>
      </w:pPr>
    </w:p>
    <w:p>
      <w:pPr>
        <w:pStyle w:val="3"/>
        <w:tabs>
          <w:tab w:val="left" w:pos="432"/>
        </w:tabs>
        <w:spacing w:line="240" w:lineRule="auto"/>
        <w:rPr>
          <w:rFonts w:hint="eastAsia" w:ascii="仿宋" w:hAnsi="仿宋" w:eastAsia="仿宋" w:cs="仿宋"/>
          <w:color w:val="auto"/>
          <w:highlight w:val="none"/>
          <w:lang w:val="en-US"/>
        </w:rPr>
      </w:pPr>
    </w:p>
    <w:p>
      <w:pPr>
        <w:spacing w:line="240" w:lineRule="auto"/>
        <w:rPr>
          <w:rFonts w:hint="eastAsia" w:ascii="仿宋" w:hAnsi="仿宋" w:eastAsia="仿宋" w:cs="仿宋"/>
          <w:color w:val="auto"/>
          <w:highlight w:val="none"/>
        </w:rPr>
      </w:pPr>
    </w:p>
    <w:p>
      <w:pPr>
        <w:pStyle w:val="3"/>
        <w:tabs>
          <w:tab w:val="left" w:pos="432"/>
        </w:tabs>
        <w:spacing w:line="240" w:lineRule="auto"/>
        <w:rPr>
          <w:rFonts w:hint="eastAsia" w:ascii="仿宋" w:hAnsi="仿宋" w:eastAsia="仿宋" w:cs="仿宋"/>
          <w:color w:val="auto"/>
          <w:highlight w:val="none"/>
          <w:lang w:val="en-US"/>
        </w:rPr>
      </w:pPr>
    </w:p>
    <w:p>
      <w:pPr>
        <w:spacing w:line="240" w:lineRule="auto"/>
        <w:rPr>
          <w:rFonts w:hint="eastAsia" w:ascii="仿宋" w:hAnsi="仿宋" w:eastAsia="仿宋" w:cs="仿宋"/>
          <w:color w:val="auto"/>
          <w:highlight w:val="none"/>
        </w:rPr>
      </w:pPr>
    </w:p>
    <w:p>
      <w:pPr>
        <w:pStyle w:val="20"/>
        <w:rPr>
          <w:rFonts w:hint="eastAsia" w:ascii="仿宋" w:hAnsi="仿宋" w:eastAsia="仿宋" w:cs="仿宋"/>
          <w:color w:val="auto"/>
          <w:highlight w:val="none"/>
        </w:rPr>
      </w:pPr>
    </w:p>
    <w:p>
      <w:pPr>
        <w:pStyle w:val="21"/>
        <w:rPr>
          <w:rFonts w:hint="eastAsia" w:ascii="仿宋" w:hAnsi="仿宋" w:eastAsia="仿宋" w:cs="仿宋"/>
          <w:color w:val="auto"/>
          <w:highlight w:val="none"/>
        </w:rPr>
      </w:pPr>
    </w:p>
    <w:p>
      <w:pPr>
        <w:pStyle w:val="37"/>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0"/>
        <w:rPr>
          <w:rFonts w:hint="eastAsia" w:ascii="仿宋" w:hAnsi="仿宋" w:eastAsia="仿宋" w:cs="仿宋"/>
          <w:color w:val="auto"/>
          <w:highlight w:val="none"/>
        </w:rPr>
      </w:pPr>
    </w:p>
    <w:p>
      <w:pPr>
        <w:pStyle w:val="21"/>
        <w:rPr>
          <w:rFonts w:hint="eastAsia" w:ascii="仿宋" w:hAnsi="仿宋" w:eastAsia="仿宋" w:cs="仿宋"/>
          <w:color w:val="auto"/>
          <w:highlight w:val="none"/>
        </w:rPr>
      </w:pPr>
    </w:p>
    <w:p>
      <w:pPr>
        <w:pStyle w:val="37"/>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0"/>
        <w:rPr>
          <w:rFonts w:hint="eastAsia" w:ascii="仿宋" w:hAnsi="仿宋" w:eastAsia="仿宋" w:cs="仿宋"/>
          <w:color w:val="auto"/>
          <w:highlight w:val="none"/>
        </w:rPr>
      </w:pPr>
    </w:p>
    <w:p>
      <w:pPr>
        <w:pStyle w:val="21"/>
        <w:rPr>
          <w:rFonts w:hint="eastAsia" w:ascii="仿宋" w:hAnsi="仿宋" w:eastAsia="仿宋" w:cs="仿宋"/>
          <w:color w:val="auto"/>
          <w:highlight w:val="none"/>
        </w:rPr>
      </w:pPr>
    </w:p>
    <w:p>
      <w:pPr>
        <w:pStyle w:val="37"/>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0"/>
        <w:rPr>
          <w:rFonts w:hint="eastAsia" w:ascii="仿宋" w:hAnsi="仿宋" w:eastAsia="仿宋" w:cs="仿宋"/>
          <w:color w:val="auto"/>
          <w:highlight w:val="none"/>
        </w:rPr>
      </w:pPr>
    </w:p>
    <w:p>
      <w:pPr>
        <w:pStyle w:val="21"/>
        <w:rPr>
          <w:rFonts w:hint="eastAsia" w:ascii="仿宋" w:hAnsi="仿宋" w:eastAsia="仿宋" w:cs="仿宋"/>
          <w:color w:val="auto"/>
          <w:highlight w:val="none"/>
        </w:rPr>
      </w:pPr>
    </w:p>
    <w:p>
      <w:pPr>
        <w:pStyle w:val="37"/>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0"/>
        <w:rPr>
          <w:rFonts w:hint="eastAsia" w:ascii="仿宋" w:hAnsi="仿宋" w:eastAsia="仿宋" w:cs="仿宋"/>
          <w:color w:val="auto"/>
          <w:highlight w:val="none"/>
        </w:rPr>
      </w:pPr>
    </w:p>
    <w:p>
      <w:pPr>
        <w:pStyle w:val="21"/>
        <w:rPr>
          <w:rFonts w:hint="eastAsia" w:ascii="仿宋" w:hAnsi="仿宋" w:eastAsia="仿宋" w:cs="仿宋"/>
          <w:color w:val="auto"/>
          <w:highlight w:val="none"/>
        </w:rPr>
      </w:pPr>
    </w:p>
    <w:p>
      <w:pPr>
        <w:pStyle w:val="37"/>
        <w:rPr>
          <w:rFonts w:hint="eastAsia" w:ascii="仿宋" w:hAnsi="仿宋" w:eastAsia="仿宋" w:cs="仿宋"/>
          <w:color w:val="auto"/>
          <w:highlight w:val="none"/>
        </w:rPr>
      </w:pPr>
    </w:p>
    <w:p>
      <w:pPr>
        <w:rPr>
          <w:rFonts w:hint="eastAsia" w:ascii="仿宋" w:hAnsi="仿宋" w:eastAsia="仿宋" w:cs="仿宋"/>
          <w:color w:val="auto"/>
          <w:highlight w:val="none"/>
        </w:rPr>
      </w:pPr>
    </w:p>
    <w:p>
      <w:pPr>
        <w:spacing w:line="240" w:lineRule="auto"/>
        <w:ind w:right="420"/>
        <w:rPr>
          <w:rFonts w:hint="eastAsia" w:ascii="仿宋" w:hAnsi="仿宋" w:eastAsia="仿宋" w:cs="仿宋"/>
          <w:b/>
          <w:color w:val="auto"/>
          <w:kern w:val="0"/>
          <w:sz w:val="36"/>
          <w:szCs w:val="36"/>
          <w:highlight w:val="none"/>
        </w:rPr>
      </w:pPr>
    </w:p>
    <w:p>
      <w:pPr>
        <w:spacing w:line="240" w:lineRule="auto"/>
        <w:ind w:right="420"/>
        <w:rPr>
          <w:rFonts w:hint="eastAsia" w:ascii="仿宋" w:hAnsi="仿宋" w:eastAsia="仿宋" w:cs="仿宋"/>
          <w:b/>
          <w:color w:val="auto"/>
          <w:kern w:val="0"/>
          <w:sz w:val="36"/>
          <w:szCs w:val="36"/>
          <w:highlight w:val="none"/>
        </w:rPr>
      </w:pPr>
    </w:p>
    <w:p>
      <w:pPr>
        <w:spacing w:line="24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240" w:lineRule="auto"/>
        <w:jc w:val="center"/>
        <w:outlineLvl w:val="0"/>
        <w:rPr>
          <w:rFonts w:hint="eastAsia" w:ascii="仿宋" w:hAnsi="仿宋" w:eastAsia="仿宋" w:cs="仿宋"/>
          <w:b/>
          <w:color w:val="auto"/>
          <w:kern w:val="0"/>
          <w:sz w:val="24"/>
          <w:highlight w:val="none"/>
        </w:rPr>
      </w:pPr>
    </w:p>
    <w:p>
      <w:pPr>
        <w:spacing w:line="24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24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24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（3）联合协议（如需）</w:t>
      </w:r>
      <w:r>
        <w:rPr>
          <w:rFonts w:hint="eastAsia" w:ascii="仿宋" w:hAnsi="仿宋" w:eastAsia="仿宋" w:cs="仿宋"/>
          <w:color w:val="auto"/>
          <w:highlight w:val="none"/>
        </w:rPr>
        <w:t>……………………………………………………………………（页码）</w:t>
      </w:r>
    </w:p>
    <w:p>
      <w:pPr>
        <w:snapToGrid w:val="0"/>
        <w:spacing w:line="24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（4）分包意向协议（如需）</w:t>
      </w:r>
      <w:r>
        <w:rPr>
          <w:rFonts w:hint="eastAsia" w:ascii="仿宋" w:hAnsi="仿宋" w:eastAsia="仿宋" w:cs="仿宋"/>
          <w:color w:val="auto"/>
          <w:highlight w:val="none"/>
        </w:rPr>
        <w:t>………………………………………………………………（页码）</w:t>
      </w:r>
    </w:p>
    <w:p>
      <w:pPr>
        <w:snapToGrid w:val="0"/>
        <w:spacing w:line="24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pPr>
        <w:snapToGrid w:val="0"/>
        <w:spacing w:line="24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（6）评标标准相应的商务技术资料（如需）</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24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24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240" w:lineRule="auto"/>
        <w:jc w:val="center"/>
        <w:rPr>
          <w:rFonts w:hint="eastAsia" w:ascii="仿宋" w:hAnsi="仿宋" w:eastAsia="仿宋" w:cs="仿宋"/>
          <w:b/>
          <w:color w:val="auto"/>
          <w:kern w:val="0"/>
          <w:sz w:val="32"/>
          <w:szCs w:val="32"/>
          <w:highlight w:val="none"/>
          <w:lang w:val="zh-CN"/>
        </w:rPr>
      </w:pPr>
    </w:p>
    <w:p>
      <w:pPr>
        <w:snapToGrid w:val="0"/>
        <w:spacing w:line="240" w:lineRule="auto"/>
        <w:jc w:val="center"/>
        <w:rPr>
          <w:rFonts w:hint="eastAsia" w:ascii="仿宋" w:hAnsi="仿宋" w:eastAsia="仿宋" w:cs="仿宋"/>
          <w:b/>
          <w:color w:val="auto"/>
          <w:kern w:val="0"/>
          <w:sz w:val="32"/>
          <w:szCs w:val="32"/>
          <w:highlight w:val="none"/>
          <w:lang w:val="zh-CN"/>
        </w:rPr>
      </w:pPr>
    </w:p>
    <w:p>
      <w:pPr>
        <w:snapToGrid w:val="0"/>
        <w:spacing w:line="240" w:lineRule="auto"/>
        <w:jc w:val="center"/>
        <w:rPr>
          <w:rFonts w:hint="eastAsia" w:ascii="仿宋" w:hAnsi="仿宋" w:eastAsia="仿宋" w:cs="仿宋"/>
          <w:b/>
          <w:color w:val="auto"/>
          <w:kern w:val="0"/>
          <w:sz w:val="32"/>
          <w:szCs w:val="32"/>
          <w:highlight w:val="none"/>
          <w:lang w:val="zh-CN"/>
        </w:rPr>
      </w:pPr>
    </w:p>
    <w:p>
      <w:pPr>
        <w:snapToGrid w:val="0"/>
        <w:spacing w:line="240" w:lineRule="auto"/>
        <w:jc w:val="center"/>
        <w:rPr>
          <w:rFonts w:hint="eastAsia" w:ascii="仿宋" w:hAnsi="仿宋" w:eastAsia="仿宋" w:cs="仿宋"/>
          <w:b/>
          <w:color w:val="auto"/>
          <w:kern w:val="0"/>
          <w:sz w:val="32"/>
          <w:szCs w:val="32"/>
          <w:highlight w:val="none"/>
          <w:lang w:val="zh-CN"/>
        </w:rPr>
      </w:pPr>
    </w:p>
    <w:p>
      <w:pPr>
        <w:snapToGrid w:val="0"/>
        <w:spacing w:line="240" w:lineRule="auto"/>
        <w:jc w:val="center"/>
        <w:rPr>
          <w:rFonts w:hint="eastAsia" w:ascii="仿宋" w:hAnsi="仿宋" w:eastAsia="仿宋" w:cs="仿宋"/>
          <w:b/>
          <w:color w:val="auto"/>
          <w:kern w:val="0"/>
          <w:sz w:val="32"/>
          <w:szCs w:val="32"/>
          <w:highlight w:val="none"/>
          <w:lang w:val="zh-CN"/>
        </w:rPr>
      </w:pPr>
    </w:p>
    <w:p>
      <w:pPr>
        <w:snapToGrid w:val="0"/>
        <w:spacing w:line="240" w:lineRule="auto"/>
        <w:jc w:val="center"/>
        <w:outlineLvl w:val="0"/>
        <w:rPr>
          <w:rFonts w:hint="eastAsia" w:ascii="仿宋" w:hAnsi="仿宋" w:eastAsia="仿宋" w:cs="仿宋"/>
          <w:b/>
          <w:color w:val="auto"/>
          <w:kern w:val="0"/>
          <w:sz w:val="32"/>
          <w:szCs w:val="32"/>
          <w:highlight w:val="none"/>
        </w:rPr>
      </w:pPr>
    </w:p>
    <w:p>
      <w:pPr>
        <w:snapToGrid w:val="0"/>
        <w:spacing w:line="240" w:lineRule="auto"/>
        <w:jc w:val="center"/>
        <w:outlineLvl w:val="0"/>
        <w:rPr>
          <w:rFonts w:hint="eastAsia" w:ascii="仿宋" w:hAnsi="仿宋" w:eastAsia="仿宋" w:cs="仿宋"/>
          <w:b/>
          <w:color w:val="auto"/>
          <w:kern w:val="0"/>
          <w:sz w:val="32"/>
          <w:szCs w:val="32"/>
          <w:highlight w:val="none"/>
        </w:rPr>
      </w:pPr>
    </w:p>
    <w:p>
      <w:pPr>
        <w:spacing w:line="240" w:lineRule="auto"/>
        <w:rPr>
          <w:rFonts w:hint="eastAsia" w:ascii="仿宋" w:hAnsi="仿宋" w:eastAsia="仿宋" w:cs="仿宋"/>
          <w:color w:val="auto"/>
          <w:highlight w:val="none"/>
        </w:rPr>
      </w:pPr>
    </w:p>
    <w:p>
      <w:pPr>
        <w:snapToGrid w:val="0"/>
        <w:spacing w:line="240" w:lineRule="auto"/>
        <w:jc w:val="center"/>
        <w:outlineLvl w:val="0"/>
        <w:rPr>
          <w:rFonts w:hint="eastAsia" w:ascii="仿宋" w:hAnsi="仿宋" w:eastAsia="仿宋" w:cs="仿宋"/>
          <w:b/>
          <w:color w:val="auto"/>
          <w:kern w:val="0"/>
          <w:sz w:val="32"/>
          <w:szCs w:val="32"/>
          <w:highlight w:val="none"/>
        </w:rPr>
      </w:pPr>
    </w:p>
    <w:p>
      <w:pPr>
        <w:snapToGrid w:val="0"/>
        <w:spacing w:line="240" w:lineRule="auto"/>
        <w:jc w:val="center"/>
        <w:outlineLvl w:val="0"/>
        <w:rPr>
          <w:rFonts w:hint="eastAsia" w:ascii="仿宋" w:hAnsi="仿宋" w:eastAsia="仿宋" w:cs="仿宋"/>
          <w:b/>
          <w:color w:val="auto"/>
          <w:kern w:val="0"/>
          <w:sz w:val="32"/>
          <w:szCs w:val="32"/>
          <w:highlight w:val="none"/>
        </w:rPr>
      </w:pPr>
    </w:p>
    <w:p>
      <w:pPr>
        <w:snapToGrid w:val="0"/>
        <w:spacing w:line="240" w:lineRule="auto"/>
        <w:jc w:val="center"/>
        <w:outlineLvl w:val="0"/>
        <w:rPr>
          <w:rFonts w:hint="eastAsia" w:ascii="仿宋" w:hAnsi="仿宋" w:eastAsia="仿宋" w:cs="仿宋"/>
          <w:b/>
          <w:color w:val="auto"/>
          <w:kern w:val="0"/>
          <w:sz w:val="32"/>
          <w:szCs w:val="32"/>
          <w:highlight w:val="none"/>
        </w:rPr>
      </w:pPr>
    </w:p>
    <w:p>
      <w:pPr>
        <w:snapToGrid w:val="0"/>
        <w:spacing w:line="240" w:lineRule="auto"/>
        <w:jc w:val="center"/>
        <w:outlineLvl w:val="0"/>
        <w:rPr>
          <w:rFonts w:hint="eastAsia" w:ascii="仿宋" w:hAnsi="仿宋" w:eastAsia="仿宋" w:cs="仿宋"/>
          <w:b/>
          <w:color w:val="auto"/>
          <w:kern w:val="0"/>
          <w:sz w:val="32"/>
          <w:szCs w:val="32"/>
          <w:highlight w:val="none"/>
        </w:rPr>
      </w:pPr>
    </w:p>
    <w:p>
      <w:pPr>
        <w:pStyle w:val="56"/>
        <w:spacing w:line="240" w:lineRule="auto"/>
        <w:rPr>
          <w:rFonts w:hint="eastAsia" w:ascii="仿宋" w:hAnsi="仿宋" w:eastAsia="仿宋" w:cs="仿宋"/>
          <w:color w:val="auto"/>
          <w:highlight w:val="none"/>
        </w:rPr>
      </w:pPr>
    </w:p>
    <w:p>
      <w:pPr>
        <w:snapToGrid w:val="0"/>
        <w:spacing w:line="240" w:lineRule="auto"/>
        <w:outlineLvl w:val="0"/>
        <w:rPr>
          <w:rFonts w:hint="eastAsia" w:ascii="仿宋" w:hAnsi="仿宋" w:eastAsia="仿宋" w:cs="仿宋"/>
          <w:b/>
          <w:color w:val="auto"/>
          <w:kern w:val="0"/>
          <w:sz w:val="32"/>
          <w:szCs w:val="32"/>
          <w:highlight w:val="none"/>
        </w:rPr>
      </w:pPr>
    </w:p>
    <w:p>
      <w:pPr>
        <w:pStyle w:val="20"/>
        <w:rPr>
          <w:rFonts w:hint="eastAsia" w:ascii="仿宋" w:hAnsi="仿宋" w:eastAsia="仿宋" w:cs="仿宋"/>
          <w:b/>
          <w:color w:val="auto"/>
          <w:kern w:val="0"/>
          <w:sz w:val="32"/>
          <w:szCs w:val="32"/>
          <w:highlight w:val="none"/>
        </w:rPr>
      </w:pPr>
    </w:p>
    <w:p>
      <w:pPr>
        <w:pStyle w:val="21"/>
        <w:rPr>
          <w:rFonts w:hint="eastAsia" w:ascii="仿宋" w:hAnsi="仿宋" w:eastAsia="仿宋" w:cs="仿宋"/>
          <w:b/>
          <w:color w:val="auto"/>
          <w:kern w:val="0"/>
          <w:sz w:val="32"/>
          <w:szCs w:val="32"/>
          <w:highlight w:val="none"/>
        </w:rPr>
      </w:pPr>
    </w:p>
    <w:p>
      <w:pPr>
        <w:pStyle w:val="37"/>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20"/>
        <w:rPr>
          <w:rFonts w:hint="eastAsia" w:ascii="仿宋" w:hAnsi="仿宋" w:eastAsia="仿宋" w:cs="仿宋"/>
          <w:b/>
          <w:color w:val="auto"/>
          <w:kern w:val="0"/>
          <w:sz w:val="32"/>
          <w:szCs w:val="32"/>
          <w:highlight w:val="none"/>
        </w:rPr>
      </w:pPr>
    </w:p>
    <w:p>
      <w:pPr>
        <w:pStyle w:val="21"/>
        <w:rPr>
          <w:rFonts w:hint="eastAsia" w:ascii="仿宋" w:hAnsi="仿宋" w:eastAsia="仿宋" w:cs="仿宋"/>
          <w:b/>
          <w:color w:val="auto"/>
          <w:kern w:val="0"/>
          <w:sz w:val="32"/>
          <w:szCs w:val="32"/>
          <w:highlight w:val="none"/>
        </w:rPr>
      </w:pPr>
    </w:p>
    <w:p>
      <w:pPr>
        <w:pStyle w:val="37"/>
        <w:rPr>
          <w:rFonts w:hint="eastAsia" w:ascii="仿宋" w:hAnsi="仿宋" w:eastAsia="仿宋" w:cs="仿宋"/>
          <w:b/>
          <w:color w:val="auto"/>
          <w:kern w:val="0"/>
          <w:sz w:val="32"/>
          <w:szCs w:val="32"/>
          <w:highlight w:val="none"/>
        </w:rPr>
      </w:pPr>
    </w:p>
    <w:p>
      <w:pPr>
        <w:rPr>
          <w:rFonts w:hint="eastAsia" w:ascii="仿宋" w:hAnsi="仿宋" w:eastAsia="仿宋" w:cs="仿宋"/>
        </w:rPr>
      </w:pPr>
    </w:p>
    <w:p>
      <w:pPr>
        <w:pStyle w:val="257"/>
        <w:spacing w:line="240" w:lineRule="auto"/>
        <w:rPr>
          <w:rFonts w:hint="eastAsia" w:ascii="仿宋" w:hAnsi="仿宋" w:eastAsia="仿宋" w:cs="仿宋"/>
          <w:color w:val="auto"/>
          <w:highlight w:val="none"/>
        </w:rPr>
      </w:pPr>
    </w:p>
    <w:p>
      <w:pPr>
        <w:pStyle w:val="257"/>
        <w:spacing w:line="240" w:lineRule="auto"/>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spacing w:line="24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keepNext w:val="0"/>
        <w:keepLines w:val="0"/>
        <w:pageBreakBefore w:val="0"/>
        <w:widowControl w:val="0"/>
        <w:kinsoku/>
        <w:wordWrap/>
        <w:overflowPunct/>
        <w:topLinePunct w:val="0"/>
        <w:autoSpaceDE/>
        <w:autoSpaceDN/>
        <w:bidi w:val="0"/>
        <w:adjustRightInd w:val="0"/>
        <w:snapToGrid/>
        <w:spacing w:line="240" w:lineRule="auto"/>
        <w:ind w:left="210" w:leftChars="1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spacing w:line="24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keepNext w:val="0"/>
        <w:keepLines w:val="0"/>
        <w:pageBreakBefore w:val="0"/>
        <w:widowControl w:val="0"/>
        <w:kinsoku/>
        <w:wordWrap/>
        <w:overflowPunct/>
        <w:topLinePunct w:val="0"/>
        <w:autoSpaceDE/>
        <w:autoSpaceDN/>
        <w:bidi w:val="0"/>
        <w:adjustRightInd w:val="0"/>
        <w:snapToGrid/>
        <w:spacing w:line="24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spacing w:line="24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spacing w:line="24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spacing w:line="24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spacing w:line="24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firstLine="4200" w:firstLineChars="1750"/>
        <w:textAlignment w:val="auto"/>
        <w:rPr>
          <w:rFonts w:hint="eastAsia" w:ascii="仿宋" w:hAnsi="仿宋" w:eastAsia="仿宋" w:cs="仿宋"/>
          <w:color w:val="auto"/>
          <w:kern w:val="0"/>
          <w:sz w:val="24"/>
          <w:highlight w:val="none"/>
          <w:u w:val="single"/>
          <w:lang w:val="zh-CN"/>
        </w:rPr>
      </w:pPr>
    </w:p>
    <w:p>
      <w:pPr>
        <w:spacing w:line="240" w:lineRule="auto"/>
        <w:jc w:val="both"/>
        <w:rPr>
          <w:rFonts w:hint="eastAsia" w:ascii="仿宋" w:hAnsi="仿宋" w:eastAsia="仿宋" w:cs="仿宋"/>
          <w:b/>
          <w:color w:val="auto"/>
          <w:kern w:val="0"/>
          <w:sz w:val="32"/>
          <w:szCs w:val="32"/>
          <w:highlight w:val="none"/>
          <w:lang w:val="zh-CN"/>
        </w:rPr>
      </w:pPr>
    </w:p>
    <w:p>
      <w:pPr>
        <w:pStyle w:val="20"/>
        <w:rPr>
          <w:rFonts w:hint="eastAsia" w:ascii="仿宋" w:hAnsi="仿宋" w:eastAsia="仿宋" w:cs="仿宋"/>
          <w:b/>
          <w:color w:val="auto"/>
          <w:kern w:val="0"/>
          <w:sz w:val="32"/>
          <w:szCs w:val="32"/>
          <w:highlight w:val="none"/>
          <w:lang w:val="zh-CN"/>
        </w:rPr>
      </w:pPr>
    </w:p>
    <w:p>
      <w:pPr>
        <w:pStyle w:val="21"/>
        <w:rPr>
          <w:rFonts w:hint="eastAsia" w:ascii="仿宋" w:hAnsi="仿宋" w:eastAsia="仿宋" w:cs="仿宋"/>
          <w:b/>
          <w:color w:val="auto"/>
          <w:kern w:val="0"/>
          <w:sz w:val="32"/>
          <w:szCs w:val="32"/>
          <w:highlight w:val="none"/>
          <w:lang w:val="zh-CN"/>
        </w:rPr>
      </w:pPr>
    </w:p>
    <w:p>
      <w:pPr>
        <w:pStyle w:val="37"/>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pStyle w:val="20"/>
        <w:rPr>
          <w:rFonts w:hint="eastAsia" w:ascii="仿宋" w:hAnsi="仿宋" w:eastAsia="仿宋" w:cs="仿宋"/>
          <w:b/>
          <w:color w:val="auto"/>
          <w:kern w:val="0"/>
          <w:sz w:val="32"/>
          <w:szCs w:val="32"/>
          <w:highlight w:val="none"/>
          <w:lang w:val="zh-CN"/>
        </w:rPr>
      </w:pPr>
    </w:p>
    <w:p>
      <w:pPr>
        <w:pStyle w:val="21"/>
        <w:rPr>
          <w:rFonts w:hint="eastAsia" w:ascii="仿宋" w:hAnsi="仿宋" w:eastAsia="仿宋" w:cs="仿宋"/>
          <w:lang w:val="zh-CN"/>
        </w:rPr>
      </w:pPr>
    </w:p>
    <w:p>
      <w:pPr>
        <w:spacing w:line="240" w:lineRule="auto"/>
        <w:jc w:val="center"/>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二、授权委托书或法定代表人（单位负责人、自然人本人）身份证明</w:t>
      </w:r>
    </w:p>
    <w:p>
      <w:pPr>
        <w:snapToGrid w:val="0"/>
        <w:spacing w:line="240" w:lineRule="auto"/>
        <w:jc w:val="center"/>
        <w:rPr>
          <w:rFonts w:hint="eastAsia" w:ascii="仿宋" w:hAnsi="仿宋" w:eastAsia="仿宋" w:cs="仿宋"/>
          <w:color w:val="auto"/>
          <w:highlight w:val="none"/>
        </w:rPr>
      </w:pPr>
      <w:r>
        <w:rPr>
          <w:rFonts w:hint="eastAsia" w:ascii="仿宋" w:hAnsi="仿宋" w:eastAsia="仿宋" w:cs="仿宋"/>
          <w:b/>
          <w:color w:val="auto"/>
          <w:kern w:val="0"/>
          <w:sz w:val="28"/>
          <w:szCs w:val="28"/>
          <w:highlight w:val="none"/>
          <w:lang w:val="zh-CN"/>
        </w:rPr>
        <w:t>授权委托书（适用于非联合体投标）</w:t>
      </w:r>
    </w:p>
    <w:p>
      <w:pPr>
        <w:snapToGrid w:val="0"/>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24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24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pacing w:line="24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p>
    <w:p>
      <w:pPr>
        <w:spacing w:line="240" w:lineRule="auto"/>
        <w:jc w:val="center"/>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授权委托书（适用于联合体投标）</w:t>
      </w:r>
    </w:p>
    <w:p>
      <w:pPr>
        <w:snapToGrid w:val="0"/>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24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pacing w:line="240" w:lineRule="auto"/>
        <w:rPr>
          <w:rFonts w:hint="eastAsia" w:ascii="仿宋" w:hAnsi="仿宋" w:eastAsia="仿宋" w:cs="仿宋"/>
          <w:color w:val="auto"/>
          <w:highlight w:val="none"/>
        </w:rPr>
      </w:pPr>
    </w:p>
    <w:p>
      <w:pPr>
        <w:snapToGrid w:val="0"/>
        <w:spacing w:line="24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24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24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24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240" w:lineRule="auto"/>
        <w:jc w:val="center"/>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法定代表人、单位负责人或自然人本人的身份证明（适用于法定代表人、单位负责人或者自然人本人代表投标人参加投标）</w:t>
      </w:r>
    </w:p>
    <w:p>
      <w:pPr>
        <w:pStyle w:val="258"/>
        <w:spacing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jc w:val="center"/>
        </w:trPr>
        <w:tc>
          <w:tcPr>
            <w:tcW w:w="9207" w:type="dxa"/>
            <w:noWrap w:val="0"/>
            <w:vAlign w:val="top"/>
          </w:tcPr>
          <w:p>
            <w:pPr>
              <w:pStyle w:val="258"/>
              <w:adjustRightInd w:val="0"/>
              <w:spacing w:line="240" w:lineRule="auto"/>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正面：                                 反面：</w:t>
            </w:r>
          </w:p>
          <w:p>
            <w:pPr>
              <w:pStyle w:val="258"/>
              <w:adjustRightInd w:val="0"/>
              <w:spacing w:line="240" w:lineRule="auto"/>
              <w:rPr>
                <w:rFonts w:hint="eastAsia" w:ascii="仿宋" w:hAnsi="仿宋" w:eastAsia="仿宋" w:cs="仿宋"/>
                <w:bCs/>
                <w:color w:val="auto"/>
                <w:sz w:val="24"/>
                <w:szCs w:val="21"/>
                <w:highlight w:val="none"/>
              </w:rPr>
            </w:pPr>
          </w:p>
        </w:tc>
      </w:tr>
    </w:tbl>
    <w:p>
      <w:pPr>
        <w:snapToGrid w:val="0"/>
        <w:spacing w:line="24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24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24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pacing w:line="24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24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24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24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24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napToGrid w:val="0"/>
        <w:spacing w:line="240" w:lineRule="auto"/>
        <w:ind w:right="480"/>
        <w:rPr>
          <w:rFonts w:hint="eastAsia" w:ascii="仿宋" w:hAnsi="仿宋" w:eastAsia="仿宋" w:cs="仿宋"/>
          <w:b/>
          <w:color w:val="auto"/>
          <w:kern w:val="0"/>
          <w:sz w:val="32"/>
          <w:szCs w:val="32"/>
          <w:highlight w:val="none"/>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napToGrid w:val="0"/>
        <w:spacing w:line="24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pacing w:line="24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3"/>
        <w:tabs>
          <w:tab w:val="left" w:pos="432"/>
        </w:tabs>
        <w:spacing w:line="240" w:lineRule="auto"/>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24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24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24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24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24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24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24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24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pStyle w:val="20"/>
        <w:rPr>
          <w:rFonts w:hint="eastAsia" w:ascii="仿宋" w:hAnsi="仿宋" w:eastAsia="仿宋" w:cs="仿宋"/>
          <w:b/>
          <w:color w:val="auto"/>
          <w:kern w:val="0"/>
          <w:sz w:val="32"/>
          <w:szCs w:val="32"/>
          <w:highlight w:val="none"/>
        </w:rPr>
      </w:pPr>
    </w:p>
    <w:p>
      <w:pPr>
        <w:pStyle w:val="21"/>
        <w:rPr>
          <w:rFonts w:hint="eastAsia" w:ascii="仿宋" w:hAnsi="仿宋" w:eastAsia="仿宋" w:cs="仿宋"/>
          <w:b/>
          <w:color w:val="auto"/>
          <w:kern w:val="0"/>
          <w:sz w:val="32"/>
          <w:szCs w:val="32"/>
          <w:highlight w:val="none"/>
        </w:rPr>
      </w:pPr>
    </w:p>
    <w:p>
      <w:pPr>
        <w:pStyle w:val="37"/>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20"/>
        <w:rPr>
          <w:rFonts w:hint="eastAsia" w:ascii="仿宋" w:hAnsi="仿宋" w:eastAsia="仿宋" w:cs="仿宋"/>
          <w:b/>
          <w:color w:val="auto"/>
          <w:kern w:val="0"/>
          <w:sz w:val="32"/>
          <w:szCs w:val="32"/>
          <w:highlight w:val="none"/>
        </w:rPr>
      </w:pPr>
    </w:p>
    <w:p>
      <w:pPr>
        <w:pStyle w:val="21"/>
        <w:rPr>
          <w:rFonts w:hint="eastAsia" w:ascii="仿宋" w:hAnsi="仿宋" w:eastAsia="仿宋" w:cs="仿宋"/>
          <w:b/>
          <w:color w:val="auto"/>
          <w:kern w:val="0"/>
          <w:sz w:val="32"/>
          <w:szCs w:val="32"/>
          <w:highlight w:val="none"/>
        </w:rPr>
      </w:pPr>
    </w:p>
    <w:p>
      <w:pPr>
        <w:spacing w:line="240" w:lineRule="auto"/>
        <w:jc w:val="both"/>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pPr>
        <w:spacing w:line="240" w:lineRule="auto"/>
        <w:jc w:val="center"/>
        <w:rPr>
          <w:rFonts w:hint="eastAsia" w:ascii="仿宋" w:hAnsi="仿宋" w:eastAsia="仿宋" w:cs="仿宋"/>
          <w:b/>
          <w:color w:val="auto"/>
          <w:kern w:val="0"/>
          <w:sz w:val="32"/>
          <w:szCs w:val="32"/>
          <w:highlight w:val="none"/>
        </w:rPr>
      </w:pPr>
    </w:p>
    <w:tbl>
      <w:tblPr>
        <w:tblStyle w:val="48"/>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4913"/>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24" w:type="dxa"/>
            <w:noWrap w:val="0"/>
            <w:vAlign w:val="center"/>
          </w:tcPr>
          <w:p>
            <w:pPr>
              <w:snapToGrid w:val="0"/>
              <w:spacing w:line="24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13" w:type="dxa"/>
            <w:noWrap w:val="0"/>
            <w:vAlign w:val="center"/>
          </w:tcPr>
          <w:p>
            <w:pPr>
              <w:snapToGrid w:val="0"/>
              <w:spacing w:line="24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714" w:type="dxa"/>
            <w:noWrap w:val="0"/>
            <w:vAlign w:val="center"/>
          </w:tcPr>
          <w:p>
            <w:pPr>
              <w:snapToGrid w:val="0"/>
              <w:spacing w:line="24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24" w:type="dxa"/>
            <w:noWrap w:val="0"/>
            <w:vAlign w:val="center"/>
          </w:tcPr>
          <w:p>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13" w:type="dxa"/>
            <w:noWrap w:val="0"/>
            <w:vAlign w:val="center"/>
          </w:tcPr>
          <w:p>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714" w:type="dxa"/>
            <w:noWrap w:val="0"/>
            <w:vAlign w:val="center"/>
          </w:tcPr>
          <w:p>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24" w:type="dxa"/>
            <w:noWrap w:val="0"/>
            <w:vAlign w:val="center"/>
          </w:tcPr>
          <w:p>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13" w:type="dxa"/>
            <w:noWrap w:val="0"/>
            <w:vAlign w:val="center"/>
          </w:tcPr>
          <w:p>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714" w:type="dxa"/>
            <w:noWrap w:val="0"/>
            <w:vAlign w:val="center"/>
          </w:tcPr>
          <w:p>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24" w:type="dxa"/>
            <w:noWrap w:val="0"/>
            <w:vAlign w:val="center"/>
          </w:tcPr>
          <w:p>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13" w:type="dxa"/>
            <w:noWrap w:val="0"/>
            <w:vAlign w:val="center"/>
          </w:tcPr>
          <w:p>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714" w:type="dxa"/>
            <w:noWrap w:val="0"/>
            <w:vAlign w:val="center"/>
          </w:tcPr>
          <w:p>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24" w:type="dxa"/>
            <w:noWrap w:val="0"/>
            <w:vAlign w:val="center"/>
          </w:tcPr>
          <w:p>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13" w:type="dxa"/>
            <w:noWrap w:val="0"/>
            <w:vAlign w:val="center"/>
          </w:tcPr>
          <w:p>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714" w:type="dxa"/>
            <w:noWrap w:val="0"/>
            <w:vAlign w:val="center"/>
          </w:tcPr>
          <w:p>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招标文件其它实质性要求相应的材料（“★” 系指实质性要求条款，招标文件无其它实质性要求的，无需提供）</w:t>
            </w:r>
          </w:p>
        </w:tc>
      </w:tr>
    </w:tbl>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pStyle w:val="3"/>
        <w:tabs>
          <w:tab w:val="left" w:pos="432"/>
        </w:tabs>
        <w:spacing w:line="240" w:lineRule="auto"/>
        <w:rPr>
          <w:rFonts w:hint="eastAsia" w:ascii="仿宋" w:hAnsi="仿宋" w:eastAsia="仿宋" w:cs="仿宋"/>
          <w:color w:val="auto"/>
          <w:kern w:val="0"/>
          <w:highlight w:val="none"/>
        </w:rPr>
      </w:pPr>
    </w:p>
    <w:p>
      <w:pPr>
        <w:spacing w:line="240" w:lineRule="auto"/>
        <w:rPr>
          <w:rFonts w:hint="eastAsia" w:ascii="仿宋" w:hAnsi="仿宋" w:eastAsia="仿宋" w:cs="仿宋"/>
          <w:b/>
          <w:color w:val="auto"/>
          <w:kern w:val="0"/>
          <w:sz w:val="32"/>
          <w:szCs w:val="32"/>
          <w:highlight w:val="none"/>
        </w:rPr>
      </w:pPr>
    </w:p>
    <w:p>
      <w:pPr>
        <w:pStyle w:val="3"/>
        <w:tabs>
          <w:tab w:val="left" w:pos="432"/>
        </w:tabs>
        <w:spacing w:line="240" w:lineRule="auto"/>
        <w:rPr>
          <w:rFonts w:hint="eastAsia" w:ascii="仿宋" w:hAnsi="仿宋" w:eastAsia="仿宋" w:cs="仿宋"/>
          <w:color w:val="auto"/>
          <w:kern w:val="0"/>
          <w:highlight w:val="none"/>
        </w:rPr>
      </w:pPr>
    </w:p>
    <w:p>
      <w:pPr>
        <w:spacing w:line="240" w:lineRule="auto"/>
        <w:rPr>
          <w:rFonts w:hint="eastAsia" w:ascii="仿宋" w:hAnsi="仿宋" w:eastAsia="仿宋" w:cs="仿宋"/>
          <w:color w:val="auto"/>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pStyle w:val="20"/>
        <w:rPr>
          <w:rFonts w:hint="eastAsia" w:ascii="仿宋" w:hAnsi="仿宋" w:eastAsia="仿宋" w:cs="仿宋"/>
          <w:b/>
          <w:color w:val="auto"/>
          <w:kern w:val="0"/>
          <w:sz w:val="32"/>
          <w:szCs w:val="32"/>
          <w:highlight w:val="none"/>
        </w:rPr>
      </w:pPr>
    </w:p>
    <w:p>
      <w:pPr>
        <w:pStyle w:val="21"/>
        <w:rPr>
          <w:rFonts w:hint="eastAsia" w:ascii="仿宋" w:hAnsi="仿宋" w:eastAsia="仿宋" w:cs="仿宋"/>
          <w:b/>
          <w:color w:val="auto"/>
          <w:kern w:val="0"/>
          <w:sz w:val="32"/>
          <w:szCs w:val="32"/>
          <w:highlight w:val="none"/>
        </w:rPr>
      </w:pPr>
    </w:p>
    <w:p>
      <w:pPr>
        <w:spacing w:line="240" w:lineRule="auto"/>
        <w:rPr>
          <w:rFonts w:hint="eastAsia" w:ascii="仿宋" w:hAnsi="仿宋" w:eastAsia="仿宋" w:cs="仿宋"/>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pStyle w:val="20"/>
        <w:rPr>
          <w:rFonts w:hint="eastAsia" w:ascii="仿宋" w:hAnsi="仿宋" w:eastAsia="仿宋" w:cs="仿宋"/>
        </w:rPr>
      </w:pPr>
    </w:p>
    <w:p>
      <w:pPr>
        <w:pStyle w:val="21"/>
        <w:rPr>
          <w:rFonts w:hint="eastAsia" w:ascii="仿宋" w:hAnsi="仿宋" w:eastAsia="仿宋" w:cs="仿宋"/>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4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289" w:type="dxa"/>
            <w:noWrap w:val="0"/>
            <w:vAlign w:val="top"/>
          </w:tcPr>
          <w:p>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940" w:type="dxa"/>
            <w:noWrap w:val="0"/>
            <w:vAlign w:val="top"/>
          </w:tcPr>
          <w:p>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投标文件章节（页码）及具体内容</w:t>
            </w:r>
          </w:p>
        </w:tc>
        <w:tc>
          <w:tcPr>
            <w:tcW w:w="1276" w:type="dxa"/>
            <w:noWrap w:val="0"/>
            <w:vAlign w:val="top"/>
          </w:tcPr>
          <w:p>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289" w:type="dxa"/>
            <w:noWrap w:val="0"/>
            <w:vAlign w:val="top"/>
          </w:tcPr>
          <w:p>
            <w:pPr>
              <w:spacing w:line="240" w:lineRule="auto"/>
              <w:jc w:val="center"/>
              <w:rPr>
                <w:rFonts w:hint="eastAsia" w:ascii="仿宋" w:hAnsi="仿宋" w:eastAsia="仿宋" w:cs="仿宋"/>
                <w:b/>
                <w:color w:val="auto"/>
                <w:kern w:val="0"/>
                <w:sz w:val="32"/>
                <w:szCs w:val="32"/>
                <w:highlight w:val="none"/>
              </w:rPr>
            </w:pPr>
          </w:p>
        </w:tc>
        <w:tc>
          <w:tcPr>
            <w:tcW w:w="3940" w:type="dxa"/>
            <w:noWrap w:val="0"/>
            <w:vAlign w:val="top"/>
          </w:tcPr>
          <w:p>
            <w:pPr>
              <w:spacing w:line="240" w:lineRule="auto"/>
              <w:jc w:val="center"/>
              <w:rPr>
                <w:rFonts w:hint="eastAsia" w:ascii="仿宋" w:hAnsi="仿宋" w:eastAsia="仿宋" w:cs="仿宋"/>
                <w:b/>
                <w:color w:val="auto"/>
                <w:kern w:val="0"/>
                <w:sz w:val="32"/>
                <w:szCs w:val="32"/>
                <w:highlight w:val="none"/>
              </w:rPr>
            </w:pPr>
          </w:p>
        </w:tc>
        <w:tc>
          <w:tcPr>
            <w:tcW w:w="1276" w:type="dxa"/>
            <w:noWrap w:val="0"/>
            <w:vAlign w:val="top"/>
          </w:tcPr>
          <w:p>
            <w:pPr>
              <w:spacing w:line="240" w:lineRule="auto"/>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289" w:type="dxa"/>
            <w:noWrap w:val="0"/>
            <w:vAlign w:val="top"/>
          </w:tcPr>
          <w:p>
            <w:pPr>
              <w:spacing w:line="240" w:lineRule="auto"/>
              <w:jc w:val="center"/>
              <w:rPr>
                <w:rFonts w:hint="eastAsia" w:ascii="仿宋" w:hAnsi="仿宋" w:eastAsia="仿宋" w:cs="仿宋"/>
                <w:b/>
                <w:color w:val="auto"/>
                <w:kern w:val="0"/>
                <w:sz w:val="32"/>
                <w:szCs w:val="32"/>
                <w:highlight w:val="none"/>
              </w:rPr>
            </w:pPr>
          </w:p>
        </w:tc>
        <w:tc>
          <w:tcPr>
            <w:tcW w:w="3940" w:type="dxa"/>
            <w:noWrap w:val="0"/>
            <w:vAlign w:val="top"/>
          </w:tcPr>
          <w:p>
            <w:pPr>
              <w:spacing w:line="240" w:lineRule="auto"/>
              <w:jc w:val="center"/>
              <w:rPr>
                <w:rFonts w:hint="eastAsia" w:ascii="仿宋" w:hAnsi="仿宋" w:eastAsia="仿宋" w:cs="仿宋"/>
                <w:b/>
                <w:color w:val="auto"/>
                <w:kern w:val="0"/>
                <w:sz w:val="32"/>
                <w:szCs w:val="32"/>
                <w:highlight w:val="none"/>
              </w:rPr>
            </w:pPr>
          </w:p>
        </w:tc>
        <w:tc>
          <w:tcPr>
            <w:tcW w:w="1276" w:type="dxa"/>
            <w:noWrap w:val="0"/>
            <w:vAlign w:val="top"/>
          </w:tcPr>
          <w:p>
            <w:pPr>
              <w:spacing w:line="240" w:lineRule="auto"/>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289" w:type="dxa"/>
            <w:noWrap w:val="0"/>
            <w:vAlign w:val="top"/>
          </w:tcPr>
          <w:p>
            <w:pPr>
              <w:spacing w:line="240" w:lineRule="auto"/>
              <w:jc w:val="center"/>
              <w:rPr>
                <w:rFonts w:hint="eastAsia" w:ascii="仿宋" w:hAnsi="仿宋" w:eastAsia="仿宋" w:cs="仿宋"/>
                <w:b/>
                <w:color w:val="auto"/>
                <w:kern w:val="0"/>
                <w:sz w:val="32"/>
                <w:szCs w:val="32"/>
                <w:highlight w:val="none"/>
              </w:rPr>
            </w:pPr>
          </w:p>
        </w:tc>
        <w:tc>
          <w:tcPr>
            <w:tcW w:w="3940" w:type="dxa"/>
            <w:noWrap w:val="0"/>
            <w:vAlign w:val="top"/>
          </w:tcPr>
          <w:p>
            <w:pPr>
              <w:spacing w:line="240" w:lineRule="auto"/>
              <w:jc w:val="center"/>
              <w:rPr>
                <w:rFonts w:hint="eastAsia" w:ascii="仿宋" w:hAnsi="仿宋" w:eastAsia="仿宋" w:cs="仿宋"/>
                <w:b/>
                <w:color w:val="auto"/>
                <w:kern w:val="0"/>
                <w:sz w:val="32"/>
                <w:szCs w:val="32"/>
                <w:highlight w:val="none"/>
              </w:rPr>
            </w:pPr>
          </w:p>
        </w:tc>
        <w:tc>
          <w:tcPr>
            <w:tcW w:w="1276" w:type="dxa"/>
            <w:noWrap w:val="0"/>
            <w:vAlign w:val="top"/>
          </w:tcPr>
          <w:p>
            <w:pPr>
              <w:spacing w:line="240" w:lineRule="auto"/>
              <w:jc w:val="center"/>
              <w:rPr>
                <w:rFonts w:hint="eastAsia" w:ascii="仿宋" w:hAnsi="仿宋" w:eastAsia="仿宋" w:cs="仿宋"/>
                <w:b/>
                <w:color w:val="auto"/>
                <w:kern w:val="0"/>
                <w:sz w:val="32"/>
                <w:szCs w:val="32"/>
                <w:highlight w:val="none"/>
              </w:rPr>
            </w:pPr>
          </w:p>
        </w:tc>
      </w:tr>
    </w:tbl>
    <w:p>
      <w:pPr>
        <w:pStyle w:val="25"/>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pPr>
        <w:pStyle w:val="25"/>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25"/>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2、投标人递交的技术规格书中必须真实逐条列明，否则由投标人自行承担相关风险。</w:t>
      </w:r>
    </w:p>
    <w:p>
      <w:pPr>
        <w:pStyle w:val="25"/>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3、此表在不改变格式的情况下可自行制作。</w:t>
      </w:r>
    </w:p>
    <w:p>
      <w:pPr>
        <w:pStyle w:val="25"/>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4、此表置于商务技术文件中。</w:t>
      </w:r>
    </w:p>
    <w:p>
      <w:pPr>
        <w:spacing w:line="240" w:lineRule="auto"/>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投标人保证：除商务技术偏离表列出的偏离外，投标人响应招标文件的全部要求。</w:t>
      </w: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ind w:firstLine="2891" w:firstLineChars="900"/>
        <w:rPr>
          <w:rFonts w:hint="eastAsia" w:ascii="仿宋" w:hAnsi="仿宋" w:eastAsia="仿宋" w:cs="仿宋"/>
          <w:b/>
          <w:bCs/>
          <w:color w:val="auto"/>
          <w:sz w:val="32"/>
          <w:szCs w:val="32"/>
          <w:highlight w:val="none"/>
        </w:rPr>
      </w:pPr>
    </w:p>
    <w:p>
      <w:pPr>
        <w:spacing w:line="240" w:lineRule="auto"/>
        <w:ind w:firstLine="2891" w:firstLineChars="900"/>
        <w:rPr>
          <w:rFonts w:hint="eastAsia" w:ascii="仿宋" w:hAnsi="仿宋" w:eastAsia="仿宋" w:cs="仿宋"/>
          <w:b/>
          <w:bCs/>
          <w:color w:val="auto"/>
          <w:sz w:val="32"/>
          <w:szCs w:val="32"/>
          <w:highlight w:val="none"/>
        </w:rPr>
      </w:pPr>
    </w:p>
    <w:p>
      <w:pPr>
        <w:spacing w:line="240" w:lineRule="auto"/>
        <w:ind w:firstLine="2891" w:firstLineChars="900"/>
        <w:rPr>
          <w:rFonts w:hint="eastAsia" w:ascii="仿宋" w:hAnsi="仿宋" w:eastAsia="仿宋" w:cs="仿宋"/>
          <w:b/>
          <w:bCs/>
          <w:color w:val="auto"/>
          <w:sz w:val="32"/>
          <w:szCs w:val="32"/>
          <w:highlight w:val="none"/>
        </w:rPr>
      </w:pPr>
    </w:p>
    <w:p>
      <w:pPr>
        <w:spacing w:line="240" w:lineRule="auto"/>
        <w:ind w:firstLine="2891" w:firstLineChars="900"/>
        <w:rPr>
          <w:rFonts w:hint="eastAsia" w:ascii="仿宋" w:hAnsi="仿宋" w:eastAsia="仿宋" w:cs="仿宋"/>
          <w:b/>
          <w:bCs/>
          <w:color w:val="auto"/>
          <w:sz w:val="32"/>
          <w:szCs w:val="32"/>
          <w:highlight w:val="none"/>
        </w:rPr>
      </w:pPr>
    </w:p>
    <w:p>
      <w:pPr>
        <w:spacing w:line="240" w:lineRule="auto"/>
        <w:ind w:firstLine="2891" w:firstLineChars="900"/>
        <w:rPr>
          <w:rFonts w:hint="eastAsia" w:ascii="仿宋" w:hAnsi="仿宋" w:eastAsia="仿宋" w:cs="仿宋"/>
          <w:b/>
          <w:bCs/>
          <w:color w:val="auto"/>
          <w:sz w:val="32"/>
          <w:szCs w:val="32"/>
          <w:highlight w:val="none"/>
        </w:rPr>
      </w:pPr>
    </w:p>
    <w:p>
      <w:pPr>
        <w:spacing w:line="240" w:lineRule="auto"/>
        <w:ind w:firstLine="2891" w:firstLineChars="900"/>
        <w:rPr>
          <w:rFonts w:hint="eastAsia" w:ascii="仿宋" w:hAnsi="仿宋" w:eastAsia="仿宋" w:cs="仿宋"/>
          <w:b/>
          <w:bCs/>
          <w:color w:val="auto"/>
          <w:sz w:val="32"/>
          <w:szCs w:val="32"/>
          <w:highlight w:val="none"/>
        </w:rPr>
      </w:pPr>
    </w:p>
    <w:p>
      <w:pPr>
        <w:spacing w:line="240" w:lineRule="auto"/>
        <w:ind w:firstLine="2891" w:firstLineChars="900"/>
        <w:rPr>
          <w:rFonts w:hint="eastAsia" w:ascii="仿宋" w:hAnsi="仿宋" w:eastAsia="仿宋" w:cs="仿宋"/>
          <w:b/>
          <w:color w:val="auto"/>
          <w:kern w:val="0"/>
          <w:sz w:val="32"/>
          <w:szCs w:val="32"/>
          <w:highlight w:val="none"/>
        </w:rPr>
      </w:pPr>
    </w:p>
    <w:p>
      <w:pPr>
        <w:pStyle w:val="20"/>
        <w:rPr>
          <w:rFonts w:hint="eastAsia" w:ascii="仿宋" w:hAnsi="仿宋" w:eastAsia="仿宋" w:cs="仿宋"/>
          <w:b/>
          <w:color w:val="auto"/>
          <w:kern w:val="0"/>
          <w:sz w:val="32"/>
          <w:szCs w:val="32"/>
          <w:highlight w:val="none"/>
        </w:rPr>
      </w:pPr>
    </w:p>
    <w:p>
      <w:pPr>
        <w:pStyle w:val="21"/>
        <w:rPr>
          <w:rFonts w:hint="eastAsia" w:ascii="仿宋" w:hAnsi="仿宋" w:eastAsia="仿宋" w:cs="仿宋"/>
        </w:rPr>
      </w:pPr>
    </w:p>
    <w:p>
      <w:pPr>
        <w:pStyle w:val="21"/>
        <w:rPr>
          <w:rFonts w:hint="eastAsia" w:ascii="仿宋" w:hAnsi="仿宋" w:eastAsia="仿宋" w:cs="仿宋"/>
        </w:rPr>
      </w:pPr>
    </w:p>
    <w:p>
      <w:pPr>
        <w:spacing w:line="240" w:lineRule="auto"/>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pPr>
        <w:snapToGrid w:val="0"/>
        <w:spacing w:line="240" w:lineRule="auto"/>
        <w:rPr>
          <w:rFonts w:hint="eastAsia" w:ascii="仿宋" w:hAnsi="仿宋" w:eastAsia="仿宋" w:cs="仿宋"/>
          <w:color w:val="auto"/>
          <w:sz w:val="24"/>
          <w:highlight w:val="none"/>
        </w:rPr>
      </w:pPr>
    </w:p>
    <w:p>
      <w:pPr>
        <w:snapToGrid w:val="0"/>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24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24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24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24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24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24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24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24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24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24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240" w:lineRule="auto"/>
        <w:ind w:left="2"/>
        <w:jc w:val="left"/>
        <w:rPr>
          <w:rFonts w:hint="eastAsia" w:ascii="仿宋" w:hAnsi="仿宋" w:eastAsia="仿宋" w:cs="仿宋"/>
          <w:color w:val="auto"/>
          <w:kern w:val="0"/>
          <w:sz w:val="24"/>
          <w:highlight w:val="none"/>
          <w:lang w:val="zh-CN"/>
        </w:rPr>
      </w:pPr>
    </w:p>
    <w:p>
      <w:pPr>
        <w:autoSpaceDE w:val="0"/>
        <w:autoSpaceDN w:val="0"/>
        <w:spacing w:line="240" w:lineRule="auto"/>
        <w:ind w:left="2"/>
        <w:jc w:val="left"/>
        <w:rPr>
          <w:rFonts w:hint="eastAsia" w:ascii="仿宋" w:hAnsi="仿宋" w:eastAsia="仿宋" w:cs="仿宋"/>
          <w:color w:val="auto"/>
          <w:kern w:val="0"/>
          <w:sz w:val="24"/>
          <w:highlight w:val="none"/>
          <w:lang w:val="zh-CN"/>
        </w:rPr>
      </w:pPr>
    </w:p>
    <w:p>
      <w:pPr>
        <w:autoSpaceDE w:val="0"/>
        <w:autoSpaceDN w:val="0"/>
        <w:spacing w:line="240" w:lineRule="auto"/>
        <w:ind w:left="2"/>
        <w:jc w:val="left"/>
        <w:rPr>
          <w:rFonts w:hint="eastAsia" w:ascii="仿宋" w:hAnsi="仿宋" w:eastAsia="仿宋" w:cs="仿宋"/>
          <w:color w:val="auto"/>
          <w:kern w:val="0"/>
          <w:sz w:val="24"/>
          <w:highlight w:val="none"/>
          <w:lang w:val="zh-CN"/>
        </w:rPr>
      </w:pPr>
    </w:p>
    <w:p>
      <w:pPr>
        <w:autoSpaceDE w:val="0"/>
        <w:autoSpaceDN w:val="0"/>
        <w:spacing w:line="24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24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240" w:lineRule="auto"/>
        <w:jc w:val="center"/>
        <w:rPr>
          <w:rFonts w:hint="eastAsia" w:ascii="仿宋" w:hAnsi="仿宋" w:eastAsia="仿宋" w:cs="仿宋"/>
          <w:b/>
          <w:bCs/>
          <w:color w:val="auto"/>
          <w:sz w:val="24"/>
          <w:highlight w:val="none"/>
        </w:rPr>
      </w:pPr>
    </w:p>
    <w:p>
      <w:pPr>
        <w:spacing w:line="240" w:lineRule="auto"/>
        <w:jc w:val="center"/>
        <w:rPr>
          <w:rFonts w:hint="eastAsia" w:ascii="仿宋" w:hAnsi="仿宋" w:eastAsia="仿宋" w:cs="仿宋"/>
          <w:b/>
          <w:bCs/>
          <w:color w:val="auto"/>
          <w:sz w:val="24"/>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spacing w:line="24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24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240" w:lineRule="auto"/>
        <w:jc w:val="center"/>
        <w:outlineLvl w:val="0"/>
        <w:rPr>
          <w:rFonts w:hint="eastAsia" w:ascii="仿宋" w:hAnsi="仿宋" w:eastAsia="仿宋" w:cs="仿宋"/>
          <w:b/>
          <w:color w:val="auto"/>
          <w:kern w:val="0"/>
          <w:sz w:val="36"/>
          <w:szCs w:val="36"/>
          <w:highlight w:val="none"/>
        </w:rPr>
      </w:pPr>
    </w:p>
    <w:p>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（2）中小企业声明函（如需）……………………………………………………（页码）</w:t>
      </w:r>
    </w:p>
    <w:p>
      <w:pPr>
        <w:snapToGrid w:val="0"/>
        <w:spacing w:line="240" w:lineRule="auto"/>
        <w:ind w:right="480"/>
        <w:jc w:val="center"/>
        <w:rPr>
          <w:rFonts w:hint="eastAsia" w:ascii="仿宋" w:hAnsi="仿宋" w:eastAsia="仿宋" w:cs="仿宋"/>
          <w:b/>
          <w:color w:val="auto"/>
          <w:kern w:val="0"/>
          <w:sz w:val="32"/>
          <w:szCs w:val="32"/>
          <w:highlight w:val="none"/>
        </w:rPr>
      </w:pPr>
    </w:p>
    <w:p>
      <w:pPr>
        <w:snapToGrid w:val="0"/>
        <w:spacing w:line="240" w:lineRule="auto"/>
        <w:ind w:right="480"/>
        <w:jc w:val="center"/>
        <w:rPr>
          <w:rFonts w:ascii="宋体" w:cs="宋体"/>
          <w:b/>
          <w:color w:val="auto"/>
          <w:kern w:val="0"/>
          <w:sz w:val="32"/>
          <w:szCs w:val="32"/>
          <w:highlight w:val="none"/>
        </w:rPr>
      </w:pPr>
    </w:p>
    <w:p>
      <w:pPr>
        <w:snapToGrid w:val="0"/>
        <w:spacing w:line="240" w:lineRule="auto"/>
        <w:ind w:right="480"/>
        <w:jc w:val="center"/>
        <w:rPr>
          <w:rFonts w:ascii="宋体" w:cs="宋体"/>
          <w:b/>
          <w:color w:val="auto"/>
          <w:kern w:val="0"/>
          <w:sz w:val="32"/>
          <w:szCs w:val="32"/>
          <w:highlight w:val="none"/>
        </w:rPr>
      </w:pPr>
    </w:p>
    <w:p>
      <w:pPr>
        <w:pStyle w:val="3"/>
        <w:spacing w:before="0" w:line="500" w:lineRule="exact"/>
        <w:jc w:val="center"/>
        <w:rPr>
          <w:rFonts w:hint="eastAsia" w:ascii="仿宋" w:hAnsi="仿宋" w:eastAsia="仿宋"/>
          <w:sz w:val="28"/>
          <w:szCs w:val="28"/>
        </w:rPr>
      </w:pPr>
    </w:p>
    <w:p>
      <w:pPr>
        <w:pStyle w:val="3"/>
        <w:spacing w:before="0" w:line="500" w:lineRule="exact"/>
        <w:jc w:val="center"/>
        <w:rPr>
          <w:rFonts w:hint="eastAsia" w:ascii="仿宋" w:hAnsi="仿宋" w:eastAsia="仿宋"/>
          <w:sz w:val="28"/>
          <w:szCs w:val="28"/>
        </w:rPr>
      </w:pPr>
    </w:p>
    <w:p>
      <w:pPr>
        <w:pStyle w:val="3"/>
        <w:spacing w:before="0" w:line="500" w:lineRule="exact"/>
        <w:jc w:val="center"/>
        <w:rPr>
          <w:rFonts w:hint="eastAsia" w:ascii="仿宋" w:hAnsi="仿宋" w:eastAsia="仿宋"/>
          <w:sz w:val="28"/>
          <w:szCs w:val="28"/>
        </w:rPr>
      </w:pPr>
    </w:p>
    <w:p>
      <w:pPr>
        <w:pStyle w:val="3"/>
        <w:spacing w:before="0" w:line="500" w:lineRule="exact"/>
        <w:jc w:val="center"/>
        <w:rPr>
          <w:rFonts w:hint="eastAsia" w:ascii="仿宋" w:hAnsi="仿宋" w:eastAsia="仿宋"/>
          <w:sz w:val="28"/>
          <w:szCs w:val="28"/>
        </w:rPr>
      </w:pPr>
    </w:p>
    <w:p>
      <w:pPr>
        <w:pStyle w:val="3"/>
        <w:spacing w:before="0" w:line="500" w:lineRule="exact"/>
        <w:jc w:val="center"/>
        <w:rPr>
          <w:rFonts w:hint="eastAsia" w:ascii="仿宋" w:hAnsi="仿宋" w:eastAsia="仿宋"/>
          <w:sz w:val="28"/>
          <w:szCs w:val="28"/>
        </w:rPr>
      </w:pPr>
    </w:p>
    <w:p>
      <w:pPr>
        <w:pStyle w:val="3"/>
        <w:spacing w:before="0" w:line="500" w:lineRule="exact"/>
        <w:jc w:val="both"/>
        <w:rPr>
          <w:rFonts w:hint="eastAsia" w:ascii="仿宋" w:hAnsi="仿宋" w:eastAsia="仿宋"/>
          <w:sz w:val="28"/>
          <w:szCs w:val="28"/>
        </w:rPr>
      </w:pPr>
    </w:p>
    <w:p>
      <w:pPr>
        <w:pStyle w:val="3"/>
        <w:spacing w:before="0" w:line="500" w:lineRule="exact"/>
        <w:jc w:val="both"/>
        <w:rPr>
          <w:rFonts w:hint="eastAsia" w:ascii="仿宋" w:hAnsi="仿宋" w:eastAsia="仿宋"/>
          <w:sz w:val="28"/>
          <w:szCs w:val="28"/>
        </w:rPr>
      </w:pPr>
    </w:p>
    <w:p>
      <w:pPr>
        <w:pStyle w:val="3"/>
        <w:spacing w:before="0" w:line="500" w:lineRule="exact"/>
        <w:jc w:val="both"/>
        <w:rPr>
          <w:rFonts w:hint="eastAsia" w:ascii="仿宋" w:hAnsi="仿宋" w:eastAsia="仿宋"/>
          <w:sz w:val="28"/>
          <w:szCs w:val="28"/>
        </w:rPr>
      </w:pPr>
    </w:p>
    <w:p>
      <w:pPr>
        <w:pStyle w:val="3"/>
        <w:spacing w:before="0" w:line="500" w:lineRule="exact"/>
        <w:jc w:val="both"/>
        <w:rPr>
          <w:rFonts w:hint="eastAsia" w:ascii="仿宋" w:hAnsi="仿宋" w:eastAsia="仿宋"/>
          <w:sz w:val="28"/>
          <w:szCs w:val="28"/>
        </w:rPr>
      </w:pPr>
    </w:p>
    <w:p>
      <w:pPr>
        <w:pStyle w:val="3"/>
        <w:spacing w:before="0" w:line="500" w:lineRule="exact"/>
        <w:jc w:val="both"/>
        <w:rPr>
          <w:rFonts w:hint="eastAsia" w:ascii="仿宋" w:hAnsi="仿宋" w:eastAsia="仿宋"/>
          <w:sz w:val="28"/>
          <w:szCs w:val="28"/>
        </w:rPr>
      </w:pPr>
    </w:p>
    <w:p>
      <w:pPr>
        <w:pStyle w:val="3"/>
        <w:spacing w:before="0" w:line="500" w:lineRule="exact"/>
        <w:jc w:val="both"/>
        <w:rPr>
          <w:rFonts w:hint="eastAsia" w:ascii="仿宋" w:hAnsi="仿宋" w:eastAsia="仿宋"/>
          <w:sz w:val="28"/>
          <w:szCs w:val="28"/>
        </w:rPr>
      </w:pPr>
    </w:p>
    <w:p>
      <w:pPr>
        <w:pStyle w:val="3"/>
        <w:spacing w:before="0" w:line="500" w:lineRule="exact"/>
        <w:jc w:val="both"/>
        <w:rPr>
          <w:rFonts w:hint="eastAsia" w:ascii="仿宋" w:hAnsi="仿宋" w:eastAsia="仿宋"/>
          <w:sz w:val="28"/>
          <w:szCs w:val="28"/>
        </w:rPr>
      </w:pPr>
    </w:p>
    <w:p>
      <w:pPr>
        <w:pStyle w:val="260"/>
        <w:keepNext w:val="0"/>
        <w:pageBreakBefore w:val="0"/>
        <w:numPr>
          <w:ilvl w:val="0"/>
          <w:numId w:val="0"/>
        </w:numPr>
        <w:tabs>
          <w:tab w:val="clear" w:pos="720"/>
        </w:tabs>
        <w:snapToGrid w:val="0"/>
        <w:spacing w:before="120" w:after="120" w:line="240" w:lineRule="auto"/>
        <w:jc w:val="both"/>
        <w:outlineLvl w:val="9"/>
        <w:rPr>
          <w:rFonts w:hint="eastAsia" w:ascii="宋体" w:hAnsi="宋体" w:eastAsia="宋体" w:cs="宋体"/>
          <w:color w:val="auto"/>
          <w:sz w:val="28"/>
          <w:highlight w:val="none"/>
          <w:lang w:eastAsia="zh-CN"/>
        </w:rPr>
      </w:pPr>
    </w:p>
    <w:p>
      <w:pPr>
        <w:pStyle w:val="260"/>
        <w:keepNext w:val="0"/>
        <w:pageBreakBefore w:val="0"/>
        <w:numPr>
          <w:ilvl w:val="0"/>
          <w:numId w:val="0"/>
        </w:numPr>
        <w:tabs>
          <w:tab w:val="clear" w:pos="720"/>
        </w:tabs>
        <w:snapToGrid w:val="0"/>
        <w:spacing w:before="120" w:after="120" w:line="240" w:lineRule="auto"/>
        <w:jc w:val="center"/>
        <w:outlineLvl w:val="9"/>
        <w:rPr>
          <w:rFonts w:hint="eastAsia" w:ascii="仿宋" w:hAnsi="仿宋" w:eastAsia="仿宋" w:cs="仿宋"/>
          <w:color w:val="auto"/>
          <w:sz w:val="28"/>
          <w:highlight w:val="none"/>
          <w:lang w:eastAsia="zh-CN"/>
        </w:rPr>
      </w:pPr>
      <w:r>
        <w:rPr>
          <w:rFonts w:hint="eastAsia" w:ascii="仿宋" w:hAnsi="仿宋" w:eastAsia="仿宋" w:cs="仿宋"/>
          <w:color w:val="auto"/>
          <w:kern w:val="2"/>
          <w:sz w:val="32"/>
          <w:szCs w:val="32"/>
          <w:highlight w:val="none"/>
          <w:lang w:val="en-US" w:eastAsia="zh-CN"/>
        </w:rPr>
        <w:t>2、</w:t>
      </w:r>
      <w:r>
        <w:rPr>
          <w:rFonts w:hint="eastAsia" w:ascii="仿宋" w:hAnsi="仿宋" w:eastAsia="仿宋" w:cs="仿宋"/>
          <w:color w:val="auto"/>
          <w:kern w:val="2"/>
          <w:sz w:val="32"/>
          <w:szCs w:val="32"/>
          <w:highlight w:val="none"/>
        </w:rPr>
        <w:t>开标一览表</w:t>
      </w:r>
    </w:p>
    <w:p>
      <w:pPr>
        <w:ind w:left="279" w:leftChars="133"/>
        <w:rPr>
          <w:rFonts w:hint="eastAsia" w:ascii="仿宋" w:hAnsi="仿宋" w:eastAsia="仿宋" w:cs="仿宋"/>
          <w:color w:val="auto"/>
          <w:sz w:val="28"/>
          <w:lang w:eastAsia="zh-CN"/>
        </w:rPr>
      </w:pPr>
      <w:r>
        <w:rPr>
          <w:rFonts w:hint="eastAsia" w:ascii="仿宋" w:hAnsi="仿宋" w:eastAsia="仿宋" w:cs="仿宋"/>
          <w:color w:val="auto"/>
          <w:sz w:val="28"/>
        </w:rPr>
        <w:t>项目名称：</w:t>
      </w:r>
    </w:p>
    <w:p>
      <w:pPr>
        <w:ind w:left="279" w:leftChars="133"/>
        <w:rPr>
          <w:rFonts w:hint="eastAsia" w:ascii="仿宋" w:hAnsi="仿宋" w:eastAsia="仿宋" w:cs="仿宋"/>
          <w:sz w:val="24"/>
          <w:szCs w:val="24"/>
        </w:rPr>
      </w:pPr>
      <w:r>
        <w:rPr>
          <w:rFonts w:hint="eastAsia" w:ascii="仿宋" w:hAnsi="仿宋" w:eastAsia="仿宋" w:cs="仿宋"/>
          <w:color w:val="auto"/>
          <w:sz w:val="28"/>
        </w:rPr>
        <w:t>项目编号：</w:t>
      </w:r>
      <w:r>
        <w:rPr>
          <w:rFonts w:hint="eastAsia" w:ascii="仿宋" w:hAnsi="仿宋" w:eastAsia="仿宋" w:cs="仿宋"/>
          <w:color w:val="auto"/>
          <w:sz w:val="24"/>
          <w:szCs w:val="24"/>
          <w:lang w:val="en-US" w:eastAsia="zh-CN"/>
        </w:rPr>
        <w:t xml:space="preserve">                           </w:t>
      </w:r>
    </w:p>
    <w:p>
      <w:pPr>
        <w:widowControl/>
        <w:jc w:val="left"/>
        <w:rPr>
          <w:rFonts w:hint="eastAsia" w:ascii="仿宋" w:hAnsi="仿宋" w:eastAsia="仿宋" w:cs="仿宋"/>
          <w:sz w:val="24"/>
          <w:szCs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2116"/>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351" w:type="dxa"/>
            <w:vMerge w:val="restart"/>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标的内容</w:t>
            </w:r>
          </w:p>
        </w:tc>
        <w:tc>
          <w:tcPr>
            <w:tcW w:w="6767" w:type="dxa"/>
            <w:gridSpan w:val="2"/>
            <w:noWrap w:val="0"/>
            <w:vAlign w:val="center"/>
          </w:tcPr>
          <w:p>
            <w:pPr>
              <w:jc w:val="center"/>
              <w:rPr>
                <w:rFonts w:hint="eastAsia" w:ascii="仿宋" w:hAnsi="仿宋" w:eastAsia="仿宋" w:cs="仿宋"/>
                <w:b/>
                <w:sz w:val="28"/>
                <w:szCs w:val="28"/>
                <w:lang w:eastAsia="zh-CN"/>
              </w:rPr>
            </w:pPr>
            <w:r>
              <w:rPr>
                <w:rFonts w:hint="eastAsia" w:ascii="仿宋" w:hAnsi="仿宋" w:eastAsia="仿宋" w:cs="仿宋"/>
                <w:b/>
                <w:sz w:val="28"/>
                <w:szCs w:val="28"/>
              </w:rPr>
              <w:t>投标报价</w:t>
            </w:r>
            <w:r>
              <w:rPr>
                <w:rFonts w:hint="eastAsia" w:ascii="仿宋" w:hAnsi="仿宋" w:eastAsia="仿宋" w:cs="仿宋"/>
                <w:b/>
                <w:sz w:val="28"/>
                <w:szCs w:val="28"/>
                <w:lang w:val="en-US" w:eastAsia="zh-CN"/>
              </w:rPr>
              <w:t>折扣率</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单位：%</w:t>
            </w:r>
            <w:r>
              <w:rPr>
                <w:rFonts w:hint="eastAsia" w:ascii="仿宋" w:hAnsi="仿宋" w:eastAsia="仿宋" w:cs="仿宋"/>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351" w:type="dxa"/>
            <w:vMerge w:val="continue"/>
            <w:noWrap w:val="0"/>
            <w:vAlign w:val="center"/>
          </w:tcPr>
          <w:p>
            <w:pPr>
              <w:jc w:val="center"/>
              <w:rPr>
                <w:rFonts w:hint="eastAsia" w:ascii="仿宋" w:hAnsi="仿宋" w:eastAsia="仿宋" w:cs="仿宋"/>
                <w:b/>
                <w:sz w:val="28"/>
                <w:szCs w:val="28"/>
              </w:rPr>
            </w:pPr>
          </w:p>
        </w:tc>
        <w:tc>
          <w:tcPr>
            <w:tcW w:w="2116"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小写</w:t>
            </w:r>
          </w:p>
        </w:tc>
        <w:tc>
          <w:tcPr>
            <w:tcW w:w="4651"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2351" w:type="dxa"/>
            <w:noWrap w:val="0"/>
            <w:vAlign w:val="center"/>
          </w:tcPr>
          <w:p>
            <w:pPr>
              <w:spacing w:line="700" w:lineRule="exact"/>
              <w:jc w:val="center"/>
              <w:rPr>
                <w:rFonts w:hint="eastAsia" w:ascii="仿宋" w:hAnsi="仿宋" w:eastAsia="仿宋" w:cs="仿宋"/>
                <w:sz w:val="24"/>
                <w:szCs w:val="24"/>
                <w:lang w:eastAsia="zh-CN"/>
              </w:rPr>
            </w:pPr>
          </w:p>
        </w:tc>
        <w:tc>
          <w:tcPr>
            <w:tcW w:w="2116" w:type="dxa"/>
            <w:noWrap w:val="0"/>
            <w:vAlign w:val="center"/>
          </w:tcPr>
          <w:p>
            <w:pPr>
              <w:spacing w:line="700" w:lineRule="exact"/>
              <w:ind w:firstLine="960" w:firstLineChars="400"/>
              <w:rPr>
                <w:rFonts w:hint="eastAsia" w:ascii="仿宋" w:hAnsi="仿宋" w:eastAsia="仿宋" w:cs="仿宋"/>
                <w:sz w:val="24"/>
                <w:szCs w:val="24"/>
                <w:lang w:eastAsia="zh-CN"/>
              </w:rPr>
            </w:pPr>
            <w:r>
              <w:rPr>
                <w:rFonts w:hint="eastAsia" w:ascii="仿宋" w:hAnsi="仿宋" w:eastAsia="仿宋" w:cs="仿宋"/>
                <w:sz w:val="24"/>
                <w:szCs w:val="24"/>
                <w:lang w:val="en-US" w:eastAsia="zh-CN"/>
              </w:rPr>
              <w:t>%</w:t>
            </w:r>
          </w:p>
        </w:tc>
        <w:tc>
          <w:tcPr>
            <w:tcW w:w="4651" w:type="dxa"/>
            <w:noWrap w:val="0"/>
            <w:vAlign w:val="center"/>
          </w:tcPr>
          <w:p>
            <w:pPr>
              <w:spacing w:line="7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百分之</w:t>
            </w:r>
            <w:r>
              <w:rPr>
                <w:rFonts w:hint="eastAsia" w:ascii="仿宋" w:hAnsi="仿宋" w:eastAsia="仿宋" w:cs="仿宋"/>
                <w:sz w:val="24"/>
                <w:szCs w:val="24"/>
                <w:u w:val="single"/>
                <w:lang w:val="en-US" w:eastAsia="zh-CN"/>
              </w:rPr>
              <w:t xml:space="preserve">        </w:t>
            </w:r>
          </w:p>
        </w:tc>
      </w:tr>
    </w:tbl>
    <w:p>
      <w:pPr>
        <w:rPr>
          <w:rFonts w:hint="eastAsia" w:ascii="仿宋" w:hAnsi="仿宋" w:eastAsia="仿宋" w:cs="仿宋"/>
          <w:color w:val="auto"/>
          <w:sz w:val="28"/>
          <w:highlight w:val="none"/>
        </w:rPr>
      </w:pPr>
    </w:p>
    <w:p>
      <w:pPr>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投标人：</w:t>
      </w:r>
      <w:r>
        <w:rPr>
          <w:rFonts w:hint="eastAsia" w:ascii="仿宋" w:hAnsi="仿宋" w:eastAsia="仿宋" w:cs="仿宋"/>
          <w:color w:val="auto"/>
          <w:sz w:val="28"/>
          <w:highlight w:val="none"/>
          <w:u w:val="single"/>
        </w:rPr>
        <w:t xml:space="preserve">          （盖章）            </w:t>
      </w:r>
      <w:r>
        <w:rPr>
          <w:rFonts w:hint="eastAsia" w:ascii="仿宋" w:hAnsi="仿宋" w:eastAsia="仿宋" w:cs="仿宋"/>
          <w:color w:val="auto"/>
          <w:sz w:val="28"/>
          <w:highlight w:val="none"/>
        </w:rPr>
        <w:t xml:space="preserve"> </w:t>
      </w:r>
    </w:p>
    <w:p>
      <w:pPr>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      </w:t>
      </w:r>
    </w:p>
    <w:p>
      <w:pPr>
        <w:spacing w:line="340" w:lineRule="exact"/>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日      期：     年    月    日</w:t>
      </w:r>
    </w:p>
    <w:p>
      <w:pPr>
        <w:pageBreakBefore w:val="0"/>
        <w:widowControl/>
        <w:tabs>
          <w:tab w:val="left" w:pos="420"/>
        </w:tabs>
        <w:kinsoku/>
        <w:wordWrap/>
        <w:overflowPunct/>
        <w:topLinePunct w:val="0"/>
        <w:bidi w:val="0"/>
        <w:spacing w:line="420" w:lineRule="exact"/>
        <w:ind w:right="-53" w:rightChars="-25"/>
        <w:textAlignment w:val="bottom"/>
        <w:rPr>
          <w:rFonts w:hint="eastAsia" w:ascii="仿宋" w:hAnsi="仿宋" w:eastAsia="仿宋" w:cs="仿宋"/>
          <w:b/>
          <w:bCs/>
          <w:kern w:val="0"/>
          <w:sz w:val="24"/>
          <w:lang w:val="en-US" w:eastAsia="zh-CN"/>
        </w:rPr>
      </w:pPr>
    </w:p>
    <w:p>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1</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2</w:t>
      </w:r>
      <w:r>
        <w:rPr>
          <w:rFonts w:hint="eastAsia" w:ascii="仿宋" w:hAnsi="仿宋" w:eastAsia="仿宋" w:cs="仿宋"/>
          <w:kern w:val="0"/>
          <w:sz w:val="24"/>
          <w:lang w:val="zh-CN"/>
        </w:rPr>
        <w:t>、特别提示：采购代理机构将对项目名称和项目编号，中标供应商名称、地址和中标金额，主要中标标的名称、规格型号、数量、单价、服务要求等予以公示。</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szCs w:val="22"/>
          <w:lang w:val="en-US" w:eastAsia="zh-CN"/>
        </w:rPr>
        <w:t>3</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260"/>
        <w:keepNext w:val="0"/>
        <w:pageBreakBefore w:val="0"/>
        <w:tabs>
          <w:tab w:val="clear" w:pos="720"/>
        </w:tabs>
        <w:snapToGrid w:val="0"/>
        <w:spacing w:before="120" w:after="120" w:line="240" w:lineRule="auto"/>
        <w:jc w:val="both"/>
        <w:outlineLvl w:val="9"/>
        <w:rPr>
          <w:rFonts w:hint="eastAsia" w:ascii="仿宋" w:hAnsi="仿宋" w:eastAsia="仿宋" w:cs="仿宋"/>
          <w:color w:val="auto"/>
          <w:kern w:val="2"/>
          <w:sz w:val="32"/>
          <w:szCs w:val="32"/>
          <w:highlight w:val="none"/>
        </w:rPr>
      </w:pPr>
    </w:p>
    <w:p>
      <w:pPr>
        <w:pStyle w:val="260"/>
        <w:keepNext w:val="0"/>
        <w:pageBreakBefore w:val="0"/>
        <w:tabs>
          <w:tab w:val="clear" w:pos="720"/>
        </w:tabs>
        <w:snapToGrid w:val="0"/>
        <w:spacing w:before="120" w:after="120" w:line="240" w:lineRule="auto"/>
        <w:jc w:val="both"/>
        <w:outlineLvl w:val="9"/>
        <w:rPr>
          <w:rFonts w:hint="eastAsia" w:ascii="仿宋" w:hAnsi="仿宋" w:eastAsia="仿宋" w:cs="仿宋"/>
          <w:color w:val="auto"/>
          <w:kern w:val="2"/>
          <w:sz w:val="32"/>
          <w:szCs w:val="32"/>
          <w:highlight w:val="none"/>
        </w:rPr>
      </w:pPr>
    </w:p>
    <w:p>
      <w:pPr>
        <w:pStyle w:val="260"/>
        <w:keepNext w:val="0"/>
        <w:pageBreakBefore w:val="0"/>
        <w:tabs>
          <w:tab w:val="clear" w:pos="720"/>
        </w:tabs>
        <w:snapToGrid w:val="0"/>
        <w:spacing w:before="120" w:after="120" w:line="240" w:lineRule="auto"/>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24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260"/>
        <w:keepNext w:val="0"/>
        <w:pageBreakBefore w:val="0"/>
        <w:tabs>
          <w:tab w:val="clear" w:pos="720"/>
        </w:tabs>
        <w:snapToGrid w:val="0"/>
        <w:spacing w:before="120" w:after="120" w:line="240" w:lineRule="auto"/>
        <w:ind w:firstLine="643"/>
        <w:outlineLvl w:val="9"/>
        <w:rPr>
          <w:rFonts w:hint="eastAsia" w:ascii="仿宋" w:hAnsi="仿宋" w:eastAsia="仿宋" w:cs="仿宋"/>
          <w:b w:val="0"/>
          <w:color w:val="auto"/>
          <w:sz w:val="32"/>
          <w:szCs w:val="32"/>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pStyle w:val="261"/>
        <w:rPr>
          <w:rFonts w:hint="eastAsia" w:ascii="仿宋" w:hAnsi="仿宋" w:eastAsia="仿宋" w:cs="仿宋"/>
          <w:b/>
          <w:color w:val="auto"/>
          <w:kern w:val="0"/>
          <w:sz w:val="36"/>
          <w:szCs w:val="36"/>
          <w:highlight w:val="none"/>
        </w:rPr>
      </w:pPr>
    </w:p>
    <w:p>
      <w:pPr>
        <w:pStyle w:val="261"/>
        <w:rPr>
          <w:rFonts w:hint="eastAsia" w:ascii="仿宋" w:hAnsi="仿宋" w:eastAsia="仿宋" w:cs="仿宋"/>
          <w:b/>
          <w:color w:val="auto"/>
          <w:kern w:val="0"/>
          <w:sz w:val="36"/>
          <w:szCs w:val="36"/>
          <w:highlight w:val="none"/>
        </w:rPr>
      </w:pPr>
    </w:p>
    <w:p>
      <w:pPr>
        <w:rPr>
          <w:rFonts w:hint="eastAsia" w:ascii="仿宋" w:hAnsi="仿宋" w:eastAsia="仿宋" w:cs="仿宋"/>
        </w:rPr>
      </w:pPr>
    </w:p>
    <w:p>
      <w:pPr>
        <w:pStyle w:val="59"/>
        <w:rPr>
          <w:rFonts w:hint="eastAsia" w:ascii="仿宋" w:hAnsi="仿宋" w:eastAsia="仿宋" w:cs="仿宋"/>
        </w:rPr>
      </w:pPr>
    </w:p>
    <w:p>
      <w:pPr>
        <w:tabs>
          <w:tab w:val="left" w:pos="8085"/>
        </w:tabs>
        <w:spacing w:line="24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24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240" w:lineRule="auto"/>
        <w:ind w:left="5060" w:hanging="5060" w:hangingChars="2100"/>
        <w:rPr>
          <w:rFonts w:hint="eastAsia" w:ascii="仿宋" w:hAnsi="仿宋" w:eastAsia="仿宋" w:cs="仿宋"/>
          <w:b/>
          <w:bCs/>
          <w:color w:val="auto"/>
          <w:kern w:val="0"/>
          <w:sz w:val="24"/>
          <w:highlight w:val="none"/>
        </w:rPr>
      </w:pPr>
    </w:p>
    <w:p>
      <w:pPr>
        <w:pStyle w:val="2"/>
        <w:keepNext w:val="0"/>
        <w:keepLines w:val="0"/>
        <w:pageBreakBefore/>
        <w:widowControl/>
        <w:tabs>
          <w:tab w:val="left" w:pos="432"/>
        </w:tabs>
        <w:spacing w:before="100" w:beforeAutospacing="1" w:after="100" w:afterAutospacing="1" w:line="240" w:lineRule="auto"/>
        <w:jc w:val="center"/>
        <w:rPr>
          <w:rFonts w:hint="eastAsia" w:ascii="仿宋" w:hAnsi="仿宋" w:eastAsia="仿宋" w:cs="仿宋"/>
          <w:color w:val="auto"/>
          <w:highlight w:val="none"/>
        </w:rPr>
      </w:pPr>
      <w:bookmarkStart w:id="23" w:name="_Toc465665161"/>
      <w:r>
        <w:rPr>
          <w:rFonts w:hint="eastAsia" w:ascii="仿宋" w:hAnsi="仿宋" w:eastAsia="仿宋" w:cs="仿宋"/>
          <w:color w:val="auto"/>
          <w:highlight w:val="none"/>
        </w:rPr>
        <w:t>附件</w:t>
      </w:r>
      <w:bookmarkEnd w:id="23"/>
    </w:p>
    <w:p>
      <w:pPr>
        <w:spacing w:line="24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240" w:lineRule="auto"/>
        <w:jc w:val="center"/>
        <w:rPr>
          <w:rFonts w:hint="eastAsia" w:ascii="仿宋" w:hAnsi="仿宋" w:eastAsia="仿宋" w:cs="仿宋"/>
          <w:b/>
          <w:color w:val="auto"/>
          <w:spacing w:val="6"/>
          <w:sz w:val="32"/>
          <w:szCs w:val="32"/>
          <w:highlight w:val="none"/>
        </w:rPr>
      </w:pPr>
      <w:bookmarkStart w:id="24" w:name="OLE_LINK13"/>
      <w:bookmarkStart w:id="25" w:name="OLE_LINK14"/>
      <w:r>
        <w:rPr>
          <w:rFonts w:hint="eastAsia" w:ascii="仿宋" w:hAnsi="仿宋" w:eastAsia="仿宋" w:cs="仿宋"/>
          <w:b/>
          <w:color w:val="auto"/>
          <w:spacing w:val="6"/>
          <w:sz w:val="32"/>
          <w:szCs w:val="32"/>
          <w:highlight w:val="none"/>
        </w:rPr>
        <w:t>残疾人福利性单位声明函</w:t>
      </w:r>
    </w:p>
    <w:bookmarkEnd w:id="24"/>
    <w:bookmarkEnd w:id="25"/>
    <w:p>
      <w:pPr>
        <w:spacing w:line="240" w:lineRule="auto"/>
        <w:rPr>
          <w:rFonts w:hint="eastAsia" w:ascii="仿宋" w:hAnsi="仿宋" w:eastAsia="仿宋" w:cs="仿宋"/>
          <w:b/>
          <w:color w:val="auto"/>
          <w:spacing w:val="6"/>
          <w:sz w:val="30"/>
          <w:szCs w:val="30"/>
          <w:highlight w:val="none"/>
        </w:rPr>
      </w:pPr>
    </w:p>
    <w:p>
      <w:pPr>
        <w:spacing w:line="24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24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240" w:lineRule="auto"/>
        <w:ind w:firstLine="480" w:firstLineChars="200"/>
        <w:rPr>
          <w:rFonts w:hint="eastAsia" w:ascii="仿宋" w:hAnsi="仿宋" w:eastAsia="仿宋" w:cs="仿宋"/>
          <w:color w:val="auto"/>
          <w:sz w:val="24"/>
          <w:highlight w:val="none"/>
        </w:rPr>
      </w:pPr>
    </w:p>
    <w:p>
      <w:pPr>
        <w:spacing w:line="240" w:lineRule="auto"/>
        <w:ind w:firstLine="480" w:firstLineChars="200"/>
        <w:rPr>
          <w:rFonts w:hint="eastAsia" w:ascii="仿宋" w:hAnsi="仿宋" w:eastAsia="仿宋" w:cs="仿宋"/>
          <w:color w:val="auto"/>
          <w:sz w:val="24"/>
          <w:highlight w:val="none"/>
        </w:rPr>
      </w:pPr>
    </w:p>
    <w:p>
      <w:pPr>
        <w:tabs>
          <w:tab w:val="left" w:pos="4860"/>
        </w:tabs>
        <w:spacing w:line="24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24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240" w:lineRule="auto"/>
        <w:ind w:firstLine="480" w:firstLineChars="200"/>
        <w:rPr>
          <w:rFonts w:hint="eastAsia" w:ascii="仿宋" w:hAnsi="仿宋" w:eastAsia="仿宋" w:cs="仿宋"/>
          <w:color w:val="auto"/>
          <w:sz w:val="24"/>
          <w:highlight w:val="none"/>
        </w:rPr>
      </w:pPr>
    </w:p>
    <w:p>
      <w:pPr>
        <w:spacing w:line="240" w:lineRule="auto"/>
        <w:ind w:firstLine="420" w:firstLineChars="200"/>
        <w:rPr>
          <w:rFonts w:hint="eastAsia" w:ascii="仿宋" w:hAnsi="仿宋" w:eastAsia="仿宋" w:cs="仿宋"/>
          <w:color w:val="auto"/>
          <w:highlight w:val="none"/>
        </w:rPr>
      </w:pPr>
    </w:p>
    <w:p>
      <w:pPr>
        <w:spacing w:line="240" w:lineRule="auto"/>
        <w:ind w:firstLine="420" w:firstLineChars="200"/>
        <w:rPr>
          <w:rFonts w:hint="eastAsia" w:ascii="仿宋" w:hAnsi="仿宋" w:eastAsia="仿宋" w:cs="仿宋"/>
          <w:color w:val="auto"/>
          <w:highlight w:val="none"/>
        </w:rPr>
      </w:pPr>
    </w:p>
    <w:p>
      <w:pPr>
        <w:spacing w:line="240" w:lineRule="auto"/>
        <w:ind w:firstLine="420" w:firstLineChars="200"/>
        <w:rPr>
          <w:rFonts w:hint="eastAsia" w:ascii="仿宋" w:hAnsi="仿宋" w:eastAsia="仿宋" w:cs="仿宋"/>
          <w:color w:val="auto"/>
          <w:highlight w:val="none"/>
        </w:rPr>
      </w:pPr>
    </w:p>
    <w:p>
      <w:pPr>
        <w:spacing w:line="240" w:lineRule="auto"/>
        <w:ind w:firstLine="420" w:firstLineChars="200"/>
        <w:rPr>
          <w:rFonts w:hint="eastAsia" w:ascii="仿宋" w:hAnsi="仿宋" w:eastAsia="仿宋" w:cs="仿宋"/>
          <w:color w:val="auto"/>
          <w:highlight w:val="none"/>
        </w:rPr>
      </w:pPr>
    </w:p>
    <w:p>
      <w:pPr>
        <w:spacing w:line="240" w:lineRule="auto"/>
        <w:rPr>
          <w:rFonts w:hint="eastAsia" w:ascii="仿宋" w:hAnsi="仿宋" w:eastAsia="仿宋" w:cs="仿宋"/>
          <w:b/>
          <w:color w:val="auto"/>
          <w:sz w:val="24"/>
          <w:highlight w:val="none"/>
        </w:rPr>
      </w:pPr>
    </w:p>
    <w:p>
      <w:pPr>
        <w:spacing w:line="240" w:lineRule="auto"/>
        <w:rPr>
          <w:rFonts w:hint="eastAsia" w:ascii="仿宋" w:hAnsi="仿宋" w:eastAsia="仿宋" w:cs="仿宋"/>
          <w:b/>
          <w:color w:val="auto"/>
          <w:sz w:val="24"/>
          <w:highlight w:val="none"/>
        </w:rPr>
      </w:pPr>
    </w:p>
    <w:p>
      <w:pPr>
        <w:spacing w:line="240" w:lineRule="auto"/>
        <w:rPr>
          <w:rFonts w:hint="eastAsia" w:ascii="仿宋" w:hAnsi="仿宋" w:eastAsia="仿宋" w:cs="仿宋"/>
          <w:b/>
          <w:color w:val="auto"/>
          <w:sz w:val="24"/>
          <w:highlight w:val="none"/>
        </w:rPr>
      </w:pPr>
    </w:p>
    <w:p>
      <w:pPr>
        <w:spacing w:line="240" w:lineRule="auto"/>
        <w:rPr>
          <w:rFonts w:hint="eastAsia" w:ascii="仿宋" w:hAnsi="仿宋" w:eastAsia="仿宋" w:cs="仿宋"/>
          <w:b/>
          <w:color w:val="auto"/>
          <w:sz w:val="24"/>
          <w:highlight w:val="none"/>
        </w:rPr>
      </w:pPr>
    </w:p>
    <w:p>
      <w:pPr>
        <w:spacing w:line="240" w:lineRule="auto"/>
        <w:rPr>
          <w:rFonts w:hint="eastAsia" w:ascii="仿宋" w:hAnsi="仿宋" w:eastAsia="仿宋" w:cs="仿宋"/>
          <w:b/>
          <w:color w:val="auto"/>
          <w:sz w:val="24"/>
          <w:highlight w:val="none"/>
        </w:rPr>
      </w:pPr>
    </w:p>
    <w:p>
      <w:pPr>
        <w:spacing w:line="240" w:lineRule="auto"/>
        <w:rPr>
          <w:rFonts w:hint="eastAsia" w:ascii="仿宋" w:hAnsi="仿宋" w:eastAsia="仿宋" w:cs="仿宋"/>
          <w:b/>
          <w:color w:val="auto"/>
          <w:sz w:val="24"/>
          <w:highlight w:val="none"/>
        </w:rPr>
      </w:pPr>
    </w:p>
    <w:p>
      <w:pPr>
        <w:spacing w:line="240" w:lineRule="auto"/>
        <w:rPr>
          <w:rFonts w:hint="eastAsia" w:ascii="仿宋" w:hAnsi="仿宋" w:eastAsia="仿宋" w:cs="仿宋"/>
          <w:b/>
          <w:color w:val="auto"/>
          <w:sz w:val="24"/>
          <w:highlight w:val="none"/>
        </w:rPr>
      </w:pPr>
    </w:p>
    <w:p>
      <w:pPr>
        <w:pStyle w:val="20"/>
        <w:rPr>
          <w:rFonts w:hint="eastAsia" w:ascii="仿宋" w:hAnsi="仿宋" w:eastAsia="仿宋" w:cs="仿宋"/>
          <w:b/>
          <w:color w:val="auto"/>
          <w:sz w:val="24"/>
          <w:highlight w:val="none"/>
        </w:rPr>
      </w:pPr>
    </w:p>
    <w:p>
      <w:pPr>
        <w:pStyle w:val="21"/>
        <w:rPr>
          <w:rFonts w:hint="eastAsia" w:ascii="仿宋" w:hAnsi="仿宋" w:eastAsia="仿宋" w:cs="仿宋"/>
          <w:b/>
          <w:color w:val="auto"/>
          <w:sz w:val="24"/>
          <w:highlight w:val="none"/>
        </w:rPr>
      </w:pPr>
    </w:p>
    <w:p>
      <w:pPr>
        <w:pStyle w:val="37"/>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pStyle w:val="20"/>
        <w:rPr>
          <w:rFonts w:hint="eastAsia" w:ascii="仿宋" w:hAnsi="仿宋" w:eastAsia="仿宋" w:cs="仿宋"/>
          <w:b/>
          <w:color w:val="auto"/>
          <w:sz w:val="24"/>
          <w:highlight w:val="none"/>
        </w:rPr>
      </w:pPr>
    </w:p>
    <w:p>
      <w:pPr>
        <w:pStyle w:val="21"/>
        <w:rPr>
          <w:rFonts w:hint="eastAsia" w:ascii="仿宋" w:hAnsi="仿宋" w:eastAsia="仿宋" w:cs="仿宋"/>
          <w:b/>
          <w:color w:val="auto"/>
          <w:sz w:val="24"/>
          <w:highlight w:val="none"/>
        </w:rPr>
      </w:pPr>
    </w:p>
    <w:p>
      <w:pPr>
        <w:pStyle w:val="37"/>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pStyle w:val="20"/>
        <w:rPr>
          <w:rFonts w:hint="eastAsia" w:ascii="仿宋" w:hAnsi="仿宋" w:eastAsia="仿宋" w:cs="仿宋"/>
        </w:rPr>
      </w:pPr>
    </w:p>
    <w:p>
      <w:pPr>
        <w:spacing w:line="240" w:lineRule="auto"/>
        <w:rPr>
          <w:rFonts w:hint="eastAsia" w:ascii="仿宋" w:hAnsi="仿宋" w:eastAsia="仿宋" w:cs="仿宋"/>
          <w:b/>
          <w:color w:val="auto"/>
          <w:sz w:val="24"/>
          <w:highlight w:val="none"/>
        </w:rPr>
      </w:pPr>
    </w:p>
    <w:p>
      <w:pPr>
        <w:spacing w:line="24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24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Lines="10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240" w:lineRule="auto"/>
        <w:jc w:val="center"/>
        <w:rPr>
          <w:rFonts w:hint="eastAsia" w:ascii="仿宋" w:hAnsi="仿宋" w:eastAsia="仿宋" w:cs="仿宋"/>
          <w:b/>
          <w:bCs/>
          <w:color w:val="auto"/>
          <w:sz w:val="24"/>
          <w:highlight w:val="none"/>
        </w:rPr>
      </w:pPr>
    </w:p>
    <w:p>
      <w:pPr>
        <w:spacing w:line="240" w:lineRule="auto"/>
        <w:rPr>
          <w:rFonts w:hint="eastAsia" w:ascii="仿宋" w:hAnsi="仿宋" w:eastAsia="仿宋" w:cs="仿宋"/>
          <w:b/>
          <w:color w:val="auto"/>
          <w:sz w:val="24"/>
          <w:highlight w:val="none"/>
        </w:rPr>
      </w:pPr>
    </w:p>
    <w:p>
      <w:pPr>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240" w:lineRule="auto"/>
        <w:ind w:firstLine="600" w:firstLineChars="200"/>
        <w:jc w:val="left"/>
        <w:rPr>
          <w:rFonts w:hint="eastAsia" w:ascii="仿宋" w:hAnsi="仿宋" w:eastAsia="仿宋" w:cs="仿宋"/>
          <w:color w:val="auto"/>
          <w:sz w:val="30"/>
          <w:szCs w:val="30"/>
          <w:highlight w:val="none"/>
        </w:rPr>
      </w:pPr>
    </w:p>
    <w:p>
      <w:pPr>
        <w:spacing w:line="24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240" w:lineRule="auto"/>
        <w:jc w:val="center"/>
        <w:rPr>
          <w:rFonts w:hint="eastAsia" w:ascii="仿宋" w:hAnsi="仿宋" w:eastAsia="仿宋" w:cs="仿宋"/>
          <w:b/>
          <w:color w:val="auto"/>
          <w:sz w:val="24"/>
          <w:highlight w:val="none"/>
        </w:rPr>
      </w:pPr>
    </w:p>
    <w:p>
      <w:pPr>
        <w:spacing w:line="24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tabs>
          <w:tab w:val="left" w:pos="6510"/>
        </w:tabs>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24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24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240" w:lineRule="auto"/>
        <w:rPr>
          <w:rFonts w:hint="eastAsia" w:ascii="仿宋" w:hAnsi="仿宋" w:eastAsia="仿宋" w:cs="仿宋"/>
          <w:b/>
          <w:color w:val="auto"/>
          <w:sz w:val="24"/>
          <w:highlight w:val="none"/>
        </w:rPr>
      </w:pPr>
    </w:p>
    <w:p>
      <w:pPr>
        <w:spacing w:line="240" w:lineRule="auto"/>
        <w:rPr>
          <w:rFonts w:hint="eastAsia" w:ascii="仿宋" w:hAnsi="仿宋" w:eastAsia="仿宋" w:cs="仿宋"/>
          <w:b/>
          <w:color w:val="auto"/>
          <w:sz w:val="24"/>
          <w:highlight w:val="none"/>
        </w:rPr>
      </w:pPr>
    </w:p>
    <w:p>
      <w:pPr>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24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24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240"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spacing w:line="240" w:lineRule="auto"/>
        <w:jc w:val="center"/>
        <w:rPr>
          <w:rFonts w:hint="eastAsia" w:ascii="仿宋" w:hAnsi="仿宋" w:eastAsia="仿宋" w:cs="仿宋"/>
          <w:b/>
          <w:color w:val="auto"/>
          <w:spacing w:val="6"/>
          <w:sz w:val="32"/>
          <w:szCs w:val="32"/>
          <w:highlight w:val="none"/>
        </w:rPr>
      </w:pPr>
    </w:p>
    <w:p>
      <w:pPr>
        <w:pStyle w:val="20"/>
        <w:rPr>
          <w:rFonts w:hint="eastAsia" w:ascii="仿宋" w:hAnsi="仿宋" w:eastAsia="仿宋" w:cs="仿宋"/>
          <w:b/>
          <w:color w:val="auto"/>
          <w:spacing w:val="6"/>
          <w:sz w:val="32"/>
          <w:szCs w:val="32"/>
          <w:highlight w:val="none"/>
        </w:rPr>
      </w:pPr>
    </w:p>
    <w:p>
      <w:pPr>
        <w:pStyle w:val="21"/>
        <w:rPr>
          <w:rFonts w:hint="eastAsia" w:ascii="仿宋" w:hAnsi="仿宋" w:eastAsia="仿宋" w:cs="仿宋"/>
          <w:b/>
          <w:color w:val="auto"/>
          <w:spacing w:val="6"/>
          <w:sz w:val="32"/>
          <w:szCs w:val="32"/>
          <w:highlight w:val="none"/>
        </w:rPr>
      </w:pPr>
    </w:p>
    <w:p>
      <w:pPr>
        <w:pStyle w:val="37"/>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20"/>
        <w:rPr>
          <w:rFonts w:hint="eastAsia" w:ascii="仿宋" w:hAnsi="仿宋" w:eastAsia="仿宋" w:cs="仿宋"/>
          <w:b/>
          <w:color w:val="auto"/>
          <w:spacing w:val="6"/>
          <w:sz w:val="32"/>
          <w:szCs w:val="32"/>
          <w:highlight w:val="none"/>
        </w:rPr>
      </w:pPr>
    </w:p>
    <w:p>
      <w:pPr>
        <w:pStyle w:val="21"/>
        <w:rPr>
          <w:rFonts w:hint="eastAsia" w:ascii="仿宋" w:hAnsi="仿宋" w:eastAsia="仿宋" w:cs="仿宋"/>
          <w:b/>
          <w:color w:val="auto"/>
          <w:spacing w:val="6"/>
          <w:sz w:val="32"/>
          <w:szCs w:val="32"/>
          <w:highlight w:val="none"/>
        </w:rPr>
      </w:pPr>
    </w:p>
    <w:p>
      <w:pPr>
        <w:pStyle w:val="37"/>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20"/>
        <w:rPr>
          <w:rFonts w:hint="eastAsia" w:ascii="仿宋" w:hAnsi="仿宋" w:eastAsia="仿宋" w:cs="仿宋"/>
          <w:b/>
          <w:color w:val="auto"/>
          <w:spacing w:val="6"/>
          <w:sz w:val="32"/>
          <w:szCs w:val="32"/>
          <w:highlight w:val="none"/>
        </w:rPr>
      </w:pPr>
    </w:p>
    <w:p>
      <w:pPr>
        <w:pStyle w:val="21"/>
        <w:rPr>
          <w:rFonts w:hint="eastAsia" w:ascii="仿宋" w:hAnsi="仿宋" w:eastAsia="仿宋" w:cs="仿宋"/>
          <w:b/>
          <w:color w:val="auto"/>
          <w:spacing w:val="6"/>
          <w:sz w:val="32"/>
          <w:szCs w:val="32"/>
          <w:highlight w:val="none"/>
        </w:rPr>
      </w:pPr>
    </w:p>
    <w:p>
      <w:pPr>
        <w:pStyle w:val="37"/>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20"/>
        <w:rPr>
          <w:rFonts w:hint="eastAsia" w:ascii="仿宋" w:hAnsi="仿宋" w:eastAsia="仿宋" w:cs="仿宋"/>
        </w:rPr>
      </w:pPr>
    </w:p>
    <w:p>
      <w:pPr>
        <w:autoSpaceDE w:val="0"/>
        <w:autoSpaceDN w:val="0"/>
        <w:spacing w:line="240" w:lineRule="auto"/>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color w:val="auto"/>
          <w:sz w:val="32"/>
          <w:szCs w:val="32"/>
          <w:highlight w:val="none"/>
        </w:rPr>
        <w:t>中小企业声明函</w:t>
      </w:r>
    </w:p>
    <w:p>
      <w:pPr>
        <w:spacing w:line="360" w:lineRule="auto"/>
        <w:jc w:val="center"/>
        <w:rPr>
          <w:rFonts w:hint="eastAsia" w:ascii="宋体" w:hAnsi="宋体" w:eastAsia="宋体" w:cs="宋体"/>
          <w:b/>
          <w:sz w:val="32"/>
          <w:szCs w:val="32"/>
        </w:rPr>
      </w:pPr>
    </w:p>
    <w:p>
      <w:pPr>
        <w:spacing w:line="240" w:lineRule="auto"/>
        <w:jc w:val="both"/>
        <w:rPr>
          <w:rFonts w:hint="eastAsia" w:ascii="仿宋" w:hAnsi="仿宋" w:eastAsia="仿宋" w:cs="仿宋"/>
          <w:b/>
          <w:color w:val="auto"/>
          <w:sz w:val="32"/>
          <w:highlight w:val="none"/>
        </w:rPr>
      </w:pPr>
    </w:p>
    <w:p>
      <w:pPr>
        <w:spacing w:line="24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中小企业声明函（工程、服务）</w:t>
      </w:r>
    </w:p>
    <w:p>
      <w:pPr>
        <w:spacing w:line="24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本公司（联合体）郑重声明，根据《政府采购促进中小企业发展管理办法》 （</w:t>
      </w:r>
      <w:r>
        <w:rPr>
          <w:rFonts w:hint="eastAsia" w:ascii="仿宋" w:hAnsi="仿宋" w:eastAsia="仿宋" w:cs="仿宋"/>
          <w:color w:val="auto"/>
          <w:sz w:val="24"/>
          <w:highlight w:val="none"/>
          <w:lang w:eastAsia="zh-CN"/>
        </w:rPr>
        <w:t>财库﹝2020﹞46 号</w:t>
      </w:r>
      <w:r>
        <w:rPr>
          <w:rFonts w:hint="eastAsia" w:ascii="仿宋" w:hAnsi="仿宋" w:eastAsia="仿宋" w:cs="仿宋"/>
          <w:color w:val="auto"/>
          <w:sz w:val="24"/>
          <w:highlight w:val="none"/>
        </w:rPr>
        <w:t>）的规定，本公司（或联合体）参加</w:t>
      </w:r>
      <w:r>
        <w:rPr>
          <w:rFonts w:hint="eastAsia" w:ascii="仿宋" w:hAnsi="仿宋" w:eastAsia="仿宋" w:cs="仿宋"/>
          <w:color w:val="auto"/>
          <w:sz w:val="24"/>
          <w:highlight w:val="none"/>
          <w:u w:val="single"/>
        </w:rPr>
        <w:t xml:space="preserve">          （采购单位）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p>
    <w:p>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项目</w:t>
      </w:r>
      <w:r>
        <w:rPr>
          <w:rFonts w:hint="eastAsia" w:ascii="仿宋" w:hAnsi="仿宋" w:eastAsia="仿宋" w:cs="仿宋"/>
          <w:color w:val="auto"/>
          <w:sz w:val="24"/>
          <w:highlight w:val="none"/>
        </w:rPr>
        <w:t>采购活动，工程的施工单位全部为符合政策要求的中小企业（或者：服务全部由符合政策要求的中小企业承接） 。相关企业（含联合体中的中小企业、签订分包意向协议的中小企业）的具体情况如下：</w:t>
      </w:r>
    </w:p>
    <w:p>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240" w:lineRule="auto"/>
        <w:ind w:right="420" w:firstLine="5880" w:firstLineChars="2450"/>
        <w:jc w:val="left"/>
        <w:rPr>
          <w:rFonts w:hint="eastAsia" w:ascii="仿宋" w:hAnsi="仿宋" w:eastAsia="仿宋" w:cs="仿宋"/>
          <w:color w:val="auto"/>
          <w:sz w:val="24"/>
          <w:highlight w:val="none"/>
        </w:rPr>
      </w:pPr>
    </w:p>
    <w:p>
      <w:pPr>
        <w:spacing w:line="240" w:lineRule="auto"/>
        <w:ind w:right="420" w:firstLine="5040" w:firstLineChars="2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企业名称（盖章）： </w:t>
      </w:r>
    </w:p>
    <w:p>
      <w:pPr>
        <w:spacing w:line="240" w:lineRule="auto"/>
        <w:ind w:right="420"/>
        <w:rPr>
          <w:rFonts w:hint="eastAsia" w:ascii="仿宋" w:hAnsi="仿宋" w:eastAsia="仿宋" w:cs="仿宋"/>
          <w:color w:val="auto"/>
          <w:sz w:val="24"/>
          <w:highlight w:val="none"/>
        </w:rPr>
      </w:pPr>
    </w:p>
    <w:p>
      <w:pPr>
        <w:spacing w:line="240" w:lineRule="auto"/>
        <w:ind w:right="420"/>
        <w:jc w:val="right"/>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w:t>
      </w:r>
      <w:r>
        <w:rPr>
          <w:rFonts w:hint="eastAsia" w:ascii="仿宋" w:hAnsi="仿宋" w:eastAsia="仿宋" w:cs="仿宋"/>
          <w:color w:val="auto"/>
          <w:highlight w:val="none"/>
        </w:rPr>
        <w:t xml:space="preserve">    日</w:t>
      </w:r>
    </w:p>
    <w:p>
      <w:pPr>
        <w:spacing w:line="240" w:lineRule="auto"/>
        <w:ind w:right="420"/>
        <w:jc w:val="right"/>
        <w:rPr>
          <w:rFonts w:hint="eastAsia" w:ascii="仿宋" w:hAnsi="仿宋" w:eastAsia="仿宋" w:cs="仿宋"/>
          <w:b/>
          <w:color w:val="auto"/>
          <w:sz w:val="24"/>
          <w:szCs w:val="24"/>
          <w:highlight w:val="none"/>
        </w:rPr>
      </w:pPr>
    </w:p>
    <w:p>
      <w:pPr>
        <w:rPr>
          <w:rFonts w:hint="eastAsia" w:ascii="仿宋" w:hAnsi="仿宋" w:eastAsia="仿宋" w:cs="仿宋"/>
          <w:color w:val="auto"/>
        </w:rPr>
      </w:pPr>
    </w:p>
    <w:sectPr>
      <w:headerReference r:id="rId22" w:type="default"/>
      <w:footerReference r:id="rId2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华文细黑">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118566"/>
    </w:sdtPr>
    <w:sdtContent>
      <w:p>
        <w:pPr>
          <w:pStyle w:val="31"/>
          <w:ind w:firstLine="360"/>
          <w:jc w:val="center"/>
        </w:pPr>
      </w:p>
    </w:sdtContent>
  </w:sdt>
  <w:p>
    <w:pPr>
      <w:pStyle w:val="3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hint="eastAsia" w:ascii="仿宋_GB2312" w:eastAsia="仿宋_GB2312"/>
        <w:kern w:val="0"/>
        <w:szCs w:val="21"/>
        <w:lang w:val="en-US" w:eastAsia="zh-CN"/>
      </w:rPr>
      <w:t>52</w:t>
    </w:r>
    <w:r>
      <w:rPr>
        <w:rFonts w:hint="eastAsia" w:ascii="仿宋_GB2312" w:eastAsia="仿宋_GB2312"/>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rPr>
        <w:lang w:val="zh-CN"/>
      </w:rPr>
      <w:t>-</w:t>
    </w:r>
    <w:r>
      <w:t xml:space="preserve"> 29 -</w:t>
    </w:r>
    <w: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rPr>
        <w:lang w:val="zh-CN"/>
      </w:rPr>
      <w:t>-</w:t>
    </w:r>
    <w:r>
      <w:t xml:space="preserve"> 33 -</w:t>
    </w:r>
    <w:r>
      <w:fldChar w:fldCharType="end"/>
    </w:r>
  </w:p>
  <w:p>
    <w:pPr>
      <w:pStyle w:val="31"/>
      <w:jc w:val="center"/>
      <w:rPr>
        <w:rFonts w:eastAsia="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path/>
          <v:fill on="f" focussize="0,0"/>
          <v:stroke on="f"/>
          <v:imagedata o:title=""/>
          <o:lock v:ext="edit" aspectratio="f"/>
          <v:textbox inset="0mm,0mm,0mm,0mm" style="mso-fit-shape-to-text:t;">
            <w:txbxContent>
              <w:p>
                <w:pPr>
                  <w:pStyle w:val="31"/>
                  <w:jc w:val="center"/>
                </w:pPr>
                <w:r>
                  <w:fldChar w:fldCharType="begin"/>
                </w:r>
                <w:r>
                  <w:instrText xml:space="preserve"> PAGE   \* MERGEFORMAT </w:instrText>
                </w:r>
                <w:r>
                  <w:fldChar w:fldCharType="separate"/>
                </w:r>
                <w:r>
                  <w:t>1</w:t>
                </w:r>
                <w:r>
                  <w:fldChar w:fldCharType="end"/>
                </w:r>
              </w:p>
            </w:txbxContent>
          </v:textbox>
        </v:shape>
      </w:pict>
    </w:r>
  </w:p>
  <w:p>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58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rPr>
        <w:rFonts w:hint="eastAsia" w:ascii="微软雅黑" w:hAnsi="微软雅黑" w:eastAsia="微软雅黑" w:cs="微软雅黑"/>
        <w:b/>
        <w:bCs/>
        <w:color w:val="1F497D"/>
        <w:sz w:val="18"/>
        <w:szCs w:val="18"/>
        <w:u w:val="thick"/>
        <w:lang w:val="en-US" w:eastAsia="zh-CN"/>
      </w:rPr>
    </w:pPr>
  </w:p>
  <w:p>
    <w:pPr>
      <w:pStyle w:val="32"/>
      <w:pBdr>
        <w:bottom w:val="none" w:color="auto" w:sz="0" w:space="0"/>
      </w:pBdr>
      <w:jc w:val="both"/>
      <w:rPr>
        <w:rFonts w:hint="eastAsia" w:ascii="微软雅黑" w:hAnsi="微软雅黑" w:eastAsia="微软雅黑" w:cs="微软雅黑"/>
        <w:b/>
        <w:bCs/>
        <w:color w:val="1F497D"/>
        <w:sz w:val="18"/>
        <w:szCs w:val="18"/>
        <w:u w:val="thick"/>
        <w:lang w:val="en-US" w:eastAsia="zh-CN"/>
      </w:rPr>
    </w:pPr>
  </w:p>
  <w:p>
    <w:pPr>
      <w:pStyle w:val="32"/>
      <w:pBdr>
        <w:bottom w:val="none" w:color="auto" w:sz="0" w:space="0"/>
      </w:pBdr>
      <w:jc w:val="both"/>
    </w:pPr>
    <w:r>
      <w:rPr>
        <w:rFonts w:hint="eastAsia" w:ascii="微软雅黑" w:hAnsi="微软雅黑" w:eastAsia="微软雅黑" w:cs="微软雅黑"/>
        <w:b/>
        <w:bCs/>
        <w:color w:val="1F497D"/>
        <w:sz w:val="18"/>
        <w:szCs w:val="18"/>
        <w:u w:val="thick"/>
        <w:lang w:val="en-US" w:eastAsia="zh-CN"/>
      </w:rPr>
      <w:t xml:space="preserve">                       </w:t>
    </w:r>
    <w:r>
      <w:rPr>
        <w:rFonts w:hint="eastAsia" w:ascii="微软雅黑" w:hAnsi="微软雅黑" w:eastAsia="微软雅黑" w:cs="微软雅黑"/>
        <w:b/>
        <w:bCs/>
        <w:color w:val="1F497D"/>
        <w:sz w:val="20"/>
        <w:szCs w:val="20"/>
        <w:u w:val="thick"/>
        <w:lang w:val="en-US" w:eastAsia="zh-CN"/>
      </w:rPr>
      <w:t xml:space="preserve">   </w:t>
    </w:r>
    <w:r>
      <w:rPr>
        <w:rFonts w:hint="eastAsia" w:ascii="微软雅黑" w:hAnsi="微软雅黑" w:eastAsia="微软雅黑" w:cs="微软雅黑"/>
        <w:b/>
        <w:bCs/>
        <w:color w:val="1F497D"/>
        <w:sz w:val="24"/>
        <w:szCs w:val="24"/>
        <w:u w:val="thick"/>
        <w:lang w:val="en-US" w:eastAsia="zh-CN"/>
      </w:rPr>
      <w:t xml:space="preserve"> 浙江中通通信有限公司招标文件   </w:t>
    </w:r>
    <w:r>
      <w:rPr>
        <w:rFonts w:hint="eastAsia" w:ascii="微软雅黑" w:hAnsi="微软雅黑" w:eastAsia="微软雅黑" w:cs="微软雅黑"/>
        <w:b/>
        <w:bCs/>
        <w:color w:val="1F497D"/>
        <w:sz w:val="20"/>
        <w:szCs w:val="20"/>
        <w:u w:val="thick"/>
        <w:lang w:val="en-US" w:eastAsia="zh-CN"/>
      </w:rPr>
      <w:t xml:space="preserve">                </w:t>
    </w:r>
    <w:r>
      <w:rPr>
        <w:rFonts w:hint="eastAsia" w:ascii="微软雅黑" w:hAnsi="微软雅黑" w:eastAsia="微软雅黑" w:cs="微软雅黑"/>
        <w:b/>
        <w:bCs/>
        <w:color w:val="1F497D"/>
        <w:sz w:val="18"/>
        <w:szCs w:val="18"/>
        <w:u w:val="thick"/>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ascii="微软雅黑" w:hAnsi="微软雅黑" w:eastAsia="微软雅黑" w:cs="微软雅黑"/>
        <w:b/>
        <w:bCs/>
        <w:color w:val="1F497D"/>
        <w:sz w:val="24"/>
        <w:szCs w:val="24"/>
        <w:u w:val="thick"/>
        <w:lang w:val="en-US" w:eastAsia="zh-CN"/>
      </w:rPr>
      <w:t>浙江中通通信有限公司招标文件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p>
    <w:pPr>
      <w:pStyle w:val="32"/>
      <w:pBdr>
        <w:bottom w:val="none" w:color="auto" w:sz="0" w:space="1"/>
      </w:pBdr>
      <w:jc w:val="both"/>
    </w:pPr>
    <w:r>
      <w:rPr>
        <w:rFonts w:hint="eastAsia" w:ascii="微软雅黑" w:hAnsi="微软雅黑" w:eastAsia="微软雅黑" w:cs="微软雅黑"/>
        <w:b/>
        <w:bCs/>
        <w:color w:val="1F497D"/>
        <w:sz w:val="18"/>
        <w:szCs w:val="18"/>
        <w:u w:val="thick"/>
        <w:lang w:val="en-US" w:eastAsia="zh-CN"/>
      </w:rPr>
      <w:t xml:space="preserve">                      </w:t>
    </w:r>
    <w:r>
      <w:rPr>
        <w:rFonts w:hint="eastAsia" w:ascii="微软雅黑" w:hAnsi="微软雅黑" w:eastAsia="微软雅黑" w:cs="微软雅黑"/>
        <w:b/>
        <w:bCs/>
        <w:color w:val="1F497D"/>
        <w:sz w:val="20"/>
        <w:szCs w:val="20"/>
        <w:u w:val="thick"/>
        <w:lang w:val="en-US" w:eastAsia="zh-CN"/>
      </w:rPr>
      <w:t xml:space="preserve">     </w:t>
    </w:r>
    <w:r>
      <w:rPr>
        <w:rFonts w:hint="eastAsia" w:ascii="微软雅黑" w:hAnsi="微软雅黑" w:eastAsia="微软雅黑" w:cs="微软雅黑"/>
        <w:b/>
        <w:bCs/>
        <w:color w:val="1F497D"/>
        <w:sz w:val="24"/>
        <w:szCs w:val="24"/>
        <w:u w:val="thick"/>
        <w:lang w:val="en-US" w:eastAsia="zh-CN"/>
      </w:rPr>
      <w:t xml:space="preserve"> 浙江中通通信有限公司招标文件    </w:t>
    </w:r>
    <w:r>
      <w:rPr>
        <w:rFonts w:hint="eastAsia" w:ascii="微软雅黑" w:hAnsi="微软雅黑" w:eastAsia="微软雅黑" w:cs="微软雅黑"/>
        <w:b/>
        <w:bCs/>
        <w:color w:val="1F497D"/>
        <w:sz w:val="20"/>
        <w:szCs w:val="20"/>
        <w:u w:val="thick"/>
        <w:lang w:val="en-US" w:eastAsia="zh-CN"/>
      </w:rPr>
      <w:t xml:space="preserve">                </w:t>
    </w:r>
    <w:r>
      <w:rPr>
        <w:rFonts w:hint="eastAsia" w:ascii="微软雅黑" w:hAnsi="微软雅黑" w:eastAsia="微软雅黑" w:cs="微软雅黑"/>
        <w:b/>
        <w:bCs/>
        <w:color w:val="1F497D"/>
        <w:sz w:val="18"/>
        <w:szCs w:val="18"/>
        <w:u w:val="thick"/>
        <w:lang w:val="en-US" w:eastAsia="zh-CN"/>
      </w:rPr>
      <w:t xml:space="preserve">       </w:t>
    </w:r>
  </w:p>
  <w:p>
    <w:pPr>
      <w:pStyle w:val="32"/>
      <w:pBdr>
        <w:bottom w:val="none" w:color="auto" w:sz="0" w:space="1"/>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p>
    <w:pPr>
      <w:pStyle w:val="32"/>
      <w:pBdr>
        <w:bottom w:val="none" w:color="auto" w:sz="0" w:space="1"/>
      </w:pBdr>
      <w:jc w:val="both"/>
    </w:pPr>
    <w:r>
      <w:rPr>
        <w:rFonts w:hint="eastAsia" w:ascii="微软雅黑" w:hAnsi="微软雅黑" w:eastAsia="微软雅黑" w:cs="微软雅黑"/>
        <w:b/>
        <w:bCs/>
        <w:color w:val="1F497D"/>
        <w:sz w:val="18"/>
        <w:szCs w:val="18"/>
        <w:u w:val="thick"/>
        <w:lang w:val="en-US" w:eastAsia="zh-CN"/>
      </w:rPr>
      <w:t xml:space="preserve">                       </w:t>
    </w:r>
    <w:r>
      <w:rPr>
        <w:rFonts w:hint="eastAsia" w:ascii="微软雅黑" w:hAnsi="微软雅黑" w:eastAsia="微软雅黑" w:cs="微软雅黑"/>
        <w:b/>
        <w:bCs/>
        <w:color w:val="1F497D"/>
        <w:sz w:val="20"/>
        <w:szCs w:val="20"/>
        <w:u w:val="thick"/>
        <w:lang w:val="en-US" w:eastAsia="zh-CN"/>
      </w:rPr>
      <w:t xml:space="preserve">     </w:t>
    </w:r>
    <w:r>
      <w:rPr>
        <w:rFonts w:hint="eastAsia" w:ascii="微软雅黑" w:hAnsi="微软雅黑" w:eastAsia="微软雅黑" w:cs="微软雅黑"/>
        <w:b/>
        <w:bCs/>
        <w:color w:val="1F497D"/>
        <w:sz w:val="24"/>
        <w:szCs w:val="24"/>
        <w:u w:val="thick"/>
        <w:lang w:val="en-US" w:eastAsia="zh-CN"/>
      </w:rPr>
      <w:t xml:space="preserve"> 浙江中通通信有限公司招标文件    </w:t>
    </w:r>
    <w:r>
      <w:rPr>
        <w:rFonts w:hint="eastAsia" w:ascii="微软雅黑" w:hAnsi="微软雅黑" w:eastAsia="微软雅黑" w:cs="微软雅黑"/>
        <w:b/>
        <w:bCs/>
        <w:color w:val="1F497D"/>
        <w:sz w:val="20"/>
        <w:szCs w:val="20"/>
        <w:u w:val="thick"/>
        <w:lang w:val="en-US" w:eastAsia="zh-CN"/>
      </w:rPr>
      <w:t xml:space="preserve">                </w:t>
    </w:r>
    <w:r>
      <w:rPr>
        <w:rFonts w:hint="eastAsia" w:ascii="微软雅黑" w:hAnsi="微软雅黑" w:eastAsia="微软雅黑" w:cs="微软雅黑"/>
        <w:b/>
        <w:bCs/>
        <w:color w:val="1F497D"/>
        <w:sz w:val="18"/>
        <w:szCs w:val="18"/>
        <w:u w:val="thick"/>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rPr>
        <w:lang w:val="en-US"/>
      </w:rPr>
    </w:pPr>
    <w:r>
      <w:rPr>
        <w:rFonts w:hint="eastAsia" w:ascii="微软雅黑" w:hAnsi="微软雅黑" w:eastAsia="微软雅黑" w:cs="微软雅黑"/>
        <w:b/>
        <w:bCs/>
        <w:color w:val="1F497D"/>
        <w:sz w:val="18"/>
        <w:szCs w:val="18"/>
        <w:u w:val="thick"/>
        <w:lang w:val="en-US" w:eastAsia="zh-CN"/>
      </w:rPr>
      <w:t xml:space="preserve">                     </w:t>
    </w:r>
    <w:r>
      <w:rPr>
        <w:rFonts w:hint="eastAsia" w:ascii="微软雅黑" w:hAnsi="微软雅黑" w:eastAsia="微软雅黑" w:cs="微软雅黑"/>
        <w:b/>
        <w:bCs/>
        <w:color w:val="1F497D"/>
        <w:sz w:val="20"/>
        <w:szCs w:val="20"/>
        <w:u w:val="thick"/>
        <w:lang w:val="en-US" w:eastAsia="zh-CN"/>
      </w:rPr>
      <w:t xml:space="preserve">     </w:t>
    </w:r>
    <w:r>
      <w:rPr>
        <w:rFonts w:hint="eastAsia" w:ascii="微软雅黑" w:hAnsi="微软雅黑" w:eastAsia="微软雅黑" w:cs="微软雅黑"/>
        <w:b/>
        <w:bCs/>
        <w:color w:val="1F497D"/>
        <w:sz w:val="24"/>
        <w:szCs w:val="24"/>
        <w:u w:val="thick"/>
        <w:lang w:val="en-US" w:eastAsia="zh-CN"/>
      </w:rPr>
      <w:t xml:space="preserve"> 浙江中通通信有限公司招标文件    </w:t>
    </w:r>
    <w:r>
      <w:rPr>
        <w:rFonts w:hint="eastAsia" w:ascii="微软雅黑" w:hAnsi="微软雅黑" w:eastAsia="微软雅黑" w:cs="微软雅黑"/>
        <w:b/>
        <w:bCs/>
        <w:color w:val="1F497D"/>
        <w:sz w:val="20"/>
        <w:szCs w:val="20"/>
        <w:u w:val="thick"/>
        <w:lang w:val="en-US" w:eastAsia="zh-CN"/>
      </w:rPr>
      <w:t xml:space="preserve">                </w:t>
    </w:r>
    <w:r>
      <w:rPr>
        <w:rFonts w:hint="eastAsia" w:ascii="微软雅黑" w:hAnsi="微软雅黑" w:eastAsia="微软雅黑" w:cs="微软雅黑"/>
        <w:b/>
        <w:bCs/>
        <w:color w:val="1F497D"/>
        <w:sz w:val="18"/>
        <w:szCs w:val="18"/>
        <w:u w:val="thick"/>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pPr>
    <w:r>
      <w:rPr>
        <w:rFonts w:hint="eastAsia" w:ascii="微软雅黑" w:hAnsi="微软雅黑" w:eastAsia="微软雅黑" w:cs="微软雅黑"/>
        <w:b/>
        <w:bCs/>
        <w:color w:val="1F497D"/>
        <w:sz w:val="18"/>
        <w:szCs w:val="18"/>
        <w:u w:val="thick"/>
        <w:lang w:val="en-US" w:eastAsia="zh-CN"/>
      </w:rPr>
      <w:t xml:space="preserve">                     </w:t>
    </w:r>
    <w:r>
      <w:rPr>
        <w:rFonts w:hint="eastAsia" w:ascii="微软雅黑" w:hAnsi="微软雅黑" w:eastAsia="微软雅黑" w:cs="微软雅黑"/>
        <w:b/>
        <w:bCs/>
        <w:color w:val="1F497D"/>
        <w:sz w:val="20"/>
        <w:szCs w:val="20"/>
        <w:u w:val="thick"/>
        <w:lang w:val="en-US" w:eastAsia="zh-CN"/>
      </w:rPr>
      <w:t xml:space="preserve">     </w:t>
    </w:r>
    <w:r>
      <w:rPr>
        <w:rFonts w:hint="eastAsia" w:ascii="微软雅黑" w:hAnsi="微软雅黑" w:eastAsia="微软雅黑" w:cs="微软雅黑"/>
        <w:b/>
        <w:bCs/>
        <w:color w:val="1F497D"/>
        <w:sz w:val="24"/>
        <w:szCs w:val="24"/>
        <w:u w:val="thick"/>
        <w:lang w:val="en-US" w:eastAsia="zh-CN"/>
      </w:rPr>
      <w:t xml:space="preserve"> 浙江中通通信有限公司招标文件    </w:t>
    </w:r>
    <w:r>
      <w:rPr>
        <w:rFonts w:hint="eastAsia" w:ascii="微软雅黑" w:hAnsi="微软雅黑" w:eastAsia="微软雅黑" w:cs="微软雅黑"/>
        <w:b/>
        <w:bCs/>
        <w:color w:val="1F497D"/>
        <w:sz w:val="20"/>
        <w:szCs w:val="20"/>
        <w:u w:val="thick"/>
        <w:lang w:val="en-US" w:eastAsia="zh-CN"/>
      </w:rPr>
      <w:t xml:space="preserve">                </w:t>
    </w:r>
    <w:r>
      <w:rPr>
        <w:rFonts w:hint="eastAsia" w:ascii="微软雅黑" w:hAnsi="微软雅黑" w:eastAsia="微软雅黑" w:cs="微软雅黑"/>
        <w:b/>
        <w:bCs/>
        <w:color w:val="1F497D"/>
        <w:sz w:val="18"/>
        <w:szCs w:val="18"/>
        <w:u w:val="thick"/>
        <w:lang w:val="en-US" w:eastAsia="zh-CN"/>
      </w:rPr>
      <w:t xml:space="preserve">       </w:t>
    </w:r>
    <w:r>
      <w:rPr>
        <w:rFonts w:hint="eastAsia" w:ascii="宋体" w:hAnsi="宋体" w:cs="宋体"/>
        <w:sz w:val="21"/>
        <w:szCs w:val="36"/>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ascii="仿宋_GB2312" w:eastAsia="仿宋_GB2312"/>
        <w:b/>
        <w:i/>
        <w:sz w:val="18"/>
        <w:u w:val="single"/>
      </w:rPr>
    </w:pPr>
    <w:r>
      <w:rPr>
        <w:rFonts w:hint="eastAsia" w:ascii="微软雅黑" w:hAnsi="微软雅黑" w:eastAsia="微软雅黑" w:cs="微软雅黑"/>
        <w:b/>
        <w:bCs/>
        <w:color w:val="1F497D"/>
        <w:sz w:val="24"/>
        <w:szCs w:val="24"/>
        <w:u w:val="thick"/>
        <w:lang w:val="en-US" w:eastAsia="zh-CN"/>
      </w:rPr>
      <w:t>浙江中通通信有限公司招标文件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pPr>
    <w:r>
      <w:t></w:t>
    </w:r>
    <w:r>
      <w:rPr>
        <w:rFonts w:hint="eastAsia"/>
        <w:lang w:val="en-US" w:eastAsia="zh-CN"/>
      </w:rPr>
      <w:t xml:space="preserve">    </w:t>
    </w:r>
    <w:r>
      <w:rPr>
        <w:rFonts w:hint="eastAsia" w:ascii="微软雅黑" w:hAnsi="微软雅黑" w:eastAsia="微软雅黑" w:cs="微软雅黑"/>
        <w:b/>
        <w:bCs/>
        <w:color w:val="1F497D"/>
        <w:sz w:val="24"/>
        <w:szCs w:val="24"/>
        <w:u w:val="thick"/>
        <w:lang w:val="en-US" w:eastAsia="zh-CN"/>
      </w:rPr>
      <w:t xml:space="preserve">    </w:t>
    </w:r>
    <w:r>
      <w:rPr>
        <w:rFonts w:hint="eastAsia" w:ascii="微软雅黑" w:hAnsi="微软雅黑" w:eastAsia="微软雅黑" w:cs="微软雅黑"/>
        <w:b/>
        <w:bCs/>
        <w:color w:val="1F497D"/>
        <w:sz w:val="20"/>
        <w:szCs w:val="20"/>
        <w:u w:val="thick"/>
        <w:lang w:val="en-US" w:eastAsia="zh-CN"/>
      </w:rPr>
      <w:t xml:space="preserve">                      </w:t>
    </w:r>
    <w:r>
      <w:rPr>
        <w:rFonts w:hint="eastAsia" w:ascii="微软雅黑" w:hAnsi="微软雅黑" w:eastAsia="微软雅黑" w:cs="微软雅黑"/>
        <w:b/>
        <w:bCs/>
        <w:color w:val="1F497D"/>
        <w:sz w:val="24"/>
        <w:szCs w:val="24"/>
        <w:u w:val="thick"/>
        <w:lang w:val="en-US" w:eastAsia="zh-CN"/>
      </w:rPr>
      <w:t xml:space="preserve">浙江中通通信有限公司招标文件            </w:t>
    </w:r>
    <w:r>
      <w:rPr>
        <w:rFonts w:hint="eastAsia" w:ascii="微软雅黑" w:hAnsi="微软雅黑" w:eastAsia="微软雅黑" w:cs="微软雅黑"/>
        <w:b/>
        <w:bCs/>
        <w:color w:val="1F497D"/>
        <w:sz w:val="20"/>
        <w:szCs w:val="20"/>
        <w:u w:val="thick"/>
        <w:lang w:val="en-US" w:eastAsia="zh-CN"/>
      </w:rPr>
      <w:t xml:space="preserve">        </w:t>
    </w:r>
    <w:r>
      <w:rPr>
        <w:rFonts w:hint="eastAsia" w:ascii="微软雅黑" w:hAnsi="微软雅黑" w:eastAsia="微软雅黑" w:cs="微软雅黑"/>
        <w:b/>
        <w:bCs/>
        <w:color w:val="1F497D"/>
        <w:sz w:val="18"/>
        <w:szCs w:val="18"/>
        <w:u w:val="thick"/>
        <w:lang w:val="en-US"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ascii="仿宋_GB2312" w:eastAsia="仿宋_GB2312"/>
        <w:b/>
        <w:i/>
        <w:sz w:val="18"/>
        <w:u w:val="single"/>
      </w:rPr>
    </w:pPr>
    <w:r>
      <w:rPr>
        <w:rFonts w:hint="eastAsia" w:ascii="微软雅黑" w:hAnsi="微软雅黑" w:eastAsia="微软雅黑" w:cs="微软雅黑"/>
        <w:b/>
        <w:bCs/>
        <w:color w:val="1F497D"/>
        <w:sz w:val="24"/>
        <w:szCs w:val="24"/>
        <w:u w:val="thick"/>
        <w:lang w:val="en-US" w:eastAsia="zh-CN"/>
      </w:rPr>
      <w:t>浙江中通通信有限公司招标文件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ascii="微软雅黑" w:hAnsi="微软雅黑" w:eastAsia="微软雅黑" w:cs="微软雅黑"/>
        <w:b/>
        <w:bCs/>
        <w:color w:val="1F497D"/>
        <w:sz w:val="24"/>
        <w:szCs w:val="24"/>
        <w:u w:val="thick"/>
        <w:lang w:val="en-US" w:eastAsia="zh-CN"/>
      </w:rPr>
      <w:t>浙江中通通信有限公司招标文件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1"/>
      <w:lvlText w:val="%1."/>
      <w:lvlJc w:val="left"/>
      <w:pPr>
        <w:tabs>
          <w:tab w:val="left" w:pos="1200"/>
        </w:tabs>
        <w:ind w:left="1200" w:hanging="360"/>
      </w:pPr>
    </w:lvl>
  </w:abstractNum>
  <w:abstractNum w:abstractNumId="1">
    <w:nsid w:val="00000006"/>
    <w:multiLevelType w:val="singleLevel"/>
    <w:tmpl w:val="00000006"/>
    <w:lvl w:ilvl="0" w:tentative="0">
      <w:start w:val="1"/>
      <w:numFmt w:val="decimal"/>
      <w:pStyle w:val="22"/>
      <w:lvlText w:val="%1."/>
      <w:lvlJc w:val="left"/>
      <w:pPr>
        <w:tabs>
          <w:tab w:val="left" w:pos="1200"/>
        </w:tabs>
        <w:ind w:left="1200" w:hanging="360"/>
      </w:pPr>
    </w:lvl>
  </w:abstractNum>
  <w:abstractNum w:abstractNumId="2">
    <w:nsid w:val="00000008"/>
    <w:multiLevelType w:val="multilevel"/>
    <w:tmpl w:val="00000008"/>
    <w:lvl w:ilvl="0" w:tentative="0">
      <w:start w:val="1"/>
      <w:numFmt w:val="bullet"/>
      <w:pStyle w:val="125"/>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0000009"/>
    <w:multiLevelType w:val="multilevel"/>
    <w:tmpl w:val="00000009"/>
    <w:lvl w:ilvl="0" w:tentative="0">
      <w:start w:val="1"/>
      <w:numFmt w:val="decimal"/>
      <w:pStyle w:val="13"/>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1"/>
      <w:numFmt w:val="decimal"/>
      <w:pStyle w:val="168"/>
      <w:lvlText w:val="%1、"/>
      <w:lvlJc w:val="left"/>
      <w:pPr>
        <w:tabs>
          <w:tab w:val="left" w:pos="360"/>
        </w:tabs>
        <w:ind w:left="360" w:hanging="360"/>
      </w:pPr>
      <w:rPr>
        <w:rFonts w:ascii="Times New Roman" w:hAnsi="Times New Roman" w:eastAsia="黑体" w:cs="Times New Roman"/>
      </w:rPr>
    </w:lvl>
    <w:lvl w:ilvl="1" w:tentative="0">
      <w:start w:val="2005"/>
      <w:numFmt w:val="decimal"/>
      <w:pStyle w:val="33"/>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A760F1C"/>
    <w:multiLevelType w:val="multilevel"/>
    <w:tmpl w:val="0A760F1C"/>
    <w:lvl w:ilvl="0" w:tentative="0">
      <w:start w:val="1"/>
      <w:numFmt w:val="decimal"/>
      <w:pStyle w:val="229"/>
      <w:suff w:val="space"/>
      <w:lvlText w:val="第%1章"/>
      <w:lvlJc w:val="center"/>
      <w:pPr>
        <w:ind w:left="0" w:firstLine="288"/>
      </w:pPr>
      <w:rPr>
        <w:rFonts w:hint="eastAsia" w:ascii="黑体" w:hAnsi="黑体" w:eastAsia="黑体"/>
        <w:sz w:val="36"/>
      </w:rPr>
    </w:lvl>
    <w:lvl w:ilvl="1" w:tentative="0">
      <w:start w:val="1"/>
      <w:numFmt w:val="decimal"/>
      <w:pStyle w:val="240"/>
      <w:suff w:val="space"/>
      <w:lvlText w:val="%1.%2"/>
      <w:lvlJc w:val="left"/>
      <w:pPr>
        <w:ind w:left="0" w:firstLine="0"/>
      </w:pPr>
      <w:rPr>
        <w:rFonts w:hint="eastAsia" w:ascii="黑体" w:hAnsi="黑体" w:eastAsia="黑体"/>
        <w:sz w:val="30"/>
      </w:rPr>
    </w:lvl>
    <w:lvl w:ilvl="2" w:tentative="0">
      <w:start w:val="1"/>
      <w:numFmt w:val="decimal"/>
      <w:pStyle w:val="222"/>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pStyle w:val="233"/>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pStyle w:val="221"/>
      <w:lvlText w:val="%1.%2.%3.%4.%5.%6.%7"/>
      <w:lvlJc w:val="left"/>
      <w:pPr>
        <w:ind w:left="0" w:firstLine="0"/>
      </w:pPr>
      <w:rPr>
        <w:rFonts w:hint="eastAsia"/>
      </w:rPr>
    </w:lvl>
    <w:lvl w:ilvl="7" w:tentative="0">
      <w:start w:val="1"/>
      <w:numFmt w:val="decimal"/>
      <w:pStyle w:val="235"/>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4798592B"/>
    <w:multiLevelType w:val="multilevel"/>
    <w:tmpl w:val="4798592B"/>
    <w:lvl w:ilvl="0" w:tentative="0">
      <w:start w:val="1"/>
      <w:numFmt w:val="decimal"/>
      <w:pStyle w:val="208"/>
      <w:lvlText w:val="%1、"/>
      <w:lvlJc w:val="left"/>
      <w:pPr>
        <w:tabs>
          <w:tab w:val="left" w:pos="360"/>
        </w:tabs>
        <w:ind w:left="360" w:hanging="360"/>
      </w:pPr>
      <w:rPr>
        <w:rFonts w:ascii="Times New Roman" w:hAnsi="Times New Roman" w:eastAsia="黑体" w:cs="Times New Roman"/>
      </w:rPr>
    </w:lvl>
    <w:lvl w:ilvl="1" w:tentative="0">
      <w:start w:val="2005"/>
      <w:numFmt w:val="decimal"/>
      <w:pStyle w:val="239"/>
      <w:lvlText w:val="%2年"/>
      <w:lvlJc w:val="left"/>
      <w:pPr>
        <w:tabs>
          <w:tab w:val="left" w:pos="1620"/>
        </w:tabs>
        <w:ind w:left="1620" w:hanging="1200"/>
      </w:pPr>
      <w:rPr>
        <w:rFonts w:hint="eastAsia"/>
      </w:rPr>
    </w:lvl>
    <w:lvl w:ilvl="2" w:tentative="0">
      <w:start w:val="1"/>
      <w:numFmt w:val="decimal"/>
      <w:pStyle w:val="210"/>
      <w:lvlText w:val="（%3）"/>
      <w:lvlJc w:val="left"/>
      <w:pPr>
        <w:tabs>
          <w:tab w:val="left" w:pos="1560"/>
        </w:tabs>
        <w:ind w:left="1560" w:hanging="720"/>
      </w:pPr>
      <w:rPr>
        <w:rFonts w:hint="eastAsia"/>
      </w:rPr>
    </w:lvl>
    <w:lvl w:ilvl="3" w:tentative="0">
      <w:start w:val="1"/>
      <w:numFmt w:val="decimal"/>
      <w:pStyle w:val="23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EAF669B"/>
    <w:multiLevelType w:val="multilevel"/>
    <w:tmpl w:val="4EAF669B"/>
    <w:lvl w:ilvl="0" w:tentative="0">
      <w:start w:val="1"/>
      <w:numFmt w:val="decimalEnclosedCircle"/>
      <w:lvlText w:val="%1"/>
      <w:lvlJc w:val="left"/>
      <w:pPr>
        <w:tabs>
          <w:tab w:val="left" w:pos="-420"/>
        </w:tabs>
        <w:ind w:left="420" w:hanging="360"/>
      </w:pPr>
      <w:rPr>
        <w:rFonts w:hint="default" w:cs="Times New Roman"/>
      </w:rPr>
    </w:lvl>
    <w:lvl w:ilvl="1" w:tentative="0">
      <w:start w:val="1"/>
      <w:numFmt w:val="lowerLetter"/>
      <w:lvlText w:val="%2)"/>
      <w:lvlJc w:val="left"/>
      <w:pPr>
        <w:tabs>
          <w:tab w:val="left" w:pos="-420"/>
        </w:tabs>
        <w:ind w:left="900" w:hanging="420"/>
      </w:pPr>
      <w:rPr>
        <w:rFonts w:cs="Times New Roman"/>
      </w:rPr>
    </w:lvl>
    <w:lvl w:ilvl="2" w:tentative="0">
      <w:start w:val="1"/>
      <w:numFmt w:val="lowerRoman"/>
      <w:lvlText w:val="%3."/>
      <w:lvlJc w:val="right"/>
      <w:pPr>
        <w:tabs>
          <w:tab w:val="left" w:pos="-420"/>
        </w:tabs>
        <w:ind w:left="1320" w:hanging="420"/>
      </w:pPr>
      <w:rPr>
        <w:rFonts w:cs="Times New Roman"/>
      </w:rPr>
    </w:lvl>
    <w:lvl w:ilvl="3" w:tentative="0">
      <w:start w:val="1"/>
      <w:numFmt w:val="decimal"/>
      <w:lvlText w:val="%4."/>
      <w:lvlJc w:val="left"/>
      <w:pPr>
        <w:tabs>
          <w:tab w:val="left" w:pos="-420"/>
        </w:tabs>
        <w:ind w:left="1740" w:hanging="420"/>
      </w:pPr>
      <w:rPr>
        <w:rFonts w:cs="Times New Roman"/>
      </w:rPr>
    </w:lvl>
    <w:lvl w:ilvl="4" w:tentative="0">
      <w:start w:val="1"/>
      <w:numFmt w:val="lowerLetter"/>
      <w:lvlText w:val="%5)"/>
      <w:lvlJc w:val="left"/>
      <w:pPr>
        <w:tabs>
          <w:tab w:val="left" w:pos="-420"/>
        </w:tabs>
        <w:ind w:left="2160" w:hanging="420"/>
      </w:pPr>
      <w:rPr>
        <w:rFonts w:cs="Times New Roman"/>
      </w:rPr>
    </w:lvl>
    <w:lvl w:ilvl="5" w:tentative="0">
      <w:start w:val="1"/>
      <w:numFmt w:val="lowerRoman"/>
      <w:lvlText w:val="%6."/>
      <w:lvlJc w:val="right"/>
      <w:pPr>
        <w:tabs>
          <w:tab w:val="left" w:pos="-420"/>
        </w:tabs>
        <w:ind w:left="2580" w:hanging="420"/>
      </w:pPr>
      <w:rPr>
        <w:rFonts w:cs="Times New Roman"/>
      </w:rPr>
    </w:lvl>
    <w:lvl w:ilvl="6" w:tentative="0">
      <w:start w:val="1"/>
      <w:numFmt w:val="decimal"/>
      <w:lvlText w:val="%7."/>
      <w:lvlJc w:val="left"/>
      <w:pPr>
        <w:tabs>
          <w:tab w:val="left" w:pos="-420"/>
        </w:tabs>
        <w:ind w:left="3000" w:hanging="420"/>
      </w:pPr>
      <w:rPr>
        <w:rFonts w:cs="Times New Roman"/>
      </w:rPr>
    </w:lvl>
    <w:lvl w:ilvl="7" w:tentative="0">
      <w:start w:val="1"/>
      <w:numFmt w:val="lowerLetter"/>
      <w:lvlText w:val="%8)"/>
      <w:lvlJc w:val="left"/>
      <w:pPr>
        <w:tabs>
          <w:tab w:val="left" w:pos="-420"/>
        </w:tabs>
        <w:ind w:left="3420" w:hanging="420"/>
      </w:pPr>
      <w:rPr>
        <w:rFonts w:cs="Times New Roman"/>
      </w:rPr>
    </w:lvl>
    <w:lvl w:ilvl="8" w:tentative="0">
      <w:start w:val="1"/>
      <w:numFmt w:val="lowerRoman"/>
      <w:lvlText w:val="%9."/>
      <w:lvlJc w:val="right"/>
      <w:pPr>
        <w:tabs>
          <w:tab w:val="left" w:pos="-420"/>
        </w:tabs>
        <w:ind w:left="3840" w:hanging="420"/>
      </w:pPr>
      <w:rPr>
        <w:rFonts w:cs="Times New Roman"/>
      </w:rPr>
    </w:lvl>
  </w:abstractNum>
  <w:abstractNum w:abstractNumId="9">
    <w:nsid w:val="6F56743F"/>
    <w:multiLevelType w:val="multilevel"/>
    <w:tmpl w:val="6F56743F"/>
    <w:lvl w:ilvl="0" w:tentative="0">
      <w:start w:val="1"/>
      <w:numFmt w:val="decimalEnclosedCircle"/>
      <w:pStyle w:val="220"/>
      <w:lvlText w:val="%1"/>
      <w:lvlJc w:val="left"/>
      <w:pPr>
        <w:tabs>
          <w:tab w:val="left" w:pos="780"/>
        </w:tabs>
        <w:ind w:left="780" w:hanging="360"/>
      </w:pPr>
      <w:rPr>
        <w:rFonts w:ascii="宋体" w:hAnsi="宋体" w:eastAsia="宋体"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70E0079F"/>
    <w:multiLevelType w:val="multilevel"/>
    <w:tmpl w:val="70E0079F"/>
    <w:lvl w:ilvl="0" w:tentative="0">
      <w:start w:val="4"/>
      <w:numFmt w:val="japaneseCounting"/>
      <w:pStyle w:val="191"/>
      <w:lvlText w:val="%1、"/>
      <w:lvlJc w:val="left"/>
      <w:pPr>
        <w:tabs>
          <w:tab w:val="left" w:pos="885"/>
        </w:tabs>
        <w:ind w:left="885" w:hanging="885"/>
      </w:pPr>
      <w:rPr>
        <w:rFonts w:hint="default"/>
        <w:sz w:val="4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58C96E5"/>
    <w:multiLevelType w:val="singleLevel"/>
    <w:tmpl w:val="758C96E5"/>
    <w:lvl w:ilvl="0" w:tentative="0">
      <w:start w:val="3"/>
      <w:numFmt w:val="upperLetter"/>
      <w:suff w:val="nothing"/>
      <w:lvlText w:val="%1、"/>
      <w:lvlJc w:val="left"/>
    </w:lvl>
  </w:abstractNum>
  <w:abstractNum w:abstractNumId="12">
    <w:nsid w:val="766F4AFF"/>
    <w:multiLevelType w:val="multilevel"/>
    <w:tmpl w:val="766F4AFF"/>
    <w:lvl w:ilvl="0" w:tentative="0">
      <w:start w:val="1"/>
      <w:numFmt w:val="decimal"/>
      <w:pStyle w:val="212"/>
      <w:lvlText w:val="%1、"/>
      <w:lvlJc w:val="left"/>
      <w:pPr>
        <w:tabs>
          <w:tab w:val="left" w:pos="780"/>
        </w:tabs>
        <w:ind w:left="780" w:hanging="36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1"/>
  </w:num>
  <w:num w:numId="3">
    <w:abstractNumId w:val="4"/>
  </w:num>
  <w:num w:numId="4">
    <w:abstractNumId w:val="2"/>
  </w:num>
  <w:num w:numId="5">
    <w:abstractNumId w:val="10"/>
  </w:num>
  <w:num w:numId="6">
    <w:abstractNumId w:val="7"/>
  </w:num>
  <w:num w:numId="7">
    <w:abstractNumId w:val="0"/>
  </w:num>
  <w:num w:numId="8">
    <w:abstractNumId w:val="12"/>
  </w:num>
  <w:num w:numId="9">
    <w:abstractNumId w:val="9"/>
  </w:num>
  <w:num w:numId="10">
    <w:abstractNumId w:val="5"/>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NmZTkxMDJhNWQ5ZjVkMGEyODk5NDE1Nzk4ZDhhZTEifQ=="/>
  </w:docVars>
  <w:rsids>
    <w:rsidRoot w:val="00AF11CB"/>
    <w:rsid w:val="000010DB"/>
    <w:rsid w:val="000017B7"/>
    <w:rsid w:val="00001A6B"/>
    <w:rsid w:val="00001C13"/>
    <w:rsid w:val="00003D4A"/>
    <w:rsid w:val="000111E7"/>
    <w:rsid w:val="000126CC"/>
    <w:rsid w:val="00016671"/>
    <w:rsid w:val="00016978"/>
    <w:rsid w:val="000178AA"/>
    <w:rsid w:val="000206A2"/>
    <w:rsid w:val="00021F2F"/>
    <w:rsid w:val="0002281B"/>
    <w:rsid w:val="000229BF"/>
    <w:rsid w:val="0002311D"/>
    <w:rsid w:val="00023E4E"/>
    <w:rsid w:val="00023EE1"/>
    <w:rsid w:val="0003006E"/>
    <w:rsid w:val="000322E0"/>
    <w:rsid w:val="00033C44"/>
    <w:rsid w:val="00036E0E"/>
    <w:rsid w:val="00037624"/>
    <w:rsid w:val="0003797B"/>
    <w:rsid w:val="000437D2"/>
    <w:rsid w:val="000511DF"/>
    <w:rsid w:val="00051893"/>
    <w:rsid w:val="00054D4F"/>
    <w:rsid w:val="00054EEC"/>
    <w:rsid w:val="000603AD"/>
    <w:rsid w:val="00061801"/>
    <w:rsid w:val="00061C4E"/>
    <w:rsid w:val="00065A29"/>
    <w:rsid w:val="00067198"/>
    <w:rsid w:val="00071222"/>
    <w:rsid w:val="00072D23"/>
    <w:rsid w:val="000737B3"/>
    <w:rsid w:val="000746A5"/>
    <w:rsid w:val="000753A6"/>
    <w:rsid w:val="00082372"/>
    <w:rsid w:val="000830CB"/>
    <w:rsid w:val="00084D37"/>
    <w:rsid w:val="00090FB9"/>
    <w:rsid w:val="000926DC"/>
    <w:rsid w:val="00092C6B"/>
    <w:rsid w:val="0009321E"/>
    <w:rsid w:val="00095CD1"/>
    <w:rsid w:val="00097AD8"/>
    <w:rsid w:val="000A05E5"/>
    <w:rsid w:val="000A0601"/>
    <w:rsid w:val="000A24C7"/>
    <w:rsid w:val="000A3127"/>
    <w:rsid w:val="000A35F8"/>
    <w:rsid w:val="000A53AC"/>
    <w:rsid w:val="000A5D65"/>
    <w:rsid w:val="000A755A"/>
    <w:rsid w:val="000A7966"/>
    <w:rsid w:val="000B29C5"/>
    <w:rsid w:val="000B41D9"/>
    <w:rsid w:val="000B461F"/>
    <w:rsid w:val="000B7A79"/>
    <w:rsid w:val="000C2B7F"/>
    <w:rsid w:val="000C528A"/>
    <w:rsid w:val="000C63B0"/>
    <w:rsid w:val="000C680E"/>
    <w:rsid w:val="000C762A"/>
    <w:rsid w:val="000D333F"/>
    <w:rsid w:val="000D39CA"/>
    <w:rsid w:val="000D429C"/>
    <w:rsid w:val="000D689C"/>
    <w:rsid w:val="000E1B06"/>
    <w:rsid w:val="000E1F2C"/>
    <w:rsid w:val="000E2324"/>
    <w:rsid w:val="000E2E87"/>
    <w:rsid w:val="000E303A"/>
    <w:rsid w:val="000E678B"/>
    <w:rsid w:val="000E76F7"/>
    <w:rsid w:val="000F1F43"/>
    <w:rsid w:val="000F22A6"/>
    <w:rsid w:val="000F33ED"/>
    <w:rsid w:val="000F6604"/>
    <w:rsid w:val="000F7608"/>
    <w:rsid w:val="000F7EBD"/>
    <w:rsid w:val="001014ED"/>
    <w:rsid w:val="00103D3D"/>
    <w:rsid w:val="00104641"/>
    <w:rsid w:val="00104F2E"/>
    <w:rsid w:val="001050D0"/>
    <w:rsid w:val="001058F1"/>
    <w:rsid w:val="00107813"/>
    <w:rsid w:val="00107D77"/>
    <w:rsid w:val="0011198D"/>
    <w:rsid w:val="001128A4"/>
    <w:rsid w:val="001139F8"/>
    <w:rsid w:val="0011404F"/>
    <w:rsid w:val="00123C8C"/>
    <w:rsid w:val="00127B3A"/>
    <w:rsid w:val="00130D92"/>
    <w:rsid w:val="00131963"/>
    <w:rsid w:val="00131B57"/>
    <w:rsid w:val="00131C5C"/>
    <w:rsid w:val="00133788"/>
    <w:rsid w:val="00134E75"/>
    <w:rsid w:val="00134FDF"/>
    <w:rsid w:val="0013536D"/>
    <w:rsid w:val="0013751F"/>
    <w:rsid w:val="00142ED4"/>
    <w:rsid w:val="001442A1"/>
    <w:rsid w:val="00144D93"/>
    <w:rsid w:val="0015109F"/>
    <w:rsid w:val="00152515"/>
    <w:rsid w:val="00155ABF"/>
    <w:rsid w:val="00155CC7"/>
    <w:rsid w:val="00156151"/>
    <w:rsid w:val="001616F4"/>
    <w:rsid w:val="001617BA"/>
    <w:rsid w:val="001679E5"/>
    <w:rsid w:val="00167FD9"/>
    <w:rsid w:val="00170238"/>
    <w:rsid w:val="001731D7"/>
    <w:rsid w:val="00173B13"/>
    <w:rsid w:val="00176FF8"/>
    <w:rsid w:val="0018174D"/>
    <w:rsid w:val="001826C4"/>
    <w:rsid w:val="001838AC"/>
    <w:rsid w:val="0018787B"/>
    <w:rsid w:val="00190A76"/>
    <w:rsid w:val="00191D8A"/>
    <w:rsid w:val="00191DF8"/>
    <w:rsid w:val="00192294"/>
    <w:rsid w:val="001923F1"/>
    <w:rsid w:val="0019272C"/>
    <w:rsid w:val="00193885"/>
    <w:rsid w:val="0019393B"/>
    <w:rsid w:val="00193F52"/>
    <w:rsid w:val="0019632B"/>
    <w:rsid w:val="00197F75"/>
    <w:rsid w:val="001A1120"/>
    <w:rsid w:val="001A1AB4"/>
    <w:rsid w:val="001A2770"/>
    <w:rsid w:val="001A3D45"/>
    <w:rsid w:val="001A4DAA"/>
    <w:rsid w:val="001A67B9"/>
    <w:rsid w:val="001B034E"/>
    <w:rsid w:val="001B22E4"/>
    <w:rsid w:val="001B515E"/>
    <w:rsid w:val="001C25DE"/>
    <w:rsid w:val="001C507F"/>
    <w:rsid w:val="001C74FA"/>
    <w:rsid w:val="001C7EE6"/>
    <w:rsid w:val="001D0FAD"/>
    <w:rsid w:val="001D25E8"/>
    <w:rsid w:val="001D491D"/>
    <w:rsid w:val="001E4859"/>
    <w:rsid w:val="001F06F7"/>
    <w:rsid w:val="001F0EC0"/>
    <w:rsid w:val="001F3BFA"/>
    <w:rsid w:val="001F57F4"/>
    <w:rsid w:val="001F63DC"/>
    <w:rsid w:val="001F7AE2"/>
    <w:rsid w:val="001F7CDC"/>
    <w:rsid w:val="00200B0B"/>
    <w:rsid w:val="00200CF9"/>
    <w:rsid w:val="00202AC4"/>
    <w:rsid w:val="00203649"/>
    <w:rsid w:val="002042C0"/>
    <w:rsid w:val="00207001"/>
    <w:rsid w:val="00210E0C"/>
    <w:rsid w:val="00214FAA"/>
    <w:rsid w:val="0021592E"/>
    <w:rsid w:val="00216739"/>
    <w:rsid w:val="002167B4"/>
    <w:rsid w:val="00216F86"/>
    <w:rsid w:val="00220CFF"/>
    <w:rsid w:val="00221F0A"/>
    <w:rsid w:val="002228B0"/>
    <w:rsid w:val="00227813"/>
    <w:rsid w:val="0023000E"/>
    <w:rsid w:val="002368FF"/>
    <w:rsid w:val="00237A0D"/>
    <w:rsid w:val="00241977"/>
    <w:rsid w:val="00246AD2"/>
    <w:rsid w:val="00247B49"/>
    <w:rsid w:val="00253D4B"/>
    <w:rsid w:val="002578BB"/>
    <w:rsid w:val="002637C6"/>
    <w:rsid w:val="002647F8"/>
    <w:rsid w:val="002653AC"/>
    <w:rsid w:val="00267CE1"/>
    <w:rsid w:val="0027030F"/>
    <w:rsid w:val="002706D4"/>
    <w:rsid w:val="00271D44"/>
    <w:rsid w:val="00274FDD"/>
    <w:rsid w:val="002754E9"/>
    <w:rsid w:val="002755DD"/>
    <w:rsid w:val="00276263"/>
    <w:rsid w:val="00276E6E"/>
    <w:rsid w:val="002810BE"/>
    <w:rsid w:val="00282972"/>
    <w:rsid w:val="0028466C"/>
    <w:rsid w:val="00286202"/>
    <w:rsid w:val="002874EA"/>
    <w:rsid w:val="00291B6E"/>
    <w:rsid w:val="002939E4"/>
    <w:rsid w:val="00294E43"/>
    <w:rsid w:val="002A0874"/>
    <w:rsid w:val="002A4769"/>
    <w:rsid w:val="002B2803"/>
    <w:rsid w:val="002B2C23"/>
    <w:rsid w:val="002B36D5"/>
    <w:rsid w:val="002B57D1"/>
    <w:rsid w:val="002B5D64"/>
    <w:rsid w:val="002B5EBB"/>
    <w:rsid w:val="002B6712"/>
    <w:rsid w:val="002C0F73"/>
    <w:rsid w:val="002C4262"/>
    <w:rsid w:val="002C54E3"/>
    <w:rsid w:val="002C76C2"/>
    <w:rsid w:val="002D0169"/>
    <w:rsid w:val="002D16DC"/>
    <w:rsid w:val="002D4085"/>
    <w:rsid w:val="002D5F6C"/>
    <w:rsid w:val="002D74EA"/>
    <w:rsid w:val="002E12B6"/>
    <w:rsid w:val="002E16D5"/>
    <w:rsid w:val="002E23F3"/>
    <w:rsid w:val="002E2BC8"/>
    <w:rsid w:val="002E3073"/>
    <w:rsid w:val="002E360E"/>
    <w:rsid w:val="002E3A66"/>
    <w:rsid w:val="002E57EC"/>
    <w:rsid w:val="002E797B"/>
    <w:rsid w:val="002E7EE8"/>
    <w:rsid w:val="002F20CE"/>
    <w:rsid w:val="002F33BB"/>
    <w:rsid w:val="002F3E4D"/>
    <w:rsid w:val="002F5EE2"/>
    <w:rsid w:val="002F6457"/>
    <w:rsid w:val="002F7CCA"/>
    <w:rsid w:val="0031181F"/>
    <w:rsid w:val="003133BE"/>
    <w:rsid w:val="0031526F"/>
    <w:rsid w:val="0031562B"/>
    <w:rsid w:val="00317175"/>
    <w:rsid w:val="00317F5F"/>
    <w:rsid w:val="00326E70"/>
    <w:rsid w:val="00330FC1"/>
    <w:rsid w:val="00331CC2"/>
    <w:rsid w:val="003336DD"/>
    <w:rsid w:val="00334FCE"/>
    <w:rsid w:val="0033513C"/>
    <w:rsid w:val="003352CE"/>
    <w:rsid w:val="00335C0C"/>
    <w:rsid w:val="003410DD"/>
    <w:rsid w:val="0034269D"/>
    <w:rsid w:val="00342FB6"/>
    <w:rsid w:val="003437CA"/>
    <w:rsid w:val="00347145"/>
    <w:rsid w:val="00347466"/>
    <w:rsid w:val="00351DEA"/>
    <w:rsid w:val="003520BB"/>
    <w:rsid w:val="00352388"/>
    <w:rsid w:val="003523EE"/>
    <w:rsid w:val="00356651"/>
    <w:rsid w:val="00357124"/>
    <w:rsid w:val="0036246C"/>
    <w:rsid w:val="003657FE"/>
    <w:rsid w:val="0036776C"/>
    <w:rsid w:val="00371184"/>
    <w:rsid w:val="00373F3D"/>
    <w:rsid w:val="0037621D"/>
    <w:rsid w:val="00377A76"/>
    <w:rsid w:val="00381628"/>
    <w:rsid w:val="00383A30"/>
    <w:rsid w:val="0038400B"/>
    <w:rsid w:val="0038493E"/>
    <w:rsid w:val="00386229"/>
    <w:rsid w:val="003862B1"/>
    <w:rsid w:val="00390B69"/>
    <w:rsid w:val="00390F25"/>
    <w:rsid w:val="00393521"/>
    <w:rsid w:val="003A2D28"/>
    <w:rsid w:val="003B10F5"/>
    <w:rsid w:val="003B2A5A"/>
    <w:rsid w:val="003B3443"/>
    <w:rsid w:val="003B4D9E"/>
    <w:rsid w:val="003B522B"/>
    <w:rsid w:val="003B53C8"/>
    <w:rsid w:val="003B6D6E"/>
    <w:rsid w:val="003C08BA"/>
    <w:rsid w:val="003C4A8A"/>
    <w:rsid w:val="003C75B7"/>
    <w:rsid w:val="003D1247"/>
    <w:rsid w:val="003D1786"/>
    <w:rsid w:val="003D7272"/>
    <w:rsid w:val="003D7865"/>
    <w:rsid w:val="003E06B0"/>
    <w:rsid w:val="003E430C"/>
    <w:rsid w:val="003F27DA"/>
    <w:rsid w:val="003F6241"/>
    <w:rsid w:val="003F77C2"/>
    <w:rsid w:val="003F791C"/>
    <w:rsid w:val="00402AC5"/>
    <w:rsid w:val="0040309B"/>
    <w:rsid w:val="00411A45"/>
    <w:rsid w:val="00413D6D"/>
    <w:rsid w:val="00413DBB"/>
    <w:rsid w:val="00414DFA"/>
    <w:rsid w:val="00415FC4"/>
    <w:rsid w:val="00423DFD"/>
    <w:rsid w:val="0042711B"/>
    <w:rsid w:val="0042763E"/>
    <w:rsid w:val="004276BB"/>
    <w:rsid w:val="00430907"/>
    <w:rsid w:val="0043262F"/>
    <w:rsid w:val="00432FEE"/>
    <w:rsid w:val="00433BF0"/>
    <w:rsid w:val="004347F1"/>
    <w:rsid w:val="004372E3"/>
    <w:rsid w:val="00437A35"/>
    <w:rsid w:val="004401D5"/>
    <w:rsid w:val="00440C23"/>
    <w:rsid w:val="00440FF5"/>
    <w:rsid w:val="0044154D"/>
    <w:rsid w:val="0044157A"/>
    <w:rsid w:val="00442A98"/>
    <w:rsid w:val="00445186"/>
    <w:rsid w:val="004459F6"/>
    <w:rsid w:val="00447D19"/>
    <w:rsid w:val="004504CE"/>
    <w:rsid w:val="004505D9"/>
    <w:rsid w:val="004515D3"/>
    <w:rsid w:val="004526DB"/>
    <w:rsid w:val="004556D8"/>
    <w:rsid w:val="004578EF"/>
    <w:rsid w:val="00461910"/>
    <w:rsid w:val="0046247C"/>
    <w:rsid w:val="004653FB"/>
    <w:rsid w:val="00465A5B"/>
    <w:rsid w:val="00465EE7"/>
    <w:rsid w:val="00466E3F"/>
    <w:rsid w:val="00467D27"/>
    <w:rsid w:val="00470821"/>
    <w:rsid w:val="00470879"/>
    <w:rsid w:val="0047617E"/>
    <w:rsid w:val="0047644A"/>
    <w:rsid w:val="00476C33"/>
    <w:rsid w:val="00482A83"/>
    <w:rsid w:val="0048384C"/>
    <w:rsid w:val="004918E8"/>
    <w:rsid w:val="0049388C"/>
    <w:rsid w:val="00495FA2"/>
    <w:rsid w:val="00496AF3"/>
    <w:rsid w:val="004976E3"/>
    <w:rsid w:val="004A0A68"/>
    <w:rsid w:val="004A0A8E"/>
    <w:rsid w:val="004A133E"/>
    <w:rsid w:val="004A4C23"/>
    <w:rsid w:val="004A5537"/>
    <w:rsid w:val="004A58B5"/>
    <w:rsid w:val="004A59B5"/>
    <w:rsid w:val="004B1441"/>
    <w:rsid w:val="004B156E"/>
    <w:rsid w:val="004B4E31"/>
    <w:rsid w:val="004B5A2E"/>
    <w:rsid w:val="004B6071"/>
    <w:rsid w:val="004B65FF"/>
    <w:rsid w:val="004B6CBB"/>
    <w:rsid w:val="004B769C"/>
    <w:rsid w:val="004C20BB"/>
    <w:rsid w:val="004C2198"/>
    <w:rsid w:val="004C3588"/>
    <w:rsid w:val="004D1E84"/>
    <w:rsid w:val="004E2246"/>
    <w:rsid w:val="004E337C"/>
    <w:rsid w:val="004E613B"/>
    <w:rsid w:val="004E688F"/>
    <w:rsid w:val="004F00E2"/>
    <w:rsid w:val="004F0E99"/>
    <w:rsid w:val="004F1208"/>
    <w:rsid w:val="004F23AE"/>
    <w:rsid w:val="004F25B9"/>
    <w:rsid w:val="004F2E08"/>
    <w:rsid w:val="004F3E65"/>
    <w:rsid w:val="004F44D1"/>
    <w:rsid w:val="004F4A11"/>
    <w:rsid w:val="004F6460"/>
    <w:rsid w:val="004F6BFD"/>
    <w:rsid w:val="00502A80"/>
    <w:rsid w:val="0050530F"/>
    <w:rsid w:val="00505EC7"/>
    <w:rsid w:val="00506BB4"/>
    <w:rsid w:val="00513F2D"/>
    <w:rsid w:val="0051472B"/>
    <w:rsid w:val="00514832"/>
    <w:rsid w:val="00514CB0"/>
    <w:rsid w:val="005153AD"/>
    <w:rsid w:val="00515ACC"/>
    <w:rsid w:val="0051629D"/>
    <w:rsid w:val="005179B1"/>
    <w:rsid w:val="005210D8"/>
    <w:rsid w:val="0052156E"/>
    <w:rsid w:val="00521CC0"/>
    <w:rsid w:val="005258E5"/>
    <w:rsid w:val="00526BE5"/>
    <w:rsid w:val="00526D66"/>
    <w:rsid w:val="0052700E"/>
    <w:rsid w:val="00530831"/>
    <w:rsid w:val="00530F6E"/>
    <w:rsid w:val="00531D47"/>
    <w:rsid w:val="0053253B"/>
    <w:rsid w:val="005345AF"/>
    <w:rsid w:val="0053478E"/>
    <w:rsid w:val="00534963"/>
    <w:rsid w:val="00542FF9"/>
    <w:rsid w:val="00545BF6"/>
    <w:rsid w:val="00547FFB"/>
    <w:rsid w:val="00550823"/>
    <w:rsid w:val="005512BA"/>
    <w:rsid w:val="005522E4"/>
    <w:rsid w:val="0055318E"/>
    <w:rsid w:val="005545BB"/>
    <w:rsid w:val="00557E26"/>
    <w:rsid w:val="0056469E"/>
    <w:rsid w:val="0056506A"/>
    <w:rsid w:val="00565106"/>
    <w:rsid w:val="00565E77"/>
    <w:rsid w:val="0056610C"/>
    <w:rsid w:val="00566574"/>
    <w:rsid w:val="005667B7"/>
    <w:rsid w:val="005674E7"/>
    <w:rsid w:val="00567D1E"/>
    <w:rsid w:val="00570200"/>
    <w:rsid w:val="005724F0"/>
    <w:rsid w:val="005767C0"/>
    <w:rsid w:val="00577727"/>
    <w:rsid w:val="00582C06"/>
    <w:rsid w:val="005872FA"/>
    <w:rsid w:val="005877F7"/>
    <w:rsid w:val="00587E6A"/>
    <w:rsid w:val="00587F0B"/>
    <w:rsid w:val="00591DDD"/>
    <w:rsid w:val="005961A4"/>
    <w:rsid w:val="005A0146"/>
    <w:rsid w:val="005A5104"/>
    <w:rsid w:val="005A5562"/>
    <w:rsid w:val="005A75E5"/>
    <w:rsid w:val="005B1902"/>
    <w:rsid w:val="005B2078"/>
    <w:rsid w:val="005B2E73"/>
    <w:rsid w:val="005B3350"/>
    <w:rsid w:val="005B3BC4"/>
    <w:rsid w:val="005B4114"/>
    <w:rsid w:val="005B4437"/>
    <w:rsid w:val="005B5DA4"/>
    <w:rsid w:val="005B667A"/>
    <w:rsid w:val="005B7FAA"/>
    <w:rsid w:val="005C0EC0"/>
    <w:rsid w:val="005C42EA"/>
    <w:rsid w:val="005D10E9"/>
    <w:rsid w:val="005D3993"/>
    <w:rsid w:val="005D43F6"/>
    <w:rsid w:val="005D52DD"/>
    <w:rsid w:val="005D56F0"/>
    <w:rsid w:val="005D5B4B"/>
    <w:rsid w:val="005D7DFC"/>
    <w:rsid w:val="005E0AF4"/>
    <w:rsid w:val="005E0E64"/>
    <w:rsid w:val="005E24FC"/>
    <w:rsid w:val="005E6428"/>
    <w:rsid w:val="005E7EB3"/>
    <w:rsid w:val="005F0144"/>
    <w:rsid w:val="005F08B4"/>
    <w:rsid w:val="005F0D55"/>
    <w:rsid w:val="005F21AD"/>
    <w:rsid w:val="005F21DD"/>
    <w:rsid w:val="005F3EF0"/>
    <w:rsid w:val="005F476B"/>
    <w:rsid w:val="005F6493"/>
    <w:rsid w:val="00600327"/>
    <w:rsid w:val="00600B83"/>
    <w:rsid w:val="00602E23"/>
    <w:rsid w:val="006048E0"/>
    <w:rsid w:val="006054B2"/>
    <w:rsid w:val="00605D57"/>
    <w:rsid w:val="006066A8"/>
    <w:rsid w:val="00606907"/>
    <w:rsid w:val="00612343"/>
    <w:rsid w:val="006132A1"/>
    <w:rsid w:val="0061480F"/>
    <w:rsid w:val="006245AA"/>
    <w:rsid w:val="006253EC"/>
    <w:rsid w:val="00626E90"/>
    <w:rsid w:val="00631DB8"/>
    <w:rsid w:val="006342A3"/>
    <w:rsid w:val="00635CBB"/>
    <w:rsid w:val="00637A1E"/>
    <w:rsid w:val="0064067D"/>
    <w:rsid w:val="00641073"/>
    <w:rsid w:val="00643624"/>
    <w:rsid w:val="00645994"/>
    <w:rsid w:val="0064621F"/>
    <w:rsid w:val="006472A9"/>
    <w:rsid w:val="0065019A"/>
    <w:rsid w:val="0065020E"/>
    <w:rsid w:val="00651ED3"/>
    <w:rsid w:val="00652943"/>
    <w:rsid w:val="006536E1"/>
    <w:rsid w:val="006537E5"/>
    <w:rsid w:val="006619BD"/>
    <w:rsid w:val="00661A88"/>
    <w:rsid w:val="0066236F"/>
    <w:rsid w:val="00662A3C"/>
    <w:rsid w:val="00665948"/>
    <w:rsid w:val="00665A3C"/>
    <w:rsid w:val="00665A83"/>
    <w:rsid w:val="00670BA3"/>
    <w:rsid w:val="00673733"/>
    <w:rsid w:val="006737A8"/>
    <w:rsid w:val="006763AF"/>
    <w:rsid w:val="00677901"/>
    <w:rsid w:val="00677B09"/>
    <w:rsid w:val="00680BC5"/>
    <w:rsid w:val="00681144"/>
    <w:rsid w:val="0068783D"/>
    <w:rsid w:val="00687D48"/>
    <w:rsid w:val="006909CD"/>
    <w:rsid w:val="006915EF"/>
    <w:rsid w:val="0069361D"/>
    <w:rsid w:val="00694DF6"/>
    <w:rsid w:val="006957B0"/>
    <w:rsid w:val="00697C06"/>
    <w:rsid w:val="006A256B"/>
    <w:rsid w:val="006A61BD"/>
    <w:rsid w:val="006A648B"/>
    <w:rsid w:val="006A67E1"/>
    <w:rsid w:val="006A7DD7"/>
    <w:rsid w:val="006B20EE"/>
    <w:rsid w:val="006B21DA"/>
    <w:rsid w:val="006B4321"/>
    <w:rsid w:val="006B6E10"/>
    <w:rsid w:val="006B7A37"/>
    <w:rsid w:val="006C0545"/>
    <w:rsid w:val="006C05D5"/>
    <w:rsid w:val="006C0ACE"/>
    <w:rsid w:val="006C100D"/>
    <w:rsid w:val="006C3497"/>
    <w:rsid w:val="006C798B"/>
    <w:rsid w:val="006C7F7B"/>
    <w:rsid w:val="006D08E4"/>
    <w:rsid w:val="006D0A0F"/>
    <w:rsid w:val="006D274C"/>
    <w:rsid w:val="006D3494"/>
    <w:rsid w:val="006D5BBE"/>
    <w:rsid w:val="006E1295"/>
    <w:rsid w:val="006E13E7"/>
    <w:rsid w:val="006E3A3C"/>
    <w:rsid w:val="006E6868"/>
    <w:rsid w:val="006F23CA"/>
    <w:rsid w:val="006F2F4C"/>
    <w:rsid w:val="006F3C28"/>
    <w:rsid w:val="006F4966"/>
    <w:rsid w:val="006F701B"/>
    <w:rsid w:val="006F7564"/>
    <w:rsid w:val="006F7A19"/>
    <w:rsid w:val="00702968"/>
    <w:rsid w:val="00702E35"/>
    <w:rsid w:val="00703E22"/>
    <w:rsid w:val="00703EBF"/>
    <w:rsid w:val="00711852"/>
    <w:rsid w:val="00711F1D"/>
    <w:rsid w:val="00712608"/>
    <w:rsid w:val="00712767"/>
    <w:rsid w:val="00712BBB"/>
    <w:rsid w:val="00720A48"/>
    <w:rsid w:val="00721FB1"/>
    <w:rsid w:val="00722B25"/>
    <w:rsid w:val="007250A2"/>
    <w:rsid w:val="007258E9"/>
    <w:rsid w:val="00725E0F"/>
    <w:rsid w:val="00727F5F"/>
    <w:rsid w:val="00730EA2"/>
    <w:rsid w:val="00735425"/>
    <w:rsid w:val="00736073"/>
    <w:rsid w:val="007405FE"/>
    <w:rsid w:val="00741999"/>
    <w:rsid w:val="00742F8E"/>
    <w:rsid w:val="0074429F"/>
    <w:rsid w:val="0074519A"/>
    <w:rsid w:val="00745690"/>
    <w:rsid w:val="00746A71"/>
    <w:rsid w:val="007475DB"/>
    <w:rsid w:val="00752D3B"/>
    <w:rsid w:val="00764780"/>
    <w:rsid w:val="00764D30"/>
    <w:rsid w:val="00771F60"/>
    <w:rsid w:val="007732AA"/>
    <w:rsid w:val="007740C4"/>
    <w:rsid w:val="0077424D"/>
    <w:rsid w:val="00774D7A"/>
    <w:rsid w:val="007758E0"/>
    <w:rsid w:val="00776947"/>
    <w:rsid w:val="0078026F"/>
    <w:rsid w:val="00781122"/>
    <w:rsid w:val="007819DD"/>
    <w:rsid w:val="00781D1C"/>
    <w:rsid w:val="00782AFF"/>
    <w:rsid w:val="007831F0"/>
    <w:rsid w:val="00783883"/>
    <w:rsid w:val="00787BEA"/>
    <w:rsid w:val="00792322"/>
    <w:rsid w:val="0079234F"/>
    <w:rsid w:val="00793EF6"/>
    <w:rsid w:val="007A0774"/>
    <w:rsid w:val="007A1189"/>
    <w:rsid w:val="007A213F"/>
    <w:rsid w:val="007A2F9E"/>
    <w:rsid w:val="007A41CA"/>
    <w:rsid w:val="007A47F2"/>
    <w:rsid w:val="007B1B8D"/>
    <w:rsid w:val="007B36E7"/>
    <w:rsid w:val="007B7F57"/>
    <w:rsid w:val="007C47AB"/>
    <w:rsid w:val="007C7B12"/>
    <w:rsid w:val="007D2306"/>
    <w:rsid w:val="007D536C"/>
    <w:rsid w:val="007D60C3"/>
    <w:rsid w:val="007D6E4F"/>
    <w:rsid w:val="007D6F9A"/>
    <w:rsid w:val="007D7F56"/>
    <w:rsid w:val="007E10F3"/>
    <w:rsid w:val="007E42AE"/>
    <w:rsid w:val="007E46CF"/>
    <w:rsid w:val="007E6F9E"/>
    <w:rsid w:val="007F1259"/>
    <w:rsid w:val="007F3BA2"/>
    <w:rsid w:val="007F3F6E"/>
    <w:rsid w:val="007F518A"/>
    <w:rsid w:val="007F5EE2"/>
    <w:rsid w:val="008004F2"/>
    <w:rsid w:val="008046A4"/>
    <w:rsid w:val="008063EB"/>
    <w:rsid w:val="00806DAF"/>
    <w:rsid w:val="00807D3D"/>
    <w:rsid w:val="008124A0"/>
    <w:rsid w:val="00812D95"/>
    <w:rsid w:val="00813487"/>
    <w:rsid w:val="00813EA9"/>
    <w:rsid w:val="008145CB"/>
    <w:rsid w:val="008211DE"/>
    <w:rsid w:val="00821D5D"/>
    <w:rsid w:val="00822AAA"/>
    <w:rsid w:val="00823848"/>
    <w:rsid w:val="00824601"/>
    <w:rsid w:val="00824CB6"/>
    <w:rsid w:val="008305CD"/>
    <w:rsid w:val="008360B0"/>
    <w:rsid w:val="00836516"/>
    <w:rsid w:val="00843F1B"/>
    <w:rsid w:val="00845222"/>
    <w:rsid w:val="0084557D"/>
    <w:rsid w:val="00846BBB"/>
    <w:rsid w:val="00850B8F"/>
    <w:rsid w:val="00852657"/>
    <w:rsid w:val="00852F57"/>
    <w:rsid w:val="0085401D"/>
    <w:rsid w:val="008609E6"/>
    <w:rsid w:val="00860F5A"/>
    <w:rsid w:val="00864356"/>
    <w:rsid w:val="0086461E"/>
    <w:rsid w:val="00865369"/>
    <w:rsid w:val="0086539F"/>
    <w:rsid w:val="0086618E"/>
    <w:rsid w:val="00867EFB"/>
    <w:rsid w:val="0087470D"/>
    <w:rsid w:val="00874776"/>
    <w:rsid w:val="00877008"/>
    <w:rsid w:val="00880FEC"/>
    <w:rsid w:val="00881586"/>
    <w:rsid w:val="0088167A"/>
    <w:rsid w:val="008837F1"/>
    <w:rsid w:val="008878D8"/>
    <w:rsid w:val="008904DA"/>
    <w:rsid w:val="008927E8"/>
    <w:rsid w:val="00896F29"/>
    <w:rsid w:val="00896F7D"/>
    <w:rsid w:val="008A0783"/>
    <w:rsid w:val="008A1A93"/>
    <w:rsid w:val="008A4E12"/>
    <w:rsid w:val="008A5600"/>
    <w:rsid w:val="008A6C7E"/>
    <w:rsid w:val="008B1742"/>
    <w:rsid w:val="008B3790"/>
    <w:rsid w:val="008B5444"/>
    <w:rsid w:val="008B74CE"/>
    <w:rsid w:val="008B7BF4"/>
    <w:rsid w:val="008C3F79"/>
    <w:rsid w:val="008C4BB3"/>
    <w:rsid w:val="008C50DF"/>
    <w:rsid w:val="008C60E6"/>
    <w:rsid w:val="008C64BD"/>
    <w:rsid w:val="008C6681"/>
    <w:rsid w:val="008C77F5"/>
    <w:rsid w:val="008C7E98"/>
    <w:rsid w:val="008D04F4"/>
    <w:rsid w:val="008D1A48"/>
    <w:rsid w:val="008D2AA3"/>
    <w:rsid w:val="008D3955"/>
    <w:rsid w:val="008D4AB2"/>
    <w:rsid w:val="008D6ED6"/>
    <w:rsid w:val="008E09DD"/>
    <w:rsid w:val="008E20F7"/>
    <w:rsid w:val="008E38D1"/>
    <w:rsid w:val="008E4626"/>
    <w:rsid w:val="008E49ED"/>
    <w:rsid w:val="008E6034"/>
    <w:rsid w:val="008E62D3"/>
    <w:rsid w:val="008E732F"/>
    <w:rsid w:val="008F03CF"/>
    <w:rsid w:val="008F2336"/>
    <w:rsid w:val="008F23EC"/>
    <w:rsid w:val="008F2E3D"/>
    <w:rsid w:val="008F3FDB"/>
    <w:rsid w:val="008F4FD5"/>
    <w:rsid w:val="008F501B"/>
    <w:rsid w:val="008F6421"/>
    <w:rsid w:val="008F70BD"/>
    <w:rsid w:val="008F77A9"/>
    <w:rsid w:val="00907AE7"/>
    <w:rsid w:val="009102E3"/>
    <w:rsid w:val="0091201E"/>
    <w:rsid w:val="009151B2"/>
    <w:rsid w:val="00915236"/>
    <w:rsid w:val="00916541"/>
    <w:rsid w:val="00921A60"/>
    <w:rsid w:val="00922D73"/>
    <w:rsid w:val="00925122"/>
    <w:rsid w:val="00925488"/>
    <w:rsid w:val="009255A6"/>
    <w:rsid w:val="0093090B"/>
    <w:rsid w:val="0093153B"/>
    <w:rsid w:val="00932ECA"/>
    <w:rsid w:val="00933205"/>
    <w:rsid w:val="0094057E"/>
    <w:rsid w:val="00943845"/>
    <w:rsid w:val="00945A86"/>
    <w:rsid w:val="00947078"/>
    <w:rsid w:val="00951E9A"/>
    <w:rsid w:val="00952488"/>
    <w:rsid w:val="00955A62"/>
    <w:rsid w:val="00955C2B"/>
    <w:rsid w:val="009579C3"/>
    <w:rsid w:val="00960111"/>
    <w:rsid w:val="009607D6"/>
    <w:rsid w:val="00964A6B"/>
    <w:rsid w:val="00970ADC"/>
    <w:rsid w:val="00975D60"/>
    <w:rsid w:val="00982236"/>
    <w:rsid w:val="00982C39"/>
    <w:rsid w:val="00982EE6"/>
    <w:rsid w:val="0098315A"/>
    <w:rsid w:val="00983B70"/>
    <w:rsid w:val="00984352"/>
    <w:rsid w:val="00987BA0"/>
    <w:rsid w:val="00993BC8"/>
    <w:rsid w:val="00996A27"/>
    <w:rsid w:val="00996F4B"/>
    <w:rsid w:val="009970E9"/>
    <w:rsid w:val="00997EE1"/>
    <w:rsid w:val="009A05E9"/>
    <w:rsid w:val="009A52E3"/>
    <w:rsid w:val="009A5820"/>
    <w:rsid w:val="009A6622"/>
    <w:rsid w:val="009B1A43"/>
    <w:rsid w:val="009B29D5"/>
    <w:rsid w:val="009B3155"/>
    <w:rsid w:val="009B3767"/>
    <w:rsid w:val="009B6EFF"/>
    <w:rsid w:val="009B70E6"/>
    <w:rsid w:val="009C0701"/>
    <w:rsid w:val="009C0BE7"/>
    <w:rsid w:val="009C37AB"/>
    <w:rsid w:val="009C47C4"/>
    <w:rsid w:val="009C6C7E"/>
    <w:rsid w:val="009C747E"/>
    <w:rsid w:val="009C7749"/>
    <w:rsid w:val="009D16CA"/>
    <w:rsid w:val="009D37BA"/>
    <w:rsid w:val="009D3C07"/>
    <w:rsid w:val="009D4477"/>
    <w:rsid w:val="009D6245"/>
    <w:rsid w:val="009D66C2"/>
    <w:rsid w:val="009E25B8"/>
    <w:rsid w:val="009E412C"/>
    <w:rsid w:val="009E50C0"/>
    <w:rsid w:val="009E6C73"/>
    <w:rsid w:val="009F051C"/>
    <w:rsid w:val="009F0653"/>
    <w:rsid w:val="009F096B"/>
    <w:rsid w:val="009F0D0E"/>
    <w:rsid w:val="009F421E"/>
    <w:rsid w:val="009F66D1"/>
    <w:rsid w:val="00A03661"/>
    <w:rsid w:val="00A04079"/>
    <w:rsid w:val="00A10882"/>
    <w:rsid w:val="00A1241F"/>
    <w:rsid w:val="00A126FB"/>
    <w:rsid w:val="00A14A8C"/>
    <w:rsid w:val="00A156EC"/>
    <w:rsid w:val="00A1587D"/>
    <w:rsid w:val="00A169DC"/>
    <w:rsid w:val="00A17F24"/>
    <w:rsid w:val="00A210AD"/>
    <w:rsid w:val="00A26BF2"/>
    <w:rsid w:val="00A27D74"/>
    <w:rsid w:val="00A32303"/>
    <w:rsid w:val="00A32EEE"/>
    <w:rsid w:val="00A33B27"/>
    <w:rsid w:val="00A400E3"/>
    <w:rsid w:val="00A40C3A"/>
    <w:rsid w:val="00A40DC8"/>
    <w:rsid w:val="00A41444"/>
    <w:rsid w:val="00A432F1"/>
    <w:rsid w:val="00A450FB"/>
    <w:rsid w:val="00A50296"/>
    <w:rsid w:val="00A515A1"/>
    <w:rsid w:val="00A51FBA"/>
    <w:rsid w:val="00A5253C"/>
    <w:rsid w:val="00A53A66"/>
    <w:rsid w:val="00A545FB"/>
    <w:rsid w:val="00A5512A"/>
    <w:rsid w:val="00A60BFC"/>
    <w:rsid w:val="00A612A1"/>
    <w:rsid w:val="00A62561"/>
    <w:rsid w:val="00A6327E"/>
    <w:rsid w:val="00A63C39"/>
    <w:rsid w:val="00A64051"/>
    <w:rsid w:val="00A641D1"/>
    <w:rsid w:val="00A65502"/>
    <w:rsid w:val="00A65D7B"/>
    <w:rsid w:val="00A66795"/>
    <w:rsid w:val="00A6713A"/>
    <w:rsid w:val="00A71026"/>
    <w:rsid w:val="00A71FC3"/>
    <w:rsid w:val="00A71FE3"/>
    <w:rsid w:val="00A75937"/>
    <w:rsid w:val="00A76285"/>
    <w:rsid w:val="00A76A46"/>
    <w:rsid w:val="00A80F82"/>
    <w:rsid w:val="00A81BC2"/>
    <w:rsid w:val="00A83EC3"/>
    <w:rsid w:val="00A85377"/>
    <w:rsid w:val="00A85C81"/>
    <w:rsid w:val="00A86259"/>
    <w:rsid w:val="00A8784A"/>
    <w:rsid w:val="00A87DA4"/>
    <w:rsid w:val="00A905E3"/>
    <w:rsid w:val="00A924BA"/>
    <w:rsid w:val="00A958A2"/>
    <w:rsid w:val="00AA07E3"/>
    <w:rsid w:val="00AA0836"/>
    <w:rsid w:val="00AA18AB"/>
    <w:rsid w:val="00AA1DED"/>
    <w:rsid w:val="00AA2339"/>
    <w:rsid w:val="00AA28F5"/>
    <w:rsid w:val="00AA2A1B"/>
    <w:rsid w:val="00AA35F8"/>
    <w:rsid w:val="00AA38A9"/>
    <w:rsid w:val="00AA3F72"/>
    <w:rsid w:val="00AA40BB"/>
    <w:rsid w:val="00AA4F77"/>
    <w:rsid w:val="00AA721A"/>
    <w:rsid w:val="00AB215D"/>
    <w:rsid w:val="00AB2A4E"/>
    <w:rsid w:val="00AB3298"/>
    <w:rsid w:val="00AB3C61"/>
    <w:rsid w:val="00AB676C"/>
    <w:rsid w:val="00AB6EC1"/>
    <w:rsid w:val="00AB735B"/>
    <w:rsid w:val="00AC0306"/>
    <w:rsid w:val="00AC1A02"/>
    <w:rsid w:val="00AC2517"/>
    <w:rsid w:val="00AC6124"/>
    <w:rsid w:val="00AD1935"/>
    <w:rsid w:val="00AD4D52"/>
    <w:rsid w:val="00AD6973"/>
    <w:rsid w:val="00AD79BF"/>
    <w:rsid w:val="00AD7DFA"/>
    <w:rsid w:val="00AE448F"/>
    <w:rsid w:val="00AE51C3"/>
    <w:rsid w:val="00AF0842"/>
    <w:rsid w:val="00AF11CB"/>
    <w:rsid w:val="00AF1D15"/>
    <w:rsid w:val="00AF32ED"/>
    <w:rsid w:val="00AF4210"/>
    <w:rsid w:val="00AF52FB"/>
    <w:rsid w:val="00B01D10"/>
    <w:rsid w:val="00B03910"/>
    <w:rsid w:val="00B03BF2"/>
    <w:rsid w:val="00B041EB"/>
    <w:rsid w:val="00B0568A"/>
    <w:rsid w:val="00B05712"/>
    <w:rsid w:val="00B05D1A"/>
    <w:rsid w:val="00B064C9"/>
    <w:rsid w:val="00B1677E"/>
    <w:rsid w:val="00B20D1E"/>
    <w:rsid w:val="00B22409"/>
    <w:rsid w:val="00B2432A"/>
    <w:rsid w:val="00B2539B"/>
    <w:rsid w:val="00B26AB0"/>
    <w:rsid w:val="00B3269E"/>
    <w:rsid w:val="00B32CC7"/>
    <w:rsid w:val="00B42F88"/>
    <w:rsid w:val="00B4469C"/>
    <w:rsid w:val="00B44C56"/>
    <w:rsid w:val="00B45314"/>
    <w:rsid w:val="00B5066E"/>
    <w:rsid w:val="00B51704"/>
    <w:rsid w:val="00B52368"/>
    <w:rsid w:val="00B52691"/>
    <w:rsid w:val="00B5448C"/>
    <w:rsid w:val="00B61252"/>
    <w:rsid w:val="00B651FA"/>
    <w:rsid w:val="00B653DE"/>
    <w:rsid w:val="00B70100"/>
    <w:rsid w:val="00B7031B"/>
    <w:rsid w:val="00B71405"/>
    <w:rsid w:val="00B7141C"/>
    <w:rsid w:val="00B74072"/>
    <w:rsid w:val="00B74E67"/>
    <w:rsid w:val="00B7544F"/>
    <w:rsid w:val="00B772DF"/>
    <w:rsid w:val="00B77755"/>
    <w:rsid w:val="00B839EA"/>
    <w:rsid w:val="00B85F57"/>
    <w:rsid w:val="00B90272"/>
    <w:rsid w:val="00B90704"/>
    <w:rsid w:val="00B94F10"/>
    <w:rsid w:val="00B95D2A"/>
    <w:rsid w:val="00B960CE"/>
    <w:rsid w:val="00BA28F2"/>
    <w:rsid w:val="00BA6C37"/>
    <w:rsid w:val="00BA7A95"/>
    <w:rsid w:val="00BA7D92"/>
    <w:rsid w:val="00BA7E40"/>
    <w:rsid w:val="00BB0C37"/>
    <w:rsid w:val="00BB3CB8"/>
    <w:rsid w:val="00BB3FAA"/>
    <w:rsid w:val="00BB40C5"/>
    <w:rsid w:val="00BB5C6E"/>
    <w:rsid w:val="00BC3D5C"/>
    <w:rsid w:val="00BC5F1D"/>
    <w:rsid w:val="00BC7D3E"/>
    <w:rsid w:val="00BD0A81"/>
    <w:rsid w:val="00BD1843"/>
    <w:rsid w:val="00BD2EB0"/>
    <w:rsid w:val="00BD5624"/>
    <w:rsid w:val="00BD5D71"/>
    <w:rsid w:val="00BE0E3D"/>
    <w:rsid w:val="00BE10C6"/>
    <w:rsid w:val="00BE11CC"/>
    <w:rsid w:val="00BE1954"/>
    <w:rsid w:val="00BE392F"/>
    <w:rsid w:val="00BE467E"/>
    <w:rsid w:val="00BE700B"/>
    <w:rsid w:val="00BE7A49"/>
    <w:rsid w:val="00BE7C4D"/>
    <w:rsid w:val="00BE7DC0"/>
    <w:rsid w:val="00BF07F8"/>
    <w:rsid w:val="00BF0B43"/>
    <w:rsid w:val="00BF1285"/>
    <w:rsid w:val="00BF2104"/>
    <w:rsid w:val="00BF225C"/>
    <w:rsid w:val="00BF548E"/>
    <w:rsid w:val="00BF62D6"/>
    <w:rsid w:val="00C0056B"/>
    <w:rsid w:val="00C04F0D"/>
    <w:rsid w:val="00C052AE"/>
    <w:rsid w:val="00C065BE"/>
    <w:rsid w:val="00C13F44"/>
    <w:rsid w:val="00C15AD2"/>
    <w:rsid w:val="00C211B2"/>
    <w:rsid w:val="00C215FA"/>
    <w:rsid w:val="00C223F1"/>
    <w:rsid w:val="00C22E1C"/>
    <w:rsid w:val="00C2325A"/>
    <w:rsid w:val="00C23E9B"/>
    <w:rsid w:val="00C2452E"/>
    <w:rsid w:val="00C24B89"/>
    <w:rsid w:val="00C25354"/>
    <w:rsid w:val="00C26657"/>
    <w:rsid w:val="00C30557"/>
    <w:rsid w:val="00C319AC"/>
    <w:rsid w:val="00C31CC8"/>
    <w:rsid w:val="00C32E83"/>
    <w:rsid w:val="00C36385"/>
    <w:rsid w:val="00C371C8"/>
    <w:rsid w:val="00C37F46"/>
    <w:rsid w:val="00C41486"/>
    <w:rsid w:val="00C43609"/>
    <w:rsid w:val="00C44CB3"/>
    <w:rsid w:val="00C44D11"/>
    <w:rsid w:val="00C46A90"/>
    <w:rsid w:val="00C473C1"/>
    <w:rsid w:val="00C521D1"/>
    <w:rsid w:val="00C5542E"/>
    <w:rsid w:val="00C5555E"/>
    <w:rsid w:val="00C56943"/>
    <w:rsid w:val="00C60C1D"/>
    <w:rsid w:val="00C62601"/>
    <w:rsid w:val="00C64229"/>
    <w:rsid w:val="00C648E3"/>
    <w:rsid w:val="00C64985"/>
    <w:rsid w:val="00C64B11"/>
    <w:rsid w:val="00C66B11"/>
    <w:rsid w:val="00C70BFC"/>
    <w:rsid w:val="00C72DA7"/>
    <w:rsid w:val="00C72EB3"/>
    <w:rsid w:val="00C730B8"/>
    <w:rsid w:val="00C730C4"/>
    <w:rsid w:val="00C770B9"/>
    <w:rsid w:val="00C77404"/>
    <w:rsid w:val="00C77C90"/>
    <w:rsid w:val="00C77D2C"/>
    <w:rsid w:val="00C80766"/>
    <w:rsid w:val="00C86013"/>
    <w:rsid w:val="00C87323"/>
    <w:rsid w:val="00C9492A"/>
    <w:rsid w:val="00C94DFE"/>
    <w:rsid w:val="00C9515F"/>
    <w:rsid w:val="00C95C0E"/>
    <w:rsid w:val="00C96979"/>
    <w:rsid w:val="00CA047F"/>
    <w:rsid w:val="00CA0C1D"/>
    <w:rsid w:val="00CA1075"/>
    <w:rsid w:val="00CA19C5"/>
    <w:rsid w:val="00CA2263"/>
    <w:rsid w:val="00CA2BE8"/>
    <w:rsid w:val="00CA4629"/>
    <w:rsid w:val="00CA48F5"/>
    <w:rsid w:val="00CA5BEB"/>
    <w:rsid w:val="00CA6DE4"/>
    <w:rsid w:val="00CB0131"/>
    <w:rsid w:val="00CB094E"/>
    <w:rsid w:val="00CB12DF"/>
    <w:rsid w:val="00CB14D0"/>
    <w:rsid w:val="00CB18F3"/>
    <w:rsid w:val="00CB39A0"/>
    <w:rsid w:val="00CB4326"/>
    <w:rsid w:val="00CB4398"/>
    <w:rsid w:val="00CB4971"/>
    <w:rsid w:val="00CB4E3E"/>
    <w:rsid w:val="00CB5984"/>
    <w:rsid w:val="00CB5FFE"/>
    <w:rsid w:val="00CC0156"/>
    <w:rsid w:val="00CC0C20"/>
    <w:rsid w:val="00CC153A"/>
    <w:rsid w:val="00CC7655"/>
    <w:rsid w:val="00CD03B1"/>
    <w:rsid w:val="00CD06C1"/>
    <w:rsid w:val="00CD21E6"/>
    <w:rsid w:val="00CD5093"/>
    <w:rsid w:val="00CD66F4"/>
    <w:rsid w:val="00CE0BD5"/>
    <w:rsid w:val="00CE51E6"/>
    <w:rsid w:val="00CE74AA"/>
    <w:rsid w:val="00CF0691"/>
    <w:rsid w:val="00CF1739"/>
    <w:rsid w:val="00CF3F0B"/>
    <w:rsid w:val="00CF478B"/>
    <w:rsid w:val="00CF6E49"/>
    <w:rsid w:val="00CF7219"/>
    <w:rsid w:val="00CF7B6E"/>
    <w:rsid w:val="00D024C5"/>
    <w:rsid w:val="00D02DD5"/>
    <w:rsid w:val="00D03C9E"/>
    <w:rsid w:val="00D05F89"/>
    <w:rsid w:val="00D071F8"/>
    <w:rsid w:val="00D1030A"/>
    <w:rsid w:val="00D12397"/>
    <w:rsid w:val="00D13C85"/>
    <w:rsid w:val="00D14603"/>
    <w:rsid w:val="00D16A12"/>
    <w:rsid w:val="00D175DD"/>
    <w:rsid w:val="00D217D5"/>
    <w:rsid w:val="00D22525"/>
    <w:rsid w:val="00D23ED8"/>
    <w:rsid w:val="00D2650B"/>
    <w:rsid w:val="00D26542"/>
    <w:rsid w:val="00D313E1"/>
    <w:rsid w:val="00D33B72"/>
    <w:rsid w:val="00D33C6F"/>
    <w:rsid w:val="00D4062E"/>
    <w:rsid w:val="00D427BE"/>
    <w:rsid w:val="00D428F5"/>
    <w:rsid w:val="00D45AE8"/>
    <w:rsid w:val="00D45D76"/>
    <w:rsid w:val="00D465CA"/>
    <w:rsid w:val="00D46CE6"/>
    <w:rsid w:val="00D47532"/>
    <w:rsid w:val="00D50E7F"/>
    <w:rsid w:val="00D51E7C"/>
    <w:rsid w:val="00D54A51"/>
    <w:rsid w:val="00D5726B"/>
    <w:rsid w:val="00D62D44"/>
    <w:rsid w:val="00D6437E"/>
    <w:rsid w:val="00D64863"/>
    <w:rsid w:val="00D725A1"/>
    <w:rsid w:val="00D72757"/>
    <w:rsid w:val="00D8220A"/>
    <w:rsid w:val="00D84539"/>
    <w:rsid w:val="00D865EE"/>
    <w:rsid w:val="00D866A1"/>
    <w:rsid w:val="00D9308C"/>
    <w:rsid w:val="00D93B8C"/>
    <w:rsid w:val="00D93DF9"/>
    <w:rsid w:val="00DA0334"/>
    <w:rsid w:val="00DA1183"/>
    <w:rsid w:val="00DA4339"/>
    <w:rsid w:val="00DA6BDD"/>
    <w:rsid w:val="00DB1E36"/>
    <w:rsid w:val="00DB2FA6"/>
    <w:rsid w:val="00DB3D60"/>
    <w:rsid w:val="00DC20CF"/>
    <w:rsid w:val="00DC383C"/>
    <w:rsid w:val="00DC4392"/>
    <w:rsid w:val="00DC4C60"/>
    <w:rsid w:val="00DC57F5"/>
    <w:rsid w:val="00DC5BB6"/>
    <w:rsid w:val="00DC607E"/>
    <w:rsid w:val="00DC6196"/>
    <w:rsid w:val="00DC642F"/>
    <w:rsid w:val="00DC6B8D"/>
    <w:rsid w:val="00DC753D"/>
    <w:rsid w:val="00DD003C"/>
    <w:rsid w:val="00DD05EB"/>
    <w:rsid w:val="00DD1131"/>
    <w:rsid w:val="00DD3171"/>
    <w:rsid w:val="00DD3F17"/>
    <w:rsid w:val="00DD4F5C"/>
    <w:rsid w:val="00DD6C5C"/>
    <w:rsid w:val="00DE061D"/>
    <w:rsid w:val="00DE1043"/>
    <w:rsid w:val="00DE1B48"/>
    <w:rsid w:val="00DE1E1B"/>
    <w:rsid w:val="00DE3480"/>
    <w:rsid w:val="00DE5974"/>
    <w:rsid w:val="00DE5C3C"/>
    <w:rsid w:val="00DE6A12"/>
    <w:rsid w:val="00DF0918"/>
    <w:rsid w:val="00DF0CDF"/>
    <w:rsid w:val="00DF17E6"/>
    <w:rsid w:val="00DF21C5"/>
    <w:rsid w:val="00DF5D23"/>
    <w:rsid w:val="00DF78B1"/>
    <w:rsid w:val="00E02E9A"/>
    <w:rsid w:val="00E04AF9"/>
    <w:rsid w:val="00E106B3"/>
    <w:rsid w:val="00E149BC"/>
    <w:rsid w:val="00E15309"/>
    <w:rsid w:val="00E166D1"/>
    <w:rsid w:val="00E202C0"/>
    <w:rsid w:val="00E3070D"/>
    <w:rsid w:val="00E30E3A"/>
    <w:rsid w:val="00E3216B"/>
    <w:rsid w:val="00E36450"/>
    <w:rsid w:val="00E37500"/>
    <w:rsid w:val="00E375CA"/>
    <w:rsid w:val="00E41C08"/>
    <w:rsid w:val="00E4455D"/>
    <w:rsid w:val="00E5167C"/>
    <w:rsid w:val="00E5249A"/>
    <w:rsid w:val="00E55201"/>
    <w:rsid w:val="00E571B9"/>
    <w:rsid w:val="00E65626"/>
    <w:rsid w:val="00E66B82"/>
    <w:rsid w:val="00E70BBD"/>
    <w:rsid w:val="00E7235E"/>
    <w:rsid w:val="00E729D2"/>
    <w:rsid w:val="00E738A6"/>
    <w:rsid w:val="00E77033"/>
    <w:rsid w:val="00E81449"/>
    <w:rsid w:val="00E83EFE"/>
    <w:rsid w:val="00E842B8"/>
    <w:rsid w:val="00E84533"/>
    <w:rsid w:val="00E8467F"/>
    <w:rsid w:val="00E85060"/>
    <w:rsid w:val="00E864C7"/>
    <w:rsid w:val="00E865B1"/>
    <w:rsid w:val="00E92503"/>
    <w:rsid w:val="00E926CA"/>
    <w:rsid w:val="00E9294F"/>
    <w:rsid w:val="00E93C10"/>
    <w:rsid w:val="00E954E4"/>
    <w:rsid w:val="00E95847"/>
    <w:rsid w:val="00E95957"/>
    <w:rsid w:val="00EA2014"/>
    <w:rsid w:val="00EA27CE"/>
    <w:rsid w:val="00EA2A8E"/>
    <w:rsid w:val="00EA4080"/>
    <w:rsid w:val="00EA43AF"/>
    <w:rsid w:val="00EA43F7"/>
    <w:rsid w:val="00EA4EEC"/>
    <w:rsid w:val="00EA6581"/>
    <w:rsid w:val="00EB16E7"/>
    <w:rsid w:val="00EB36A7"/>
    <w:rsid w:val="00EB43C4"/>
    <w:rsid w:val="00EB52AF"/>
    <w:rsid w:val="00EB5934"/>
    <w:rsid w:val="00EB5B5E"/>
    <w:rsid w:val="00EB6C26"/>
    <w:rsid w:val="00EB70BD"/>
    <w:rsid w:val="00EC0B17"/>
    <w:rsid w:val="00EC1AD3"/>
    <w:rsid w:val="00EC236E"/>
    <w:rsid w:val="00EC3A3D"/>
    <w:rsid w:val="00EC3E0E"/>
    <w:rsid w:val="00EC4B70"/>
    <w:rsid w:val="00EC63E8"/>
    <w:rsid w:val="00ED17CB"/>
    <w:rsid w:val="00ED3231"/>
    <w:rsid w:val="00ED60D9"/>
    <w:rsid w:val="00ED61FD"/>
    <w:rsid w:val="00ED7673"/>
    <w:rsid w:val="00EE0768"/>
    <w:rsid w:val="00EE081F"/>
    <w:rsid w:val="00EE5AEF"/>
    <w:rsid w:val="00EF0477"/>
    <w:rsid w:val="00EF48ED"/>
    <w:rsid w:val="00EF51EA"/>
    <w:rsid w:val="00EF702C"/>
    <w:rsid w:val="00F00A46"/>
    <w:rsid w:val="00F01190"/>
    <w:rsid w:val="00F02A03"/>
    <w:rsid w:val="00F03B09"/>
    <w:rsid w:val="00F05437"/>
    <w:rsid w:val="00F074F2"/>
    <w:rsid w:val="00F07F13"/>
    <w:rsid w:val="00F1090C"/>
    <w:rsid w:val="00F10D61"/>
    <w:rsid w:val="00F132DA"/>
    <w:rsid w:val="00F13BE1"/>
    <w:rsid w:val="00F158D0"/>
    <w:rsid w:val="00F21D5F"/>
    <w:rsid w:val="00F21F41"/>
    <w:rsid w:val="00F2216F"/>
    <w:rsid w:val="00F22FA1"/>
    <w:rsid w:val="00F2457A"/>
    <w:rsid w:val="00F255B5"/>
    <w:rsid w:val="00F26309"/>
    <w:rsid w:val="00F30B2B"/>
    <w:rsid w:val="00F310B9"/>
    <w:rsid w:val="00F31C85"/>
    <w:rsid w:val="00F34C7C"/>
    <w:rsid w:val="00F35A61"/>
    <w:rsid w:val="00F362EE"/>
    <w:rsid w:val="00F3649F"/>
    <w:rsid w:val="00F36A8B"/>
    <w:rsid w:val="00F36BFA"/>
    <w:rsid w:val="00F36CDE"/>
    <w:rsid w:val="00F4077E"/>
    <w:rsid w:val="00F4179F"/>
    <w:rsid w:val="00F4191A"/>
    <w:rsid w:val="00F4193A"/>
    <w:rsid w:val="00F42B1D"/>
    <w:rsid w:val="00F432B9"/>
    <w:rsid w:val="00F46EC4"/>
    <w:rsid w:val="00F47EAE"/>
    <w:rsid w:val="00F5077A"/>
    <w:rsid w:val="00F51528"/>
    <w:rsid w:val="00F52737"/>
    <w:rsid w:val="00F52F8A"/>
    <w:rsid w:val="00F530F0"/>
    <w:rsid w:val="00F55BA1"/>
    <w:rsid w:val="00F561A6"/>
    <w:rsid w:val="00F565BA"/>
    <w:rsid w:val="00F601CB"/>
    <w:rsid w:val="00F60CF6"/>
    <w:rsid w:val="00F60DBB"/>
    <w:rsid w:val="00F620C0"/>
    <w:rsid w:val="00F6318F"/>
    <w:rsid w:val="00F652C7"/>
    <w:rsid w:val="00F652E4"/>
    <w:rsid w:val="00F67EDC"/>
    <w:rsid w:val="00F71167"/>
    <w:rsid w:val="00F71AD4"/>
    <w:rsid w:val="00F71EAF"/>
    <w:rsid w:val="00F72D7C"/>
    <w:rsid w:val="00F73486"/>
    <w:rsid w:val="00F74657"/>
    <w:rsid w:val="00F758C9"/>
    <w:rsid w:val="00F806F0"/>
    <w:rsid w:val="00F80D5A"/>
    <w:rsid w:val="00F813EF"/>
    <w:rsid w:val="00F814C2"/>
    <w:rsid w:val="00F824FD"/>
    <w:rsid w:val="00F82AC5"/>
    <w:rsid w:val="00F82B08"/>
    <w:rsid w:val="00F82D22"/>
    <w:rsid w:val="00F8390F"/>
    <w:rsid w:val="00F84024"/>
    <w:rsid w:val="00F8616B"/>
    <w:rsid w:val="00F863ED"/>
    <w:rsid w:val="00F86BC6"/>
    <w:rsid w:val="00F91BD3"/>
    <w:rsid w:val="00F923E7"/>
    <w:rsid w:val="00F92E98"/>
    <w:rsid w:val="00F941A7"/>
    <w:rsid w:val="00F94B2E"/>
    <w:rsid w:val="00F96117"/>
    <w:rsid w:val="00F96E6D"/>
    <w:rsid w:val="00F97C50"/>
    <w:rsid w:val="00FA0171"/>
    <w:rsid w:val="00FA5235"/>
    <w:rsid w:val="00FA73D5"/>
    <w:rsid w:val="00FA7CE0"/>
    <w:rsid w:val="00FB06B7"/>
    <w:rsid w:val="00FB11A9"/>
    <w:rsid w:val="00FB3658"/>
    <w:rsid w:val="00FB3B3B"/>
    <w:rsid w:val="00FB3FEF"/>
    <w:rsid w:val="00FB4831"/>
    <w:rsid w:val="00FB4A60"/>
    <w:rsid w:val="00FB6ED5"/>
    <w:rsid w:val="00FB7C15"/>
    <w:rsid w:val="00FC376F"/>
    <w:rsid w:val="00FC5638"/>
    <w:rsid w:val="00FC694F"/>
    <w:rsid w:val="00FC7232"/>
    <w:rsid w:val="00FC726A"/>
    <w:rsid w:val="00FC734D"/>
    <w:rsid w:val="00FC7DC3"/>
    <w:rsid w:val="00FD052D"/>
    <w:rsid w:val="00FD24D5"/>
    <w:rsid w:val="00FD3572"/>
    <w:rsid w:val="00FE09EC"/>
    <w:rsid w:val="00FE1157"/>
    <w:rsid w:val="00FE1C01"/>
    <w:rsid w:val="00FE2359"/>
    <w:rsid w:val="00FE2DF1"/>
    <w:rsid w:val="00FE7B2E"/>
    <w:rsid w:val="00FF3612"/>
    <w:rsid w:val="040C259C"/>
    <w:rsid w:val="05D00B49"/>
    <w:rsid w:val="08D334F3"/>
    <w:rsid w:val="092F1D64"/>
    <w:rsid w:val="09ED2461"/>
    <w:rsid w:val="0AC74067"/>
    <w:rsid w:val="0CCD3A03"/>
    <w:rsid w:val="11A916D7"/>
    <w:rsid w:val="14612508"/>
    <w:rsid w:val="156672FB"/>
    <w:rsid w:val="178810EA"/>
    <w:rsid w:val="18DC3303"/>
    <w:rsid w:val="198C37E5"/>
    <w:rsid w:val="1BEA13A6"/>
    <w:rsid w:val="21025237"/>
    <w:rsid w:val="249B05EB"/>
    <w:rsid w:val="24FB3B81"/>
    <w:rsid w:val="25780B71"/>
    <w:rsid w:val="25A05047"/>
    <w:rsid w:val="26E65B6A"/>
    <w:rsid w:val="2714107F"/>
    <w:rsid w:val="282F5357"/>
    <w:rsid w:val="28A1418D"/>
    <w:rsid w:val="2AB51668"/>
    <w:rsid w:val="2B3C6791"/>
    <w:rsid w:val="2C336E4B"/>
    <w:rsid w:val="2D5F2705"/>
    <w:rsid w:val="2D747A28"/>
    <w:rsid w:val="2E3E4E9F"/>
    <w:rsid w:val="2FE20833"/>
    <w:rsid w:val="31286C9E"/>
    <w:rsid w:val="31AD6584"/>
    <w:rsid w:val="32925144"/>
    <w:rsid w:val="334D6474"/>
    <w:rsid w:val="38840C88"/>
    <w:rsid w:val="39D214CC"/>
    <w:rsid w:val="3A54454A"/>
    <w:rsid w:val="3B5F6E45"/>
    <w:rsid w:val="3D5F14CE"/>
    <w:rsid w:val="40081587"/>
    <w:rsid w:val="40432A82"/>
    <w:rsid w:val="41337306"/>
    <w:rsid w:val="438A5202"/>
    <w:rsid w:val="43E610E3"/>
    <w:rsid w:val="459C5E78"/>
    <w:rsid w:val="485C4529"/>
    <w:rsid w:val="4968790B"/>
    <w:rsid w:val="4BD172B5"/>
    <w:rsid w:val="4CD54680"/>
    <w:rsid w:val="4DB0730C"/>
    <w:rsid w:val="4E16095B"/>
    <w:rsid w:val="53121BCB"/>
    <w:rsid w:val="534515D8"/>
    <w:rsid w:val="5440070C"/>
    <w:rsid w:val="578A3530"/>
    <w:rsid w:val="5D2E77F6"/>
    <w:rsid w:val="5DDB05FF"/>
    <w:rsid w:val="5ECB3C42"/>
    <w:rsid w:val="5F203CEA"/>
    <w:rsid w:val="5F5E5FA1"/>
    <w:rsid w:val="60D60839"/>
    <w:rsid w:val="63047D2C"/>
    <w:rsid w:val="65C60240"/>
    <w:rsid w:val="67FC64AB"/>
    <w:rsid w:val="69141CAD"/>
    <w:rsid w:val="6B6F431B"/>
    <w:rsid w:val="6F172AA0"/>
    <w:rsid w:val="765661D4"/>
    <w:rsid w:val="777F4BCA"/>
    <w:rsid w:val="78AA6E01"/>
    <w:rsid w:val="7C0970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62"/>
    <w:qFormat/>
    <w:uiPriority w:val="0"/>
    <w:pPr>
      <w:keepNext/>
      <w:keepLines/>
      <w:spacing w:before="340" w:after="330" w:line="576" w:lineRule="auto"/>
      <w:outlineLvl w:val="0"/>
    </w:pPr>
    <w:rPr>
      <w:b/>
      <w:kern w:val="44"/>
      <w:sz w:val="44"/>
    </w:rPr>
  </w:style>
  <w:style w:type="paragraph" w:styleId="3">
    <w:name w:val="heading 2"/>
    <w:basedOn w:val="1"/>
    <w:next w:val="1"/>
    <w:link w:val="63"/>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4">
    <w:name w:val="heading 3"/>
    <w:basedOn w:val="1"/>
    <w:next w:val="1"/>
    <w:link w:val="64"/>
    <w:qFormat/>
    <w:uiPriority w:val="0"/>
    <w:pPr>
      <w:keepNext/>
      <w:keepLines/>
      <w:spacing w:before="260" w:after="260" w:line="413" w:lineRule="auto"/>
      <w:outlineLvl w:val="2"/>
    </w:pPr>
    <w:rPr>
      <w:b/>
      <w:bCs/>
      <w:sz w:val="32"/>
      <w:szCs w:val="32"/>
    </w:rPr>
  </w:style>
  <w:style w:type="paragraph" w:styleId="5">
    <w:name w:val="heading 4"/>
    <w:next w:val="1"/>
    <w:link w:val="65"/>
    <w:qFormat/>
    <w:uiPriority w:val="0"/>
    <w:pPr>
      <w:keepNext/>
      <w:keepLines/>
      <w:spacing w:before="280" w:after="290" w:line="377" w:lineRule="auto"/>
      <w:outlineLvl w:val="3"/>
    </w:pPr>
    <w:rPr>
      <w:rFonts w:ascii="Cambria" w:hAnsi="Cambria" w:eastAsia="黑体" w:cs="Times New Roman"/>
      <w:b/>
      <w:bCs/>
      <w:kern w:val="2"/>
      <w:sz w:val="24"/>
      <w:szCs w:val="28"/>
      <w:lang w:val="en-US" w:eastAsia="zh-CN" w:bidi="ar-SA"/>
    </w:rPr>
  </w:style>
  <w:style w:type="paragraph" w:styleId="6">
    <w:name w:val="heading 5"/>
    <w:basedOn w:val="1"/>
    <w:next w:val="1"/>
    <w:link w:val="154"/>
    <w:qFormat/>
    <w:uiPriority w:val="0"/>
    <w:pPr>
      <w:keepNext/>
      <w:keepLines/>
      <w:autoSpaceDE/>
      <w:autoSpaceDN/>
      <w:adjustRightInd/>
      <w:spacing w:before="280" w:after="290" w:line="372" w:lineRule="auto"/>
      <w:outlineLvl w:val="4"/>
    </w:pPr>
    <w:rPr>
      <w:b/>
      <w:bCs/>
      <w:kern w:val="2"/>
      <w:sz w:val="28"/>
      <w:szCs w:val="28"/>
    </w:rPr>
  </w:style>
  <w:style w:type="paragraph" w:styleId="7">
    <w:name w:val="heading 6"/>
    <w:basedOn w:val="1"/>
    <w:next w:val="1"/>
    <w:link w:val="155"/>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8">
    <w:name w:val="heading 7"/>
    <w:basedOn w:val="1"/>
    <w:next w:val="1"/>
    <w:link w:val="156"/>
    <w:qFormat/>
    <w:uiPriority w:val="0"/>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9">
    <w:name w:val="heading 8"/>
    <w:basedOn w:val="1"/>
    <w:next w:val="1"/>
    <w:link w:val="157"/>
    <w:qFormat/>
    <w:uiPriority w:val="0"/>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10">
    <w:name w:val="heading 9"/>
    <w:basedOn w:val="1"/>
    <w:next w:val="1"/>
    <w:link w:val="158"/>
    <w:qFormat/>
    <w:uiPriority w:val="0"/>
    <w:pPr>
      <w:keepNext/>
      <w:keepLines/>
      <w:autoSpaceDE/>
      <w:autoSpaceDN/>
      <w:adjustRightInd/>
      <w:spacing w:before="240" w:after="64" w:line="317" w:lineRule="auto"/>
      <w:outlineLvl w:val="8"/>
    </w:pPr>
    <w:rPr>
      <w:rFonts w:ascii="Arial" w:hAnsi="Arial" w:eastAsia="黑体"/>
      <w:color w:val="auto"/>
      <w:kern w:val="2"/>
      <w:szCs w:val="24"/>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autoSpaceDE/>
      <w:autoSpaceDN/>
      <w:adjustRightInd/>
      <w:spacing w:line="360" w:lineRule="auto"/>
      <w:ind w:left="1440" w:firstLine="200" w:firstLineChars="200"/>
      <w:jc w:val="left"/>
    </w:pPr>
    <w:rPr>
      <w:rFonts w:ascii="Calibri" w:hAnsi="Calibri"/>
      <w:color w:val="auto"/>
      <w:kern w:val="2"/>
      <w:sz w:val="18"/>
      <w:szCs w:val="18"/>
    </w:rPr>
  </w:style>
  <w:style w:type="paragraph" w:styleId="12">
    <w:name w:val="List Number 2"/>
    <w:basedOn w:val="1"/>
    <w:qFormat/>
    <w:uiPriority w:val="0"/>
    <w:pPr>
      <w:widowControl/>
      <w:tabs>
        <w:tab w:val="left" w:pos="820"/>
      </w:tabs>
      <w:autoSpaceDE/>
      <w:autoSpaceDN/>
      <w:adjustRightInd/>
      <w:spacing w:afterLines="50"/>
      <w:ind w:left="988" w:hanging="420"/>
      <w:jc w:val="left"/>
    </w:pPr>
    <w:rPr>
      <w:color w:val="auto"/>
      <w:sz w:val="24"/>
      <w:szCs w:val="20"/>
    </w:rPr>
  </w:style>
  <w:style w:type="paragraph" w:styleId="13">
    <w:name w:val="List Number"/>
    <w:basedOn w:val="1"/>
    <w:qFormat/>
    <w:uiPriority w:val="0"/>
    <w:pPr>
      <w:widowControl/>
      <w:numPr>
        <w:ilvl w:val="0"/>
        <w:numId w:val="1"/>
      </w:numPr>
      <w:tabs>
        <w:tab w:val="left" w:pos="720"/>
        <w:tab w:val="clear" w:pos="360"/>
      </w:tabs>
      <w:autoSpaceDE/>
      <w:autoSpaceDN/>
      <w:adjustRightInd/>
      <w:spacing w:afterLines="50"/>
      <w:jc w:val="left"/>
    </w:pPr>
    <w:rPr>
      <w:color w:val="auto"/>
      <w:sz w:val="24"/>
      <w:szCs w:val="20"/>
    </w:rPr>
  </w:style>
  <w:style w:type="paragraph" w:styleId="14">
    <w:name w:val="Normal Indent"/>
    <w:basedOn w:val="1"/>
    <w:next w:val="15"/>
    <w:link w:val="74"/>
    <w:qFormat/>
    <w:uiPriority w:val="0"/>
    <w:pPr>
      <w:autoSpaceDE/>
      <w:autoSpaceDN/>
      <w:adjustRightInd/>
      <w:ind w:firstLine="420"/>
    </w:pPr>
    <w:rPr>
      <w:rFonts w:asciiTheme="minorHAnsi" w:hAnsiTheme="minorHAnsi" w:eastAsiaTheme="minorEastAsia" w:cstheme="minorBidi"/>
      <w:color w:val="auto"/>
      <w:kern w:val="2"/>
      <w:szCs w:val="22"/>
    </w:rPr>
  </w:style>
  <w:style w:type="paragraph" w:styleId="15">
    <w:name w:val="Body Text Indent"/>
    <w:basedOn w:val="1"/>
    <w:next w:val="1"/>
    <w:unhideWhenUsed/>
    <w:qFormat/>
    <w:uiPriority w:val="99"/>
    <w:pPr>
      <w:spacing w:after="120"/>
      <w:ind w:left="420" w:leftChars="200"/>
    </w:pPr>
  </w:style>
  <w:style w:type="paragraph" w:styleId="16">
    <w:name w:val="caption"/>
    <w:basedOn w:val="1"/>
    <w:next w:val="1"/>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17">
    <w:name w:val="index 5"/>
    <w:basedOn w:val="1"/>
    <w:next w:val="1"/>
    <w:qFormat/>
    <w:uiPriority w:val="0"/>
    <w:pPr>
      <w:ind w:left="800" w:leftChars="800"/>
    </w:pPr>
  </w:style>
  <w:style w:type="paragraph" w:styleId="18">
    <w:name w:val="Document Map"/>
    <w:basedOn w:val="1"/>
    <w:link w:val="108"/>
    <w:qFormat/>
    <w:uiPriority w:val="0"/>
    <w:pPr>
      <w:shd w:val="clear" w:color="auto" w:fill="000080"/>
      <w:autoSpaceDE/>
      <w:autoSpaceDN/>
      <w:adjustRightInd/>
    </w:pPr>
    <w:rPr>
      <w:color w:val="auto"/>
      <w:kern w:val="2"/>
      <w:szCs w:val="24"/>
    </w:rPr>
  </w:style>
  <w:style w:type="paragraph" w:styleId="19">
    <w:name w:val="annotation text"/>
    <w:basedOn w:val="1"/>
    <w:link w:val="103"/>
    <w:unhideWhenUsed/>
    <w:qFormat/>
    <w:uiPriority w:val="0"/>
    <w:pPr>
      <w:jc w:val="left"/>
    </w:pPr>
  </w:style>
  <w:style w:type="paragraph" w:styleId="20">
    <w:name w:val="Body Text"/>
    <w:basedOn w:val="1"/>
    <w:next w:val="21"/>
    <w:link w:val="116"/>
    <w:qFormat/>
    <w:uiPriority w:val="0"/>
    <w:pPr>
      <w:spacing w:after="120"/>
    </w:pPr>
  </w:style>
  <w:style w:type="paragraph" w:styleId="21">
    <w:name w:val="Body Text First Indent"/>
    <w:basedOn w:val="20"/>
    <w:next w:val="1"/>
    <w:link w:val="153"/>
    <w:unhideWhenUsed/>
    <w:qFormat/>
    <w:uiPriority w:val="0"/>
    <w:pPr>
      <w:ind w:firstLine="420" w:firstLineChars="100"/>
    </w:pPr>
  </w:style>
  <w:style w:type="paragraph" w:styleId="22">
    <w:name w:val="List Number 3"/>
    <w:basedOn w:val="1"/>
    <w:qFormat/>
    <w:uiPriority w:val="0"/>
    <w:pPr>
      <w:numPr>
        <w:ilvl w:val="0"/>
        <w:numId w:val="2"/>
      </w:numPr>
    </w:pPr>
  </w:style>
  <w:style w:type="paragraph" w:styleId="23">
    <w:name w:val="toc 5"/>
    <w:basedOn w:val="1"/>
    <w:next w:val="1"/>
    <w:qFormat/>
    <w:uiPriority w:val="0"/>
    <w:pPr>
      <w:autoSpaceDE/>
      <w:autoSpaceDN/>
      <w:adjustRightInd/>
      <w:spacing w:line="360" w:lineRule="auto"/>
      <w:ind w:left="960" w:firstLine="200" w:firstLineChars="200"/>
      <w:jc w:val="left"/>
    </w:pPr>
    <w:rPr>
      <w:rFonts w:ascii="Calibri" w:hAnsi="Calibri"/>
      <w:color w:val="auto"/>
      <w:kern w:val="2"/>
      <w:sz w:val="18"/>
      <w:szCs w:val="18"/>
    </w:rPr>
  </w:style>
  <w:style w:type="paragraph" w:styleId="24">
    <w:name w:val="toc 3"/>
    <w:basedOn w:val="1"/>
    <w:next w:val="1"/>
    <w:qFormat/>
    <w:uiPriority w:val="0"/>
    <w:pPr>
      <w:autoSpaceDE/>
      <w:autoSpaceDN/>
      <w:adjustRightInd/>
      <w:spacing w:line="360" w:lineRule="auto"/>
      <w:ind w:left="480" w:firstLine="200" w:firstLineChars="200"/>
      <w:jc w:val="left"/>
    </w:pPr>
    <w:rPr>
      <w:rFonts w:ascii="Calibri" w:hAnsi="Calibri"/>
      <w:i/>
      <w:iCs/>
      <w:color w:val="auto"/>
      <w:kern w:val="2"/>
      <w:sz w:val="20"/>
      <w:szCs w:val="20"/>
    </w:rPr>
  </w:style>
  <w:style w:type="paragraph" w:styleId="25">
    <w:name w:val="Plain Text"/>
    <w:basedOn w:val="1"/>
    <w:next w:val="26"/>
    <w:link w:val="92"/>
    <w:qFormat/>
    <w:uiPriority w:val="0"/>
    <w:pPr>
      <w:autoSpaceDE/>
      <w:autoSpaceDN/>
      <w:adjustRightInd/>
    </w:pPr>
    <w:rPr>
      <w:rFonts w:asciiTheme="minorHAnsi" w:hAnsiTheme="minorHAnsi" w:eastAsiaTheme="minorEastAsia" w:cstheme="minorBidi"/>
      <w:color w:val="auto"/>
      <w:kern w:val="2"/>
      <w:sz w:val="24"/>
      <w:szCs w:val="22"/>
    </w:rPr>
  </w:style>
  <w:style w:type="paragraph" w:styleId="26">
    <w:name w:val="index 7"/>
    <w:basedOn w:val="1"/>
    <w:next w:val="1"/>
    <w:qFormat/>
    <w:uiPriority w:val="0"/>
    <w:pPr>
      <w:autoSpaceDE/>
      <w:autoSpaceDN/>
      <w:adjustRightInd/>
      <w:ind w:left="1200" w:leftChars="1200"/>
    </w:pPr>
    <w:rPr>
      <w:color w:val="auto"/>
      <w:kern w:val="2"/>
      <w:szCs w:val="24"/>
    </w:rPr>
  </w:style>
  <w:style w:type="paragraph" w:styleId="27">
    <w:name w:val="toc 8"/>
    <w:basedOn w:val="1"/>
    <w:next w:val="1"/>
    <w:qFormat/>
    <w:uiPriority w:val="0"/>
    <w:pPr>
      <w:autoSpaceDE/>
      <w:autoSpaceDN/>
      <w:adjustRightInd/>
      <w:spacing w:line="360" w:lineRule="auto"/>
      <w:ind w:left="1680" w:firstLine="200" w:firstLineChars="200"/>
      <w:jc w:val="left"/>
    </w:pPr>
    <w:rPr>
      <w:rFonts w:ascii="Calibri" w:hAnsi="Calibri"/>
      <w:color w:val="auto"/>
      <w:kern w:val="2"/>
      <w:sz w:val="18"/>
      <w:szCs w:val="18"/>
    </w:rPr>
  </w:style>
  <w:style w:type="paragraph" w:styleId="28">
    <w:name w:val="Date"/>
    <w:basedOn w:val="1"/>
    <w:next w:val="1"/>
    <w:link w:val="95"/>
    <w:qFormat/>
    <w:uiPriority w:val="0"/>
    <w:pPr>
      <w:ind w:left="100" w:leftChars="2500"/>
    </w:pPr>
    <w:rPr>
      <w:rFonts w:asciiTheme="minorHAnsi" w:hAnsiTheme="minorHAnsi" w:eastAsiaTheme="minorEastAsia" w:cstheme="minorBidi"/>
      <w:kern w:val="2"/>
    </w:rPr>
  </w:style>
  <w:style w:type="paragraph" w:styleId="29">
    <w:name w:val="Body Text Indent 2"/>
    <w:basedOn w:val="1"/>
    <w:link w:val="113"/>
    <w:qFormat/>
    <w:uiPriority w:val="0"/>
    <w:pPr>
      <w:autoSpaceDE/>
      <w:autoSpaceDN/>
      <w:adjustRightInd/>
      <w:spacing w:after="120" w:line="480" w:lineRule="auto"/>
      <w:ind w:left="420" w:leftChars="200" w:firstLine="200" w:firstLineChars="200"/>
    </w:pPr>
    <w:rPr>
      <w:rFonts w:ascii="仿宋_GB2312" w:eastAsia="仿宋_GB2312"/>
      <w:color w:val="auto"/>
      <w:kern w:val="2"/>
      <w:sz w:val="28"/>
      <w:szCs w:val="28"/>
    </w:rPr>
  </w:style>
  <w:style w:type="paragraph" w:styleId="30">
    <w:name w:val="Balloon Text"/>
    <w:basedOn w:val="1"/>
    <w:link w:val="107"/>
    <w:qFormat/>
    <w:uiPriority w:val="0"/>
    <w:pPr>
      <w:autoSpaceDE/>
      <w:autoSpaceDN/>
      <w:adjustRightInd/>
    </w:pPr>
    <w:rPr>
      <w:color w:val="auto"/>
      <w:kern w:val="2"/>
      <w:sz w:val="18"/>
      <w:szCs w:val="18"/>
    </w:rPr>
  </w:style>
  <w:style w:type="paragraph" w:styleId="31">
    <w:name w:val="footer"/>
    <w:basedOn w:val="1"/>
    <w:link w:val="78"/>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3">
    <w:name w:val="Signature"/>
    <w:basedOn w:val="1"/>
    <w:next w:val="1"/>
    <w:link w:val="89"/>
    <w:qFormat/>
    <w:uiPriority w:val="0"/>
    <w:pPr>
      <w:keepNext/>
      <w:widowControl/>
      <w:numPr>
        <w:ilvl w:val="1"/>
        <w:numId w:val="3"/>
      </w:numPr>
      <w:autoSpaceDE/>
      <w:autoSpaceDN/>
      <w:spacing w:line="220" w:lineRule="atLeast"/>
      <w:jc w:val="right"/>
      <w:textAlignment w:val="baseline"/>
    </w:pPr>
    <w:rPr>
      <w:rFonts w:ascii="Arial" w:hAnsi="Arial" w:eastAsiaTheme="minorEastAsia" w:cstheme="minorBidi"/>
      <w:color w:val="auto"/>
      <w:spacing w:val="-5"/>
      <w:kern w:val="2"/>
      <w:sz w:val="24"/>
      <w:szCs w:val="22"/>
    </w:rPr>
  </w:style>
  <w:style w:type="paragraph" w:styleId="34">
    <w:name w:val="toc 1"/>
    <w:basedOn w:val="1"/>
    <w:next w:val="1"/>
    <w:qFormat/>
    <w:uiPriority w:val="0"/>
    <w:pPr>
      <w:spacing w:line="360" w:lineRule="auto"/>
    </w:pPr>
    <w:rPr>
      <w:rFonts w:eastAsia="黑体"/>
      <w:sz w:val="24"/>
    </w:rPr>
  </w:style>
  <w:style w:type="paragraph" w:styleId="35">
    <w:name w:val="toc 4"/>
    <w:basedOn w:val="1"/>
    <w:next w:val="1"/>
    <w:qFormat/>
    <w:uiPriority w:val="0"/>
    <w:pPr>
      <w:autoSpaceDE/>
      <w:autoSpaceDN/>
      <w:adjustRightInd/>
      <w:spacing w:line="360" w:lineRule="auto"/>
      <w:ind w:left="720" w:firstLine="200" w:firstLineChars="200"/>
      <w:jc w:val="left"/>
    </w:pPr>
    <w:rPr>
      <w:rFonts w:ascii="Calibri" w:hAnsi="Calibri"/>
      <w:color w:val="auto"/>
      <w:kern w:val="2"/>
      <w:sz w:val="18"/>
      <w:szCs w:val="18"/>
    </w:rPr>
  </w:style>
  <w:style w:type="paragraph" w:styleId="36">
    <w:name w:val="List"/>
    <w:basedOn w:val="1"/>
    <w:qFormat/>
    <w:uiPriority w:val="0"/>
    <w:pPr>
      <w:ind w:left="200" w:hanging="200" w:hangingChars="200"/>
      <w:contextualSpacing/>
    </w:pPr>
  </w:style>
  <w:style w:type="paragraph" w:styleId="37">
    <w:name w:val="toc 6"/>
    <w:basedOn w:val="1"/>
    <w:next w:val="1"/>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38">
    <w:name w:val="Body Text Indent 3"/>
    <w:basedOn w:val="1"/>
    <w:link w:val="91"/>
    <w:qFormat/>
    <w:uiPriority w:val="0"/>
    <w:pPr>
      <w:autoSpaceDE/>
      <w:autoSpaceDN/>
      <w:adjustRightInd/>
      <w:ind w:firstLine="435"/>
    </w:pPr>
    <w:rPr>
      <w:rFonts w:asciiTheme="minorHAnsi" w:hAnsiTheme="minorHAnsi" w:eastAsiaTheme="minorEastAsia" w:cstheme="minorBidi"/>
      <w:color w:val="auto"/>
      <w:kern w:val="2"/>
      <w:szCs w:val="24"/>
    </w:rPr>
  </w:style>
  <w:style w:type="paragraph" w:styleId="39">
    <w:name w:val="toc 2"/>
    <w:basedOn w:val="1"/>
    <w:next w:val="1"/>
    <w:qFormat/>
    <w:uiPriority w:val="0"/>
    <w:pPr>
      <w:tabs>
        <w:tab w:val="right" w:leader="dot" w:pos="8296"/>
      </w:tabs>
      <w:autoSpaceDE/>
      <w:autoSpaceDN/>
      <w:adjustRightInd/>
      <w:spacing w:line="360" w:lineRule="auto"/>
      <w:ind w:left="240" w:firstLine="44" w:firstLineChars="22"/>
      <w:jc w:val="left"/>
    </w:pPr>
    <w:rPr>
      <w:rFonts w:ascii="Calibri" w:hAnsi="Calibri"/>
      <w:smallCaps/>
      <w:color w:val="auto"/>
      <w:kern w:val="2"/>
      <w:sz w:val="20"/>
      <w:szCs w:val="20"/>
    </w:rPr>
  </w:style>
  <w:style w:type="paragraph" w:styleId="40">
    <w:name w:val="toc 9"/>
    <w:basedOn w:val="1"/>
    <w:next w:val="1"/>
    <w:qFormat/>
    <w:uiPriority w:val="0"/>
    <w:pPr>
      <w:autoSpaceDE/>
      <w:autoSpaceDN/>
      <w:adjustRightInd/>
      <w:spacing w:line="360" w:lineRule="auto"/>
      <w:ind w:left="1920" w:firstLine="200" w:firstLineChars="200"/>
      <w:jc w:val="left"/>
    </w:pPr>
    <w:rPr>
      <w:rFonts w:ascii="Calibri" w:hAnsi="Calibri"/>
      <w:color w:val="auto"/>
      <w:kern w:val="2"/>
      <w:sz w:val="18"/>
      <w:szCs w:val="18"/>
    </w:rPr>
  </w:style>
  <w:style w:type="paragraph" w:styleId="41">
    <w:name w:val="Body Text 2"/>
    <w:basedOn w:val="1"/>
    <w:link w:val="202"/>
    <w:qFormat/>
    <w:uiPriority w:val="0"/>
    <w:pPr>
      <w:autoSpaceDE/>
      <w:autoSpaceDN/>
      <w:adjustRightInd/>
      <w:spacing w:after="120" w:line="480" w:lineRule="auto"/>
      <w:ind w:left="425" w:hanging="425"/>
    </w:pPr>
    <w:rPr>
      <w:kern w:val="2"/>
      <w:szCs w:val="22"/>
    </w:rPr>
  </w:style>
  <w:style w:type="paragraph" w:styleId="42">
    <w:name w:val="HTML Preformatted"/>
    <w:basedOn w:val="1"/>
    <w:link w:val="88"/>
    <w:qFormat/>
    <w:uiPriority w:val="0"/>
    <w:pPr>
      <w:autoSpaceDE/>
      <w:autoSpaceDN/>
      <w:adjustRightInd/>
    </w:pPr>
    <w:rPr>
      <w:rFonts w:ascii="Arial Unicode MS" w:hAnsi="Arial Unicode MS" w:eastAsia="Arial Unicode MS" w:cstheme="minorBidi"/>
      <w:color w:val="auto"/>
      <w:kern w:val="2"/>
      <w:szCs w:val="22"/>
    </w:rPr>
  </w:style>
  <w:style w:type="paragraph" w:styleId="43">
    <w:name w:val="Normal (Web)"/>
    <w:basedOn w:val="1"/>
    <w:link w:val="81"/>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44">
    <w:name w:val="index 1"/>
    <w:basedOn w:val="1"/>
    <w:next w:val="1"/>
    <w:qFormat/>
    <w:uiPriority w:val="0"/>
    <w:pPr>
      <w:autoSpaceDE/>
      <w:autoSpaceDN/>
      <w:spacing w:line="360" w:lineRule="atLeast"/>
      <w:jc w:val="center"/>
      <w:textAlignment w:val="baseline"/>
    </w:pPr>
    <w:rPr>
      <w:rFonts w:ascii="Arial" w:hAnsi="Arial"/>
      <w:color w:val="auto"/>
      <w:kern w:val="2"/>
    </w:rPr>
  </w:style>
  <w:style w:type="paragraph" w:styleId="45">
    <w:name w:val="Title"/>
    <w:basedOn w:val="1"/>
    <w:link w:val="201"/>
    <w:qFormat/>
    <w:uiPriority w:val="0"/>
    <w:pPr>
      <w:autoSpaceDE/>
      <w:autoSpaceDN/>
      <w:adjustRightInd/>
      <w:spacing w:before="240" w:after="60"/>
      <w:jc w:val="center"/>
      <w:outlineLvl w:val="0"/>
    </w:pPr>
    <w:rPr>
      <w:rFonts w:ascii="Arial" w:hAnsi="Arial"/>
      <w:b/>
      <w:bCs/>
      <w:kern w:val="2"/>
      <w:sz w:val="32"/>
      <w:szCs w:val="32"/>
    </w:rPr>
  </w:style>
  <w:style w:type="paragraph" w:styleId="46">
    <w:name w:val="annotation subject"/>
    <w:basedOn w:val="19"/>
    <w:next w:val="19"/>
    <w:link w:val="104"/>
    <w:qFormat/>
    <w:uiPriority w:val="0"/>
    <w:pPr>
      <w:autoSpaceDE/>
      <w:autoSpaceDN/>
      <w:adjustRightInd/>
    </w:pPr>
    <w:rPr>
      <w:b/>
      <w:bCs/>
      <w:color w:val="auto"/>
      <w:kern w:val="2"/>
      <w:szCs w:val="24"/>
    </w:rPr>
  </w:style>
  <w:style w:type="paragraph" w:styleId="47">
    <w:name w:val="Body Text First Indent 2"/>
    <w:basedOn w:val="15"/>
    <w:unhideWhenUsed/>
    <w:qFormat/>
    <w:uiPriority w:val="99"/>
    <w:pPr>
      <w:spacing w:before="100" w:beforeAutospacing="1"/>
      <w:ind w:firstLine="420" w:firstLineChars="200"/>
    </w:pPr>
  </w:style>
  <w:style w:type="table" w:styleId="49">
    <w:name w:val="Table Grid"/>
    <w:basedOn w:val="4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0"/>
    <w:rPr>
      <w:b/>
      <w:bCs/>
    </w:rPr>
  </w:style>
  <w:style w:type="character" w:styleId="52">
    <w:name w:val="page number"/>
    <w:basedOn w:val="50"/>
    <w:qFormat/>
    <w:uiPriority w:val="0"/>
  </w:style>
  <w:style w:type="character" w:styleId="53">
    <w:name w:val="Emphasis"/>
    <w:qFormat/>
    <w:uiPriority w:val="0"/>
    <w:rPr>
      <w:color w:val="CC0000"/>
    </w:rPr>
  </w:style>
  <w:style w:type="character" w:styleId="54">
    <w:name w:val="Hyperlink"/>
    <w:basedOn w:val="50"/>
    <w:qFormat/>
    <w:uiPriority w:val="0"/>
    <w:rPr>
      <w:color w:val="0000FF"/>
      <w:u w:val="single"/>
    </w:rPr>
  </w:style>
  <w:style w:type="character" w:styleId="55">
    <w:name w:val="annotation reference"/>
    <w:qFormat/>
    <w:uiPriority w:val="0"/>
    <w:rPr>
      <w:sz w:val="21"/>
      <w:szCs w:val="21"/>
    </w:rPr>
  </w:style>
  <w:style w:type="paragraph" w:customStyle="1" w:styleId="56">
    <w:name w:val="Body Text 31"/>
    <w:basedOn w:val="1"/>
    <w:qFormat/>
    <w:uiPriority w:val="0"/>
    <w:pPr>
      <w:spacing w:after="120" w:afterLines="0"/>
    </w:pPr>
    <w:rPr>
      <w:sz w:val="16"/>
      <w:szCs w:val="16"/>
    </w:rPr>
  </w:style>
  <w:style w:type="paragraph" w:customStyle="1" w:styleId="57">
    <w:name w:val="Body Text First Indent 21"/>
    <w:basedOn w:val="58"/>
    <w:qFormat/>
    <w:uiPriority w:val="0"/>
    <w:pPr>
      <w:ind w:firstLine="420"/>
    </w:pPr>
    <w:rPr>
      <w:rFonts w:cs="宋体"/>
    </w:rPr>
  </w:style>
  <w:style w:type="paragraph" w:customStyle="1" w:styleId="58">
    <w:name w:val="Body Text Indent1"/>
    <w:basedOn w:val="1"/>
    <w:next w:val="1"/>
    <w:qFormat/>
    <w:uiPriority w:val="0"/>
    <w:pPr>
      <w:spacing w:after="120"/>
      <w:ind w:left="420" w:leftChars="200"/>
    </w:pPr>
  </w:style>
  <w:style w:type="paragraph" w:customStyle="1" w:styleId="59">
    <w:name w:val="表格文字"/>
    <w:basedOn w:val="60"/>
    <w:next w:val="20"/>
    <w:qFormat/>
    <w:uiPriority w:val="0"/>
    <w:pPr>
      <w:widowControl w:val="0"/>
      <w:adjustRightInd w:val="0"/>
      <w:spacing w:line="420" w:lineRule="atLeast"/>
      <w:textAlignment w:val="baseline"/>
    </w:pPr>
  </w:style>
  <w:style w:type="paragraph" w:customStyle="1" w:styleId="60">
    <w:name w:val="表格文字（两侧对齐）"/>
    <w:basedOn w:val="1"/>
    <w:qFormat/>
    <w:uiPriority w:val="0"/>
    <w:pPr>
      <w:autoSpaceDE/>
      <w:autoSpaceDN/>
      <w:adjustRightInd/>
      <w:snapToGrid w:val="0"/>
    </w:pPr>
    <w:rPr>
      <w:color w:val="auto"/>
      <w:sz w:val="20"/>
      <w:szCs w:val="24"/>
    </w:rPr>
  </w:style>
  <w:style w:type="paragraph" w:customStyle="1" w:styleId="61">
    <w:name w:val="表格"/>
    <w:basedOn w:val="1"/>
    <w:qFormat/>
    <w:uiPriority w:val="0"/>
    <w:pPr>
      <w:jc w:val="center"/>
      <w:textAlignment w:val="center"/>
    </w:pPr>
    <w:rPr>
      <w:rFonts w:ascii="华文细黑" w:hAnsi="华文细黑"/>
      <w:kern w:val="0"/>
      <w:sz w:val="20"/>
      <w:szCs w:val="20"/>
    </w:rPr>
  </w:style>
  <w:style w:type="character" w:customStyle="1" w:styleId="62">
    <w:name w:val="标题 1 字符"/>
    <w:basedOn w:val="50"/>
    <w:link w:val="2"/>
    <w:qFormat/>
    <w:uiPriority w:val="0"/>
    <w:rPr>
      <w:rFonts w:ascii="Times New Roman" w:hAnsi="Times New Roman" w:eastAsia="宋体" w:cs="Times New Roman"/>
      <w:b/>
      <w:color w:val="000000"/>
      <w:kern w:val="44"/>
      <w:sz w:val="44"/>
      <w:szCs w:val="21"/>
    </w:rPr>
  </w:style>
  <w:style w:type="character" w:customStyle="1" w:styleId="63">
    <w:name w:val="标题 2 字符"/>
    <w:basedOn w:val="50"/>
    <w:link w:val="3"/>
    <w:qFormat/>
    <w:uiPriority w:val="0"/>
    <w:rPr>
      <w:rFonts w:ascii="Arial" w:hAnsi="Arial" w:eastAsia="黑体" w:cs="Times New Roman"/>
      <w:b/>
      <w:bCs/>
      <w:color w:val="000000"/>
      <w:sz w:val="32"/>
      <w:szCs w:val="32"/>
    </w:rPr>
  </w:style>
  <w:style w:type="character" w:customStyle="1" w:styleId="64">
    <w:name w:val="标题 3 字符"/>
    <w:basedOn w:val="50"/>
    <w:link w:val="4"/>
    <w:qFormat/>
    <w:uiPriority w:val="0"/>
    <w:rPr>
      <w:rFonts w:ascii="Times New Roman" w:hAnsi="Times New Roman" w:eastAsia="宋体" w:cs="Times New Roman"/>
      <w:b/>
      <w:bCs/>
      <w:color w:val="000000"/>
      <w:kern w:val="0"/>
      <w:sz w:val="32"/>
      <w:szCs w:val="32"/>
    </w:rPr>
  </w:style>
  <w:style w:type="character" w:customStyle="1" w:styleId="65">
    <w:name w:val="标题 4 字符"/>
    <w:basedOn w:val="50"/>
    <w:link w:val="5"/>
    <w:qFormat/>
    <w:uiPriority w:val="0"/>
    <w:rPr>
      <w:rFonts w:ascii="Cambria" w:hAnsi="Cambria" w:eastAsia="黑体" w:cs="Times New Roman"/>
      <w:b/>
      <w:bCs/>
      <w:sz w:val="24"/>
      <w:szCs w:val="28"/>
    </w:rPr>
  </w:style>
  <w:style w:type="character" w:customStyle="1" w:styleId="66">
    <w:name w:val="正文文字2 Char"/>
    <w:link w:val="67"/>
    <w:qFormat/>
    <w:uiPriority w:val="0"/>
    <w:rPr>
      <w:rFonts w:ascii="Arial" w:eastAsia="黑体"/>
    </w:rPr>
  </w:style>
  <w:style w:type="paragraph" w:customStyle="1" w:styleId="67">
    <w:name w:val="正文文字2"/>
    <w:basedOn w:val="20"/>
    <w:link w:val="66"/>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68">
    <w:name w:val="列出段落 Char Char"/>
    <w:link w:val="69"/>
    <w:qFormat/>
    <w:uiPriority w:val="0"/>
    <w:rPr>
      <w:rFonts w:ascii="Calibri" w:hAnsi="Calibri"/>
    </w:rPr>
  </w:style>
  <w:style w:type="paragraph" w:customStyle="1" w:styleId="69">
    <w:name w:val="列表段落1"/>
    <w:basedOn w:val="1"/>
    <w:link w:val="68"/>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70">
    <w:name w:val="列表段落 字符"/>
    <w:link w:val="71"/>
    <w:qFormat/>
    <w:uiPriority w:val="0"/>
    <w:rPr>
      <w:rFonts w:ascii="Calibri" w:hAnsi="Calibri"/>
    </w:rPr>
  </w:style>
  <w:style w:type="paragraph" w:styleId="71">
    <w:name w:val="List Paragraph"/>
    <w:basedOn w:val="1"/>
    <w:link w:val="70"/>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72">
    <w:name w:val="日期 Char1"/>
    <w:qFormat/>
    <w:uiPriority w:val="0"/>
    <w:rPr>
      <w:kern w:val="2"/>
      <w:sz w:val="21"/>
      <w:szCs w:val="24"/>
    </w:rPr>
  </w:style>
  <w:style w:type="character" w:customStyle="1" w:styleId="73">
    <w:name w:val="Char Char3"/>
    <w:basedOn w:val="50"/>
    <w:qFormat/>
    <w:uiPriority w:val="0"/>
    <w:rPr>
      <w:rFonts w:ascii="宋体" w:hAnsi="Courier New" w:eastAsia="宋体"/>
      <w:sz w:val="24"/>
      <w:szCs w:val="24"/>
      <w:lang w:bidi="ar-SA"/>
    </w:rPr>
  </w:style>
  <w:style w:type="character" w:customStyle="1" w:styleId="74">
    <w:name w:val="正文缩进 字符"/>
    <w:basedOn w:val="50"/>
    <w:link w:val="14"/>
    <w:qFormat/>
    <w:uiPriority w:val="0"/>
  </w:style>
  <w:style w:type="character" w:customStyle="1" w:styleId="75">
    <w:name w:val="正文文本缩进 字符"/>
    <w:basedOn w:val="50"/>
    <w:qFormat/>
    <w:uiPriority w:val="0"/>
    <w:rPr>
      <w:rFonts w:eastAsia="宋体"/>
      <w:color w:val="000000"/>
      <w:sz w:val="21"/>
      <w:szCs w:val="21"/>
      <w:lang w:val="en-US" w:eastAsia="zh-CN" w:bidi="ar-SA"/>
    </w:rPr>
  </w:style>
  <w:style w:type="character" w:customStyle="1" w:styleId="76">
    <w:name w:val="15"/>
    <w:basedOn w:val="50"/>
    <w:qFormat/>
    <w:uiPriority w:val="0"/>
    <w:rPr>
      <w:rFonts w:hint="default" w:ascii="Lucida Sans" w:hAnsi="Lucida Sans"/>
    </w:rPr>
  </w:style>
  <w:style w:type="character" w:customStyle="1" w:styleId="77">
    <w:name w:val="jtz3 Char"/>
    <w:qFormat/>
    <w:uiPriority w:val="0"/>
    <w:rPr>
      <w:rFonts w:eastAsia="宋体"/>
      <w:b/>
      <w:bCs/>
      <w:kern w:val="2"/>
      <w:sz w:val="28"/>
      <w:szCs w:val="32"/>
      <w:lang w:val="en-US" w:eastAsia="zh-CN" w:bidi="ar-SA"/>
    </w:rPr>
  </w:style>
  <w:style w:type="character" w:customStyle="1" w:styleId="78">
    <w:name w:val="页脚 字符"/>
    <w:basedOn w:val="50"/>
    <w:link w:val="31"/>
    <w:qFormat/>
    <w:uiPriority w:val="99"/>
    <w:rPr>
      <w:color w:val="000000"/>
      <w:sz w:val="18"/>
      <w:szCs w:val="18"/>
    </w:rPr>
  </w:style>
  <w:style w:type="character" w:customStyle="1" w:styleId="79">
    <w:name w:val="页眉 字符"/>
    <w:basedOn w:val="50"/>
    <w:link w:val="32"/>
    <w:qFormat/>
    <w:uiPriority w:val="99"/>
    <w:rPr>
      <w:color w:val="000000"/>
      <w:sz w:val="18"/>
      <w:szCs w:val="18"/>
    </w:rPr>
  </w:style>
  <w:style w:type="character" w:customStyle="1" w:styleId="80">
    <w:name w:val="jtz2 Char1"/>
    <w:qFormat/>
    <w:uiPriority w:val="0"/>
    <w:rPr>
      <w:rFonts w:ascii="Cambria" w:hAnsi="Cambria" w:eastAsia="宋体"/>
      <w:b/>
      <w:bCs/>
      <w:kern w:val="2"/>
      <w:sz w:val="30"/>
      <w:szCs w:val="32"/>
      <w:lang w:val="en-US" w:eastAsia="zh-CN" w:bidi="ar-SA"/>
    </w:rPr>
  </w:style>
  <w:style w:type="character" w:customStyle="1" w:styleId="81">
    <w:name w:val="普通(网站) 字符"/>
    <w:basedOn w:val="50"/>
    <w:link w:val="43"/>
    <w:qFormat/>
    <w:uiPriority w:val="0"/>
    <w:rPr>
      <w:rFonts w:ascii="宋体" w:hAnsi="宋体"/>
      <w:color w:val="000000"/>
      <w:sz w:val="24"/>
      <w:szCs w:val="24"/>
    </w:rPr>
  </w:style>
  <w:style w:type="character" w:customStyle="1" w:styleId="82">
    <w:name w:val="Char Char13"/>
    <w:qFormat/>
    <w:uiPriority w:val="0"/>
    <w:rPr>
      <w:rFonts w:eastAsia="宋体"/>
      <w:b/>
      <w:bCs/>
      <w:kern w:val="44"/>
      <w:sz w:val="44"/>
      <w:szCs w:val="44"/>
      <w:lang w:val="en-US" w:eastAsia="zh-CN" w:bidi="ar-SA"/>
    </w:rPr>
  </w:style>
  <w:style w:type="character" w:customStyle="1" w:styleId="83">
    <w:name w:val="Char Char17"/>
    <w:qFormat/>
    <w:uiPriority w:val="0"/>
    <w:rPr>
      <w:rFonts w:ascii="Calibri" w:hAnsi="Calibri" w:eastAsia="宋体" w:cs="Times New Roman"/>
    </w:rPr>
  </w:style>
  <w:style w:type="character" w:customStyle="1" w:styleId="84">
    <w:name w:val="正文文本缩进 2 Char1"/>
    <w:qFormat/>
    <w:uiPriority w:val="0"/>
    <w:rPr>
      <w:kern w:val="2"/>
      <w:sz w:val="21"/>
      <w:szCs w:val="24"/>
    </w:rPr>
  </w:style>
  <w:style w:type="character" w:customStyle="1" w:styleId="85">
    <w:name w:val="param-name"/>
    <w:qFormat/>
    <w:uiPriority w:val="0"/>
  </w:style>
  <w:style w:type="character" w:customStyle="1" w:styleId="86">
    <w:name w:val="01 正文样式 Char"/>
    <w:link w:val="87"/>
    <w:qFormat/>
    <w:uiPriority w:val="0"/>
    <w:rPr>
      <w:sz w:val="24"/>
    </w:rPr>
  </w:style>
  <w:style w:type="paragraph" w:customStyle="1" w:styleId="87">
    <w:name w:val="01 正文样式"/>
    <w:basedOn w:val="1"/>
    <w:link w:val="86"/>
    <w:qFormat/>
    <w:uiPriority w:val="0"/>
    <w:pPr>
      <w:autoSpaceDE/>
      <w:autoSpaceDN/>
      <w:adjustRightInd/>
      <w:spacing w:line="560" w:lineRule="exact"/>
      <w:ind w:firstLine="480" w:firstLineChars="200"/>
    </w:pPr>
    <w:rPr>
      <w:rFonts w:asciiTheme="minorHAnsi" w:hAnsiTheme="minorHAnsi" w:eastAsiaTheme="minorEastAsia" w:cstheme="minorBidi"/>
      <w:color w:val="auto"/>
      <w:kern w:val="2"/>
      <w:sz w:val="24"/>
      <w:szCs w:val="22"/>
    </w:rPr>
  </w:style>
  <w:style w:type="character" w:customStyle="1" w:styleId="88">
    <w:name w:val="HTML 预设格式 字符"/>
    <w:basedOn w:val="50"/>
    <w:link w:val="42"/>
    <w:qFormat/>
    <w:uiPriority w:val="0"/>
    <w:rPr>
      <w:rFonts w:ascii="Arial Unicode MS" w:hAnsi="Arial Unicode MS" w:eastAsia="Arial Unicode MS"/>
    </w:rPr>
  </w:style>
  <w:style w:type="character" w:customStyle="1" w:styleId="89">
    <w:name w:val="签名 字符"/>
    <w:basedOn w:val="50"/>
    <w:link w:val="33"/>
    <w:qFormat/>
    <w:uiPriority w:val="0"/>
    <w:rPr>
      <w:rFonts w:ascii="Arial" w:hAnsi="Arial"/>
      <w:spacing w:val="-5"/>
      <w:sz w:val="24"/>
    </w:rPr>
  </w:style>
  <w:style w:type="character" w:customStyle="1" w:styleId="90">
    <w:name w:val="jtz2 Char"/>
    <w:qFormat/>
    <w:uiPriority w:val="0"/>
    <w:rPr>
      <w:rFonts w:ascii="Arial" w:hAnsi="Arial" w:eastAsia="宋体"/>
      <w:b/>
      <w:bCs/>
      <w:kern w:val="2"/>
      <w:sz w:val="30"/>
      <w:szCs w:val="32"/>
      <w:lang w:val="en-US" w:eastAsia="zh-CN" w:bidi="ar-SA"/>
    </w:rPr>
  </w:style>
  <w:style w:type="character" w:customStyle="1" w:styleId="91">
    <w:name w:val="正文文本缩进 3 字符"/>
    <w:basedOn w:val="50"/>
    <w:link w:val="38"/>
    <w:qFormat/>
    <w:uiPriority w:val="0"/>
    <w:rPr>
      <w:szCs w:val="24"/>
    </w:rPr>
  </w:style>
  <w:style w:type="character" w:customStyle="1" w:styleId="92">
    <w:name w:val="纯文本 字符"/>
    <w:basedOn w:val="50"/>
    <w:link w:val="25"/>
    <w:qFormat/>
    <w:uiPriority w:val="0"/>
    <w:rPr>
      <w:sz w:val="24"/>
    </w:rPr>
  </w:style>
  <w:style w:type="character" w:customStyle="1" w:styleId="93">
    <w:name w:val="01正文样式 Char"/>
    <w:link w:val="94"/>
    <w:qFormat/>
    <w:uiPriority w:val="0"/>
    <w:rPr>
      <w:rFonts w:ascii="Tahoma" w:hAnsi="Tahoma" w:eastAsia="仿宋_GB2312"/>
      <w:sz w:val="28"/>
    </w:rPr>
  </w:style>
  <w:style w:type="paragraph" w:customStyle="1" w:styleId="94">
    <w:name w:val="01正文样式"/>
    <w:basedOn w:val="1"/>
    <w:link w:val="93"/>
    <w:qFormat/>
    <w:uiPriority w:val="0"/>
    <w:pPr>
      <w:autoSpaceDE/>
      <w:autoSpaceDN/>
      <w:adjustRightInd/>
      <w:ind w:firstLine="480"/>
    </w:pPr>
    <w:rPr>
      <w:rFonts w:ascii="Tahoma" w:hAnsi="Tahoma" w:eastAsia="仿宋_GB2312" w:cstheme="minorBidi"/>
      <w:color w:val="auto"/>
      <w:kern w:val="2"/>
      <w:sz w:val="28"/>
      <w:szCs w:val="22"/>
    </w:rPr>
  </w:style>
  <w:style w:type="character" w:customStyle="1" w:styleId="95">
    <w:name w:val="日期 字符"/>
    <w:basedOn w:val="50"/>
    <w:link w:val="28"/>
    <w:qFormat/>
    <w:uiPriority w:val="0"/>
    <w:rPr>
      <w:color w:val="000000"/>
      <w:szCs w:val="21"/>
    </w:rPr>
  </w:style>
  <w:style w:type="character" w:customStyle="1" w:styleId="96">
    <w:name w:val="Char Char11"/>
    <w:basedOn w:val="50"/>
    <w:qFormat/>
    <w:uiPriority w:val="0"/>
    <w:rPr>
      <w:rFonts w:ascii="Arial" w:hAnsi="Arial" w:eastAsia="黑体"/>
      <w:b/>
      <w:kern w:val="2"/>
      <w:sz w:val="32"/>
      <w:szCs w:val="32"/>
      <w:lang w:val="en-US" w:eastAsia="zh-CN" w:bidi="ar-SA"/>
    </w:rPr>
  </w:style>
  <w:style w:type="character" w:customStyle="1" w:styleId="97">
    <w:name w:val="font01"/>
    <w:basedOn w:val="50"/>
    <w:qFormat/>
    <w:uiPriority w:val="0"/>
    <w:rPr>
      <w:rFonts w:hint="eastAsia" w:ascii="宋体" w:hAnsi="宋体" w:eastAsia="宋体" w:cs="宋体"/>
      <w:color w:val="000000"/>
      <w:sz w:val="24"/>
      <w:szCs w:val="24"/>
    </w:rPr>
  </w:style>
  <w:style w:type="character" w:customStyle="1" w:styleId="98">
    <w:name w:val="p0 Char"/>
    <w:link w:val="99"/>
    <w:qFormat/>
    <w:uiPriority w:val="0"/>
    <w:rPr>
      <w:szCs w:val="21"/>
    </w:rPr>
  </w:style>
  <w:style w:type="paragraph" w:customStyle="1" w:styleId="99">
    <w:name w:val="p0"/>
    <w:next w:val="26"/>
    <w:link w:val="98"/>
    <w:qFormat/>
    <w:uiPriority w:val="0"/>
    <w:pPr>
      <w:snapToGrid w:val="0"/>
    </w:pPr>
    <w:rPr>
      <w:rFonts w:asciiTheme="minorHAnsi" w:hAnsiTheme="minorHAnsi" w:eastAsiaTheme="minorEastAsia" w:cstheme="minorBidi"/>
      <w:kern w:val="2"/>
      <w:sz w:val="21"/>
      <w:szCs w:val="21"/>
      <w:lang w:val="en-US" w:eastAsia="zh-CN" w:bidi="ar-SA"/>
    </w:rPr>
  </w:style>
  <w:style w:type="character" w:customStyle="1" w:styleId="100">
    <w:name w:val="Font Style15"/>
    <w:qFormat/>
    <w:uiPriority w:val="0"/>
    <w:rPr>
      <w:rFonts w:ascii="MingLiU" w:eastAsia="MingLiU"/>
      <w:sz w:val="58"/>
    </w:rPr>
  </w:style>
  <w:style w:type="character" w:customStyle="1" w:styleId="101">
    <w:name w:val="正文 1.5 倍行距 Char"/>
    <w:link w:val="102"/>
    <w:qFormat/>
    <w:uiPriority w:val="0"/>
    <w:rPr>
      <w:sz w:val="24"/>
    </w:rPr>
  </w:style>
  <w:style w:type="paragraph" w:customStyle="1" w:styleId="102">
    <w:name w:val="正文 1.5 倍行距"/>
    <w:basedOn w:val="1"/>
    <w:link w:val="101"/>
    <w:qFormat/>
    <w:uiPriority w:val="0"/>
    <w:pPr>
      <w:spacing w:line="360" w:lineRule="auto"/>
      <w:ind w:firstLine="480" w:firstLineChars="200"/>
      <w:textAlignment w:val="baseline"/>
    </w:pPr>
    <w:rPr>
      <w:rFonts w:asciiTheme="minorHAnsi" w:hAnsiTheme="minorHAnsi" w:eastAsiaTheme="minorEastAsia" w:cstheme="minorBidi"/>
      <w:color w:val="auto"/>
      <w:kern w:val="2"/>
      <w:sz w:val="24"/>
      <w:szCs w:val="22"/>
    </w:rPr>
  </w:style>
  <w:style w:type="character" w:customStyle="1" w:styleId="103">
    <w:name w:val="批注文字 字符"/>
    <w:basedOn w:val="50"/>
    <w:link w:val="19"/>
    <w:qFormat/>
    <w:uiPriority w:val="0"/>
    <w:rPr>
      <w:rFonts w:ascii="Times New Roman" w:hAnsi="Times New Roman" w:eastAsia="宋体" w:cs="Times New Roman"/>
      <w:color w:val="000000"/>
      <w:kern w:val="0"/>
      <w:szCs w:val="21"/>
    </w:rPr>
  </w:style>
  <w:style w:type="character" w:customStyle="1" w:styleId="104">
    <w:name w:val="批注主题 字符"/>
    <w:basedOn w:val="103"/>
    <w:link w:val="46"/>
    <w:qFormat/>
    <w:uiPriority w:val="0"/>
    <w:rPr>
      <w:rFonts w:ascii="Times New Roman" w:hAnsi="Times New Roman" w:eastAsia="宋体" w:cs="Times New Roman"/>
      <w:b/>
      <w:bCs/>
      <w:color w:val="000000"/>
      <w:kern w:val="0"/>
      <w:szCs w:val="24"/>
    </w:rPr>
  </w:style>
  <w:style w:type="character" w:customStyle="1" w:styleId="105">
    <w:name w:val="正文文本缩进 3 字符1"/>
    <w:basedOn w:val="50"/>
    <w:semiHidden/>
    <w:qFormat/>
    <w:uiPriority w:val="99"/>
    <w:rPr>
      <w:rFonts w:ascii="Times New Roman" w:hAnsi="Times New Roman" w:eastAsia="宋体" w:cs="Times New Roman"/>
      <w:color w:val="000000"/>
      <w:kern w:val="0"/>
      <w:sz w:val="16"/>
      <w:szCs w:val="16"/>
    </w:rPr>
  </w:style>
  <w:style w:type="character" w:customStyle="1" w:styleId="106">
    <w:name w:val="纯文本 字符1"/>
    <w:basedOn w:val="50"/>
    <w:semiHidden/>
    <w:qFormat/>
    <w:uiPriority w:val="99"/>
    <w:rPr>
      <w:rFonts w:hAnsi="Courier New" w:cs="Courier New" w:asciiTheme="minorEastAsia"/>
      <w:color w:val="000000"/>
      <w:kern w:val="0"/>
      <w:szCs w:val="21"/>
    </w:rPr>
  </w:style>
  <w:style w:type="character" w:customStyle="1" w:styleId="107">
    <w:name w:val="批注框文本 字符"/>
    <w:basedOn w:val="50"/>
    <w:link w:val="30"/>
    <w:qFormat/>
    <w:uiPriority w:val="0"/>
    <w:rPr>
      <w:rFonts w:ascii="Times New Roman" w:hAnsi="Times New Roman" w:eastAsia="宋体" w:cs="Times New Roman"/>
      <w:sz w:val="18"/>
      <w:szCs w:val="18"/>
    </w:rPr>
  </w:style>
  <w:style w:type="character" w:customStyle="1" w:styleId="108">
    <w:name w:val="文档结构图 字符"/>
    <w:basedOn w:val="50"/>
    <w:link w:val="18"/>
    <w:qFormat/>
    <w:uiPriority w:val="0"/>
    <w:rPr>
      <w:rFonts w:ascii="Times New Roman" w:hAnsi="Times New Roman" w:eastAsia="宋体" w:cs="Times New Roman"/>
      <w:szCs w:val="24"/>
      <w:shd w:val="clear" w:color="auto" w:fill="000080"/>
    </w:rPr>
  </w:style>
  <w:style w:type="character" w:customStyle="1" w:styleId="109">
    <w:name w:val="正文文本缩进 字符1"/>
    <w:basedOn w:val="50"/>
    <w:qFormat/>
    <w:uiPriority w:val="0"/>
    <w:rPr>
      <w:rFonts w:ascii="Times New Roman" w:hAnsi="Times New Roman" w:eastAsia="宋体" w:cs="Times New Roman"/>
      <w:color w:val="000000"/>
      <w:kern w:val="0"/>
      <w:szCs w:val="21"/>
    </w:rPr>
  </w:style>
  <w:style w:type="character" w:customStyle="1" w:styleId="110">
    <w:name w:val="正文文本首行缩进 2 字符"/>
    <w:basedOn w:val="109"/>
    <w:qFormat/>
    <w:uiPriority w:val="0"/>
    <w:rPr>
      <w:rFonts w:ascii="Calibri" w:hAnsi="Calibri" w:eastAsia="宋体" w:cs="Times New Roman"/>
      <w:color w:val="000000"/>
      <w:kern w:val="0"/>
      <w:sz w:val="24"/>
      <w:szCs w:val="21"/>
    </w:rPr>
  </w:style>
  <w:style w:type="character" w:customStyle="1" w:styleId="111">
    <w:name w:val="HTML 预设格式 字符1"/>
    <w:basedOn w:val="50"/>
    <w:semiHidden/>
    <w:qFormat/>
    <w:uiPriority w:val="99"/>
    <w:rPr>
      <w:rFonts w:ascii="Courier New" w:hAnsi="Courier New" w:eastAsia="宋体" w:cs="Courier New"/>
      <w:color w:val="000000"/>
      <w:kern w:val="0"/>
      <w:sz w:val="20"/>
      <w:szCs w:val="20"/>
    </w:rPr>
  </w:style>
  <w:style w:type="character" w:customStyle="1" w:styleId="112">
    <w:name w:val="页脚 字符1"/>
    <w:basedOn w:val="50"/>
    <w:semiHidden/>
    <w:qFormat/>
    <w:uiPriority w:val="99"/>
    <w:rPr>
      <w:rFonts w:ascii="Times New Roman" w:hAnsi="Times New Roman" w:eastAsia="宋体" w:cs="Times New Roman"/>
      <w:color w:val="000000"/>
      <w:kern w:val="0"/>
      <w:sz w:val="18"/>
      <w:szCs w:val="18"/>
    </w:rPr>
  </w:style>
  <w:style w:type="character" w:customStyle="1" w:styleId="113">
    <w:name w:val="正文文本缩进 2 字符"/>
    <w:basedOn w:val="50"/>
    <w:link w:val="29"/>
    <w:qFormat/>
    <w:uiPriority w:val="0"/>
    <w:rPr>
      <w:rFonts w:ascii="仿宋_GB2312" w:hAnsi="Times New Roman" w:eastAsia="仿宋_GB2312" w:cs="Times New Roman"/>
      <w:sz w:val="28"/>
      <w:szCs w:val="28"/>
      <w:lang w:val="en-US" w:eastAsia="zh-CN"/>
    </w:rPr>
  </w:style>
  <w:style w:type="character" w:customStyle="1" w:styleId="114">
    <w:name w:val="签名 字符1"/>
    <w:basedOn w:val="50"/>
    <w:semiHidden/>
    <w:qFormat/>
    <w:uiPriority w:val="99"/>
    <w:rPr>
      <w:rFonts w:ascii="Times New Roman" w:hAnsi="Times New Roman" w:eastAsia="宋体" w:cs="Times New Roman"/>
      <w:color w:val="000000"/>
      <w:kern w:val="0"/>
      <w:szCs w:val="21"/>
    </w:rPr>
  </w:style>
  <w:style w:type="character" w:customStyle="1" w:styleId="115">
    <w:name w:val="日期 字符1"/>
    <w:basedOn w:val="50"/>
    <w:semiHidden/>
    <w:qFormat/>
    <w:uiPriority w:val="99"/>
    <w:rPr>
      <w:rFonts w:ascii="Times New Roman" w:hAnsi="Times New Roman" w:eastAsia="宋体" w:cs="Times New Roman"/>
      <w:color w:val="000000"/>
      <w:kern w:val="0"/>
      <w:szCs w:val="21"/>
    </w:rPr>
  </w:style>
  <w:style w:type="character" w:customStyle="1" w:styleId="116">
    <w:name w:val="正文文本 字符"/>
    <w:basedOn w:val="50"/>
    <w:link w:val="20"/>
    <w:qFormat/>
    <w:uiPriority w:val="0"/>
    <w:rPr>
      <w:rFonts w:ascii="Times New Roman" w:hAnsi="Times New Roman" w:eastAsia="宋体" w:cs="Times New Roman"/>
      <w:color w:val="000000"/>
      <w:kern w:val="0"/>
      <w:szCs w:val="21"/>
    </w:rPr>
  </w:style>
  <w:style w:type="character" w:customStyle="1" w:styleId="117">
    <w:name w:val="页眉 字符1"/>
    <w:basedOn w:val="50"/>
    <w:semiHidden/>
    <w:qFormat/>
    <w:uiPriority w:val="99"/>
    <w:rPr>
      <w:rFonts w:ascii="Times New Roman" w:hAnsi="Times New Roman" w:eastAsia="宋体" w:cs="Times New Roman"/>
      <w:color w:val="000000"/>
      <w:kern w:val="0"/>
      <w:sz w:val="18"/>
      <w:szCs w:val="18"/>
    </w:rPr>
  </w:style>
  <w:style w:type="paragraph" w:customStyle="1" w:styleId="118">
    <w:name w:val="正文段"/>
    <w:basedOn w:val="1"/>
    <w:next w:val="17"/>
    <w:qFormat/>
    <w:uiPriority w:val="0"/>
    <w:pPr>
      <w:widowControl/>
      <w:autoSpaceDE/>
      <w:autoSpaceDN/>
      <w:adjustRightInd/>
      <w:snapToGrid w:val="0"/>
      <w:spacing w:afterLines="50"/>
      <w:ind w:firstLine="200" w:firstLineChars="200"/>
    </w:pPr>
    <w:rPr>
      <w:color w:val="auto"/>
      <w:sz w:val="24"/>
      <w:szCs w:val="20"/>
    </w:rPr>
  </w:style>
  <w:style w:type="paragraph" w:customStyle="1" w:styleId="119">
    <w:name w:val="Char Char Char Char Char Char Char Char Char Char Char Char Char Char Char Char Char Char Char Char Char Char Char Char Char Char Char Char"/>
    <w:basedOn w:val="1"/>
    <w:autoRedefine/>
    <w:qFormat/>
    <w:uiPriority w:val="0"/>
    <w:pPr>
      <w:tabs>
        <w:tab w:val="left" w:pos="360"/>
      </w:tabs>
      <w:autoSpaceDE/>
      <w:autoSpaceDN/>
      <w:adjustRightInd/>
    </w:pPr>
    <w:rPr>
      <w:color w:val="auto"/>
      <w:kern w:val="2"/>
      <w:sz w:val="24"/>
      <w:szCs w:val="24"/>
    </w:rPr>
  </w:style>
  <w:style w:type="paragraph" w:customStyle="1" w:styleId="120">
    <w:name w:val="p20"/>
    <w:basedOn w:val="1"/>
    <w:qFormat/>
    <w:uiPriority w:val="0"/>
    <w:pPr>
      <w:widowControl/>
      <w:autoSpaceDE/>
      <w:autoSpaceDN/>
      <w:adjustRightInd/>
      <w:ind w:left="425" w:firstLine="420"/>
    </w:pPr>
    <w:rPr>
      <w:rFonts w:ascii="Calibri" w:hAnsi="Calibri" w:cs="宋体"/>
      <w:color w:val="auto"/>
    </w:rPr>
  </w:style>
  <w:style w:type="paragraph" w:customStyle="1" w:styleId="121">
    <w:name w:val="p22"/>
    <w:basedOn w:val="1"/>
    <w:qFormat/>
    <w:uiPriority w:val="0"/>
    <w:pPr>
      <w:widowControl/>
      <w:autoSpaceDE/>
      <w:autoSpaceDN/>
      <w:adjustRightInd/>
      <w:jc w:val="left"/>
    </w:pPr>
    <w:rPr>
      <w:color w:val="auto"/>
      <w:sz w:val="18"/>
      <w:szCs w:val="18"/>
    </w:rPr>
  </w:style>
  <w:style w:type="paragraph" w:customStyle="1" w:styleId="122">
    <w:name w:val="列出段落1"/>
    <w:basedOn w:val="1"/>
    <w:qFormat/>
    <w:uiPriority w:val="0"/>
    <w:pPr>
      <w:autoSpaceDE/>
      <w:autoSpaceDN/>
      <w:adjustRightInd/>
      <w:ind w:firstLine="420" w:firstLineChars="200"/>
    </w:pPr>
    <w:rPr>
      <w:color w:val="auto"/>
      <w:kern w:val="2"/>
      <w:szCs w:val="24"/>
    </w:rPr>
  </w:style>
  <w:style w:type="paragraph" w:customStyle="1" w:styleId="123">
    <w:name w:val="p15"/>
    <w:basedOn w:val="1"/>
    <w:qFormat/>
    <w:uiPriority w:val="0"/>
    <w:pPr>
      <w:widowControl/>
      <w:autoSpaceDE/>
      <w:autoSpaceDN/>
      <w:adjustRightInd/>
      <w:snapToGrid w:val="0"/>
    </w:pPr>
  </w:style>
  <w:style w:type="paragraph" w:customStyle="1" w:styleId="124">
    <w:name w:val="Char"/>
    <w:basedOn w:val="1"/>
    <w:qFormat/>
    <w:uiPriority w:val="0"/>
    <w:pPr>
      <w:widowControl/>
      <w:autoSpaceDE/>
      <w:autoSpaceDN/>
      <w:adjustRightInd/>
      <w:spacing w:after="160" w:line="240" w:lineRule="exact"/>
      <w:jc w:val="left"/>
    </w:pPr>
    <w:rPr>
      <w:rFonts w:ascii="Verdana" w:hAnsi="Verdana"/>
      <w:color w:val="auto"/>
      <w:szCs w:val="20"/>
      <w:lang w:eastAsia="en-US"/>
    </w:rPr>
  </w:style>
  <w:style w:type="paragraph" w:customStyle="1" w:styleId="125">
    <w:name w:val="列项"/>
    <w:basedOn w:val="1"/>
    <w:next w:val="1"/>
    <w:qFormat/>
    <w:uiPriority w:val="0"/>
    <w:pPr>
      <w:numPr>
        <w:ilvl w:val="0"/>
        <w:numId w:val="4"/>
      </w:numPr>
      <w:autoSpaceDE/>
      <w:autoSpaceDN/>
      <w:adjustRightInd/>
      <w:spacing w:line="360" w:lineRule="auto"/>
    </w:pPr>
    <w:rPr>
      <w:rFonts w:ascii="宋体" w:hAnsi="宋体"/>
      <w:color w:val="auto"/>
      <w:kern w:val="2"/>
      <w:sz w:val="24"/>
      <w:szCs w:val="22"/>
    </w:rPr>
  </w:style>
  <w:style w:type="paragraph" w:customStyle="1" w:styleId="126">
    <w:name w:val="p16"/>
    <w:basedOn w:val="1"/>
    <w:qFormat/>
    <w:uiPriority w:val="0"/>
    <w:pPr>
      <w:widowControl/>
      <w:autoSpaceDE/>
      <w:autoSpaceDN/>
      <w:adjustRightInd/>
    </w:pPr>
    <w:rPr>
      <w:color w:val="auto"/>
      <w:sz w:val="24"/>
      <w:szCs w:val="24"/>
    </w:rPr>
  </w:style>
  <w:style w:type="paragraph" w:customStyle="1" w:styleId="127">
    <w:name w:val="样式4"/>
    <w:basedOn w:val="2"/>
    <w:qFormat/>
    <w:uiPriority w:val="0"/>
    <w:pPr>
      <w:autoSpaceDE/>
      <w:autoSpaceDN/>
      <w:adjustRightInd/>
      <w:spacing w:line="480" w:lineRule="auto"/>
    </w:pPr>
    <w:rPr>
      <w:bCs/>
      <w:color w:val="auto"/>
      <w:sz w:val="32"/>
      <w:szCs w:val="44"/>
    </w:rPr>
  </w:style>
  <w:style w:type="paragraph" w:customStyle="1" w:styleId="128">
    <w:name w:val="正文文本首行缩进 21"/>
    <w:basedOn w:val="129"/>
    <w:qFormat/>
    <w:uiPriority w:val="0"/>
    <w:pPr>
      <w:ind w:firstLine="420"/>
    </w:pPr>
    <w:rPr>
      <w:rFonts w:cs="宋体"/>
    </w:rPr>
  </w:style>
  <w:style w:type="paragraph" w:customStyle="1" w:styleId="129">
    <w:name w:val="正文文本缩进1"/>
    <w:basedOn w:val="1"/>
    <w:next w:val="1"/>
    <w:qFormat/>
    <w:uiPriority w:val="0"/>
    <w:pPr>
      <w:spacing w:after="120"/>
      <w:ind w:left="420" w:leftChars="200"/>
    </w:pPr>
  </w:style>
  <w:style w:type="paragraph" w:customStyle="1" w:styleId="130">
    <w:name w:val="Char Char Char Char Char Char Char Char Char Char Char Char Char Char Char Char Char Char Char"/>
    <w:basedOn w:val="1"/>
    <w:qFormat/>
    <w:uiPriority w:val="0"/>
    <w:pPr>
      <w:autoSpaceDE/>
      <w:autoSpaceDN/>
      <w:adjustRightInd/>
    </w:pPr>
    <w:rPr>
      <w:color w:val="auto"/>
      <w:kern w:val="2"/>
      <w:szCs w:val="24"/>
    </w:rPr>
  </w:style>
  <w:style w:type="paragraph" w:customStyle="1" w:styleId="131">
    <w:name w:val="p23"/>
    <w:basedOn w:val="1"/>
    <w:qFormat/>
    <w:uiPriority w:val="0"/>
    <w:pPr>
      <w:widowControl/>
      <w:pBdr>
        <w:bottom w:val="single" w:color="000000" w:sz="6" w:space="1"/>
      </w:pBdr>
      <w:autoSpaceDE/>
      <w:autoSpaceDN/>
      <w:adjustRightInd/>
      <w:jc w:val="center"/>
    </w:pPr>
    <w:rPr>
      <w:color w:val="auto"/>
      <w:sz w:val="18"/>
      <w:szCs w:val="18"/>
    </w:rPr>
  </w:style>
  <w:style w:type="paragraph" w:customStyle="1" w:styleId="132">
    <w:name w:val="p21"/>
    <w:basedOn w:val="1"/>
    <w:qFormat/>
    <w:uiPriority w:val="0"/>
    <w:pPr>
      <w:widowControl/>
      <w:autoSpaceDE/>
      <w:autoSpaceDN/>
      <w:adjustRightInd/>
      <w:jc w:val="left"/>
    </w:pPr>
    <w:rPr>
      <w:color w:val="auto"/>
    </w:rPr>
  </w:style>
  <w:style w:type="paragraph" w:customStyle="1" w:styleId="1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4">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题注居中"/>
    <w:basedOn w:val="16"/>
    <w:next w:val="1"/>
    <w:qFormat/>
    <w:uiPriority w:val="0"/>
    <w:pPr>
      <w:spacing w:after="120" w:line="240" w:lineRule="exact"/>
      <w:ind w:firstLine="0" w:firstLineChars="0"/>
      <w:jc w:val="center"/>
    </w:pPr>
    <w:rPr>
      <w:rFonts w:ascii="宋体" w:hAnsi="宋体" w:eastAsia="宋体" w:cs="宋体"/>
      <w:b/>
      <w:sz w:val="21"/>
    </w:rPr>
  </w:style>
  <w:style w:type="paragraph" w:customStyle="1" w:styleId="136">
    <w:name w:val="Char Char Char Char Char Char"/>
    <w:basedOn w:val="1"/>
    <w:qFormat/>
    <w:uiPriority w:val="0"/>
    <w:pPr>
      <w:widowControl/>
      <w:autoSpaceDE/>
      <w:autoSpaceDN/>
      <w:adjustRightInd/>
      <w:spacing w:after="160" w:line="240" w:lineRule="exact"/>
      <w:jc w:val="left"/>
    </w:pPr>
    <w:rPr>
      <w:color w:val="auto"/>
      <w:kern w:val="2"/>
      <w:szCs w:val="24"/>
    </w:rPr>
  </w:style>
  <w:style w:type="paragraph" w:customStyle="1" w:styleId="137">
    <w:name w:val="Char Char Char Char1"/>
    <w:basedOn w:val="1"/>
    <w:qFormat/>
    <w:uiPriority w:val="0"/>
    <w:pPr>
      <w:autoSpaceDE/>
      <w:autoSpaceDN/>
      <w:adjustRightInd/>
    </w:pPr>
    <w:rPr>
      <w:rFonts w:ascii="Tahoma" w:hAnsi="Tahoma"/>
      <w:color w:val="auto"/>
      <w:kern w:val="2"/>
      <w:sz w:val="24"/>
      <w:szCs w:val="20"/>
    </w:rPr>
  </w:style>
  <w:style w:type="paragraph" w:customStyle="1" w:styleId="138">
    <w:name w:val="p17"/>
    <w:basedOn w:val="1"/>
    <w:qFormat/>
    <w:uiPriority w:val="0"/>
    <w:pPr>
      <w:widowControl/>
      <w:autoSpaceDE/>
      <w:autoSpaceDN/>
      <w:adjustRightInd/>
      <w:ind w:left="2520"/>
    </w:pPr>
    <w:rPr>
      <w:color w:val="auto"/>
    </w:rPr>
  </w:style>
  <w:style w:type="paragraph" w:customStyle="1" w:styleId="139">
    <w:name w:val="表格内"/>
    <w:basedOn w:val="1"/>
    <w:qFormat/>
    <w:uiPriority w:val="0"/>
    <w:rPr>
      <w:rFonts w:cs="宋体"/>
      <w:szCs w:val="20"/>
    </w:rPr>
  </w:style>
  <w:style w:type="paragraph" w:customStyle="1" w:styleId="140">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41">
    <w:name w:val="p19"/>
    <w:basedOn w:val="1"/>
    <w:qFormat/>
    <w:uiPriority w:val="0"/>
    <w:pPr>
      <w:widowControl/>
      <w:autoSpaceDE/>
      <w:autoSpaceDN/>
      <w:adjustRightInd/>
      <w:spacing w:before="156" w:after="156" w:line="360" w:lineRule="auto"/>
      <w:ind w:firstLine="420"/>
    </w:pPr>
    <w:rPr>
      <w:color w:val="auto"/>
      <w:sz w:val="24"/>
      <w:szCs w:val="24"/>
    </w:rPr>
  </w:style>
  <w:style w:type="paragraph" w:customStyle="1" w:styleId="142">
    <w:name w:val="Char Char"/>
    <w:basedOn w:val="1"/>
    <w:qFormat/>
    <w:uiPriority w:val="0"/>
    <w:pPr>
      <w:autoSpaceDE/>
      <w:autoSpaceDN/>
      <w:adjustRightInd/>
    </w:pPr>
    <w:rPr>
      <w:rFonts w:ascii="仿宋_GB2312" w:eastAsia="仿宋_GB2312"/>
      <w:b/>
      <w:color w:val="auto"/>
      <w:kern w:val="2"/>
      <w:sz w:val="32"/>
      <w:szCs w:val="32"/>
    </w:rPr>
  </w:style>
  <w:style w:type="paragraph" w:customStyle="1" w:styleId="143">
    <w:name w:val="p18"/>
    <w:basedOn w:val="1"/>
    <w:qFormat/>
    <w:uiPriority w:val="0"/>
    <w:pPr>
      <w:widowControl/>
      <w:autoSpaceDE/>
      <w:autoSpaceDN/>
      <w:adjustRightInd/>
      <w:snapToGrid w:val="0"/>
      <w:jc w:val="left"/>
    </w:pPr>
    <w:rPr>
      <w:sz w:val="24"/>
      <w:szCs w:val="24"/>
    </w:rPr>
  </w:style>
  <w:style w:type="paragraph" w:customStyle="1" w:styleId="144">
    <w:name w:val="标题1"/>
    <w:basedOn w:val="1"/>
    <w:qFormat/>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145">
    <w:name w:val="文档正文"/>
    <w:basedOn w:val="1"/>
    <w:qFormat/>
    <w:uiPriority w:val="0"/>
    <w:pPr>
      <w:autoSpaceDE/>
      <w:autoSpaceDN/>
      <w:spacing w:line="440" w:lineRule="atLeast"/>
      <w:ind w:firstLine="200" w:firstLineChars="200"/>
      <w:textAlignment w:val="baseline"/>
    </w:pPr>
    <w:rPr>
      <w:rFonts w:ascii="宋体"/>
      <w:color w:val="auto"/>
      <w:spacing w:val="4"/>
      <w:sz w:val="24"/>
      <w:szCs w:val="20"/>
    </w:rPr>
  </w:style>
  <w:style w:type="paragraph" w:customStyle="1" w:styleId="146">
    <w:name w:val="样式 正文缩进首行缩进两字 + 小四 首行缩进:  2 字符"/>
    <w:basedOn w:val="14"/>
    <w:qFormat/>
    <w:uiPriority w:val="0"/>
    <w:pPr>
      <w:spacing w:line="360" w:lineRule="auto"/>
      <w:ind w:firstLine="200" w:firstLineChars="200"/>
    </w:pPr>
    <w:rPr>
      <w:rFonts w:cs="宋体"/>
      <w:sz w:val="24"/>
    </w:rPr>
  </w:style>
  <w:style w:type="character" w:customStyle="1" w:styleId="147">
    <w:name w:val="font91"/>
    <w:qFormat/>
    <w:uiPriority w:val="0"/>
    <w:rPr>
      <w:rFonts w:hint="eastAsia" w:ascii="宋体" w:hAnsi="宋体" w:eastAsia="宋体" w:cs="宋体"/>
      <w:color w:val="auto"/>
      <w:sz w:val="18"/>
      <w:szCs w:val="18"/>
      <w:u w:val="none"/>
    </w:rPr>
  </w:style>
  <w:style w:type="paragraph" w:styleId="148">
    <w:name w:val="No Spacing"/>
    <w:link w:val="184"/>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customStyle="1" w:styleId="149">
    <w:name w:val="正文文本 3 字符"/>
    <w:basedOn w:val="50"/>
    <w:qFormat/>
    <w:uiPriority w:val="0"/>
    <w:rPr>
      <w:rFonts w:ascii="Times New Roman" w:hAnsi="Times New Roman" w:eastAsia="宋体" w:cs="Times New Roman"/>
      <w:color w:val="000000"/>
      <w:kern w:val="0"/>
      <w:sz w:val="16"/>
      <w:szCs w:val="16"/>
    </w:rPr>
  </w:style>
  <w:style w:type="paragraph" w:customStyle="1" w:styleId="15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纯文本1"/>
    <w:basedOn w:val="1"/>
    <w:qFormat/>
    <w:uiPriority w:val="0"/>
    <w:pPr>
      <w:autoSpaceDE/>
      <w:autoSpaceDN/>
      <w:adjustRightInd/>
      <w:ind w:firstLine="280" w:firstLineChars="100"/>
    </w:pPr>
    <w:rPr>
      <w:rFonts w:hAnsi="宋体" w:cs="Courier New"/>
      <w:color w:val="auto"/>
      <w:kern w:val="2"/>
      <w:szCs w:val="20"/>
    </w:rPr>
  </w:style>
  <w:style w:type="character" w:customStyle="1" w:styleId="152">
    <w:name w:val="apple-converted-space"/>
    <w:basedOn w:val="50"/>
    <w:qFormat/>
    <w:uiPriority w:val="0"/>
  </w:style>
  <w:style w:type="character" w:customStyle="1" w:styleId="153">
    <w:name w:val="正文文本首行缩进 字符"/>
    <w:basedOn w:val="116"/>
    <w:link w:val="21"/>
    <w:qFormat/>
    <w:uiPriority w:val="0"/>
    <w:rPr>
      <w:rFonts w:ascii="Times New Roman" w:hAnsi="Times New Roman" w:eastAsia="宋体" w:cs="Times New Roman"/>
      <w:color w:val="000000"/>
      <w:kern w:val="0"/>
      <w:sz w:val="21"/>
      <w:szCs w:val="21"/>
    </w:rPr>
  </w:style>
  <w:style w:type="character" w:customStyle="1" w:styleId="154">
    <w:name w:val="标题 5 字符"/>
    <w:basedOn w:val="50"/>
    <w:link w:val="6"/>
    <w:qFormat/>
    <w:uiPriority w:val="0"/>
    <w:rPr>
      <w:rFonts w:ascii="Times New Roman" w:hAnsi="Times New Roman" w:eastAsia="宋体" w:cs="Times New Roman"/>
      <w:b/>
      <w:bCs/>
      <w:color w:val="000000"/>
      <w:kern w:val="2"/>
      <w:sz w:val="28"/>
      <w:szCs w:val="28"/>
    </w:rPr>
  </w:style>
  <w:style w:type="character" w:customStyle="1" w:styleId="155">
    <w:name w:val="标题 6 字符"/>
    <w:basedOn w:val="50"/>
    <w:link w:val="7"/>
    <w:qFormat/>
    <w:uiPriority w:val="0"/>
    <w:rPr>
      <w:rFonts w:ascii="Times New Roman" w:hAnsi="Times New Roman" w:eastAsia="宋体" w:cs="Times New Roman"/>
      <w:color w:val="000000"/>
      <w:kern w:val="24"/>
      <w:sz w:val="24"/>
      <w:szCs w:val="24"/>
    </w:rPr>
  </w:style>
  <w:style w:type="character" w:customStyle="1" w:styleId="156">
    <w:name w:val="标题 7 字符"/>
    <w:basedOn w:val="50"/>
    <w:link w:val="8"/>
    <w:qFormat/>
    <w:uiPriority w:val="0"/>
    <w:rPr>
      <w:rFonts w:ascii="Times New Roman" w:hAnsi="Times New Roman" w:eastAsia="宋体" w:cs="Times New Roman"/>
      <w:color w:val="000000"/>
      <w:spacing w:val="2"/>
      <w:kern w:val="24"/>
      <w:sz w:val="24"/>
      <w:szCs w:val="24"/>
    </w:rPr>
  </w:style>
  <w:style w:type="character" w:customStyle="1" w:styleId="157">
    <w:name w:val="标题 8 字符"/>
    <w:basedOn w:val="50"/>
    <w:link w:val="9"/>
    <w:qFormat/>
    <w:uiPriority w:val="0"/>
    <w:rPr>
      <w:rFonts w:ascii="Times New Roman" w:hAnsi="Times New Roman" w:eastAsia="宋体" w:cs="Times New Roman"/>
      <w:color w:val="000000"/>
      <w:kern w:val="24"/>
      <w:sz w:val="24"/>
      <w:szCs w:val="24"/>
    </w:rPr>
  </w:style>
  <w:style w:type="character" w:customStyle="1" w:styleId="158">
    <w:name w:val="标题 9 字符"/>
    <w:basedOn w:val="50"/>
    <w:link w:val="10"/>
    <w:autoRedefine/>
    <w:qFormat/>
    <w:uiPriority w:val="0"/>
    <w:rPr>
      <w:rFonts w:ascii="Arial" w:hAnsi="Arial" w:eastAsia="黑体" w:cs="Times New Roman"/>
      <w:kern w:val="2"/>
      <w:sz w:val="21"/>
      <w:szCs w:val="24"/>
    </w:rPr>
  </w:style>
  <w:style w:type="character" w:customStyle="1" w:styleId="159">
    <w:name w:val="!我的正文 Ctr+Q Char"/>
    <w:link w:val="160"/>
    <w:qFormat/>
    <w:uiPriority w:val="0"/>
    <w:rPr>
      <w:rFonts w:ascii="Arial" w:hAnsi="Arial"/>
      <w:sz w:val="24"/>
      <w:szCs w:val="21"/>
    </w:rPr>
  </w:style>
  <w:style w:type="paragraph" w:customStyle="1" w:styleId="160">
    <w:name w:val="!我的正文 Ctr+Q"/>
    <w:basedOn w:val="1"/>
    <w:link w:val="159"/>
    <w:qFormat/>
    <w:uiPriority w:val="0"/>
    <w:pPr>
      <w:autoSpaceDE/>
      <w:autoSpaceDN/>
      <w:snapToGrid w:val="0"/>
      <w:spacing w:line="360" w:lineRule="auto"/>
      <w:ind w:firstLine="480" w:firstLineChars="200"/>
    </w:pPr>
    <w:rPr>
      <w:rFonts w:ascii="Arial" w:hAnsi="Arial" w:eastAsiaTheme="minorEastAsia" w:cstheme="minorBidi"/>
      <w:color w:val="auto"/>
      <w:sz w:val="24"/>
    </w:rPr>
  </w:style>
  <w:style w:type="character" w:customStyle="1" w:styleId="161">
    <w:name w:val="Char Char14"/>
    <w:qFormat/>
    <w:uiPriority w:val="0"/>
    <w:rPr>
      <w:rFonts w:eastAsia="宋体"/>
      <w:kern w:val="2"/>
      <w:sz w:val="24"/>
      <w:lang w:val="en-US" w:eastAsia="zh-CN" w:bidi="ar-SA"/>
    </w:rPr>
  </w:style>
  <w:style w:type="character" w:customStyle="1" w:styleId="162">
    <w:name w:val="小点说明 Char Char"/>
    <w:link w:val="163"/>
    <w:qFormat/>
    <w:uiPriority w:val="0"/>
    <w:rPr>
      <w:rFonts w:eastAsia="宋体"/>
      <w:kern w:val="2"/>
      <w:sz w:val="21"/>
      <w:szCs w:val="24"/>
    </w:rPr>
  </w:style>
  <w:style w:type="paragraph" w:customStyle="1" w:styleId="163">
    <w:name w:val="小点说明"/>
    <w:basedOn w:val="1"/>
    <w:link w:val="162"/>
    <w:qFormat/>
    <w:uiPriority w:val="0"/>
    <w:pPr>
      <w:autoSpaceDE/>
      <w:autoSpaceDN/>
      <w:snapToGrid w:val="0"/>
      <w:spacing w:line="360" w:lineRule="auto"/>
    </w:pPr>
    <w:rPr>
      <w:rFonts w:asciiTheme="minorHAnsi" w:hAnsiTheme="minorHAnsi" w:cstheme="minorBidi"/>
      <w:color w:val="auto"/>
      <w:kern w:val="2"/>
      <w:szCs w:val="24"/>
    </w:rPr>
  </w:style>
  <w:style w:type="character" w:customStyle="1" w:styleId="164">
    <w:name w:val="纯文本 Char"/>
    <w:qFormat/>
    <w:uiPriority w:val="0"/>
    <w:rPr>
      <w:rFonts w:ascii="宋体" w:hAnsi="Courier New" w:cs="Courier New"/>
      <w:kern w:val="2"/>
      <w:sz w:val="21"/>
      <w:szCs w:val="21"/>
    </w:rPr>
  </w:style>
  <w:style w:type="character" w:customStyle="1" w:styleId="165">
    <w:name w:val="Char Char9"/>
    <w:qFormat/>
    <w:uiPriority w:val="0"/>
    <w:rPr>
      <w:rFonts w:eastAsia="宋体"/>
      <w:color w:val="000000"/>
      <w:sz w:val="21"/>
      <w:szCs w:val="21"/>
      <w:lang w:val="en-US" w:eastAsia="zh-CN" w:bidi="ar-SA"/>
    </w:rPr>
  </w:style>
  <w:style w:type="character" w:customStyle="1" w:styleId="166">
    <w:name w:val="Char Char24"/>
    <w:qFormat/>
    <w:uiPriority w:val="0"/>
    <w:rPr>
      <w:rFonts w:eastAsia="宋体"/>
      <w:b/>
      <w:color w:val="000000"/>
      <w:sz w:val="32"/>
      <w:szCs w:val="21"/>
      <w:lang w:val="en-US" w:eastAsia="zh-CN" w:bidi="ar-SA"/>
    </w:rPr>
  </w:style>
  <w:style w:type="character" w:customStyle="1" w:styleId="167">
    <w:name w:val="文章样式1 Char Char"/>
    <w:link w:val="168"/>
    <w:qFormat/>
    <w:uiPriority w:val="0"/>
    <w:rPr>
      <w:rFonts w:ascii="宋体" w:hAnsi="宋体" w:eastAsia="Times New Roman" w:cs="宋体"/>
      <w:b/>
      <w:kern w:val="2"/>
      <w:sz w:val="21"/>
    </w:rPr>
  </w:style>
  <w:style w:type="paragraph" w:customStyle="1" w:styleId="168">
    <w:name w:val="文章样式1"/>
    <w:link w:val="167"/>
    <w:qFormat/>
    <w:uiPriority w:val="0"/>
    <w:pPr>
      <w:numPr>
        <w:ilvl w:val="0"/>
        <w:numId w:val="3"/>
      </w:numPr>
      <w:tabs>
        <w:tab w:val="left" w:pos="0"/>
      </w:tabs>
      <w:spacing w:line="360" w:lineRule="auto"/>
    </w:pPr>
    <w:rPr>
      <w:rFonts w:ascii="宋体" w:hAnsi="宋体" w:eastAsia="Times New Roman" w:cs="宋体"/>
      <w:b/>
      <w:kern w:val="2"/>
      <w:sz w:val="21"/>
      <w:lang w:val="en-US" w:eastAsia="zh-CN" w:bidi="ar-SA"/>
    </w:rPr>
  </w:style>
  <w:style w:type="character" w:customStyle="1" w:styleId="169">
    <w:name w:val="Char Char10"/>
    <w:qFormat/>
    <w:uiPriority w:val="0"/>
    <w:rPr>
      <w:rFonts w:eastAsia="宋体"/>
      <w:color w:val="000000"/>
      <w:sz w:val="18"/>
      <w:szCs w:val="18"/>
      <w:lang w:val="en-US" w:eastAsia="zh-CN" w:bidi="ar-SA"/>
    </w:rPr>
  </w:style>
  <w:style w:type="character" w:customStyle="1" w:styleId="170">
    <w:name w:val="样式 正文首行缩进 2 + 左侧:  2 字符 首行缩进:  2 字符1 Char Char"/>
    <w:link w:val="171"/>
    <w:qFormat/>
    <w:uiPriority w:val="0"/>
    <w:rPr>
      <w:rFonts w:ascii="宋体" w:hAnsi="宋体" w:eastAsia="Times New Roman" w:cs="宋体"/>
      <w:color w:val="000000"/>
      <w:kern w:val="2"/>
      <w:sz w:val="21"/>
      <w:szCs w:val="21"/>
    </w:rPr>
  </w:style>
  <w:style w:type="paragraph" w:customStyle="1" w:styleId="171">
    <w:name w:val="样式 正文首行缩进 2 + 左侧:  2 字符 首行缩进:  2 字符1"/>
    <w:next w:val="1"/>
    <w:link w:val="170"/>
    <w:qFormat/>
    <w:uiPriority w:val="0"/>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172">
    <w:name w:val="Char Char15"/>
    <w:qFormat/>
    <w:uiPriority w:val="0"/>
    <w:rPr>
      <w:rFonts w:eastAsia="宋体"/>
      <w:kern w:val="2"/>
      <w:sz w:val="21"/>
      <w:lang w:val="en-US" w:eastAsia="zh-CN" w:bidi="ar-SA"/>
    </w:rPr>
  </w:style>
  <w:style w:type="character" w:customStyle="1" w:styleId="173">
    <w:name w:val="style21"/>
    <w:qFormat/>
    <w:uiPriority w:val="0"/>
    <w:rPr>
      <w:color w:val="FFFFFF"/>
    </w:rPr>
  </w:style>
  <w:style w:type="character" w:customStyle="1" w:styleId="174">
    <w:name w:val="文章标题3级 Char Char"/>
    <w:link w:val="175"/>
    <w:qFormat/>
    <w:uiPriority w:val="0"/>
    <w:rPr>
      <w:rFonts w:eastAsia="宋体"/>
      <w:b/>
      <w:bCs/>
      <w:caps/>
      <w:color w:val="000000"/>
      <w:kern w:val="2"/>
      <w:sz w:val="24"/>
      <w:szCs w:val="18"/>
    </w:rPr>
  </w:style>
  <w:style w:type="paragraph" w:customStyle="1" w:styleId="175">
    <w:name w:val="文章标题3级"/>
    <w:basedOn w:val="176"/>
    <w:next w:val="1"/>
    <w:link w:val="174"/>
    <w:qFormat/>
    <w:uiPriority w:val="0"/>
    <w:pPr>
      <w:tabs>
        <w:tab w:val="left" w:pos="360"/>
        <w:tab w:val="left" w:pos="780"/>
        <w:tab w:val="left" w:pos="1320"/>
        <w:tab w:val="left" w:pos="1560"/>
      </w:tabs>
      <w:outlineLvl w:val="2"/>
    </w:pPr>
    <w:rPr>
      <w:rFonts w:asciiTheme="minorHAnsi" w:hAnsiTheme="minorHAnsi" w:cstheme="minorBidi"/>
      <w:color w:val="000000"/>
      <w:sz w:val="24"/>
      <w:szCs w:val="18"/>
    </w:rPr>
  </w:style>
  <w:style w:type="paragraph" w:customStyle="1" w:styleId="176">
    <w:name w:val="文章标题2级"/>
    <w:basedOn w:val="177"/>
    <w:next w:val="1"/>
    <w:qFormat/>
    <w:uiPriority w:val="0"/>
    <w:pPr>
      <w:pageBreakBefore w:val="0"/>
      <w:tabs>
        <w:tab w:val="left" w:pos="360"/>
        <w:tab w:val="left" w:pos="780"/>
        <w:tab w:val="left" w:pos="1320"/>
      </w:tabs>
      <w:ind w:left="200" w:hanging="200" w:hangingChars="200"/>
      <w:jc w:val="left"/>
      <w:outlineLvl w:val="1"/>
    </w:pPr>
    <w:rPr>
      <w:sz w:val="30"/>
    </w:rPr>
  </w:style>
  <w:style w:type="paragraph" w:customStyle="1" w:styleId="177">
    <w:name w:val="文章标题1级"/>
    <w:next w:val="1"/>
    <w:qFormat/>
    <w:uiPriority w:val="0"/>
    <w:pPr>
      <w:pageBreakBefore/>
      <w:tabs>
        <w:tab w:val="left" w:pos="360"/>
      </w:tabs>
      <w:spacing w:beforeLines="50" w:afterLines="50"/>
      <w:ind w:left="840" w:hanging="420"/>
      <w:jc w:val="center"/>
      <w:outlineLvl w:val="0"/>
    </w:pPr>
    <w:rPr>
      <w:rFonts w:ascii="Times New Roman" w:hAnsi="Times New Roman" w:eastAsia="宋体" w:cs="Times New Roman"/>
      <w:b/>
      <w:bCs/>
      <w:caps/>
      <w:kern w:val="2"/>
      <w:sz w:val="32"/>
      <w:szCs w:val="24"/>
      <w:lang w:val="en-US" w:eastAsia="zh-CN" w:bidi="ar-SA"/>
    </w:rPr>
  </w:style>
  <w:style w:type="character" w:customStyle="1" w:styleId="178">
    <w:name w:val="Char Char131"/>
    <w:qFormat/>
    <w:uiPriority w:val="0"/>
    <w:rPr>
      <w:rFonts w:eastAsia="宋体"/>
      <w:color w:val="000000"/>
      <w:sz w:val="21"/>
      <w:szCs w:val="21"/>
      <w:lang w:val="en-US" w:eastAsia="zh-CN" w:bidi="ar-SA"/>
    </w:rPr>
  </w:style>
  <w:style w:type="character" w:customStyle="1" w:styleId="179">
    <w:name w:val="正文文本 Char Char"/>
    <w:qFormat/>
    <w:uiPriority w:val="0"/>
    <w:rPr>
      <w:rFonts w:ascii="Calibri" w:hAnsi="Calibri" w:eastAsia="宋体"/>
      <w:kern w:val="2"/>
      <w:sz w:val="21"/>
      <w:szCs w:val="22"/>
      <w:lang w:val="en-US" w:eastAsia="zh-CN" w:bidi="ar-SA"/>
    </w:rPr>
  </w:style>
  <w:style w:type="character" w:customStyle="1" w:styleId="180">
    <w:name w:val="正文缩进 Char"/>
    <w:qFormat/>
    <w:uiPriority w:val="0"/>
    <w:rPr>
      <w:rFonts w:eastAsia="宋体"/>
      <w:kern w:val="2"/>
      <w:sz w:val="21"/>
      <w:lang w:val="en-US" w:eastAsia="zh-CN" w:bidi="ar-SA"/>
    </w:rPr>
  </w:style>
  <w:style w:type="character" w:customStyle="1" w:styleId="181">
    <w:name w:val="页脚 Char"/>
    <w:qFormat/>
    <w:uiPriority w:val="0"/>
    <w:rPr>
      <w:sz w:val="18"/>
      <w:szCs w:val="18"/>
    </w:rPr>
  </w:style>
  <w:style w:type="character" w:customStyle="1" w:styleId="182">
    <w:name w:val="页眉 Char"/>
    <w:qFormat/>
    <w:uiPriority w:val="99"/>
    <w:rPr>
      <w:rFonts w:ascii="Times New Roman" w:hAnsi="Times New Roman"/>
      <w:kern w:val="2"/>
      <w:sz w:val="18"/>
      <w:szCs w:val="18"/>
    </w:rPr>
  </w:style>
  <w:style w:type="character" w:customStyle="1" w:styleId="183">
    <w:name w:val="Char Char18"/>
    <w:qFormat/>
    <w:uiPriority w:val="0"/>
    <w:rPr>
      <w:rFonts w:eastAsia="宋体"/>
      <w:kern w:val="2"/>
      <w:sz w:val="21"/>
      <w:szCs w:val="24"/>
      <w:lang w:val="en-US" w:eastAsia="zh-CN" w:bidi="ar-SA"/>
    </w:rPr>
  </w:style>
  <w:style w:type="character" w:customStyle="1" w:styleId="184">
    <w:name w:val="无间隔 字符"/>
    <w:link w:val="148"/>
    <w:qFormat/>
    <w:uiPriority w:val="0"/>
    <w:rPr>
      <w:rFonts w:ascii="Times New Roman" w:hAnsi="Times New Roman" w:eastAsia="宋体" w:cs="Times New Roman"/>
      <w:color w:val="000000"/>
      <w:sz w:val="21"/>
      <w:szCs w:val="21"/>
    </w:rPr>
  </w:style>
  <w:style w:type="character" w:customStyle="1" w:styleId="185">
    <w:name w:val="正文文字2 Char Char"/>
    <w:qFormat/>
    <w:uiPriority w:val="0"/>
    <w:rPr>
      <w:rFonts w:ascii="Arial" w:eastAsia="黑体"/>
      <w:sz w:val="21"/>
      <w:lang w:val="en-US" w:eastAsia="zh-CN" w:bidi="ar-SA"/>
    </w:rPr>
  </w:style>
  <w:style w:type="character" w:customStyle="1" w:styleId="186">
    <w:name w:val="Char Char27"/>
    <w:qFormat/>
    <w:uiPriority w:val="0"/>
    <w:rPr>
      <w:rFonts w:eastAsia="宋体"/>
      <w:b/>
      <w:color w:val="000000"/>
      <w:kern w:val="44"/>
      <w:sz w:val="44"/>
      <w:szCs w:val="21"/>
      <w:lang w:val="en-US" w:eastAsia="zh-CN" w:bidi="ar-SA"/>
    </w:rPr>
  </w:style>
  <w:style w:type="character" w:customStyle="1" w:styleId="187">
    <w:name w:val="style31"/>
    <w:qFormat/>
    <w:uiPriority w:val="0"/>
    <w:rPr>
      <w:b/>
      <w:bCs/>
      <w:color w:val="0033CC"/>
    </w:rPr>
  </w:style>
  <w:style w:type="character" w:customStyle="1" w:styleId="188">
    <w:name w:val="Char Char111"/>
    <w:qFormat/>
    <w:uiPriority w:val="0"/>
    <w:rPr>
      <w:rFonts w:eastAsia="宋体"/>
      <w:color w:val="000000"/>
      <w:sz w:val="21"/>
      <w:szCs w:val="21"/>
      <w:lang w:val="en-US" w:eastAsia="zh-CN" w:bidi="ar-SA"/>
    </w:rPr>
  </w:style>
  <w:style w:type="character" w:customStyle="1" w:styleId="189">
    <w:name w:val="Char Char26"/>
    <w:qFormat/>
    <w:uiPriority w:val="0"/>
    <w:rPr>
      <w:b/>
      <w:color w:val="000000"/>
      <w:kern w:val="44"/>
      <w:sz w:val="44"/>
      <w:szCs w:val="21"/>
      <w:lang w:val="en-US" w:eastAsia="zh-CN" w:bidi="ar-SA"/>
    </w:rPr>
  </w:style>
  <w:style w:type="character" w:customStyle="1" w:styleId="190">
    <w:name w:val="小标题 Char Char"/>
    <w:link w:val="191"/>
    <w:qFormat/>
    <w:uiPriority w:val="0"/>
    <w:rPr>
      <w:rFonts w:ascii="宋体" w:hAnsi="宋体" w:eastAsia="宋体"/>
      <w:b/>
      <w:sz w:val="24"/>
      <w:szCs w:val="24"/>
    </w:rPr>
  </w:style>
  <w:style w:type="paragraph" w:customStyle="1" w:styleId="191">
    <w:name w:val="小标题"/>
    <w:basedOn w:val="1"/>
    <w:next w:val="1"/>
    <w:link w:val="190"/>
    <w:qFormat/>
    <w:uiPriority w:val="0"/>
    <w:pPr>
      <w:widowControl/>
      <w:numPr>
        <w:ilvl w:val="0"/>
        <w:numId w:val="5"/>
      </w:numPr>
      <w:tabs>
        <w:tab w:val="left" w:pos="360"/>
      </w:tabs>
      <w:autoSpaceDE/>
      <w:autoSpaceDN/>
      <w:adjustRightInd/>
      <w:jc w:val="left"/>
    </w:pPr>
    <w:rPr>
      <w:rFonts w:ascii="宋体" w:hAnsi="宋体" w:cstheme="minorBidi"/>
      <w:b/>
      <w:color w:val="auto"/>
      <w:sz w:val="24"/>
      <w:szCs w:val="24"/>
    </w:rPr>
  </w:style>
  <w:style w:type="character" w:customStyle="1" w:styleId="192">
    <w:name w:val="正文首缩两字 Char Char"/>
    <w:link w:val="193"/>
    <w:qFormat/>
    <w:uiPriority w:val="0"/>
    <w:rPr>
      <w:rFonts w:ascii="Verdana" w:hAnsi="Verdana" w:eastAsia="宋体"/>
      <w:kern w:val="2"/>
      <w:sz w:val="24"/>
      <w:szCs w:val="24"/>
    </w:rPr>
  </w:style>
  <w:style w:type="paragraph" w:customStyle="1" w:styleId="193">
    <w:name w:val="正文首缩两字"/>
    <w:basedOn w:val="1"/>
    <w:link w:val="192"/>
    <w:qFormat/>
    <w:uiPriority w:val="0"/>
    <w:pPr>
      <w:autoSpaceDE/>
      <w:autoSpaceDN/>
      <w:adjustRightInd/>
      <w:spacing w:line="360" w:lineRule="auto"/>
      <w:ind w:firstLine="200" w:firstLineChars="200"/>
    </w:pPr>
    <w:rPr>
      <w:rFonts w:ascii="Verdana" w:hAnsi="Verdana" w:cstheme="minorBidi"/>
      <w:color w:val="auto"/>
      <w:kern w:val="2"/>
      <w:sz w:val="24"/>
      <w:szCs w:val="24"/>
    </w:rPr>
  </w:style>
  <w:style w:type="character" w:customStyle="1" w:styleId="194">
    <w:name w:val="正文2 Char Char"/>
    <w:link w:val="195"/>
    <w:qFormat/>
    <w:locked/>
    <w:uiPriority w:val="0"/>
    <w:rPr>
      <w:rFonts w:ascii="楷体" w:hAnsi="Verdana" w:eastAsia="楷体"/>
      <w:kern w:val="2"/>
      <w:sz w:val="24"/>
      <w:szCs w:val="24"/>
    </w:rPr>
  </w:style>
  <w:style w:type="paragraph" w:customStyle="1" w:styleId="195">
    <w:name w:val="正文2"/>
    <w:basedOn w:val="1"/>
    <w:link w:val="194"/>
    <w:qFormat/>
    <w:uiPriority w:val="0"/>
    <w:pPr>
      <w:tabs>
        <w:tab w:val="left" w:pos="360"/>
      </w:tabs>
      <w:autoSpaceDE/>
      <w:autoSpaceDN/>
      <w:adjustRightInd/>
      <w:spacing w:beforeLines="50" w:line="360" w:lineRule="auto"/>
      <w:jc w:val="left"/>
    </w:pPr>
    <w:rPr>
      <w:rFonts w:ascii="楷体" w:hAnsi="Verdana" w:eastAsia="楷体" w:cstheme="minorBidi"/>
      <w:color w:val="auto"/>
      <w:kern w:val="2"/>
      <w:sz w:val="24"/>
      <w:szCs w:val="24"/>
    </w:rPr>
  </w:style>
  <w:style w:type="character" w:customStyle="1" w:styleId="196">
    <w:name w:val="文字 Char Char"/>
    <w:link w:val="197"/>
    <w:qFormat/>
    <w:uiPriority w:val="0"/>
    <w:rPr>
      <w:rFonts w:ascii="宋体" w:hAnsi="宋体"/>
      <w:kern w:val="2"/>
      <w:sz w:val="28"/>
    </w:rPr>
  </w:style>
  <w:style w:type="paragraph" w:customStyle="1" w:styleId="197">
    <w:name w:val="文字"/>
    <w:basedOn w:val="1"/>
    <w:link w:val="196"/>
    <w:qFormat/>
    <w:uiPriority w:val="0"/>
    <w:pPr>
      <w:tabs>
        <w:tab w:val="left" w:pos="8520"/>
      </w:tabs>
      <w:autoSpaceDE/>
      <w:autoSpaceDN/>
      <w:adjustRightInd/>
      <w:spacing w:line="312" w:lineRule="auto"/>
      <w:ind w:right="-210" w:firstLine="556"/>
    </w:pPr>
    <w:rPr>
      <w:rFonts w:ascii="宋体" w:hAnsi="宋体" w:eastAsiaTheme="minorEastAsia" w:cstheme="minorBidi"/>
      <w:color w:val="auto"/>
      <w:kern w:val="2"/>
      <w:sz w:val="28"/>
      <w:szCs w:val="20"/>
    </w:rPr>
  </w:style>
  <w:style w:type="character" w:customStyle="1" w:styleId="198">
    <w:name w:val="Char Char25"/>
    <w:qFormat/>
    <w:uiPriority w:val="0"/>
    <w:rPr>
      <w:rFonts w:ascii="Arial" w:hAnsi="Arial" w:eastAsia="黑体"/>
      <w:b/>
      <w:bCs/>
      <w:kern w:val="2"/>
      <w:sz w:val="32"/>
      <w:szCs w:val="32"/>
      <w:lang w:val="en-US" w:eastAsia="zh-CN" w:bidi="ar-SA"/>
    </w:rPr>
  </w:style>
  <w:style w:type="character" w:customStyle="1" w:styleId="199">
    <w:name w:val="强调1"/>
    <w:qFormat/>
    <w:uiPriority w:val="0"/>
    <w:rPr>
      <w:rFonts w:ascii="Arial Black" w:hAnsi="Arial Black" w:eastAsia="黑体"/>
      <w:b/>
      <w:spacing w:val="0"/>
      <w:sz w:val="21"/>
    </w:rPr>
  </w:style>
  <w:style w:type="character" w:customStyle="1" w:styleId="200">
    <w:name w:val="文档结构图 Char"/>
    <w:qFormat/>
    <w:uiPriority w:val="0"/>
    <w:rPr>
      <w:rFonts w:ascii="Times New Roman" w:hAnsi="Times New Roman" w:eastAsia="??" w:cs="Times New Roman"/>
      <w:sz w:val="28"/>
      <w:szCs w:val="28"/>
      <w:shd w:val="clear" w:color="auto" w:fill="000080"/>
    </w:rPr>
  </w:style>
  <w:style w:type="character" w:customStyle="1" w:styleId="201">
    <w:name w:val="标题 字符"/>
    <w:basedOn w:val="50"/>
    <w:link w:val="45"/>
    <w:qFormat/>
    <w:uiPriority w:val="0"/>
    <w:rPr>
      <w:rFonts w:ascii="Arial" w:hAnsi="Arial" w:eastAsia="宋体" w:cs="Times New Roman"/>
      <w:b/>
      <w:bCs/>
      <w:color w:val="000000"/>
      <w:kern w:val="2"/>
      <w:sz w:val="32"/>
      <w:szCs w:val="32"/>
    </w:rPr>
  </w:style>
  <w:style w:type="character" w:customStyle="1" w:styleId="202">
    <w:name w:val="正文文本 2 字符"/>
    <w:basedOn w:val="50"/>
    <w:link w:val="41"/>
    <w:qFormat/>
    <w:uiPriority w:val="0"/>
    <w:rPr>
      <w:rFonts w:ascii="Times New Roman" w:hAnsi="Times New Roman" w:eastAsia="宋体" w:cs="Times New Roman"/>
      <w:color w:val="000000"/>
      <w:kern w:val="2"/>
      <w:sz w:val="21"/>
      <w:szCs w:val="22"/>
    </w:rPr>
  </w:style>
  <w:style w:type="paragraph" w:customStyle="1" w:styleId="203">
    <w:name w:val="正文缩进1"/>
    <w:basedOn w:val="1"/>
    <w:next w:val="15"/>
    <w:qFormat/>
    <w:uiPriority w:val="0"/>
    <w:pPr>
      <w:autoSpaceDE/>
      <w:autoSpaceDN/>
      <w:adjustRightInd/>
      <w:ind w:firstLine="420"/>
    </w:pPr>
    <w:rPr>
      <w:color w:val="auto"/>
      <w:kern w:val="2"/>
      <w:szCs w:val="20"/>
    </w:rPr>
  </w:style>
  <w:style w:type="paragraph" w:customStyle="1" w:styleId="204">
    <w:name w:val="Char Char Char Char"/>
    <w:basedOn w:val="1"/>
    <w:qFormat/>
    <w:uiPriority w:val="0"/>
    <w:pPr>
      <w:autoSpaceDE/>
      <w:autoSpaceDN/>
      <w:adjustRightInd/>
    </w:pPr>
    <w:rPr>
      <w:color w:val="auto"/>
      <w:kern w:val="2"/>
      <w:szCs w:val="20"/>
    </w:rPr>
  </w:style>
  <w:style w:type="paragraph" w:customStyle="1" w:styleId="205">
    <w:name w:val="文章标题4级"/>
    <w:basedOn w:val="175"/>
    <w:next w:val="1"/>
    <w:qFormat/>
    <w:uiPriority w:val="0"/>
    <w:pPr>
      <w:tabs>
        <w:tab w:val="left" w:pos="1034"/>
        <w:tab w:val="left" w:pos="2760"/>
        <w:tab w:val="clear" w:pos="1560"/>
      </w:tabs>
      <w:outlineLvl w:val="3"/>
    </w:pPr>
    <w:rPr>
      <w:color w:val="auto"/>
    </w:rPr>
  </w:style>
  <w:style w:type="paragraph" w:customStyle="1" w:styleId="206">
    <w:name w:val="封面正文"/>
    <w:qFormat/>
    <w:uiPriority w:val="0"/>
    <w:pPr>
      <w:jc w:val="both"/>
    </w:pPr>
    <w:rPr>
      <w:rFonts w:ascii="Times New Roman" w:hAnsi="Times New Roman" w:eastAsia="宋体" w:cs="Times New Roman"/>
      <w:lang w:val="en-US" w:eastAsia="zh-CN" w:bidi="ar-SA"/>
    </w:rPr>
  </w:style>
  <w:style w:type="paragraph" w:customStyle="1" w:styleId="207">
    <w:name w:val="Char Char Char"/>
    <w:basedOn w:val="1"/>
    <w:qFormat/>
    <w:uiPriority w:val="0"/>
    <w:pPr>
      <w:autoSpaceDE/>
      <w:autoSpaceDN/>
      <w:adjustRightInd/>
    </w:pPr>
    <w:rPr>
      <w:color w:val="auto"/>
      <w:kern w:val="2"/>
      <w:szCs w:val="24"/>
    </w:rPr>
  </w:style>
  <w:style w:type="paragraph" w:customStyle="1" w:styleId="208">
    <w:name w:val="1级标题"/>
    <w:basedOn w:val="1"/>
    <w:qFormat/>
    <w:uiPriority w:val="0"/>
    <w:pPr>
      <w:keepLines/>
      <w:pageBreakBefore/>
      <w:numPr>
        <w:ilvl w:val="0"/>
        <w:numId w:val="6"/>
      </w:numPr>
      <w:autoSpaceDE/>
      <w:autoSpaceDN/>
      <w:adjustRightInd/>
      <w:spacing w:before="240" w:after="240" w:line="360" w:lineRule="auto"/>
      <w:ind w:firstLine="0"/>
      <w:contextualSpacing/>
      <w:jc w:val="center"/>
      <w:outlineLvl w:val="0"/>
    </w:pPr>
    <w:rPr>
      <w:rFonts w:ascii="黑体" w:hAnsi="黑体" w:eastAsia="黑体"/>
      <w:color w:val="auto"/>
      <w:sz w:val="36"/>
      <w:szCs w:val="36"/>
      <w:lang w:val="zh-CN" w:eastAsia="en-US" w:bidi="en-US"/>
    </w:rPr>
  </w:style>
  <w:style w:type="paragraph" w:customStyle="1" w:styleId="209">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0">
    <w:name w:val="3级标题"/>
    <w:basedOn w:val="1"/>
    <w:qFormat/>
    <w:uiPriority w:val="0"/>
    <w:pPr>
      <w:keepLines/>
      <w:numPr>
        <w:ilvl w:val="2"/>
        <w:numId w:val="6"/>
      </w:numPr>
      <w:autoSpaceDE/>
      <w:autoSpaceDN/>
      <w:adjustRightInd/>
      <w:spacing w:before="120" w:after="120" w:line="360" w:lineRule="auto"/>
      <w:contextualSpacing/>
      <w:jc w:val="left"/>
      <w:outlineLvl w:val="2"/>
    </w:pPr>
    <w:rPr>
      <w:rFonts w:ascii="黑体" w:hAnsi="黑体" w:eastAsia="黑体"/>
      <w:color w:val="auto"/>
      <w:sz w:val="28"/>
      <w:szCs w:val="36"/>
      <w:lang w:val="zh-CN" w:eastAsia="en-US" w:bidi="en-US"/>
    </w:rPr>
  </w:style>
  <w:style w:type="paragraph" w:customStyle="1" w:styleId="211">
    <w:name w:val="标题 6（有编号）（绿盟科技）"/>
    <w:basedOn w:val="1"/>
    <w:next w:val="1"/>
    <w:qFormat/>
    <w:uiPriority w:val="0"/>
    <w:pPr>
      <w:keepNext/>
      <w:keepLines/>
      <w:numPr>
        <w:ilvl w:val="0"/>
        <w:numId w:val="7"/>
      </w:numPr>
      <w:tabs>
        <w:tab w:val="left" w:pos="885"/>
      </w:tabs>
      <w:autoSpaceDE/>
      <w:autoSpaceDN/>
      <w:adjustRightInd/>
      <w:spacing w:before="240" w:after="64" w:line="317" w:lineRule="auto"/>
      <w:ind w:left="2098" w:hanging="1247"/>
      <w:jc w:val="left"/>
      <w:outlineLvl w:val="5"/>
    </w:pPr>
    <w:rPr>
      <w:rFonts w:ascii="Arial" w:hAnsi="Arial" w:eastAsia="黑体"/>
      <w:b/>
      <w:color w:val="auto"/>
      <w:szCs w:val="24"/>
    </w:rPr>
  </w:style>
  <w:style w:type="paragraph" w:customStyle="1" w:styleId="212">
    <w:name w:val="次小点说明"/>
    <w:basedOn w:val="1"/>
    <w:qFormat/>
    <w:uiPriority w:val="0"/>
    <w:pPr>
      <w:numPr>
        <w:ilvl w:val="0"/>
        <w:numId w:val="8"/>
      </w:numPr>
      <w:tabs>
        <w:tab w:val="left" w:pos="1680"/>
      </w:tabs>
      <w:autoSpaceDE/>
      <w:autoSpaceDN/>
      <w:snapToGrid w:val="0"/>
      <w:spacing w:line="360" w:lineRule="auto"/>
    </w:pPr>
    <w:rPr>
      <w:color w:val="auto"/>
      <w:kern w:val="2"/>
      <w:szCs w:val="24"/>
    </w:rPr>
  </w:style>
  <w:style w:type="paragraph" w:customStyle="1" w:styleId="213">
    <w:name w:val="段落正文 Char"/>
    <w:basedOn w:val="1"/>
    <w:qFormat/>
    <w:uiPriority w:val="0"/>
    <w:pPr>
      <w:autoSpaceDE/>
      <w:autoSpaceDN/>
      <w:adjustRightInd/>
      <w:spacing w:line="360" w:lineRule="auto"/>
      <w:ind w:firstLine="461" w:firstLineChars="192"/>
    </w:pPr>
    <w:rPr>
      <w:rFonts w:ascii="宋体" w:hAnsi="宋体"/>
      <w:color w:val="auto"/>
      <w:kern w:val="2"/>
      <w:sz w:val="24"/>
      <w:szCs w:val="24"/>
    </w:rPr>
  </w:style>
  <w:style w:type="paragraph" w:customStyle="1" w:styleId="214">
    <w:name w:val="Table Paragraph"/>
    <w:basedOn w:val="1"/>
    <w:qFormat/>
    <w:uiPriority w:val="1"/>
    <w:pPr>
      <w:autoSpaceDE/>
      <w:autoSpaceDN/>
      <w:adjustRightInd/>
    </w:pPr>
    <w:rPr>
      <w:rFonts w:ascii="Arial Unicode MS" w:hAnsi="Arial Unicode MS" w:eastAsia="Arial Unicode MS" w:cs="Arial Unicode MS"/>
      <w:color w:val="auto"/>
      <w:kern w:val="2"/>
      <w:szCs w:val="24"/>
      <w:lang w:val="zh-CN" w:bidi="zh-CN"/>
    </w:rPr>
  </w:style>
  <w:style w:type="paragraph" w:customStyle="1" w:styleId="215">
    <w:name w:val="样式 列表编号 + 段后: 0.5 行"/>
    <w:basedOn w:val="13"/>
    <w:qFormat/>
    <w:uiPriority w:val="0"/>
    <w:pPr>
      <w:widowControl w:val="0"/>
      <w:tabs>
        <w:tab w:val="left" w:pos="360"/>
        <w:tab w:val="clear" w:pos="720"/>
      </w:tabs>
      <w:spacing w:afterLines="0"/>
      <w:jc w:val="both"/>
    </w:pPr>
    <w:rPr>
      <w:rFonts w:cs="宋体"/>
      <w:kern w:val="2"/>
      <w:sz w:val="21"/>
      <w:szCs w:val="24"/>
    </w:rPr>
  </w:style>
  <w:style w:type="paragraph" w:customStyle="1" w:styleId="216">
    <w:name w:val="Char3"/>
    <w:basedOn w:val="1"/>
    <w:qFormat/>
    <w:uiPriority w:val="0"/>
    <w:pPr>
      <w:autoSpaceDE/>
      <w:autoSpaceDN/>
      <w:adjustRightInd/>
    </w:pPr>
    <w:rPr>
      <w:rFonts w:ascii="Tahoma" w:hAnsi="Tahoma"/>
      <w:color w:val="auto"/>
      <w:kern w:val="2"/>
      <w:sz w:val="24"/>
      <w:szCs w:val="20"/>
    </w:rPr>
  </w:style>
  <w:style w:type="paragraph" w:customStyle="1" w:styleId="217">
    <w:name w:val="列表段落2"/>
    <w:basedOn w:val="1"/>
    <w:qFormat/>
    <w:uiPriority w:val="0"/>
    <w:pPr>
      <w:autoSpaceDE/>
      <w:autoSpaceDN/>
      <w:adjustRightInd/>
      <w:ind w:firstLine="420" w:firstLineChars="200"/>
    </w:pPr>
    <w:rPr>
      <w:color w:val="auto"/>
      <w:kern w:val="2"/>
      <w:szCs w:val="22"/>
    </w:rPr>
  </w:style>
  <w:style w:type="paragraph" w:customStyle="1" w:styleId="218">
    <w:name w:val="Char Char Char Char Char Char1"/>
    <w:basedOn w:val="1"/>
    <w:qFormat/>
    <w:uiPriority w:val="0"/>
    <w:pPr>
      <w:widowControl/>
      <w:autoSpaceDE/>
      <w:autoSpaceDN/>
      <w:adjustRightInd/>
      <w:spacing w:after="160" w:line="240" w:lineRule="exact"/>
      <w:jc w:val="left"/>
    </w:pPr>
    <w:rPr>
      <w:color w:val="auto"/>
      <w:kern w:val="2"/>
      <w:szCs w:val="24"/>
    </w:rPr>
  </w:style>
  <w:style w:type="paragraph" w:customStyle="1" w:styleId="219">
    <w:name w:val="默认段落字体 Para Char Char Char Char"/>
    <w:basedOn w:val="1"/>
    <w:qFormat/>
    <w:uiPriority w:val="0"/>
    <w:pPr>
      <w:autoSpaceDE/>
      <w:autoSpaceDN/>
      <w:adjustRightInd/>
    </w:pPr>
    <w:rPr>
      <w:color w:val="auto"/>
      <w:kern w:val="2"/>
      <w:szCs w:val="24"/>
    </w:rPr>
  </w:style>
  <w:style w:type="paragraph" w:customStyle="1" w:styleId="220">
    <w:name w:val="Char Char Char Char Char Char Char Char Char Char Char Char Char"/>
    <w:basedOn w:val="1"/>
    <w:autoRedefine/>
    <w:qFormat/>
    <w:uiPriority w:val="0"/>
    <w:pPr>
      <w:widowControl/>
      <w:numPr>
        <w:ilvl w:val="0"/>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221">
    <w:name w:val="插图标注（绿盟科技）"/>
    <w:next w:val="1"/>
    <w:qFormat/>
    <w:uiPriority w:val="0"/>
    <w:pPr>
      <w:numPr>
        <w:ilvl w:val="6"/>
        <w:numId w:val="10"/>
      </w:numPr>
      <w:tabs>
        <w:tab w:val="left" w:pos="3420"/>
      </w:tabs>
      <w:spacing w:after="156"/>
      <w:jc w:val="center"/>
    </w:pPr>
    <w:rPr>
      <w:rFonts w:ascii="Arial" w:hAnsi="Arial" w:eastAsia="宋体" w:cs="Arial"/>
      <w:sz w:val="21"/>
      <w:szCs w:val="21"/>
      <w:lang w:val="en-US" w:eastAsia="zh-CN" w:bidi="ar-SA"/>
    </w:rPr>
  </w:style>
  <w:style w:type="paragraph" w:customStyle="1" w:styleId="222">
    <w:name w:val="标题 3（绿盟科技）"/>
    <w:basedOn w:val="4"/>
    <w:next w:val="1"/>
    <w:qFormat/>
    <w:uiPriority w:val="0"/>
    <w:pPr>
      <w:numPr>
        <w:ilvl w:val="2"/>
        <w:numId w:val="10"/>
      </w:numPr>
      <w:tabs>
        <w:tab w:val="left" w:pos="960"/>
      </w:tabs>
      <w:autoSpaceDE/>
      <w:autoSpaceDN/>
      <w:adjustRightInd/>
      <w:jc w:val="left"/>
    </w:pPr>
    <w:rPr>
      <w:rFonts w:ascii="Arial" w:hAnsi="Arial" w:eastAsia="黑体"/>
      <w:bCs w:val="0"/>
      <w:color w:val="auto"/>
      <w:sz w:val="30"/>
      <w:szCs w:val="30"/>
    </w:rPr>
  </w:style>
  <w:style w:type="paragraph" w:customStyle="1" w:styleId="223">
    <w:name w:val="陈泽滨"/>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Char1"/>
    <w:basedOn w:val="1"/>
    <w:qFormat/>
    <w:uiPriority w:val="0"/>
    <w:pPr>
      <w:autoSpaceDE/>
      <w:autoSpaceDN/>
      <w:adjustRightInd/>
    </w:pPr>
    <w:rPr>
      <w:rFonts w:ascii="仿宋_GB2312" w:eastAsia="仿宋_GB2312"/>
      <w:b/>
      <w:color w:val="auto"/>
      <w:kern w:val="2"/>
      <w:sz w:val="32"/>
      <w:szCs w:val="32"/>
    </w:rPr>
  </w:style>
  <w:style w:type="paragraph" w:customStyle="1" w:styleId="225">
    <w:name w:val="font7"/>
    <w:basedOn w:val="1"/>
    <w:qFormat/>
    <w:uiPriority w:val="0"/>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26">
    <w:name w:val="纯文本2"/>
    <w:basedOn w:val="1"/>
    <w:qFormat/>
    <w:uiPriority w:val="0"/>
    <w:pPr>
      <w:autoSpaceDE/>
      <w:autoSpaceDN/>
      <w:adjustRightInd/>
    </w:pPr>
    <w:rPr>
      <w:rFonts w:ascii="宋体" w:hAnsi="Courier New"/>
      <w:color w:val="auto"/>
    </w:rPr>
  </w:style>
  <w:style w:type="paragraph" w:customStyle="1" w:styleId="227">
    <w:name w:val="样式1"/>
    <w:basedOn w:val="118"/>
    <w:qFormat/>
    <w:uiPriority w:val="0"/>
    <w:pPr>
      <w:widowControl w:val="0"/>
      <w:spacing w:afterLines="0"/>
      <w:ind w:firstLine="0" w:firstLineChars="0"/>
    </w:pPr>
    <w:rPr>
      <w:rFonts w:ascii="仿宋_GB2312" w:hAnsi="宋体" w:eastAsia="仿宋_GB2312"/>
      <w:bCs/>
      <w:color w:val="FF0000"/>
      <w:kern w:val="2"/>
      <w:sz w:val="21"/>
      <w:szCs w:val="21"/>
    </w:rPr>
  </w:style>
  <w:style w:type="paragraph" w:customStyle="1" w:styleId="228">
    <w:name w:val="xl10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229">
    <w:name w:val="标题 1（绿盟科技）"/>
    <w:basedOn w:val="2"/>
    <w:next w:val="1"/>
    <w:qFormat/>
    <w:uiPriority w:val="0"/>
    <w:pPr>
      <w:numPr>
        <w:ilvl w:val="0"/>
        <w:numId w:val="10"/>
      </w:numPr>
      <w:pBdr>
        <w:bottom w:val="single" w:color="auto" w:sz="48" w:space="1"/>
      </w:pBdr>
      <w:tabs>
        <w:tab w:val="left" w:pos="840"/>
      </w:tabs>
      <w:autoSpaceDE/>
      <w:autoSpaceDN/>
      <w:adjustRightInd/>
      <w:spacing w:before="600"/>
      <w:jc w:val="left"/>
    </w:pPr>
    <w:rPr>
      <w:rFonts w:ascii="Arial" w:hAnsi="Arial" w:eastAsia="黑体"/>
      <w:bCs/>
      <w:color w:val="auto"/>
      <w:szCs w:val="44"/>
    </w:rPr>
  </w:style>
  <w:style w:type="paragraph" w:customStyle="1" w:styleId="230">
    <w:name w:val="List Paragraph1"/>
    <w:basedOn w:val="1"/>
    <w:qFormat/>
    <w:uiPriority w:val="0"/>
    <w:pPr>
      <w:autoSpaceDE/>
      <w:autoSpaceDN/>
      <w:adjustRightInd/>
      <w:ind w:firstLine="420" w:firstLineChars="200"/>
    </w:pPr>
    <w:rPr>
      <w:color w:val="auto"/>
      <w:kern w:val="2"/>
      <w:szCs w:val="24"/>
    </w:rPr>
  </w:style>
  <w:style w:type="paragraph" w:customStyle="1" w:styleId="231">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2">
    <w:name w:val="4级标题"/>
    <w:basedOn w:val="1"/>
    <w:qFormat/>
    <w:uiPriority w:val="0"/>
    <w:pPr>
      <w:keepLines/>
      <w:numPr>
        <w:ilvl w:val="3"/>
        <w:numId w:val="6"/>
      </w:numPr>
      <w:autoSpaceDE/>
      <w:autoSpaceDN/>
      <w:adjustRightInd/>
      <w:spacing w:line="360" w:lineRule="auto"/>
      <w:contextualSpacing/>
      <w:jc w:val="left"/>
      <w:outlineLvl w:val="3"/>
    </w:pPr>
    <w:rPr>
      <w:rFonts w:ascii="黑体" w:hAnsi="黑体" w:eastAsia="黑体"/>
      <w:color w:val="auto"/>
      <w:sz w:val="24"/>
      <w:szCs w:val="24"/>
      <w:lang w:val="zh-CN" w:eastAsia="en-US" w:bidi="en-US"/>
    </w:rPr>
  </w:style>
  <w:style w:type="paragraph" w:customStyle="1" w:styleId="233">
    <w:name w:val="标题 5（有编号）（绿盟科技）"/>
    <w:basedOn w:val="1"/>
    <w:next w:val="1"/>
    <w:qFormat/>
    <w:uiPriority w:val="0"/>
    <w:pPr>
      <w:keepNext/>
      <w:keepLines/>
      <w:numPr>
        <w:ilvl w:val="4"/>
        <w:numId w:val="10"/>
      </w:numPr>
      <w:tabs>
        <w:tab w:val="left" w:pos="2580"/>
      </w:tabs>
      <w:autoSpaceDE/>
      <w:autoSpaceDN/>
      <w:adjustRightInd/>
      <w:spacing w:before="280" w:after="156" w:line="377" w:lineRule="auto"/>
      <w:jc w:val="left"/>
      <w:outlineLvl w:val="4"/>
    </w:pPr>
    <w:rPr>
      <w:rFonts w:ascii="Arial" w:hAnsi="Arial" w:eastAsia="黑体"/>
      <w:b/>
      <w:color w:val="auto"/>
      <w:sz w:val="24"/>
      <w:szCs w:val="28"/>
    </w:rPr>
  </w:style>
  <w:style w:type="paragraph" w:customStyle="1" w:styleId="234">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5">
    <w:name w:val="表格标注（绿盟科技）"/>
    <w:basedOn w:val="221"/>
    <w:next w:val="1"/>
    <w:qFormat/>
    <w:uiPriority w:val="0"/>
    <w:pPr>
      <w:numPr>
        <w:ilvl w:val="7"/>
      </w:numPr>
      <w:tabs>
        <w:tab w:val="left" w:pos="3840"/>
        <w:tab w:val="clear" w:pos="3420"/>
      </w:tabs>
    </w:pPr>
  </w:style>
  <w:style w:type="paragraph" w:customStyle="1" w:styleId="236">
    <w:name w:val="列出段落2"/>
    <w:basedOn w:val="1"/>
    <w:qFormat/>
    <w:uiPriority w:val="34"/>
    <w:pPr>
      <w:ind w:firstLine="420" w:firstLineChars="200"/>
    </w:pPr>
  </w:style>
  <w:style w:type="paragraph" w:customStyle="1" w:styleId="237">
    <w:name w:val="称呼1"/>
    <w:basedOn w:val="1"/>
    <w:next w:val="1"/>
    <w:qFormat/>
    <w:uiPriority w:val="0"/>
    <w:pPr>
      <w:widowControl/>
      <w:autoSpaceDE/>
      <w:autoSpaceDN/>
      <w:jc w:val="left"/>
      <w:textAlignment w:val="baseline"/>
    </w:pPr>
    <w:rPr>
      <w:rFonts w:ascii="Arial" w:hAnsi="Arial"/>
      <w:color w:val="auto"/>
      <w:spacing w:val="-5"/>
      <w:sz w:val="24"/>
      <w:szCs w:val="20"/>
    </w:rPr>
  </w:style>
  <w:style w:type="paragraph" w:customStyle="1" w:styleId="238">
    <w:name w:val="Body Text(ch)"/>
    <w:basedOn w:val="1"/>
    <w:next w:val="20"/>
    <w:qFormat/>
    <w:uiPriority w:val="0"/>
    <w:pPr>
      <w:autoSpaceDE/>
      <w:autoSpaceDN/>
      <w:adjustRightInd/>
      <w:spacing w:line="360" w:lineRule="auto"/>
    </w:pPr>
    <w:rPr>
      <w:rFonts w:ascii="宋体" w:hAnsi="宋体"/>
      <w:color w:val="auto"/>
      <w:kern w:val="2"/>
      <w:sz w:val="24"/>
      <w:szCs w:val="24"/>
    </w:rPr>
  </w:style>
  <w:style w:type="paragraph" w:customStyle="1" w:styleId="239">
    <w:name w:val="2级标题"/>
    <w:basedOn w:val="1"/>
    <w:qFormat/>
    <w:uiPriority w:val="0"/>
    <w:pPr>
      <w:keepLines/>
      <w:numPr>
        <w:ilvl w:val="1"/>
        <w:numId w:val="6"/>
      </w:numPr>
      <w:autoSpaceDE/>
      <w:autoSpaceDN/>
      <w:adjustRightInd/>
      <w:spacing w:before="240" w:after="120" w:line="360" w:lineRule="auto"/>
      <w:contextualSpacing/>
      <w:jc w:val="left"/>
      <w:outlineLvl w:val="1"/>
    </w:pPr>
    <w:rPr>
      <w:rFonts w:ascii="黑体" w:hAnsi="黑体" w:eastAsia="黑体"/>
      <w:color w:val="auto"/>
      <w:sz w:val="32"/>
      <w:szCs w:val="36"/>
      <w:lang w:val="zh-CN" w:eastAsia="en-US" w:bidi="en-US"/>
    </w:rPr>
  </w:style>
  <w:style w:type="paragraph" w:customStyle="1" w:styleId="240">
    <w:name w:val="标题 2（绿盟科技）"/>
    <w:basedOn w:val="3"/>
    <w:next w:val="1"/>
    <w:qFormat/>
    <w:uiPriority w:val="0"/>
    <w:pPr>
      <w:numPr>
        <w:ilvl w:val="1"/>
        <w:numId w:val="10"/>
      </w:numPr>
      <w:tabs>
        <w:tab w:val="left" w:pos="1320"/>
      </w:tabs>
      <w:jc w:val="left"/>
    </w:pPr>
    <w:rPr>
      <w:bCs w:val="0"/>
    </w:rPr>
  </w:style>
  <w:style w:type="paragraph" w:customStyle="1" w:styleId="241">
    <w:name w:val="回信地址"/>
    <w:basedOn w:val="1"/>
    <w:qFormat/>
    <w:uiPriority w:val="0"/>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242">
    <w:name w:val="1"/>
    <w:basedOn w:val="1"/>
    <w:qFormat/>
    <w:uiPriority w:val="0"/>
    <w:pPr>
      <w:widowControl/>
      <w:autoSpaceDE/>
      <w:autoSpaceDN/>
      <w:adjustRightInd/>
      <w:spacing w:after="160" w:line="240" w:lineRule="exact"/>
      <w:jc w:val="left"/>
    </w:pPr>
    <w:rPr>
      <w:color w:val="auto"/>
      <w:kern w:val="2"/>
      <w:szCs w:val="24"/>
    </w:rPr>
  </w:style>
  <w:style w:type="paragraph" w:customStyle="1" w:styleId="243">
    <w:name w:val="标准正文"/>
    <w:basedOn w:val="1"/>
    <w:qFormat/>
    <w:uiPriority w:val="0"/>
    <w:pPr>
      <w:autoSpaceDE/>
      <w:autoSpaceDN/>
      <w:adjustRightInd/>
      <w:spacing w:afterLines="50"/>
      <w:ind w:firstLine="200" w:firstLineChars="200"/>
    </w:pPr>
    <w:rPr>
      <w:color w:val="auto"/>
      <w:kern w:val="2"/>
      <w:sz w:val="24"/>
    </w:rPr>
  </w:style>
  <w:style w:type="paragraph" w:customStyle="1" w:styleId="244">
    <w:name w:val="table text"/>
    <w:basedOn w:val="1"/>
    <w:qFormat/>
    <w:uiPriority w:val="0"/>
    <w:pPr>
      <w:widowControl/>
      <w:autoSpaceDE/>
      <w:autoSpaceDN/>
      <w:adjustRightInd/>
    </w:pPr>
    <w:rPr>
      <w:rFonts w:ascii="Arial" w:hAnsi="Arial"/>
      <w:bCs/>
      <w:color w:val="auto"/>
      <w:sz w:val="20"/>
      <w:szCs w:val="20"/>
    </w:rPr>
  </w:style>
  <w:style w:type="paragraph" w:customStyle="1" w:styleId="245">
    <w:name w:val="Char2"/>
    <w:basedOn w:val="1"/>
    <w:qFormat/>
    <w:uiPriority w:val="0"/>
    <w:pPr>
      <w:autoSpaceDE/>
      <w:autoSpaceDN/>
      <w:adjustRightInd/>
    </w:pPr>
    <w:rPr>
      <w:color w:val="auto"/>
      <w:kern w:val="2"/>
      <w:szCs w:val="20"/>
    </w:rPr>
  </w:style>
  <w:style w:type="paragraph" w:customStyle="1" w:styleId="246">
    <w:name w:val="WPS Plain"/>
    <w:qFormat/>
    <w:uiPriority w:val="0"/>
    <w:rPr>
      <w:rFonts w:ascii="Times New Roman" w:hAnsi="Times New Roman" w:eastAsia="宋体" w:cs="Times New Roman"/>
      <w:sz w:val="21"/>
      <w:szCs w:val="22"/>
      <w:lang w:val="en-US" w:eastAsia="zh-CN" w:bidi="ar-SA"/>
    </w:rPr>
  </w:style>
  <w:style w:type="paragraph" w:customStyle="1" w:styleId="247">
    <w:name w:val="_Style 241"/>
    <w:qFormat/>
    <w:uiPriority w:val="0"/>
    <w:pPr>
      <w:autoSpaceDE/>
      <w:autoSpaceDN/>
      <w:adjustRightInd/>
      <w:spacing w:line="360" w:lineRule="auto"/>
      <w:ind w:firstLine="420" w:firstLineChars="200"/>
    </w:pPr>
    <w:rPr>
      <w:rFonts w:ascii="Calibri" w:hAnsi="Calibri" w:eastAsiaTheme="minorEastAsia" w:cstheme="minorBidi"/>
      <w:color w:val="auto"/>
      <w:kern w:val="2"/>
      <w:sz w:val="24"/>
      <w:szCs w:val="22"/>
    </w:rPr>
  </w:style>
  <w:style w:type="paragraph" w:customStyle="1" w:styleId="248">
    <w:name w:val="普通(网站)11"/>
    <w:basedOn w:val="1"/>
    <w:qFormat/>
    <w:uiPriority w:val="0"/>
    <w:pPr>
      <w:widowControl/>
      <w:autoSpaceDE/>
      <w:autoSpaceDN/>
      <w:adjustRightInd/>
      <w:spacing w:beforeAutospacing="1" w:afterAutospacing="1"/>
      <w:jc w:val="left"/>
    </w:pPr>
    <w:rPr>
      <w:rFonts w:ascii="宋体" w:hAnsi="宋体"/>
      <w:color w:val="auto"/>
      <w:sz w:val="24"/>
      <w:szCs w:val="24"/>
    </w:rPr>
  </w:style>
  <w:style w:type="character" w:customStyle="1" w:styleId="249">
    <w:name w:val="bookmark-item"/>
    <w:basedOn w:val="50"/>
    <w:qFormat/>
    <w:uiPriority w:val="0"/>
  </w:style>
  <w:style w:type="paragraph" w:customStyle="1" w:styleId="250">
    <w:name w:val="_Style 48"/>
    <w:basedOn w:val="14"/>
    <w:qFormat/>
    <w:uiPriority w:val="0"/>
    <w:pPr>
      <w:widowControl/>
      <w:spacing w:afterLines="50" w:line="360" w:lineRule="auto"/>
      <w:ind w:firstLine="480" w:firstLineChars="200"/>
      <w:jc w:val="left"/>
    </w:pPr>
    <w:rPr>
      <w:rFonts w:ascii="Arial" w:hAnsi="Arial" w:eastAsia="黑体" w:cs="Times New Roman"/>
      <w:snapToGrid w:val="0"/>
      <w:kern w:val="0"/>
      <w:sz w:val="20"/>
      <w:szCs w:val="21"/>
    </w:rPr>
  </w:style>
  <w:style w:type="character" w:customStyle="1" w:styleId="251">
    <w:name w:val="font21"/>
    <w:basedOn w:val="50"/>
    <w:qFormat/>
    <w:uiPriority w:val="0"/>
    <w:rPr>
      <w:rFonts w:hint="eastAsia" w:ascii="宋体" w:hAnsi="宋体" w:eastAsia="宋体" w:cs="宋体"/>
      <w:color w:val="000000"/>
      <w:sz w:val="26"/>
      <w:szCs w:val="26"/>
      <w:u w:val="none"/>
      <w:lang w:val="en-US" w:eastAsia="zh-CN" w:bidi="ar-SA"/>
    </w:rPr>
  </w:style>
  <w:style w:type="character" w:customStyle="1" w:styleId="252">
    <w:name w:val="font11"/>
    <w:basedOn w:val="50"/>
    <w:qFormat/>
    <w:uiPriority w:val="0"/>
    <w:rPr>
      <w:rFonts w:hint="default" w:ascii="Times New Roman" w:hAnsi="Times New Roman" w:cs="Times New Roman"/>
      <w:color w:val="000000"/>
      <w:sz w:val="26"/>
      <w:szCs w:val="26"/>
      <w:u w:val="none"/>
      <w:lang w:val="en-US" w:eastAsia="zh-CN" w:bidi="ar-SA"/>
    </w:rPr>
  </w:style>
  <w:style w:type="paragraph" w:customStyle="1" w:styleId="253">
    <w:name w:val="正文文本 31"/>
    <w:basedOn w:val="1"/>
    <w:qFormat/>
    <w:uiPriority w:val="0"/>
    <w:pPr>
      <w:spacing w:after="120"/>
    </w:pPr>
    <w:rPr>
      <w:sz w:val="16"/>
      <w:szCs w:val="16"/>
    </w:rPr>
  </w:style>
  <w:style w:type="paragraph" w:customStyle="1" w:styleId="254">
    <w:name w:val="索引 11"/>
    <w:basedOn w:val="1"/>
    <w:next w:val="1"/>
    <w:qFormat/>
    <w:uiPriority w:val="99"/>
    <w:pPr>
      <w:adjustRightInd/>
      <w:spacing w:line="360" w:lineRule="auto"/>
    </w:pPr>
    <w:rPr>
      <w:rFonts w:ascii="仿宋_GB2312" w:eastAsia="仿宋_GB2312"/>
      <w:sz w:val="24"/>
      <w:szCs w:val="20"/>
    </w:rPr>
  </w:style>
  <w:style w:type="paragraph" w:customStyle="1" w:styleId="255">
    <w:name w:val="Body Text First Indent 2"/>
    <w:basedOn w:val="256"/>
    <w:qFormat/>
    <w:uiPriority w:val="0"/>
    <w:pPr>
      <w:spacing w:after="120"/>
      <w:ind w:left="420" w:leftChars="200" w:firstLine="420"/>
    </w:pPr>
    <w:rPr>
      <w:rFonts w:ascii="Times New Roman" w:hAnsi="Times New Roman" w:cs="宋体"/>
      <w:color w:val="000000"/>
    </w:rPr>
  </w:style>
  <w:style w:type="paragraph" w:customStyle="1" w:styleId="256">
    <w:name w:val="Body Text Indent"/>
    <w:basedOn w:val="1"/>
    <w:next w:val="1"/>
    <w:qFormat/>
    <w:uiPriority w:val="0"/>
    <w:pPr>
      <w:spacing w:after="120" w:afterLines="0"/>
      <w:ind w:left="420" w:leftChars="200"/>
    </w:pPr>
    <w:rPr>
      <w:color w:val="000000"/>
      <w:sz w:val="21"/>
      <w:szCs w:val="21"/>
    </w:rPr>
  </w:style>
  <w:style w:type="paragraph" w:customStyle="1" w:styleId="257">
    <w:name w:val="Body Text 3"/>
    <w:basedOn w:val="1"/>
    <w:qFormat/>
    <w:uiPriority w:val="0"/>
    <w:pPr>
      <w:spacing w:after="120" w:afterLines="0"/>
    </w:pPr>
    <w:rPr>
      <w:sz w:val="16"/>
      <w:szCs w:val="16"/>
    </w:rPr>
  </w:style>
  <w:style w:type="paragraph" w:customStyle="1" w:styleId="258">
    <w:name w:val="纯文本_0_0"/>
    <w:basedOn w:val="259"/>
    <w:qFormat/>
    <w:uiPriority w:val="99"/>
    <w:rPr>
      <w:rFonts w:ascii="宋体" w:hAnsi="Courier New"/>
      <w:szCs w:val="20"/>
    </w:rPr>
  </w:style>
  <w:style w:type="paragraph" w:customStyle="1" w:styleId="259">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261">
    <w:name w:val="正文首行缩进 21"/>
    <w:basedOn w:val="129"/>
    <w:qFormat/>
    <w:uiPriority w:val="0"/>
    <w:pPr>
      <w:autoSpaceDE w:val="0"/>
      <w:autoSpaceDN w:val="0"/>
      <w:adjustRightInd w:val="0"/>
      <w:ind w:left="420" w:leftChars="200" w:firstLine="420"/>
    </w:pPr>
    <w:rPr>
      <w:rFonts w:cs="宋体"/>
      <w:color w:val="000000"/>
      <w:kern w:val="0"/>
      <w:szCs w:val="21"/>
    </w:rPr>
  </w:style>
  <w:style w:type="paragraph" w:customStyle="1" w:styleId="262">
    <w:name w:val="UserStyle_895"/>
    <w:basedOn w:val="263"/>
    <w:qFormat/>
    <w:uiPriority w:val="0"/>
    <w:pPr>
      <w:spacing w:after="120" w:line="240" w:lineRule="auto"/>
      <w:ind w:left="420" w:leftChars="200" w:firstLine="420"/>
      <w:jc w:val="both"/>
      <w:textAlignment w:val="baseline"/>
    </w:pPr>
    <w:rPr>
      <w:rFonts w:ascii="Times New Roman" w:hAnsi="Times New Roman" w:eastAsia="宋体"/>
      <w:color w:val="000000"/>
      <w:kern w:val="2"/>
      <w:sz w:val="21"/>
      <w:szCs w:val="21"/>
      <w:lang w:val="en-US" w:eastAsia="zh-CN" w:bidi="ar-SA"/>
    </w:rPr>
  </w:style>
  <w:style w:type="paragraph" w:customStyle="1" w:styleId="263">
    <w:name w:val="UserStyle_896"/>
    <w:basedOn w:val="1"/>
    <w:next w:val="1"/>
    <w:qFormat/>
    <w:uiPriority w:val="0"/>
    <w:pPr>
      <w:spacing w:after="120"/>
      <w:ind w:left="420" w:leftChars="200"/>
      <w:jc w:val="both"/>
      <w:textAlignment w:val="baseline"/>
    </w:pPr>
    <w:rPr>
      <w:rFonts w:ascii="Times New Roman" w:hAnsi="Times New Roman" w:eastAsia="宋体"/>
      <w:color w:val="000000"/>
      <w:kern w:val="2"/>
      <w:sz w:val="21"/>
      <w:szCs w:val="21"/>
      <w:lang w:val="en-US" w:eastAsia="zh-CN" w:bidi="ar-SA"/>
    </w:rPr>
  </w:style>
  <w:style w:type="character" w:customStyle="1" w:styleId="264">
    <w:name w:val="NormalCharacter"/>
    <w:semiHidden/>
    <w:qFormat/>
    <w:uiPriority w:val="0"/>
    <w:rPr>
      <w:color w:val="000000"/>
      <w:sz w:val="21"/>
      <w:szCs w:val="21"/>
      <w:lang w:val="en-US" w:eastAsia="zh-CN" w:bidi="ar-SA"/>
    </w:rPr>
  </w:style>
  <w:style w:type="paragraph" w:customStyle="1" w:styleId="265">
    <w:name w:val="UserStyle_899"/>
    <w:basedOn w:val="1"/>
    <w:qFormat/>
    <w:uiPriority w:val="0"/>
    <w:pPr>
      <w:autoSpaceDE/>
      <w:autoSpaceDN/>
      <w:snapToGrid w:val="0"/>
      <w:spacing w:line="360" w:lineRule="auto"/>
      <w:ind w:firstLine="480" w:firstLineChars="200"/>
      <w:jc w:val="both"/>
      <w:textAlignment w:val="baseline"/>
    </w:pPr>
    <w:rPr>
      <w:rFonts w:ascii="Arial" w:hAnsi="Arial" w:eastAsia="宋体"/>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0E19D-1B45-4F58-BCBA-8A42F68A4736}">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53</Pages>
  <Words>31030</Words>
  <Characters>32450</Characters>
  <Lines>275</Lines>
  <Paragraphs>77</Paragraphs>
  <TotalTime>177</TotalTime>
  <ScaleCrop>false</ScaleCrop>
  <LinksUpToDate>false</LinksUpToDate>
  <CharactersWithSpaces>37691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2020-07-20T08:41:00Z</dcterms:created>
  <dc:creator>小蛮 吴</dc:creator>
  <cp:lastModifiedBy>1395191119</cp:lastModifiedBy>
  <cp:lastPrinted>2021-04-09T01:05:00Z</cp:lastPrinted>
  <dcterms:modified xsi:type="dcterms:W3CDTF">2024-02-05T06:39:15Z</dcterms:modified>
  <cp:revision>751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90683BF8EBA7417995454658FA49F66D</vt:lpwstr>
  </property>
</Properties>
</file>