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品牌提升与质量攻坚（重新招标）项目</w:t>
      </w:r>
    </w:p>
    <w:p>
      <w:pPr>
        <w:pStyle w:val="25"/>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ZJ-2541690-07二次</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浙江省市场监督管理局品牌提升与质量攻坚（重新招标）</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kern w:val="2"/>
          <w:sz w:val="24"/>
          <w:szCs w:val="24"/>
        </w:rPr>
        <w:t>https://www.zcygov.cn/）获取（下载）招标文件，并于202</w:t>
      </w:r>
      <w:r>
        <w:rPr>
          <w:rStyle w:val="76"/>
          <w:rFonts w:hint="eastAsia" w:ascii="仿宋" w:hAnsi="仿宋" w:cs="仿宋"/>
          <w:kern w:val="2"/>
          <w:sz w:val="24"/>
          <w:szCs w:val="24"/>
          <w:lang w:val="en-US" w:eastAsia="zh-CN"/>
        </w:rPr>
        <w:t>5</w:t>
      </w:r>
      <w:r>
        <w:rPr>
          <w:rStyle w:val="76"/>
          <w:rFonts w:hint="eastAsia" w:ascii="仿宋" w:hAnsi="仿宋" w:eastAsia="仿宋" w:cs="仿宋"/>
          <w:kern w:val="2"/>
          <w:sz w:val="24"/>
          <w:szCs w:val="24"/>
        </w:rPr>
        <w:t>年</w:t>
      </w:r>
      <w:r>
        <w:rPr>
          <w:rStyle w:val="76"/>
          <w:rFonts w:hint="eastAsia" w:ascii="仿宋" w:hAnsi="仿宋" w:cs="仿宋"/>
          <w:kern w:val="2"/>
          <w:sz w:val="24"/>
          <w:szCs w:val="24"/>
          <w:lang w:val="en-US" w:eastAsia="zh-CN"/>
        </w:rPr>
        <w:t>8</w:t>
      </w:r>
      <w:r>
        <w:rPr>
          <w:rStyle w:val="76"/>
          <w:rFonts w:hint="eastAsia" w:ascii="仿宋" w:hAnsi="仿宋" w:eastAsia="仿宋" w:cs="仿宋"/>
          <w:kern w:val="2"/>
          <w:sz w:val="24"/>
          <w:szCs w:val="24"/>
        </w:rPr>
        <w:t>月</w:t>
      </w:r>
      <w:r>
        <w:rPr>
          <w:rStyle w:val="76"/>
          <w:rFonts w:hint="eastAsia" w:ascii="仿宋" w:hAnsi="仿宋" w:cs="仿宋"/>
          <w:kern w:val="2"/>
          <w:sz w:val="24"/>
          <w:szCs w:val="24"/>
          <w:lang w:val="en-US" w:eastAsia="zh-CN"/>
        </w:rPr>
        <w:t>7</w:t>
      </w:r>
      <w:r>
        <w:rPr>
          <w:rStyle w:val="76"/>
          <w:rFonts w:hint="eastAsia" w:ascii="仿宋" w:hAnsi="仿宋" w:eastAsia="仿宋" w:cs="仿宋"/>
          <w:kern w:val="2"/>
          <w:sz w:val="24"/>
          <w:szCs w:val="24"/>
        </w:rPr>
        <w:t>日</w:t>
      </w:r>
      <w:r>
        <w:rPr>
          <w:rStyle w:val="76"/>
          <w:rFonts w:hint="eastAsia" w:ascii="仿宋" w:hAnsi="仿宋" w:cs="仿宋"/>
          <w:kern w:val="2"/>
          <w:sz w:val="24"/>
          <w:szCs w:val="24"/>
          <w:lang w:val="en-US" w:eastAsia="zh-CN"/>
        </w:rPr>
        <w:t>09</w:t>
      </w:r>
      <w:r>
        <w:rPr>
          <w:rStyle w:val="76"/>
          <w:rFonts w:hint="eastAsia" w:ascii="仿宋" w:hAnsi="仿宋" w:eastAsia="仿宋" w:cs="仿宋"/>
          <w:kern w:val="2"/>
          <w:sz w:val="24"/>
          <w:szCs w:val="24"/>
        </w:rPr>
        <w:t>点00分</w:t>
      </w:r>
      <w:r>
        <w:rPr>
          <w:rStyle w:val="76"/>
          <w:rFonts w:hint="eastAsia" w:ascii="仿宋" w:hAnsi="仿宋" w:eastAsia="仿宋" w:cs="仿宋"/>
          <w:bCs/>
          <w:kern w:val="2"/>
          <w:sz w:val="24"/>
          <w:szCs w:val="24"/>
        </w:rPr>
        <w:t>00秒</w:t>
      </w:r>
      <w:r>
        <w:rPr>
          <w:rStyle w:val="76"/>
          <w:rFonts w:hint="eastAsia" w:ascii="仿宋" w:hAnsi="仿宋" w:eastAsia="仿宋" w:cs="仿宋"/>
          <w:bCs/>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2541690-07二次</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浙江省市场监督管理局品牌提升与质量攻坚（重新招标）</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900000</w:t>
      </w:r>
      <w:r>
        <w:rPr>
          <w:rFonts w:hint="eastAsia" w:ascii="仿宋" w:hAnsi="仿宋" w:cs="仿宋"/>
          <w:b/>
          <w:lang w:eastAsia="zh-CN"/>
        </w:rPr>
        <w:t>.00</w:t>
      </w:r>
    </w:p>
    <w:p>
      <w:pPr>
        <w:pStyle w:val="16"/>
        <w:spacing w:line="312" w:lineRule="auto"/>
        <w:ind w:firstLine="0"/>
        <w:rPr>
          <w:rFonts w:hint="default" w:ascii="仿宋" w:hAnsi="仿宋" w:cs="仿宋"/>
          <w:b/>
          <w:color w:val="auto"/>
          <w:sz w:val="24"/>
          <w:lang w:val="en-US"/>
        </w:rPr>
      </w:pPr>
      <w:r>
        <w:rPr>
          <w:rFonts w:hint="eastAsia" w:ascii="仿宋" w:hAnsi="仿宋" w:cs="仿宋"/>
          <w:b/>
          <w:color w:val="auto"/>
          <w:sz w:val="24"/>
        </w:rPr>
        <w:t>最高限价（元）：</w:t>
      </w:r>
      <w:r>
        <w:rPr>
          <w:rFonts w:hint="eastAsia" w:ascii="仿宋" w:hAnsi="仿宋" w:cs="仿宋"/>
          <w:b/>
          <w:color w:val="auto"/>
          <w:sz w:val="24"/>
          <w:lang w:val="en-US" w:eastAsia="zh-CN"/>
        </w:rPr>
        <w:t>900000.00</w:t>
      </w:r>
    </w:p>
    <w:p>
      <w:pPr>
        <w:pStyle w:val="16"/>
        <w:spacing w:line="312" w:lineRule="auto"/>
        <w:ind w:firstLine="0"/>
        <w:rPr>
          <w:rFonts w:hint="eastAsia" w:ascii="仿宋" w:hAnsi="仿宋" w:cs="仿宋"/>
          <w:b/>
          <w:color w:val="auto"/>
          <w:sz w:val="24"/>
        </w:rPr>
      </w:pPr>
    </w:p>
    <w:p>
      <w:pPr>
        <w:pStyle w:val="1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仿宋" w:hAnsi="仿宋" w:eastAsia="仿宋" w:cs="仿宋"/>
          <w:color w:val="auto"/>
          <w:kern w:val="2"/>
          <w:lang w:val="en-US" w:eastAsia="zh-CN"/>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标项名称:绿色修船国际认证技术研究及应用</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900000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绿色修船国际认证技术研究及应用，</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color w:val="auto"/>
          <w:kern w:val="2"/>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left="0" w:leftChars="0" w:firstLine="0" w:firstLineChars="0"/>
        <w:rPr>
          <w:rFonts w:ascii="仿宋" w:hAnsi="仿宋" w:cs="仿宋"/>
          <w:b/>
          <w:color w:val="auto"/>
          <w:sz w:val="24"/>
        </w:rPr>
      </w:pPr>
    </w:p>
    <w:p>
      <w:pPr>
        <w:pStyle w:val="16"/>
        <w:spacing w:line="312" w:lineRule="auto"/>
        <w:ind w:firstLine="480"/>
        <w:rPr>
          <w:rFonts w:ascii="仿宋" w:hAnsi="仿宋" w:cs="仿宋"/>
          <w:b/>
          <w:color w:val="auto"/>
          <w:sz w:val="24"/>
        </w:rPr>
      </w:pPr>
      <w:r>
        <w:rPr>
          <w:rFonts w:hint="eastAsia" w:ascii="仿宋" w:hAnsi="仿宋" w:cs="仿宋"/>
          <w:b/>
          <w:color w:val="auto"/>
          <w:sz w:val="24"/>
        </w:rPr>
        <w:t>合同履约期限：自合同签订生效后12个月内完成。</w:t>
      </w:r>
    </w:p>
    <w:p>
      <w:pPr>
        <w:pStyle w:val="1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00</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8</w:t>
      </w:r>
      <w:r>
        <w:rPr>
          <w:rFonts w:hint="eastAsia" w:ascii="仿宋" w:hAnsi="仿宋" w:cs="仿宋"/>
          <w:u w:val="single"/>
        </w:rPr>
        <w:t>月</w:t>
      </w:r>
      <w:r>
        <w:rPr>
          <w:rFonts w:hint="eastAsia" w:ascii="仿宋" w:hAnsi="仿宋" w:cs="仿宋"/>
          <w:u w:val="single"/>
          <w:lang w:val="en-US" w:eastAsia="zh-CN"/>
        </w:rPr>
        <w:t>7</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00</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传    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项目联系人（询问）：</w:t>
      </w:r>
      <w:r>
        <w:rPr>
          <w:rFonts w:hint="eastAsia" w:ascii="仿宋" w:hAnsi="仿宋" w:cs="仿宋"/>
          <w:highlight w:val="none"/>
          <w:lang w:val="en-US" w:eastAsia="zh-CN"/>
        </w:rPr>
        <w:t>郑晨</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项目联系方式（询问）：0571-89761415</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凌张伟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质疑联系方式：0571-897614</w:t>
      </w:r>
      <w:r>
        <w:rPr>
          <w:rFonts w:hint="eastAsia" w:ascii="仿宋" w:hAnsi="仿宋" w:cs="仿宋"/>
          <w:highlight w:val="none"/>
          <w:lang w:val="en-US" w:eastAsia="zh-CN"/>
        </w:rPr>
        <w:t>30</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75"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
              <w:rPr>
                <w:rFonts w:hint="eastAsia"/>
                <w:lang w:eastAsia="zh-CN"/>
              </w:rPr>
            </w:pPr>
            <w:r>
              <w:rPr>
                <w:rFonts w:hint="eastAsia" w:ascii="仿宋" w:hAnsi="仿宋" w:cs="仿宋"/>
              </w:rPr>
              <w:t>标的：</w:t>
            </w:r>
            <w:r>
              <w:rPr>
                <w:rFonts w:hint="eastAsia" w:ascii="仿宋" w:hAnsi="仿宋" w:cs="仿宋"/>
                <w:u w:val="single"/>
                <w:lang w:val="en-US" w:eastAsia="zh-CN"/>
              </w:rPr>
              <w:t>绿色修船国际认证技术研究及应用</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eastAsia"/>
              </w:rPr>
            </w:pPr>
            <w:r>
              <w:rPr>
                <w:rFonts w:hint="eastAsia"/>
              </w:rPr>
              <w:t>根据《关于印发中小企业划型标准规定的通知》（工信部联企业〔2011〕300）第四条第（二）项规定：</w:t>
            </w:r>
          </w:p>
          <w:p>
            <w:pPr>
              <w:pStyle w:val="2"/>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hint="default" w:ascii="仿宋" w:hAnsi="仿宋" w:eastAsia="仿宋" w:cs="仿宋"/>
                <w:b/>
                <w:lang w:val="en-US" w:eastAsia="zh-CN"/>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本项目不允许采购进口产品。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hint="eastAsia" w:ascii="仿宋" w:hAnsi="仿宋" w:eastAsia="仿宋" w:cs="仿宋"/>
                <w:szCs w:val="20"/>
                <w:highlight w:val="none"/>
                <w:lang w:eastAsia="zh-CN"/>
              </w:rPr>
            </w:pPr>
            <w:r>
              <w:rPr>
                <w:rFonts w:hint="eastAsia" w:ascii="仿宋" w:hAnsi="仿宋" w:cs="仿宋"/>
                <w:highlight w:val="none"/>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numPr>
                <w:ilvl w:val="0"/>
                <w:numId w:val="0"/>
              </w:numPr>
              <w:spacing w:line="288" w:lineRule="auto"/>
              <w:ind w:leftChars="0"/>
              <w:rPr>
                <w:rFonts w:ascii="仿宋" w:hAnsi="仿宋" w:cs="仿宋"/>
                <w:b/>
              </w:rPr>
            </w:pPr>
            <w:r>
              <w:rPr>
                <w:rFonts w:hint="eastAsia" w:ascii="仿宋" w:hAnsi="仿宋" w:cs="仿宋"/>
              </w:rPr>
              <w:t>不要求提供。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numPr>
                <w:ilvl w:val="0"/>
                <w:numId w:val="0"/>
              </w:numPr>
              <w:spacing w:line="288" w:lineRule="auto"/>
              <w:ind w:leftChars="0"/>
              <w:rPr>
                <w:lang w:val="zh-CN"/>
              </w:rPr>
            </w:pPr>
            <w:sdt>
              <w:sdtPr>
                <w:rPr>
                  <w:rFonts w:hint="eastAsia"/>
                </w:rPr>
                <w:id w:val="-1859348549"/>
              </w:sdtPr>
              <w:sdtEndPr>
                <w:rPr>
                  <w:rFonts w:hint="eastAsia"/>
                </w:rPr>
              </w:sdtEndPr>
              <w:sdtContent/>
            </w:sdt>
            <w:r>
              <w:rPr>
                <w:rFonts w:hint="eastAsia"/>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6"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1"/>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1"/>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1"/>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1"/>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业绩证明材料</w:t>
            </w:r>
          </w:p>
          <w:p>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其他资信证明材料</w:t>
            </w:r>
          </w:p>
          <w:p>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6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28"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2"/>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2"/>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2"/>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2"/>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2"/>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2"/>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2"/>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2"/>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2"/>
        </w:numPr>
        <w:ind w:left="0" w:firstLine="480" w:firstLineChars="200"/>
        <w:rPr>
          <w:rFonts w:ascii="仿宋" w:hAnsi="仿宋" w:cs="仿宋"/>
        </w:rPr>
      </w:pPr>
      <w:r>
        <w:rPr>
          <w:rFonts w:hint="eastAsia" w:ascii="仿宋" w:hAnsi="仿宋" w:cs="仿宋"/>
        </w:rPr>
        <w:t>支持绿色发展</w:t>
      </w:r>
    </w:p>
    <w:p>
      <w:pPr>
        <w:numPr>
          <w:ilvl w:val="2"/>
          <w:numId w:val="2"/>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2"/>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2"/>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2"/>
        </w:numPr>
        <w:ind w:left="0" w:firstLine="480" w:firstLineChars="200"/>
        <w:rPr>
          <w:rFonts w:ascii="仿宋" w:hAnsi="仿宋" w:cs="仿宋"/>
        </w:rPr>
      </w:pPr>
      <w:r>
        <w:rPr>
          <w:rFonts w:hint="eastAsia" w:ascii="仿宋" w:hAnsi="仿宋" w:cs="仿宋"/>
        </w:rPr>
        <w:t>支持中小企业发展</w:t>
      </w:r>
    </w:p>
    <w:p>
      <w:pPr>
        <w:numPr>
          <w:ilvl w:val="2"/>
          <w:numId w:val="2"/>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2"/>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2"/>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2"/>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2"/>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2"/>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2"/>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2"/>
        </w:numPr>
        <w:ind w:left="0" w:firstLine="480" w:firstLineChars="200"/>
        <w:rPr>
          <w:rFonts w:ascii="仿宋" w:hAnsi="仿宋" w:cs="仿宋"/>
        </w:rPr>
      </w:pPr>
      <w:r>
        <w:rPr>
          <w:rFonts w:hint="eastAsia" w:ascii="仿宋" w:hAnsi="仿宋" w:cs="仿宋"/>
        </w:rPr>
        <w:t>支持创新发展</w:t>
      </w:r>
    </w:p>
    <w:p>
      <w:pPr>
        <w:numPr>
          <w:ilvl w:val="2"/>
          <w:numId w:val="2"/>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2"/>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2"/>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2"/>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2"/>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3"/>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3"/>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3"/>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3"/>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2"/>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2"/>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2"/>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2"/>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2"/>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2"/>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2"/>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2"/>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2"/>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2"/>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2"/>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68072998"/>
      <w:bookmarkEnd w:id="19"/>
      <w:bookmarkStart w:id="20" w:name="_Hlt75236290"/>
      <w:bookmarkEnd w:id="20"/>
      <w:bookmarkStart w:id="21" w:name="_Hlt68073093"/>
      <w:bookmarkEnd w:id="21"/>
      <w:bookmarkStart w:id="22" w:name="_Hlt75236101"/>
      <w:bookmarkEnd w:id="22"/>
      <w:bookmarkStart w:id="23" w:name="_Hlt68403820"/>
      <w:bookmarkEnd w:id="23"/>
      <w:bookmarkStart w:id="24" w:name="_Hlt74707468"/>
      <w:bookmarkEnd w:id="24"/>
      <w:bookmarkStart w:id="25" w:name="_Hlt75236011"/>
      <w:bookmarkEnd w:id="25"/>
      <w:bookmarkStart w:id="26" w:name="_Hlt68072990"/>
      <w:bookmarkEnd w:id="26"/>
      <w:bookmarkStart w:id="27" w:name="_Hlt74714665"/>
      <w:bookmarkEnd w:id="27"/>
      <w:bookmarkStart w:id="28" w:name="_Hlt68057669"/>
      <w:bookmarkEnd w:id="28"/>
      <w:bookmarkStart w:id="29" w:name="_Hlt74729768"/>
      <w:bookmarkEnd w:id="29"/>
      <w:bookmarkStart w:id="30" w:name="_Hlt74730295"/>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3"/>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一、项目背景</w:t>
      </w:r>
    </w:p>
    <w:p>
      <w:pPr>
        <w:snapToGrid w:val="0"/>
        <w:spacing w:line="360" w:lineRule="auto"/>
        <w:ind w:firstLine="480" w:firstLineChars="200"/>
        <w:jc w:val="left"/>
        <w:rPr>
          <w:rFonts w:hint="eastAsia" w:ascii="宋体" w:hAnsi="宋体" w:eastAsia="宋体" w:cs="宋体"/>
          <w:b w:val="0"/>
          <w:bCs/>
          <w:sz w:val="24"/>
          <w:lang w:eastAsia="zh-CN"/>
        </w:rPr>
      </w:pPr>
      <w:r>
        <w:rPr>
          <w:rFonts w:hint="eastAsia" w:ascii="宋体" w:hAnsi="宋体" w:cs="宋体"/>
          <w:b w:val="0"/>
          <w:bCs/>
          <w:sz w:val="24"/>
          <w:lang w:val="en-US" w:eastAsia="zh-CN"/>
        </w:rPr>
        <w:t>根据</w:t>
      </w:r>
      <w:r>
        <w:rPr>
          <w:rFonts w:hint="eastAsia" w:ascii="宋体" w:hAnsi="宋体" w:cs="宋体"/>
          <w:b w:val="0"/>
          <w:bCs/>
          <w:sz w:val="24"/>
          <w:lang w:eastAsia="zh-CN"/>
        </w:rPr>
        <w:t>《</w:t>
      </w:r>
      <w:r>
        <w:rPr>
          <w:rFonts w:hint="eastAsia" w:ascii="宋体" w:hAnsi="宋体" w:cs="宋体"/>
          <w:b w:val="0"/>
          <w:bCs/>
          <w:sz w:val="24"/>
          <w:lang w:val="en-US" w:eastAsia="zh-CN"/>
        </w:rPr>
        <w:t>浙江省市场监督管理局关于印发2025年全省质量工作要点的通知</w:t>
      </w:r>
      <w:r>
        <w:rPr>
          <w:rFonts w:hint="eastAsia" w:ascii="宋体" w:hAnsi="宋体" w:cs="宋体"/>
          <w:b w:val="0"/>
          <w:bCs/>
          <w:sz w:val="24"/>
          <w:lang w:eastAsia="zh-CN"/>
        </w:rPr>
        <w:t>》（</w:t>
      </w:r>
      <w:r>
        <w:rPr>
          <w:rFonts w:hint="eastAsia" w:ascii="宋体" w:hAnsi="宋体" w:cs="宋体"/>
          <w:b w:val="0"/>
          <w:bCs/>
          <w:sz w:val="24"/>
          <w:lang w:val="en-US" w:eastAsia="zh-CN"/>
        </w:rPr>
        <w:t>浙市监质〔2025〕2号</w:t>
      </w:r>
      <w:r>
        <w:rPr>
          <w:rFonts w:hint="eastAsia" w:ascii="宋体" w:hAnsi="宋体" w:cs="宋体"/>
          <w:b w:val="0"/>
          <w:bCs/>
          <w:sz w:val="24"/>
          <w:lang w:eastAsia="zh-CN"/>
        </w:rPr>
        <w:t>）</w:t>
      </w:r>
      <w:r>
        <w:rPr>
          <w:rFonts w:hint="eastAsia" w:ascii="宋体" w:hAnsi="宋体" w:cs="宋体"/>
          <w:b w:val="0"/>
          <w:bCs/>
          <w:sz w:val="24"/>
          <w:lang w:val="en-US" w:eastAsia="zh-CN"/>
        </w:rPr>
        <w:t>有关部署</w:t>
      </w:r>
      <w:r>
        <w:rPr>
          <w:rFonts w:hint="eastAsia" w:ascii="宋体" w:hAnsi="宋体" w:cs="宋体"/>
          <w:b w:val="0"/>
          <w:bCs/>
          <w:sz w:val="24"/>
          <w:lang w:eastAsia="zh-CN"/>
        </w:rPr>
        <w:t>，</w:t>
      </w:r>
      <w:r>
        <w:rPr>
          <w:rFonts w:hint="eastAsia" w:ascii="宋体" w:hAnsi="宋体" w:cs="宋体"/>
          <w:b w:val="0"/>
          <w:bCs/>
          <w:sz w:val="24"/>
          <w:lang w:val="en-US" w:eastAsia="zh-CN"/>
        </w:rPr>
        <w:t>聚焦重点产业及企业发展需求，浙江省市场监管局拟</w:t>
      </w:r>
      <w:r>
        <w:rPr>
          <w:rFonts w:hint="eastAsia" w:ascii="宋体" w:hAnsi="宋体" w:cs="宋体"/>
          <w:bCs/>
          <w:sz w:val="24"/>
          <w:lang w:val="en-US" w:eastAsia="zh-CN"/>
        </w:rPr>
        <w:t>实施2025年省级质量攻坚重点项目，</w:t>
      </w:r>
      <w:r>
        <w:rPr>
          <w:rFonts w:hint="eastAsia" w:ascii="宋体" w:hAnsi="宋体" w:cs="宋体"/>
          <w:b w:val="0"/>
          <w:bCs/>
          <w:sz w:val="24"/>
          <w:lang w:eastAsia="zh-CN"/>
        </w:rPr>
        <w:t>强化质量技术支撑，开展协同攻关，着力解决一批制约产业质量提升的关键共性问题，加速打通产业链质量堵点，</w:t>
      </w:r>
      <w:r>
        <w:rPr>
          <w:rFonts w:hint="eastAsia" w:ascii="宋体" w:hAnsi="宋体" w:cs="宋体"/>
          <w:bCs/>
          <w:sz w:val="24"/>
        </w:rPr>
        <w:t>推动企业加快质量技术创新突破与应用</w:t>
      </w:r>
      <w:r>
        <w:rPr>
          <w:rFonts w:hint="eastAsia" w:ascii="宋体" w:hAnsi="宋体" w:cs="宋体"/>
          <w:bCs/>
          <w:sz w:val="24"/>
          <w:lang w:eastAsia="zh-CN"/>
        </w:rPr>
        <w:t>，</w:t>
      </w:r>
      <w:r>
        <w:rPr>
          <w:rFonts w:hint="eastAsia" w:ascii="宋体" w:hAnsi="宋体" w:cs="宋体"/>
          <w:bCs/>
          <w:sz w:val="24"/>
          <w:lang w:val="en-US" w:eastAsia="zh-CN"/>
        </w:rPr>
        <w:t>助力我省智能物联等产业高质量发展</w:t>
      </w:r>
      <w:r>
        <w:rPr>
          <w:rFonts w:hint="eastAsia" w:ascii="宋体" w:hAnsi="宋体" w:cs="宋体"/>
          <w:bCs/>
          <w:sz w:val="24"/>
        </w:rPr>
        <w:t>。</w:t>
      </w:r>
    </w:p>
    <w:p>
      <w:pPr>
        <w:pStyle w:val="4"/>
        <w:keepNext/>
        <w:keepLines/>
        <w:pageBreakBefore w:val="0"/>
        <w:widowControl w:val="0"/>
        <w:numPr>
          <w:ilvl w:val="0"/>
          <w:numId w:val="4"/>
        </w:numPr>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服务内容及技术要求</w:t>
      </w:r>
    </w:p>
    <w:p>
      <w:pPr>
        <w:snapToGrid w:val="0"/>
        <w:spacing w:line="360" w:lineRule="auto"/>
        <w:ind w:firstLine="480" w:firstLineChars="200"/>
        <w:rPr>
          <w:rFonts w:ascii="宋体" w:hAnsi="宋体" w:cs="宋体"/>
          <w:sz w:val="24"/>
        </w:rPr>
      </w:pPr>
      <w:r>
        <w:rPr>
          <w:rFonts w:ascii="宋体" w:hAnsi="宋体" w:cs="宋体"/>
          <w:sz w:val="24"/>
        </w:rPr>
        <w:t>具体信息如下：</w:t>
      </w:r>
    </w:p>
    <w:tbl>
      <w:tblPr>
        <w:tblStyle w:val="6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65"/>
        <w:gridCol w:w="612"/>
        <w:gridCol w:w="720"/>
        <w:gridCol w:w="1200"/>
        <w:gridCol w:w="156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eastAsia="zh-CN"/>
              </w:rPr>
            </w:pPr>
            <w:r>
              <w:rPr>
                <w:rFonts w:hint="eastAsia" w:ascii="方正仿宋_GB2312" w:hAnsi="方正仿宋_GB2312" w:eastAsia="方正仿宋_GB2312" w:cs="方正仿宋_GB2312"/>
                <w:b/>
                <w:bCs/>
                <w:color w:val="000000"/>
                <w:kern w:val="0"/>
                <w:sz w:val="22"/>
                <w:szCs w:val="22"/>
                <w:lang w:val="en-US" w:eastAsia="zh-CN"/>
              </w:rPr>
              <w:t>序号</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rPr>
            </w:pPr>
            <w:r>
              <w:rPr>
                <w:rFonts w:hint="eastAsia" w:ascii="方正仿宋_GB2312" w:hAnsi="方正仿宋_GB2312" w:eastAsia="方正仿宋_GB2312" w:cs="方正仿宋_GB2312"/>
                <w:b/>
                <w:bCs/>
                <w:color w:val="000000"/>
                <w:kern w:val="0"/>
                <w:sz w:val="22"/>
                <w:szCs w:val="22"/>
                <w:lang w:val="en-US" w:eastAsia="zh-CN"/>
              </w:rPr>
              <w:t>标项</w:t>
            </w:r>
            <w:r>
              <w:rPr>
                <w:rFonts w:hint="eastAsia" w:ascii="方正仿宋_GB2312" w:hAnsi="方正仿宋_GB2312" w:eastAsia="方正仿宋_GB2312" w:cs="方正仿宋_GB2312"/>
                <w:b/>
                <w:bCs/>
                <w:color w:val="000000"/>
                <w:kern w:val="0"/>
                <w:sz w:val="22"/>
                <w:szCs w:val="22"/>
              </w:rPr>
              <w:t>名称</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数量</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单位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预算金额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bidi="ar-SA"/>
              </w:rPr>
            </w:pPr>
            <w:r>
              <w:rPr>
                <w:rFonts w:hint="eastAsia" w:ascii="方正仿宋_GB2312" w:hAnsi="方正仿宋_GB2312" w:eastAsia="方正仿宋_GB2312" w:cs="方正仿宋_GB2312"/>
                <w:b/>
                <w:bCs/>
                <w:color w:val="000000"/>
                <w:kern w:val="0"/>
                <w:sz w:val="22"/>
                <w:szCs w:val="22"/>
                <w:lang w:val="en-US" w:eastAsia="zh-CN"/>
              </w:rPr>
              <w:t>（万元）</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rPr>
            </w:pPr>
            <w:r>
              <w:rPr>
                <w:rFonts w:hint="eastAsia" w:ascii="方正仿宋_GB2312" w:hAnsi="方正仿宋_GB2312" w:eastAsia="方正仿宋_GB2312" w:cs="方正仿宋_GB2312"/>
                <w:b/>
                <w:bCs/>
                <w:color w:val="000000"/>
                <w:kern w:val="0"/>
                <w:sz w:val="22"/>
                <w:szCs w:val="22"/>
              </w:rPr>
              <w:t>所属产业</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rPr>
            </w:pPr>
            <w:r>
              <w:rPr>
                <w:rFonts w:hint="eastAsia" w:ascii="方正仿宋_GB2312" w:hAnsi="方正仿宋_GB2312" w:eastAsia="方正仿宋_GB2312" w:cs="方正仿宋_GB2312"/>
                <w:b/>
                <w:bCs/>
                <w:color w:val="000000"/>
                <w:kern w:val="0"/>
                <w:sz w:val="22"/>
                <w:szCs w:val="22"/>
                <w:lang w:val="en-US" w:eastAsia="zh-CN"/>
              </w:rPr>
              <w:t>重点服务地区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绿色修船国际认证技术研究及应用</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90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高端船舶与海工装备</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val="en-US"/>
              </w:rPr>
            </w:pPr>
            <w:r>
              <w:rPr>
                <w:rFonts w:hint="eastAsia" w:ascii="方正仿宋_GB2312" w:hAnsi="方正仿宋_GB2312" w:eastAsia="方正仿宋_GB2312" w:cs="方正仿宋_GB2312"/>
                <w:color w:val="auto"/>
                <w:kern w:val="0"/>
                <w:sz w:val="22"/>
                <w:szCs w:val="22"/>
                <w:lang w:val="en-US" w:eastAsia="zh-CN"/>
              </w:rPr>
              <w:t>舟山</w:t>
            </w:r>
          </w:p>
        </w:tc>
      </w:tr>
    </w:tbl>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1.服务内容</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开展国内外绿色修船认证现状调研：深入调研国内外修造船行业对船舶能效、碳排放强度、资源循环利用、绿色能源发展等要求，详细剖析国内造修船产业现状及认证活动开展情况，识别全球绿色贸易壁垒对国内修船业的影响，开展绿色修船认证的路径研究。</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开展国内外绿色修造船认证标准体系研究：研究国内外绿色修造船绿色认证标准，结合我国修船产业现状及全球绿色船舶发展趋势，构建碳足迹认证和绿色修船认证标准体系指南，推动修船行业绿色发展。</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开展绿色修船国际认证技术标准研究：研究制定国内外绿色修船术语、评价要求等基础与管理标准，为绿色修船国际认证提供技术支持。</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加强绿色修船品牌推广：通过产学研协同合作，开展绿色修造船企业的培育，加强认证推广，推进绿色修船国际化水平，扩大绿色修船行业影响力，提升我国修船产业在全球市场的竞争力。</w:t>
      </w:r>
    </w:p>
    <w:p>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2.重点服务区域：舟山。</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.技术要求</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开展绿色修船标准认证技术研讨活动不少于2场，</w:t>
      </w:r>
      <w:r>
        <w:rPr>
          <w:rFonts w:hint="eastAsia" w:ascii="宋体" w:hAnsi="宋体" w:cs="宋体"/>
          <w:sz w:val="24"/>
          <w:lang w:eastAsia="zh-CN"/>
        </w:rPr>
        <w:t>研究形成国内外绿色修造船认证发展现状</w:t>
      </w:r>
      <w:r>
        <w:rPr>
          <w:rFonts w:hint="eastAsia" w:ascii="宋体" w:hAnsi="宋体" w:cs="宋体"/>
          <w:sz w:val="24"/>
          <w:lang w:val="en-US" w:eastAsia="zh-CN"/>
        </w:rPr>
        <w:t>及对策建议</w:t>
      </w:r>
      <w:r>
        <w:rPr>
          <w:rFonts w:hint="eastAsia" w:ascii="宋体" w:hAnsi="宋体" w:cs="宋体"/>
          <w:sz w:val="24"/>
          <w:lang w:eastAsia="zh-CN"/>
        </w:rPr>
        <w:t>调研报告1份。</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研究形成绿色修造船认证标准体系建设指南1份。</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完成绿色修船术语、评价要求</w:t>
      </w:r>
      <w:r>
        <w:rPr>
          <w:rFonts w:hint="eastAsia" w:ascii="宋体" w:hAnsi="宋体" w:cs="宋体"/>
          <w:sz w:val="24"/>
          <w:lang w:val="en-US" w:eastAsia="zh-CN"/>
        </w:rPr>
        <w:t>等相关</w:t>
      </w:r>
      <w:r>
        <w:rPr>
          <w:rFonts w:hint="eastAsia" w:ascii="宋体" w:hAnsi="宋体" w:cs="宋体"/>
          <w:sz w:val="24"/>
          <w:lang w:eastAsia="zh-CN"/>
        </w:rPr>
        <w:t>标准立项不少于</w:t>
      </w:r>
      <w:r>
        <w:rPr>
          <w:rFonts w:hint="eastAsia" w:ascii="宋体" w:hAnsi="宋体" w:cs="宋体"/>
          <w:sz w:val="24"/>
          <w:lang w:val="en-US" w:eastAsia="zh-CN"/>
        </w:rPr>
        <w:t>3</w:t>
      </w:r>
      <w:r>
        <w:rPr>
          <w:rFonts w:hint="eastAsia" w:ascii="宋体" w:hAnsi="宋体" w:cs="宋体"/>
          <w:sz w:val="24"/>
          <w:lang w:eastAsia="zh-CN"/>
        </w:rPr>
        <w:t>项。</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开展绿色修造船认证培训不少于</w:t>
      </w:r>
      <w:r>
        <w:rPr>
          <w:rFonts w:hint="eastAsia" w:ascii="宋体" w:hAnsi="宋体" w:cs="宋体"/>
          <w:sz w:val="24"/>
          <w:lang w:val="en-US" w:eastAsia="zh-CN"/>
        </w:rPr>
        <w:t>2</w:t>
      </w:r>
      <w:r>
        <w:rPr>
          <w:rFonts w:hint="eastAsia" w:ascii="宋体" w:hAnsi="宋体" w:cs="宋体"/>
          <w:sz w:val="24"/>
          <w:lang w:eastAsia="zh-CN"/>
        </w:rPr>
        <w:t>场，</w:t>
      </w:r>
      <w:r>
        <w:rPr>
          <w:rFonts w:hint="eastAsia" w:ascii="宋体" w:hAnsi="宋体" w:cs="宋体"/>
          <w:sz w:val="24"/>
          <w:lang w:val="en-US" w:eastAsia="zh-CN"/>
        </w:rPr>
        <w:t>培训对象</w:t>
      </w:r>
      <w:r>
        <w:rPr>
          <w:rFonts w:hint="eastAsia" w:ascii="宋体" w:hAnsi="宋体" w:cs="宋体"/>
          <w:sz w:val="24"/>
          <w:lang w:eastAsia="zh-CN"/>
        </w:rPr>
        <w:t>不少于</w:t>
      </w:r>
      <w:r>
        <w:rPr>
          <w:rFonts w:hint="eastAsia" w:ascii="宋体" w:hAnsi="宋体" w:cs="宋体"/>
          <w:sz w:val="24"/>
          <w:lang w:val="en-US" w:eastAsia="zh-CN"/>
        </w:rPr>
        <w:t>2</w:t>
      </w:r>
      <w:r>
        <w:rPr>
          <w:rFonts w:hint="eastAsia" w:ascii="宋体" w:hAnsi="宋体" w:cs="宋体"/>
          <w:sz w:val="24"/>
          <w:lang w:eastAsia="zh-CN"/>
        </w:rPr>
        <w:t>00人次。</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lang w:eastAsia="zh-CN"/>
        </w:rPr>
        <w:t>培育绿色修造船认证企业不少于</w:t>
      </w:r>
      <w:r>
        <w:rPr>
          <w:rFonts w:hint="eastAsia" w:ascii="宋体" w:hAnsi="宋体" w:cs="宋体"/>
          <w:sz w:val="24"/>
          <w:lang w:val="en-US" w:eastAsia="zh-CN"/>
        </w:rPr>
        <w:t>5</w:t>
      </w:r>
      <w:r>
        <w:rPr>
          <w:rFonts w:hint="eastAsia" w:ascii="宋体" w:hAnsi="宋体" w:cs="宋体"/>
          <w:sz w:val="24"/>
          <w:lang w:eastAsia="zh-CN"/>
        </w:rPr>
        <w:t>家，</w:t>
      </w:r>
      <w:r>
        <w:rPr>
          <w:rFonts w:hint="eastAsia" w:ascii="宋体" w:hAnsi="宋体" w:cs="宋体"/>
          <w:sz w:val="24"/>
          <w:lang w:val="en-US" w:eastAsia="zh-CN"/>
        </w:rPr>
        <w:t>颁发证书不少于2张</w:t>
      </w:r>
      <w:r>
        <w:rPr>
          <w:rFonts w:hint="eastAsia" w:ascii="宋体" w:hAnsi="宋体" w:cs="宋体"/>
          <w:sz w:val="24"/>
          <w:lang w:eastAsia="zh-CN"/>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lang w:val="en-US" w:eastAsia="zh-CN"/>
        </w:rPr>
        <w:t>（6）相关工作获得省级或以上</w:t>
      </w:r>
      <w:r>
        <w:rPr>
          <w:rFonts w:hint="eastAsia" w:ascii="宋体" w:hAnsi="宋体" w:cs="宋体"/>
          <w:sz w:val="24"/>
          <w:lang w:eastAsia="zh-CN"/>
        </w:rPr>
        <w:t>媒体宣传</w:t>
      </w:r>
      <w:r>
        <w:rPr>
          <w:rFonts w:hint="eastAsia" w:ascii="宋体" w:hAnsi="宋体" w:cs="宋体"/>
          <w:sz w:val="24"/>
          <w:lang w:val="en-US" w:eastAsia="zh-CN"/>
        </w:rPr>
        <w:t>报道</w:t>
      </w:r>
      <w:r>
        <w:rPr>
          <w:rFonts w:hint="eastAsia" w:ascii="宋体" w:hAnsi="宋体" w:cs="宋体"/>
          <w:sz w:val="24"/>
          <w:lang w:eastAsia="zh-CN"/>
        </w:rPr>
        <w:t>不少于</w:t>
      </w:r>
      <w:r>
        <w:rPr>
          <w:rFonts w:hint="eastAsia" w:ascii="宋体" w:hAnsi="宋体" w:cs="宋体"/>
          <w:sz w:val="24"/>
          <w:lang w:val="en-US" w:eastAsia="zh-CN"/>
        </w:rPr>
        <w:t>5条（篇）次</w:t>
      </w:r>
      <w:r>
        <w:rPr>
          <w:rFonts w:hint="eastAsia" w:ascii="宋体" w:hAnsi="宋体" w:cs="宋体"/>
          <w:sz w:val="24"/>
          <w:highlight w:val="none"/>
          <w:lang w:eastAsia="zh-CN"/>
        </w:rPr>
        <w:t>。</w:t>
      </w:r>
    </w:p>
    <w:p>
      <w:pPr>
        <w:pStyle w:val="2"/>
        <w:rPr>
          <w:rFonts w:hint="eastAsia"/>
          <w:lang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bookmarkStart w:id="33" w:name="_Toc30340"/>
      <w:bookmarkStart w:id="34" w:name="_Toc25526"/>
      <w:r>
        <w:rPr>
          <w:rFonts w:hint="eastAsia" w:ascii="宋体" w:hAnsi="宋体" w:eastAsia="宋体" w:cs="宋体"/>
          <w:sz w:val="24"/>
          <w:szCs w:val="24"/>
          <w:lang w:val="en-US" w:eastAsia="zh-CN"/>
        </w:rPr>
        <w:t>三、服务时间要求</w:t>
      </w:r>
    </w:p>
    <w:p>
      <w:pPr>
        <w:tabs>
          <w:tab w:val="left" w:pos="5613"/>
        </w:tabs>
        <w:snapToGrid w:val="0"/>
        <w:spacing w:line="360" w:lineRule="auto"/>
        <w:ind w:firstLine="480" w:firstLineChars="200"/>
        <w:rPr>
          <w:rFonts w:ascii="宋体" w:hAnsi="宋体" w:cs="宋体"/>
          <w:color w:val="auto"/>
          <w:sz w:val="24"/>
        </w:rPr>
      </w:pPr>
      <w:r>
        <w:rPr>
          <w:rFonts w:ascii="宋体" w:hAnsi="宋体" w:cs="宋体"/>
          <w:color w:val="auto"/>
          <w:sz w:val="24"/>
        </w:rPr>
        <w:t>自合同</w:t>
      </w:r>
      <w:r>
        <w:rPr>
          <w:rFonts w:hint="eastAsia" w:ascii="宋体" w:hAnsi="宋体" w:cs="宋体"/>
          <w:color w:val="auto"/>
          <w:sz w:val="24"/>
          <w:lang w:val="en-US" w:eastAsia="zh-CN"/>
        </w:rPr>
        <w:t>签订生效后12个月内完</w:t>
      </w:r>
      <w:r>
        <w:rPr>
          <w:rFonts w:ascii="宋体" w:hAnsi="宋体" w:cs="宋体"/>
          <w:color w:val="auto"/>
          <w:sz w:val="24"/>
        </w:rPr>
        <w:t>成</w:t>
      </w:r>
      <w:r>
        <w:rPr>
          <w:rFonts w:hint="eastAsia" w:ascii="宋体" w:hAnsi="宋体" w:cs="宋体"/>
          <w:color w:val="auto"/>
          <w:sz w:val="24"/>
          <w:lang w:eastAsia="zh-CN"/>
        </w:rPr>
        <w:t>，</w:t>
      </w:r>
      <w:r>
        <w:rPr>
          <w:rFonts w:hint="eastAsia" w:ascii="宋体" w:hAnsi="宋体" w:cs="宋体"/>
          <w:color w:val="auto"/>
          <w:sz w:val="24"/>
          <w:lang w:val="en-US" w:eastAsia="zh-CN"/>
        </w:rPr>
        <w:t>确因不可抵抗力等原因造成项目无法按时完成，允许中标人向采购人书面申请一次且不超过30天的延期时间</w:t>
      </w:r>
      <w:r>
        <w:rPr>
          <w:rFonts w:ascii="宋体" w:hAnsi="宋体" w:cs="宋体"/>
          <w:color w:val="auto"/>
          <w:sz w:val="24"/>
        </w:rPr>
        <w:t>。</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四、验收方法及标准</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中标人应按照上述支撑需求，完成各项支撑工作，并形成工作材料，各项工作材料应体现具体工作内容、工作成效和合理化建议。采购人将结合支撑工作实际和相关工作材料予以考核。中标人可提前申请验收。</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中标人所提供验收材料完整，且工作无严重质量问题，则验收合格。其中，严重工作问题为：</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1.</w:t>
      </w:r>
      <w:r>
        <w:rPr>
          <w:rFonts w:hint="eastAsia" w:ascii="宋体" w:hAnsi="宋体" w:cs="宋体"/>
          <w:sz w:val="24"/>
          <w:highlight w:val="none"/>
          <w:lang w:val="en-US" w:eastAsia="zh-CN"/>
        </w:rPr>
        <w:t>中标人</w:t>
      </w:r>
      <w:r>
        <w:rPr>
          <w:rFonts w:hint="eastAsia" w:ascii="宋体" w:hAnsi="宋体" w:cs="宋体"/>
          <w:sz w:val="24"/>
          <w:highlight w:val="none"/>
          <w:lang w:eastAsia="zh-CN"/>
        </w:rPr>
        <w:t>的</w:t>
      </w:r>
      <w:r>
        <w:rPr>
          <w:rFonts w:hint="eastAsia" w:ascii="宋体" w:hAnsi="宋体" w:cs="宋体"/>
          <w:sz w:val="24"/>
          <w:highlight w:val="none"/>
          <w:lang w:val="en-US" w:eastAsia="zh-CN"/>
        </w:rPr>
        <w:t>相关人员在具体工作中，违反有关法律法规规定，涉及民事或刑事犯罪；</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2.因中标人自身原因，造成项目工作延期；</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3.采购人认定的其他严重质量问题。</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五、人员配置要求</w:t>
      </w:r>
    </w:p>
    <w:p>
      <w:pPr>
        <w:tabs>
          <w:tab w:val="left" w:pos="5613"/>
        </w:tabs>
        <w:snapToGrid w:val="0"/>
        <w:spacing w:line="360" w:lineRule="auto"/>
        <w:ind w:firstLine="480" w:firstLineChars="200"/>
        <w:rPr>
          <w:rFonts w:hint="default" w:ascii="宋体" w:hAnsi="宋体" w:cs="宋体"/>
          <w:b w:val="0"/>
          <w:bCs w:val="0"/>
          <w:color w:val="auto"/>
          <w:sz w:val="24"/>
          <w:lang w:val="en-US" w:eastAsia="zh-CN"/>
        </w:rPr>
      </w:pPr>
      <w:r>
        <w:rPr>
          <w:rFonts w:hint="eastAsia" w:ascii="宋体" w:hAnsi="宋体" w:cs="宋体"/>
          <w:color w:val="auto"/>
          <w:sz w:val="24"/>
          <w:lang w:val="en-US" w:eastAsia="zh-CN"/>
        </w:rPr>
        <w:t>投标人提供完整的人员配置方案，至少包括拟投入本项目的人员概况、人员职责及分工等情况介绍。具体要求如下：</w:t>
      </w:r>
    </w:p>
    <w:p>
      <w:pPr>
        <w:tabs>
          <w:tab w:val="left" w:pos="5613"/>
        </w:tabs>
        <w:snapToGrid w:val="0"/>
        <w:spacing w:line="360" w:lineRule="auto"/>
        <w:ind w:firstLine="480" w:firstLineChars="200"/>
        <w:rPr>
          <w:rFonts w:ascii="宋体" w:hAnsi="宋体" w:cs="宋体"/>
          <w:b w:val="0"/>
          <w:bCs w:val="0"/>
          <w:color w:val="auto"/>
          <w:sz w:val="24"/>
        </w:rPr>
      </w:pPr>
      <w:r>
        <w:rPr>
          <w:rFonts w:ascii="宋体" w:hAnsi="宋体" w:cs="宋体"/>
          <w:b w:val="0"/>
          <w:bCs w:val="0"/>
          <w:color w:val="auto"/>
          <w:sz w:val="24"/>
        </w:rPr>
        <w:t>1</w:t>
      </w:r>
      <w:r>
        <w:rPr>
          <w:rFonts w:hint="eastAsia" w:ascii="宋体" w:hAnsi="宋体" w:cs="宋体"/>
          <w:b w:val="0"/>
          <w:bCs w:val="0"/>
          <w:color w:val="auto"/>
          <w:sz w:val="24"/>
          <w:lang w:val="en-US" w:eastAsia="zh-CN"/>
        </w:rPr>
        <w:t>.</w:t>
      </w:r>
      <w:r>
        <w:rPr>
          <w:rFonts w:ascii="宋体" w:hAnsi="宋体" w:cs="宋体"/>
          <w:b w:val="0"/>
          <w:bCs w:val="0"/>
          <w:color w:val="auto"/>
          <w:sz w:val="24"/>
        </w:rPr>
        <w:t>项目负责人</w:t>
      </w:r>
      <w:r>
        <w:rPr>
          <w:rFonts w:hint="eastAsia" w:ascii="宋体" w:hAnsi="宋体" w:cs="宋体"/>
          <w:b w:val="0"/>
          <w:bCs w:val="0"/>
          <w:color w:val="auto"/>
          <w:sz w:val="24"/>
          <w:lang w:val="en-US" w:eastAsia="zh-CN"/>
        </w:rPr>
        <w:t>应</w:t>
      </w:r>
      <w:r>
        <w:rPr>
          <w:rFonts w:ascii="宋体" w:hAnsi="宋体" w:cs="宋体"/>
          <w:b w:val="0"/>
          <w:bCs w:val="0"/>
          <w:color w:val="auto"/>
          <w:sz w:val="24"/>
        </w:rPr>
        <w:t>具有</w:t>
      </w:r>
      <w:r>
        <w:rPr>
          <w:rFonts w:hint="eastAsia" w:ascii="宋体" w:hAnsi="宋体" w:cs="宋体"/>
          <w:b w:val="0"/>
          <w:bCs w:val="0"/>
          <w:color w:val="auto"/>
          <w:sz w:val="24"/>
          <w:lang w:val="en-US" w:eastAsia="zh-CN"/>
        </w:rPr>
        <w:t>标准、计量、检测、质量等相关专业副高级（含）</w:t>
      </w:r>
      <w:r>
        <w:rPr>
          <w:rFonts w:ascii="宋体" w:hAnsi="宋体" w:cs="宋体"/>
          <w:b w:val="0"/>
          <w:bCs w:val="0"/>
          <w:color w:val="auto"/>
          <w:sz w:val="24"/>
        </w:rPr>
        <w:t>以上</w:t>
      </w:r>
      <w:r>
        <w:rPr>
          <w:rFonts w:hint="eastAsia" w:ascii="宋体" w:hAnsi="宋体" w:cs="宋体"/>
          <w:b w:val="0"/>
          <w:bCs w:val="0"/>
          <w:color w:val="auto"/>
          <w:sz w:val="24"/>
          <w:lang w:val="en-US" w:eastAsia="zh-CN"/>
        </w:rPr>
        <w:t>技术</w:t>
      </w:r>
      <w:r>
        <w:rPr>
          <w:rFonts w:ascii="宋体" w:hAnsi="宋体" w:cs="宋体"/>
          <w:b w:val="0"/>
          <w:bCs w:val="0"/>
          <w:color w:val="auto"/>
          <w:sz w:val="24"/>
        </w:rPr>
        <w:t>职称，</w:t>
      </w:r>
      <w:r>
        <w:rPr>
          <w:rFonts w:hint="eastAsia" w:ascii="宋体" w:hAnsi="宋体" w:cs="宋体"/>
          <w:b w:val="0"/>
          <w:bCs w:val="0"/>
          <w:color w:val="auto"/>
          <w:sz w:val="24"/>
          <w:lang w:val="en-US" w:eastAsia="zh-CN"/>
        </w:rPr>
        <w:t>具备5年及以上类似项目管理及实施的相关工作经验</w:t>
      </w:r>
      <w:r>
        <w:rPr>
          <w:rFonts w:ascii="宋体" w:hAnsi="宋体" w:cs="宋体"/>
          <w:b w:val="0"/>
          <w:bCs w:val="0"/>
          <w:color w:val="auto"/>
          <w:sz w:val="24"/>
        </w:rPr>
        <w:t>。</w:t>
      </w:r>
    </w:p>
    <w:p>
      <w:pPr>
        <w:tabs>
          <w:tab w:val="left" w:pos="5613"/>
        </w:tabs>
        <w:snapToGrid w:val="0"/>
        <w:spacing w:line="360" w:lineRule="auto"/>
        <w:ind w:firstLine="480" w:firstLineChars="200"/>
        <w:rPr>
          <w:rFonts w:ascii="宋体" w:hAnsi="宋体" w:cs="宋体"/>
          <w:b w:val="0"/>
          <w:bCs w:val="0"/>
          <w:color w:val="auto"/>
          <w:sz w:val="24"/>
        </w:rPr>
      </w:pPr>
      <w:r>
        <w:rPr>
          <w:rFonts w:ascii="宋体" w:hAnsi="宋体" w:cs="宋体"/>
          <w:b w:val="0"/>
          <w:bCs w:val="0"/>
          <w:color w:val="auto"/>
          <w:sz w:val="24"/>
        </w:rPr>
        <w:t>2</w:t>
      </w:r>
      <w:r>
        <w:rPr>
          <w:rFonts w:hint="eastAsia" w:ascii="宋体" w:hAnsi="宋体" w:cs="宋体"/>
          <w:b w:val="0"/>
          <w:bCs w:val="0"/>
          <w:color w:val="auto"/>
          <w:sz w:val="24"/>
          <w:lang w:val="en-US" w:eastAsia="zh-CN"/>
        </w:rPr>
        <w:t>.</w:t>
      </w:r>
      <w:r>
        <w:rPr>
          <w:rFonts w:ascii="宋体" w:hAnsi="宋体" w:cs="宋体"/>
          <w:b w:val="0"/>
          <w:bCs w:val="0"/>
          <w:color w:val="auto"/>
          <w:sz w:val="24"/>
        </w:rPr>
        <w:t>项目团队</w:t>
      </w:r>
      <w:r>
        <w:rPr>
          <w:rFonts w:hint="eastAsia" w:ascii="宋体" w:hAnsi="宋体" w:cs="宋体"/>
          <w:b w:val="0"/>
          <w:bCs w:val="0"/>
          <w:color w:val="auto"/>
          <w:sz w:val="24"/>
          <w:lang w:val="en-US" w:eastAsia="zh-CN"/>
        </w:rPr>
        <w:t>人员</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除项目负责人外</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数量不少于10人，且具有中级（含）以上技术职称的人员数量不少于5人。</w:t>
      </w:r>
      <w:r>
        <w:rPr>
          <w:rFonts w:ascii="宋体" w:hAnsi="宋体" w:cs="宋体"/>
          <w:b w:val="0"/>
          <w:bCs w:val="0"/>
          <w:color w:val="auto"/>
          <w:sz w:val="24"/>
        </w:rPr>
        <w:t>人员</w:t>
      </w:r>
      <w:r>
        <w:rPr>
          <w:rFonts w:hint="eastAsia" w:ascii="宋体" w:hAnsi="宋体" w:cs="宋体"/>
          <w:b w:val="0"/>
          <w:bCs w:val="0"/>
          <w:color w:val="auto"/>
          <w:sz w:val="24"/>
          <w:lang w:val="en-US" w:eastAsia="zh-CN"/>
        </w:rPr>
        <w:t>岗位配置合理</w:t>
      </w:r>
      <w:r>
        <w:rPr>
          <w:rFonts w:ascii="宋体" w:hAnsi="宋体" w:cs="宋体"/>
          <w:b w:val="0"/>
          <w:bCs w:val="0"/>
          <w:color w:val="auto"/>
          <w:sz w:val="24"/>
        </w:rPr>
        <w:t>、</w:t>
      </w:r>
      <w:r>
        <w:rPr>
          <w:rFonts w:hint="eastAsia" w:ascii="宋体" w:hAnsi="宋体" w:cs="宋体"/>
          <w:b w:val="0"/>
          <w:bCs w:val="0"/>
          <w:color w:val="auto"/>
          <w:sz w:val="24"/>
          <w:lang w:val="en-US" w:eastAsia="zh-CN"/>
        </w:rPr>
        <w:t>任务分工明确、专业合理。</w:t>
      </w:r>
      <w:r>
        <w:rPr>
          <w:rFonts w:ascii="宋体" w:hAnsi="宋体" w:cs="宋体"/>
          <w:b w:val="0"/>
          <w:bCs w:val="0"/>
          <w:color w:val="auto"/>
          <w:sz w:val="24"/>
        </w:rPr>
        <w:t>基本素质与学历水平、职称、类似项目经验等情况。</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六、资金使用要求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中标人</w:t>
      </w:r>
      <w:r>
        <w:rPr>
          <w:rFonts w:hint="default" w:ascii="宋体" w:hAnsi="宋体" w:cs="宋体"/>
          <w:color w:val="auto"/>
          <w:sz w:val="24"/>
          <w:lang w:val="en-US" w:eastAsia="zh-CN"/>
        </w:rPr>
        <w:t>应将本项目资金全部用于本项目工作开展当中，且不得用于购买仪器设备</w:t>
      </w:r>
      <w:r>
        <w:rPr>
          <w:rFonts w:hint="eastAsia" w:ascii="宋体" w:hAnsi="宋体" w:cs="宋体"/>
          <w:color w:val="auto"/>
          <w:sz w:val="24"/>
          <w:lang w:val="en-US" w:eastAsia="zh-CN"/>
        </w:rPr>
        <w:t>（或装备），资金使用情况将作为项目验收评审材料之一</w:t>
      </w:r>
      <w:r>
        <w:rPr>
          <w:rFonts w:hint="default" w:ascii="宋体" w:hAnsi="宋体" w:cs="宋体"/>
          <w:color w:val="auto"/>
          <w:sz w:val="24"/>
          <w:lang w:val="en-US" w:eastAsia="zh-CN"/>
        </w:rPr>
        <w:t>。</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七、保密要求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投标人在参加采购以及开展工作过程中按照国家保密法律法规以及采购人的要求，做好有关保密工作。投标人保证服务过程中的有关信息、文件（包括采购相关文件、工作实施文件以及各类用于本项目相关文件等）等对第三方保密，非经采购人同意，不得公开或向第三方提供。</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八、付款方式</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第一次付款：在合同签订生效后，收到正式发票7个工作日内支付合同总价70%的首付款。</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第二次付款：采购人将视项目实际进展情况开展阶段性评估，评估通过后并支付不超过合同总价</w:t>
      </w:r>
      <w:r>
        <w:rPr>
          <w:rFonts w:hint="default" w:ascii="宋体" w:hAnsi="宋体" w:cs="宋体"/>
          <w:color w:val="auto"/>
          <w:sz w:val="24"/>
          <w:lang w:val="en-US" w:eastAsia="zh-CN"/>
        </w:rPr>
        <w:t>25%</w:t>
      </w:r>
      <w:r>
        <w:rPr>
          <w:rFonts w:hint="eastAsia" w:ascii="宋体" w:hAnsi="宋体" w:cs="宋体"/>
          <w:color w:val="auto"/>
          <w:sz w:val="24"/>
          <w:lang w:val="en-US" w:eastAsia="zh-CN"/>
        </w:rPr>
        <w:t>的款项，采购人在收到中标人的正式发票后7个工作日内办理支付手续（采购人有权决定是否及何时何地开展阶段性验收评估）。</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第三次付款：项目结束后，经采购人验收合格，且收到中标人提供的正式发票后7个工作日内，办理合同剩余款项的结算手续。</w:t>
      </w:r>
    </w:p>
    <w:p>
      <w:pPr>
        <w:bidi w:val="0"/>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九、其他要求</w:t>
      </w:r>
      <w:bookmarkEnd w:id="33"/>
      <w:bookmarkEnd w:id="34"/>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投标人应根据采购文件的要求提供详细的实施方案等内容，不限于以下要求：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（1）对需求的整体理解，针对项目需求，提出自身的理解和建议；</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（2）项目的重点难点分析，对项目重点、难点进行分析，并提出合理、可行的应对措施。</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（3）项目整体方案，针对项目需求，拟定详细、周密、有条理、内容新颖、紧扣实际、具有可持续性和实际可操作性的整体方案。</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（4）组织实施方案；</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（5）项目组人员组成情况；</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（6）质量保证措施情况；</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（7）采购文件及评分办法规定的其他资料。</w:t>
      </w:r>
    </w:p>
    <w:p>
      <w:pPr>
        <w:pStyle w:val="24"/>
        <w:spacing w:line="360" w:lineRule="auto"/>
        <w:rPr>
          <w:rFonts w:hint="eastAsia" w:cs="宋体"/>
          <w:kern w:val="0"/>
          <w:sz w:val="24"/>
          <w:lang w:val="en-US" w:eastAsia="zh-CN"/>
        </w:rPr>
      </w:pP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35" w:name="_Toc28740"/>
      <w:r>
        <w:rPr>
          <w:rFonts w:hint="eastAsia" w:ascii="仿宋" w:hAnsi="仿宋" w:cs="仿宋"/>
          <w:b/>
          <w:sz w:val="36"/>
          <w:szCs w:val="36"/>
        </w:rPr>
        <w:t xml:space="preserve">第四部分  </w:t>
      </w:r>
      <w:bookmarkStart w:id="36" w:name="_Toc184312134"/>
      <w:bookmarkEnd w:id="36"/>
      <w:bookmarkStart w:id="37" w:name="_Toc184314474"/>
      <w:bookmarkEnd w:id="37"/>
      <w:bookmarkStart w:id="38" w:name="_Toc184313303"/>
      <w:bookmarkEnd w:id="38"/>
      <w:bookmarkStart w:id="39" w:name="_Toc184312078"/>
      <w:bookmarkEnd w:id="39"/>
      <w:bookmarkStart w:id="40" w:name="_Toc184313275"/>
      <w:bookmarkEnd w:id="40"/>
      <w:bookmarkStart w:id="41" w:name="_Toc184308047"/>
      <w:bookmarkEnd w:id="41"/>
      <w:bookmarkStart w:id="42" w:name="_Toc184308055"/>
      <w:bookmarkEnd w:id="42"/>
      <w:bookmarkStart w:id="43" w:name="_Toc184310340"/>
      <w:bookmarkEnd w:id="43"/>
      <w:bookmarkStart w:id="44" w:name="_Toc184308041"/>
      <w:bookmarkEnd w:id="44"/>
      <w:bookmarkStart w:id="45" w:name="_Toc184313245"/>
      <w:bookmarkEnd w:id="45"/>
      <w:bookmarkStart w:id="46" w:name="_Toc184308050"/>
      <w:bookmarkEnd w:id="46"/>
      <w:bookmarkStart w:id="47" w:name="_Toc184313288"/>
      <w:bookmarkEnd w:id="47"/>
      <w:bookmarkStart w:id="48" w:name="_Toc184314423"/>
      <w:bookmarkEnd w:id="48"/>
      <w:bookmarkStart w:id="49" w:name="_Toc184310308"/>
      <w:bookmarkEnd w:id="49"/>
      <w:bookmarkStart w:id="50" w:name="_Toc184310276"/>
      <w:bookmarkEnd w:id="50"/>
      <w:bookmarkStart w:id="51" w:name="_Toc184313266"/>
      <w:bookmarkEnd w:id="51"/>
      <w:bookmarkStart w:id="52" w:name="_Toc184312097"/>
      <w:bookmarkEnd w:id="52"/>
      <w:bookmarkStart w:id="53" w:name="_Toc184313259"/>
      <w:bookmarkEnd w:id="53"/>
      <w:bookmarkStart w:id="54" w:name="_Toc184314473"/>
      <w:bookmarkEnd w:id="54"/>
      <w:bookmarkStart w:id="55" w:name="_Toc184313257"/>
      <w:bookmarkEnd w:id="55"/>
      <w:bookmarkStart w:id="56" w:name="_Toc184313280"/>
      <w:bookmarkEnd w:id="56"/>
      <w:bookmarkStart w:id="57" w:name="_Toc184312090"/>
      <w:bookmarkEnd w:id="57"/>
      <w:bookmarkStart w:id="58" w:name="_Toc184313281"/>
      <w:bookmarkEnd w:id="58"/>
      <w:bookmarkStart w:id="59" w:name="_Toc184314437"/>
      <w:bookmarkEnd w:id="59"/>
      <w:bookmarkStart w:id="60" w:name="_Toc184313306"/>
      <w:bookmarkEnd w:id="60"/>
      <w:bookmarkStart w:id="61" w:name="_Toc184312116"/>
      <w:bookmarkEnd w:id="61"/>
      <w:bookmarkStart w:id="62" w:name="_Toc184313246"/>
      <w:bookmarkEnd w:id="62"/>
      <w:bookmarkStart w:id="63" w:name="_Toc184310343"/>
      <w:bookmarkEnd w:id="63"/>
      <w:bookmarkStart w:id="64" w:name="_Toc184313264"/>
      <w:bookmarkEnd w:id="64"/>
      <w:bookmarkStart w:id="65" w:name="_Toc184308036"/>
      <w:bookmarkEnd w:id="65"/>
      <w:bookmarkStart w:id="66" w:name="_Toc184308091"/>
      <w:bookmarkEnd w:id="66"/>
      <w:bookmarkStart w:id="67" w:name="_Toc184308068"/>
      <w:bookmarkEnd w:id="67"/>
      <w:bookmarkStart w:id="68" w:name="_Toc184313271"/>
      <w:bookmarkEnd w:id="68"/>
      <w:bookmarkStart w:id="69" w:name="_Toc184314457"/>
      <w:bookmarkEnd w:id="69"/>
      <w:bookmarkStart w:id="70" w:name="_Toc184308076"/>
      <w:bookmarkEnd w:id="70"/>
      <w:bookmarkStart w:id="71" w:name="_Toc184310318"/>
      <w:bookmarkEnd w:id="71"/>
      <w:bookmarkStart w:id="72" w:name="_Toc184308107"/>
      <w:bookmarkEnd w:id="72"/>
      <w:bookmarkStart w:id="73" w:name="_Toc184312106"/>
      <w:bookmarkEnd w:id="73"/>
      <w:bookmarkStart w:id="74" w:name="_Toc184308105"/>
      <w:bookmarkEnd w:id="74"/>
      <w:bookmarkStart w:id="75" w:name="_Toc184310329"/>
      <w:bookmarkEnd w:id="75"/>
      <w:bookmarkStart w:id="76" w:name="_Toc184310281"/>
      <w:bookmarkEnd w:id="76"/>
      <w:bookmarkStart w:id="77" w:name="_Toc184308063"/>
      <w:bookmarkEnd w:id="77"/>
      <w:bookmarkStart w:id="78" w:name="_Toc184308043"/>
      <w:bookmarkEnd w:id="78"/>
      <w:bookmarkStart w:id="79" w:name="_Toc184312103"/>
      <w:bookmarkEnd w:id="79"/>
      <w:bookmarkStart w:id="80" w:name="_Toc184314461"/>
      <w:bookmarkEnd w:id="80"/>
      <w:bookmarkStart w:id="81" w:name="_Toc184308057"/>
      <w:bookmarkEnd w:id="81"/>
      <w:bookmarkStart w:id="82" w:name="_Toc184314471"/>
      <w:bookmarkEnd w:id="82"/>
      <w:bookmarkStart w:id="83" w:name="_Toc184310324"/>
      <w:bookmarkEnd w:id="83"/>
      <w:bookmarkStart w:id="84" w:name="_Toc184310306"/>
      <w:bookmarkEnd w:id="84"/>
      <w:bookmarkStart w:id="85" w:name="_Toc184314417"/>
      <w:bookmarkEnd w:id="85"/>
      <w:bookmarkStart w:id="86" w:name="_Toc184313292"/>
      <w:bookmarkEnd w:id="86"/>
      <w:bookmarkStart w:id="87" w:name="_Toc184313279"/>
      <w:bookmarkEnd w:id="87"/>
      <w:bookmarkStart w:id="88" w:name="_Toc184314449"/>
      <w:bookmarkEnd w:id="88"/>
      <w:bookmarkStart w:id="89" w:name="_Toc184314467"/>
      <w:bookmarkEnd w:id="89"/>
      <w:bookmarkStart w:id="90" w:name="_Toc184310310"/>
      <w:bookmarkEnd w:id="90"/>
      <w:bookmarkStart w:id="91" w:name="_Toc184313270"/>
      <w:bookmarkEnd w:id="91"/>
      <w:bookmarkStart w:id="92" w:name="_Toc184314453"/>
      <w:bookmarkEnd w:id="92"/>
      <w:bookmarkStart w:id="93" w:name="_Toc184314454"/>
      <w:bookmarkEnd w:id="93"/>
      <w:bookmarkStart w:id="94" w:name="_Toc184310273"/>
      <w:bookmarkEnd w:id="94"/>
      <w:bookmarkStart w:id="95" w:name="_Toc184314446"/>
      <w:bookmarkEnd w:id="95"/>
      <w:bookmarkStart w:id="96" w:name="_Toc184312077"/>
      <w:bookmarkEnd w:id="96"/>
      <w:bookmarkStart w:id="97" w:name="_Toc184312070"/>
      <w:bookmarkEnd w:id="97"/>
      <w:bookmarkStart w:id="98" w:name="_Toc184314410"/>
      <w:bookmarkEnd w:id="98"/>
      <w:bookmarkStart w:id="99" w:name="_Toc184310299"/>
      <w:bookmarkEnd w:id="99"/>
      <w:bookmarkStart w:id="100" w:name="_Toc184314424"/>
      <w:bookmarkEnd w:id="100"/>
      <w:bookmarkStart w:id="101" w:name="_Toc184308053"/>
      <w:bookmarkEnd w:id="101"/>
      <w:bookmarkStart w:id="102" w:name="_Toc184314434"/>
      <w:bookmarkEnd w:id="102"/>
      <w:bookmarkStart w:id="103" w:name="_Toc184313285"/>
      <w:bookmarkEnd w:id="103"/>
      <w:bookmarkStart w:id="104" w:name="_Toc184312093"/>
      <w:bookmarkEnd w:id="104"/>
      <w:bookmarkStart w:id="105" w:name="_Toc184310311"/>
      <w:bookmarkEnd w:id="105"/>
      <w:bookmarkStart w:id="106" w:name="_Toc184308059"/>
      <w:bookmarkEnd w:id="106"/>
      <w:bookmarkStart w:id="107" w:name="_Toc184314411"/>
      <w:bookmarkEnd w:id="107"/>
      <w:bookmarkStart w:id="108" w:name="_Toc184310287"/>
      <w:bookmarkEnd w:id="108"/>
      <w:bookmarkStart w:id="109" w:name="_Toc184308097"/>
      <w:bookmarkEnd w:id="109"/>
      <w:bookmarkStart w:id="110" w:name="_Toc184312129"/>
      <w:bookmarkEnd w:id="110"/>
      <w:bookmarkStart w:id="111" w:name="_Toc184313261"/>
      <w:bookmarkEnd w:id="111"/>
      <w:bookmarkStart w:id="112" w:name="_Toc184310301"/>
      <w:bookmarkEnd w:id="112"/>
      <w:bookmarkStart w:id="113" w:name="_Toc184308048"/>
      <w:bookmarkEnd w:id="113"/>
      <w:bookmarkStart w:id="114" w:name="_Toc184314460"/>
      <w:bookmarkEnd w:id="114"/>
      <w:bookmarkStart w:id="115" w:name="_Toc184312135"/>
      <w:bookmarkEnd w:id="115"/>
      <w:bookmarkStart w:id="116" w:name="_Toc184308088"/>
      <w:bookmarkEnd w:id="116"/>
      <w:bookmarkStart w:id="117" w:name="_Toc184312122"/>
      <w:bookmarkEnd w:id="117"/>
      <w:bookmarkStart w:id="118" w:name="_Toc184312072"/>
      <w:bookmarkEnd w:id="118"/>
      <w:bookmarkStart w:id="119" w:name="_Toc184310333"/>
      <w:bookmarkEnd w:id="119"/>
      <w:bookmarkStart w:id="120" w:name="_Toc184310326"/>
      <w:bookmarkEnd w:id="120"/>
      <w:bookmarkStart w:id="121" w:name="_Toc184313278"/>
      <w:bookmarkEnd w:id="121"/>
      <w:bookmarkStart w:id="122" w:name="_Toc184310336"/>
      <w:bookmarkEnd w:id="122"/>
      <w:bookmarkStart w:id="123" w:name="_Toc184308090"/>
      <w:bookmarkEnd w:id="123"/>
      <w:bookmarkStart w:id="124" w:name="_Toc184310292"/>
      <w:bookmarkEnd w:id="124"/>
      <w:bookmarkStart w:id="125" w:name="_Toc184313310"/>
      <w:bookmarkEnd w:id="125"/>
      <w:bookmarkStart w:id="126" w:name="_Toc184310298"/>
      <w:bookmarkEnd w:id="126"/>
      <w:bookmarkStart w:id="127" w:name="_Toc184310335"/>
      <w:bookmarkEnd w:id="127"/>
      <w:bookmarkStart w:id="128" w:name="_Toc184312085"/>
      <w:bookmarkEnd w:id="128"/>
      <w:bookmarkStart w:id="129" w:name="_Toc184310297"/>
      <w:bookmarkEnd w:id="129"/>
      <w:bookmarkStart w:id="130" w:name="_Toc184310315"/>
      <w:bookmarkEnd w:id="130"/>
      <w:bookmarkStart w:id="131" w:name="_Toc184314445"/>
      <w:bookmarkEnd w:id="131"/>
      <w:bookmarkStart w:id="132" w:name="_Toc184313250"/>
      <w:bookmarkEnd w:id="132"/>
      <w:bookmarkStart w:id="133" w:name="_Toc184314431"/>
      <w:bookmarkEnd w:id="133"/>
      <w:bookmarkStart w:id="134" w:name="_Toc184308075"/>
      <w:bookmarkEnd w:id="134"/>
      <w:bookmarkStart w:id="135" w:name="_Toc184314470"/>
      <w:bookmarkEnd w:id="135"/>
      <w:bookmarkStart w:id="136" w:name="_Toc184313251"/>
      <w:bookmarkEnd w:id="136"/>
      <w:bookmarkStart w:id="137" w:name="_Toc184312137"/>
      <w:bookmarkEnd w:id="137"/>
      <w:bookmarkStart w:id="138" w:name="_Toc184312131"/>
      <w:bookmarkEnd w:id="138"/>
      <w:bookmarkStart w:id="139" w:name="_Toc184312120"/>
      <w:bookmarkEnd w:id="139"/>
      <w:bookmarkStart w:id="140" w:name="_Toc184308094"/>
      <w:bookmarkEnd w:id="140"/>
      <w:bookmarkStart w:id="141" w:name="_Toc184313258"/>
      <w:bookmarkEnd w:id="141"/>
      <w:bookmarkStart w:id="142" w:name="_Toc184313287"/>
      <w:bookmarkEnd w:id="142"/>
      <w:bookmarkStart w:id="143" w:name="_Toc184308071"/>
      <w:bookmarkEnd w:id="143"/>
      <w:bookmarkStart w:id="144" w:name="_Toc184310283"/>
      <w:bookmarkEnd w:id="144"/>
      <w:bookmarkStart w:id="145" w:name="_Toc184314464"/>
      <w:bookmarkEnd w:id="145"/>
      <w:bookmarkStart w:id="146" w:name="_Toc184308060"/>
      <w:bookmarkEnd w:id="146"/>
      <w:bookmarkStart w:id="147" w:name="_Toc184313298"/>
      <w:bookmarkEnd w:id="147"/>
      <w:bookmarkStart w:id="148" w:name="_Toc184310275"/>
      <w:bookmarkEnd w:id="148"/>
      <w:bookmarkStart w:id="149" w:name="_Toc184310330"/>
      <w:bookmarkEnd w:id="149"/>
      <w:bookmarkStart w:id="150" w:name="_Toc184312089"/>
      <w:bookmarkEnd w:id="150"/>
      <w:bookmarkStart w:id="151" w:name="_Toc184312094"/>
      <w:bookmarkEnd w:id="151"/>
      <w:bookmarkStart w:id="152" w:name="_Toc184308092"/>
      <w:bookmarkEnd w:id="152"/>
      <w:bookmarkStart w:id="153" w:name="_Toc184308046"/>
      <w:bookmarkEnd w:id="153"/>
      <w:bookmarkStart w:id="154" w:name="_Toc184310309"/>
      <w:bookmarkEnd w:id="154"/>
      <w:bookmarkStart w:id="155" w:name="_Toc184310294"/>
      <w:bookmarkEnd w:id="155"/>
      <w:bookmarkStart w:id="156" w:name="_Toc184312121"/>
      <w:bookmarkEnd w:id="156"/>
      <w:bookmarkStart w:id="157" w:name="_Toc184313296"/>
      <w:bookmarkEnd w:id="157"/>
      <w:bookmarkStart w:id="158" w:name="_Toc184310316"/>
      <w:bookmarkEnd w:id="158"/>
      <w:bookmarkStart w:id="159" w:name="_Toc184312079"/>
      <w:bookmarkEnd w:id="159"/>
      <w:bookmarkStart w:id="160" w:name="_Toc184308069"/>
      <w:bookmarkEnd w:id="160"/>
      <w:bookmarkStart w:id="161" w:name="_Toc184314438"/>
      <w:bookmarkEnd w:id="161"/>
      <w:bookmarkStart w:id="162" w:name="_Toc184312080"/>
      <w:bookmarkEnd w:id="162"/>
      <w:bookmarkStart w:id="163" w:name="_Toc184308037"/>
      <w:bookmarkEnd w:id="163"/>
      <w:bookmarkStart w:id="164" w:name="_Toc184312117"/>
      <w:bookmarkEnd w:id="164"/>
      <w:bookmarkStart w:id="165" w:name="_Toc184314416"/>
      <w:bookmarkEnd w:id="165"/>
      <w:bookmarkStart w:id="166" w:name="_Toc184308086"/>
      <w:bookmarkEnd w:id="166"/>
      <w:bookmarkStart w:id="167" w:name="_Toc184314442"/>
      <w:bookmarkEnd w:id="167"/>
      <w:bookmarkStart w:id="168" w:name="_Toc184308081"/>
      <w:bookmarkEnd w:id="168"/>
      <w:bookmarkStart w:id="169" w:name="_Toc184308052"/>
      <w:bookmarkEnd w:id="169"/>
      <w:bookmarkStart w:id="170" w:name="_Toc184313286"/>
      <w:bookmarkEnd w:id="170"/>
      <w:bookmarkStart w:id="171" w:name="_Toc184310319"/>
      <w:bookmarkEnd w:id="171"/>
      <w:bookmarkStart w:id="172" w:name="_Toc184313265"/>
      <w:bookmarkEnd w:id="172"/>
      <w:bookmarkStart w:id="173" w:name="_Toc184314450"/>
      <w:bookmarkEnd w:id="173"/>
      <w:bookmarkStart w:id="174" w:name="_Toc184310300"/>
      <w:bookmarkEnd w:id="174"/>
      <w:bookmarkStart w:id="175" w:name="_Toc184314452"/>
      <w:bookmarkEnd w:id="175"/>
      <w:bookmarkStart w:id="176" w:name="_Toc184310272"/>
      <w:bookmarkEnd w:id="176"/>
      <w:bookmarkStart w:id="177" w:name="_Toc184310341"/>
      <w:bookmarkEnd w:id="177"/>
      <w:bookmarkStart w:id="178" w:name="_Toc184313290"/>
      <w:bookmarkEnd w:id="178"/>
      <w:bookmarkStart w:id="179" w:name="_Toc184308106"/>
      <w:bookmarkEnd w:id="179"/>
      <w:bookmarkStart w:id="180" w:name="_Toc184308102"/>
      <w:bookmarkEnd w:id="180"/>
      <w:bookmarkStart w:id="181" w:name="_Toc184312136"/>
      <w:bookmarkEnd w:id="181"/>
      <w:bookmarkStart w:id="182" w:name="_Toc184310342"/>
      <w:bookmarkEnd w:id="182"/>
      <w:bookmarkStart w:id="183" w:name="_Toc184310317"/>
      <w:bookmarkEnd w:id="183"/>
      <w:bookmarkStart w:id="184" w:name="_Toc184313248"/>
      <w:bookmarkEnd w:id="184"/>
      <w:bookmarkStart w:id="185" w:name="_Toc184313283"/>
      <w:bookmarkEnd w:id="185"/>
      <w:bookmarkStart w:id="186" w:name="_Toc184313247"/>
      <w:bookmarkEnd w:id="186"/>
      <w:bookmarkStart w:id="187" w:name="_Toc184308054"/>
      <w:bookmarkEnd w:id="187"/>
      <w:bookmarkStart w:id="188" w:name="_Toc184314465"/>
      <w:bookmarkEnd w:id="188"/>
      <w:bookmarkStart w:id="189" w:name="_Toc184308100"/>
      <w:bookmarkEnd w:id="189"/>
      <w:bookmarkStart w:id="190" w:name="_Toc184310325"/>
      <w:bookmarkEnd w:id="190"/>
      <w:bookmarkStart w:id="191" w:name="_Toc184310278"/>
      <w:bookmarkEnd w:id="191"/>
      <w:bookmarkStart w:id="192" w:name="_Toc184308051"/>
      <w:bookmarkEnd w:id="192"/>
      <w:bookmarkStart w:id="193" w:name="_Toc184312095"/>
      <w:bookmarkEnd w:id="193"/>
      <w:bookmarkStart w:id="194" w:name="_Toc184308074"/>
      <w:bookmarkEnd w:id="194"/>
      <w:bookmarkStart w:id="195" w:name="_Toc184308062"/>
      <w:bookmarkEnd w:id="195"/>
      <w:bookmarkStart w:id="196" w:name="_Toc184308067"/>
      <w:bookmarkEnd w:id="196"/>
      <w:bookmarkStart w:id="197" w:name="_Toc184313273"/>
      <w:bookmarkEnd w:id="197"/>
      <w:bookmarkStart w:id="198" w:name="_Toc184314451"/>
      <w:bookmarkEnd w:id="198"/>
      <w:bookmarkStart w:id="199" w:name="_Toc184312081"/>
      <w:bookmarkEnd w:id="199"/>
      <w:bookmarkStart w:id="200" w:name="_Toc184312109"/>
      <w:bookmarkEnd w:id="200"/>
      <w:bookmarkStart w:id="201" w:name="_Toc184312126"/>
      <w:bookmarkEnd w:id="201"/>
      <w:bookmarkStart w:id="202" w:name="_Toc184312138"/>
      <w:bookmarkEnd w:id="202"/>
      <w:bookmarkStart w:id="203" w:name="_Toc184312086"/>
      <w:bookmarkEnd w:id="203"/>
      <w:bookmarkStart w:id="204" w:name="_Toc184314479"/>
      <w:bookmarkEnd w:id="204"/>
      <w:bookmarkStart w:id="205" w:name="_Toc184312074"/>
      <w:bookmarkEnd w:id="205"/>
      <w:bookmarkStart w:id="206" w:name="_Toc184308038"/>
      <w:bookmarkEnd w:id="206"/>
      <w:bookmarkStart w:id="207" w:name="_Toc184312133"/>
      <w:bookmarkEnd w:id="207"/>
      <w:bookmarkStart w:id="208" w:name="_Toc184308064"/>
      <w:bookmarkEnd w:id="208"/>
      <w:bookmarkStart w:id="209" w:name="_Toc184313308"/>
      <w:bookmarkEnd w:id="209"/>
      <w:bookmarkStart w:id="210" w:name="_Toc184314472"/>
      <w:bookmarkEnd w:id="210"/>
      <w:bookmarkStart w:id="211" w:name="_Toc184314448"/>
      <w:bookmarkEnd w:id="211"/>
      <w:bookmarkStart w:id="212" w:name="_Toc184313276"/>
      <w:bookmarkEnd w:id="212"/>
      <w:bookmarkStart w:id="213" w:name="_Toc184314419"/>
      <w:bookmarkEnd w:id="213"/>
      <w:bookmarkStart w:id="214" w:name="_Toc184313284"/>
      <w:bookmarkEnd w:id="214"/>
      <w:bookmarkStart w:id="215" w:name="_Toc184314436"/>
      <w:bookmarkEnd w:id="215"/>
      <w:bookmarkStart w:id="216" w:name="_Toc184312127"/>
      <w:bookmarkEnd w:id="216"/>
      <w:bookmarkStart w:id="217" w:name="_Toc184314422"/>
      <w:bookmarkEnd w:id="217"/>
      <w:bookmarkStart w:id="218" w:name="_Toc184312099"/>
      <w:bookmarkEnd w:id="218"/>
      <w:bookmarkStart w:id="219" w:name="_Toc184314435"/>
      <w:bookmarkEnd w:id="219"/>
      <w:bookmarkStart w:id="220" w:name="_Toc184308066"/>
      <w:bookmarkEnd w:id="220"/>
      <w:bookmarkStart w:id="221" w:name="_Toc184314480"/>
      <w:bookmarkEnd w:id="221"/>
      <w:bookmarkStart w:id="222" w:name="_Toc184313239"/>
      <w:bookmarkEnd w:id="222"/>
      <w:bookmarkStart w:id="223" w:name="_Toc184312091"/>
      <w:bookmarkEnd w:id="223"/>
      <w:bookmarkStart w:id="224" w:name="_Toc184314466"/>
      <w:bookmarkEnd w:id="224"/>
      <w:bookmarkStart w:id="225" w:name="_Toc184310286"/>
      <w:bookmarkEnd w:id="225"/>
      <w:bookmarkStart w:id="226" w:name="_Toc184312128"/>
      <w:bookmarkEnd w:id="226"/>
      <w:bookmarkStart w:id="227" w:name="_Toc184314482"/>
      <w:bookmarkEnd w:id="227"/>
      <w:bookmarkStart w:id="228" w:name="_Toc184310302"/>
      <w:bookmarkEnd w:id="228"/>
      <w:bookmarkStart w:id="229" w:name="_Toc184314426"/>
      <w:bookmarkEnd w:id="229"/>
      <w:bookmarkStart w:id="230" w:name="_Toc184308077"/>
      <w:bookmarkEnd w:id="230"/>
      <w:bookmarkStart w:id="231" w:name="_Toc184310334"/>
      <w:bookmarkEnd w:id="231"/>
      <w:bookmarkStart w:id="232" w:name="_Toc184313295"/>
      <w:bookmarkEnd w:id="232"/>
      <w:bookmarkStart w:id="233" w:name="_Toc184313262"/>
      <w:bookmarkEnd w:id="233"/>
      <w:bookmarkStart w:id="234" w:name="_Toc184312087"/>
      <w:bookmarkEnd w:id="234"/>
      <w:bookmarkStart w:id="235" w:name="_Toc184308083"/>
      <w:bookmarkEnd w:id="235"/>
      <w:bookmarkStart w:id="236" w:name="_Toc184310320"/>
      <w:bookmarkEnd w:id="236"/>
      <w:bookmarkStart w:id="237" w:name="_Toc184308049"/>
      <w:bookmarkEnd w:id="237"/>
      <w:bookmarkStart w:id="238" w:name="_Toc184313242"/>
      <w:bookmarkEnd w:id="238"/>
      <w:bookmarkStart w:id="239" w:name="_Toc184313272"/>
      <w:bookmarkEnd w:id="239"/>
      <w:bookmarkStart w:id="240" w:name="_Toc184308061"/>
      <w:bookmarkEnd w:id="240"/>
      <w:bookmarkStart w:id="241" w:name="_Toc184313238"/>
      <w:bookmarkEnd w:id="241"/>
      <w:bookmarkStart w:id="242" w:name="_Toc184312114"/>
      <w:bookmarkEnd w:id="242"/>
      <w:bookmarkStart w:id="243" w:name="_Toc184313305"/>
      <w:bookmarkEnd w:id="243"/>
      <w:bookmarkStart w:id="244" w:name="_Toc184308040"/>
      <w:bookmarkEnd w:id="244"/>
      <w:bookmarkStart w:id="245" w:name="_Toc184312084"/>
      <w:bookmarkEnd w:id="245"/>
      <w:bookmarkStart w:id="246" w:name="_Toc184314481"/>
      <w:bookmarkEnd w:id="246"/>
      <w:bookmarkStart w:id="247" w:name="_Toc184308073"/>
      <w:bookmarkEnd w:id="247"/>
      <w:bookmarkStart w:id="248" w:name="_Toc184313301"/>
      <w:bookmarkEnd w:id="248"/>
      <w:bookmarkStart w:id="249" w:name="_Toc184313307"/>
      <w:bookmarkEnd w:id="249"/>
      <w:bookmarkStart w:id="250" w:name="_Toc184314455"/>
      <w:bookmarkEnd w:id="250"/>
      <w:bookmarkStart w:id="251" w:name="_Toc184313241"/>
      <w:bookmarkEnd w:id="251"/>
      <w:bookmarkStart w:id="252" w:name="_Toc184308080"/>
      <w:bookmarkEnd w:id="252"/>
      <w:bookmarkStart w:id="253" w:name="_Toc184310303"/>
      <w:bookmarkEnd w:id="253"/>
      <w:bookmarkStart w:id="254" w:name="_Toc184308085"/>
      <w:bookmarkEnd w:id="254"/>
      <w:bookmarkStart w:id="255" w:name="_Toc184313289"/>
      <w:bookmarkEnd w:id="255"/>
      <w:bookmarkStart w:id="256" w:name="_Toc184308104"/>
      <w:bookmarkEnd w:id="256"/>
      <w:bookmarkStart w:id="257" w:name="_Toc184314477"/>
      <w:bookmarkEnd w:id="257"/>
      <w:bookmarkStart w:id="258" w:name="_Toc184314428"/>
      <w:bookmarkEnd w:id="258"/>
      <w:bookmarkStart w:id="259" w:name="_Toc184312124"/>
      <w:bookmarkEnd w:id="259"/>
      <w:bookmarkStart w:id="260" w:name="_Toc184308072"/>
      <w:bookmarkEnd w:id="260"/>
      <w:bookmarkStart w:id="261" w:name="_Toc184313249"/>
      <w:bookmarkEnd w:id="261"/>
      <w:bookmarkStart w:id="262" w:name="_Toc184308070"/>
      <w:bookmarkEnd w:id="262"/>
      <w:bookmarkStart w:id="263" w:name="_Toc184310285"/>
      <w:bookmarkEnd w:id="263"/>
      <w:bookmarkStart w:id="264" w:name="_Toc184308087"/>
      <w:bookmarkEnd w:id="264"/>
      <w:bookmarkStart w:id="265" w:name="_Toc184314432"/>
      <w:bookmarkEnd w:id="265"/>
      <w:bookmarkStart w:id="266" w:name="_Toc184314447"/>
      <w:bookmarkEnd w:id="266"/>
      <w:bookmarkStart w:id="267" w:name="_Toc184310284"/>
      <w:bookmarkEnd w:id="267"/>
      <w:bookmarkStart w:id="268" w:name="_Toc184310321"/>
      <w:bookmarkEnd w:id="268"/>
      <w:bookmarkStart w:id="269" w:name="_Toc184312092"/>
      <w:bookmarkEnd w:id="269"/>
      <w:bookmarkStart w:id="270" w:name="_Toc184314475"/>
      <w:bookmarkEnd w:id="270"/>
      <w:bookmarkStart w:id="271" w:name="_Toc184312115"/>
      <w:bookmarkEnd w:id="271"/>
      <w:bookmarkStart w:id="272" w:name="_Toc184313263"/>
      <w:bookmarkEnd w:id="272"/>
      <w:bookmarkStart w:id="273" w:name="_Toc184312071"/>
      <w:bookmarkEnd w:id="273"/>
      <w:bookmarkStart w:id="274" w:name="_Toc184314462"/>
      <w:bookmarkEnd w:id="274"/>
      <w:bookmarkStart w:id="275" w:name="_Toc184310338"/>
      <w:bookmarkEnd w:id="275"/>
      <w:bookmarkStart w:id="276" w:name="_Toc184314425"/>
      <w:bookmarkEnd w:id="276"/>
      <w:bookmarkStart w:id="277" w:name="_Toc184310344"/>
      <w:bookmarkEnd w:id="277"/>
      <w:bookmarkStart w:id="278" w:name="_Toc184312088"/>
      <w:bookmarkEnd w:id="278"/>
      <w:bookmarkStart w:id="279" w:name="_Toc184312082"/>
      <w:bookmarkEnd w:id="279"/>
      <w:bookmarkStart w:id="280" w:name="_Toc184310304"/>
      <w:bookmarkEnd w:id="280"/>
      <w:bookmarkStart w:id="281" w:name="_Toc184313267"/>
      <w:bookmarkEnd w:id="281"/>
      <w:bookmarkStart w:id="282" w:name="_Toc184313274"/>
      <w:bookmarkEnd w:id="282"/>
      <w:bookmarkStart w:id="283" w:name="_Toc184308103"/>
      <w:bookmarkEnd w:id="283"/>
      <w:bookmarkStart w:id="284" w:name="_Toc184313297"/>
      <w:bookmarkEnd w:id="284"/>
      <w:bookmarkStart w:id="285" w:name="_Toc184308096"/>
      <w:bookmarkEnd w:id="285"/>
      <w:bookmarkStart w:id="286" w:name="_Toc184314418"/>
      <w:bookmarkEnd w:id="286"/>
      <w:bookmarkStart w:id="287" w:name="_Toc184313291"/>
      <w:bookmarkEnd w:id="287"/>
      <w:bookmarkStart w:id="288" w:name="_Toc184313293"/>
      <w:bookmarkEnd w:id="288"/>
      <w:bookmarkStart w:id="289" w:name="_Toc184313294"/>
      <w:bookmarkEnd w:id="289"/>
      <w:bookmarkStart w:id="290" w:name="_Toc184310322"/>
      <w:bookmarkEnd w:id="290"/>
      <w:bookmarkStart w:id="291" w:name="_Toc184310295"/>
      <w:bookmarkEnd w:id="291"/>
      <w:bookmarkStart w:id="292" w:name="_Toc184308039"/>
      <w:bookmarkEnd w:id="292"/>
      <w:bookmarkStart w:id="293" w:name="_Toc184312073"/>
      <w:bookmarkEnd w:id="293"/>
      <w:bookmarkStart w:id="294" w:name="_Toc184310289"/>
      <w:bookmarkEnd w:id="294"/>
      <w:bookmarkStart w:id="295" w:name="_Toc184310332"/>
      <w:bookmarkEnd w:id="295"/>
      <w:bookmarkStart w:id="296" w:name="_Toc184313244"/>
      <w:bookmarkEnd w:id="296"/>
      <w:bookmarkStart w:id="297" w:name="_Toc184314441"/>
      <w:bookmarkEnd w:id="297"/>
      <w:bookmarkStart w:id="298" w:name="_Toc184308089"/>
      <w:bookmarkEnd w:id="298"/>
      <w:bookmarkStart w:id="299" w:name="_Toc184312076"/>
      <w:bookmarkEnd w:id="299"/>
      <w:bookmarkStart w:id="300" w:name="_Toc184308095"/>
      <w:bookmarkEnd w:id="300"/>
      <w:bookmarkStart w:id="301" w:name="_Toc184310328"/>
      <w:bookmarkEnd w:id="301"/>
      <w:bookmarkStart w:id="302" w:name="_Toc184312125"/>
      <w:bookmarkEnd w:id="302"/>
      <w:bookmarkStart w:id="303" w:name="_Toc184308093"/>
      <w:bookmarkEnd w:id="303"/>
      <w:bookmarkStart w:id="304" w:name="_Toc184312102"/>
      <w:bookmarkEnd w:id="304"/>
      <w:bookmarkStart w:id="305" w:name="_Toc184310288"/>
      <w:bookmarkEnd w:id="305"/>
      <w:bookmarkStart w:id="306" w:name="_Toc184314439"/>
      <w:bookmarkEnd w:id="306"/>
      <w:bookmarkStart w:id="307" w:name="_Toc184313243"/>
      <w:bookmarkEnd w:id="307"/>
      <w:bookmarkStart w:id="308" w:name="_Toc184308108"/>
      <w:bookmarkEnd w:id="308"/>
      <w:bookmarkStart w:id="309" w:name="_Toc184312108"/>
      <w:bookmarkEnd w:id="309"/>
      <w:bookmarkStart w:id="310" w:name="_Toc184308101"/>
      <w:bookmarkEnd w:id="310"/>
      <w:bookmarkStart w:id="311" w:name="_Toc184310313"/>
      <w:bookmarkEnd w:id="311"/>
      <w:bookmarkStart w:id="312" w:name="_Toc184310296"/>
      <w:bookmarkEnd w:id="312"/>
      <w:bookmarkStart w:id="313" w:name="_Toc184313260"/>
      <w:bookmarkEnd w:id="313"/>
      <w:bookmarkStart w:id="314" w:name="_Toc184313302"/>
      <w:bookmarkEnd w:id="314"/>
      <w:bookmarkStart w:id="315" w:name="_Toc184310314"/>
      <w:bookmarkEnd w:id="315"/>
      <w:bookmarkStart w:id="316" w:name="_Toc184310339"/>
      <w:bookmarkEnd w:id="316"/>
      <w:bookmarkStart w:id="317" w:name="_Toc184313277"/>
      <w:bookmarkEnd w:id="317"/>
      <w:bookmarkStart w:id="318" w:name="_Toc184312104"/>
      <w:bookmarkEnd w:id="318"/>
      <w:bookmarkStart w:id="319" w:name="_Toc184313304"/>
      <w:bookmarkEnd w:id="319"/>
      <w:bookmarkStart w:id="320" w:name="_Toc184314430"/>
      <w:bookmarkEnd w:id="320"/>
      <w:bookmarkStart w:id="321" w:name="_Toc184308045"/>
      <w:bookmarkEnd w:id="321"/>
      <w:bookmarkStart w:id="322" w:name="_Toc184314440"/>
      <w:bookmarkEnd w:id="322"/>
      <w:bookmarkStart w:id="323" w:name="_Toc184310291"/>
      <w:bookmarkEnd w:id="323"/>
      <w:bookmarkStart w:id="324" w:name="_Toc184310327"/>
      <w:bookmarkEnd w:id="324"/>
      <w:bookmarkStart w:id="325" w:name="_Toc184314443"/>
      <w:bookmarkEnd w:id="325"/>
      <w:bookmarkStart w:id="326" w:name="_Toc184308044"/>
      <w:bookmarkEnd w:id="326"/>
      <w:bookmarkStart w:id="327" w:name="_Toc184308079"/>
      <w:bookmarkEnd w:id="327"/>
      <w:bookmarkStart w:id="328" w:name="_Toc184313269"/>
      <w:bookmarkEnd w:id="328"/>
      <w:bookmarkStart w:id="329" w:name="_Toc184314458"/>
      <w:bookmarkEnd w:id="329"/>
      <w:bookmarkStart w:id="330" w:name="_Toc184308078"/>
      <w:bookmarkEnd w:id="330"/>
      <w:bookmarkStart w:id="331" w:name="_Toc184308056"/>
      <w:bookmarkEnd w:id="331"/>
      <w:bookmarkStart w:id="332" w:name="_Toc184312113"/>
      <w:bookmarkEnd w:id="332"/>
      <w:bookmarkStart w:id="333" w:name="_Toc184314415"/>
      <w:bookmarkEnd w:id="333"/>
      <w:bookmarkStart w:id="334" w:name="_Toc184312111"/>
      <w:bookmarkEnd w:id="334"/>
      <w:bookmarkStart w:id="335" w:name="_Toc184313309"/>
      <w:bookmarkEnd w:id="335"/>
      <w:bookmarkStart w:id="336" w:name="_Toc184314444"/>
      <w:bookmarkEnd w:id="336"/>
      <w:bookmarkStart w:id="337" w:name="_Toc184312101"/>
      <w:bookmarkEnd w:id="337"/>
      <w:bookmarkStart w:id="338" w:name="_Toc184312105"/>
      <w:bookmarkEnd w:id="338"/>
      <w:bookmarkStart w:id="339" w:name="_Toc184310307"/>
      <w:bookmarkEnd w:id="339"/>
      <w:bookmarkStart w:id="340" w:name="_Toc184310337"/>
      <w:bookmarkEnd w:id="340"/>
      <w:bookmarkStart w:id="341" w:name="_Toc184312132"/>
      <w:bookmarkEnd w:id="341"/>
      <w:bookmarkStart w:id="342" w:name="_Toc184308042"/>
      <w:bookmarkEnd w:id="342"/>
      <w:bookmarkStart w:id="343" w:name="_Toc184308098"/>
      <w:bookmarkEnd w:id="343"/>
      <w:bookmarkStart w:id="344" w:name="_Toc184310331"/>
      <w:bookmarkEnd w:id="344"/>
      <w:bookmarkStart w:id="345" w:name="_Toc184314456"/>
      <w:bookmarkEnd w:id="345"/>
      <w:bookmarkStart w:id="346" w:name="_Toc184312075"/>
      <w:bookmarkEnd w:id="346"/>
      <w:bookmarkStart w:id="347" w:name="_Toc184310290"/>
      <w:bookmarkEnd w:id="347"/>
      <w:bookmarkStart w:id="348" w:name="_Toc184310279"/>
      <w:bookmarkEnd w:id="348"/>
      <w:bookmarkStart w:id="349" w:name="_Toc184312110"/>
      <w:bookmarkEnd w:id="349"/>
      <w:bookmarkStart w:id="350" w:name="_Toc184310280"/>
      <w:bookmarkEnd w:id="350"/>
      <w:bookmarkStart w:id="351" w:name="_Toc184312130"/>
      <w:bookmarkEnd w:id="351"/>
      <w:bookmarkStart w:id="352" w:name="_Toc184314469"/>
      <w:bookmarkEnd w:id="352"/>
      <w:bookmarkStart w:id="353" w:name="_Toc184308099"/>
      <w:bookmarkEnd w:id="353"/>
      <w:bookmarkStart w:id="354" w:name="_Toc184308065"/>
      <w:bookmarkEnd w:id="354"/>
      <w:bookmarkStart w:id="355" w:name="_Toc184312098"/>
      <w:bookmarkEnd w:id="355"/>
      <w:bookmarkStart w:id="356" w:name="_Toc184313256"/>
      <w:bookmarkEnd w:id="356"/>
      <w:bookmarkStart w:id="357" w:name="_Toc184310293"/>
      <w:bookmarkEnd w:id="357"/>
      <w:bookmarkStart w:id="358" w:name="_Toc184312139"/>
      <w:bookmarkEnd w:id="358"/>
      <w:bookmarkStart w:id="359" w:name="_Toc184313240"/>
      <w:bookmarkEnd w:id="359"/>
      <w:bookmarkStart w:id="360" w:name="_Toc184313253"/>
      <w:bookmarkEnd w:id="360"/>
      <w:bookmarkStart w:id="361" w:name="_Toc184310323"/>
      <w:bookmarkEnd w:id="361"/>
      <w:bookmarkStart w:id="362" w:name="_Toc184310312"/>
      <w:bookmarkEnd w:id="362"/>
      <w:bookmarkStart w:id="363" w:name="_Toc184312096"/>
      <w:bookmarkEnd w:id="363"/>
      <w:bookmarkStart w:id="364" w:name="_Toc184314459"/>
      <w:bookmarkEnd w:id="364"/>
      <w:bookmarkStart w:id="365" w:name="_Toc184312068"/>
      <w:bookmarkEnd w:id="365"/>
      <w:bookmarkStart w:id="366" w:name="_Toc184312083"/>
      <w:bookmarkEnd w:id="366"/>
      <w:bookmarkStart w:id="367" w:name="_Toc184314414"/>
      <w:bookmarkEnd w:id="367"/>
      <w:bookmarkStart w:id="368" w:name="_Toc184312069"/>
      <w:bookmarkEnd w:id="368"/>
      <w:bookmarkStart w:id="369" w:name="_Toc184314413"/>
      <w:bookmarkEnd w:id="369"/>
      <w:bookmarkStart w:id="370" w:name="_Toc184313300"/>
      <w:bookmarkEnd w:id="370"/>
      <w:bookmarkStart w:id="371" w:name="_Toc184308084"/>
      <w:bookmarkEnd w:id="371"/>
      <w:bookmarkStart w:id="372" w:name="_Toc184313282"/>
      <w:bookmarkEnd w:id="372"/>
      <w:bookmarkStart w:id="373" w:name="_Toc184312100"/>
      <w:bookmarkEnd w:id="373"/>
      <w:bookmarkStart w:id="374" w:name="_Toc184312123"/>
      <w:bookmarkEnd w:id="374"/>
      <w:bookmarkStart w:id="375" w:name="_Toc184308058"/>
      <w:bookmarkEnd w:id="375"/>
      <w:bookmarkStart w:id="376" w:name="_Toc184314476"/>
      <w:bookmarkEnd w:id="376"/>
      <w:bookmarkStart w:id="377" w:name="_Toc184313252"/>
      <w:bookmarkEnd w:id="377"/>
      <w:bookmarkStart w:id="378" w:name="_Toc184310305"/>
      <w:bookmarkEnd w:id="378"/>
      <w:bookmarkStart w:id="379" w:name="_Toc184314468"/>
      <w:bookmarkEnd w:id="379"/>
      <w:bookmarkStart w:id="380" w:name="_Toc184312067"/>
      <w:bookmarkEnd w:id="380"/>
      <w:bookmarkStart w:id="381" w:name="_Toc184308082"/>
      <w:bookmarkEnd w:id="381"/>
      <w:bookmarkStart w:id="382" w:name="_Toc184313299"/>
      <w:bookmarkEnd w:id="382"/>
      <w:bookmarkStart w:id="383" w:name="_Toc184312119"/>
      <w:bookmarkEnd w:id="383"/>
      <w:bookmarkStart w:id="384" w:name="_Toc184314420"/>
      <w:bookmarkEnd w:id="384"/>
      <w:bookmarkStart w:id="385" w:name="_Toc184312107"/>
      <w:bookmarkEnd w:id="385"/>
      <w:bookmarkStart w:id="386" w:name="_Toc184312118"/>
      <w:bookmarkEnd w:id="386"/>
      <w:bookmarkStart w:id="387" w:name="_Toc184314433"/>
      <w:bookmarkEnd w:id="387"/>
      <w:bookmarkStart w:id="388" w:name="_Toc184314412"/>
      <w:bookmarkEnd w:id="388"/>
      <w:bookmarkStart w:id="389" w:name="_Toc184313255"/>
      <w:bookmarkEnd w:id="389"/>
      <w:bookmarkStart w:id="390" w:name="_Toc184312112"/>
      <w:bookmarkEnd w:id="390"/>
      <w:bookmarkStart w:id="391" w:name="_Toc184314478"/>
      <w:bookmarkEnd w:id="391"/>
      <w:bookmarkStart w:id="392" w:name="_Toc184314427"/>
      <w:bookmarkEnd w:id="392"/>
      <w:bookmarkStart w:id="393" w:name="_Toc184314421"/>
      <w:bookmarkEnd w:id="393"/>
      <w:bookmarkStart w:id="394" w:name="_Toc184310282"/>
      <w:bookmarkEnd w:id="394"/>
      <w:bookmarkStart w:id="395" w:name="_Toc184314463"/>
      <w:bookmarkEnd w:id="395"/>
      <w:bookmarkStart w:id="396" w:name="_Toc184310277"/>
      <w:bookmarkEnd w:id="396"/>
      <w:bookmarkStart w:id="397" w:name="_Toc184313268"/>
      <w:bookmarkEnd w:id="397"/>
      <w:bookmarkStart w:id="398" w:name="_Toc184313254"/>
      <w:bookmarkEnd w:id="398"/>
      <w:bookmarkStart w:id="399" w:name="_Toc184314429"/>
      <w:bookmarkEnd w:id="399"/>
      <w:bookmarkStart w:id="400" w:name="_Toc184310274"/>
      <w:bookmarkEnd w:id="400"/>
      <w:r>
        <w:rPr>
          <w:rFonts w:hint="eastAsia" w:ascii="仿宋" w:hAnsi="仿宋" w:cs="仿宋"/>
          <w:b/>
          <w:sz w:val="36"/>
          <w:szCs w:val="36"/>
        </w:rPr>
        <w:t>评标办法</w:t>
      </w:r>
      <w:bookmarkEnd w:id="35"/>
    </w:p>
    <w:p>
      <w:pPr>
        <w:pStyle w:val="138"/>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3"/>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729"/>
        <w:gridCol w:w="782"/>
        <w:gridCol w:w="87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5729"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评审标准</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权重</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主观分/客观分属性</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lang w:val="en-US" w:eastAsia="zh-CN"/>
              </w:rPr>
              <w:t>投标</w:t>
            </w:r>
            <w:r>
              <w:rPr>
                <w:rFonts w:hint="eastAsia" w:ascii="方正仿宋_GB2312" w:hAnsi="方正仿宋_GB2312" w:eastAsia="方正仿宋_GB2312" w:cs="方正仿宋_GB2312"/>
                <w:bCs/>
                <w:sz w:val="24"/>
                <w:szCs w:val="24"/>
              </w:rPr>
              <w:t>文件中评审标准相应的商务技术资料目录</w:t>
            </w:r>
            <w:r>
              <w:rPr>
                <w:rFonts w:hint="eastAsia" w:ascii="方正仿宋_GB2312" w:hAnsi="方正仿宋_GB2312" w:eastAsia="方正仿宋_GB2312" w:cs="方正仿宋_GB2312"/>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供应商（联合体投标的，指联合体牵头方）自2022年1月1日以来</w:t>
            </w:r>
            <w:r>
              <w:rPr>
                <w:rFonts w:hint="eastAsia" w:ascii="方正仿宋_GB2312" w:hAnsi="方正仿宋_GB2312" w:eastAsia="方正仿宋_GB2312" w:cs="方正仿宋_GB2312"/>
                <w:sz w:val="24"/>
                <w:szCs w:val="24"/>
                <w:lang w:eastAsia="zh-CN"/>
              </w:rPr>
              <w:t>类似品牌提升</w:t>
            </w:r>
            <w:r>
              <w:rPr>
                <w:rFonts w:hint="eastAsia" w:ascii="方正仿宋_GB2312" w:hAnsi="方正仿宋_GB2312" w:eastAsia="方正仿宋_GB2312" w:cs="方正仿宋_GB2312"/>
                <w:sz w:val="24"/>
                <w:szCs w:val="24"/>
                <w:lang w:val="en-US" w:eastAsia="zh-CN"/>
              </w:rPr>
              <w:t>或质量攻坚服务</w:t>
            </w:r>
            <w:r>
              <w:rPr>
                <w:rFonts w:hint="eastAsia" w:ascii="方正仿宋_GB2312" w:hAnsi="方正仿宋_GB2312" w:eastAsia="方正仿宋_GB2312" w:cs="方正仿宋_GB2312"/>
                <w:sz w:val="24"/>
                <w:szCs w:val="24"/>
              </w:rPr>
              <w:t>项目业绩，每提供一个项目业绩得</w:t>
            </w:r>
            <w:r>
              <w:rPr>
                <w:rFonts w:hint="eastAsia" w:ascii="方正仿宋_GB2312" w:hAnsi="方正仿宋_GB2312" w:eastAsia="方正仿宋_GB2312" w:cs="方正仿宋_GB2312"/>
                <w:sz w:val="24"/>
                <w:szCs w:val="24"/>
                <w:lang w:val="en-US" w:eastAsia="zh-CN"/>
              </w:rPr>
              <w:t>0.5</w:t>
            </w:r>
            <w:r>
              <w:rPr>
                <w:rFonts w:hint="eastAsia" w:ascii="方正仿宋_GB2312" w:hAnsi="方正仿宋_GB2312" w:eastAsia="方正仿宋_GB2312" w:cs="方正仿宋_GB2312"/>
                <w:sz w:val="24"/>
                <w:szCs w:val="24"/>
              </w:rPr>
              <w:t>分，最多得</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分。（需提供合同复印件并加盖公章，否则不得分。）</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1</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根据供应商</w:t>
            </w:r>
            <w:r>
              <w:rPr>
                <w:rFonts w:hint="eastAsia" w:ascii="方正仿宋_GB2312" w:hAnsi="方正仿宋_GB2312" w:eastAsia="方正仿宋_GB2312" w:cs="方正仿宋_GB2312"/>
                <w:sz w:val="24"/>
                <w:szCs w:val="24"/>
              </w:rPr>
              <w:t>对本项目背景的了解程度</w:t>
            </w:r>
            <w:r>
              <w:rPr>
                <w:rFonts w:hint="eastAsia" w:ascii="方正仿宋_GB2312" w:hAnsi="方正仿宋_GB2312" w:eastAsia="方正仿宋_GB2312" w:cs="方正仿宋_GB2312"/>
                <w:sz w:val="24"/>
                <w:szCs w:val="24"/>
                <w:lang w:val="en-US" w:eastAsia="zh-CN"/>
              </w:rPr>
              <w:t>等情况进行评分。分值（0,1,2,3）</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产业链分析。根据本项目特点，对本项目的品牌领域产业链进行分析，根据分析到位情况及透彻程度进行评分。分值（0,1,2,3,4）</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4</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服务方案。结合重点服务区域，对本项目的产业链质量提升拟采取的措施和调研方法提供服务方案，根据方案详实程度、可执行性情况进行打分。</w:t>
            </w:r>
            <w:r>
              <w:rPr>
                <w:rFonts w:hint="eastAsia" w:ascii="方正仿宋_GB2312" w:hAnsi="方正仿宋_GB2312" w:eastAsia="方正仿宋_GB2312" w:cs="方正仿宋_GB2312"/>
                <w:sz w:val="24"/>
                <w:szCs w:val="24"/>
              </w:rPr>
              <w:t>分值（0,1,2,3,4,5）</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针对采购文件第</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部分采</w:t>
            </w:r>
            <w:r>
              <w:rPr>
                <w:rFonts w:hint="eastAsia" w:ascii="方正仿宋_GB2312" w:hAnsi="方正仿宋_GB2312" w:eastAsia="方正仿宋_GB2312" w:cs="方正仿宋_GB2312"/>
                <w:sz w:val="24"/>
                <w:szCs w:val="24"/>
                <w:highlight w:val="none"/>
              </w:rPr>
              <w:t>购需求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内容及</w:t>
            </w:r>
            <w:r>
              <w:rPr>
                <w:rFonts w:hint="eastAsia" w:ascii="方正仿宋_GB2312" w:hAnsi="方正仿宋_GB2312" w:eastAsia="方正仿宋_GB2312" w:cs="方正仿宋_GB2312"/>
                <w:sz w:val="24"/>
                <w:szCs w:val="24"/>
                <w:highlight w:val="none"/>
                <w:lang w:val="en-US" w:eastAsia="zh-CN"/>
              </w:rPr>
              <w:t>技术</w:t>
            </w:r>
            <w:r>
              <w:rPr>
                <w:rFonts w:hint="eastAsia" w:ascii="方正仿宋_GB2312" w:hAnsi="方正仿宋_GB2312" w:eastAsia="方正仿宋_GB2312" w:cs="方正仿宋_GB2312"/>
                <w:sz w:val="24"/>
                <w:szCs w:val="24"/>
                <w:highlight w:val="none"/>
              </w:rPr>
              <w:t>要求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中“服务内容”进行响应和承诺。服务内容</w:t>
            </w:r>
            <w:r>
              <w:rPr>
                <w:rFonts w:hint="eastAsia" w:ascii="方正仿宋_GB2312" w:hAnsi="方正仿宋_GB2312" w:eastAsia="方正仿宋_GB2312" w:cs="方正仿宋_GB2312"/>
                <w:sz w:val="24"/>
                <w:szCs w:val="24"/>
                <w:highlight w:val="none"/>
              </w:rPr>
              <w:t>均</w:t>
            </w:r>
            <w:r>
              <w:rPr>
                <w:rFonts w:hint="eastAsia" w:ascii="方正仿宋_GB2312" w:hAnsi="方正仿宋_GB2312" w:eastAsia="方正仿宋_GB2312" w:cs="方正仿宋_GB2312"/>
                <w:sz w:val="24"/>
                <w:szCs w:val="24"/>
                <w:highlight w:val="none"/>
                <w:lang w:val="en-US" w:eastAsia="zh-CN"/>
              </w:rPr>
              <w:t>承诺完全响应的</w:t>
            </w:r>
            <w:r>
              <w:rPr>
                <w:rFonts w:hint="eastAsia" w:ascii="方正仿宋_GB2312" w:hAnsi="方正仿宋_GB2312" w:eastAsia="方正仿宋_GB2312" w:cs="方正仿宋_GB2312"/>
                <w:sz w:val="24"/>
                <w:szCs w:val="24"/>
                <w:highlight w:val="none"/>
              </w:rPr>
              <w:t>得</w:t>
            </w:r>
            <w:r>
              <w:rPr>
                <w:rFonts w:hint="eastAsia" w:ascii="方正仿宋_GB2312" w:hAnsi="方正仿宋_GB2312" w:eastAsia="方正仿宋_GB2312" w:cs="方正仿宋_GB2312"/>
                <w:sz w:val="24"/>
                <w:szCs w:val="24"/>
                <w:highlight w:val="none"/>
                <w:lang w:val="en-US" w:eastAsia="zh-CN"/>
              </w:rPr>
              <w:t>30</w:t>
            </w:r>
            <w:r>
              <w:rPr>
                <w:rFonts w:hint="eastAsia" w:ascii="方正仿宋_GB2312" w:hAnsi="方正仿宋_GB2312" w:eastAsia="方正仿宋_GB2312" w:cs="方正仿宋_GB2312"/>
                <w:sz w:val="24"/>
                <w:szCs w:val="24"/>
                <w:highlight w:val="none"/>
              </w:rPr>
              <w:t>分，每</w:t>
            </w:r>
            <w:r>
              <w:rPr>
                <w:rFonts w:hint="eastAsia" w:ascii="方正仿宋_GB2312" w:hAnsi="方正仿宋_GB2312" w:eastAsia="方正仿宋_GB2312" w:cs="方正仿宋_GB2312"/>
                <w:sz w:val="24"/>
                <w:szCs w:val="24"/>
              </w:rPr>
              <w:t>一项不满足的扣</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分，扣完为止。</w:t>
            </w:r>
            <w:r>
              <w:rPr>
                <w:rFonts w:hint="eastAsia" w:ascii="方正仿宋_GB2312" w:hAnsi="方正仿宋_GB2312" w:eastAsia="方正仿宋_GB2312" w:cs="方正仿宋_GB2312"/>
                <w:sz w:val="24"/>
                <w:szCs w:val="24"/>
                <w:lang w:val="en-US" w:eastAsia="zh-CN"/>
              </w:rPr>
              <w:t>评审依据：技术服务响应表或商务技术偏离表或投标人对服务内容的逐条响应承诺。</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30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针对采购文件第</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部分采</w:t>
            </w:r>
            <w:r>
              <w:rPr>
                <w:rFonts w:hint="eastAsia" w:ascii="方正仿宋_GB2312" w:hAnsi="方正仿宋_GB2312" w:eastAsia="方正仿宋_GB2312" w:cs="方正仿宋_GB2312"/>
                <w:sz w:val="24"/>
                <w:szCs w:val="24"/>
                <w:highlight w:val="none"/>
              </w:rPr>
              <w:t>购需求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内容及</w:t>
            </w:r>
            <w:r>
              <w:rPr>
                <w:rFonts w:hint="eastAsia" w:ascii="方正仿宋_GB2312" w:hAnsi="方正仿宋_GB2312" w:eastAsia="方正仿宋_GB2312" w:cs="方正仿宋_GB2312"/>
                <w:sz w:val="24"/>
                <w:szCs w:val="24"/>
                <w:highlight w:val="none"/>
                <w:lang w:val="en-US" w:eastAsia="zh-CN"/>
              </w:rPr>
              <w:t>技术</w:t>
            </w:r>
            <w:r>
              <w:rPr>
                <w:rFonts w:hint="eastAsia" w:ascii="方正仿宋_GB2312" w:hAnsi="方正仿宋_GB2312" w:eastAsia="方正仿宋_GB2312" w:cs="方正仿宋_GB2312"/>
                <w:sz w:val="24"/>
                <w:szCs w:val="24"/>
                <w:highlight w:val="none"/>
              </w:rPr>
              <w:t>要求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中“技术要求”进行响应和承诺。技术要求</w:t>
            </w:r>
            <w:r>
              <w:rPr>
                <w:rFonts w:hint="eastAsia" w:ascii="方正仿宋_GB2312" w:hAnsi="方正仿宋_GB2312" w:eastAsia="方正仿宋_GB2312" w:cs="方正仿宋_GB2312"/>
                <w:sz w:val="24"/>
                <w:szCs w:val="24"/>
                <w:highlight w:val="none"/>
              </w:rPr>
              <w:t>均</w:t>
            </w:r>
            <w:r>
              <w:rPr>
                <w:rFonts w:hint="eastAsia" w:ascii="方正仿宋_GB2312" w:hAnsi="方正仿宋_GB2312" w:eastAsia="方正仿宋_GB2312" w:cs="方正仿宋_GB2312"/>
                <w:sz w:val="24"/>
                <w:szCs w:val="24"/>
                <w:highlight w:val="none"/>
                <w:lang w:val="en-US" w:eastAsia="zh-CN"/>
              </w:rPr>
              <w:t>承诺完全响应的</w:t>
            </w:r>
            <w:r>
              <w:rPr>
                <w:rFonts w:hint="eastAsia" w:ascii="方正仿宋_GB2312" w:hAnsi="方正仿宋_GB2312" w:eastAsia="方正仿宋_GB2312" w:cs="方正仿宋_GB2312"/>
                <w:sz w:val="24"/>
                <w:szCs w:val="24"/>
                <w:highlight w:val="none"/>
              </w:rPr>
              <w:t>得</w:t>
            </w:r>
            <w:r>
              <w:rPr>
                <w:rFonts w:hint="eastAsia" w:ascii="方正仿宋_GB2312" w:hAnsi="方正仿宋_GB2312" w:eastAsia="方正仿宋_GB2312" w:cs="方正仿宋_GB2312"/>
                <w:sz w:val="24"/>
                <w:szCs w:val="24"/>
                <w:highlight w:val="none"/>
                <w:lang w:val="en-US" w:eastAsia="zh-CN"/>
              </w:rPr>
              <w:t>20</w:t>
            </w:r>
            <w:r>
              <w:rPr>
                <w:rFonts w:hint="eastAsia" w:ascii="方正仿宋_GB2312" w:hAnsi="方正仿宋_GB2312" w:eastAsia="方正仿宋_GB2312" w:cs="方正仿宋_GB2312"/>
                <w:sz w:val="24"/>
                <w:szCs w:val="24"/>
                <w:highlight w:val="none"/>
              </w:rPr>
              <w:t>分，每</w:t>
            </w:r>
            <w:r>
              <w:rPr>
                <w:rFonts w:hint="eastAsia" w:ascii="方正仿宋_GB2312" w:hAnsi="方正仿宋_GB2312" w:eastAsia="方正仿宋_GB2312" w:cs="方正仿宋_GB2312"/>
                <w:sz w:val="24"/>
                <w:szCs w:val="24"/>
              </w:rPr>
              <w:t>一项不满足的扣</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分，扣完为止。</w:t>
            </w:r>
            <w:r>
              <w:rPr>
                <w:rFonts w:hint="eastAsia" w:ascii="方正仿宋_GB2312" w:hAnsi="方正仿宋_GB2312" w:eastAsia="方正仿宋_GB2312" w:cs="方正仿宋_GB2312"/>
                <w:sz w:val="24"/>
                <w:szCs w:val="24"/>
                <w:lang w:val="en-US" w:eastAsia="zh-CN"/>
              </w:rPr>
              <w:t>评审依据：技术服务响应表或商务技术偏离表或投标人对技术要求的逐条响应承诺。</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20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项目成果。对拟提供的项目成果材料进行承诺。完全符合采购需求的得5分，不满足的不得分。</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8</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项目组人员情况</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项目负责人具有</w:t>
            </w:r>
            <w:r>
              <w:rPr>
                <w:rFonts w:hint="eastAsia" w:ascii="方正仿宋_GB2312" w:hAnsi="方正仿宋_GB2312" w:eastAsia="方正仿宋_GB2312" w:cs="方正仿宋_GB2312"/>
                <w:sz w:val="24"/>
                <w:szCs w:val="24"/>
                <w:lang w:val="en-US" w:eastAsia="zh-CN"/>
              </w:rPr>
              <w:t>标准、计量、检测、质量等相关专业高级及</w:t>
            </w:r>
            <w:r>
              <w:rPr>
                <w:rFonts w:hint="eastAsia" w:ascii="方正仿宋_GB2312" w:hAnsi="方正仿宋_GB2312" w:eastAsia="方正仿宋_GB2312" w:cs="方正仿宋_GB2312"/>
                <w:sz w:val="24"/>
                <w:szCs w:val="24"/>
                <w:lang w:eastAsia="zh-CN"/>
              </w:rPr>
              <w:t>以上职称的得</w:t>
            </w:r>
            <w:r>
              <w:rPr>
                <w:rFonts w:hint="eastAsia" w:ascii="方正仿宋_GB2312" w:hAnsi="方正仿宋_GB2312" w:eastAsia="方正仿宋_GB2312" w:cs="方正仿宋_GB2312"/>
                <w:sz w:val="24"/>
                <w:szCs w:val="24"/>
                <w:lang w:val="en-US" w:eastAsia="zh-CN"/>
              </w:rPr>
              <w:t>3分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须提供证书复印件和近三月任意一个月在投标人处缴纳社保的证明。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8.2</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项目负责人</w:t>
            </w:r>
            <w:r>
              <w:rPr>
                <w:rFonts w:hint="eastAsia" w:ascii="方正仿宋_GB2312" w:hAnsi="方正仿宋_GB2312" w:eastAsia="方正仿宋_GB2312" w:cs="方正仿宋_GB2312"/>
                <w:sz w:val="24"/>
                <w:szCs w:val="24"/>
                <w:lang w:val="en-US" w:eastAsia="zh-CN"/>
              </w:rPr>
              <w:t>具备5年及以上类似品牌提升或质量攻坚服务项目管理及实施的相关工作经验的得3分。须提供项目负责人履历表和近三月任意一个月在投标人处缴纳社保的证明。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8.3</w:t>
            </w:r>
          </w:p>
        </w:tc>
        <w:tc>
          <w:tcPr>
            <w:tcW w:w="5729" w:type="dxa"/>
            <w:noWrap w:val="0"/>
            <w:vAlign w:val="center"/>
          </w:tcPr>
          <w:p>
            <w:pPr>
              <w:spacing w:line="24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项目团队人员（除项目负责人外）数量不少于10人，且具有标准、计量、检测、质量等相关专业中级及以上职称的工作人员数量不少于5人的得5分，须提供证书复印件和投标截止时间前近三月内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8.4</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拟投入本次项目团队成员（不包括项目负责人）人员</w:t>
            </w:r>
            <w:r>
              <w:rPr>
                <w:rFonts w:hint="eastAsia" w:ascii="方正仿宋_GB2312" w:hAnsi="方正仿宋_GB2312" w:eastAsia="方正仿宋_GB2312" w:cs="方正仿宋_GB2312"/>
                <w:sz w:val="24"/>
                <w:szCs w:val="24"/>
                <w:lang w:val="en-US" w:eastAsia="zh-CN"/>
              </w:rPr>
              <w:t>岗位配置</w:t>
            </w:r>
            <w:r>
              <w:rPr>
                <w:rFonts w:hint="eastAsia" w:ascii="方正仿宋_GB2312" w:hAnsi="方正仿宋_GB2312" w:eastAsia="方正仿宋_GB2312" w:cs="方正仿宋_GB2312"/>
                <w:sz w:val="24"/>
                <w:szCs w:val="24"/>
                <w:lang w:eastAsia="zh-CN"/>
              </w:rPr>
              <w:t>情况、</w:t>
            </w:r>
            <w:r>
              <w:rPr>
                <w:rFonts w:hint="eastAsia" w:ascii="方正仿宋_GB2312" w:hAnsi="方正仿宋_GB2312" w:eastAsia="方正仿宋_GB2312" w:cs="方正仿宋_GB2312"/>
                <w:sz w:val="24"/>
                <w:szCs w:val="24"/>
                <w:lang w:val="en-US" w:eastAsia="zh-CN"/>
              </w:rPr>
              <w:t>任务分工明确程度</w:t>
            </w:r>
            <w:r>
              <w:rPr>
                <w:rFonts w:hint="eastAsia" w:ascii="方正仿宋_GB2312" w:hAnsi="方正仿宋_GB2312" w:eastAsia="方正仿宋_GB2312" w:cs="方正仿宋_GB2312"/>
                <w:sz w:val="24"/>
                <w:szCs w:val="24"/>
                <w:lang w:eastAsia="zh-CN"/>
              </w:rPr>
              <w:t>等进行评分分值（</w:t>
            </w:r>
            <w:r>
              <w:rPr>
                <w:rFonts w:hint="eastAsia" w:ascii="方正仿宋_GB2312" w:hAnsi="方正仿宋_GB2312" w:eastAsia="方正仿宋_GB2312" w:cs="方正仿宋_GB2312"/>
                <w:sz w:val="24"/>
                <w:szCs w:val="24"/>
                <w:lang w:val="en-US" w:eastAsia="zh-CN"/>
              </w:rPr>
              <w:t>0,1,2,3,4,5</w:t>
            </w:r>
            <w:r>
              <w:rPr>
                <w:rFonts w:hint="eastAsia" w:ascii="方正仿宋_GB2312" w:hAnsi="方正仿宋_GB2312" w:eastAsia="方正仿宋_GB2312" w:cs="方正仿宋_GB2312"/>
                <w:sz w:val="24"/>
                <w:szCs w:val="24"/>
                <w:lang w:eastAsia="zh-CN"/>
              </w:rPr>
              <w:t>）</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9</w:t>
            </w:r>
          </w:p>
        </w:tc>
        <w:tc>
          <w:tcPr>
            <w:tcW w:w="5729" w:type="dxa"/>
            <w:noWrap w:val="0"/>
            <w:vAlign w:val="center"/>
          </w:tcPr>
          <w:p>
            <w:pPr>
              <w:spacing w:line="240" w:lineRule="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进度计划。根据供应商提供的项目进度计划的科学性、合理性，与本项目的匹配程度进行评分。分值（0,1,2,3）</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w:t>
            </w:r>
          </w:p>
        </w:tc>
        <w:tc>
          <w:tcPr>
            <w:tcW w:w="5729" w:type="dxa"/>
            <w:noWrap w:val="0"/>
            <w:vAlign w:val="center"/>
          </w:tcPr>
          <w:p>
            <w:pPr>
              <w:spacing w:line="24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保密措施</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根据投标人对服务过程中拟采取的保密措施的严谨性合理性进行评分。</w:t>
            </w:r>
            <w:r>
              <w:rPr>
                <w:rFonts w:hint="eastAsia" w:ascii="方正仿宋_GB2312" w:hAnsi="方正仿宋_GB2312" w:eastAsia="方正仿宋_GB2312" w:cs="方正仿宋_GB2312"/>
                <w:sz w:val="24"/>
                <w:szCs w:val="24"/>
                <w:lang w:eastAsia="zh-CN"/>
              </w:rPr>
              <w:t>分值（0,1,2,3）</w:t>
            </w:r>
          </w:p>
        </w:tc>
        <w:tc>
          <w:tcPr>
            <w:tcW w:w="782"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11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有效最后报价的最低价作为评审基准价，其最低报价为满分；按［最后报价得分=（评审基准价/最后报价）*</w:t>
            </w:r>
            <w:r>
              <w:rPr>
                <w:rFonts w:hint="eastAsia" w:ascii="方正仿宋_GB2312" w:hAnsi="方正仿宋_GB2312" w:eastAsia="方正仿宋_GB2312" w:cs="方正仿宋_GB2312"/>
                <w:sz w:val="24"/>
                <w:szCs w:val="24"/>
                <w:lang w:val="en-US" w:eastAsia="zh-CN"/>
              </w:rPr>
              <w:t>10</w:t>
            </w:r>
            <w:r>
              <w:rPr>
                <w:rFonts w:hint="eastAsia" w:ascii="方正仿宋_GB2312" w:hAnsi="方正仿宋_GB2312" w:eastAsia="方正仿宋_GB2312" w:cs="方正仿宋_GB2312"/>
                <w:sz w:val="24"/>
                <w:szCs w:val="24"/>
              </w:rPr>
              <w:t>］的计算公式计算。</w:t>
            </w:r>
          </w:p>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评审过程中，不得去掉报价中的最高报价和最低报价。</w:t>
            </w:r>
          </w:p>
          <w:p>
            <w:pPr>
              <w:pStyle w:val="2"/>
              <w:spacing w:line="240" w:lineRule="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对小型和微型企业的投标报价给予10%的扣除，用扣除后的价格参与评审。大中型企业与小微企业组成联合体或者大中型企业向一家或者多家小微企业分包的，对于联合协议或者分包意向协议约定小微企业的合同份额占到合同总金额30%以上的，对联合体或者大中型企业的报价给予4%的扣除，用扣除后的价格参加评审。</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10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rPr>
              <w:t>/</w:t>
            </w:r>
          </w:p>
        </w:tc>
      </w:tr>
    </w:tbl>
    <w:p>
      <w:pPr>
        <w:rPr>
          <w:rFonts w:hint="eastAsia" w:ascii="仿宋" w:hAnsi="仿宋" w:cs="仿宋"/>
          <w:lang w:eastAsia="zh-CN"/>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r>
        <w:rPr>
          <w:rFonts w:hint="eastAsia" w:ascii="仿宋" w:hAnsi="仿宋" w:cs="仿宋"/>
          <w:lang w:eastAsia="zh-CN"/>
        </w:rPr>
        <w:t>。</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spacing w:line="360" w:lineRule="auto"/>
        <w:ind w:right="-211" w:rightChars="-88" w:firstLine="482" w:firstLineChars="200"/>
        <w:rPr>
          <w:rFonts w:ascii="宋体" w:hAnsi="宋体"/>
          <w:b/>
          <w:sz w:val="24"/>
        </w:rPr>
      </w:pPr>
      <w:bookmarkStart w:id="401" w:name="第五部分"/>
      <w:bookmarkStart w:id="402" w:name="_Toc86217003"/>
      <w:r>
        <w:rPr>
          <w:rFonts w:ascii="宋体" w:hAnsi="宋体"/>
          <w:b/>
          <w:sz w:val="24"/>
        </w:rPr>
        <w:t>（本条款为双方必须遵守的基本条款，双方可根据实际情况签订合同</w:t>
      </w:r>
      <w:r>
        <w:rPr>
          <w:rFonts w:hint="eastAsia" w:ascii="宋体" w:hAnsi="宋体"/>
          <w:b/>
          <w:sz w:val="24"/>
        </w:rPr>
        <w:t>文本</w:t>
      </w:r>
      <w:r>
        <w:rPr>
          <w:rFonts w:ascii="宋体" w:hAnsi="宋体"/>
          <w:b/>
          <w:sz w:val="24"/>
        </w:rPr>
        <w:t>；正式合同以双方签字盖章的文本为准。）</w:t>
      </w:r>
    </w:p>
    <w:p>
      <w:pPr>
        <w:pStyle w:val="16"/>
        <w:spacing w:line="360" w:lineRule="auto"/>
        <w:ind w:firstLine="0"/>
        <w:rPr>
          <w:rFonts w:hint="eastAsia" w:ascii="宋体" w:hAnsi="宋体"/>
          <w:sz w:val="24"/>
          <w:szCs w:val="24"/>
        </w:rPr>
      </w:pPr>
      <w:r>
        <w:rPr>
          <w:rFonts w:hint="eastAsia" w:ascii="宋体" w:hAnsi="宋体"/>
          <w:sz w:val="24"/>
          <w:szCs w:val="24"/>
        </w:rPr>
        <w:t>甲方：</w:t>
      </w:r>
    </w:p>
    <w:p>
      <w:pPr>
        <w:pStyle w:val="16"/>
        <w:spacing w:line="360" w:lineRule="auto"/>
        <w:ind w:firstLine="0"/>
        <w:rPr>
          <w:rFonts w:hint="eastAsia" w:ascii="宋体" w:hAnsi="宋体"/>
          <w:sz w:val="24"/>
          <w:szCs w:val="24"/>
        </w:rPr>
      </w:pPr>
      <w:r>
        <w:rPr>
          <w:rFonts w:hint="eastAsia" w:ascii="宋体" w:hAnsi="宋体"/>
          <w:sz w:val="24"/>
          <w:szCs w:val="24"/>
        </w:rPr>
        <w:t>乙方：</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根据</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月</w:t>
      </w:r>
      <w:r>
        <w:rPr>
          <w:rFonts w:hint="eastAsia" w:ascii="宋体" w:hAnsi="宋体"/>
          <w:sz w:val="24"/>
          <w:u w:val="single"/>
        </w:rPr>
        <w:t xml:space="preserve">    </w:t>
      </w:r>
      <w:r>
        <w:rPr>
          <w:rFonts w:ascii="宋体" w:hAnsi="宋体"/>
          <w:sz w:val="24"/>
          <w:u w:val="single"/>
        </w:rPr>
        <w:t xml:space="preserve">日      </w:t>
      </w:r>
      <w:r>
        <w:rPr>
          <w:rFonts w:hint="eastAsia" w:ascii="宋体" w:hAnsi="宋体"/>
          <w:sz w:val="24"/>
        </w:rPr>
        <w:t>项目</w:t>
      </w:r>
      <w:r>
        <w:rPr>
          <w:rFonts w:hint="eastAsia" w:ascii="宋体" w:hAnsi="宋体"/>
          <w:sz w:val="24"/>
          <w:lang w:val="en-US" w:eastAsia="zh-CN"/>
        </w:rPr>
        <w:t>标项【】</w:t>
      </w:r>
      <w:r>
        <w:rPr>
          <w:rFonts w:hint="eastAsia" w:ascii="宋体" w:hAnsi="宋体"/>
          <w:sz w:val="24"/>
        </w:rPr>
        <w:t>公开招标</w:t>
      </w:r>
      <w:r>
        <w:rPr>
          <w:rFonts w:ascii="宋体" w:hAnsi="宋体"/>
          <w:sz w:val="24"/>
        </w:rPr>
        <w:t>结果和</w:t>
      </w:r>
      <w:r>
        <w:rPr>
          <w:rFonts w:hint="eastAsia" w:ascii="宋体" w:hAnsi="宋体"/>
          <w:sz w:val="24"/>
        </w:rPr>
        <w:t>采购文件</w:t>
      </w:r>
      <w:r>
        <w:rPr>
          <w:rFonts w:ascii="宋体" w:hAnsi="宋体"/>
          <w:sz w:val="24"/>
        </w:rPr>
        <w:t>的要求，并依照《中华人民共和国</w:t>
      </w:r>
      <w:r>
        <w:rPr>
          <w:rFonts w:hint="eastAsia" w:ascii="宋体" w:hAnsi="宋体"/>
          <w:sz w:val="24"/>
        </w:rPr>
        <w:t>民法典</w:t>
      </w:r>
      <w:r>
        <w:rPr>
          <w:rFonts w:ascii="宋体" w:hAnsi="宋体"/>
          <w:sz w:val="24"/>
        </w:rPr>
        <w:t>》等有关法律、行政法规的规定，同时在平等、公平、诚实和信用的原则下，经双方协商一致，订立本合同。</w:t>
      </w:r>
    </w:p>
    <w:p>
      <w:pPr>
        <w:autoSpaceDE w:val="0"/>
        <w:autoSpaceDN w:val="0"/>
        <w:adjustRightInd w:val="0"/>
        <w:snapToGrid w:val="0"/>
        <w:spacing w:line="360" w:lineRule="auto"/>
        <w:ind w:firstLine="480" w:firstLineChars="200"/>
        <w:textAlignment w:val="bottom"/>
        <w:rPr>
          <w:rFonts w:hint="eastAsia" w:ascii="宋体" w:hAnsi="宋体"/>
          <w:b/>
          <w:sz w:val="24"/>
        </w:rPr>
      </w:pPr>
      <w:r>
        <w:rPr>
          <w:rFonts w:hint="eastAsia" w:ascii="宋体" w:hAnsi="宋体"/>
          <w:sz w:val="24"/>
        </w:rPr>
        <w:t>1</w:t>
      </w:r>
      <w:r>
        <w:rPr>
          <w:rFonts w:hint="eastAsia" w:ascii="宋体" w:hAnsi="宋体"/>
          <w:sz w:val="24"/>
          <w:lang w:val="en-US" w:eastAsia="zh-CN"/>
        </w:rPr>
        <w:t>.</w:t>
      </w:r>
      <w:r>
        <w:rPr>
          <w:rFonts w:hint="eastAsia" w:ascii="宋体" w:hAnsi="宋体"/>
          <w:b/>
          <w:sz w:val="24"/>
        </w:rPr>
        <w:t>组成合同文件及其优先顺序（按顺序号的先后）</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组成合同的各项文件应相互解释，互为说明。除合同另有规定外，其优先顺序如下：</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（1）合同</w:t>
      </w:r>
      <w:r>
        <w:rPr>
          <w:rFonts w:hint="eastAsia" w:ascii="宋体" w:hAnsi="宋体"/>
          <w:sz w:val="24"/>
        </w:rPr>
        <w:t>文本。</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（2）</w:t>
      </w:r>
      <w:r>
        <w:rPr>
          <w:rFonts w:hint="eastAsia" w:ascii="宋体" w:hAnsi="宋体"/>
          <w:sz w:val="24"/>
        </w:rPr>
        <w:t>中标</w:t>
      </w:r>
      <w:r>
        <w:rPr>
          <w:rFonts w:ascii="宋体" w:hAnsi="宋体"/>
          <w:sz w:val="24"/>
        </w:rPr>
        <w:t>通知书</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投标文件</w:t>
      </w:r>
      <w:r>
        <w:rPr>
          <w:rFonts w:ascii="宋体" w:hAnsi="宋体"/>
          <w:sz w:val="24"/>
        </w:rPr>
        <w:t>及其附件（含询标纪要）；</w:t>
      </w:r>
      <w:r>
        <w:rPr>
          <w:rFonts w:hint="eastAsia" w:ascii="宋体" w:hAnsi="宋体"/>
          <w:sz w:val="24"/>
        </w:rPr>
        <w:t>【如有负偏离采购文件要求的内容，则无条件按采购文件执行】。</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采购</w:t>
      </w:r>
      <w:r>
        <w:rPr>
          <w:rFonts w:ascii="宋体" w:hAnsi="宋体"/>
          <w:sz w:val="24"/>
        </w:rPr>
        <w:t>文件（含补充文件、答疑纪要）</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）标准、规范及有关技术文件</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甲乙双方</w:t>
      </w:r>
      <w:r>
        <w:rPr>
          <w:rFonts w:ascii="宋体" w:hAnsi="宋体"/>
          <w:sz w:val="24"/>
        </w:rPr>
        <w:t>有关</w:t>
      </w:r>
      <w:r>
        <w:rPr>
          <w:rFonts w:hint="eastAsia" w:ascii="宋体" w:hAnsi="宋体"/>
          <w:sz w:val="24"/>
        </w:rPr>
        <w:t>项目实施过程中</w:t>
      </w:r>
      <w:r>
        <w:rPr>
          <w:rFonts w:ascii="宋体" w:hAnsi="宋体"/>
          <w:sz w:val="24"/>
        </w:rPr>
        <w:t>的洽商、变更等书面协议或文件作为本合同的组成部分。</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（签订合同时，招标要求、投标的优惠承诺等均可作为合同条款。）</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sz w:val="24"/>
        </w:rPr>
        <w:t>2</w:t>
      </w:r>
      <w:r>
        <w:rPr>
          <w:rFonts w:hint="eastAsia" w:ascii="宋体" w:hAnsi="宋体"/>
          <w:b/>
          <w:sz w:val="24"/>
          <w:lang w:val="en-US" w:eastAsia="zh-CN"/>
        </w:rPr>
        <w:t>.</w:t>
      </w:r>
      <w:r>
        <w:rPr>
          <w:rFonts w:hint="eastAsia" w:ascii="宋体" w:hAnsi="宋体"/>
          <w:b/>
          <w:sz w:val="24"/>
        </w:rPr>
        <w:t>服务期：</w:t>
      </w:r>
      <w:r>
        <w:rPr>
          <w:rFonts w:hint="eastAsia" w:ascii="宋体" w:hAnsi="宋体"/>
          <w:b/>
          <w:sz w:val="24"/>
          <w:u w:val="single"/>
        </w:rPr>
        <w:t xml:space="preserve">    年    月    日至    年    月   日</w:t>
      </w:r>
      <w:r>
        <w:rPr>
          <w:rFonts w:hint="eastAsia" w:ascii="宋体" w:hAnsi="宋体"/>
          <w:b/>
          <w:sz w:val="24"/>
        </w:rPr>
        <w:t>。</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3</w:t>
      </w:r>
      <w:r>
        <w:rPr>
          <w:rFonts w:hint="eastAsia" w:hAnsi="宋体"/>
          <w:lang w:val="en-US" w:eastAsia="zh-CN"/>
        </w:rPr>
        <w:t>.</w:t>
      </w:r>
      <w:r>
        <w:rPr>
          <w:rFonts w:hint="eastAsia" w:hAnsi="宋体"/>
        </w:rPr>
        <w:t>服务要求：按</w:t>
      </w:r>
      <w:r>
        <w:rPr>
          <w:rFonts w:hint="eastAsia" w:hAnsi="宋体"/>
          <w:lang w:eastAsia="zh-CN"/>
        </w:rPr>
        <w:t>采购</w:t>
      </w:r>
      <w:r>
        <w:rPr>
          <w:rFonts w:hint="eastAsia" w:hAnsi="宋体"/>
        </w:rPr>
        <w:t>文件要求。</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4</w:t>
      </w:r>
      <w:r>
        <w:rPr>
          <w:rFonts w:hint="eastAsia" w:hAnsi="宋体"/>
          <w:lang w:val="en-US" w:eastAsia="zh-CN"/>
        </w:rPr>
        <w:t>.</w:t>
      </w:r>
      <w:r>
        <w:rPr>
          <w:rFonts w:hint="eastAsia" w:hAnsi="宋体"/>
        </w:rPr>
        <w:t>项目负责人：姓名</w:t>
      </w:r>
      <w:r>
        <w:rPr>
          <w:rFonts w:hint="eastAsia" w:hAnsi="宋体"/>
          <w:u w:val="single"/>
        </w:rPr>
        <w:t xml:space="preserve">           </w:t>
      </w:r>
      <w:r>
        <w:rPr>
          <w:rFonts w:hint="eastAsia" w:hAnsi="宋体"/>
        </w:rPr>
        <w:t>，身份证号：</w:t>
      </w:r>
      <w:r>
        <w:rPr>
          <w:rFonts w:hint="eastAsia" w:hAnsi="宋体"/>
          <w:u w:val="single"/>
        </w:rPr>
        <w:t xml:space="preserve">          </w:t>
      </w:r>
      <w:r>
        <w:rPr>
          <w:rFonts w:hint="eastAsia" w:hAnsi="宋体"/>
        </w:rPr>
        <w:t>。</w:t>
      </w:r>
    </w:p>
    <w:p>
      <w:pPr>
        <w:pStyle w:val="33"/>
        <w:adjustRightInd w:val="0"/>
        <w:snapToGrid w:val="0"/>
        <w:spacing w:before="0" w:beforeLines="0" w:after="0" w:afterLines="0" w:line="360" w:lineRule="auto"/>
        <w:ind w:left="1" w:firstLine="513" w:firstLineChars="213"/>
        <w:rPr>
          <w:rFonts w:hint="eastAsia" w:hAnsi="宋体"/>
          <w:b/>
        </w:rPr>
      </w:pPr>
      <w:r>
        <w:rPr>
          <w:rFonts w:hint="eastAsia" w:hAnsi="宋体"/>
          <w:b/>
        </w:rPr>
        <w:t>5</w:t>
      </w:r>
      <w:r>
        <w:rPr>
          <w:rFonts w:hint="eastAsia" w:hAnsi="宋体"/>
          <w:b/>
          <w:lang w:val="en-US" w:eastAsia="zh-CN"/>
        </w:rPr>
        <w:t>.</w:t>
      </w:r>
      <w:r>
        <w:rPr>
          <w:rFonts w:hint="eastAsia" w:hAnsi="宋体"/>
          <w:b/>
        </w:rPr>
        <w:t>合同价款</w:t>
      </w:r>
      <w:r>
        <w:rPr>
          <w:rFonts w:hint="eastAsia" w:hAnsi="宋体"/>
          <w:b/>
          <w:lang w:eastAsia="zh-CN"/>
        </w:rPr>
        <w:t>：</w:t>
      </w:r>
      <w:r>
        <w:rPr>
          <w:rFonts w:hint="eastAsia" w:hAnsi="宋体"/>
          <w:b/>
        </w:rPr>
        <w:t>本项目合同总价为人民币______________元整。</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w:t>
      </w:r>
      <w:r>
        <w:rPr>
          <w:rFonts w:hint="eastAsia" w:hAnsi="宋体"/>
          <w:lang w:val="en-US" w:eastAsia="zh-CN"/>
        </w:rPr>
        <w:t>.</w:t>
      </w:r>
      <w:r>
        <w:rPr>
          <w:rFonts w:hAnsi="宋体"/>
        </w:rPr>
        <w:t>变更</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6.1</w:t>
      </w:r>
      <w:r>
        <w:rPr>
          <w:rFonts w:hAnsi="宋体"/>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6.2</w:t>
      </w:r>
      <w:r>
        <w:rPr>
          <w:rFonts w:hAnsi="宋体"/>
        </w:rPr>
        <w:t>当变更只是采购量增减时，按应标报价明细单中的单价进行结算。</w:t>
      </w:r>
    </w:p>
    <w:p>
      <w:pPr>
        <w:pStyle w:val="33"/>
        <w:adjustRightInd w:val="0"/>
        <w:snapToGrid w:val="0"/>
        <w:spacing w:before="0" w:beforeLines="0" w:after="0" w:afterLines="0" w:line="360" w:lineRule="auto"/>
        <w:ind w:left="1" w:firstLine="511" w:firstLineChars="213"/>
        <w:rPr>
          <w:rFonts w:hAnsi="宋体"/>
        </w:rPr>
      </w:pPr>
      <w:r>
        <w:rPr>
          <w:rFonts w:hint="eastAsia" w:hAnsi="宋体"/>
        </w:rPr>
        <w:t>7</w:t>
      </w:r>
      <w:r>
        <w:rPr>
          <w:rFonts w:hint="eastAsia" w:hAnsi="宋体"/>
          <w:lang w:val="en-US" w:eastAsia="zh-CN"/>
        </w:rPr>
        <w:t>.</w:t>
      </w:r>
      <w:r>
        <w:rPr>
          <w:rFonts w:hAnsi="宋体"/>
        </w:rPr>
        <w:t>专利权</w:t>
      </w:r>
    </w:p>
    <w:p>
      <w:pPr>
        <w:pStyle w:val="33"/>
        <w:adjustRightInd w:val="0"/>
        <w:snapToGrid w:val="0"/>
        <w:spacing w:before="0" w:beforeLines="0" w:after="0" w:afterLines="0" w:line="360" w:lineRule="auto"/>
        <w:ind w:left="1" w:firstLine="511" w:firstLineChars="213"/>
        <w:rPr>
          <w:rFonts w:hAnsi="宋体"/>
        </w:rPr>
      </w:pPr>
      <w:r>
        <w:rPr>
          <w:rFonts w:hAnsi="宋体"/>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w:t>
      </w:r>
      <w:r>
        <w:rPr>
          <w:rFonts w:hint="eastAsia" w:hAnsi="宋体"/>
          <w:lang w:val="en-US" w:eastAsia="zh-CN"/>
        </w:rPr>
        <w:t>.</w:t>
      </w:r>
      <w:r>
        <w:rPr>
          <w:rFonts w:hAnsi="宋体"/>
        </w:rPr>
        <w:t>考核和验收</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8.1</w:t>
      </w:r>
      <w:r>
        <w:rPr>
          <w:rFonts w:hAnsi="宋体"/>
        </w:rPr>
        <w:t>甲方在乙方提供相关服务的过程中，</w:t>
      </w:r>
      <w:r>
        <w:rPr>
          <w:rFonts w:hint="eastAsia" w:hAnsi="宋体"/>
        </w:rPr>
        <w:t>根据</w:t>
      </w:r>
      <w:r>
        <w:rPr>
          <w:rFonts w:hint="eastAsia" w:hAnsi="宋体"/>
          <w:lang w:eastAsia="zh-CN"/>
        </w:rPr>
        <w:t>采购文件</w:t>
      </w:r>
      <w:r>
        <w:rPr>
          <w:rFonts w:hint="eastAsia" w:hAnsi="宋体"/>
        </w:rPr>
        <w:t>的服务要求，</w:t>
      </w:r>
      <w:r>
        <w:rPr>
          <w:rFonts w:hAnsi="宋体"/>
        </w:rPr>
        <w:t>对乙方工作完成情况进行考核；考核达不到要求的，甲方将要求乙方及时整改并承担相应的</w:t>
      </w:r>
      <w:r>
        <w:rPr>
          <w:rFonts w:hint="eastAsia" w:hAnsi="宋体"/>
        </w:rPr>
        <w:t>责任。根据</w:t>
      </w:r>
      <w:r>
        <w:rPr>
          <w:rFonts w:hAnsi="宋体"/>
        </w:rPr>
        <w:t>考核</w:t>
      </w:r>
      <w:r>
        <w:rPr>
          <w:rFonts w:hint="eastAsia" w:hAnsi="宋体"/>
        </w:rPr>
        <w:t>结果，</w:t>
      </w:r>
      <w:r>
        <w:rPr>
          <w:rFonts w:hAnsi="宋体"/>
        </w:rPr>
        <w:t>有权对乙方作出</w:t>
      </w:r>
      <w:r>
        <w:rPr>
          <w:rFonts w:hint="eastAsia" w:hAnsi="宋体"/>
        </w:rPr>
        <w:t>扣除费用的处罚</w:t>
      </w:r>
      <w:r>
        <w:rPr>
          <w:rFonts w:hAnsi="宋体"/>
        </w:rPr>
        <w:t>。</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8.2</w:t>
      </w:r>
      <w:r>
        <w:rPr>
          <w:rFonts w:hint="eastAsia" w:hAnsi="宋体"/>
          <w:lang w:eastAsia="zh-CN"/>
        </w:rPr>
        <w:t>采购文件</w:t>
      </w:r>
      <w:r>
        <w:rPr>
          <w:rFonts w:hAnsi="宋体"/>
        </w:rPr>
        <w:t>及其补充文件、</w:t>
      </w:r>
      <w:r>
        <w:rPr>
          <w:rFonts w:hint="eastAsia" w:hAnsi="宋体"/>
          <w:lang w:eastAsia="zh-CN"/>
        </w:rPr>
        <w:t>投标文件</w:t>
      </w:r>
      <w:r>
        <w:rPr>
          <w:rFonts w:hAnsi="宋体"/>
        </w:rPr>
        <w:t>、澄清文件、承诺文件、</w:t>
      </w:r>
      <w:r>
        <w:rPr>
          <w:rFonts w:hint="eastAsia" w:hAnsi="宋体"/>
          <w:lang w:eastAsia="zh-CN"/>
        </w:rPr>
        <w:t>中标</w:t>
      </w:r>
      <w:r>
        <w:rPr>
          <w:rFonts w:hAnsi="宋体"/>
        </w:rPr>
        <w:t>通知书、合同等作为考核依据</w:t>
      </w:r>
      <w:r>
        <w:rPr>
          <w:rFonts w:hint="eastAsia" w:hAnsi="宋体"/>
        </w:rPr>
        <w:t>。</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8.3</w:t>
      </w:r>
      <w:r>
        <w:rPr>
          <w:rFonts w:hAnsi="宋体"/>
        </w:rPr>
        <w:t>甲方负责对项目服务及相关资料进行验收，乙方应全力协助。</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9</w:t>
      </w:r>
      <w:r>
        <w:rPr>
          <w:rFonts w:hint="eastAsia" w:hAnsi="宋体"/>
          <w:lang w:val="en-US" w:eastAsia="zh-CN"/>
        </w:rPr>
        <w:t>.</w:t>
      </w:r>
      <w:r>
        <w:rPr>
          <w:rFonts w:hint="eastAsia" w:hAnsi="宋体"/>
        </w:rPr>
        <w:t>合同款支付</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第一次付款：在合同签订生效后，</w:t>
      </w:r>
      <w:r>
        <w:rPr>
          <w:rFonts w:hint="eastAsia" w:ascii="宋体" w:hAnsi="宋体"/>
          <w:b/>
          <w:bCs/>
          <w:sz w:val="24"/>
          <w:lang w:val="en-US" w:eastAsia="zh-CN"/>
        </w:rPr>
        <w:t>甲方</w:t>
      </w:r>
      <w:r>
        <w:rPr>
          <w:rFonts w:hint="eastAsia" w:ascii="宋体" w:hAnsi="宋体"/>
          <w:b/>
          <w:bCs/>
          <w:sz w:val="24"/>
        </w:rPr>
        <w:t>收到正式发票7个工作日内</w:t>
      </w:r>
      <w:r>
        <w:rPr>
          <w:rFonts w:hint="eastAsia" w:ascii="宋体" w:hAnsi="宋体"/>
          <w:b/>
          <w:bCs/>
          <w:sz w:val="24"/>
          <w:lang w:val="en-US" w:eastAsia="zh-CN"/>
        </w:rPr>
        <w:t>向乙方</w:t>
      </w:r>
      <w:r>
        <w:rPr>
          <w:rFonts w:hint="eastAsia" w:ascii="宋体" w:hAnsi="宋体"/>
          <w:b/>
          <w:bCs/>
          <w:sz w:val="24"/>
        </w:rPr>
        <w:t>支付合同总价70%的首付款。</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第二次付款：</w:t>
      </w:r>
      <w:r>
        <w:rPr>
          <w:rFonts w:hint="eastAsia" w:ascii="宋体" w:hAnsi="宋体"/>
          <w:b/>
          <w:bCs/>
          <w:sz w:val="24"/>
          <w:lang w:val="en-US" w:eastAsia="zh-CN"/>
        </w:rPr>
        <w:t>甲方</w:t>
      </w:r>
      <w:r>
        <w:rPr>
          <w:rFonts w:hint="eastAsia" w:ascii="宋体" w:hAnsi="宋体"/>
          <w:b/>
          <w:bCs/>
          <w:sz w:val="24"/>
        </w:rPr>
        <w:t>将视项目实际进展情况开展阶段性评估，评估通过后并支付不超过合同总价25%的款项，</w:t>
      </w:r>
      <w:r>
        <w:rPr>
          <w:rFonts w:hint="eastAsia" w:ascii="宋体" w:hAnsi="宋体"/>
          <w:b/>
          <w:bCs/>
          <w:sz w:val="24"/>
          <w:lang w:val="en-US" w:eastAsia="zh-CN"/>
        </w:rPr>
        <w:t>甲方</w:t>
      </w:r>
      <w:r>
        <w:rPr>
          <w:rFonts w:hint="eastAsia" w:ascii="宋体" w:hAnsi="宋体"/>
          <w:b/>
          <w:bCs/>
          <w:sz w:val="24"/>
        </w:rPr>
        <w:t>在收到</w:t>
      </w:r>
      <w:r>
        <w:rPr>
          <w:rFonts w:hint="eastAsia" w:ascii="宋体" w:hAnsi="宋体"/>
          <w:b/>
          <w:bCs/>
          <w:sz w:val="24"/>
          <w:lang w:val="en-US" w:eastAsia="zh-CN"/>
        </w:rPr>
        <w:t>乙方</w:t>
      </w:r>
      <w:r>
        <w:rPr>
          <w:rFonts w:hint="eastAsia" w:ascii="宋体" w:hAnsi="宋体"/>
          <w:b/>
          <w:bCs/>
          <w:sz w:val="24"/>
        </w:rPr>
        <w:t>的正式发票后7个工作日内办理支付手续（</w:t>
      </w:r>
      <w:r>
        <w:rPr>
          <w:rFonts w:hint="eastAsia" w:ascii="宋体" w:hAnsi="宋体"/>
          <w:b/>
          <w:bCs/>
          <w:sz w:val="24"/>
          <w:lang w:val="en-US" w:eastAsia="zh-CN"/>
        </w:rPr>
        <w:t>甲方</w:t>
      </w:r>
      <w:r>
        <w:rPr>
          <w:rFonts w:hint="eastAsia" w:ascii="宋体" w:hAnsi="宋体"/>
          <w:b/>
          <w:bCs/>
          <w:sz w:val="24"/>
        </w:rPr>
        <w:t>有权决定是否及何时何地开展阶段性验收评估）。</w:t>
      </w:r>
    </w:p>
    <w:p>
      <w:pPr>
        <w:autoSpaceDE w:val="0"/>
        <w:autoSpaceDN w:val="0"/>
        <w:adjustRightInd w:val="0"/>
        <w:spacing w:line="360" w:lineRule="auto"/>
        <w:ind w:firstLine="482" w:firstLineChars="200"/>
        <w:rPr>
          <w:rFonts w:hAnsi="宋体"/>
        </w:rPr>
      </w:pPr>
      <w:r>
        <w:rPr>
          <w:rFonts w:hint="eastAsia" w:ascii="宋体" w:hAnsi="宋体"/>
          <w:b/>
          <w:bCs/>
          <w:sz w:val="24"/>
        </w:rPr>
        <w:t>第三次付款：项目结束后，经</w:t>
      </w:r>
      <w:r>
        <w:rPr>
          <w:rFonts w:hint="eastAsia" w:ascii="宋体" w:hAnsi="宋体"/>
          <w:b/>
          <w:bCs/>
          <w:sz w:val="24"/>
          <w:lang w:val="en-US" w:eastAsia="zh-CN"/>
        </w:rPr>
        <w:t>甲方</w:t>
      </w:r>
      <w:r>
        <w:rPr>
          <w:rFonts w:hint="eastAsia" w:ascii="宋体" w:hAnsi="宋体"/>
          <w:b/>
          <w:bCs/>
          <w:sz w:val="24"/>
        </w:rPr>
        <w:t>验收合格，且收到</w:t>
      </w:r>
      <w:r>
        <w:rPr>
          <w:rFonts w:hint="eastAsia" w:ascii="宋体" w:hAnsi="宋体"/>
          <w:b/>
          <w:bCs/>
          <w:sz w:val="24"/>
          <w:lang w:val="en-US" w:eastAsia="zh-CN"/>
        </w:rPr>
        <w:t>乙方</w:t>
      </w:r>
      <w:r>
        <w:rPr>
          <w:rFonts w:hint="eastAsia" w:ascii="宋体" w:hAnsi="宋体"/>
          <w:b/>
          <w:bCs/>
          <w:sz w:val="24"/>
        </w:rPr>
        <w:t>提供的正式发票后7个工作日内，办理合同剩余款项的结算手续。</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0.</w:t>
      </w:r>
      <w:r>
        <w:rPr>
          <w:rFonts w:hAnsi="宋体"/>
        </w:rPr>
        <w:t>合同修改与解除</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0</w:t>
      </w:r>
      <w:r>
        <w:rPr>
          <w:rFonts w:hint="eastAsia" w:hAnsi="宋体"/>
        </w:rPr>
        <w:t>.1</w:t>
      </w:r>
      <w:r>
        <w:rPr>
          <w:rFonts w:hAnsi="宋体"/>
        </w:rPr>
        <w:t>本合同供需双方的任何一方无权对合同内容进行修改，本合同如需修改，必须达成书面协议，并作为该合同的有效组成部分。</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0</w:t>
      </w:r>
      <w:r>
        <w:rPr>
          <w:rFonts w:hint="eastAsia" w:hAnsi="宋体"/>
        </w:rPr>
        <w:t>.2</w:t>
      </w:r>
      <w:r>
        <w:rPr>
          <w:rFonts w:hAnsi="宋体"/>
        </w:rPr>
        <w:t>合同可以经双方协商一致解除，或按照《中华人民共和国</w:t>
      </w:r>
      <w:r>
        <w:rPr>
          <w:rFonts w:hint="eastAsia" w:hAnsi="宋体"/>
        </w:rPr>
        <w:t>民法典</w:t>
      </w:r>
      <w:r>
        <w:rPr>
          <w:rFonts w:hAnsi="宋体"/>
        </w:rPr>
        <w:t>》的规定单方解除。</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乙方的责任和义务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.1根据供应商</w:t>
      </w:r>
      <w:r>
        <w:rPr>
          <w:rFonts w:hint="eastAsia" w:hAnsi="宋体"/>
          <w:lang w:eastAsia="zh-CN"/>
        </w:rPr>
        <w:t>投标文件</w:t>
      </w:r>
      <w:r>
        <w:rPr>
          <w:rFonts w:hAnsi="宋体"/>
        </w:rPr>
        <w:t>的承诺组建项目组人员，并确定项目负责人与甲方保持联系、沟通。</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.2在履行本合同义务的期间，应运用合理的技能，认真、勤奋的工作。</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.3在本合同期内或合同终止后，来征得有关方同意，不得泄漏与本项目、本合同有关的技术、资料等，不得以任何形式侵害甲方的知识产权。</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1</w:t>
      </w:r>
      <w:r>
        <w:rPr>
          <w:rFonts w:hAnsi="宋体"/>
        </w:rPr>
        <w:t>.4负责处理好与相关项目实施单位的协调工作。</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甲方的责任与义务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.1甲方</w:t>
      </w:r>
      <w:r>
        <w:rPr>
          <w:rFonts w:hint="eastAsia" w:hAnsi="宋体"/>
          <w:lang w:eastAsia="zh-CN"/>
        </w:rPr>
        <w:t>尽可能</w:t>
      </w:r>
      <w:r>
        <w:rPr>
          <w:rFonts w:hAnsi="宋体"/>
        </w:rPr>
        <w:t>为乙方工作提供良好的外部条件。</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.2甲方应当按双方约定的内容和时间，向乙方提供与项目有关的资料。</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.3甲方应授权一名熟悉本项目情况，能迅速做出决定的项目代表，负责与乙方的联系，更换代表，要提前通知乙方。</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2</w:t>
      </w:r>
      <w:r>
        <w:rPr>
          <w:rFonts w:hAnsi="宋体"/>
        </w:rPr>
        <w:t>.4甲方有与乙方订立补充合同的签订权。</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Ansi="宋体"/>
        </w:rPr>
        <w:t>违约责任</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.1</w:t>
      </w:r>
      <w:r>
        <w:rPr>
          <w:rFonts w:hAnsi="宋体"/>
        </w:rPr>
        <w:t>甲方无正当理由拒绝履行合同，甲方向乙方偿付合同款项的百分之五作为违约金。</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.2</w:t>
      </w:r>
      <w:r>
        <w:rPr>
          <w:rFonts w:hAnsi="宋体"/>
        </w:rPr>
        <w:t>甲方无故逾期办理款项支付手续的，甲方应按逾期付款总额每日万分之五向乙方支付违约金</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.3</w:t>
      </w:r>
      <w:r>
        <w:rPr>
          <w:rFonts w:hAnsi="宋体"/>
        </w:rPr>
        <w:t>乙方未能按其承诺的经甲方同意的服务实施进度如期提供服务的，甲方有权要求乙方每日支付合同款项的千分之五作为违约金。乙方超过约定日期10个工作日仍不能提供服务的，甲方有权解除本合同。</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3</w:t>
      </w:r>
      <w:r>
        <w:rPr>
          <w:rFonts w:hint="eastAsia" w:hAnsi="宋体"/>
        </w:rPr>
        <w:t>.4</w:t>
      </w:r>
      <w:r>
        <w:rPr>
          <w:rFonts w:hAnsi="宋体"/>
        </w:rPr>
        <w:t>如乙方出现下述情况：未能实现服务承诺；考核不符合管理要求；出现重大工作失误造成不良社会影响的；甲方有权视情节严重，要求乙方作出相应经济赔偿，直至终止其承包服务。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Ansi="宋体"/>
        </w:rPr>
        <w:t>争议处理</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int="eastAsia" w:hAnsi="宋体"/>
        </w:rPr>
        <w:t>.1</w:t>
      </w:r>
      <w:r>
        <w:rPr>
          <w:rFonts w:hAnsi="宋体"/>
        </w:rPr>
        <w:t>合同在履行过程中发生争议时，甲方与乙方及时协商解决。协商不成时，提请杭州仲裁委员会根据仲裁规则仲裁。</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int="eastAsia" w:hAnsi="宋体"/>
        </w:rPr>
        <w:t>.2</w:t>
      </w:r>
      <w:r>
        <w:rPr>
          <w:rFonts w:hAnsi="宋体"/>
        </w:rPr>
        <w:t>对于因违反或终止合同而引起的损失、损害的赔偿，由甲方与乙方友好协商解决，经协商仍未能达成一致的，提交杭州仲裁委员会仲裁。</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5.</w:t>
      </w:r>
      <w:r>
        <w:rPr>
          <w:rFonts w:hAnsi="宋体"/>
        </w:rPr>
        <w:t>不可抗力</w:t>
      </w:r>
    </w:p>
    <w:p>
      <w:pPr>
        <w:pStyle w:val="33"/>
        <w:adjustRightInd w:val="0"/>
        <w:snapToGrid w:val="0"/>
        <w:spacing w:before="0" w:beforeLines="0" w:after="0" w:afterLines="0" w:line="360" w:lineRule="auto"/>
        <w:ind w:left="1" w:firstLine="511" w:firstLineChars="213"/>
        <w:rPr>
          <w:rFonts w:hint="eastAsia" w:hAnsi="宋体"/>
        </w:rPr>
      </w:pPr>
      <w:r>
        <w:rPr>
          <w:rFonts w:hAnsi="宋体"/>
        </w:rPr>
        <w:t>不可抗力是指《中华人民共和国</w:t>
      </w:r>
      <w:r>
        <w:rPr>
          <w:rFonts w:hint="eastAsia" w:hAnsi="宋体"/>
          <w:lang w:eastAsia="zh-CN"/>
        </w:rPr>
        <w:t>民法典</w:t>
      </w:r>
      <w:r>
        <w:rPr>
          <w:rFonts w:hAnsi="宋体"/>
        </w:rPr>
        <w:t>》所列举的不可抗力。不可抗力一旦发生，证明文件由法律规定部门签署，并由甲、乙双方协商合同逾期履行和继续履行的方法，在此情况下，任何一方不能要求损失赔偿。</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6.</w:t>
      </w:r>
      <w:r>
        <w:rPr>
          <w:rFonts w:hAnsi="宋体"/>
        </w:rPr>
        <w:t>合同的生效、变更与终止</w:t>
      </w:r>
    </w:p>
    <w:p>
      <w:pPr>
        <w:pStyle w:val="33"/>
        <w:adjustRightInd w:val="0"/>
        <w:snapToGrid w:val="0"/>
        <w:spacing w:before="0" w:beforeLines="0" w:after="0" w:afterLines="0" w:line="360" w:lineRule="auto"/>
        <w:ind w:left="1" w:firstLine="511" w:firstLineChars="213"/>
        <w:rPr>
          <w:rFonts w:hAnsi="宋体"/>
        </w:rPr>
      </w:pPr>
      <w:r>
        <w:rPr>
          <w:rFonts w:hint="eastAsia" w:hAnsi="宋体"/>
        </w:rPr>
        <w:t>1</w:t>
      </w:r>
      <w:r>
        <w:rPr>
          <w:rFonts w:hint="eastAsia" w:hAnsi="宋体"/>
          <w:lang w:val="en-US" w:eastAsia="zh-CN"/>
        </w:rPr>
        <w:t>6</w:t>
      </w:r>
      <w:r>
        <w:rPr>
          <w:rFonts w:hint="eastAsia" w:hAnsi="宋体"/>
        </w:rPr>
        <w:t>.1</w:t>
      </w:r>
      <w:r>
        <w:rPr>
          <w:rFonts w:hAnsi="宋体"/>
        </w:rPr>
        <w:t>合同经甲、乙</w:t>
      </w:r>
      <w:r>
        <w:rPr>
          <w:rFonts w:hint="eastAsia" w:hAnsi="宋体"/>
          <w:lang w:eastAsia="zh-CN"/>
        </w:rPr>
        <w:t>双</w:t>
      </w:r>
      <w:r>
        <w:rPr>
          <w:rFonts w:hAnsi="宋体"/>
        </w:rPr>
        <w:t>方签名并加盖单位公章后生效。</w:t>
      </w:r>
    </w:p>
    <w:p>
      <w:pPr>
        <w:pStyle w:val="33"/>
        <w:adjustRightInd w:val="0"/>
        <w:snapToGrid w:val="0"/>
        <w:spacing w:before="0" w:beforeLines="0" w:after="0" w:afterLines="0" w:line="360" w:lineRule="auto"/>
        <w:ind w:left="1" w:firstLine="511" w:firstLineChars="213"/>
        <w:rPr>
          <w:rFonts w:hAnsi="宋体"/>
        </w:rPr>
      </w:pPr>
      <w:r>
        <w:rPr>
          <w:rFonts w:hint="eastAsia" w:hAnsi="宋体"/>
        </w:rPr>
        <w:t>1</w:t>
      </w:r>
      <w:r>
        <w:rPr>
          <w:rFonts w:hint="eastAsia" w:hAnsi="宋体"/>
          <w:lang w:val="en-US" w:eastAsia="zh-CN"/>
        </w:rPr>
        <w:t>6</w:t>
      </w:r>
      <w:r>
        <w:rPr>
          <w:rFonts w:hint="eastAsia" w:hAnsi="宋体"/>
        </w:rPr>
        <w:t>.2</w:t>
      </w:r>
      <w:r>
        <w:rPr>
          <w:rFonts w:hAnsi="宋体"/>
        </w:rPr>
        <w:t>合同执行中涉及采购资金和采购内容修改或补充的，须经财政部门审批，并签书面补充协议，经报政府采购监督管理部门备案后，方可作为主合同不可分割的一部分。</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.3</w:t>
      </w:r>
      <w:r>
        <w:rPr>
          <w:rFonts w:hint="eastAsia" w:hAnsi="宋体"/>
          <w:lang w:eastAsia="zh-CN"/>
        </w:rPr>
        <w:t>采购文件</w:t>
      </w:r>
      <w:r>
        <w:rPr>
          <w:rFonts w:hAnsi="宋体"/>
        </w:rPr>
        <w:t>、</w:t>
      </w:r>
      <w:r>
        <w:rPr>
          <w:rFonts w:hint="eastAsia" w:hAnsi="宋体"/>
          <w:lang w:eastAsia="zh-CN"/>
        </w:rPr>
        <w:t>投标文件</w:t>
      </w:r>
      <w:r>
        <w:rPr>
          <w:rFonts w:hAnsi="宋体"/>
        </w:rPr>
        <w:t>与本合同具有同等法律效力。</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.4本合同未尽事宜，遵照《</w:t>
      </w:r>
      <w:r>
        <w:rPr>
          <w:rFonts w:hAnsi="宋体"/>
          <w:lang w:eastAsia="zh-CN"/>
        </w:rPr>
        <w:t>民法典</w:t>
      </w:r>
      <w:r>
        <w:rPr>
          <w:rFonts w:hAnsi="宋体"/>
        </w:rPr>
        <w:t xml:space="preserve">》有关条文执行。 </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.5本合同一式</w:t>
      </w:r>
      <w:r>
        <w:rPr>
          <w:rFonts w:hint="eastAsia" w:hAnsi="宋体"/>
          <w:lang w:eastAsia="zh-CN"/>
        </w:rPr>
        <w:t>四</w:t>
      </w:r>
      <w:r>
        <w:rPr>
          <w:rFonts w:hAnsi="宋体"/>
        </w:rPr>
        <w:t>份，具有同等法律效力，甲方、乙方各执二份。</w:t>
      </w:r>
    </w:p>
    <w:p>
      <w:pPr>
        <w:spacing w:line="360" w:lineRule="auto"/>
        <w:jc w:val="left"/>
        <w:rPr>
          <w:rFonts w:hint="eastAsia" w:ascii="宋体" w:hAnsi="宋体"/>
          <w:bCs/>
          <w:sz w:val="24"/>
        </w:rPr>
      </w:pP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3"/>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03" w:name="_Toc12455"/>
      <w:r>
        <w:rPr>
          <w:rFonts w:hint="eastAsia" w:ascii="仿宋" w:hAnsi="仿宋" w:cs="仿宋"/>
          <w:b/>
          <w:sz w:val="36"/>
          <w:szCs w:val="20"/>
        </w:rPr>
        <w:t>第六部分</w:t>
      </w:r>
      <w:bookmarkEnd w:id="401"/>
      <w:bookmarkEnd w:id="402"/>
      <w:r>
        <w:rPr>
          <w:rFonts w:hint="eastAsia" w:ascii="仿宋" w:hAnsi="仿宋" w:cs="仿宋"/>
          <w:b/>
          <w:sz w:val="36"/>
          <w:szCs w:val="20"/>
        </w:rPr>
        <w:t xml:space="preserve">  应提交的有关格式范例</w:t>
      </w:r>
      <w:bookmarkEnd w:id="40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w:t>
      </w:r>
      <w:r>
        <w:rPr>
          <w:rFonts w:hint="eastAsia" w:ascii="仿宋" w:hAnsi="仿宋" w:cs="仿宋"/>
          <w:u w:val="single"/>
        </w:rPr>
        <w:t>（项目名称）</w:t>
      </w:r>
      <w:r>
        <w:rPr>
          <w:rFonts w:hint="eastAsia" w:ascii="仿宋" w:hAnsi="仿宋" w:cs="仿宋"/>
        </w:rPr>
        <w:t>【招标编号：】招标的有关活动，并对此项目进行投标。为此：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u w:val="single"/>
        </w:rPr>
        <w:t>（项目名称）</w:t>
      </w:r>
      <w:r>
        <w:rPr>
          <w:rFonts w:hint="eastAsia" w:ascii="仿宋" w:hAnsi="仿宋" w:cs="仿宋"/>
        </w:rPr>
        <w:t>【招标编号：（采购编号）】</w:t>
      </w:r>
      <w:r>
        <w:rPr>
          <w:rFonts w:hint="eastAsia" w:ascii="仿宋" w:hAnsi="仿宋" w:cs="仿宋"/>
          <w:kern w:val="0"/>
          <w:lang w:val="zh-CN"/>
        </w:rPr>
        <w:t>政府采购投标的一切事项，其法律后果由我方承担。</w:t>
      </w:r>
    </w:p>
    <w:p>
      <w:pPr>
        <w:spacing w:line="360" w:lineRule="auto"/>
        <w:ind w:firstLine="480" w:firstLineChars="200"/>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ind w:firstLine="480" w:firstLineChars="200"/>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u w:val="single"/>
        </w:rPr>
        <w:t>（项目名称）</w:t>
      </w:r>
      <w:r>
        <w:rPr>
          <w:rFonts w:hint="eastAsia" w:ascii="仿宋" w:hAnsi="仿宋" w:cs="仿宋"/>
        </w:rPr>
        <w:t>【招标编号：（采购编号）】</w:t>
      </w:r>
      <w:r>
        <w:rPr>
          <w:rFonts w:hint="eastAsia" w:ascii="仿宋" w:hAnsi="仿宋" w:cs="仿宋"/>
          <w:kern w:val="0"/>
          <w:lang w:val="zh-CN"/>
        </w:rPr>
        <w:t>政府采购投标的一切事项，其法律后果由我方承担。</w:t>
      </w:r>
    </w:p>
    <w:p>
      <w:pPr>
        <w:spacing w:line="360" w:lineRule="auto"/>
        <w:ind w:firstLine="480" w:firstLineChars="200"/>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ind w:firstLine="480" w:firstLineChars="200"/>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0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0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05" w:name="OLE_LINK14"/>
      <w:bookmarkStart w:id="406" w:name="OLE_LINK13"/>
      <w:r>
        <w:rPr>
          <w:rFonts w:hint="eastAsia" w:ascii="仿宋" w:hAnsi="仿宋" w:cs="仿宋"/>
          <w:b/>
          <w:spacing w:val="6"/>
          <w:sz w:val="32"/>
          <w:szCs w:val="32"/>
        </w:rPr>
        <w:t>残疾人福利性单位声明函</w:t>
      </w:r>
    </w:p>
    <w:bookmarkEnd w:id="405"/>
    <w:bookmarkEnd w:id="40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0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0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kern w:val="0"/>
          <w:lang w:eastAsia="zh-CN"/>
        </w:rPr>
        <w:t>【】</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w:t>
      </w:r>
      <w:r>
        <w:rPr>
          <w:rFonts w:hint="eastAsia" w:ascii="仿宋" w:hAnsi="仿宋" w:cs="仿宋"/>
          <w:lang w:eastAsia="zh-CN"/>
        </w:rPr>
        <w:t>【】</w:t>
      </w:r>
      <w:r>
        <w:rPr>
          <w:rFonts w:hint="eastAsia" w:ascii="仿宋" w:hAnsi="仿宋" w:cs="仿宋"/>
        </w:rPr>
        <w:t>%，小微企业合同金额达到</w:t>
      </w:r>
      <w:r>
        <w:rPr>
          <w:rFonts w:hint="eastAsia" w:ascii="仿宋" w:hAnsi="仿宋" w:cs="仿宋"/>
          <w:lang w:eastAsia="zh-CN"/>
        </w:rPr>
        <w:t>【】</w:t>
      </w:r>
      <w:r>
        <w:rPr>
          <w:rFonts w:hint="eastAsia" w:ascii="仿宋" w:hAnsi="仿宋" w:cs="仿宋"/>
        </w:rPr>
        <w:t>%</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0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0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浙江省市场监督管理局品牌提升与质量攻坚（重新招标）</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8"/>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cs="仿宋"/>
          <w:i w:val="0"/>
          <w:iCs w:val="0"/>
          <w:caps w:val="0"/>
          <w:color w:val="000000"/>
          <w:spacing w:val="0"/>
          <w:sz w:val="24"/>
          <w:szCs w:val="24"/>
          <w:highlight w:val="none"/>
          <w:u w:val="single"/>
          <w:vertAlign w:val="baseline"/>
          <w:lang w:val="en-US" w:eastAsia="zh-CN"/>
        </w:rPr>
        <w:t>绿色修船国际认证</w:t>
      </w:r>
      <w:bookmarkStart w:id="413" w:name="_GoBack"/>
      <w:bookmarkEnd w:id="413"/>
      <w:r>
        <w:rPr>
          <w:rFonts w:hint="eastAsia" w:ascii="仿宋" w:hAnsi="仿宋" w:cs="仿宋"/>
          <w:i w:val="0"/>
          <w:iCs w:val="0"/>
          <w:caps w:val="0"/>
          <w:color w:val="000000"/>
          <w:spacing w:val="0"/>
          <w:sz w:val="24"/>
          <w:szCs w:val="24"/>
          <w:highlight w:val="none"/>
          <w:u w:val="single"/>
          <w:vertAlign w:val="baseline"/>
          <w:lang w:val="en-US" w:eastAsia="zh-CN"/>
        </w:rPr>
        <w:t xml:space="preserve">技术研究及应用   </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D13B35-E19F-4B6F-B170-575303E195A4}"/>
  </w:font>
  <w:font w:name="Arial">
    <w:panose1 w:val="020B0604020202020204"/>
    <w:charset w:val="01"/>
    <w:family w:val="swiss"/>
    <w:pitch w:val="default"/>
    <w:sig w:usb0="E0002AFF" w:usb1="C0007843" w:usb2="00000009" w:usb3="00000000" w:csb0="400001FF" w:csb1="FFFF0000"/>
    <w:embedRegular r:id="rId2" w:fontKey="{AF24F294-A3AF-4D84-A164-DDF4090544AB}"/>
  </w:font>
  <w:font w:name="黑体">
    <w:panose1 w:val="02010609060101010101"/>
    <w:charset w:val="86"/>
    <w:family w:val="auto"/>
    <w:pitch w:val="default"/>
    <w:sig w:usb0="800002BF" w:usb1="38CF7CFA" w:usb2="00000016" w:usb3="00000000" w:csb0="00040001" w:csb1="00000000"/>
    <w:embedRegular r:id="rId3" w:fontKey="{5398F0F1-02CD-41A4-BDA7-CDAC9E9884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4" w:fontKey="{0E7E3540-DC8F-4997-AF55-4C3337BD4DE8}"/>
  </w:font>
  <w:font w:name="仿宋_GB2312">
    <w:panose1 w:val="02010609030101010101"/>
    <w:charset w:val="86"/>
    <w:family w:val="modern"/>
    <w:pitch w:val="default"/>
    <w:sig w:usb0="00000001" w:usb1="080E0000" w:usb2="00000000" w:usb3="00000000" w:csb0="00040000" w:csb1="00000000"/>
    <w:embedRegular r:id="rId5" w:fontKey="{96BBD3F4-2B82-4AFD-AC37-01B1E082D1E9}"/>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方正仿宋_GB2312">
    <w:panose1 w:val="02000000000000000000"/>
    <w:charset w:val="86"/>
    <w:family w:val="auto"/>
    <w:pitch w:val="default"/>
    <w:sig w:usb0="A00002BF" w:usb1="184F6CFA" w:usb2="00000012" w:usb3="00000000" w:csb0="00040001" w:csb1="00000000"/>
    <w:embedRegular r:id="rId6" w:fontKey="{4B23220A-4323-47E4-BA60-66F89955F76A}"/>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09" w:name="_Toc91899912"/>
    <w:bookmarkStart w:id="410" w:name="_Toc36110187"/>
    <w:bookmarkStart w:id="411" w:name="_Toc131845147"/>
    <w:bookmarkStart w:id="412" w:name="_Toc164085800"/>
    <w:r>
      <w:rPr>
        <w:rFonts w:hint="eastAsia" w:ascii="仿宋_GB2312" w:eastAsia="仿宋_GB2312"/>
        <w:kern w:val="0"/>
        <w:szCs w:val="21"/>
      </w:rPr>
      <w:t xml:space="preserve"> 页</w:t>
    </w:r>
    <w:bookmarkEnd w:id="409"/>
    <w:bookmarkEnd w:id="410"/>
    <w:bookmarkEnd w:id="411"/>
    <w:bookmarkEnd w:id="4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C733AFD1"/>
    <w:multiLevelType w:val="singleLevel"/>
    <w:tmpl w:val="C733AFD1"/>
    <w:lvl w:ilvl="0" w:tentative="0">
      <w:start w:val="2"/>
      <w:numFmt w:val="chineseCounting"/>
      <w:suff w:val="nothing"/>
      <w:lvlText w:val="%1、"/>
      <w:lvlJc w:val="left"/>
      <w:rPr>
        <w:rFonts w:hint="eastAsia"/>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479DB60"/>
    <w:multiLevelType w:val="singleLevel"/>
    <w:tmpl w:val="4479DB60"/>
    <w:lvl w:ilvl="0" w:tentative="0">
      <w:start w:val="1"/>
      <w:numFmt w:val="decimal"/>
      <w:suff w:val="space"/>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7"/>
  </w:num>
  <w:num w:numId="3">
    <w:abstractNumId w:val="3"/>
  </w:num>
  <w:num w:numId="4">
    <w:abstractNumId w:val="1"/>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6637247-9c61-4267-ac94-243a9d11d1dc"/>
  </w:docVars>
  <w:rsids>
    <w:rsidRoot w:val="00000000"/>
    <w:rsid w:val="00661709"/>
    <w:rsid w:val="009C15CF"/>
    <w:rsid w:val="00B00BD6"/>
    <w:rsid w:val="01401F5A"/>
    <w:rsid w:val="019849A8"/>
    <w:rsid w:val="01AA6DBD"/>
    <w:rsid w:val="01FB40D3"/>
    <w:rsid w:val="02056D00"/>
    <w:rsid w:val="027D0F8C"/>
    <w:rsid w:val="02B349AE"/>
    <w:rsid w:val="030B6598"/>
    <w:rsid w:val="03127926"/>
    <w:rsid w:val="032F2286"/>
    <w:rsid w:val="034C108A"/>
    <w:rsid w:val="03613825"/>
    <w:rsid w:val="037800D1"/>
    <w:rsid w:val="039D7B38"/>
    <w:rsid w:val="040771FB"/>
    <w:rsid w:val="042C0EBC"/>
    <w:rsid w:val="045B52FD"/>
    <w:rsid w:val="04657F2A"/>
    <w:rsid w:val="048605CC"/>
    <w:rsid w:val="04BC3FEE"/>
    <w:rsid w:val="04C35D04"/>
    <w:rsid w:val="04D23811"/>
    <w:rsid w:val="05681A7F"/>
    <w:rsid w:val="05793C8D"/>
    <w:rsid w:val="05974A80"/>
    <w:rsid w:val="0673692E"/>
    <w:rsid w:val="069F3BC7"/>
    <w:rsid w:val="06B56F46"/>
    <w:rsid w:val="071F3A7A"/>
    <w:rsid w:val="074D717F"/>
    <w:rsid w:val="075C1AB8"/>
    <w:rsid w:val="07DB29DD"/>
    <w:rsid w:val="07E64320"/>
    <w:rsid w:val="07FE25A7"/>
    <w:rsid w:val="082A3964"/>
    <w:rsid w:val="083612A8"/>
    <w:rsid w:val="083D5445"/>
    <w:rsid w:val="08A96637"/>
    <w:rsid w:val="08AE1E9F"/>
    <w:rsid w:val="08BF5E5A"/>
    <w:rsid w:val="08FF6B9F"/>
    <w:rsid w:val="09504DBD"/>
    <w:rsid w:val="0A6A629A"/>
    <w:rsid w:val="0A8C5E53"/>
    <w:rsid w:val="0B163D2C"/>
    <w:rsid w:val="0B646ACD"/>
    <w:rsid w:val="0B810B2E"/>
    <w:rsid w:val="0BD542E6"/>
    <w:rsid w:val="0BF4406D"/>
    <w:rsid w:val="0BFC66C8"/>
    <w:rsid w:val="0C2A5CE1"/>
    <w:rsid w:val="0CCD48BE"/>
    <w:rsid w:val="0CE02843"/>
    <w:rsid w:val="0CE2480D"/>
    <w:rsid w:val="0D103128"/>
    <w:rsid w:val="0D9E714C"/>
    <w:rsid w:val="0DAD574B"/>
    <w:rsid w:val="0DCF7A68"/>
    <w:rsid w:val="0DD57ECE"/>
    <w:rsid w:val="0DE10621"/>
    <w:rsid w:val="0DFF4F4B"/>
    <w:rsid w:val="0E8A515C"/>
    <w:rsid w:val="0EA24254"/>
    <w:rsid w:val="0EA43128"/>
    <w:rsid w:val="0EB43F87"/>
    <w:rsid w:val="0EE24651"/>
    <w:rsid w:val="0F403A6D"/>
    <w:rsid w:val="0F421593"/>
    <w:rsid w:val="0F6E2388"/>
    <w:rsid w:val="0FEB5787"/>
    <w:rsid w:val="103E1D5B"/>
    <w:rsid w:val="10795489"/>
    <w:rsid w:val="108F25B6"/>
    <w:rsid w:val="10B1077E"/>
    <w:rsid w:val="10BB15FD"/>
    <w:rsid w:val="110A60E1"/>
    <w:rsid w:val="11286567"/>
    <w:rsid w:val="11357601"/>
    <w:rsid w:val="11513D10"/>
    <w:rsid w:val="117C2C8C"/>
    <w:rsid w:val="11B85B3D"/>
    <w:rsid w:val="11CE72AB"/>
    <w:rsid w:val="11F50B3F"/>
    <w:rsid w:val="12486EC1"/>
    <w:rsid w:val="12B427A8"/>
    <w:rsid w:val="12B502CE"/>
    <w:rsid w:val="12C02EFB"/>
    <w:rsid w:val="13023513"/>
    <w:rsid w:val="13433B2C"/>
    <w:rsid w:val="135E2714"/>
    <w:rsid w:val="1367781A"/>
    <w:rsid w:val="13CA1B57"/>
    <w:rsid w:val="13F84916"/>
    <w:rsid w:val="141C727E"/>
    <w:rsid w:val="14276FAA"/>
    <w:rsid w:val="147026FF"/>
    <w:rsid w:val="148B12E6"/>
    <w:rsid w:val="149363ED"/>
    <w:rsid w:val="14CA62B3"/>
    <w:rsid w:val="14D47131"/>
    <w:rsid w:val="15194B44"/>
    <w:rsid w:val="153674A4"/>
    <w:rsid w:val="15712BD2"/>
    <w:rsid w:val="15B4486D"/>
    <w:rsid w:val="15BF56EC"/>
    <w:rsid w:val="15EC4007"/>
    <w:rsid w:val="165A5414"/>
    <w:rsid w:val="1695644C"/>
    <w:rsid w:val="16B56AEF"/>
    <w:rsid w:val="16BC7E7D"/>
    <w:rsid w:val="16EA2C3C"/>
    <w:rsid w:val="176522C3"/>
    <w:rsid w:val="17A32DEB"/>
    <w:rsid w:val="17C0399D"/>
    <w:rsid w:val="17C33F38"/>
    <w:rsid w:val="17F65611"/>
    <w:rsid w:val="18273A1C"/>
    <w:rsid w:val="185D11EC"/>
    <w:rsid w:val="18610CDC"/>
    <w:rsid w:val="18BE612E"/>
    <w:rsid w:val="18D86AC4"/>
    <w:rsid w:val="19941B4A"/>
    <w:rsid w:val="19DB2D10"/>
    <w:rsid w:val="1A18361C"/>
    <w:rsid w:val="1A3366A8"/>
    <w:rsid w:val="1A361CF4"/>
    <w:rsid w:val="1A4051E0"/>
    <w:rsid w:val="1A554F3D"/>
    <w:rsid w:val="1AA44EB0"/>
    <w:rsid w:val="1AAB4490"/>
    <w:rsid w:val="1AB33345"/>
    <w:rsid w:val="1B155DAE"/>
    <w:rsid w:val="1B6D4B23"/>
    <w:rsid w:val="1B770817"/>
    <w:rsid w:val="1B903686"/>
    <w:rsid w:val="1BE063BC"/>
    <w:rsid w:val="1C093B64"/>
    <w:rsid w:val="1C0D4CD7"/>
    <w:rsid w:val="1C3819EF"/>
    <w:rsid w:val="1C47468D"/>
    <w:rsid w:val="1CD53A47"/>
    <w:rsid w:val="1D1D0F4A"/>
    <w:rsid w:val="1D512A3A"/>
    <w:rsid w:val="1D5E3A3C"/>
    <w:rsid w:val="1D772D50"/>
    <w:rsid w:val="1D880FF1"/>
    <w:rsid w:val="1D8965DF"/>
    <w:rsid w:val="1DB7314C"/>
    <w:rsid w:val="1DBB0E8E"/>
    <w:rsid w:val="1DCA2E80"/>
    <w:rsid w:val="1E9D0402"/>
    <w:rsid w:val="1ECC5162"/>
    <w:rsid w:val="1ED55F80"/>
    <w:rsid w:val="1EE461C3"/>
    <w:rsid w:val="1EEA12FF"/>
    <w:rsid w:val="1F282554"/>
    <w:rsid w:val="1F3C1B5B"/>
    <w:rsid w:val="1F3F46E4"/>
    <w:rsid w:val="1FD77AD6"/>
    <w:rsid w:val="1FF95C9E"/>
    <w:rsid w:val="20A24A4B"/>
    <w:rsid w:val="20E26FD4"/>
    <w:rsid w:val="20EE157B"/>
    <w:rsid w:val="2116462E"/>
    <w:rsid w:val="21185B98"/>
    <w:rsid w:val="21425423"/>
    <w:rsid w:val="214C004F"/>
    <w:rsid w:val="21920158"/>
    <w:rsid w:val="21E464DA"/>
    <w:rsid w:val="22031056"/>
    <w:rsid w:val="22145011"/>
    <w:rsid w:val="22573150"/>
    <w:rsid w:val="2274785E"/>
    <w:rsid w:val="22D24584"/>
    <w:rsid w:val="22E446B2"/>
    <w:rsid w:val="22FB7F7F"/>
    <w:rsid w:val="230E1A60"/>
    <w:rsid w:val="233953DA"/>
    <w:rsid w:val="23AD1279"/>
    <w:rsid w:val="23E822B1"/>
    <w:rsid w:val="23FD1838"/>
    <w:rsid w:val="2418246B"/>
    <w:rsid w:val="242332EA"/>
    <w:rsid w:val="246415E1"/>
    <w:rsid w:val="248D4C07"/>
    <w:rsid w:val="24A3442A"/>
    <w:rsid w:val="24C543A1"/>
    <w:rsid w:val="24D64800"/>
    <w:rsid w:val="24F86524"/>
    <w:rsid w:val="250F1AC0"/>
    <w:rsid w:val="2540611D"/>
    <w:rsid w:val="257A33DD"/>
    <w:rsid w:val="25EF3DCB"/>
    <w:rsid w:val="2613738E"/>
    <w:rsid w:val="26263565"/>
    <w:rsid w:val="264659B5"/>
    <w:rsid w:val="26D7660D"/>
    <w:rsid w:val="26DD1E76"/>
    <w:rsid w:val="26EF7DFB"/>
    <w:rsid w:val="26F64CE5"/>
    <w:rsid w:val="274517C9"/>
    <w:rsid w:val="274A3283"/>
    <w:rsid w:val="27871DE1"/>
    <w:rsid w:val="27A02EA3"/>
    <w:rsid w:val="27B22717"/>
    <w:rsid w:val="27F54F9D"/>
    <w:rsid w:val="28174E7A"/>
    <w:rsid w:val="283006CB"/>
    <w:rsid w:val="2838132E"/>
    <w:rsid w:val="286B34B1"/>
    <w:rsid w:val="288D7015"/>
    <w:rsid w:val="28C66939"/>
    <w:rsid w:val="293E5013"/>
    <w:rsid w:val="29581C87"/>
    <w:rsid w:val="29862181"/>
    <w:rsid w:val="298F4F7D"/>
    <w:rsid w:val="299D58EC"/>
    <w:rsid w:val="29B9024C"/>
    <w:rsid w:val="29C15A7E"/>
    <w:rsid w:val="29CA4207"/>
    <w:rsid w:val="2A133E00"/>
    <w:rsid w:val="2A2953D2"/>
    <w:rsid w:val="2A3C4980"/>
    <w:rsid w:val="2A570191"/>
    <w:rsid w:val="2A5749FC"/>
    <w:rsid w:val="2A64465C"/>
    <w:rsid w:val="2B0971E3"/>
    <w:rsid w:val="2B255B99"/>
    <w:rsid w:val="2B4321B4"/>
    <w:rsid w:val="2B5C5333"/>
    <w:rsid w:val="2B824D9A"/>
    <w:rsid w:val="2BB5365F"/>
    <w:rsid w:val="2BDB26FC"/>
    <w:rsid w:val="2C002162"/>
    <w:rsid w:val="2C0A4D8F"/>
    <w:rsid w:val="2C293CA3"/>
    <w:rsid w:val="2CA174A1"/>
    <w:rsid w:val="2CB84FA2"/>
    <w:rsid w:val="2CC118F2"/>
    <w:rsid w:val="2CF77A09"/>
    <w:rsid w:val="2D6F75A0"/>
    <w:rsid w:val="2D7921CC"/>
    <w:rsid w:val="2DA21723"/>
    <w:rsid w:val="2DB44479"/>
    <w:rsid w:val="2DB82B6B"/>
    <w:rsid w:val="2DD003DC"/>
    <w:rsid w:val="2E007DC0"/>
    <w:rsid w:val="2E894691"/>
    <w:rsid w:val="2E9F2106"/>
    <w:rsid w:val="2EB37960"/>
    <w:rsid w:val="2EB8596B"/>
    <w:rsid w:val="2F05640D"/>
    <w:rsid w:val="2F5051AF"/>
    <w:rsid w:val="2FD63906"/>
    <w:rsid w:val="2FFB15BE"/>
    <w:rsid w:val="30071D11"/>
    <w:rsid w:val="304C1E1A"/>
    <w:rsid w:val="306C6018"/>
    <w:rsid w:val="30E15E23"/>
    <w:rsid w:val="30E67B79"/>
    <w:rsid w:val="31322DBE"/>
    <w:rsid w:val="314F5556"/>
    <w:rsid w:val="32285F6F"/>
    <w:rsid w:val="325154C6"/>
    <w:rsid w:val="32CC2D9E"/>
    <w:rsid w:val="32E77BD8"/>
    <w:rsid w:val="33182487"/>
    <w:rsid w:val="33291F9F"/>
    <w:rsid w:val="334D3EDF"/>
    <w:rsid w:val="335E60EC"/>
    <w:rsid w:val="3361798A"/>
    <w:rsid w:val="33B273BE"/>
    <w:rsid w:val="33B757FC"/>
    <w:rsid w:val="33BC1065"/>
    <w:rsid w:val="33D85945"/>
    <w:rsid w:val="34607C42"/>
    <w:rsid w:val="34B65AB4"/>
    <w:rsid w:val="34F565DC"/>
    <w:rsid w:val="35215623"/>
    <w:rsid w:val="353335A8"/>
    <w:rsid w:val="35494B7A"/>
    <w:rsid w:val="35AD421B"/>
    <w:rsid w:val="35BC534C"/>
    <w:rsid w:val="35BE2E72"/>
    <w:rsid w:val="35E14DB3"/>
    <w:rsid w:val="36252D67"/>
    <w:rsid w:val="362829E1"/>
    <w:rsid w:val="362C24D2"/>
    <w:rsid w:val="3632560E"/>
    <w:rsid w:val="364D41F6"/>
    <w:rsid w:val="36541A28"/>
    <w:rsid w:val="369D33CF"/>
    <w:rsid w:val="36C26992"/>
    <w:rsid w:val="36F6488E"/>
    <w:rsid w:val="370074BA"/>
    <w:rsid w:val="371D1E1A"/>
    <w:rsid w:val="37721F02"/>
    <w:rsid w:val="37DA7D0B"/>
    <w:rsid w:val="384A6C3F"/>
    <w:rsid w:val="38545D10"/>
    <w:rsid w:val="38FF3ECD"/>
    <w:rsid w:val="391F631E"/>
    <w:rsid w:val="39475874"/>
    <w:rsid w:val="39897C3B"/>
    <w:rsid w:val="399F2FBB"/>
    <w:rsid w:val="3A4D6EBA"/>
    <w:rsid w:val="3A667F7C"/>
    <w:rsid w:val="3A8D72B7"/>
    <w:rsid w:val="3AD76784"/>
    <w:rsid w:val="3B5B1163"/>
    <w:rsid w:val="3B693880"/>
    <w:rsid w:val="3B8561E0"/>
    <w:rsid w:val="3BDF1D94"/>
    <w:rsid w:val="3C3C4C7A"/>
    <w:rsid w:val="3C5C5193"/>
    <w:rsid w:val="3C6A3D54"/>
    <w:rsid w:val="3CC64D02"/>
    <w:rsid w:val="3CD63197"/>
    <w:rsid w:val="3CDC62D4"/>
    <w:rsid w:val="3D597924"/>
    <w:rsid w:val="3D762284"/>
    <w:rsid w:val="3D9848F1"/>
    <w:rsid w:val="3DAC5CA6"/>
    <w:rsid w:val="3E2E2B5F"/>
    <w:rsid w:val="3E495BEB"/>
    <w:rsid w:val="3E693B97"/>
    <w:rsid w:val="3E7C326B"/>
    <w:rsid w:val="3EB07A18"/>
    <w:rsid w:val="3EC55271"/>
    <w:rsid w:val="3F1D32FF"/>
    <w:rsid w:val="3F253F62"/>
    <w:rsid w:val="3F5860E5"/>
    <w:rsid w:val="3F80388E"/>
    <w:rsid w:val="3F9B5FD2"/>
    <w:rsid w:val="3FA96941"/>
    <w:rsid w:val="4000052B"/>
    <w:rsid w:val="40EF4827"/>
    <w:rsid w:val="41173D7E"/>
    <w:rsid w:val="415D3E87"/>
    <w:rsid w:val="416F5968"/>
    <w:rsid w:val="41A339E2"/>
    <w:rsid w:val="41F8595E"/>
    <w:rsid w:val="42336996"/>
    <w:rsid w:val="4242307D"/>
    <w:rsid w:val="42507548"/>
    <w:rsid w:val="427C658F"/>
    <w:rsid w:val="42823479"/>
    <w:rsid w:val="42862F6A"/>
    <w:rsid w:val="42D068DB"/>
    <w:rsid w:val="43100A85"/>
    <w:rsid w:val="431C3FB9"/>
    <w:rsid w:val="434F77FF"/>
    <w:rsid w:val="43566DE0"/>
    <w:rsid w:val="43B6787E"/>
    <w:rsid w:val="43BF2BD7"/>
    <w:rsid w:val="45280308"/>
    <w:rsid w:val="453C3DB3"/>
    <w:rsid w:val="45774DEB"/>
    <w:rsid w:val="45C31A8C"/>
    <w:rsid w:val="45CF69D6"/>
    <w:rsid w:val="45D109A0"/>
    <w:rsid w:val="45EC0A45"/>
    <w:rsid w:val="460C5E7C"/>
    <w:rsid w:val="4629258A"/>
    <w:rsid w:val="46AC4F69"/>
    <w:rsid w:val="47213261"/>
    <w:rsid w:val="476475F1"/>
    <w:rsid w:val="477A0BC3"/>
    <w:rsid w:val="47A345BE"/>
    <w:rsid w:val="47AB5220"/>
    <w:rsid w:val="47E250E6"/>
    <w:rsid w:val="481A4B53"/>
    <w:rsid w:val="486B1941"/>
    <w:rsid w:val="487E46E3"/>
    <w:rsid w:val="49153758"/>
    <w:rsid w:val="49211C3E"/>
    <w:rsid w:val="498B66EB"/>
    <w:rsid w:val="49A53BB9"/>
    <w:rsid w:val="4A123335"/>
    <w:rsid w:val="4A1C2405"/>
    <w:rsid w:val="4A5971B6"/>
    <w:rsid w:val="4A6C0C97"/>
    <w:rsid w:val="4B7F2C4C"/>
    <w:rsid w:val="4BBA1ED6"/>
    <w:rsid w:val="4C237A7B"/>
    <w:rsid w:val="4C2869FC"/>
    <w:rsid w:val="4C2D08FA"/>
    <w:rsid w:val="4C2D26A8"/>
    <w:rsid w:val="4C545E87"/>
    <w:rsid w:val="4C575977"/>
    <w:rsid w:val="4C5B7215"/>
    <w:rsid w:val="4C6360CA"/>
    <w:rsid w:val="4C951AAA"/>
    <w:rsid w:val="4CB93F3C"/>
    <w:rsid w:val="4D241CFD"/>
    <w:rsid w:val="4D2C28F2"/>
    <w:rsid w:val="4D64659D"/>
    <w:rsid w:val="4E1753BE"/>
    <w:rsid w:val="4E265601"/>
    <w:rsid w:val="4E9764FE"/>
    <w:rsid w:val="4F22226C"/>
    <w:rsid w:val="4F610FE6"/>
    <w:rsid w:val="4F98252E"/>
    <w:rsid w:val="4F9A44F8"/>
    <w:rsid w:val="4FA90297"/>
    <w:rsid w:val="4FCB46B2"/>
    <w:rsid w:val="50175B49"/>
    <w:rsid w:val="505521CD"/>
    <w:rsid w:val="507E7976"/>
    <w:rsid w:val="50923421"/>
    <w:rsid w:val="50DE6667"/>
    <w:rsid w:val="50ED0658"/>
    <w:rsid w:val="5107796B"/>
    <w:rsid w:val="514E4E9E"/>
    <w:rsid w:val="5233653E"/>
    <w:rsid w:val="524B3888"/>
    <w:rsid w:val="527E1EAF"/>
    <w:rsid w:val="52B0193D"/>
    <w:rsid w:val="52C61160"/>
    <w:rsid w:val="52E02222"/>
    <w:rsid w:val="52E57838"/>
    <w:rsid w:val="530F6FAB"/>
    <w:rsid w:val="5321043D"/>
    <w:rsid w:val="534A1D91"/>
    <w:rsid w:val="536C61AC"/>
    <w:rsid w:val="53AC47FA"/>
    <w:rsid w:val="53D55AFF"/>
    <w:rsid w:val="53F6133F"/>
    <w:rsid w:val="542720D3"/>
    <w:rsid w:val="54520EFE"/>
    <w:rsid w:val="54686973"/>
    <w:rsid w:val="549A0AF6"/>
    <w:rsid w:val="550F6DEF"/>
    <w:rsid w:val="560B1CAC"/>
    <w:rsid w:val="564E1B99"/>
    <w:rsid w:val="56757125"/>
    <w:rsid w:val="56847368"/>
    <w:rsid w:val="56D93B58"/>
    <w:rsid w:val="573A3ECB"/>
    <w:rsid w:val="57D165DD"/>
    <w:rsid w:val="581B3CFC"/>
    <w:rsid w:val="58376A76"/>
    <w:rsid w:val="58445001"/>
    <w:rsid w:val="5847689F"/>
    <w:rsid w:val="584E40D2"/>
    <w:rsid w:val="5886386C"/>
    <w:rsid w:val="5886561A"/>
    <w:rsid w:val="58AB32D2"/>
    <w:rsid w:val="591C41D0"/>
    <w:rsid w:val="594D4389"/>
    <w:rsid w:val="59575208"/>
    <w:rsid w:val="598F04FE"/>
    <w:rsid w:val="59A0095D"/>
    <w:rsid w:val="59A57D21"/>
    <w:rsid w:val="59B241EC"/>
    <w:rsid w:val="59B83EF9"/>
    <w:rsid w:val="5AB1340E"/>
    <w:rsid w:val="5ADC59C5"/>
    <w:rsid w:val="5ADF31C8"/>
    <w:rsid w:val="5B0B44FC"/>
    <w:rsid w:val="5B4C7024"/>
    <w:rsid w:val="5B5437AD"/>
    <w:rsid w:val="5B661732"/>
    <w:rsid w:val="5BA92B95"/>
    <w:rsid w:val="5BBC1352"/>
    <w:rsid w:val="5BF27270"/>
    <w:rsid w:val="5BFF190E"/>
    <w:rsid w:val="5C05719D"/>
    <w:rsid w:val="5C900C58"/>
    <w:rsid w:val="5C9E41E1"/>
    <w:rsid w:val="5CE13766"/>
    <w:rsid w:val="5D0D6309"/>
    <w:rsid w:val="5DB70023"/>
    <w:rsid w:val="5E2356B9"/>
    <w:rsid w:val="5E5E2B95"/>
    <w:rsid w:val="5E914D18"/>
    <w:rsid w:val="5EBB3B43"/>
    <w:rsid w:val="5F2711D9"/>
    <w:rsid w:val="5F6366B5"/>
    <w:rsid w:val="5F8603F6"/>
    <w:rsid w:val="5FB962D5"/>
    <w:rsid w:val="603E67DA"/>
    <w:rsid w:val="6065645C"/>
    <w:rsid w:val="606D70BF"/>
    <w:rsid w:val="607B5C80"/>
    <w:rsid w:val="60D3786A"/>
    <w:rsid w:val="612754C0"/>
    <w:rsid w:val="61BA6334"/>
    <w:rsid w:val="61CD6067"/>
    <w:rsid w:val="61D00691"/>
    <w:rsid w:val="61ED495B"/>
    <w:rsid w:val="61FE4473"/>
    <w:rsid w:val="62013F63"/>
    <w:rsid w:val="62516C98"/>
    <w:rsid w:val="62816E52"/>
    <w:rsid w:val="635A7DCF"/>
    <w:rsid w:val="63626C83"/>
    <w:rsid w:val="638C5AAE"/>
    <w:rsid w:val="63B514A9"/>
    <w:rsid w:val="63CB4828"/>
    <w:rsid w:val="63D713EB"/>
    <w:rsid w:val="640E7EF8"/>
    <w:rsid w:val="642E6B65"/>
    <w:rsid w:val="64587C66"/>
    <w:rsid w:val="64801AB7"/>
    <w:rsid w:val="64C80D68"/>
    <w:rsid w:val="64D70FAB"/>
    <w:rsid w:val="651B4B76"/>
    <w:rsid w:val="652561BA"/>
    <w:rsid w:val="652E1513"/>
    <w:rsid w:val="6535464F"/>
    <w:rsid w:val="65387C9C"/>
    <w:rsid w:val="659770B8"/>
    <w:rsid w:val="65A25A5D"/>
    <w:rsid w:val="66012783"/>
    <w:rsid w:val="66202B8F"/>
    <w:rsid w:val="66901922"/>
    <w:rsid w:val="66AF0431"/>
    <w:rsid w:val="66CA7019"/>
    <w:rsid w:val="66D25ECE"/>
    <w:rsid w:val="66F2031E"/>
    <w:rsid w:val="67424E02"/>
    <w:rsid w:val="674A015A"/>
    <w:rsid w:val="67694A84"/>
    <w:rsid w:val="679D472E"/>
    <w:rsid w:val="67CB3049"/>
    <w:rsid w:val="67D85766"/>
    <w:rsid w:val="67DA14DE"/>
    <w:rsid w:val="68103152"/>
    <w:rsid w:val="683E7CBF"/>
    <w:rsid w:val="684140AE"/>
    <w:rsid w:val="6843030E"/>
    <w:rsid w:val="687E630D"/>
    <w:rsid w:val="68930513"/>
    <w:rsid w:val="68BE495C"/>
    <w:rsid w:val="68C47A98"/>
    <w:rsid w:val="68F55EA4"/>
    <w:rsid w:val="690E58E3"/>
    <w:rsid w:val="693966D8"/>
    <w:rsid w:val="696A6E60"/>
    <w:rsid w:val="69825989"/>
    <w:rsid w:val="69C67F6C"/>
    <w:rsid w:val="69D1246D"/>
    <w:rsid w:val="69D65CD5"/>
    <w:rsid w:val="69DF2DDC"/>
    <w:rsid w:val="69E95A08"/>
    <w:rsid w:val="69F12B0F"/>
    <w:rsid w:val="6A731776"/>
    <w:rsid w:val="6A885221"/>
    <w:rsid w:val="6ACD70D8"/>
    <w:rsid w:val="6B69597E"/>
    <w:rsid w:val="6B721A2E"/>
    <w:rsid w:val="6C6972D4"/>
    <w:rsid w:val="6CB70040"/>
    <w:rsid w:val="6D3671B7"/>
    <w:rsid w:val="6D374CDD"/>
    <w:rsid w:val="6DC72505"/>
    <w:rsid w:val="6DD440B1"/>
    <w:rsid w:val="6DD95D94"/>
    <w:rsid w:val="6DFA4688"/>
    <w:rsid w:val="6DFE57FA"/>
    <w:rsid w:val="6E245261"/>
    <w:rsid w:val="6E625D89"/>
    <w:rsid w:val="6E6B7334"/>
    <w:rsid w:val="6E846A90"/>
    <w:rsid w:val="6E9C573F"/>
    <w:rsid w:val="6EDC1FE0"/>
    <w:rsid w:val="6EE40E94"/>
    <w:rsid w:val="6F1C062E"/>
    <w:rsid w:val="6F241291"/>
    <w:rsid w:val="6F305E87"/>
    <w:rsid w:val="6F616041"/>
    <w:rsid w:val="6FCB0793"/>
    <w:rsid w:val="6FD9651F"/>
    <w:rsid w:val="700A66D9"/>
    <w:rsid w:val="70730722"/>
    <w:rsid w:val="7097427D"/>
    <w:rsid w:val="70A1528F"/>
    <w:rsid w:val="70DA42FD"/>
    <w:rsid w:val="70F116CB"/>
    <w:rsid w:val="71063344"/>
    <w:rsid w:val="710B095A"/>
    <w:rsid w:val="715E6CDC"/>
    <w:rsid w:val="717C7162"/>
    <w:rsid w:val="71A861A9"/>
    <w:rsid w:val="71F118FE"/>
    <w:rsid w:val="7249798C"/>
    <w:rsid w:val="725E2D0C"/>
    <w:rsid w:val="727F33AE"/>
    <w:rsid w:val="72952BD1"/>
    <w:rsid w:val="73027B3B"/>
    <w:rsid w:val="735918D7"/>
    <w:rsid w:val="735E7467"/>
    <w:rsid w:val="73AD3F4B"/>
    <w:rsid w:val="73AF381F"/>
    <w:rsid w:val="73B07597"/>
    <w:rsid w:val="73B40E35"/>
    <w:rsid w:val="742A10F7"/>
    <w:rsid w:val="74381A66"/>
    <w:rsid w:val="7456013E"/>
    <w:rsid w:val="74634609"/>
    <w:rsid w:val="74AF784E"/>
    <w:rsid w:val="74C4154C"/>
    <w:rsid w:val="74E92D60"/>
    <w:rsid w:val="753F0BD2"/>
    <w:rsid w:val="75671ED7"/>
    <w:rsid w:val="75752846"/>
    <w:rsid w:val="75937C94"/>
    <w:rsid w:val="762F092F"/>
    <w:rsid w:val="763E0E8A"/>
    <w:rsid w:val="765344D8"/>
    <w:rsid w:val="76C27D0D"/>
    <w:rsid w:val="76CA4E14"/>
    <w:rsid w:val="76D161A2"/>
    <w:rsid w:val="76D649A4"/>
    <w:rsid w:val="775B5A6C"/>
    <w:rsid w:val="77642B72"/>
    <w:rsid w:val="776C1A27"/>
    <w:rsid w:val="7798281C"/>
    <w:rsid w:val="77BC29AE"/>
    <w:rsid w:val="781400F4"/>
    <w:rsid w:val="784604CA"/>
    <w:rsid w:val="78A82F32"/>
    <w:rsid w:val="78C22246"/>
    <w:rsid w:val="78C5310D"/>
    <w:rsid w:val="79075EAB"/>
    <w:rsid w:val="793F3897"/>
    <w:rsid w:val="79791F2A"/>
    <w:rsid w:val="79B53B59"/>
    <w:rsid w:val="79F44681"/>
    <w:rsid w:val="7A3C1B84"/>
    <w:rsid w:val="7A82780E"/>
    <w:rsid w:val="7A85352B"/>
    <w:rsid w:val="7A884DCA"/>
    <w:rsid w:val="7AB4796D"/>
    <w:rsid w:val="7AE83ABA"/>
    <w:rsid w:val="7B113011"/>
    <w:rsid w:val="7B164183"/>
    <w:rsid w:val="7B3B62E0"/>
    <w:rsid w:val="7BE67FFA"/>
    <w:rsid w:val="7C547659"/>
    <w:rsid w:val="7C7750F6"/>
    <w:rsid w:val="7C977546"/>
    <w:rsid w:val="7C9F63FA"/>
    <w:rsid w:val="7CE87DA1"/>
    <w:rsid w:val="7D9F66B2"/>
    <w:rsid w:val="7E123328"/>
    <w:rsid w:val="7E422D9C"/>
    <w:rsid w:val="7E45730E"/>
    <w:rsid w:val="7E6426E8"/>
    <w:rsid w:val="7E795155"/>
    <w:rsid w:val="7EBF4B32"/>
    <w:rsid w:val="7EF26CB5"/>
    <w:rsid w:val="7EFB200E"/>
    <w:rsid w:val="7F5578B1"/>
    <w:rsid w:val="7FB0104A"/>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Indent"/>
    <w:basedOn w:val="1"/>
    <w:next w:val="25"/>
    <w:link w:val="269"/>
    <w:qFormat/>
    <w:uiPriority w:val="0"/>
    <w:pPr>
      <w:spacing w:line="480" w:lineRule="exact"/>
      <w:ind w:firstLine="480" w:firstLineChars="200"/>
    </w:pPr>
    <w:rPr>
      <w:rFonts w:ascii="宋体" w:hAnsi="宋体"/>
    </w:rPr>
  </w:style>
  <w:style w:type="paragraph" w:styleId="25">
    <w:name w:val="Body Text First Indent 2"/>
    <w:basedOn w:val="24"/>
    <w:link w:val="12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3"/>
    <w:qFormat/>
    <w:uiPriority w:val="99"/>
    <w:pPr>
      <w:tabs>
        <w:tab w:val="center" w:pos="4153"/>
        <w:tab w:val="right" w:pos="8306"/>
      </w:tabs>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4"/>
    <w:qFormat/>
    <w:uiPriority w:val="0"/>
    <w:rPr>
      <w:b/>
      <w:bCs/>
    </w:rPr>
  </w:style>
  <w:style w:type="paragraph" w:styleId="61">
    <w:name w:val="Body Text First Indent"/>
    <w:basedOn w:val="2"/>
    <w:next w:val="51"/>
    <w:link w:val="323"/>
    <w:qFormat/>
    <w:uiPriority w:val="0"/>
    <w:pPr>
      <w:ind w:firstLine="420"/>
    </w:pPr>
    <w:rPr>
      <w:rFonts w:hAnsi="Calibri" w:cs="Times New Roman"/>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正文缩进 字符"/>
    <w:qFormat/>
    <w:uiPriority w:val="0"/>
    <w:rPr>
      <w:rFonts w:ascii="宋体" w:eastAsia="宋体"/>
      <w:snapToGrid w:val="0"/>
      <w:color w:val="000000"/>
      <w:kern w:val="28"/>
      <w:sz w:val="28"/>
      <w:lang w:val="en-US" w:eastAsia="zh-CN" w:bidi="ar-SA"/>
    </w:rPr>
  </w:style>
  <w:style w:type="character" w:customStyle="1" w:styleId="81">
    <w:name w:val="正文文本 Char"/>
    <w:qFormat/>
    <w:uiPriority w:val="0"/>
    <w:rPr>
      <w:rFonts w:eastAsia="宋体"/>
      <w:kern w:val="2"/>
      <w:sz w:val="24"/>
      <w:szCs w:val="24"/>
      <w:lang w:val="en-US" w:eastAsia="zh-CN" w:bidi="ar-SA"/>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List Paragraph11"/>
    <w:basedOn w:val="1"/>
    <w:qFormat/>
    <w:uiPriority w:val="99"/>
    <w:pPr>
      <w:spacing w:line="360" w:lineRule="auto"/>
      <w:ind w:firstLine="200" w:firstLineChars="200"/>
    </w:pPr>
    <w:rPr>
      <w:rFonts w:eastAsia="楷体_GB2312" w:cs="Lucida Sans"/>
    </w:rPr>
  </w:style>
  <w:style w:type="character" w:customStyle="1" w:styleId="84">
    <w:name w:val="标题 1 Char"/>
    <w:link w:val="3"/>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3"/>
    <w:next w:val="2"/>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z w:val="28"/>
    </w:rPr>
  </w:style>
  <w:style w:type="paragraph" w:customStyle="1" w:styleId="205">
    <w:name w:val="3级"/>
    <w:basedOn w:val="206"/>
    <w:link w:val="204"/>
    <w:qFormat/>
    <w:uiPriority w:val="0"/>
    <w:pPr>
      <w:ind w:left="0" w:right="466" w:firstLine="288"/>
    </w:pPr>
    <w:rPr>
      <w:rFonts w:hAnsi="宋体"/>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3"/>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9"/>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3"/>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30720</Words>
  <Characters>31758</Characters>
  <Lines>553</Lines>
  <Paragraphs>155</Paragraphs>
  <TotalTime>0</TotalTime>
  <ScaleCrop>false</ScaleCrop>
  <LinksUpToDate>false</LinksUpToDate>
  <CharactersWithSpaces>32718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国际招投标----郑</cp:lastModifiedBy>
  <cp:lastPrinted>2023-12-22T05:44:00Z</cp:lastPrinted>
  <dcterms:modified xsi:type="dcterms:W3CDTF">2025-07-16T08:47:56Z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3E51F4B3A5F8492E8371710C1962E8AC_13</vt:lpwstr>
  </property>
  <property fmtid="{D5CDD505-2E9C-101B-9397-08002B2CF9AE}" pid="5" name="KSOTemplateDocerSaveRecord">
    <vt:lpwstr>eyJoZGlkIjoiMDZhOTNhZDU1NjQyYTg1NTM1M2FiYjk5YmFmNDc3OTciLCJ1c2VySWQiOiI0MjY5NDY4MTgifQ==</vt:lpwstr>
  </property>
</Properties>
</file>