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品牌提升与质量攻坚项目</w:t>
      </w:r>
    </w:p>
    <w:p>
      <w:pPr>
        <w:pStyle w:val="25"/>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ZJ-2541690</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6</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浙江省市场监督管理局品牌提升与质量攻坚</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kern w:val="2"/>
          <w:sz w:val="24"/>
          <w:szCs w:val="24"/>
        </w:rPr>
        <w:t>https://www.zcygov.cn/）获取（下载）招标文件，并于202</w:t>
      </w:r>
      <w:r>
        <w:rPr>
          <w:rStyle w:val="76"/>
          <w:rFonts w:hint="eastAsia" w:ascii="仿宋" w:hAnsi="仿宋" w:cs="仿宋"/>
          <w:kern w:val="2"/>
          <w:sz w:val="24"/>
          <w:szCs w:val="24"/>
          <w:lang w:val="en-US" w:eastAsia="zh-CN"/>
        </w:rPr>
        <w:t>5</w:t>
      </w:r>
      <w:r>
        <w:rPr>
          <w:rStyle w:val="76"/>
          <w:rFonts w:hint="eastAsia" w:ascii="仿宋" w:hAnsi="仿宋" w:eastAsia="仿宋" w:cs="仿宋"/>
          <w:kern w:val="2"/>
          <w:sz w:val="24"/>
          <w:szCs w:val="24"/>
        </w:rPr>
        <w:t>年</w:t>
      </w:r>
      <w:r>
        <w:rPr>
          <w:rStyle w:val="76"/>
          <w:rFonts w:hint="eastAsia" w:ascii="仿宋" w:hAnsi="仿宋" w:cs="仿宋"/>
          <w:kern w:val="2"/>
          <w:sz w:val="24"/>
          <w:szCs w:val="24"/>
          <w:lang w:val="en-US" w:eastAsia="zh-CN"/>
        </w:rPr>
        <w:t>7</w:t>
      </w:r>
      <w:r>
        <w:rPr>
          <w:rStyle w:val="76"/>
          <w:rFonts w:hint="eastAsia" w:ascii="仿宋" w:hAnsi="仿宋" w:eastAsia="仿宋" w:cs="仿宋"/>
          <w:kern w:val="2"/>
          <w:sz w:val="24"/>
          <w:szCs w:val="24"/>
        </w:rPr>
        <w:t>月</w:t>
      </w:r>
      <w:r>
        <w:rPr>
          <w:rStyle w:val="76"/>
          <w:rFonts w:hint="eastAsia" w:ascii="仿宋" w:hAnsi="仿宋" w:cs="仿宋"/>
          <w:kern w:val="2"/>
          <w:sz w:val="24"/>
          <w:szCs w:val="24"/>
          <w:lang w:val="en-US" w:eastAsia="zh-CN"/>
        </w:rPr>
        <w:t>11</w:t>
      </w:r>
      <w:r>
        <w:rPr>
          <w:rStyle w:val="76"/>
          <w:rFonts w:hint="eastAsia" w:ascii="仿宋" w:hAnsi="仿宋" w:eastAsia="仿宋" w:cs="仿宋"/>
          <w:kern w:val="2"/>
          <w:sz w:val="24"/>
          <w:szCs w:val="24"/>
        </w:rPr>
        <w:t>日</w:t>
      </w:r>
      <w:r>
        <w:rPr>
          <w:rStyle w:val="76"/>
          <w:rFonts w:hint="eastAsia" w:ascii="仿宋" w:hAnsi="仿宋" w:cs="仿宋"/>
          <w:kern w:val="2"/>
          <w:sz w:val="24"/>
          <w:szCs w:val="24"/>
          <w:lang w:val="en-US" w:eastAsia="zh-CN"/>
        </w:rPr>
        <w:t>09</w:t>
      </w:r>
      <w:r>
        <w:rPr>
          <w:rStyle w:val="76"/>
          <w:rFonts w:hint="eastAsia" w:ascii="仿宋" w:hAnsi="仿宋" w:eastAsia="仿宋" w:cs="仿宋"/>
          <w:kern w:val="2"/>
          <w:sz w:val="24"/>
          <w:szCs w:val="24"/>
        </w:rPr>
        <w:t>点00分</w:t>
      </w:r>
      <w:r>
        <w:rPr>
          <w:rStyle w:val="76"/>
          <w:rFonts w:hint="eastAsia" w:ascii="仿宋" w:hAnsi="仿宋" w:eastAsia="仿宋" w:cs="仿宋"/>
          <w:bCs/>
          <w:kern w:val="2"/>
          <w:sz w:val="24"/>
          <w:szCs w:val="24"/>
        </w:rPr>
        <w:t>00秒</w:t>
      </w:r>
      <w:r>
        <w:rPr>
          <w:rStyle w:val="76"/>
          <w:rFonts w:hint="eastAsia" w:ascii="仿宋" w:hAnsi="仿宋" w:eastAsia="仿宋" w:cs="仿宋"/>
          <w:bCs/>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2541690</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浙江省市场监督管理局品牌提升与质量攻坚</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8000000</w:t>
      </w:r>
      <w:r>
        <w:rPr>
          <w:rFonts w:hint="eastAsia" w:ascii="仿宋" w:hAnsi="仿宋" w:cs="仿宋"/>
          <w:b/>
          <w:lang w:eastAsia="zh-CN"/>
        </w:rPr>
        <w:t>.00</w:t>
      </w:r>
    </w:p>
    <w:p>
      <w:pPr>
        <w:pStyle w:val="16"/>
        <w:spacing w:line="312" w:lineRule="auto"/>
        <w:ind w:firstLine="0"/>
        <w:rPr>
          <w:rFonts w:hint="eastAsia" w:ascii="仿宋" w:hAnsi="仿宋" w:cs="仿宋"/>
          <w:b/>
          <w:color w:val="auto"/>
          <w:sz w:val="24"/>
          <w:lang w:val="en-US" w:eastAsia="zh-CN"/>
        </w:rPr>
      </w:pPr>
      <w:r>
        <w:rPr>
          <w:rFonts w:hint="eastAsia" w:ascii="仿宋" w:hAnsi="仿宋" w:cs="仿宋"/>
          <w:b/>
          <w:color w:val="auto"/>
          <w:sz w:val="24"/>
        </w:rPr>
        <w:t>最高限价（元）：</w:t>
      </w:r>
      <w:r>
        <w:rPr>
          <w:rFonts w:hint="eastAsia" w:ascii="仿宋" w:hAnsi="仿宋" w:cs="仿宋"/>
          <w:b/>
          <w:color w:val="auto"/>
          <w:sz w:val="24"/>
          <w:lang w:val="en-US" w:eastAsia="zh-CN"/>
        </w:rPr>
        <w:t>1300000.00/900000.00/1200000.00/800000.00</w:t>
      </w:r>
    </w:p>
    <w:p>
      <w:pPr>
        <w:pStyle w:val="16"/>
        <w:spacing w:line="312" w:lineRule="auto"/>
        <w:ind w:firstLine="0"/>
        <w:rPr>
          <w:rFonts w:hint="default" w:ascii="仿宋" w:hAnsi="仿宋" w:cs="仿宋"/>
          <w:b/>
          <w:color w:val="auto"/>
          <w:sz w:val="24"/>
          <w:lang w:val="en-US"/>
        </w:rPr>
      </w:pPr>
      <w:r>
        <w:rPr>
          <w:rFonts w:hint="eastAsia" w:ascii="仿宋" w:hAnsi="仿宋" w:cs="仿宋"/>
          <w:b/>
          <w:color w:val="auto"/>
          <w:sz w:val="24"/>
          <w:lang w:val="en-US" w:eastAsia="zh-CN"/>
        </w:rPr>
        <w:t>/1200000.00/900000.00/900000.00/800000.00</w:t>
      </w:r>
    </w:p>
    <w:p>
      <w:pPr>
        <w:pStyle w:val="16"/>
        <w:spacing w:line="312" w:lineRule="auto"/>
        <w:ind w:firstLine="0"/>
        <w:rPr>
          <w:rFonts w:hint="eastAsia" w:ascii="仿宋" w:hAnsi="仿宋" w:cs="仿宋"/>
          <w:b/>
          <w:color w:val="auto"/>
          <w:sz w:val="24"/>
        </w:rPr>
      </w:pPr>
    </w:p>
    <w:p>
      <w:pPr>
        <w:pStyle w:val="16"/>
        <w:spacing w:line="312" w:lineRule="auto"/>
        <w:ind w:firstLine="0"/>
        <w:rPr>
          <w:rFonts w:ascii="仿宋" w:hAnsi="仿宋" w:cs="仿宋"/>
          <w:b/>
          <w:color w:val="auto"/>
          <w:sz w:val="24"/>
        </w:rPr>
      </w:pPr>
      <w:r>
        <w:rPr>
          <w:rFonts w:hint="eastAsia" w:ascii="仿宋" w:hAnsi="仿宋" w:cs="仿宋"/>
          <w:b/>
          <w:color w:val="auto"/>
          <w:sz w:val="24"/>
        </w:rPr>
        <w:t>采购需求：</w:t>
      </w:r>
    </w:p>
    <w:p>
      <w:pPr>
        <w:pStyle w:val="88"/>
        <w:spacing w:line="360" w:lineRule="auto"/>
        <w:rPr>
          <w:rFonts w:ascii="仿宋" w:hAnsi="仿宋" w:eastAsia="仿宋" w:cs="仿宋"/>
          <w:color w:val="auto"/>
          <w:kern w:val="2"/>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1：</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低空经济安全发展视域下无人机“标准-检测-应用”协同质量攻坚体系研究</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1300000</w:t>
      </w:r>
      <w:r>
        <w:rPr>
          <w:rFonts w:hint="eastAsia" w:ascii="仿宋" w:hAnsi="仿宋" w:eastAsia="仿宋" w:cs="仿宋"/>
          <w:color w:val="auto"/>
          <w:kern w:val="2"/>
          <w:lang w:eastAsia="zh-CN"/>
        </w:rPr>
        <w:t>.00</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低空经济安全发展视域下无人机“标准-检测-应用”协同质量攻坚体系研究</w:t>
      </w:r>
      <w:r>
        <w:rPr>
          <w:rFonts w:hint="eastAsia" w:ascii="仿宋" w:hAnsi="仿宋" w:eastAsia="仿宋" w:cs="仿宋"/>
          <w:color w:val="auto"/>
          <w:kern w:val="2"/>
          <w:lang w:eastAsia="zh-CN"/>
        </w:rPr>
        <w:t>，</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color w:val="auto"/>
          <w:kern w:val="2"/>
          <w:sz w:val="24"/>
          <w:szCs w:val="18"/>
          <w:lang w:val="en-US" w:eastAsia="zh-CN"/>
        </w:rPr>
      </w:pPr>
      <w:r>
        <w:rPr>
          <w:rFonts w:hint="eastAsia" w:ascii="仿宋" w:hAnsi="仿宋" w:eastAsia="仿宋" w:cs="仿宋"/>
          <w:color w:val="auto"/>
          <w:kern w:val="2"/>
          <w:sz w:val="24"/>
          <w:szCs w:val="18"/>
        </w:rPr>
        <w:t>备注：</w:t>
      </w:r>
      <w:r>
        <w:rPr>
          <w:rFonts w:hint="eastAsia" w:ascii="仿宋" w:hAnsi="仿宋" w:cs="仿宋"/>
          <w:color w:val="auto"/>
          <w:kern w:val="2"/>
          <w:sz w:val="24"/>
          <w:szCs w:val="18"/>
          <w:lang w:val="en-US" w:eastAsia="zh-CN"/>
        </w:rPr>
        <w:t>/</w:t>
      </w:r>
    </w:p>
    <w:p>
      <w:pPr>
        <w:pStyle w:val="16"/>
        <w:spacing w:line="312" w:lineRule="auto"/>
        <w:ind w:firstLine="480"/>
        <w:rPr>
          <w:rFonts w:hint="eastAsia" w:ascii="仿宋" w:hAnsi="仿宋" w:eastAsia="仿宋" w:cs="仿宋"/>
          <w:color w:val="auto"/>
          <w:kern w:val="2"/>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2：</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废旧纺织品循环再利用产品核心技术指标与评价体系建设及其质量提升技术研究</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w:t>
      </w:r>
      <w:r>
        <w:rPr>
          <w:rFonts w:hint="eastAsia" w:ascii="仿宋" w:hAnsi="仿宋" w:eastAsia="仿宋" w:cs="仿宋"/>
          <w:color w:val="auto"/>
          <w:kern w:val="2"/>
          <w:lang w:eastAsia="zh-CN"/>
        </w:rPr>
        <w:t>：</w:t>
      </w:r>
      <w:r>
        <w:rPr>
          <w:rFonts w:hint="eastAsia" w:ascii="仿宋" w:hAnsi="仿宋" w:eastAsia="仿宋" w:cs="仿宋"/>
          <w:color w:val="auto"/>
          <w:kern w:val="2"/>
        </w:rPr>
        <w:t>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900000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废旧纺织品循环再利用产品核心技术指标与评价体系建设及其质量提升技术研究，</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color w:val="auto"/>
          <w:kern w:val="2"/>
          <w:sz w:val="24"/>
          <w:szCs w:val="18"/>
          <w:lang w:val="en-US" w:eastAsia="zh-CN"/>
        </w:rPr>
      </w:pPr>
      <w:r>
        <w:rPr>
          <w:rFonts w:hint="eastAsia" w:ascii="仿宋" w:hAnsi="仿宋" w:eastAsia="仿宋" w:cs="仿宋"/>
          <w:color w:val="auto"/>
          <w:kern w:val="2"/>
          <w:sz w:val="24"/>
          <w:szCs w:val="18"/>
        </w:rPr>
        <w:t>备注：</w:t>
      </w:r>
      <w:r>
        <w:rPr>
          <w:rFonts w:hint="eastAsia" w:ascii="仿宋" w:hAnsi="仿宋" w:cs="仿宋"/>
          <w:color w:val="auto"/>
          <w:kern w:val="2"/>
          <w:sz w:val="24"/>
          <w:szCs w:val="18"/>
          <w:lang w:val="en-US" w:eastAsia="zh-CN"/>
        </w:rPr>
        <w:t>/</w:t>
      </w:r>
    </w:p>
    <w:p>
      <w:pPr>
        <w:pStyle w:val="16"/>
        <w:spacing w:line="312" w:lineRule="auto"/>
        <w:ind w:firstLine="480"/>
        <w:rPr>
          <w:rFonts w:hint="eastAsia" w:ascii="仿宋" w:hAnsi="仿宋" w:eastAsia="仿宋" w:cs="仿宋"/>
          <w:color w:val="auto"/>
          <w:kern w:val="2"/>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3：</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标项名称:具身智能机器人核心部件性能评价体系与质量技术品牌标准化提升研究</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1200000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简要规格描述或项目基本概况介绍、用途：具身智能机器人核心部件性能评价体系与质量技术品牌标准化提升研究</w:t>
      </w:r>
      <w:r>
        <w:rPr>
          <w:rFonts w:hint="eastAsia" w:ascii="仿宋" w:hAnsi="仿宋" w:eastAsia="仿宋" w:cs="仿宋"/>
          <w:color w:val="auto"/>
          <w:kern w:val="2"/>
          <w:lang w:eastAsia="zh-CN"/>
        </w:rPr>
        <w:t>，</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b/>
          <w:color w:val="auto"/>
          <w:sz w:val="24"/>
          <w:szCs w:val="24"/>
          <w:lang w:val="en-US" w:eastAsia="zh-CN"/>
        </w:rPr>
      </w:pPr>
      <w:r>
        <w:rPr>
          <w:rFonts w:hint="eastAsia" w:ascii="仿宋" w:hAnsi="仿宋" w:eastAsia="仿宋" w:cs="仿宋"/>
          <w:color w:val="auto"/>
          <w:kern w:val="2"/>
          <w:sz w:val="24"/>
          <w:szCs w:val="24"/>
        </w:rPr>
        <w:t>备注：</w:t>
      </w:r>
      <w:r>
        <w:rPr>
          <w:rFonts w:hint="eastAsia" w:ascii="仿宋" w:hAnsi="仿宋" w:cs="仿宋"/>
          <w:color w:val="auto"/>
          <w:kern w:val="2"/>
          <w:sz w:val="24"/>
          <w:szCs w:val="24"/>
          <w:lang w:val="en-US" w:eastAsia="zh-CN"/>
        </w:rPr>
        <w:t>/</w:t>
      </w:r>
    </w:p>
    <w:p>
      <w:pPr>
        <w:pStyle w:val="16"/>
        <w:spacing w:line="312" w:lineRule="auto"/>
        <w:ind w:firstLine="480"/>
        <w:rPr>
          <w:rFonts w:hint="eastAsia" w:ascii="仿宋" w:hAnsi="仿宋" w:eastAsia="仿宋" w:cs="仿宋"/>
          <w:color w:val="auto"/>
          <w:kern w:val="2"/>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4：</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大宗商品质量流量计在线计量关键技术研究和产业应用</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800000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大宗商品质量流量计在线计量关键技术研究和产业应用,</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b/>
          <w:color w:val="auto"/>
          <w:sz w:val="24"/>
          <w:szCs w:val="24"/>
          <w:lang w:val="en-US" w:eastAsia="zh-CN"/>
        </w:rPr>
      </w:pPr>
      <w:r>
        <w:rPr>
          <w:rFonts w:hint="eastAsia" w:ascii="仿宋" w:hAnsi="仿宋" w:eastAsia="仿宋" w:cs="仿宋"/>
          <w:color w:val="auto"/>
          <w:kern w:val="2"/>
          <w:sz w:val="24"/>
          <w:szCs w:val="24"/>
        </w:rPr>
        <w:t>备注：</w:t>
      </w:r>
      <w:r>
        <w:rPr>
          <w:rFonts w:hint="eastAsia" w:ascii="仿宋" w:hAnsi="仿宋" w:cs="仿宋"/>
          <w:color w:val="auto"/>
          <w:kern w:val="2"/>
          <w:sz w:val="24"/>
          <w:szCs w:val="24"/>
          <w:lang w:val="en-US" w:eastAsia="zh-CN"/>
        </w:rPr>
        <w:t>/</w:t>
      </w:r>
    </w:p>
    <w:p>
      <w:pPr>
        <w:pStyle w:val="16"/>
        <w:spacing w:line="312" w:lineRule="auto"/>
        <w:ind w:firstLine="480"/>
        <w:rPr>
          <w:rFonts w:hint="eastAsia" w:ascii="仿宋" w:hAnsi="仿宋" w:eastAsia="仿宋" w:cs="仿宋"/>
          <w:color w:val="auto"/>
          <w:kern w:val="2"/>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5：</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电动汽车充电桩计量智慧监管关键技术研究和应用</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1200000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电动汽车充电桩计量智慧监管关键技术研究和应用,</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cs="仿宋"/>
          <w:color w:val="auto"/>
          <w:kern w:val="2"/>
          <w:sz w:val="24"/>
          <w:szCs w:val="24"/>
          <w:lang w:val="en-US" w:eastAsia="zh-CN"/>
        </w:rPr>
      </w:pPr>
      <w:r>
        <w:rPr>
          <w:rFonts w:hint="eastAsia" w:ascii="仿宋" w:hAnsi="仿宋" w:eastAsia="仿宋" w:cs="仿宋"/>
          <w:color w:val="auto"/>
          <w:kern w:val="2"/>
          <w:sz w:val="24"/>
          <w:szCs w:val="24"/>
        </w:rPr>
        <w:t>备注：</w:t>
      </w:r>
      <w:r>
        <w:rPr>
          <w:rFonts w:hint="eastAsia" w:ascii="仿宋" w:hAnsi="仿宋" w:cs="仿宋"/>
          <w:color w:val="auto"/>
          <w:kern w:val="2"/>
          <w:sz w:val="24"/>
          <w:szCs w:val="24"/>
          <w:lang w:val="en-US" w:eastAsia="zh-CN"/>
        </w:rPr>
        <w:t>/</w:t>
      </w:r>
    </w:p>
    <w:p>
      <w:pPr>
        <w:pStyle w:val="16"/>
        <w:spacing w:line="312" w:lineRule="auto"/>
        <w:ind w:firstLine="480"/>
        <w:rPr>
          <w:rFonts w:hint="eastAsia" w:ascii="仿宋" w:hAnsi="仿宋" w:cs="仿宋"/>
          <w:color w:val="auto"/>
          <w:kern w:val="2"/>
          <w:sz w:val="24"/>
          <w:szCs w:val="24"/>
          <w:lang w:val="en-US" w:eastAsia="zh-CN"/>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6：</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重点领域碳达峰碳中和认证技术研究及应用示范</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900000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重点领域碳达峰碳中和认证技术研究及应用示范,</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cs="仿宋"/>
          <w:color w:val="auto"/>
          <w:kern w:val="2"/>
          <w:sz w:val="24"/>
          <w:szCs w:val="24"/>
          <w:lang w:val="en-US" w:eastAsia="zh-CN"/>
        </w:rPr>
      </w:pPr>
      <w:r>
        <w:rPr>
          <w:rFonts w:hint="eastAsia" w:ascii="仿宋" w:hAnsi="仿宋" w:eastAsia="仿宋" w:cs="仿宋"/>
          <w:color w:val="auto"/>
          <w:kern w:val="2"/>
          <w:sz w:val="24"/>
          <w:szCs w:val="24"/>
        </w:rPr>
        <w:t>备注：</w:t>
      </w:r>
      <w:r>
        <w:rPr>
          <w:rFonts w:hint="eastAsia" w:ascii="仿宋" w:hAnsi="仿宋" w:cs="仿宋"/>
          <w:color w:val="auto"/>
          <w:kern w:val="2"/>
          <w:sz w:val="24"/>
          <w:szCs w:val="24"/>
          <w:lang w:val="en-US" w:eastAsia="zh-CN"/>
        </w:rPr>
        <w:t>/</w:t>
      </w:r>
    </w:p>
    <w:p>
      <w:pPr>
        <w:pStyle w:val="16"/>
        <w:spacing w:line="312" w:lineRule="auto"/>
        <w:ind w:firstLine="480"/>
        <w:rPr>
          <w:rFonts w:hint="eastAsia" w:ascii="仿宋" w:hAnsi="仿宋" w:cs="仿宋"/>
          <w:color w:val="auto"/>
          <w:kern w:val="2"/>
          <w:sz w:val="24"/>
          <w:szCs w:val="24"/>
          <w:lang w:val="en-US" w:eastAsia="zh-CN"/>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7：</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标项名称:绿色修船国际认证技术研究及应用</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900000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绿色修船国际认证技术研究及应用，</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6"/>
        <w:spacing w:line="312" w:lineRule="auto"/>
        <w:ind w:firstLine="480"/>
        <w:rPr>
          <w:rFonts w:hint="eastAsia" w:ascii="仿宋" w:hAnsi="仿宋" w:eastAsia="仿宋" w:cs="仿宋"/>
          <w:b/>
          <w:color w:val="auto"/>
          <w:sz w:val="24"/>
          <w:szCs w:val="24"/>
          <w:lang w:val="en-US" w:eastAsia="zh-CN"/>
        </w:rPr>
      </w:pPr>
      <w:r>
        <w:rPr>
          <w:rFonts w:hint="eastAsia" w:ascii="仿宋" w:hAnsi="仿宋" w:eastAsia="仿宋" w:cs="仿宋"/>
          <w:color w:val="auto"/>
          <w:kern w:val="2"/>
          <w:sz w:val="24"/>
          <w:szCs w:val="24"/>
        </w:rPr>
        <w:t>备注：</w:t>
      </w:r>
      <w:r>
        <w:rPr>
          <w:rFonts w:hint="eastAsia" w:ascii="仿宋" w:hAnsi="仿宋" w:cs="仿宋"/>
          <w:color w:val="auto"/>
          <w:kern w:val="2"/>
          <w:sz w:val="24"/>
          <w:szCs w:val="24"/>
          <w:lang w:val="en-US" w:eastAsia="zh-CN"/>
        </w:rPr>
        <w:t>/</w:t>
      </w:r>
    </w:p>
    <w:p>
      <w:pPr>
        <w:pStyle w:val="16"/>
        <w:spacing w:line="312" w:lineRule="auto"/>
        <w:ind w:firstLine="480"/>
        <w:rPr>
          <w:rFonts w:hint="eastAsia" w:ascii="仿宋" w:hAnsi="仿宋" w:eastAsia="仿宋" w:cs="仿宋"/>
          <w:color w:val="auto"/>
          <w:kern w:val="2"/>
        </w:rPr>
      </w:pP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仿宋" w:hAnsi="仿宋" w:eastAsia="仿宋" w:cs="仿宋"/>
          <w:color w:val="auto"/>
          <w:kern w:val="2"/>
          <w:lang w:val="en-US" w:eastAsia="zh-CN"/>
        </w:rPr>
      </w:pPr>
      <w:r>
        <w:rPr>
          <w:rFonts w:hint="eastAsia" w:ascii="仿宋" w:hAnsi="仿宋" w:eastAsia="仿宋" w:cs="仿宋"/>
          <w:color w:val="auto"/>
          <w:kern w:val="2"/>
          <w:lang w:eastAsia="zh-CN"/>
        </w:rPr>
        <w:t>标项</w:t>
      </w:r>
      <w:r>
        <w:rPr>
          <w:rFonts w:hint="eastAsia" w:ascii="仿宋" w:hAnsi="仿宋" w:eastAsia="仿宋" w:cs="仿宋"/>
          <w:color w:val="auto"/>
          <w:kern w:val="2"/>
          <w:lang w:val="en-US" w:eastAsia="zh-CN"/>
        </w:rPr>
        <w:t>8：</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标项名称:检测认证促进义乌深化国贸改革提升贸易便利化研究</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800000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eastAsia="仿宋" w:cs="仿宋"/>
          <w:color w:val="auto"/>
          <w:kern w:val="2"/>
          <w:lang w:val="en-US" w:eastAsia="zh-CN"/>
        </w:rPr>
        <w:t>检测认证促进义乌深化国贸改革提升贸易便利化研究</w:t>
      </w:r>
      <w:r>
        <w:rPr>
          <w:rFonts w:hint="eastAsia" w:ascii="仿宋" w:hAnsi="仿宋" w:eastAsia="仿宋" w:cs="仿宋"/>
          <w:color w:val="auto"/>
          <w:kern w:val="2"/>
          <w:lang w:eastAsia="zh-CN"/>
        </w:rPr>
        <w:t>，</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备注：</w:t>
      </w:r>
      <w:r>
        <w:rPr>
          <w:rFonts w:hint="eastAsia" w:ascii="仿宋" w:hAnsi="仿宋" w:eastAsia="仿宋" w:cs="仿宋"/>
          <w:color w:val="auto"/>
          <w:kern w:val="2"/>
          <w:lang w:val="en-US" w:eastAsia="zh-CN"/>
        </w:rPr>
        <w:t>/</w:t>
      </w:r>
    </w:p>
    <w:p>
      <w:pPr>
        <w:pStyle w:val="16"/>
        <w:spacing w:line="312" w:lineRule="auto"/>
        <w:ind w:left="0" w:leftChars="0" w:firstLine="0" w:firstLineChars="0"/>
        <w:rPr>
          <w:rFonts w:ascii="仿宋" w:hAnsi="仿宋" w:cs="仿宋"/>
          <w:b/>
          <w:color w:val="auto"/>
          <w:sz w:val="24"/>
        </w:rPr>
      </w:pPr>
    </w:p>
    <w:p>
      <w:pPr>
        <w:pStyle w:val="16"/>
        <w:spacing w:line="312" w:lineRule="auto"/>
        <w:ind w:firstLine="480"/>
        <w:rPr>
          <w:rFonts w:ascii="仿宋" w:hAnsi="仿宋" w:cs="仿宋"/>
          <w:b/>
          <w:color w:val="auto"/>
          <w:sz w:val="24"/>
        </w:rPr>
      </w:pPr>
      <w:r>
        <w:rPr>
          <w:rFonts w:hint="eastAsia" w:ascii="仿宋" w:hAnsi="仿宋" w:cs="仿宋"/>
          <w:b/>
          <w:color w:val="auto"/>
          <w:sz w:val="24"/>
        </w:rPr>
        <w:t>合同履约期限：自合同签订生效后12个月内完成。</w:t>
      </w:r>
    </w:p>
    <w:p>
      <w:pPr>
        <w:pStyle w:val="1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00</w:t>
      </w:r>
      <w:r>
        <w:rPr>
          <w:rFonts w:hint="eastAsia" w:ascii="仿宋" w:hAnsi="仿宋" w:cs="仿宋"/>
        </w:rPr>
        <w:t>（</w:t>
      </w:r>
      <w:bookmarkStart w:id="414" w:name="_GoBack"/>
      <w:bookmarkEnd w:id="414"/>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00</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传    真：/</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项目联系人（询问）：</w:t>
      </w:r>
      <w:r>
        <w:rPr>
          <w:rFonts w:hint="eastAsia" w:ascii="仿宋" w:hAnsi="仿宋" w:cs="仿宋"/>
          <w:highlight w:val="none"/>
          <w:lang w:val="en-US" w:eastAsia="zh-CN"/>
        </w:rPr>
        <w:t>郑晨</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项目联系方式（询问）：0571-89761415</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质疑联系人：</w:t>
      </w:r>
      <w:r>
        <w:rPr>
          <w:rFonts w:hint="eastAsia" w:ascii="仿宋" w:hAnsi="仿宋" w:cs="仿宋"/>
          <w:highlight w:val="none"/>
          <w:lang w:val="en-US" w:eastAsia="zh-CN"/>
        </w:rPr>
        <w:t>凌张伟</w:t>
      </w:r>
    </w:p>
    <w:p>
      <w:pPr>
        <w:spacing w:line="360" w:lineRule="auto"/>
        <w:ind w:firstLine="480" w:firstLineChars="200"/>
        <w:rPr>
          <w:rFonts w:hint="eastAsia" w:ascii="仿宋" w:hAnsi="仿宋" w:cs="仿宋"/>
          <w:highlight w:val="none"/>
          <w:lang w:eastAsia="zh-CN"/>
        </w:rPr>
      </w:pPr>
      <w:r>
        <w:rPr>
          <w:rFonts w:hint="eastAsia" w:ascii="仿宋" w:hAnsi="仿宋" w:cs="仿宋"/>
          <w:highlight w:val="none"/>
          <w:lang w:eastAsia="zh-CN"/>
        </w:rPr>
        <w:t>质疑联系方式：0571-897614</w:t>
      </w:r>
      <w:r>
        <w:rPr>
          <w:rFonts w:hint="eastAsia" w:ascii="仿宋" w:hAnsi="仿宋" w:cs="仿宋"/>
          <w:highlight w:val="none"/>
          <w:lang w:val="en-US" w:eastAsia="zh-CN"/>
        </w:rPr>
        <w:t>30</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3.同级政府采购监督管理部门</w:t>
      </w:r>
    </w:p>
    <w:p>
      <w:pPr>
        <w:spacing w:line="360" w:lineRule="auto"/>
        <w:ind w:firstLine="480" w:firstLineChars="200"/>
        <w:rPr>
          <w:rFonts w:hint="eastAsia" w:ascii="仿宋" w:hAnsi="仿宋" w:cs="仿宋"/>
        </w:rPr>
      </w:pPr>
      <w:r>
        <w:rPr>
          <w:rFonts w:hint="eastAsia" w:ascii="仿宋" w:hAnsi="仿宋" w:cs="仿宋"/>
        </w:rPr>
        <w:t>名称：浙江省政府采购行政裁决服务中心（杭州市上城区清泰街549号城建综合大楼11楼）</w:t>
      </w:r>
    </w:p>
    <w:p>
      <w:pPr>
        <w:spacing w:line="360" w:lineRule="auto"/>
        <w:ind w:firstLine="480" w:firstLineChars="200"/>
        <w:rPr>
          <w:rFonts w:hint="eastAsia" w:ascii="仿宋" w:hAnsi="仿宋" w:cs="仿宋"/>
        </w:rPr>
      </w:pPr>
      <w:r>
        <w:rPr>
          <w:rFonts w:hint="eastAsia" w:ascii="仿宋" w:hAnsi="仿宋" w:cs="仿宋"/>
        </w:rPr>
        <w:t>地址：杭州市上城区清泰街549号城建综合大楼11楼</w:t>
      </w:r>
    </w:p>
    <w:p>
      <w:pPr>
        <w:spacing w:line="360" w:lineRule="auto"/>
        <w:ind w:firstLine="480" w:firstLineChars="200"/>
        <w:rPr>
          <w:rFonts w:hint="eastAsia" w:ascii="仿宋" w:hAnsi="仿宋" w:cs="仿宋"/>
        </w:rPr>
      </w:pPr>
      <w:r>
        <w:rPr>
          <w:rFonts w:hint="eastAsia" w:ascii="仿宋" w:hAnsi="仿宋" w:cs="仿宋"/>
        </w:rPr>
        <w:t>传真：/</w:t>
      </w:r>
    </w:p>
    <w:p>
      <w:pPr>
        <w:spacing w:line="360" w:lineRule="auto"/>
        <w:ind w:firstLine="480" w:firstLineChars="200"/>
        <w:rPr>
          <w:rFonts w:hint="eastAsia" w:ascii="仿宋" w:hAnsi="仿宋" w:cs="仿宋"/>
        </w:rPr>
      </w:pPr>
      <w:r>
        <w:rPr>
          <w:rFonts w:hint="eastAsia" w:ascii="仿宋" w:hAnsi="仿宋" w:cs="仿宋"/>
        </w:rPr>
        <w:t>联系人：朱女士、王女士</w:t>
      </w:r>
    </w:p>
    <w:p>
      <w:pPr>
        <w:spacing w:line="360" w:lineRule="auto"/>
        <w:ind w:firstLine="480" w:firstLineChars="200"/>
        <w:rPr>
          <w:rFonts w:hint="eastAsia" w:ascii="仿宋" w:hAnsi="仿宋" w:cs="仿宋"/>
        </w:rPr>
      </w:pPr>
      <w:r>
        <w:rPr>
          <w:rFonts w:hint="eastAsia" w:ascii="仿宋" w:hAnsi="仿宋" w:cs="仿宋"/>
        </w:rPr>
        <w:t>监督投诉电话：0571-87227671,0571-87800218</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75"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
              <w:rPr>
                <w:rFonts w:hint="default" w:ascii="仿宋" w:hAnsi="仿宋" w:eastAsia="仿宋" w:cs="仿宋"/>
                <w:lang w:val="en-US" w:eastAsia="zh-CN"/>
              </w:rPr>
            </w:pPr>
            <w:r>
              <w:rPr>
                <w:rFonts w:hint="eastAsia" w:ascii="仿宋" w:hAnsi="仿宋" w:cs="仿宋"/>
                <w:lang w:val="en-US" w:eastAsia="zh-CN"/>
              </w:rPr>
              <w:t>标项1</w:t>
            </w:r>
          </w:p>
          <w:p>
            <w:pPr>
              <w:pStyle w:val="2"/>
              <w:rPr>
                <w:rFonts w:hint="eastAsia" w:ascii="仿宋" w:hAnsi="仿宋" w:cs="仿宋"/>
                <w:color w:val="auto"/>
                <w:highlight w:val="none"/>
                <w:u w:val="none"/>
                <w:lang w:eastAsia="zh-CN"/>
              </w:rPr>
            </w:pPr>
            <w:r>
              <w:rPr>
                <w:rFonts w:hint="eastAsia" w:ascii="仿宋" w:hAnsi="仿宋" w:cs="仿宋"/>
              </w:rPr>
              <w:t>标的：</w:t>
            </w:r>
            <w:r>
              <w:rPr>
                <w:rFonts w:hint="eastAsia" w:ascii="仿宋" w:hAnsi="仿宋" w:cs="仿宋"/>
                <w:u w:val="single"/>
              </w:rPr>
              <w:t>低空经济安全发展视域下无人机“标准-检测-应用”协同质量攻坚体系研究</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default" w:ascii="仿宋" w:hAnsi="仿宋" w:eastAsia="仿宋" w:cs="仿宋"/>
                <w:lang w:val="en-US" w:eastAsia="zh-CN"/>
              </w:rPr>
            </w:pPr>
            <w:r>
              <w:rPr>
                <w:rFonts w:hint="eastAsia" w:ascii="仿宋" w:hAnsi="仿宋" w:cs="仿宋"/>
                <w:lang w:val="en-US" w:eastAsia="zh-CN"/>
              </w:rPr>
              <w:t>标项2</w:t>
            </w:r>
          </w:p>
          <w:p>
            <w:pPr>
              <w:pStyle w:val="2"/>
              <w:rPr>
                <w:rFonts w:hint="eastAsia" w:ascii="仿宋" w:hAnsi="仿宋" w:cs="仿宋"/>
                <w:color w:val="auto"/>
                <w:highlight w:val="none"/>
                <w:u w:val="none"/>
                <w:lang w:eastAsia="zh-CN"/>
              </w:rPr>
            </w:pPr>
            <w:r>
              <w:rPr>
                <w:rFonts w:hint="eastAsia" w:ascii="仿宋" w:hAnsi="仿宋" w:cs="仿宋"/>
              </w:rPr>
              <w:t>标的：</w:t>
            </w:r>
            <w:r>
              <w:rPr>
                <w:rFonts w:hint="eastAsia" w:ascii="仿宋" w:hAnsi="仿宋" w:cs="仿宋"/>
                <w:u w:val="single"/>
                <w:lang w:val="en-US" w:eastAsia="zh-CN"/>
              </w:rPr>
              <w:t>废旧纺织品循环再利用产品核心技术指标与评价体系建设及其质量提升技术研究</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default" w:ascii="仿宋" w:hAnsi="仿宋" w:eastAsia="仿宋" w:cs="仿宋"/>
                <w:lang w:val="en-US" w:eastAsia="zh-CN"/>
              </w:rPr>
            </w:pPr>
            <w:r>
              <w:rPr>
                <w:rFonts w:hint="eastAsia" w:ascii="仿宋" w:hAnsi="仿宋" w:cs="仿宋"/>
                <w:lang w:val="en-US" w:eastAsia="zh-CN"/>
              </w:rPr>
              <w:t>标项3</w:t>
            </w:r>
          </w:p>
          <w:p>
            <w:pPr>
              <w:pStyle w:val="2"/>
              <w:rPr>
                <w:rFonts w:hint="eastAsia" w:ascii="仿宋" w:hAnsi="仿宋" w:cs="仿宋"/>
                <w:color w:val="auto"/>
                <w:highlight w:val="none"/>
                <w:u w:val="none"/>
                <w:lang w:eastAsia="zh-CN"/>
              </w:rPr>
            </w:pPr>
            <w:r>
              <w:rPr>
                <w:rFonts w:hint="eastAsia" w:ascii="仿宋" w:hAnsi="仿宋" w:cs="仿宋"/>
              </w:rPr>
              <w:t>标的：</w:t>
            </w:r>
            <w:r>
              <w:rPr>
                <w:rFonts w:hint="eastAsia" w:ascii="仿宋" w:hAnsi="仿宋" w:cs="仿宋"/>
                <w:u w:val="single"/>
                <w:lang w:val="en-US" w:eastAsia="zh-CN"/>
              </w:rPr>
              <w:t>具身智能机器人核心部件性能评价体系与质量技术品牌标准化提升研究</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default" w:ascii="仿宋" w:hAnsi="仿宋" w:eastAsia="仿宋" w:cs="仿宋"/>
                <w:lang w:val="en-US" w:eastAsia="zh-CN"/>
              </w:rPr>
            </w:pPr>
            <w:r>
              <w:rPr>
                <w:rFonts w:hint="eastAsia" w:ascii="仿宋" w:hAnsi="仿宋" w:cs="仿宋"/>
                <w:lang w:val="en-US" w:eastAsia="zh-CN"/>
              </w:rPr>
              <w:t>标项4</w:t>
            </w:r>
          </w:p>
          <w:p>
            <w:pPr>
              <w:pStyle w:val="2"/>
              <w:rPr>
                <w:rFonts w:hint="eastAsia" w:ascii="仿宋" w:hAnsi="仿宋" w:cs="仿宋"/>
                <w:color w:val="auto"/>
                <w:highlight w:val="none"/>
                <w:u w:val="none"/>
                <w:lang w:eastAsia="zh-CN"/>
              </w:rPr>
            </w:pPr>
            <w:r>
              <w:rPr>
                <w:rFonts w:hint="eastAsia" w:ascii="仿宋" w:hAnsi="仿宋" w:cs="仿宋"/>
              </w:rPr>
              <w:t>标的：</w:t>
            </w:r>
            <w:r>
              <w:rPr>
                <w:rFonts w:hint="eastAsia" w:ascii="仿宋" w:hAnsi="仿宋" w:cs="仿宋"/>
                <w:u w:val="single"/>
                <w:lang w:val="en-US" w:eastAsia="zh-CN"/>
              </w:rPr>
              <w:t>大宗商品质量流量计在线计量关键技术研究和产业应用</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default" w:ascii="仿宋" w:hAnsi="仿宋" w:eastAsia="仿宋" w:cs="仿宋"/>
                <w:lang w:val="en-US" w:eastAsia="zh-CN"/>
              </w:rPr>
            </w:pPr>
            <w:r>
              <w:rPr>
                <w:rFonts w:hint="eastAsia" w:ascii="仿宋" w:hAnsi="仿宋" w:cs="仿宋"/>
                <w:lang w:val="en-US" w:eastAsia="zh-CN"/>
              </w:rPr>
              <w:t>标项5</w:t>
            </w:r>
          </w:p>
          <w:p>
            <w:pPr>
              <w:pStyle w:val="2"/>
              <w:rPr>
                <w:rFonts w:hint="eastAsia" w:ascii="仿宋" w:hAnsi="仿宋" w:cs="仿宋"/>
                <w:color w:val="auto"/>
                <w:highlight w:val="none"/>
                <w:u w:val="none"/>
                <w:lang w:eastAsia="zh-CN"/>
              </w:rPr>
            </w:pPr>
            <w:r>
              <w:rPr>
                <w:rFonts w:hint="eastAsia" w:ascii="仿宋" w:hAnsi="仿宋" w:cs="仿宋"/>
              </w:rPr>
              <w:t>标的：</w:t>
            </w:r>
            <w:r>
              <w:rPr>
                <w:rFonts w:hint="eastAsia" w:ascii="仿宋" w:hAnsi="仿宋" w:cs="仿宋"/>
                <w:u w:val="single"/>
                <w:lang w:val="en-US" w:eastAsia="zh-CN"/>
              </w:rPr>
              <w:t>电动汽车充电桩计量智慧监管关键技术研究和应用</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default" w:ascii="仿宋" w:hAnsi="仿宋" w:eastAsia="仿宋" w:cs="仿宋"/>
                <w:lang w:val="en-US" w:eastAsia="zh-CN"/>
              </w:rPr>
            </w:pPr>
            <w:r>
              <w:rPr>
                <w:rFonts w:hint="eastAsia" w:ascii="仿宋" w:hAnsi="仿宋" w:cs="仿宋"/>
                <w:lang w:val="en-US" w:eastAsia="zh-CN"/>
              </w:rPr>
              <w:t>标项6</w:t>
            </w:r>
          </w:p>
          <w:p>
            <w:pPr>
              <w:pStyle w:val="2"/>
              <w:rPr>
                <w:rFonts w:hint="eastAsia" w:ascii="仿宋" w:hAnsi="仿宋" w:cs="仿宋"/>
                <w:color w:val="auto"/>
                <w:highlight w:val="none"/>
                <w:u w:val="none"/>
                <w:lang w:eastAsia="zh-CN"/>
              </w:rPr>
            </w:pPr>
            <w:r>
              <w:rPr>
                <w:rFonts w:hint="eastAsia" w:ascii="仿宋" w:hAnsi="仿宋" w:cs="仿宋"/>
              </w:rPr>
              <w:t>标的：</w:t>
            </w:r>
            <w:r>
              <w:rPr>
                <w:rFonts w:hint="eastAsia" w:ascii="仿宋" w:hAnsi="仿宋" w:cs="仿宋"/>
                <w:u w:val="single"/>
                <w:lang w:val="en-US" w:eastAsia="zh-CN"/>
              </w:rPr>
              <w:t>重点领域碳达峰碳中和认证技术研究及应用示范</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default" w:ascii="仿宋" w:hAnsi="仿宋" w:eastAsia="仿宋" w:cs="仿宋"/>
                <w:lang w:val="en-US" w:eastAsia="zh-CN"/>
              </w:rPr>
            </w:pPr>
            <w:r>
              <w:rPr>
                <w:rFonts w:hint="eastAsia" w:ascii="仿宋" w:hAnsi="仿宋" w:cs="仿宋"/>
                <w:lang w:val="en-US" w:eastAsia="zh-CN"/>
              </w:rPr>
              <w:t>标项7</w:t>
            </w:r>
          </w:p>
          <w:p>
            <w:pPr>
              <w:pStyle w:val="2"/>
              <w:rPr>
                <w:rFonts w:hint="eastAsia" w:ascii="仿宋" w:hAnsi="仿宋" w:cs="仿宋"/>
                <w:color w:val="auto"/>
                <w:highlight w:val="none"/>
                <w:u w:val="none"/>
                <w:lang w:eastAsia="zh-CN"/>
              </w:rPr>
            </w:pPr>
            <w:r>
              <w:rPr>
                <w:rFonts w:hint="eastAsia" w:ascii="仿宋" w:hAnsi="仿宋" w:cs="仿宋"/>
              </w:rPr>
              <w:t>标的：</w:t>
            </w:r>
            <w:r>
              <w:rPr>
                <w:rFonts w:hint="eastAsia" w:ascii="仿宋" w:hAnsi="仿宋" w:cs="仿宋"/>
                <w:u w:val="single"/>
                <w:lang w:val="en-US" w:eastAsia="zh-CN"/>
              </w:rPr>
              <w:t>绿色修船国际认证技术研究及应用</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default" w:ascii="仿宋" w:hAnsi="仿宋" w:eastAsia="仿宋" w:cs="仿宋"/>
                <w:lang w:val="en-US" w:eastAsia="zh-CN"/>
              </w:rPr>
            </w:pPr>
            <w:r>
              <w:rPr>
                <w:rFonts w:hint="eastAsia" w:ascii="仿宋" w:hAnsi="仿宋" w:cs="仿宋"/>
                <w:lang w:val="en-US" w:eastAsia="zh-CN"/>
              </w:rPr>
              <w:t>标项8</w:t>
            </w:r>
          </w:p>
          <w:p>
            <w:pPr>
              <w:pStyle w:val="2"/>
              <w:rPr>
                <w:rFonts w:hint="eastAsia"/>
                <w:lang w:eastAsia="zh-CN"/>
              </w:rPr>
            </w:pPr>
            <w:r>
              <w:rPr>
                <w:rFonts w:hint="eastAsia" w:ascii="仿宋" w:hAnsi="仿宋" w:cs="仿宋"/>
              </w:rPr>
              <w:t>标的：</w:t>
            </w:r>
            <w:r>
              <w:rPr>
                <w:rFonts w:hint="eastAsia" w:ascii="仿宋" w:hAnsi="仿宋" w:cs="仿宋"/>
                <w:u w:val="single"/>
                <w:lang w:val="en-US" w:eastAsia="zh-CN"/>
              </w:rPr>
              <w:t>检测认证促进义乌深化国贸改革提升贸易便利化研究</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
              <w:rPr>
                <w:rFonts w:hint="eastAsia"/>
              </w:rPr>
            </w:pPr>
            <w:r>
              <w:rPr>
                <w:rFonts w:hint="eastAsia"/>
              </w:rPr>
              <w:t>根据《关于印发中小企业划型标准规定的通知》（工信部联企业〔2011〕300）第四条第（二）项规定：</w:t>
            </w:r>
          </w:p>
          <w:p>
            <w:pPr>
              <w:pStyle w:val="2"/>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hint="default" w:ascii="仿宋" w:hAnsi="仿宋" w:eastAsia="仿宋" w:cs="仿宋"/>
                <w:b/>
                <w:lang w:val="en-US" w:eastAsia="zh-CN"/>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本项目不允许采购进口产品。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hint="eastAsia" w:ascii="仿宋" w:hAnsi="仿宋" w:eastAsia="仿宋" w:cs="仿宋"/>
                <w:szCs w:val="20"/>
                <w:highlight w:val="none"/>
                <w:lang w:eastAsia="zh-CN"/>
              </w:rPr>
            </w:pPr>
            <w:r>
              <w:rPr>
                <w:rFonts w:hint="eastAsia" w:ascii="仿宋" w:hAnsi="仿宋" w:cs="仿宋"/>
                <w:highlight w:val="none"/>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numPr>
                <w:ilvl w:val="0"/>
                <w:numId w:val="0"/>
              </w:numPr>
              <w:spacing w:line="288" w:lineRule="auto"/>
              <w:ind w:leftChars="0"/>
              <w:rPr>
                <w:rFonts w:ascii="仿宋" w:hAnsi="仿宋" w:cs="仿宋"/>
                <w:b/>
              </w:rPr>
            </w:pPr>
            <w:r>
              <w:rPr>
                <w:rFonts w:hint="eastAsia" w:ascii="仿宋" w:hAnsi="仿宋" w:cs="仿宋"/>
              </w:rPr>
              <w:t>不要求提供。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numPr>
                <w:ilvl w:val="0"/>
                <w:numId w:val="0"/>
              </w:numPr>
              <w:spacing w:line="288" w:lineRule="auto"/>
              <w:ind w:leftChars="0"/>
              <w:rPr>
                <w:lang w:val="zh-CN"/>
              </w:rPr>
            </w:pPr>
            <w:sdt>
              <w:sdtPr>
                <w:rPr>
                  <w:rFonts w:hint="eastAsia"/>
                </w:rPr>
                <w:id w:val="-1859348549"/>
              </w:sdtPr>
              <w:sdtEndPr>
                <w:rPr>
                  <w:rFonts w:hint="eastAsia"/>
                </w:rPr>
              </w:sdtEndPr>
              <w:sdtContent/>
            </w:sdt>
            <w:r>
              <w:rPr>
                <w:rFonts w:hint="eastAsia"/>
              </w:rPr>
              <w:t>不组织。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6"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1"/>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1"/>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1"/>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1"/>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3"/>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3"/>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各标项中标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业绩证明材料</w:t>
            </w:r>
          </w:p>
          <w:p>
            <w:pPr>
              <w:pStyle w:val="33"/>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3"/>
              <w:spacing w:line="288" w:lineRule="auto"/>
              <w:rPr>
                <w:rFonts w:ascii="仿宋" w:hAnsi="仿宋" w:cs="仿宋"/>
                <w:kern w:val="28"/>
                <w:szCs w:val="24"/>
              </w:rPr>
            </w:pPr>
            <w:r>
              <w:rPr>
                <w:rFonts w:hint="eastAsia" w:ascii="仿宋" w:hAnsi="仿宋" w:cs="仿宋"/>
                <w:kern w:val="28"/>
                <w:szCs w:val="24"/>
              </w:rPr>
              <w:t>其他资信证明材料</w:t>
            </w:r>
          </w:p>
          <w:p>
            <w:pPr>
              <w:pStyle w:val="33"/>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3"/>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3"/>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第三部分"/>
      <w:bookmarkStart w:id="16"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2"/>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2"/>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2"/>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2"/>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2"/>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2"/>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2"/>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2"/>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2"/>
        </w:numPr>
        <w:ind w:left="0" w:firstLine="480" w:firstLineChars="200"/>
        <w:rPr>
          <w:rFonts w:ascii="仿宋" w:hAnsi="仿宋" w:cs="仿宋"/>
        </w:rPr>
      </w:pPr>
      <w:r>
        <w:rPr>
          <w:rFonts w:hint="eastAsia" w:ascii="仿宋" w:hAnsi="仿宋" w:cs="仿宋"/>
        </w:rPr>
        <w:t>支持绿色发展</w:t>
      </w:r>
    </w:p>
    <w:p>
      <w:pPr>
        <w:numPr>
          <w:ilvl w:val="2"/>
          <w:numId w:val="2"/>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2"/>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2"/>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2"/>
        </w:numPr>
        <w:ind w:left="0" w:firstLine="480" w:firstLineChars="200"/>
        <w:rPr>
          <w:rFonts w:ascii="仿宋" w:hAnsi="仿宋" w:cs="仿宋"/>
        </w:rPr>
      </w:pPr>
      <w:r>
        <w:rPr>
          <w:rFonts w:hint="eastAsia" w:ascii="仿宋" w:hAnsi="仿宋" w:cs="仿宋"/>
        </w:rPr>
        <w:t>支持中小企业发展</w:t>
      </w:r>
    </w:p>
    <w:p>
      <w:pPr>
        <w:numPr>
          <w:ilvl w:val="2"/>
          <w:numId w:val="2"/>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2"/>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2"/>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2"/>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2"/>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2"/>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2"/>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2"/>
        </w:numPr>
        <w:ind w:left="0" w:firstLine="480" w:firstLineChars="200"/>
        <w:rPr>
          <w:rFonts w:ascii="仿宋" w:hAnsi="仿宋" w:cs="仿宋"/>
        </w:rPr>
      </w:pPr>
      <w:r>
        <w:rPr>
          <w:rFonts w:hint="eastAsia" w:ascii="仿宋" w:hAnsi="仿宋" w:cs="仿宋"/>
        </w:rPr>
        <w:t>支持创新发展</w:t>
      </w:r>
    </w:p>
    <w:p>
      <w:pPr>
        <w:numPr>
          <w:ilvl w:val="2"/>
          <w:numId w:val="2"/>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2"/>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2"/>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2"/>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2"/>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2"/>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2"/>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3"/>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3"/>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3"/>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3"/>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2"/>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2"/>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2"/>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2"/>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2"/>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2"/>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2"/>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2"/>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2"/>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2"/>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2"/>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2"/>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2"/>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2"/>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2"/>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2"/>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2"/>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68072998"/>
      <w:bookmarkEnd w:id="19"/>
      <w:bookmarkStart w:id="20" w:name="_Hlt75236290"/>
      <w:bookmarkEnd w:id="20"/>
      <w:bookmarkStart w:id="21" w:name="_Hlt68073093"/>
      <w:bookmarkEnd w:id="21"/>
      <w:bookmarkStart w:id="22" w:name="_Hlt75236101"/>
      <w:bookmarkEnd w:id="22"/>
      <w:bookmarkStart w:id="23" w:name="_Hlt68403820"/>
      <w:bookmarkEnd w:id="23"/>
      <w:bookmarkStart w:id="24" w:name="_Hlt74707468"/>
      <w:bookmarkEnd w:id="24"/>
      <w:bookmarkStart w:id="25" w:name="_Hlt75236011"/>
      <w:bookmarkEnd w:id="25"/>
      <w:bookmarkStart w:id="26" w:name="_Hlt68072990"/>
      <w:bookmarkEnd w:id="26"/>
      <w:bookmarkStart w:id="27" w:name="_Hlt74714665"/>
      <w:bookmarkEnd w:id="27"/>
      <w:bookmarkStart w:id="28" w:name="_Hlt68057669"/>
      <w:bookmarkEnd w:id="28"/>
      <w:bookmarkStart w:id="29" w:name="_Hlt74729768"/>
      <w:bookmarkEnd w:id="29"/>
      <w:bookmarkStart w:id="30" w:name="_Hlt74730295"/>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3"/>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一、项目背景</w:t>
      </w:r>
    </w:p>
    <w:p>
      <w:pPr>
        <w:snapToGrid w:val="0"/>
        <w:spacing w:line="360" w:lineRule="auto"/>
        <w:ind w:firstLine="480" w:firstLineChars="200"/>
        <w:jc w:val="left"/>
        <w:rPr>
          <w:rFonts w:hint="eastAsia" w:ascii="宋体" w:hAnsi="宋体" w:eastAsia="宋体" w:cs="宋体"/>
          <w:b w:val="0"/>
          <w:bCs/>
          <w:sz w:val="24"/>
          <w:lang w:eastAsia="zh-CN"/>
        </w:rPr>
      </w:pPr>
      <w:r>
        <w:rPr>
          <w:rFonts w:hint="eastAsia" w:ascii="宋体" w:hAnsi="宋体" w:cs="宋体"/>
          <w:b w:val="0"/>
          <w:bCs/>
          <w:sz w:val="24"/>
          <w:lang w:val="en-US" w:eastAsia="zh-CN"/>
        </w:rPr>
        <w:t>根据</w:t>
      </w:r>
      <w:r>
        <w:rPr>
          <w:rFonts w:hint="eastAsia" w:ascii="宋体" w:hAnsi="宋体" w:cs="宋体"/>
          <w:b w:val="0"/>
          <w:bCs/>
          <w:sz w:val="24"/>
          <w:lang w:eastAsia="zh-CN"/>
        </w:rPr>
        <w:t>《</w:t>
      </w:r>
      <w:r>
        <w:rPr>
          <w:rFonts w:hint="eastAsia" w:ascii="宋体" w:hAnsi="宋体" w:cs="宋体"/>
          <w:b w:val="0"/>
          <w:bCs/>
          <w:sz w:val="24"/>
          <w:lang w:val="en-US" w:eastAsia="zh-CN"/>
        </w:rPr>
        <w:t>浙江省市场监督管理局关于印发2025年全省质量工作要点的通知</w:t>
      </w:r>
      <w:r>
        <w:rPr>
          <w:rFonts w:hint="eastAsia" w:ascii="宋体" w:hAnsi="宋体" w:cs="宋体"/>
          <w:b w:val="0"/>
          <w:bCs/>
          <w:sz w:val="24"/>
          <w:lang w:eastAsia="zh-CN"/>
        </w:rPr>
        <w:t>》（</w:t>
      </w:r>
      <w:r>
        <w:rPr>
          <w:rFonts w:hint="eastAsia" w:ascii="宋体" w:hAnsi="宋体" w:cs="宋体"/>
          <w:b w:val="0"/>
          <w:bCs/>
          <w:sz w:val="24"/>
          <w:lang w:val="en-US" w:eastAsia="zh-CN"/>
        </w:rPr>
        <w:t>浙市监质〔2025〕2号</w:t>
      </w:r>
      <w:r>
        <w:rPr>
          <w:rFonts w:hint="eastAsia" w:ascii="宋体" w:hAnsi="宋体" w:cs="宋体"/>
          <w:b w:val="0"/>
          <w:bCs/>
          <w:sz w:val="24"/>
          <w:lang w:eastAsia="zh-CN"/>
        </w:rPr>
        <w:t>）</w:t>
      </w:r>
      <w:r>
        <w:rPr>
          <w:rFonts w:hint="eastAsia" w:ascii="宋体" w:hAnsi="宋体" w:cs="宋体"/>
          <w:b w:val="0"/>
          <w:bCs/>
          <w:sz w:val="24"/>
          <w:lang w:val="en-US" w:eastAsia="zh-CN"/>
        </w:rPr>
        <w:t>有关部署</w:t>
      </w:r>
      <w:r>
        <w:rPr>
          <w:rFonts w:hint="eastAsia" w:ascii="宋体" w:hAnsi="宋体" w:cs="宋体"/>
          <w:b w:val="0"/>
          <w:bCs/>
          <w:sz w:val="24"/>
          <w:lang w:eastAsia="zh-CN"/>
        </w:rPr>
        <w:t>，</w:t>
      </w:r>
      <w:r>
        <w:rPr>
          <w:rFonts w:hint="eastAsia" w:ascii="宋体" w:hAnsi="宋体" w:cs="宋体"/>
          <w:b w:val="0"/>
          <w:bCs/>
          <w:sz w:val="24"/>
          <w:lang w:val="en-US" w:eastAsia="zh-CN"/>
        </w:rPr>
        <w:t>聚焦重点产业及企业发展需求，浙江省市场监管局拟</w:t>
      </w:r>
      <w:r>
        <w:rPr>
          <w:rFonts w:hint="eastAsia" w:ascii="宋体" w:hAnsi="宋体" w:cs="宋体"/>
          <w:bCs/>
          <w:sz w:val="24"/>
          <w:lang w:val="en-US" w:eastAsia="zh-CN"/>
        </w:rPr>
        <w:t>实施2025年省级质量攻坚重点项目，</w:t>
      </w:r>
      <w:r>
        <w:rPr>
          <w:rFonts w:hint="eastAsia" w:ascii="宋体" w:hAnsi="宋体" w:cs="宋体"/>
          <w:b w:val="0"/>
          <w:bCs/>
          <w:sz w:val="24"/>
          <w:lang w:eastAsia="zh-CN"/>
        </w:rPr>
        <w:t>强化质量技术支撑，开展协同攻关，着力解决一批制约产业质量提升的关键共性问题，加速打通产业链质量堵点，</w:t>
      </w:r>
      <w:r>
        <w:rPr>
          <w:rFonts w:hint="eastAsia" w:ascii="宋体" w:hAnsi="宋体" w:cs="宋体"/>
          <w:bCs/>
          <w:sz w:val="24"/>
        </w:rPr>
        <w:t>推动企业加快质量技术创新突破与应用</w:t>
      </w:r>
      <w:r>
        <w:rPr>
          <w:rFonts w:hint="eastAsia" w:ascii="宋体" w:hAnsi="宋体" w:cs="宋体"/>
          <w:bCs/>
          <w:sz w:val="24"/>
          <w:lang w:eastAsia="zh-CN"/>
        </w:rPr>
        <w:t>，</w:t>
      </w:r>
      <w:r>
        <w:rPr>
          <w:rFonts w:hint="eastAsia" w:ascii="宋体" w:hAnsi="宋体" w:cs="宋体"/>
          <w:bCs/>
          <w:sz w:val="24"/>
          <w:lang w:val="en-US" w:eastAsia="zh-CN"/>
        </w:rPr>
        <w:t>助力我省智能物联等产业高质量发展</w:t>
      </w:r>
      <w:r>
        <w:rPr>
          <w:rFonts w:hint="eastAsia" w:ascii="宋体" w:hAnsi="宋体" w:cs="宋体"/>
          <w:bCs/>
          <w:sz w:val="24"/>
        </w:rPr>
        <w:t>。</w:t>
      </w:r>
    </w:p>
    <w:p>
      <w:pPr>
        <w:pStyle w:val="4"/>
        <w:keepNext/>
        <w:keepLines/>
        <w:pageBreakBefore w:val="0"/>
        <w:widowControl w:val="0"/>
        <w:numPr>
          <w:ilvl w:val="0"/>
          <w:numId w:val="4"/>
        </w:numPr>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服务内容及技术要求</w:t>
      </w:r>
    </w:p>
    <w:p>
      <w:pPr>
        <w:snapToGrid w:val="0"/>
        <w:spacing w:line="360" w:lineRule="auto"/>
        <w:ind w:firstLine="480" w:firstLineChars="200"/>
        <w:rPr>
          <w:rFonts w:ascii="宋体" w:hAnsi="宋体" w:cs="宋体"/>
          <w:sz w:val="24"/>
        </w:rPr>
      </w:pPr>
      <w:r>
        <w:rPr>
          <w:rFonts w:ascii="宋体" w:hAnsi="宋体" w:cs="宋体"/>
          <w:sz w:val="24"/>
        </w:rPr>
        <w:t>具体标项信息如下：</w:t>
      </w:r>
    </w:p>
    <w:tbl>
      <w:tblPr>
        <w:tblStyle w:val="6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65"/>
        <w:gridCol w:w="612"/>
        <w:gridCol w:w="720"/>
        <w:gridCol w:w="1200"/>
        <w:gridCol w:w="156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eastAsia="zh-CN"/>
              </w:rPr>
            </w:pPr>
            <w:r>
              <w:rPr>
                <w:rFonts w:hint="eastAsia" w:ascii="方正仿宋_GB2312" w:hAnsi="方正仿宋_GB2312" w:eastAsia="方正仿宋_GB2312" w:cs="方正仿宋_GB2312"/>
                <w:b/>
                <w:bCs/>
                <w:color w:val="000000"/>
                <w:kern w:val="0"/>
                <w:sz w:val="22"/>
                <w:szCs w:val="22"/>
                <w:lang w:val="en-US" w:eastAsia="zh-CN"/>
              </w:rPr>
              <w:t>标项</w:t>
            </w:r>
          </w:p>
        </w:tc>
        <w:tc>
          <w:tcPr>
            <w:tcW w:w="2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rPr>
            </w:pPr>
            <w:r>
              <w:rPr>
                <w:rFonts w:hint="eastAsia" w:ascii="方正仿宋_GB2312" w:hAnsi="方正仿宋_GB2312" w:eastAsia="方正仿宋_GB2312" w:cs="方正仿宋_GB2312"/>
                <w:b/>
                <w:bCs/>
                <w:color w:val="000000"/>
                <w:kern w:val="0"/>
                <w:sz w:val="22"/>
                <w:szCs w:val="22"/>
                <w:lang w:val="en-US" w:eastAsia="zh-CN"/>
              </w:rPr>
              <w:t>标项</w:t>
            </w:r>
            <w:r>
              <w:rPr>
                <w:rFonts w:hint="eastAsia" w:ascii="方正仿宋_GB2312" w:hAnsi="方正仿宋_GB2312" w:eastAsia="方正仿宋_GB2312" w:cs="方正仿宋_GB2312"/>
                <w:b/>
                <w:bCs/>
                <w:color w:val="000000"/>
                <w:kern w:val="0"/>
                <w:sz w:val="22"/>
                <w:szCs w:val="22"/>
              </w:rPr>
              <w:t>名称</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rPr>
            </w:pPr>
            <w:r>
              <w:rPr>
                <w:rFonts w:hint="eastAsia" w:ascii="方正仿宋_GB2312" w:hAnsi="方正仿宋_GB2312" w:eastAsia="方正仿宋_GB2312" w:cs="方正仿宋_GB2312"/>
                <w:b/>
                <w:bCs/>
                <w:color w:val="000000"/>
                <w:kern w:val="0"/>
                <w:sz w:val="22"/>
                <w:szCs w:val="22"/>
                <w:lang w:val="en-US" w:eastAsia="zh-CN"/>
              </w:rPr>
              <w:t>数量</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rPr>
            </w:pPr>
            <w:r>
              <w:rPr>
                <w:rFonts w:hint="eastAsia" w:ascii="方正仿宋_GB2312" w:hAnsi="方正仿宋_GB2312" w:eastAsia="方正仿宋_GB2312" w:cs="方正仿宋_GB2312"/>
                <w:b/>
                <w:bCs/>
                <w:color w:val="000000"/>
                <w:kern w:val="0"/>
                <w:sz w:val="22"/>
                <w:szCs w:val="22"/>
                <w:lang w:val="en-US" w:eastAsia="zh-CN"/>
              </w:rPr>
              <w:t>单位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rPr>
            </w:pPr>
            <w:r>
              <w:rPr>
                <w:rFonts w:hint="eastAsia" w:ascii="方正仿宋_GB2312" w:hAnsi="方正仿宋_GB2312" w:eastAsia="方正仿宋_GB2312" w:cs="方正仿宋_GB2312"/>
                <w:b/>
                <w:bCs/>
                <w:color w:val="000000"/>
                <w:kern w:val="0"/>
                <w:sz w:val="22"/>
                <w:szCs w:val="22"/>
                <w:lang w:val="en-US" w:eastAsia="zh-CN"/>
              </w:rPr>
              <w:t>预算金额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eastAsia="zh-CN" w:bidi="ar-SA"/>
              </w:rPr>
            </w:pPr>
            <w:r>
              <w:rPr>
                <w:rFonts w:hint="eastAsia" w:ascii="方正仿宋_GB2312" w:hAnsi="方正仿宋_GB2312" w:eastAsia="方正仿宋_GB2312" w:cs="方正仿宋_GB2312"/>
                <w:b/>
                <w:bCs/>
                <w:color w:val="000000"/>
                <w:kern w:val="0"/>
                <w:sz w:val="22"/>
                <w:szCs w:val="22"/>
                <w:lang w:val="en-US" w:eastAsia="zh-CN"/>
              </w:rPr>
              <w:t>（万元）</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rPr>
            </w:pPr>
            <w:r>
              <w:rPr>
                <w:rFonts w:hint="eastAsia" w:ascii="方正仿宋_GB2312" w:hAnsi="方正仿宋_GB2312" w:eastAsia="方正仿宋_GB2312" w:cs="方正仿宋_GB2312"/>
                <w:b/>
                <w:bCs/>
                <w:color w:val="000000"/>
                <w:kern w:val="0"/>
                <w:sz w:val="22"/>
                <w:szCs w:val="22"/>
              </w:rPr>
              <w:t>所属产业</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
                <w:bCs/>
                <w:color w:val="000000"/>
                <w:kern w:val="0"/>
                <w:sz w:val="22"/>
                <w:szCs w:val="22"/>
                <w:lang w:val="en-US"/>
              </w:rPr>
            </w:pPr>
            <w:r>
              <w:rPr>
                <w:rFonts w:hint="eastAsia" w:ascii="方正仿宋_GB2312" w:hAnsi="方正仿宋_GB2312" w:eastAsia="方正仿宋_GB2312" w:cs="方正仿宋_GB2312"/>
                <w:b/>
                <w:bCs/>
                <w:color w:val="000000"/>
                <w:kern w:val="0"/>
                <w:sz w:val="22"/>
                <w:szCs w:val="22"/>
                <w:lang w:val="en-US" w:eastAsia="zh-CN"/>
              </w:rPr>
              <w:t>重点服务地区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2365" w:type="dxa"/>
            <w:noWrap w:val="0"/>
            <w:vAlign w:val="center"/>
          </w:tcPr>
          <w:p>
            <w:pPr>
              <w:spacing w:line="240" w:lineRule="auto"/>
              <w:jc w:val="left"/>
              <w:rPr>
                <w:rFonts w:hint="eastAsia" w:ascii="方正仿宋_GB2312" w:hAnsi="方正仿宋_GB2312" w:eastAsia="方正仿宋_GB2312" w:cs="方正仿宋_GB2312"/>
                <w:kern w:val="2"/>
                <w:sz w:val="22"/>
                <w:szCs w:val="22"/>
                <w:vertAlign w:val="baseline"/>
                <w:lang w:val="en-US" w:eastAsia="zh-CN" w:bidi="ar-SA"/>
              </w:rPr>
            </w:pPr>
            <w:r>
              <w:rPr>
                <w:rFonts w:hint="eastAsia" w:ascii="方正仿宋_GB2312" w:hAnsi="方正仿宋_GB2312" w:eastAsia="方正仿宋_GB2312" w:cs="方正仿宋_GB2312"/>
                <w:sz w:val="22"/>
                <w:szCs w:val="22"/>
                <w:vertAlign w:val="baseline"/>
                <w:lang w:eastAsia="zh-CN"/>
              </w:rPr>
              <w:t>低空经济安全发展视域下无人机“标准-检测-应用”协同质量攻坚体系研究</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130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rPr>
            </w:pPr>
            <w:r>
              <w:rPr>
                <w:rFonts w:hint="eastAsia" w:ascii="方正仿宋_GB2312" w:hAnsi="方正仿宋_GB2312" w:eastAsia="方正仿宋_GB2312" w:cs="方正仿宋_GB2312"/>
                <w:color w:val="auto"/>
                <w:kern w:val="0"/>
                <w:sz w:val="22"/>
                <w:szCs w:val="22"/>
                <w:lang w:val="en-US" w:eastAsia="zh-CN"/>
              </w:rPr>
              <w:t>智能物联</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lang w:val="en-US" w:eastAsia="zh-CN"/>
              </w:rPr>
            </w:pPr>
            <w:r>
              <w:rPr>
                <w:rFonts w:hint="eastAsia" w:ascii="方正仿宋_GB2312" w:hAnsi="方正仿宋_GB2312" w:eastAsia="方正仿宋_GB2312" w:cs="方正仿宋_GB2312"/>
                <w:sz w:val="22"/>
                <w:szCs w:val="22"/>
                <w:lang w:val="en-US" w:eastAsia="zh-CN"/>
              </w:rPr>
              <w:t>杭州（余杭、钱塘、滨江、西湖）、湖州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2</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废旧纺织品循环再利用产品核心技术指标与评价体系建设及其质量提升技术研究</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90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现代纺织与服装</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rPr>
            </w:pPr>
            <w:r>
              <w:rPr>
                <w:rFonts w:hint="eastAsia" w:ascii="方正仿宋_GB2312" w:hAnsi="方正仿宋_GB2312" w:eastAsia="方正仿宋_GB2312" w:cs="方正仿宋_GB2312"/>
                <w:sz w:val="22"/>
                <w:szCs w:val="22"/>
                <w:lang w:val="en-US" w:eastAsia="zh-CN"/>
              </w:rPr>
              <w:t>温州、金华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3</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具身智能机器人核心部件性能评价体系与质量技术品牌标准化提升研究</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120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智能物联</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rPr>
            </w:pPr>
            <w:r>
              <w:rPr>
                <w:rFonts w:hint="eastAsia" w:ascii="方正仿宋_GB2312" w:hAnsi="方正仿宋_GB2312" w:eastAsia="方正仿宋_GB2312" w:cs="方正仿宋_GB2312"/>
                <w:color w:val="auto"/>
                <w:kern w:val="0"/>
                <w:sz w:val="22"/>
                <w:szCs w:val="22"/>
                <w:lang w:val="en-US" w:eastAsia="zh-CN"/>
              </w:rPr>
              <w:t>杭州、宁波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4</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大宗商品质量流量计在线计量关键技术研究和产业应用</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80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绿色石化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（精细化工）</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rPr>
            </w:pPr>
            <w:r>
              <w:rPr>
                <w:rFonts w:hint="eastAsia" w:ascii="方正仿宋_GB2312" w:hAnsi="方正仿宋_GB2312" w:eastAsia="方正仿宋_GB2312" w:cs="方正仿宋_GB2312"/>
                <w:color w:val="auto"/>
                <w:kern w:val="0"/>
                <w:sz w:val="22"/>
                <w:szCs w:val="22"/>
                <w:lang w:val="en-US" w:eastAsia="zh-CN"/>
              </w:rPr>
              <w:t>舟山、宁波、温州、台州、嘉兴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5</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电动汽车充电桩计量智慧监管关键技术研究和应用</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120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新能源汽车及零部件</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rPr>
            </w:pPr>
            <w:r>
              <w:rPr>
                <w:rFonts w:hint="eastAsia" w:ascii="方正仿宋_GB2312" w:hAnsi="方正仿宋_GB2312" w:eastAsia="方正仿宋_GB2312" w:cs="方正仿宋_GB2312"/>
                <w:color w:val="auto"/>
                <w:kern w:val="0"/>
                <w:sz w:val="22"/>
                <w:szCs w:val="22"/>
                <w:lang w:val="en-US" w:eastAsia="zh-CN"/>
              </w:rPr>
              <w:t>杭州、宁波、衢州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6</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重点领域碳达峰碳中和认证技术研究及应用示范</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90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其他</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rPr>
            </w:pPr>
            <w:r>
              <w:rPr>
                <w:rFonts w:hint="eastAsia" w:ascii="方正仿宋_GB2312" w:hAnsi="方正仿宋_GB2312" w:eastAsia="方正仿宋_GB2312" w:cs="方正仿宋_GB2312"/>
                <w:sz w:val="22"/>
                <w:szCs w:val="22"/>
                <w:lang w:val="en-US" w:eastAsia="zh-CN"/>
              </w:rPr>
              <w:t>杭州、宁波、温州、湖州、绍兴、台州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7</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绿色修船国际认证技术研究及应用</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90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高端船舶与海工装备</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lang w:val="en-US"/>
              </w:rPr>
            </w:pPr>
            <w:r>
              <w:rPr>
                <w:rFonts w:hint="eastAsia" w:ascii="方正仿宋_GB2312" w:hAnsi="方正仿宋_GB2312" w:eastAsia="方正仿宋_GB2312" w:cs="方正仿宋_GB2312"/>
                <w:color w:val="auto"/>
                <w:kern w:val="0"/>
                <w:sz w:val="22"/>
                <w:szCs w:val="22"/>
                <w:lang w:val="en-US" w:eastAsia="zh-CN"/>
              </w:rPr>
              <w:t>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8"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8</w:t>
            </w:r>
          </w:p>
        </w:tc>
        <w:tc>
          <w:tcPr>
            <w:tcW w:w="2365" w:type="dxa"/>
            <w:noWrap w:val="0"/>
            <w:vAlign w:val="center"/>
          </w:tcPr>
          <w:p>
            <w:pPr>
              <w:keepNext w:val="0"/>
              <w:keepLines w:val="0"/>
              <w:widowControl/>
              <w:suppressLineNumbers w:val="0"/>
              <w:spacing w:line="240" w:lineRule="auto"/>
              <w:jc w:val="left"/>
              <w:textAlignment w:val="center"/>
              <w:rPr>
                <w:rFonts w:hint="eastAsia" w:ascii="方正仿宋_GB2312" w:hAnsi="方正仿宋_GB2312" w:eastAsia="方正仿宋_GB2312" w:cs="方正仿宋_GB2312"/>
                <w:kern w:val="2"/>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检测认证促进义乌深化国贸改革提升贸易便利化研究</w:t>
            </w:r>
          </w:p>
        </w:tc>
        <w:tc>
          <w:tcPr>
            <w:tcW w:w="6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auto"/>
                <w:kern w:val="0"/>
                <w:sz w:val="22"/>
                <w:szCs w:val="22"/>
                <w:lang w:val="en-US" w:eastAsia="zh-CN"/>
              </w:rPr>
              <w:t>项</w:t>
            </w:r>
          </w:p>
        </w:tc>
        <w:tc>
          <w:tcPr>
            <w:tcW w:w="1200" w:type="dxa"/>
            <w:noWrap w:val="0"/>
            <w:vAlign w:val="center"/>
          </w:tcPr>
          <w:p>
            <w:pPr>
              <w:keepNext w:val="0"/>
              <w:keepLines w:val="0"/>
              <w:widowControl/>
              <w:suppressLineNumbers w:val="0"/>
              <w:spacing w:line="240" w:lineRule="auto"/>
              <w:jc w:val="center"/>
              <w:textAlignment w:val="center"/>
              <w:rPr>
                <w:rFonts w:hint="eastAsia" w:ascii="方正仿宋_GB2312" w:hAnsi="方正仿宋_GB2312" w:eastAsia="方正仿宋_GB2312" w:cs="方正仿宋_GB2312"/>
                <w:color w:val="auto"/>
                <w:kern w:val="0"/>
                <w:sz w:val="22"/>
                <w:szCs w:val="22"/>
                <w:lang w:val="en-US" w:eastAsia="zh-CN" w:bidi="ar-SA"/>
              </w:rPr>
            </w:pPr>
            <w:r>
              <w:rPr>
                <w:rFonts w:hint="eastAsia" w:ascii="方正仿宋_GB2312" w:hAnsi="方正仿宋_GB2312" w:eastAsia="方正仿宋_GB2312" w:cs="方正仿宋_GB2312"/>
                <w:i w:val="0"/>
                <w:color w:val="000000"/>
                <w:kern w:val="0"/>
                <w:sz w:val="22"/>
                <w:szCs w:val="22"/>
                <w:u w:val="none"/>
                <w:lang w:val="en-US" w:eastAsia="zh-CN" w:bidi="ar"/>
              </w:rPr>
              <w:t>80</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000000"/>
                <w:kern w:val="0"/>
                <w:sz w:val="22"/>
                <w:szCs w:val="22"/>
                <w:lang w:val="en-US" w:eastAsia="zh-CN"/>
              </w:rPr>
            </w:pPr>
            <w:r>
              <w:rPr>
                <w:rFonts w:hint="eastAsia" w:ascii="方正仿宋_GB2312" w:hAnsi="方正仿宋_GB2312" w:eastAsia="方正仿宋_GB2312" w:cs="方正仿宋_GB2312"/>
                <w:color w:val="000000"/>
                <w:kern w:val="0"/>
                <w:sz w:val="22"/>
                <w:szCs w:val="22"/>
                <w:lang w:val="en-US" w:eastAsia="zh-CN"/>
              </w:rPr>
              <w:t>消费品（家用电器和音像器材类）</w:t>
            </w:r>
          </w:p>
        </w:tc>
        <w:tc>
          <w:tcPr>
            <w:tcW w:w="2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color w:val="auto"/>
                <w:kern w:val="0"/>
                <w:sz w:val="22"/>
                <w:szCs w:val="22"/>
                <w:lang w:eastAsia="zh-CN"/>
              </w:rPr>
            </w:pPr>
            <w:r>
              <w:rPr>
                <w:rFonts w:hint="eastAsia" w:ascii="方正仿宋_GB2312" w:hAnsi="方正仿宋_GB2312" w:eastAsia="方正仿宋_GB2312" w:cs="方正仿宋_GB2312"/>
                <w:color w:val="auto"/>
                <w:kern w:val="0"/>
                <w:sz w:val="22"/>
                <w:szCs w:val="22"/>
                <w:lang w:val="en-US" w:eastAsia="zh-CN"/>
              </w:rPr>
              <w:t>义乌</w:t>
            </w:r>
          </w:p>
        </w:tc>
      </w:tr>
    </w:tbl>
    <w:p>
      <w:pPr>
        <w:snapToGrid w:val="0"/>
        <w:spacing w:line="240" w:lineRule="auto"/>
        <w:ind w:left="-480" w:leftChars="-200"/>
        <w:rPr>
          <w:rFonts w:hint="eastAsia" w:ascii="方正仿宋_GB2312" w:hAnsi="方正仿宋_GB2312" w:eastAsia="方正仿宋_GB2312" w:cs="方正仿宋_GB2312"/>
          <w:b/>
          <w:bCs w:val="0"/>
          <w:color w:val="auto"/>
          <w:sz w:val="22"/>
          <w:szCs w:val="22"/>
        </w:rPr>
      </w:pPr>
      <w:r>
        <w:rPr>
          <w:rFonts w:hint="eastAsia" w:ascii="方正仿宋_GB2312" w:hAnsi="方正仿宋_GB2312" w:eastAsia="方正仿宋_GB2312" w:cs="方正仿宋_GB2312"/>
          <w:b/>
          <w:bCs w:val="0"/>
          <w:color w:val="auto"/>
          <w:sz w:val="22"/>
          <w:szCs w:val="22"/>
        </w:rPr>
        <w:t>注：供应商可选择一个及以上标项参加竞争，每个标项分别编制投标文件。本项目接受联合体投标。</w:t>
      </w:r>
    </w:p>
    <w:p>
      <w:pPr>
        <w:numPr>
          <w:ilvl w:val="0"/>
          <w:numId w:val="0"/>
        </w:numPr>
        <w:rPr>
          <w:rFonts w:hint="eastAsia"/>
          <w:lang w:val="en-US"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标项一：低空经济安全发展视域下无人机“标准-检测-应用”协同质量攻坚体系研究</w:t>
      </w:r>
    </w:p>
    <w:p>
      <w:pPr>
        <w:snapToGrid w:val="0"/>
        <w:spacing w:line="360" w:lineRule="auto"/>
        <w:ind w:firstLine="480" w:firstLineChars="200"/>
        <w:jc w:val="both"/>
        <w:rPr>
          <w:rFonts w:hint="eastAsia" w:ascii="宋体" w:hAnsi="宋体" w:cs="宋体"/>
          <w:sz w:val="24"/>
        </w:rPr>
      </w:pPr>
      <w:r>
        <w:rPr>
          <w:rFonts w:hint="eastAsia" w:ascii="宋体" w:hAnsi="宋体" w:cs="宋体"/>
          <w:sz w:val="24"/>
        </w:rPr>
        <w:t>1.服务内容</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（1）研究分析低空经济产业链质量发展状况，分析低空经济产业未来发展趋势，形成产业质量提升发展规划，编制低空经济产业链质量清单。</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（2）建立无人机“标准-检测-应用”全链条协同体系，研究并制定无人机的制造、试验、接口技术要求等相关标准，突破主要零部件可靠性、空间运动位姿定位、电池健康评估等关键技术。</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（3）研究分析低空经济产业链标准建设情况、开展低空无人机标准体系梳理，形成浙江省无人机及应用场景标准体系。</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（4）开展无人机产业链上中下游核心检验检测需求、检验检测能力供给现状及检测空白缺项等情况的研究，绘制无人机产业质量图谱，形成检验检测能力供给清单及能力建设引导目录。</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（5）构建低空场景技术服务平台，开展标准宣贯培训与品牌建设活动，提升企业质量一致性及品牌影响力，推动产业生态发展。</w:t>
      </w:r>
    </w:p>
    <w:p>
      <w:pPr>
        <w:snapToGrid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2.重点服务区域：杭州（余杭、钱塘、滨江、西湖）、湖州。</w:t>
      </w:r>
    </w:p>
    <w:p>
      <w:pPr>
        <w:snapToGrid w:val="0"/>
        <w:spacing w:line="360" w:lineRule="auto"/>
        <w:ind w:firstLine="480" w:firstLineChars="200"/>
        <w:jc w:val="both"/>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.技术要求</w:t>
      </w:r>
    </w:p>
    <w:p>
      <w:pPr>
        <w:snapToGrid w:val="0"/>
        <w:spacing w:line="360" w:lineRule="auto"/>
        <w:ind w:firstLine="480" w:firstLineChars="200"/>
        <w:jc w:val="both"/>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）明确产业链质量提升的目标、路径和措施，编制产业链供应链质量联动提升分析报告1份，低空经济产业链供应链质量问题清单、重点攻关项目清单、质量政策工具清单各1份。</w:t>
      </w:r>
    </w:p>
    <w:p>
      <w:pPr>
        <w:snapToGrid w:val="0"/>
        <w:spacing w:line="360" w:lineRule="auto"/>
        <w:ind w:firstLine="480" w:firstLineChars="200"/>
        <w:jc w:val="both"/>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lang w:val="en-US" w:eastAsia="zh-CN"/>
        </w:rPr>
        <w:t>开展</w:t>
      </w:r>
      <w:r>
        <w:rPr>
          <w:rFonts w:hint="eastAsia" w:ascii="宋体" w:hAnsi="宋体" w:cs="宋体"/>
          <w:sz w:val="24"/>
          <w:lang w:eastAsia="zh-CN"/>
        </w:rPr>
        <w:t>无人机关键零部件可靠性测试技术研究。针对无人机专用电机，开展涵盖宽转速范围动态响应特性、高精度扭矩脉动与输出稳定性、全工况效率图谱、宽频噪声谱分析以及基于加速寿命试验及失效模式分析的长期运行可靠性检测方法研究，并建成相关检测能力。针对无人机专用电池，完成动力能源电池本征热安全多维检测能力建设，</w:t>
      </w:r>
      <w:r>
        <w:rPr>
          <w:rFonts w:hint="eastAsia" w:ascii="宋体" w:hAnsi="宋体" w:cs="宋体"/>
          <w:sz w:val="24"/>
          <w:lang w:val="en-US" w:eastAsia="zh-CN"/>
        </w:rPr>
        <w:t>至少</w:t>
      </w:r>
      <w:r>
        <w:rPr>
          <w:rFonts w:hint="eastAsia" w:ascii="宋体" w:hAnsi="宋体" w:cs="宋体"/>
          <w:sz w:val="24"/>
          <w:lang w:eastAsia="zh-CN"/>
        </w:rPr>
        <w:t>覆盖热失控触发阈值、传播速率、烟气释放总量、复合热冲击强度、热蔓延阻隔效能等5项参数，开发健康安全评估测试规范1项，建设测试装置1套。</w:t>
      </w:r>
    </w:p>
    <w:p>
      <w:pPr>
        <w:snapToGrid w:val="0"/>
        <w:spacing w:line="360" w:lineRule="auto"/>
        <w:ind w:firstLine="480" w:firstLineChars="200"/>
        <w:jc w:val="both"/>
        <w:rPr>
          <w:rFonts w:hint="eastAsia" w:ascii="宋体" w:hAnsi="宋体" w:cs="宋体"/>
          <w:sz w:val="24"/>
          <w:lang w:eastAsia="zh-CN"/>
        </w:rPr>
      </w:pPr>
      <w:r>
        <w:rPr>
          <w:rFonts w:hint="eastAsia" w:ascii="宋体" w:hAnsi="宋体" w:cs="宋体"/>
          <w:sz w:val="24"/>
          <w:lang w:val="en-US" w:eastAsia="zh-CN"/>
        </w:rPr>
        <w:t>（3）建立</w:t>
      </w:r>
      <w:r>
        <w:rPr>
          <w:rFonts w:hint="eastAsia" w:ascii="宋体" w:hAnsi="宋体" w:cs="宋体"/>
          <w:sz w:val="24"/>
          <w:lang w:eastAsia="zh-CN"/>
        </w:rPr>
        <w:t>空间运动位姿定位测试</w:t>
      </w:r>
      <w:r>
        <w:rPr>
          <w:rFonts w:hint="eastAsia" w:ascii="宋体" w:hAnsi="宋体" w:cs="宋体"/>
          <w:sz w:val="24"/>
          <w:lang w:val="en-US" w:eastAsia="zh-CN"/>
        </w:rPr>
        <w:t>能力</w:t>
      </w:r>
      <w:r>
        <w:rPr>
          <w:rFonts w:hint="eastAsia" w:ascii="宋体" w:hAnsi="宋体" w:cs="宋体"/>
          <w:sz w:val="24"/>
          <w:lang w:eastAsia="zh-CN"/>
        </w:rPr>
        <w:t>。建立接收机终端数据计量标准溯源能力计量标准1套，空间定位精度误差≤0.1m，覆盖水平、垂直测量校准，水平测量最大允许误差8mm+1.0×10-6DRMS，垂直测量最大允许误差15mm+1.0×10-6DRMS及以下；研究机载视觉传感器分辨率、帧率的标定技术并完成校准测试能力建设。</w:t>
      </w:r>
    </w:p>
    <w:p>
      <w:pPr>
        <w:snapToGrid w:val="0"/>
        <w:spacing w:line="360" w:lineRule="auto"/>
        <w:ind w:firstLine="480" w:firstLineChars="200"/>
        <w:jc w:val="both"/>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编制浙江省无人机标准体系1套，立项或发布无人机</w:t>
      </w:r>
      <w:r>
        <w:rPr>
          <w:rFonts w:hint="eastAsia" w:ascii="宋体" w:hAnsi="宋体" w:cs="宋体"/>
          <w:sz w:val="24"/>
          <w:lang w:val="en-US" w:eastAsia="zh-CN"/>
        </w:rPr>
        <w:t>研发、制造、试验、接口技术要求等领域</w:t>
      </w:r>
      <w:r>
        <w:rPr>
          <w:rFonts w:hint="eastAsia" w:ascii="宋体" w:hAnsi="宋体" w:cs="宋体"/>
          <w:sz w:val="24"/>
          <w:lang w:eastAsia="zh-CN"/>
        </w:rPr>
        <w:t>相关</w:t>
      </w:r>
      <w:r>
        <w:rPr>
          <w:rFonts w:hint="eastAsia" w:ascii="宋体" w:hAnsi="宋体" w:cs="宋体"/>
          <w:sz w:val="24"/>
          <w:lang w:val="en-US" w:eastAsia="zh-CN"/>
        </w:rPr>
        <w:t>国家标准/行业标准/团体标准不少于</w:t>
      </w:r>
      <w:r>
        <w:rPr>
          <w:rFonts w:hint="eastAsia" w:ascii="宋体" w:hAnsi="宋体" w:cs="宋体"/>
          <w:sz w:val="24"/>
          <w:lang w:eastAsia="zh-CN"/>
        </w:rPr>
        <w:t>5项。</w:t>
      </w:r>
    </w:p>
    <w:p>
      <w:pPr>
        <w:snapToGrid w:val="0"/>
        <w:spacing w:line="360" w:lineRule="auto"/>
        <w:ind w:firstLine="480" w:firstLineChars="200"/>
        <w:jc w:val="both"/>
        <w:rPr>
          <w:rFonts w:hint="eastAsia" w:ascii="宋体" w:hAnsi="宋体" w:cs="宋体"/>
          <w:sz w:val="24"/>
          <w:lang w:eastAsia="zh-CN"/>
        </w:rPr>
      </w:pPr>
      <w:r>
        <w:rPr>
          <w:rFonts w:hint="eastAsia" w:ascii="宋体" w:hAnsi="宋体" w:cs="宋体"/>
          <w:sz w:val="24"/>
          <w:lang w:val="en-US" w:eastAsia="zh-CN"/>
        </w:rPr>
        <w:t>（5）</w:t>
      </w:r>
      <w:r>
        <w:rPr>
          <w:rFonts w:hint="eastAsia" w:ascii="宋体" w:hAnsi="宋体" w:cs="宋体"/>
          <w:sz w:val="24"/>
          <w:lang w:eastAsia="zh-CN"/>
        </w:rPr>
        <w:t>分析浙江省无人机检验检测能力状况，绘制无人机产业质量图谱1套，形成检验检测能力供给清单及能力建设引导目录各1份。</w:t>
      </w:r>
    </w:p>
    <w:p>
      <w:pPr>
        <w:snapToGrid w:val="0"/>
        <w:spacing w:line="360" w:lineRule="auto"/>
        <w:ind w:firstLine="480" w:firstLineChars="200"/>
        <w:jc w:val="both"/>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lang w:eastAsia="zh-CN"/>
        </w:rPr>
        <w:t>为企业提供公益性检测服务不少于50次，组织开展标准宣贯培训不少于2场，参与总人数不少于200人，满意度不低于90%。</w:t>
      </w:r>
    </w:p>
    <w:p>
      <w:pPr>
        <w:snapToGrid w:val="0"/>
        <w:spacing w:line="360" w:lineRule="auto"/>
        <w:ind w:firstLine="480" w:firstLineChars="200"/>
        <w:jc w:val="both"/>
        <w:rPr>
          <w:rFonts w:hint="eastAsia" w:ascii="宋体" w:hAnsi="宋体" w:cs="宋体"/>
          <w:sz w:val="24"/>
          <w:lang w:eastAsia="zh-CN"/>
        </w:rPr>
      </w:pPr>
      <w:r>
        <w:rPr>
          <w:rFonts w:hint="eastAsia" w:ascii="宋体" w:hAnsi="宋体" w:cs="宋体"/>
          <w:sz w:val="24"/>
          <w:lang w:val="en-US" w:eastAsia="zh-CN"/>
        </w:rPr>
        <w:t>（7）</w:t>
      </w:r>
      <w:r>
        <w:rPr>
          <w:rFonts w:hint="eastAsia" w:ascii="宋体" w:hAnsi="宋体" w:cs="宋体"/>
          <w:sz w:val="24"/>
          <w:lang w:eastAsia="zh-CN"/>
        </w:rPr>
        <w:t>联合龙头企业举办品牌交流活动1场，覆盖行业内有关企业、高校、协会等不少于15家。</w:t>
      </w:r>
    </w:p>
    <w:p>
      <w:pPr>
        <w:snapToGrid w:val="0"/>
        <w:spacing w:line="360" w:lineRule="auto"/>
        <w:ind w:firstLine="482" w:firstLineChars="200"/>
        <w:jc w:val="both"/>
        <w:rPr>
          <w:rFonts w:hint="eastAsia" w:ascii="宋体" w:hAnsi="宋体" w:cs="宋体"/>
          <w:b/>
          <w:bCs/>
          <w:sz w:val="24"/>
          <w:lang w:val="en-US"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标项二：废旧纺织品循环再利用产品核心技术指标与评价体系建设及其质量提升技术研究</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1.服务内容</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1）开展产品安全卫生、标志标识等关键性指标提升研究。通过抽检产品，研究废旧纺织品循环再利用产品现状，精准找出提升安全卫生等相关指标的要求，研究标志标识等指标的要求和评价方法，全面提升产品质量，提升消费者接受程度。</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（2）支撑企业开展先进质量认证，聚焦企业经营痛点，通过简化认证流程、专业培训、现场诊断、针对性改进等方式，引导企业规范管理流程、优化生产控制、强化质量意识。</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（3）完善标准体系，提升产业标准化水平。对废旧纺织品的循环利用产业链现状开展摸底调研，形成调研报告、对策建议等。</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（4）开展产业链质量攻坚，促进产业转型升级。绘制质量图谱，精准解决企业个性需求，开展废旧纺织品循环再利用产业质量提升交流活动，以及强制性国家标准等宣贯活动。</w:t>
      </w:r>
    </w:p>
    <w:p>
      <w:pPr>
        <w:snapToGrid w:val="0"/>
        <w:spacing w:line="360" w:lineRule="auto"/>
        <w:ind w:firstLine="480" w:firstLineChars="200"/>
        <w:jc w:val="both"/>
        <w:rPr>
          <w:rFonts w:hint="default" w:ascii="宋体" w:hAnsi="宋体" w:cs="宋体"/>
          <w:sz w:val="24"/>
          <w:lang w:val="en-US" w:eastAsia="zh-CN"/>
        </w:rPr>
      </w:pPr>
      <w:r>
        <w:rPr>
          <w:rFonts w:hint="eastAsia" w:ascii="宋体" w:hAnsi="宋体" w:cs="宋体"/>
          <w:sz w:val="24"/>
          <w:lang w:val="en-US" w:eastAsia="zh-CN"/>
        </w:rPr>
        <w:t>2.重点服务区域：温州、金华等。</w:t>
      </w:r>
    </w:p>
    <w:p>
      <w:pPr>
        <w:snapToGrid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3.技术要求</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通过抽检产品，研究废旧纺织品循环再利用产品在铜绿假单胞菌、金黄色葡萄球菌和溶血性链球菌、细菌菌落总数、真菌菌落总数、甲醛、pH值、异味（霉味、高沸程石油味、鱼腥味、芳香烃气味、未洗净动物纤维膻味、臊味等）、余氯等卫生安全等指标提升路径，全面提升产品质量，提升消费者接受程度。研究废旧纺织品循环再利用产品的风险点和空白点，例如氯化苯和氯化甲苯总量，纤维脱落率、标志标识等方法及评价要求的研究。随机抽取并检验样品30批次以上，进行以上关键指标的研究分析。</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 xml:space="preserve">（2）重点培育并指导10家以上相关企业取得质量管理、环境管理、职业安全健康管理等体系认证；探索并研究纺织品行业目前亟需的产品碳足迹排放核算方法和计量体系建设，协助8家以上企业取得绿色产品认证、产品碳足迹标识认证或GRS（全球回收标准）国际认证。 </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构建实施并持续完善包括产品、设备、工艺、绿色、低碳等全生命周期标准体系（及建设指南），研制行业领域当前空白和亟待实施执行的各级各类标准，主导或参与制修订废旧纺织品循环再利用相关的国家标准、行业标准、地方标准、团体标准总数不少于5项，并根据实际组织开展标准实施宣贯和实施效果评估活动。</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4）编制浙江省废旧纺织品的循环利用产业链专项问卷调查，摸清产业链整体上下游结构、地域分布、企业构成、所处质量梯队位置等，确定链长、链主、链员，形成产业链重点企业目录；建立完善产业链供应链质量问题清单、重点攻关项目清单、质量政策工具清单各1份，编制产业链供应链质量联动提升分析报告1份，在省级或以上刊物或媒体发表至少1篇产业绿色低碳发展的高质量调研报告。</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5）系统摸排企业在质量基础设施建设、质量升级路径探索中的痛点难点与核心诉求，绘制废旧纺织品的循环利用产业质量图谱1份；明确产业链上下游技术、标准与检测能力缺口，组织专家与认证机构定向开展“一企一策”质量问诊服务，“一对一”服务企业家数不少于20家，解决质量问题不少于10个。</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（6）组织开展废旧纺织品循环再利用领域相关的标准宣贯培训活动，覆盖企业数不少于100家；牵头举办与本产业相关的标准、质量、品牌等主题交流分享活动不少于2次（场），参与总人数不少于200人。</w:t>
      </w:r>
    </w:p>
    <w:p>
      <w:pPr>
        <w:snapToGrid w:val="0"/>
        <w:spacing w:line="360" w:lineRule="auto"/>
        <w:ind w:firstLine="482" w:firstLineChars="200"/>
        <w:rPr>
          <w:rFonts w:hint="eastAsia" w:ascii="宋体" w:hAnsi="宋体" w:eastAsia="宋体" w:cs="宋体"/>
          <w:b/>
          <w:bCs/>
          <w:sz w:val="24"/>
          <w:highlight w:val="none"/>
          <w:lang w:val="en-US"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标项三：具身智能机器人核心部件性能评价体系与质量技术品牌标准化提升研究</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1.服务内容</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调研机器人产业链（核心部件、整机集成、场景部署）企业需求，编制产业链质量短板清单与技术攻关图谱，提出检验检测能力建设引导目录。结合机器人产业链质量发展现状，分析产业竞争力和瓶颈问题，梳理未来技术革新趋势，广泛收集行业数据与典型案例，对浙江省人形机器人产业的质量发展现状进行全面剖析，深入挖掘存在的问题与挑战，形成智能机器人产业质量提升专项规划，并提出针对性的质量提升策略与发展路径规划。</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2）系统梳理国际、国内智能机器人标准，分析标准覆盖缺口和场景适配性问题，构建“共性基础标准+场景专用标准”的分层标准体系。研究具身智能机器人室内多场景虚拟现实性能分析评价方法，建立机器人室内虚拟现实交互测试能力。</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（3）开展具身智能机器人整机及核心零部件性能测试评价标准、计量技术规范研究，制定相关标准和技术规范。</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（4）聚焦人形机器人产业链关键技术突破，开展针对性专利导航项目，构建专利导航数据库，绘制产业专利图谱，为高价值专利培育等提供专业支持。</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5）研究具身智能机器人整机性能测试评价方法、多维力感知传感器性能分析评价方法、一体化关节性能分析评价方法，建立具身智能机器人性能评价能力、机器人多维力传感器校准及测试能力、机器人一体化关节分析测试评价能力。</w:t>
      </w:r>
    </w:p>
    <w:p>
      <w:pPr>
        <w:snapToGrid w:val="0"/>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2.重点服务区域：杭州、宁波。</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3.技术要求</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聚焦浙江省人形机器人产业质量技术、质量管理、质量品牌、质量基础设施等关键问题和发展需求，设计专项调查问卷并开展调研，编制形成质量问题清单、重点攻关项目清单各1份，绘制人形机器人产业链“质量图谱”1套。</w:t>
      </w:r>
    </w:p>
    <w:p>
      <w:pPr>
        <w:snapToGrid w:val="0"/>
        <w:spacing w:line="360" w:lineRule="auto"/>
        <w:ind w:firstLine="480" w:firstLineChars="200"/>
        <w:jc w:val="left"/>
        <w:rPr>
          <w:rFonts w:hint="eastAsia" w:ascii="宋体" w:hAnsi="宋体" w:cs="宋体"/>
          <w:sz w:val="24"/>
          <w:lang w:val="en-US" w:eastAsia="zh-CN"/>
        </w:rPr>
      </w:pPr>
      <w:bookmarkStart w:id="33" w:name="OLE_LINK1"/>
      <w:r>
        <w:rPr>
          <w:rFonts w:hint="eastAsia" w:ascii="宋体" w:hAnsi="宋体" w:cs="宋体"/>
          <w:sz w:val="24"/>
          <w:lang w:val="en-US" w:eastAsia="zh-CN"/>
        </w:rPr>
        <w:t>（2）构建专利导航数据库，绘制产业专利图谱1套，形成机器人产业专利发展研究报告1份。</w:t>
      </w:r>
    </w:p>
    <w:bookmarkEnd w:id="33"/>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（3）分析产业竞争力和瓶颈问题，梳理未来技术革新趋势，编制《智能机器人产业链质量分析与发展规划》及编制说明各1份。</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（4）建立覆盖基础共性、性能分级、场景专用三类标准健全标准体系，编制《智能机器人标准体系框架》1套；研制相关标准或技术规范不少于1项。</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（5）针对链上企业差异化需求，为企业提供专项诊断服务不少于3家次。</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（6）牵头组织开展宣贯培训或交流分享活动不少于2次，参与总人数不少于100人。</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7）建立具身智能机器人性能评价能力，包括但不限于台阶行进能力（台阶高度12cm-30cm）、爬坡能力（35度可调）、高低障碍通过能力（可调）、抗冲击能力（持续冲击及瞬间冲击）、复杂路面通过能力、轨迹跟踪定位能力、持续运动能力（运动速度、续航、负荷）等。</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（8）建立机器人多维力传感器校准及测试能力，满足Fz（100-5000N）、Fx/Fy（40-2000N）、Mx/My/Mz（2-100Nm）测量范围，Urel均优于0.15%。</w:t>
      </w:r>
    </w:p>
    <w:p>
      <w:pPr>
        <w:snapToGrid w:val="0"/>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（9）建立机器人一体化关节分析测试评价能力，涵盖扭矩（0-500Nm，0.5%）、转速（0-300rpm，±1rpm）、角度（0-360度，±2角秒）、弯矩（0-150Nm，1%）等参数。</w:t>
      </w:r>
    </w:p>
    <w:p>
      <w:pPr>
        <w:snapToGrid w:val="0"/>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cs="宋体"/>
          <w:sz w:val="24"/>
          <w:lang w:val="en-US" w:eastAsia="zh-CN"/>
        </w:rPr>
        <w:t>（10）建立机器人室内虚拟现实交互测试能力，支持虚拟环境中对具身智能设备（机器狗、机器人等）控制算法的实时测试。</w:t>
      </w:r>
    </w:p>
    <w:p>
      <w:pPr>
        <w:snapToGrid w:val="0"/>
        <w:spacing w:line="360" w:lineRule="auto"/>
        <w:ind w:firstLine="480" w:firstLineChars="200"/>
        <w:rPr>
          <w:rFonts w:hint="eastAsia" w:ascii="宋体" w:hAnsi="宋体" w:cs="宋体"/>
          <w:sz w:val="24"/>
          <w:highlight w:val="none"/>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标项四：大宗商品质量流量计在线计量关键技术研究和产业应用</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1.服务内容</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（1）研发基于高精度活塞式体积管的质量流量计在线计量技术；</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（2）研制在线计量装置密封性能监测装置及密封件寿命预测方法；</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（3）开发在线计量装置的自动化测控系统及流量计算软件；</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（4）研制在线计量装置的撬装装置和在线计量快速连接装置；</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（5）研究适用于大宗商品质量流量计在线计量的技术方法，制定相关计量技术规范或标准；</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（6）建设大宗商品产业计量测试能力，挂牌运行国家产业计量测试中心1家；</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7）依托产业计量中心建设，突破大宗商品贸易质量流量计在线计量技术瓶颈，解决关键计量装备国产化替代难题，开展质量流量计在线计量服务试点，服务绿色石化油品、保税燃油加注等贸易交易准确、可靠，技术支撑“415X”先进制造业集群高质量发展；</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（8）联合行业内高校、科研院所、技术机构、企业开展在线流量计量研讨交流活动不少于1场，参与总人数不少于30人。</w:t>
      </w:r>
    </w:p>
    <w:p>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2.重点服务区域：舟山、宁波、温州、台州、嘉兴等。</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.技术要求</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lang w:eastAsia="zh-CN"/>
        </w:rPr>
        <w:t>自研高精度活塞式体积管装置一套，适用质量流量计口径DN200，装置最大测量流量≥800m³/h，测量不确定度≤0.05%，重复性优于0.02%；工作压力≥1MPa；适用介质为兼容油品和化工品；防爆等级Ex ⅡB及以上；整机零部件国产化率应≥95%；</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自研控制系统和流量计算软件，具备质量流量计自动化在线计量功能，能够自动计算并导出测试结果；具备自动化标定功能；具有整机自检功能、密封性能检测、异常报警等功能；</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申请首台套不少于1项；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lang w:eastAsia="zh-CN"/>
        </w:rPr>
        <w:t>制定实施大宗商品（绿色石化）产业计量体系建设图谱导航不少于1项；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（5）</w:t>
      </w:r>
      <w:r>
        <w:rPr>
          <w:rFonts w:hint="eastAsia" w:ascii="宋体" w:hAnsi="宋体" w:cs="宋体"/>
          <w:sz w:val="24"/>
          <w:highlight w:val="none"/>
          <w:lang w:eastAsia="zh-CN"/>
        </w:rPr>
        <w:t>申请发明专利不少于2件；</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（6）</w:t>
      </w:r>
      <w:r>
        <w:rPr>
          <w:rFonts w:hint="eastAsia" w:ascii="宋体" w:hAnsi="宋体" w:cs="宋体"/>
          <w:sz w:val="24"/>
          <w:highlight w:val="none"/>
          <w:lang w:eastAsia="zh-CN"/>
        </w:rPr>
        <w:t>制定和实施计量技术规范、标准</w:t>
      </w:r>
      <w:r>
        <w:rPr>
          <w:rFonts w:hint="eastAsia" w:ascii="宋体" w:hAnsi="宋体" w:cs="宋体"/>
          <w:sz w:val="24"/>
          <w:highlight w:val="none"/>
          <w:lang w:val="en-US" w:eastAsia="zh-CN"/>
        </w:rPr>
        <w:t>不少于</w:t>
      </w:r>
      <w:r>
        <w:rPr>
          <w:rFonts w:hint="eastAsia" w:ascii="宋体" w:hAnsi="宋体" w:cs="宋体"/>
          <w:sz w:val="24"/>
          <w:highlight w:val="none"/>
          <w:lang w:eastAsia="zh-CN"/>
        </w:rPr>
        <w:t>2项；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（7）牵头组织或</w:t>
      </w:r>
      <w:r>
        <w:rPr>
          <w:rFonts w:hint="eastAsia" w:ascii="宋体" w:hAnsi="宋体" w:cs="宋体"/>
          <w:sz w:val="24"/>
          <w:highlight w:val="none"/>
          <w:lang w:eastAsia="zh-CN"/>
        </w:rPr>
        <w:t>举办流量行业交流研讨活动不少于1次；</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lang w:eastAsia="zh-CN"/>
        </w:rPr>
        <w:t>在</w:t>
      </w:r>
      <w:r>
        <w:rPr>
          <w:rFonts w:hint="eastAsia" w:ascii="宋体" w:hAnsi="宋体" w:cs="宋体"/>
          <w:sz w:val="24"/>
          <w:highlight w:val="none"/>
          <w:lang w:val="en-US" w:eastAsia="zh-CN"/>
        </w:rPr>
        <w:t>浙江省</w:t>
      </w:r>
      <w:r>
        <w:rPr>
          <w:rFonts w:hint="eastAsia" w:ascii="宋体" w:hAnsi="宋体" w:cs="宋体"/>
          <w:sz w:val="24"/>
          <w:highlight w:val="none"/>
          <w:lang w:eastAsia="zh-CN"/>
        </w:rPr>
        <w:t>典型大宗商品贸易计量场景</w:t>
      </w:r>
      <w:r>
        <w:rPr>
          <w:rFonts w:hint="eastAsia" w:ascii="宋体" w:hAnsi="宋体" w:cs="宋体"/>
          <w:sz w:val="24"/>
          <w:highlight w:val="none"/>
          <w:lang w:val="en-US" w:eastAsia="zh-CN"/>
        </w:rPr>
        <w:t>下</w:t>
      </w:r>
      <w:r>
        <w:rPr>
          <w:rFonts w:hint="eastAsia" w:ascii="宋体" w:hAnsi="宋体" w:cs="宋体"/>
          <w:sz w:val="24"/>
          <w:highlight w:val="none"/>
          <w:lang w:eastAsia="zh-CN"/>
        </w:rPr>
        <w:t>，开展在线计量应用示范不少于5次，形成典型优秀案例</w:t>
      </w:r>
      <w:r>
        <w:rPr>
          <w:rFonts w:hint="eastAsia" w:ascii="宋体" w:hAnsi="宋体" w:cs="宋体"/>
          <w:sz w:val="24"/>
          <w:highlight w:val="none"/>
          <w:lang w:val="en-US" w:eastAsia="zh-CN"/>
        </w:rPr>
        <w:t>不少于</w:t>
      </w:r>
      <w:r>
        <w:rPr>
          <w:rFonts w:hint="eastAsia" w:ascii="宋体" w:hAnsi="宋体" w:cs="宋体"/>
          <w:sz w:val="24"/>
          <w:highlight w:val="none"/>
          <w:lang w:eastAsia="zh-CN"/>
        </w:rPr>
        <w:t>1项。</w:t>
      </w:r>
    </w:p>
    <w:p>
      <w:pPr>
        <w:snapToGrid w:val="0"/>
        <w:spacing w:line="360" w:lineRule="auto"/>
        <w:ind w:firstLine="482" w:firstLineChars="200"/>
        <w:rPr>
          <w:rFonts w:hint="eastAsia" w:ascii="宋体" w:hAnsi="宋体" w:cs="宋体"/>
          <w:b/>
          <w:bCs/>
          <w:sz w:val="24"/>
          <w:highlight w:val="none"/>
          <w:lang w:val="en-US"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标项五：电动汽车充电桩计量智慧监管关键技术研究和应用</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1.服务内容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）研究电动汽车充电桩产品型式试验、出厂检定、运行实时状态监测和检定机构抽样检定相结合的计量智慧监管模式。</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）研究电动汽车充电桩在线动态监测的大数据计量误差评估算法；研究充电数据加密、计量数据防作弊和防篡改方法。</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）建设电动汽车充电桩产品型式试验和检验检测能力。</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lang w:eastAsia="zh-CN"/>
        </w:rPr>
        <w:t>研究制造具有运行实时状态评价功能的充电桩新产品，建立完善企业生产制造计量保障能力。</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（5）</w:t>
      </w:r>
      <w:r>
        <w:rPr>
          <w:rFonts w:hint="eastAsia" w:ascii="宋体" w:hAnsi="宋体" w:cs="宋体"/>
          <w:sz w:val="24"/>
          <w:highlight w:val="none"/>
          <w:lang w:eastAsia="zh-CN"/>
        </w:rPr>
        <w:t>研究和试点建设具有运行实时状态评价功能的公用充电站点。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（6）</w:t>
      </w:r>
      <w:r>
        <w:rPr>
          <w:rFonts w:hint="eastAsia" w:ascii="宋体" w:hAnsi="宋体" w:cs="宋体"/>
          <w:sz w:val="24"/>
          <w:highlight w:val="none"/>
          <w:lang w:eastAsia="zh-CN"/>
        </w:rPr>
        <w:t>研究电动汽车充电桩生产企业、运营企业诚信计量信用评价和分类监管方法。</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（7）</w:t>
      </w:r>
      <w:r>
        <w:rPr>
          <w:rFonts w:hint="eastAsia" w:ascii="宋体" w:hAnsi="宋体" w:cs="宋体"/>
          <w:sz w:val="24"/>
          <w:highlight w:val="none"/>
          <w:lang w:eastAsia="zh-CN"/>
        </w:rPr>
        <w:t>开展电动汽车充电桩产业链品牌建设交流活动，组织本行业国内外知名品牌生产制造企业代表交流分享品牌建设经验，强化质量管理与创新突破，提升品牌影响力。</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2.重点服务区域：杭州、宁波、衢州等。</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.技术要求</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000000"/>
          <w:sz w:val="24"/>
          <w:highlight w:val="none"/>
          <w:lang w:eastAsia="zh-CN"/>
        </w:rPr>
        <w:t>（1）</w:t>
      </w:r>
      <w:r>
        <w:rPr>
          <w:rFonts w:hint="eastAsia" w:ascii="宋体" w:hAnsi="宋体" w:cs="宋体"/>
          <w:sz w:val="24"/>
          <w:highlight w:val="none"/>
          <w:lang w:val="en-US" w:eastAsia="zh-CN"/>
        </w:rPr>
        <w:t>形成电动汽车充电桩型式试验、出厂检定、运行实时状态评价、抽样检定、企业信用评价和分类监管的智慧计量监管试点方案1项，制定信用分级等标准规范或细则不少于4项,形成典型做法总结案例不少于2项。</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（2）研制电动汽车充电桩智慧计量监测模块，实现试点充电站内充电桩实时在线计量状态监测和智慧监管。</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（3）建成容量不低于480kW直流充电桩和7kW交流充电桩计量性能、安全性能、通信协议一致性等产品型式试验和检验检测能力。</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（4）针对电动汽车充电桩生产企业、运营商、检定机构开展智慧监管方式应用示范，试点生产企业不少于4家，充电桩运营场站不少于5个，充电桩接入不小于100个。</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（5）组织举办品牌交流分享活动至少1次，参加的相关企业不少于20家，参加活动总人数不少于200人。</w:t>
      </w:r>
    </w:p>
    <w:p>
      <w:pPr>
        <w:snapToGrid w:val="0"/>
        <w:spacing w:line="360" w:lineRule="auto"/>
        <w:ind w:firstLine="482" w:firstLineChars="200"/>
        <w:rPr>
          <w:rFonts w:hint="eastAsia" w:ascii="宋体" w:hAnsi="宋体" w:cs="宋体"/>
          <w:b/>
          <w:bCs/>
          <w:sz w:val="24"/>
          <w:highlight w:val="none"/>
          <w:lang w:val="en-US"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标项六：重点领域碳达峰碳中和认证技术研究及应用示范</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1.服务内容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（1）开展认证认可行业服务碳达峰碳中和工作政策研究，重点聚焦“双碳”领域质量基础设施支撑浙江重点产业绿色转型发展技术攻坚，形成政策建议报告。</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开展“双碳”认证标准体系研究，梳理国内外相关标准，加快推进“双碳”认证领域标准化工作。</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开展“双碳”认证制度创新研究，综合考虑国际通行规则与国内产业实际情况，为新能源汽车、纺织、木制品、乘客电梯等重点领域提供国际化、本土化、一体化的“双碳”认证解决方案；征集采信一批认证领域相关标准规范，围绕重点领域牵头开展产品碳足迹标识认证技术规范研制。</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lang w:eastAsia="zh-CN"/>
        </w:rPr>
        <w:t>探索重点领域企业碳排放数据国际互认路径，加强与国际相关机构的交流与合作，推动重点领域企业碳排放数据获得国际认可，助力企业突破国际贸易碳壁垒。</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）开展“双碳”认证助力企业碳管理能力提升精准帮扶，推动重点领域企业节能降碳落到实处。</w:t>
      </w:r>
    </w:p>
    <w:p>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highlight w:val="none"/>
          <w:lang w:val="en-US" w:eastAsia="zh-CN"/>
        </w:rPr>
        <w:t>2.重点服务区域：</w:t>
      </w:r>
      <w:r>
        <w:rPr>
          <w:rFonts w:hint="eastAsia" w:ascii="宋体" w:hAnsi="宋体" w:cs="宋体"/>
          <w:sz w:val="24"/>
          <w:lang w:val="en-US" w:eastAsia="zh-CN"/>
        </w:rPr>
        <w:t>杭州、宁波、温州、湖州、绍兴、台州等。</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.技术要求</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（1）形成认证认可行业服务碳达峰碳中和工作的政策研究报告1份，形成“双碳”领域质量基础设施支撑浙江重点产业绿色转型发展技术攻坚报告1份。</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形成“双碳”认证标准体系研究报告1份，形成“双碳”认证标准指导目录1套。征集采信“双碳”认证领域相关标准规范不少于20项，聚焦木制品等试点产品，牵头研制（报批）产品碳足迹量化方法及要求国家或行业标准不少于1项。</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在碳足迹认证实施规则通则基础上，围绕重点领域牵头研制产品碳足迹标识认证技术规范不少于10个。</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lang w:eastAsia="zh-CN"/>
        </w:rPr>
        <w:t>组织开展重点领域“双碳”认证相关培训不少于4场，参与</w:t>
      </w:r>
      <w:r>
        <w:rPr>
          <w:rFonts w:hint="eastAsia" w:ascii="宋体" w:hAnsi="宋体" w:cs="宋体"/>
          <w:sz w:val="24"/>
          <w:highlight w:val="none"/>
          <w:lang w:val="en-US" w:eastAsia="zh-CN"/>
        </w:rPr>
        <w:t>总</w:t>
      </w:r>
      <w:r>
        <w:rPr>
          <w:rFonts w:hint="eastAsia" w:ascii="宋体" w:hAnsi="宋体" w:cs="宋体"/>
          <w:sz w:val="24"/>
          <w:highlight w:val="none"/>
          <w:lang w:eastAsia="zh-CN"/>
        </w:rPr>
        <w:t>人数不少于500人</w:t>
      </w:r>
      <w:r>
        <w:rPr>
          <w:rFonts w:hint="eastAsia" w:ascii="宋体" w:hAnsi="宋体" w:cs="宋体"/>
          <w:sz w:val="24"/>
          <w:highlight w:val="none"/>
          <w:lang w:val="en-US" w:eastAsia="zh-CN"/>
        </w:rPr>
        <w:t>次</w:t>
      </w:r>
      <w:r>
        <w:rPr>
          <w:rFonts w:hint="eastAsia" w:ascii="宋体" w:hAnsi="宋体" w:cs="宋体"/>
          <w:sz w:val="24"/>
          <w:highlight w:val="none"/>
          <w:lang w:eastAsia="zh-CN"/>
        </w:rPr>
        <w:t>，</w:t>
      </w:r>
      <w:r>
        <w:rPr>
          <w:rFonts w:hint="eastAsia" w:ascii="宋体" w:hAnsi="宋体" w:cs="宋体"/>
          <w:sz w:val="24"/>
          <w:highlight w:val="none"/>
          <w:lang w:val="en-US" w:eastAsia="zh-CN"/>
        </w:rPr>
        <w:t>学员满意度不低于95%</w:t>
      </w:r>
      <w:r>
        <w:rPr>
          <w:rFonts w:hint="eastAsia" w:ascii="宋体" w:hAnsi="宋体" w:cs="宋体"/>
          <w:sz w:val="24"/>
          <w:highlight w:val="none"/>
          <w:lang w:eastAsia="zh-CN"/>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（5）</w:t>
      </w:r>
      <w:r>
        <w:rPr>
          <w:rFonts w:hint="eastAsia" w:ascii="宋体" w:hAnsi="宋体" w:cs="宋体"/>
          <w:sz w:val="24"/>
          <w:highlight w:val="none"/>
          <w:lang w:eastAsia="zh-CN"/>
        </w:rPr>
        <w:t>为重点领域企业提供专业“双碳”认证服务，培育潜在获证企业不少于200家，新增</w:t>
      </w:r>
      <w:r>
        <w:rPr>
          <w:rFonts w:hint="eastAsia" w:ascii="宋体" w:hAnsi="宋体" w:cs="宋体"/>
          <w:sz w:val="24"/>
          <w:highlight w:val="none"/>
          <w:lang w:val="en-US" w:eastAsia="zh-CN"/>
        </w:rPr>
        <w:t>相关“双碳”认证证书</w:t>
      </w:r>
      <w:r>
        <w:rPr>
          <w:rFonts w:hint="eastAsia" w:ascii="宋体" w:hAnsi="宋体" w:cs="宋体"/>
          <w:sz w:val="24"/>
          <w:highlight w:val="none"/>
          <w:lang w:eastAsia="zh-CN"/>
        </w:rPr>
        <w:t>不少于50张，实现重点领域企业碳排放数据获得国际认可不少于5家。</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（6）提炼</w:t>
      </w:r>
      <w:r>
        <w:rPr>
          <w:rFonts w:hint="eastAsia" w:ascii="宋体" w:hAnsi="宋体" w:cs="宋体"/>
          <w:sz w:val="24"/>
          <w:highlight w:val="none"/>
          <w:lang w:eastAsia="zh-CN"/>
        </w:rPr>
        <w:t>形成计量、标准、检验检测、认证等融合服务产业绿色转型发展案例不少于5个，</w:t>
      </w:r>
      <w:r>
        <w:rPr>
          <w:rFonts w:hint="eastAsia" w:ascii="宋体" w:hAnsi="宋体" w:cs="宋体"/>
          <w:sz w:val="24"/>
          <w:highlight w:val="none"/>
          <w:lang w:val="en-US" w:eastAsia="zh-CN"/>
        </w:rPr>
        <w:t>相关案例得到省级或以上媒体宣传</w:t>
      </w:r>
      <w:r>
        <w:rPr>
          <w:rFonts w:hint="eastAsia" w:ascii="宋体" w:hAnsi="宋体" w:cs="宋体"/>
          <w:sz w:val="24"/>
          <w:highlight w:val="none"/>
          <w:lang w:eastAsia="zh-CN"/>
        </w:rPr>
        <w:t>。</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7</w:t>
      </w:r>
      <w:r>
        <w:rPr>
          <w:rFonts w:hint="eastAsia" w:ascii="宋体" w:hAnsi="宋体" w:cs="宋体"/>
          <w:sz w:val="24"/>
          <w:highlight w:val="none"/>
          <w:lang w:eastAsia="zh-CN"/>
        </w:rPr>
        <w:t>）在新能源汽车、纺织、木制品、乘客电梯等重点领域</w:t>
      </w:r>
      <w:r>
        <w:rPr>
          <w:rFonts w:hint="eastAsia" w:ascii="宋体" w:hAnsi="宋体" w:cs="宋体"/>
          <w:sz w:val="24"/>
          <w:highlight w:val="none"/>
          <w:lang w:val="en-US" w:eastAsia="zh-CN"/>
        </w:rPr>
        <w:t>开展企业碳管理能力提升</w:t>
      </w:r>
      <w:r>
        <w:rPr>
          <w:rFonts w:hint="eastAsia" w:ascii="宋体" w:hAnsi="宋体" w:cs="宋体"/>
          <w:sz w:val="24"/>
          <w:highlight w:val="none"/>
          <w:lang w:eastAsia="zh-CN"/>
        </w:rPr>
        <w:t>“点对点”帮扶</w:t>
      </w:r>
      <w:r>
        <w:rPr>
          <w:rFonts w:hint="eastAsia" w:ascii="宋体" w:hAnsi="宋体" w:cs="宋体"/>
          <w:sz w:val="24"/>
          <w:highlight w:val="none"/>
          <w:lang w:val="en-US" w:eastAsia="zh-CN"/>
        </w:rPr>
        <w:t>工作，</w:t>
      </w:r>
      <w:r>
        <w:rPr>
          <w:rFonts w:hint="eastAsia" w:ascii="宋体" w:hAnsi="宋体" w:cs="宋体"/>
          <w:sz w:val="24"/>
          <w:highlight w:val="none"/>
          <w:lang w:eastAsia="zh-CN"/>
        </w:rPr>
        <w:t>为</w:t>
      </w:r>
      <w:r>
        <w:rPr>
          <w:rFonts w:hint="eastAsia" w:ascii="宋体" w:hAnsi="宋体" w:cs="宋体"/>
          <w:sz w:val="24"/>
          <w:highlight w:val="none"/>
          <w:lang w:val="en-US" w:eastAsia="zh-CN"/>
        </w:rPr>
        <w:t>不少于10家企业</w:t>
      </w:r>
      <w:r>
        <w:rPr>
          <w:rFonts w:hint="eastAsia" w:ascii="宋体" w:hAnsi="宋体" w:cs="宋体"/>
          <w:sz w:val="24"/>
          <w:highlight w:val="none"/>
          <w:lang w:eastAsia="zh-CN"/>
        </w:rPr>
        <w:t>建立碳管理体系和降碳目标，推动企业节能降碳落到实处。</w:t>
      </w:r>
    </w:p>
    <w:p>
      <w:pPr>
        <w:snapToGrid w:val="0"/>
        <w:spacing w:line="360" w:lineRule="auto"/>
        <w:ind w:firstLine="482" w:firstLineChars="200"/>
        <w:rPr>
          <w:rFonts w:hint="eastAsia" w:ascii="宋体" w:hAnsi="宋体" w:cs="宋体"/>
          <w:b/>
          <w:bCs/>
          <w:sz w:val="24"/>
          <w:lang w:val="en-US"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标项七：绿色修船国际认证技术研究及应用</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1.服务内容</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开展国内外绿色修船认证现状调研：深入调研国内外修造船行业对船舶能效、碳排放强度、资源循环利用、绿色能源发展等要求，详细剖析国内造修船产业现状及认证活动开展情况，识别全球绿色贸易壁垒对国内修船业的影响，开展绿色修船认证的路径研究。</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lang w:eastAsia="zh-CN"/>
        </w:rPr>
        <w:t>开展国内外绿色修造船认证标准体系研究：研究国内外绿色修造船绿色认证标准，结合我国修船产业现状及全球绿色船舶发展趋势，构建碳足迹认证和绿色修船认证标准体系指南，推动修船行业绿色发展。</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开展绿色修船国际认证技术标准研究：研究制定国内外绿色修船术语、评价要求等基础与管理标准，为绿色修船国际认证提供技术支持。</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加强绿色修船品牌推广：通过产学研协同合作，开展绿色修造船企业的培育，加强认证推广，推进绿色修船国际化水平，扩大绿色修船行业影响力，提升我国修船产业在全球市场的竞争力。</w:t>
      </w:r>
    </w:p>
    <w:p>
      <w:pPr>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2.重点服务区域：舟山。</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.技术要求</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开展绿色修船标准认证技术研讨活动不少于2场，</w:t>
      </w:r>
      <w:r>
        <w:rPr>
          <w:rFonts w:hint="eastAsia" w:ascii="宋体" w:hAnsi="宋体" w:cs="宋体"/>
          <w:sz w:val="24"/>
          <w:lang w:eastAsia="zh-CN"/>
        </w:rPr>
        <w:t>研究形成国内外绿色修造船认证发展现状</w:t>
      </w:r>
      <w:r>
        <w:rPr>
          <w:rFonts w:hint="eastAsia" w:ascii="宋体" w:hAnsi="宋体" w:cs="宋体"/>
          <w:sz w:val="24"/>
          <w:lang w:val="en-US" w:eastAsia="zh-CN"/>
        </w:rPr>
        <w:t>及对策建议</w:t>
      </w:r>
      <w:r>
        <w:rPr>
          <w:rFonts w:hint="eastAsia" w:ascii="宋体" w:hAnsi="宋体" w:cs="宋体"/>
          <w:sz w:val="24"/>
          <w:lang w:eastAsia="zh-CN"/>
        </w:rPr>
        <w:t>调研报告1份。</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lang w:eastAsia="zh-CN"/>
        </w:rPr>
        <w:t>研究形成绿色修造船认证标准体系建设指南1份。</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完成绿色修船术语、评价要求</w:t>
      </w:r>
      <w:r>
        <w:rPr>
          <w:rFonts w:hint="eastAsia" w:ascii="宋体" w:hAnsi="宋体" w:cs="宋体"/>
          <w:sz w:val="24"/>
          <w:lang w:val="en-US" w:eastAsia="zh-CN"/>
        </w:rPr>
        <w:t>等相关</w:t>
      </w:r>
      <w:r>
        <w:rPr>
          <w:rFonts w:hint="eastAsia" w:ascii="宋体" w:hAnsi="宋体" w:cs="宋体"/>
          <w:sz w:val="24"/>
          <w:lang w:eastAsia="zh-CN"/>
        </w:rPr>
        <w:t>标准立项不少于</w:t>
      </w:r>
      <w:r>
        <w:rPr>
          <w:rFonts w:hint="eastAsia" w:ascii="宋体" w:hAnsi="宋体" w:cs="宋体"/>
          <w:sz w:val="24"/>
          <w:lang w:val="en-US" w:eastAsia="zh-CN"/>
        </w:rPr>
        <w:t>3</w:t>
      </w:r>
      <w:r>
        <w:rPr>
          <w:rFonts w:hint="eastAsia" w:ascii="宋体" w:hAnsi="宋体" w:cs="宋体"/>
          <w:sz w:val="24"/>
          <w:lang w:eastAsia="zh-CN"/>
        </w:rPr>
        <w:t>项。</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lang w:eastAsia="zh-CN"/>
        </w:rPr>
        <w:t>开展绿色修造船认证培训不少于</w:t>
      </w:r>
      <w:r>
        <w:rPr>
          <w:rFonts w:hint="eastAsia" w:ascii="宋体" w:hAnsi="宋体" w:cs="宋体"/>
          <w:sz w:val="24"/>
          <w:lang w:val="en-US" w:eastAsia="zh-CN"/>
        </w:rPr>
        <w:t>2</w:t>
      </w:r>
      <w:r>
        <w:rPr>
          <w:rFonts w:hint="eastAsia" w:ascii="宋体" w:hAnsi="宋体" w:cs="宋体"/>
          <w:sz w:val="24"/>
          <w:lang w:eastAsia="zh-CN"/>
        </w:rPr>
        <w:t>场，</w:t>
      </w:r>
      <w:r>
        <w:rPr>
          <w:rFonts w:hint="eastAsia" w:ascii="宋体" w:hAnsi="宋体" w:cs="宋体"/>
          <w:sz w:val="24"/>
          <w:lang w:val="en-US" w:eastAsia="zh-CN"/>
        </w:rPr>
        <w:t>培训对象</w:t>
      </w:r>
      <w:r>
        <w:rPr>
          <w:rFonts w:hint="eastAsia" w:ascii="宋体" w:hAnsi="宋体" w:cs="宋体"/>
          <w:sz w:val="24"/>
          <w:lang w:eastAsia="zh-CN"/>
        </w:rPr>
        <w:t>不少于</w:t>
      </w:r>
      <w:r>
        <w:rPr>
          <w:rFonts w:hint="eastAsia" w:ascii="宋体" w:hAnsi="宋体" w:cs="宋体"/>
          <w:sz w:val="24"/>
          <w:lang w:val="en-US" w:eastAsia="zh-CN"/>
        </w:rPr>
        <w:t>2</w:t>
      </w:r>
      <w:r>
        <w:rPr>
          <w:rFonts w:hint="eastAsia" w:ascii="宋体" w:hAnsi="宋体" w:cs="宋体"/>
          <w:sz w:val="24"/>
          <w:lang w:eastAsia="zh-CN"/>
        </w:rPr>
        <w:t>00人次。</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（5）</w:t>
      </w:r>
      <w:r>
        <w:rPr>
          <w:rFonts w:hint="eastAsia" w:ascii="宋体" w:hAnsi="宋体" w:cs="宋体"/>
          <w:sz w:val="24"/>
          <w:lang w:eastAsia="zh-CN"/>
        </w:rPr>
        <w:t>培育绿色修造船认证企业不少于</w:t>
      </w:r>
      <w:r>
        <w:rPr>
          <w:rFonts w:hint="eastAsia" w:ascii="宋体" w:hAnsi="宋体" w:cs="宋体"/>
          <w:sz w:val="24"/>
          <w:lang w:val="en-US" w:eastAsia="zh-CN"/>
        </w:rPr>
        <w:t>5</w:t>
      </w:r>
      <w:r>
        <w:rPr>
          <w:rFonts w:hint="eastAsia" w:ascii="宋体" w:hAnsi="宋体" w:cs="宋体"/>
          <w:sz w:val="24"/>
          <w:lang w:eastAsia="zh-CN"/>
        </w:rPr>
        <w:t>家，</w:t>
      </w:r>
      <w:r>
        <w:rPr>
          <w:rFonts w:hint="eastAsia" w:ascii="宋体" w:hAnsi="宋体" w:cs="宋体"/>
          <w:sz w:val="24"/>
          <w:lang w:val="en-US" w:eastAsia="zh-CN"/>
        </w:rPr>
        <w:t>颁发证书不少于2张</w:t>
      </w:r>
      <w:r>
        <w:rPr>
          <w:rFonts w:hint="eastAsia" w:ascii="宋体" w:hAnsi="宋体" w:cs="宋体"/>
          <w:sz w:val="24"/>
          <w:lang w:eastAsia="zh-CN"/>
        </w:rPr>
        <w:t>。</w:t>
      </w:r>
    </w:p>
    <w:p>
      <w:pPr>
        <w:snapToGrid w:val="0"/>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（6）相关工作获得省级或以上</w:t>
      </w:r>
      <w:r>
        <w:rPr>
          <w:rFonts w:hint="eastAsia" w:ascii="宋体" w:hAnsi="宋体" w:cs="宋体"/>
          <w:sz w:val="24"/>
          <w:lang w:eastAsia="zh-CN"/>
        </w:rPr>
        <w:t>媒体宣传</w:t>
      </w:r>
      <w:r>
        <w:rPr>
          <w:rFonts w:hint="eastAsia" w:ascii="宋体" w:hAnsi="宋体" w:cs="宋体"/>
          <w:sz w:val="24"/>
          <w:lang w:val="en-US" w:eastAsia="zh-CN"/>
        </w:rPr>
        <w:t>报道</w:t>
      </w:r>
      <w:r>
        <w:rPr>
          <w:rFonts w:hint="eastAsia" w:ascii="宋体" w:hAnsi="宋体" w:cs="宋体"/>
          <w:sz w:val="24"/>
          <w:lang w:eastAsia="zh-CN"/>
        </w:rPr>
        <w:t>不少于</w:t>
      </w:r>
      <w:r>
        <w:rPr>
          <w:rFonts w:hint="eastAsia" w:ascii="宋体" w:hAnsi="宋体" w:cs="宋体"/>
          <w:sz w:val="24"/>
          <w:lang w:val="en-US" w:eastAsia="zh-CN"/>
        </w:rPr>
        <w:t>5条（篇）次</w:t>
      </w:r>
      <w:r>
        <w:rPr>
          <w:rFonts w:hint="eastAsia" w:ascii="宋体" w:hAnsi="宋体" w:cs="宋体"/>
          <w:sz w:val="24"/>
          <w:lang w:eastAsia="zh-CN"/>
        </w:rPr>
        <w:t>。</w:t>
      </w:r>
    </w:p>
    <w:p>
      <w:pPr>
        <w:snapToGrid w:val="0"/>
        <w:spacing w:line="360" w:lineRule="auto"/>
        <w:ind w:firstLine="482" w:firstLineChars="200"/>
        <w:rPr>
          <w:rFonts w:hint="eastAsia" w:ascii="宋体" w:hAnsi="宋体" w:cs="宋体"/>
          <w:b/>
          <w:bCs/>
          <w:sz w:val="24"/>
          <w:highlight w:val="none"/>
          <w:lang w:val="en-US"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标项八：检测认证促进义乌深化国贸改革提升贸易便利化研究</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1.服务内容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（1）开展家电产品国内外制度研究。分类整理不同国家和地区的市场准入制度、执行标准、认证类别等，绘制全球市场准入地图。调研国际认证机构能力及义乌地区主要产业国际认证需求，形成</w:t>
      </w:r>
      <w:r>
        <w:rPr>
          <w:rFonts w:hint="eastAsia" w:ascii="宋体" w:hAnsi="宋体" w:cs="宋体"/>
          <w:sz w:val="24"/>
          <w:highlight w:val="none"/>
          <w:lang w:val="en-US" w:eastAsia="zh-CN"/>
        </w:rPr>
        <w:t>相关</w:t>
      </w:r>
      <w:r>
        <w:rPr>
          <w:rFonts w:hint="eastAsia" w:ascii="宋体" w:hAnsi="宋体" w:cs="宋体"/>
          <w:sz w:val="24"/>
          <w:highlight w:val="none"/>
          <w:lang w:eastAsia="zh-CN"/>
        </w:rPr>
        <w:t>分析报告。</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开展家电平行进口检测和认证机制建设研究。研究平行进口家电CCC认证高效获证机制，开展进口家电产品CCC认证机制创新和合规转化产品质量安全研究，推动认证机构在“一带一路”沿线国家开展CCC认证便捷服务机制应用。</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协助</w:t>
      </w:r>
      <w:r>
        <w:rPr>
          <w:rFonts w:hint="eastAsia" w:ascii="宋体" w:hAnsi="宋体" w:cs="宋体"/>
          <w:sz w:val="24"/>
          <w:highlight w:val="none"/>
          <w:lang w:eastAsia="zh-CN"/>
        </w:rPr>
        <w:t>建设检测认证义乌服务中心。开展义乌服务中心长效服务机制研究，实现CCC认证本地化，打造家门口的检测认证一站式服务中心。</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）开展重点领域检测认证合规性研究。编制机电、化工、“新三样”等重点出口产品检测认证合规指南，并开展重点产品欧美市场准入专题培训。推进义乌地区内外贸产品“同线同标同质”（</w:t>
      </w:r>
      <w:r>
        <w:rPr>
          <w:rFonts w:hint="eastAsia" w:ascii="宋体" w:hAnsi="宋体" w:cs="宋体"/>
          <w:sz w:val="24"/>
          <w:highlight w:val="none"/>
          <w:lang w:val="en-US" w:eastAsia="zh-CN"/>
        </w:rPr>
        <w:t>即“三同”</w:t>
      </w:r>
      <w:r>
        <w:rPr>
          <w:rFonts w:hint="eastAsia" w:ascii="宋体" w:hAnsi="宋体" w:cs="宋体"/>
          <w:sz w:val="24"/>
          <w:highlight w:val="none"/>
          <w:lang w:eastAsia="zh-CN"/>
        </w:rPr>
        <w:t>）认定，</w:t>
      </w:r>
      <w:r>
        <w:rPr>
          <w:rFonts w:hint="eastAsia" w:ascii="宋体" w:hAnsi="宋体" w:cs="宋体"/>
          <w:sz w:val="24"/>
          <w:highlight w:val="none"/>
          <w:lang w:val="en-US" w:eastAsia="zh-CN"/>
        </w:rPr>
        <w:t>深入推行</w:t>
      </w:r>
      <w:r>
        <w:rPr>
          <w:rFonts w:hint="eastAsia" w:ascii="宋体" w:hAnsi="宋体" w:cs="宋体"/>
          <w:sz w:val="24"/>
          <w:highlight w:val="none"/>
          <w:lang w:eastAsia="zh-CN"/>
        </w:rPr>
        <w:t>“浙江制造”一次认证多国证书模式。</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）开展义乌企业质量管理能力提升机制研究。开展家电、玩具行业质量管理、检测认证培训，培养产业链质量管理人才团队，建设检测技术能力提升实训场所，促进区域企业质量管理水平提升及行业高质量发展。</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2.重点服务区域：义乌。</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3</w:t>
      </w:r>
      <w:r>
        <w:rPr>
          <w:rFonts w:hint="eastAsia" w:ascii="宋体" w:hAnsi="宋体" w:cs="宋体"/>
          <w:sz w:val="24"/>
          <w:highlight w:val="none"/>
          <w:lang w:eastAsia="zh-CN"/>
        </w:rPr>
        <w:t>.技术要求</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（1）全面整理义乌地区主要出口国家和地区的市场准入制度、主管部门、准入标准、认证类别等主要信息，</w:t>
      </w:r>
      <w:r>
        <w:rPr>
          <w:rFonts w:hint="eastAsia" w:ascii="宋体" w:hAnsi="宋体" w:cs="宋体"/>
          <w:sz w:val="24"/>
          <w:highlight w:val="none"/>
          <w:lang w:val="en-US" w:eastAsia="zh-CN"/>
        </w:rPr>
        <w:t>编制</w:t>
      </w:r>
      <w:r>
        <w:rPr>
          <w:rFonts w:hint="eastAsia" w:ascii="宋体" w:hAnsi="宋体" w:cs="宋体"/>
          <w:sz w:val="24"/>
          <w:highlight w:val="none"/>
          <w:lang w:eastAsia="zh-CN"/>
        </w:rPr>
        <w:t>形成相关信息不少于300条，</w:t>
      </w:r>
      <w:r>
        <w:rPr>
          <w:rFonts w:hint="eastAsia" w:ascii="宋体" w:hAnsi="宋体" w:cs="宋体"/>
          <w:sz w:val="24"/>
          <w:highlight w:val="none"/>
          <w:lang w:val="en-US" w:eastAsia="zh-CN"/>
        </w:rPr>
        <w:t>包含</w:t>
      </w:r>
      <w:r>
        <w:rPr>
          <w:rFonts w:hint="eastAsia" w:ascii="宋体" w:hAnsi="宋体" w:cs="宋体"/>
          <w:sz w:val="24"/>
          <w:highlight w:val="none"/>
          <w:lang w:eastAsia="zh-CN"/>
        </w:rPr>
        <w:t>主要出口</w:t>
      </w:r>
      <w:r>
        <w:rPr>
          <w:rFonts w:hint="eastAsia" w:ascii="宋体" w:hAnsi="宋体" w:cs="宋体"/>
          <w:sz w:val="24"/>
          <w:highlight w:val="none"/>
          <w:lang w:val="en-US" w:eastAsia="zh-CN"/>
        </w:rPr>
        <w:t>国家和地区</w:t>
      </w:r>
      <w:r>
        <w:rPr>
          <w:rFonts w:hint="eastAsia" w:ascii="宋体" w:hAnsi="宋体" w:cs="宋体"/>
          <w:sz w:val="24"/>
          <w:highlight w:val="none"/>
          <w:lang w:eastAsia="zh-CN"/>
        </w:rPr>
        <w:t>不少于10个。</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）形成平行进口家电产品标准符合性整改项目及认证简化优化建议1份，研制平行进口家电产品CCC认证实施细则1项。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）研制义乌服务中心检测认证便利化服务规范1套，提炼形成典型服务案例不少于2项。</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）形成重点领域检测认证合规指南1套。开展重点产品欧美市场准入专题培训至少1场，培训总人数不少于100人。</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）指导在义乌当地建成家电或玩具质量检验技术能力提升实训场所1个，并开展质量检验技术专题培训，培训对象不少于100人次。</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6</w:t>
      </w:r>
      <w:r>
        <w:rPr>
          <w:rFonts w:hint="eastAsia" w:ascii="宋体" w:hAnsi="宋体" w:cs="宋体"/>
          <w:sz w:val="24"/>
          <w:highlight w:val="none"/>
          <w:lang w:eastAsia="zh-CN"/>
        </w:rPr>
        <w:t>）指导义乌企业开展“三同”申报，服务期内新增“三同”产品不少于10个；持续推行“一次认证、多国证书”的融合认证，协助义乌企业获得“浙江制造”国际合作认证证书不少于3张。</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7</w:t>
      </w:r>
      <w:r>
        <w:rPr>
          <w:rFonts w:hint="eastAsia" w:ascii="宋体" w:hAnsi="宋体" w:cs="宋体"/>
          <w:sz w:val="24"/>
          <w:highlight w:val="none"/>
          <w:lang w:eastAsia="zh-CN"/>
        </w:rPr>
        <w:t>）调研</w:t>
      </w:r>
      <w:r>
        <w:rPr>
          <w:rFonts w:hint="eastAsia" w:ascii="宋体" w:hAnsi="宋体" w:cs="宋体"/>
          <w:sz w:val="24"/>
          <w:highlight w:val="none"/>
          <w:lang w:val="en-US" w:eastAsia="zh-CN"/>
        </w:rPr>
        <w:t>至少10家</w:t>
      </w:r>
      <w:r>
        <w:rPr>
          <w:rFonts w:hint="eastAsia" w:ascii="宋体" w:hAnsi="宋体" w:cs="宋体"/>
          <w:sz w:val="24"/>
          <w:highlight w:val="none"/>
          <w:lang w:eastAsia="zh-CN"/>
        </w:rPr>
        <w:t>国内外主要认证机构，调研信息需包括其资质、服务范围、技术能力、收费标准等关键信息；面向不少于30家重点出口企业开展问卷调查，选取不少于10家代表性企业进行深度</w:t>
      </w:r>
      <w:r>
        <w:rPr>
          <w:rFonts w:hint="eastAsia" w:ascii="宋体" w:hAnsi="宋体" w:cs="宋体"/>
          <w:sz w:val="24"/>
          <w:highlight w:val="none"/>
          <w:lang w:val="en-US" w:eastAsia="zh-CN"/>
        </w:rPr>
        <w:t>调研</w:t>
      </w:r>
      <w:r>
        <w:rPr>
          <w:rFonts w:hint="eastAsia" w:ascii="宋体" w:hAnsi="宋体" w:cs="宋体"/>
          <w:sz w:val="24"/>
          <w:highlight w:val="none"/>
          <w:lang w:eastAsia="zh-CN"/>
        </w:rPr>
        <w:t>访谈，形成《国际认证能力与产业需求适配矩阵分析报告》和可视化图表</w:t>
      </w:r>
      <w:r>
        <w:rPr>
          <w:rFonts w:hint="eastAsia" w:ascii="宋体" w:hAnsi="宋体" w:cs="宋体"/>
          <w:sz w:val="24"/>
          <w:highlight w:val="none"/>
          <w:lang w:val="en-US" w:eastAsia="zh-CN"/>
        </w:rPr>
        <w:t>各1份</w:t>
      </w:r>
      <w:r>
        <w:rPr>
          <w:rFonts w:hint="eastAsia" w:ascii="宋体" w:hAnsi="宋体" w:cs="宋体"/>
          <w:sz w:val="24"/>
          <w:highlight w:val="none"/>
          <w:lang w:eastAsia="zh-CN"/>
        </w:rPr>
        <w:t>。</w:t>
      </w:r>
    </w:p>
    <w:p>
      <w:pPr>
        <w:pStyle w:val="2"/>
        <w:rPr>
          <w:rFonts w:hint="eastAsia"/>
          <w:lang w:eastAsia="zh-CN"/>
        </w:rPr>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bookmarkStart w:id="34" w:name="_Toc25526"/>
      <w:bookmarkStart w:id="35" w:name="_Toc30340"/>
      <w:r>
        <w:rPr>
          <w:rFonts w:hint="eastAsia" w:ascii="宋体" w:hAnsi="宋体" w:eastAsia="宋体" w:cs="宋体"/>
          <w:sz w:val="24"/>
          <w:szCs w:val="24"/>
          <w:lang w:val="en-US" w:eastAsia="zh-CN"/>
        </w:rPr>
        <w:t>三、服务时间要求</w:t>
      </w:r>
    </w:p>
    <w:p>
      <w:pPr>
        <w:tabs>
          <w:tab w:val="left" w:pos="5613"/>
        </w:tabs>
        <w:snapToGrid w:val="0"/>
        <w:spacing w:line="360" w:lineRule="auto"/>
        <w:ind w:firstLine="480" w:firstLineChars="200"/>
        <w:rPr>
          <w:rFonts w:ascii="宋体" w:hAnsi="宋体" w:cs="宋体"/>
          <w:color w:val="auto"/>
          <w:sz w:val="24"/>
        </w:rPr>
      </w:pPr>
      <w:r>
        <w:rPr>
          <w:rFonts w:ascii="宋体" w:hAnsi="宋体" w:cs="宋体"/>
          <w:color w:val="auto"/>
          <w:sz w:val="24"/>
        </w:rPr>
        <w:t>自合同</w:t>
      </w:r>
      <w:r>
        <w:rPr>
          <w:rFonts w:hint="eastAsia" w:ascii="宋体" w:hAnsi="宋体" w:cs="宋体"/>
          <w:color w:val="auto"/>
          <w:sz w:val="24"/>
          <w:lang w:val="en-US" w:eastAsia="zh-CN"/>
        </w:rPr>
        <w:t>签订</w:t>
      </w:r>
      <w:r>
        <w:rPr>
          <w:rFonts w:hint="eastAsia" w:ascii="宋体" w:hAnsi="宋体" w:cs="宋体"/>
          <w:color w:val="auto"/>
          <w:sz w:val="24"/>
          <w:lang w:val="en-US" w:eastAsia="zh-CN"/>
        </w:rPr>
        <w:t>生效后12个月</w:t>
      </w:r>
      <w:r>
        <w:rPr>
          <w:rFonts w:hint="eastAsia" w:ascii="宋体" w:hAnsi="宋体" w:cs="宋体"/>
          <w:color w:val="auto"/>
          <w:sz w:val="24"/>
          <w:lang w:val="en-US" w:eastAsia="zh-CN"/>
        </w:rPr>
        <w:t>内完</w:t>
      </w:r>
      <w:r>
        <w:rPr>
          <w:rFonts w:ascii="宋体" w:hAnsi="宋体" w:cs="宋体"/>
          <w:color w:val="auto"/>
          <w:sz w:val="24"/>
        </w:rPr>
        <w:t>成</w:t>
      </w:r>
      <w:r>
        <w:rPr>
          <w:rFonts w:hint="eastAsia" w:ascii="宋体" w:hAnsi="宋体" w:cs="宋体"/>
          <w:color w:val="auto"/>
          <w:sz w:val="24"/>
          <w:lang w:eastAsia="zh-CN"/>
        </w:rPr>
        <w:t>，</w:t>
      </w:r>
      <w:r>
        <w:rPr>
          <w:rFonts w:hint="eastAsia" w:ascii="宋体" w:hAnsi="宋体" w:cs="宋体"/>
          <w:color w:val="auto"/>
          <w:sz w:val="24"/>
          <w:lang w:val="en-US" w:eastAsia="zh-CN"/>
        </w:rPr>
        <w:t>确因不可抵抗力等原因造成项目无法按时完成，允许中标人向采购人书面申请一次且不超过30天的延期时间</w:t>
      </w:r>
      <w:r>
        <w:rPr>
          <w:rFonts w:ascii="宋体" w:hAnsi="宋体" w:cs="宋体"/>
          <w:color w:val="auto"/>
          <w:sz w:val="24"/>
        </w:rPr>
        <w:t>。</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四、验收方法及标准</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中标人应按照上述支撑需求，完成各项支撑工作，并形成工作材料，各项工作材料应体现具体工作内容、工作成效和合理化建议。采购人将结合支撑工作实际和相关工作材料予以考核。中标人可提前申请验收。</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中标人所提供验收材料完整，且工作无严重质量问题，则验收合格。其中，严重工作问题为：</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eastAsia="zh-CN"/>
        </w:rPr>
        <w:t>1.</w:t>
      </w:r>
      <w:r>
        <w:rPr>
          <w:rFonts w:hint="eastAsia" w:ascii="宋体" w:hAnsi="宋体" w:cs="宋体"/>
          <w:sz w:val="24"/>
          <w:highlight w:val="none"/>
          <w:lang w:val="en-US" w:eastAsia="zh-CN"/>
        </w:rPr>
        <w:t>中标人</w:t>
      </w:r>
      <w:r>
        <w:rPr>
          <w:rFonts w:hint="eastAsia" w:ascii="宋体" w:hAnsi="宋体" w:cs="宋体"/>
          <w:sz w:val="24"/>
          <w:highlight w:val="none"/>
          <w:lang w:eastAsia="zh-CN"/>
        </w:rPr>
        <w:t>的</w:t>
      </w:r>
      <w:r>
        <w:rPr>
          <w:rFonts w:hint="eastAsia" w:ascii="宋体" w:hAnsi="宋体" w:cs="宋体"/>
          <w:sz w:val="24"/>
          <w:highlight w:val="none"/>
          <w:lang w:val="en-US" w:eastAsia="zh-CN"/>
        </w:rPr>
        <w:t>相关人员在具体工作中，违反有关法律法规规定，涉及民事或刑事犯罪；</w:t>
      </w:r>
    </w:p>
    <w:p>
      <w:pPr>
        <w:snapToGrid w:val="0"/>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2.因中标人自身原因，造成项目工作延期；</w:t>
      </w:r>
    </w:p>
    <w:p>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3.采购人认定的其他严重质量问题。</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五、人员配置要求</w:t>
      </w:r>
    </w:p>
    <w:p>
      <w:pPr>
        <w:tabs>
          <w:tab w:val="left" w:pos="5613"/>
        </w:tabs>
        <w:snapToGrid w:val="0"/>
        <w:spacing w:line="360" w:lineRule="auto"/>
        <w:ind w:firstLine="480" w:firstLineChars="200"/>
        <w:rPr>
          <w:rFonts w:hint="default" w:ascii="宋体" w:hAnsi="宋体" w:cs="宋体"/>
          <w:b w:val="0"/>
          <w:bCs w:val="0"/>
          <w:color w:val="auto"/>
          <w:sz w:val="24"/>
          <w:lang w:val="en-US" w:eastAsia="zh-CN"/>
        </w:rPr>
      </w:pPr>
      <w:r>
        <w:rPr>
          <w:rFonts w:hint="eastAsia" w:ascii="宋体" w:hAnsi="宋体" w:cs="宋体"/>
          <w:color w:val="auto"/>
          <w:sz w:val="24"/>
          <w:lang w:val="en-US" w:eastAsia="zh-CN"/>
        </w:rPr>
        <w:t>投标人提供完整的人员配置方案，至少包括拟投入本项目的人员概况、人员职责及分工等情况介绍。具体要求如下：</w:t>
      </w:r>
    </w:p>
    <w:p>
      <w:pPr>
        <w:tabs>
          <w:tab w:val="left" w:pos="5613"/>
        </w:tabs>
        <w:snapToGrid w:val="0"/>
        <w:spacing w:line="360" w:lineRule="auto"/>
        <w:ind w:firstLine="480" w:firstLineChars="200"/>
        <w:rPr>
          <w:rFonts w:ascii="宋体" w:hAnsi="宋体" w:cs="宋体"/>
          <w:b w:val="0"/>
          <w:bCs w:val="0"/>
          <w:color w:val="auto"/>
          <w:sz w:val="24"/>
        </w:rPr>
      </w:pPr>
      <w:r>
        <w:rPr>
          <w:rFonts w:ascii="宋体" w:hAnsi="宋体" w:cs="宋体"/>
          <w:b w:val="0"/>
          <w:bCs w:val="0"/>
          <w:color w:val="auto"/>
          <w:sz w:val="24"/>
        </w:rPr>
        <w:t>1</w:t>
      </w:r>
      <w:r>
        <w:rPr>
          <w:rFonts w:hint="eastAsia" w:ascii="宋体" w:hAnsi="宋体" w:cs="宋体"/>
          <w:b w:val="0"/>
          <w:bCs w:val="0"/>
          <w:color w:val="auto"/>
          <w:sz w:val="24"/>
          <w:lang w:val="en-US" w:eastAsia="zh-CN"/>
        </w:rPr>
        <w:t>.</w:t>
      </w:r>
      <w:r>
        <w:rPr>
          <w:rFonts w:ascii="宋体" w:hAnsi="宋体" w:cs="宋体"/>
          <w:b w:val="0"/>
          <w:bCs w:val="0"/>
          <w:color w:val="auto"/>
          <w:sz w:val="24"/>
        </w:rPr>
        <w:t>项目负责人</w:t>
      </w:r>
      <w:r>
        <w:rPr>
          <w:rFonts w:hint="eastAsia" w:ascii="宋体" w:hAnsi="宋体" w:cs="宋体"/>
          <w:b w:val="0"/>
          <w:bCs w:val="0"/>
          <w:color w:val="auto"/>
          <w:sz w:val="24"/>
          <w:lang w:val="en-US" w:eastAsia="zh-CN"/>
        </w:rPr>
        <w:t>应</w:t>
      </w:r>
      <w:r>
        <w:rPr>
          <w:rFonts w:ascii="宋体" w:hAnsi="宋体" w:cs="宋体"/>
          <w:b w:val="0"/>
          <w:bCs w:val="0"/>
          <w:color w:val="auto"/>
          <w:sz w:val="24"/>
        </w:rPr>
        <w:t>具有</w:t>
      </w:r>
      <w:r>
        <w:rPr>
          <w:rFonts w:hint="eastAsia" w:ascii="宋体" w:hAnsi="宋体" w:cs="宋体"/>
          <w:b w:val="0"/>
          <w:bCs w:val="0"/>
          <w:color w:val="auto"/>
          <w:sz w:val="24"/>
          <w:lang w:val="en-US" w:eastAsia="zh-CN"/>
        </w:rPr>
        <w:t>标准、计量、检测、质量等相关专业副高级（含）</w:t>
      </w:r>
      <w:r>
        <w:rPr>
          <w:rFonts w:ascii="宋体" w:hAnsi="宋体" w:cs="宋体"/>
          <w:b w:val="0"/>
          <w:bCs w:val="0"/>
          <w:color w:val="auto"/>
          <w:sz w:val="24"/>
        </w:rPr>
        <w:t>以上</w:t>
      </w:r>
      <w:r>
        <w:rPr>
          <w:rFonts w:hint="eastAsia" w:ascii="宋体" w:hAnsi="宋体" w:cs="宋体"/>
          <w:b w:val="0"/>
          <w:bCs w:val="0"/>
          <w:color w:val="auto"/>
          <w:sz w:val="24"/>
          <w:lang w:val="en-US" w:eastAsia="zh-CN"/>
        </w:rPr>
        <w:t>技术</w:t>
      </w:r>
      <w:r>
        <w:rPr>
          <w:rFonts w:ascii="宋体" w:hAnsi="宋体" w:cs="宋体"/>
          <w:b w:val="0"/>
          <w:bCs w:val="0"/>
          <w:color w:val="auto"/>
          <w:sz w:val="24"/>
        </w:rPr>
        <w:t>职称，</w:t>
      </w:r>
      <w:r>
        <w:rPr>
          <w:rFonts w:hint="eastAsia" w:ascii="宋体" w:hAnsi="宋体" w:cs="宋体"/>
          <w:b w:val="0"/>
          <w:bCs w:val="0"/>
          <w:color w:val="auto"/>
          <w:sz w:val="24"/>
          <w:lang w:val="en-US" w:eastAsia="zh-CN"/>
        </w:rPr>
        <w:t>具备5年及以上类似项目管理及实施的相关工作经验</w:t>
      </w:r>
      <w:r>
        <w:rPr>
          <w:rFonts w:ascii="宋体" w:hAnsi="宋体" w:cs="宋体"/>
          <w:b w:val="0"/>
          <w:bCs w:val="0"/>
          <w:color w:val="auto"/>
          <w:sz w:val="24"/>
        </w:rPr>
        <w:t>。</w:t>
      </w:r>
    </w:p>
    <w:p>
      <w:pPr>
        <w:tabs>
          <w:tab w:val="left" w:pos="5613"/>
        </w:tabs>
        <w:snapToGrid w:val="0"/>
        <w:spacing w:line="360" w:lineRule="auto"/>
        <w:ind w:firstLine="480" w:firstLineChars="200"/>
        <w:rPr>
          <w:rFonts w:ascii="宋体" w:hAnsi="宋体" w:cs="宋体"/>
          <w:b w:val="0"/>
          <w:bCs w:val="0"/>
          <w:color w:val="auto"/>
          <w:sz w:val="24"/>
        </w:rPr>
      </w:pPr>
      <w:r>
        <w:rPr>
          <w:rFonts w:ascii="宋体" w:hAnsi="宋体" w:cs="宋体"/>
          <w:b w:val="0"/>
          <w:bCs w:val="0"/>
          <w:color w:val="auto"/>
          <w:sz w:val="24"/>
        </w:rPr>
        <w:t>2</w:t>
      </w:r>
      <w:r>
        <w:rPr>
          <w:rFonts w:hint="eastAsia" w:ascii="宋体" w:hAnsi="宋体" w:cs="宋体"/>
          <w:b w:val="0"/>
          <w:bCs w:val="0"/>
          <w:color w:val="auto"/>
          <w:sz w:val="24"/>
          <w:lang w:val="en-US" w:eastAsia="zh-CN"/>
        </w:rPr>
        <w:t>.</w:t>
      </w:r>
      <w:r>
        <w:rPr>
          <w:rFonts w:ascii="宋体" w:hAnsi="宋体" w:cs="宋体"/>
          <w:b w:val="0"/>
          <w:bCs w:val="0"/>
          <w:color w:val="auto"/>
          <w:sz w:val="24"/>
        </w:rPr>
        <w:t>项目团队</w:t>
      </w:r>
      <w:r>
        <w:rPr>
          <w:rFonts w:hint="eastAsia" w:ascii="宋体" w:hAnsi="宋体" w:cs="宋体"/>
          <w:b w:val="0"/>
          <w:bCs w:val="0"/>
          <w:color w:val="auto"/>
          <w:sz w:val="24"/>
          <w:lang w:val="en-US" w:eastAsia="zh-CN"/>
        </w:rPr>
        <w:t>人员</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除项目负责人外</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数量不少于10人，且具有中级（含）以上技术职称的人员数量不少于5人。</w:t>
      </w:r>
      <w:r>
        <w:rPr>
          <w:rFonts w:ascii="宋体" w:hAnsi="宋体" w:cs="宋体"/>
          <w:b w:val="0"/>
          <w:bCs w:val="0"/>
          <w:color w:val="auto"/>
          <w:sz w:val="24"/>
        </w:rPr>
        <w:t>人员</w:t>
      </w:r>
      <w:r>
        <w:rPr>
          <w:rFonts w:hint="eastAsia" w:ascii="宋体" w:hAnsi="宋体" w:cs="宋体"/>
          <w:b w:val="0"/>
          <w:bCs w:val="0"/>
          <w:color w:val="auto"/>
          <w:sz w:val="24"/>
          <w:lang w:val="en-US" w:eastAsia="zh-CN"/>
        </w:rPr>
        <w:t>岗位配置合理</w:t>
      </w:r>
      <w:r>
        <w:rPr>
          <w:rFonts w:ascii="宋体" w:hAnsi="宋体" w:cs="宋体"/>
          <w:b w:val="0"/>
          <w:bCs w:val="0"/>
          <w:color w:val="auto"/>
          <w:sz w:val="24"/>
        </w:rPr>
        <w:t>、</w:t>
      </w:r>
      <w:r>
        <w:rPr>
          <w:rFonts w:hint="eastAsia" w:ascii="宋体" w:hAnsi="宋体" w:cs="宋体"/>
          <w:b w:val="0"/>
          <w:bCs w:val="0"/>
          <w:color w:val="auto"/>
          <w:sz w:val="24"/>
          <w:lang w:val="en-US" w:eastAsia="zh-CN"/>
        </w:rPr>
        <w:t>任务分工明确、专业合理。</w:t>
      </w:r>
      <w:r>
        <w:rPr>
          <w:rFonts w:ascii="宋体" w:hAnsi="宋体" w:cs="宋体"/>
          <w:b w:val="0"/>
          <w:bCs w:val="0"/>
          <w:color w:val="auto"/>
          <w:sz w:val="24"/>
        </w:rPr>
        <w:t>基本素质与学历水平、职称、类似项目经验等情况。</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六、资金使用要求</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中标人</w:t>
      </w:r>
      <w:r>
        <w:rPr>
          <w:rFonts w:hint="default" w:ascii="宋体" w:hAnsi="宋体" w:cs="宋体"/>
          <w:color w:val="auto"/>
          <w:sz w:val="24"/>
          <w:lang w:val="en-US" w:eastAsia="zh-CN"/>
        </w:rPr>
        <w:t>应将本项目资金全部用于本项目工作开展当中，且不得用于购买仪器设备</w:t>
      </w:r>
      <w:r>
        <w:rPr>
          <w:rFonts w:hint="eastAsia" w:ascii="宋体" w:hAnsi="宋体" w:cs="宋体"/>
          <w:color w:val="auto"/>
          <w:sz w:val="24"/>
          <w:lang w:val="en-US" w:eastAsia="zh-CN"/>
        </w:rPr>
        <w:t>（或装备），资金使用情况将作为项目验收评审材料之一</w:t>
      </w:r>
      <w:r>
        <w:rPr>
          <w:rFonts w:hint="default" w:ascii="宋体" w:hAnsi="宋体" w:cs="宋体"/>
          <w:color w:val="auto"/>
          <w:sz w:val="24"/>
          <w:lang w:val="en-US" w:eastAsia="zh-CN"/>
        </w:rPr>
        <w:t>。</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七、保密要求</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投标人在参加采购以及开展工作过程中按照国家保密法律法规以及采购人的要求，做好有关保密工作。投标人保证服务过程中的有关信息、文件（包括采购相关文件、工作实施文件以及各类用于本项目相关文件等）等对第三方保密，非经采购人同意，不得公开或向第三方提供。</w:t>
      </w: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八、付款方式</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第一次付款：在合同签订生效后，收到正式发票7个工作日内支付合同总价70%的首付款。</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第二次付款：采购人将视项目实际进展情况开展阶段性评估，评估通过后并支付不超过合同总价</w:t>
      </w:r>
      <w:r>
        <w:rPr>
          <w:rFonts w:hint="default" w:ascii="宋体" w:hAnsi="宋体" w:cs="宋体"/>
          <w:color w:val="auto"/>
          <w:sz w:val="24"/>
          <w:lang w:val="en-US" w:eastAsia="zh-CN"/>
        </w:rPr>
        <w:t>25%</w:t>
      </w:r>
      <w:r>
        <w:rPr>
          <w:rFonts w:hint="eastAsia" w:ascii="宋体" w:hAnsi="宋体" w:cs="宋体"/>
          <w:color w:val="auto"/>
          <w:sz w:val="24"/>
          <w:lang w:val="en-US" w:eastAsia="zh-CN"/>
        </w:rPr>
        <w:t>的款项，采购人在收到中标人的正式发票后7个工作日内办理支付手续（采购人有权决定是否及何时何地开展阶段性验收评估）。</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第三次付款：项目结束后，经采购人验收合格，且收到中标人提供的正式发票后7个工作日内，办理合同剩余款项的结算手续。</w:t>
      </w:r>
    </w:p>
    <w:p>
      <w:pPr>
        <w:bidi w:val="0"/>
      </w:pPr>
    </w:p>
    <w:p>
      <w:pPr>
        <w:pStyle w:val="4"/>
        <w:keepNext/>
        <w:keepLines/>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九、其他要求</w:t>
      </w:r>
      <w:bookmarkEnd w:id="34"/>
      <w:bookmarkEnd w:id="35"/>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投标人应根据采购文件的要求提供详细的实施方案等内容，不限于以下要求：</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（1）对需求的整体理解，针对项目需求，提出自身的理解和建议；</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（2）项目的重点难点分析，对项目重点、难点进行分析，并提出合理、可行的应对措施。</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（3）项目整体方案，针对项目需求，拟定详细、周密、有条理、内容新颖、紧扣实际、具有可持续性和实际可操作性的整体方案。</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（4）组织实施方案；</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（5）项目组人员组成情况；</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（6）质量保证措施情况；</w:t>
      </w:r>
    </w:p>
    <w:p>
      <w:pPr>
        <w:tabs>
          <w:tab w:val="left" w:pos="5613"/>
        </w:tabs>
        <w:snapToGrid w:val="0"/>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（7）采购文件及评分办法规定的其他资料。</w:t>
      </w:r>
    </w:p>
    <w:p>
      <w:pPr>
        <w:pStyle w:val="24"/>
        <w:spacing w:line="360" w:lineRule="auto"/>
        <w:rPr>
          <w:rFonts w:hint="eastAsia" w:cs="宋体"/>
          <w:kern w:val="0"/>
          <w:sz w:val="24"/>
          <w:lang w:val="en-US" w:eastAsia="zh-CN"/>
        </w:rPr>
      </w:pP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36" w:name="_Toc28740"/>
      <w:r>
        <w:rPr>
          <w:rFonts w:hint="eastAsia" w:ascii="仿宋" w:hAnsi="仿宋" w:cs="仿宋"/>
          <w:b/>
          <w:sz w:val="36"/>
          <w:szCs w:val="36"/>
        </w:rPr>
        <w:t xml:space="preserve">第四部分  </w:t>
      </w:r>
      <w:bookmarkStart w:id="37" w:name="_Toc184312134"/>
      <w:bookmarkEnd w:id="37"/>
      <w:bookmarkStart w:id="38" w:name="_Toc184314474"/>
      <w:bookmarkEnd w:id="38"/>
      <w:bookmarkStart w:id="39" w:name="_Toc184313303"/>
      <w:bookmarkEnd w:id="39"/>
      <w:bookmarkStart w:id="40" w:name="_Toc184312078"/>
      <w:bookmarkEnd w:id="40"/>
      <w:bookmarkStart w:id="41" w:name="_Toc184313275"/>
      <w:bookmarkEnd w:id="41"/>
      <w:bookmarkStart w:id="42" w:name="_Toc184308047"/>
      <w:bookmarkEnd w:id="42"/>
      <w:bookmarkStart w:id="43" w:name="_Toc184308055"/>
      <w:bookmarkEnd w:id="43"/>
      <w:bookmarkStart w:id="44" w:name="_Toc184310340"/>
      <w:bookmarkEnd w:id="44"/>
      <w:bookmarkStart w:id="45" w:name="_Toc184308041"/>
      <w:bookmarkEnd w:id="45"/>
      <w:bookmarkStart w:id="46" w:name="_Toc184313245"/>
      <w:bookmarkEnd w:id="46"/>
      <w:bookmarkStart w:id="47" w:name="_Toc184308050"/>
      <w:bookmarkEnd w:id="47"/>
      <w:bookmarkStart w:id="48" w:name="_Toc184313288"/>
      <w:bookmarkEnd w:id="48"/>
      <w:bookmarkStart w:id="49" w:name="_Toc184314423"/>
      <w:bookmarkEnd w:id="49"/>
      <w:bookmarkStart w:id="50" w:name="_Toc184310308"/>
      <w:bookmarkEnd w:id="50"/>
      <w:bookmarkStart w:id="51" w:name="_Toc184310276"/>
      <w:bookmarkEnd w:id="51"/>
      <w:bookmarkStart w:id="52" w:name="_Toc184313266"/>
      <w:bookmarkEnd w:id="52"/>
      <w:bookmarkStart w:id="53" w:name="_Toc184312097"/>
      <w:bookmarkEnd w:id="53"/>
      <w:bookmarkStart w:id="54" w:name="_Toc184313259"/>
      <w:bookmarkEnd w:id="54"/>
      <w:bookmarkStart w:id="55" w:name="_Toc184314473"/>
      <w:bookmarkEnd w:id="55"/>
      <w:bookmarkStart w:id="56" w:name="_Toc184313257"/>
      <w:bookmarkEnd w:id="56"/>
      <w:bookmarkStart w:id="57" w:name="_Toc184313280"/>
      <w:bookmarkEnd w:id="57"/>
      <w:bookmarkStart w:id="58" w:name="_Toc184312090"/>
      <w:bookmarkEnd w:id="58"/>
      <w:bookmarkStart w:id="59" w:name="_Toc184313281"/>
      <w:bookmarkEnd w:id="59"/>
      <w:bookmarkStart w:id="60" w:name="_Toc184314437"/>
      <w:bookmarkEnd w:id="60"/>
      <w:bookmarkStart w:id="61" w:name="_Toc184313306"/>
      <w:bookmarkEnd w:id="61"/>
      <w:bookmarkStart w:id="62" w:name="_Toc184312116"/>
      <w:bookmarkEnd w:id="62"/>
      <w:bookmarkStart w:id="63" w:name="_Toc184313246"/>
      <w:bookmarkEnd w:id="63"/>
      <w:bookmarkStart w:id="64" w:name="_Toc184310343"/>
      <w:bookmarkEnd w:id="64"/>
      <w:bookmarkStart w:id="65" w:name="_Toc184313264"/>
      <w:bookmarkEnd w:id="65"/>
      <w:bookmarkStart w:id="66" w:name="_Toc184308036"/>
      <w:bookmarkEnd w:id="66"/>
      <w:bookmarkStart w:id="67" w:name="_Toc184308091"/>
      <w:bookmarkEnd w:id="67"/>
      <w:bookmarkStart w:id="68" w:name="_Toc184308068"/>
      <w:bookmarkEnd w:id="68"/>
      <w:bookmarkStart w:id="69" w:name="_Toc184313271"/>
      <w:bookmarkEnd w:id="69"/>
      <w:bookmarkStart w:id="70" w:name="_Toc184314457"/>
      <w:bookmarkEnd w:id="70"/>
      <w:bookmarkStart w:id="71" w:name="_Toc184308076"/>
      <w:bookmarkEnd w:id="71"/>
      <w:bookmarkStart w:id="72" w:name="_Toc184310318"/>
      <w:bookmarkEnd w:id="72"/>
      <w:bookmarkStart w:id="73" w:name="_Toc184308107"/>
      <w:bookmarkEnd w:id="73"/>
      <w:bookmarkStart w:id="74" w:name="_Toc184312106"/>
      <w:bookmarkEnd w:id="74"/>
      <w:bookmarkStart w:id="75" w:name="_Toc184308105"/>
      <w:bookmarkEnd w:id="75"/>
      <w:bookmarkStart w:id="76" w:name="_Toc184310329"/>
      <w:bookmarkEnd w:id="76"/>
      <w:bookmarkStart w:id="77" w:name="_Toc184310281"/>
      <w:bookmarkEnd w:id="77"/>
      <w:bookmarkStart w:id="78" w:name="_Toc184308063"/>
      <w:bookmarkEnd w:id="78"/>
      <w:bookmarkStart w:id="79" w:name="_Toc184308043"/>
      <w:bookmarkEnd w:id="79"/>
      <w:bookmarkStart w:id="80" w:name="_Toc184312103"/>
      <w:bookmarkEnd w:id="80"/>
      <w:bookmarkStart w:id="81" w:name="_Toc184314461"/>
      <w:bookmarkEnd w:id="81"/>
      <w:bookmarkStart w:id="82" w:name="_Toc184308057"/>
      <w:bookmarkEnd w:id="82"/>
      <w:bookmarkStart w:id="83" w:name="_Toc184314471"/>
      <w:bookmarkEnd w:id="83"/>
      <w:bookmarkStart w:id="84" w:name="_Toc184310324"/>
      <w:bookmarkEnd w:id="84"/>
      <w:bookmarkStart w:id="85" w:name="_Toc184310306"/>
      <w:bookmarkEnd w:id="85"/>
      <w:bookmarkStart w:id="86" w:name="_Toc184314417"/>
      <w:bookmarkEnd w:id="86"/>
      <w:bookmarkStart w:id="87" w:name="_Toc184313292"/>
      <w:bookmarkEnd w:id="87"/>
      <w:bookmarkStart w:id="88" w:name="_Toc184313279"/>
      <w:bookmarkEnd w:id="88"/>
      <w:bookmarkStart w:id="89" w:name="_Toc184314449"/>
      <w:bookmarkEnd w:id="89"/>
      <w:bookmarkStart w:id="90" w:name="_Toc184314467"/>
      <w:bookmarkEnd w:id="90"/>
      <w:bookmarkStart w:id="91" w:name="_Toc184310310"/>
      <w:bookmarkEnd w:id="91"/>
      <w:bookmarkStart w:id="92" w:name="_Toc184313270"/>
      <w:bookmarkEnd w:id="92"/>
      <w:bookmarkStart w:id="93" w:name="_Toc184314453"/>
      <w:bookmarkEnd w:id="93"/>
      <w:bookmarkStart w:id="94" w:name="_Toc184314454"/>
      <w:bookmarkEnd w:id="94"/>
      <w:bookmarkStart w:id="95" w:name="_Toc184310273"/>
      <w:bookmarkEnd w:id="95"/>
      <w:bookmarkStart w:id="96" w:name="_Toc184314446"/>
      <w:bookmarkEnd w:id="96"/>
      <w:bookmarkStart w:id="97" w:name="_Toc184312077"/>
      <w:bookmarkEnd w:id="97"/>
      <w:bookmarkStart w:id="98" w:name="_Toc184312070"/>
      <w:bookmarkEnd w:id="98"/>
      <w:bookmarkStart w:id="99" w:name="_Toc184314410"/>
      <w:bookmarkEnd w:id="99"/>
      <w:bookmarkStart w:id="100" w:name="_Toc184310299"/>
      <w:bookmarkEnd w:id="100"/>
      <w:bookmarkStart w:id="101" w:name="_Toc184314424"/>
      <w:bookmarkEnd w:id="101"/>
      <w:bookmarkStart w:id="102" w:name="_Toc184308053"/>
      <w:bookmarkEnd w:id="102"/>
      <w:bookmarkStart w:id="103" w:name="_Toc184314434"/>
      <w:bookmarkEnd w:id="103"/>
      <w:bookmarkStart w:id="104" w:name="_Toc184313285"/>
      <w:bookmarkEnd w:id="104"/>
      <w:bookmarkStart w:id="105" w:name="_Toc184312093"/>
      <w:bookmarkEnd w:id="105"/>
      <w:bookmarkStart w:id="106" w:name="_Toc184310311"/>
      <w:bookmarkEnd w:id="106"/>
      <w:bookmarkStart w:id="107" w:name="_Toc184308059"/>
      <w:bookmarkEnd w:id="107"/>
      <w:bookmarkStart w:id="108" w:name="_Toc184314411"/>
      <w:bookmarkEnd w:id="108"/>
      <w:bookmarkStart w:id="109" w:name="_Toc184310287"/>
      <w:bookmarkEnd w:id="109"/>
      <w:bookmarkStart w:id="110" w:name="_Toc184308097"/>
      <w:bookmarkEnd w:id="110"/>
      <w:bookmarkStart w:id="111" w:name="_Toc184312129"/>
      <w:bookmarkEnd w:id="111"/>
      <w:bookmarkStart w:id="112" w:name="_Toc184313261"/>
      <w:bookmarkEnd w:id="112"/>
      <w:bookmarkStart w:id="113" w:name="_Toc184310301"/>
      <w:bookmarkEnd w:id="113"/>
      <w:bookmarkStart w:id="114" w:name="_Toc184308048"/>
      <w:bookmarkEnd w:id="114"/>
      <w:bookmarkStart w:id="115" w:name="_Toc184314460"/>
      <w:bookmarkEnd w:id="115"/>
      <w:bookmarkStart w:id="116" w:name="_Toc184312135"/>
      <w:bookmarkEnd w:id="116"/>
      <w:bookmarkStart w:id="117" w:name="_Toc184308088"/>
      <w:bookmarkEnd w:id="117"/>
      <w:bookmarkStart w:id="118" w:name="_Toc184312122"/>
      <w:bookmarkEnd w:id="118"/>
      <w:bookmarkStart w:id="119" w:name="_Toc184312072"/>
      <w:bookmarkEnd w:id="119"/>
      <w:bookmarkStart w:id="120" w:name="_Toc184310333"/>
      <w:bookmarkEnd w:id="120"/>
      <w:bookmarkStart w:id="121" w:name="_Toc184310326"/>
      <w:bookmarkEnd w:id="121"/>
      <w:bookmarkStart w:id="122" w:name="_Toc184313278"/>
      <w:bookmarkEnd w:id="122"/>
      <w:bookmarkStart w:id="123" w:name="_Toc184310336"/>
      <w:bookmarkEnd w:id="123"/>
      <w:bookmarkStart w:id="124" w:name="_Toc184308090"/>
      <w:bookmarkEnd w:id="124"/>
      <w:bookmarkStart w:id="125" w:name="_Toc184310292"/>
      <w:bookmarkEnd w:id="125"/>
      <w:bookmarkStart w:id="126" w:name="_Toc184313310"/>
      <w:bookmarkEnd w:id="126"/>
      <w:bookmarkStart w:id="127" w:name="_Toc184310298"/>
      <w:bookmarkEnd w:id="127"/>
      <w:bookmarkStart w:id="128" w:name="_Toc184310335"/>
      <w:bookmarkEnd w:id="128"/>
      <w:bookmarkStart w:id="129" w:name="_Toc184312085"/>
      <w:bookmarkEnd w:id="129"/>
      <w:bookmarkStart w:id="130" w:name="_Toc184310297"/>
      <w:bookmarkEnd w:id="130"/>
      <w:bookmarkStart w:id="131" w:name="_Toc184310315"/>
      <w:bookmarkEnd w:id="131"/>
      <w:bookmarkStart w:id="132" w:name="_Toc184314445"/>
      <w:bookmarkEnd w:id="132"/>
      <w:bookmarkStart w:id="133" w:name="_Toc184313250"/>
      <w:bookmarkEnd w:id="133"/>
      <w:bookmarkStart w:id="134" w:name="_Toc184314431"/>
      <w:bookmarkEnd w:id="134"/>
      <w:bookmarkStart w:id="135" w:name="_Toc184308075"/>
      <w:bookmarkEnd w:id="135"/>
      <w:bookmarkStart w:id="136" w:name="_Toc184314470"/>
      <w:bookmarkEnd w:id="136"/>
      <w:bookmarkStart w:id="137" w:name="_Toc184313251"/>
      <w:bookmarkEnd w:id="137"/>
      <w:bookmarkStart w:id="138" w:name="_Toc184312137"/>
      <w:bookmarkEnd w:id="138"/>
      <w:bookmarkStart w:id="139" w:name="_Toc184312131"/>
      <w:bookmarkEnd w:id="139"/>
      <w:bookmarkStart w:id="140" w:name="_Toc184312120"/>
      <w:bookmarkEnd w:id="140"/>
      <w:bookmarkStart w:id="141" w:name="_Toc184308094"/>
      <w:bookmarkEnd w:id="141"/>
      <w:bookmarkStart w:id="142" w:name="_Toc184313258"/>
      <w:bookmarkEnd w:id="142"/>
      <w:bookmarkStart w:id="143" w:name="_Toc184313287"/>
      <w:bookmarkEnd w:id="143"/>
      <w:bookmarkStart w:id="144" w:name="_Toc184308071"/>
      <w:bookmarkEnd w:id="144"/>
      <w:bookmarkStart w:id="145" w:name="_Toc184310283"/>
      <w:bookmarkEnd w:id="145"/>
      <w:bookmarkStart w:id="146" w:name="_Toc184314464"/>
      <w:bookmarkEnd w:id="146"/>
      <w:bookmarkStart w:id="147" w:name="_Toc184308060"/>
      <w:bookmarkEnd w:id="147"/>
      <w:bookmarkStart w:id="148" w:name="_Toc184313298"/>
      <w:bookmarkEnd w:id="148"/>
      <w:bookmarkStart w:id="149" w:name="_Toc184310275"/>
      <w:bookmarkEnd w:id="149"/>
      <w:bookmarkStart w:id="150" w:name="_Toc184310330"/>
      <w:bookmarkEnd w:id="150"/>
      <w:bookmarkStart w:id="151" w:name="_Toc184312089"/>
      <w:bookmarkEnd w:id="151"/>
      <w:bookmarkStart w:id="152" w:name="_Toc184312094"/>
      <w:bookmarkEnd w:id="152"/>
      <w:bookmarkStart w:id="153" w:name="_Toc184308092"/>
      <w:bookmarkEnd w:id="153"/>
      <w:bookmarkStart w:id="154" w:name="_Toc184308046"/>
      <w:bookmarkEnd w:id="154"/>
      <w:bookmarkStart w:id="155" w:name="_Toc184310309"/>
      <w:bookmarkEnd w:id="155"/>
      <w:bookmarkStart w:id="156" w:name="_Toc184310294"/>
      <w:bookmarkEnd w:id="156"/>
      <w:bookmarkStart w:id="157" w:name="_Toc184312121"/>
      <w:bookmarkEnd w:id="157"/>
      <w:bookmarkStart w:id="158" w:name="_Toc184313296"/>
      <w:bookmarkEnd w:id="158"/>
      <w:bookmarkStart w:id="159" w:name="_Toc184310316"/>
      <w:bookmarkEnd w:id="159"/>
      <w:bookmarkStart w:id="160" w:name="_Toc184312079"/>
      <w:bookmarkEnd w:id="160"/>
      <w:bookmarkStart w:id="161" w:name="_Toc184308069"/>
      <w:bookmarkEnd w:id="161"/>
      <w:bookmarkStart w:id="162" w:name="_Toc184314438"/>
      <w:bookmarkEnd w:id="162"/>
      <w:bookmarkStart w:id="163" w:name="_Toc184312080"/>
      <w:bookmarkEnd w:id="163"/>
      <w:bookmarkStart w:id="164" w:name="_Toc184308037"/>
      <w:bookmarkEnd w:id="164"/>
      <w:bookmarkStart w:id="165" w:name="_Toc184312117"/>
      <w:bookmarkEnd w:id="165"/>
      <w:bookmarkStart w:id="166" w:name="_Toc184314416"/>
      <w:bookmarkEnd w:id="166"/>
      <w:bookmarkStart w:id="167" w:name="_Toc184308086"/>
      <w:bookmarkEnd w:id="167"/>
      <w:bookmarkStart w:id="168" w:name="_Toc184314442"/>
      <w:bookmarkEnd w:id="168"/>
      <w:bookmarkStart w:id="169" w:name="_Toc184308081"/>
      <w:bookmarkEnd w:id="169"/>
      <w:bookmarkStart w:id="170" w:name="_Toc184308052"/>
      <w:bookmarkEnd w:id="170"/>
      <w:bookmarkStart w:id="171" w:name="_Toc184313286"/>
      <w:bookmarkEnd w:id="171"/>
      <w:bookmarkStart w:id="172" w:name="_Toc184310319"/>
      <w:bookmarkEnd w:id="172"/>
      <w:bookmarkStart w:id="173" w:name="_Toc184313265"/>
      <w:bookmarkEnd w:id="173"/>
      <w:bookmarkStart w:id="174" w:name="_Toc184314450"/>
      <w:bookmarkEnd w:id="174"/>
      <w:bookmarkStart w:id="175" w:name="_Toc184310300"/>
      <w:bookmarkEnd w:id="175"/>
      <w:bookmarkStart w:id="176" w:name="_Toc184314452"/>
      <w:bookmarkEnd w:id="176"/>
      <w:bookmarkStart w:id="177" w:name="_Toc184310272"/>
      <w:bookmarkEnd w:id="177"/>
      <w:bookmarkStart w:id="178" w:name="_Toc184310341"/>
      <w:bookmarkEnd w:id="178"/>
      <w:bookmarkStart w:id="179" w:name="_Toc184313290"/>
      <w:bookmarkEnd w:id="179"/>
      <w:bookmarkStart w:id="180" w:name="_Toc184308106"/>
      <w:bookmarkEnd w:id="180"/>
      <w:bookmarkStart w:id="181" w:name="_Toc184308102"/>
      <w:bookmarkEnd w:id="181"/>
      <w:bookmarkStart w:id="182" w:name="_Toc184312136"/>
      <w:bookmarkEnd w:id="182"/>
      <w:bookmarkStart w:id="183" w:name="_Toc184310342"/>
      <w:bookmarkEnd w:id="183"/>
      <w:bookmarkStart w:id="184" w:name="_Toc184310317"/>
      <w:bookmarkEnd w:id="184"/>
      <w:bookmarkStart w:id="185" w:name="_Toc184313248"/>
      <w:bookmarkEnd w:id="185"/>
      <w:bookmarkStart w:id="186" w:name="_Toc184313283"/>
      <w:bookmarkEnd w:id="186"/>
      <w:bookmarkStart w:id="187" w:name="_Toc184313247"/>
      <w:bookmarkEnd w:id="187"/>
      <w:bookmarkStart w:id="188" w:name="_Toc184308054"/>
      <w:bookmarkEnd w:id="188"/>
      <w:bookmarkStart w:id="189" w:name="_Toc184314465"/>
      <w:bookmarkEnd w:id="189"/>
      <w:bookmarkStart w:id="190" w:name="_Toc184308100"/>
      <w:bookmarkEnd w:id="190"/>
      <w:bookmarkStart w:id="191" w:name="_Toc184310325"/>
      <w:bookmarkEnd w:id="191"/>
      <w:bookmarkStart w:id="192" w:name="_Toc184310278"/>
      <w:bookmarkEnd w:id="192"/>
      <w:bookmarkStart w:id="193" w:name="_Toc184308051"/>
      <w:bookmarkEnd w:id="193"/>
      <w:bookmarkStart w:id="194" w:name="_Toc184312095"/>
      <w:bookmarkEnd w:id="194"/>
      <w:bookmarkStart w:id="195" w:name="_Toc184308074"/>
      <w:bookmarkEnd w:id="195"/>
      <w:bookmarkStart w:id="196" w:name="_Toc184308062"/>
      <w:bookmarkEnd w:id="196"/>
      <w:bookmarkStart w:id="197" w:name="_Toc184308067"/>
      <w:bookmarkEnd w:id="197"/>
      <w:bookmarkStart w:id="198" w:name="_Toc184313273"/>
      <w:bookmarkEnd w:id="198"/>
      <w:bookmarkStart w:id="199" w:name="_Toc184314451"/>
      <w:bookmarkEnd w:id="199"/>
      <w:bookmarkStart w:id="200" w:name="_Toc184312081"/>
      <w:bookmarkEnd w:id="200"/>
      <w:bookmarkStart w:id="201" w:name="_Toc184312109"/>
      <w:bookmarkEnd w:id="201"/>
      <w:bookmarkStart w:id="202" w:name="_Toc184312126"/>
      <w:bookmarkEnd w:id="202"/>
      <w:bookmarkStart w:id="203" w:name="_Toc184312138"/>
      <w:bookmarkEnd w:id="203"/>
      <w:bookmarkStart w:id="204" w:name="_Toc184312086"/>
      <w:bookmarkEnd w:id="204"/>
      <w:bookmarkStart w:id="205" w:name="_Toc184314479"/>
      <w:bookmarkEnd w:id="205"/>
      <w:bookmarkStart w:id="206" w:name="_Toc184312074"/>
      <w:bookmarkEnd w:id="206"/>
      <w:bookmarkStart w:id="207" w:name="_Toc184308038"/>
      <w:bookmarkEnd w:id="207"/>
      <w:bookmarkStart w:id="208" w:name="_Toc184312133"/>
      <w:bookmarkEnd w:id="208"/>
      <w:bookmarkStart w:id="209" w:name="_Toc184308064"/>
      <w:bookmarkEnd w:id="209"/>
      <w:bookmarkStart w:id="210" w:name="_Toc184313308"/>
      <w:bookmarkEnd w:id="210"/>
      <w:bookmarkStart w:id="211" w:name="_Toc184314472"/>
      <w:bookmarkEnd w:id="211"/>
      <w:bookmarkStart w:id="212" w:name="_Toc184314448"/>
      <w:bookmarkEnd w:id="212"/>
      <w:bookmarkStart w:id="213" w:name="_Toc184313276"/>
      <w:bookmarkEnd w:id="213"/>
      <w:bookmarkStart w:id="214" w:name="_Toc184314419"/>
      <w:bookmarkEnd w:id="214"/>
      <w:bookmarkStart w:id="215" w:name="_Toc184313284"/>
      <w:bookmarkEnd w:id="215"/>
      <w:bookmarkStart w:id="216" w:name="_Toc184314436"/>
      <w:bookmarkEnd w:id="216"/>
      <w:bookmarkStart w:id="217" w:name="_Toc184312127"/>
      <w:bookmarkEnd w:id="217"/>
      <w:bookmarkStart w:id="218" w:name="_Toc184314422"/>
      <w:bookmarkEnd w:id="218"/>
      <w:bookmarkStart w:id="219" w:name="_Toc184312099"/>
      <w:bookmarkEnd w:id="219"/>
      <w:bookmarkStart w:id="220" w:name="_Toc184314435"/>
      <w:bookmarkEnd w:id="220"/>
      <w:bookmarkStart w:id="221" w:name="_Toc184308066"/>
      <w:bookmarkEnd w:id="221"/>
      <w:bookmarkStart w:id="222" w:name="_Toc184314480"/>
      <w:bookmarkEnd w:id="222"/>
      <w:bookmarkStart w:id="223" w:name="_Toc184313239"/>
      <w:bookmarkEnd w:id="223"/>
      <w:bookmarkStart w:id="224" w:name="_Toc184312091"/>
      <w:bookmarkEnd w:id="224"/>
      <w:bookmarkStart w:id="225" w:name="_Toc184314466"/>
      <w:bookmarkEnd w:id="225"/>
      <w:bookmarkStart w:id="226" w:name="_Toc184310286"/>
      <w:bookmarkEnd w:id="226"/>
      <w:bookmarkStart w:id="227" w:name="_Toc184312128"/>
      <w:bookmarkEnd w:id="227"/>
      <w:bookmarkStart w:id="228" w:name="_Toc184314482"/>
      <w:bookmarkEnd w:id="228"/>
      <w:bookmarkStart w:id="229" w:name="_Toc184310302"/>
      <w:bookmarkEnd w:id="229"/>
      <w:bookmarkStart w:id="230" w:name="_Toc184314426"/>
      <w:bookmarkEnd w:id="230"/>
      <w:bookmarkStart w:id="231" w:name="_Toc184308077"/>
      <w:bookmarkEnd w:id="231"/>
      <w:bookmarkStart w:id="232" w:name="_Toc184310334"/>
      <w:bookmarkEnd w:id="232"/>
      <w:bookmarkStart w:id="233" w:name="_Toc184313295"/>
      <w:bookmarkEnd w:id="233"/>
      <w:bookmarkStart w:id="234" w:name="_Toc184313262"/>
      <w:bookmarkEnd w:id="234"/>
      <w:bookmarkStart w:id="235" w:name="_Toc184312087"/>
      <w:bookmarkEnd w:id="235"/>
      <w:bookmarkStart w:id="236" w:name="_Toc184308083"/>
      <w:bookmarkEnd w:id="236"/>
      <w:bookmarkStart w:id="237" w:name="_Toc184310320"/>
      <w:bookmarkEnd w:id="237"/>
      <w:bookmarkStart w:id="238" w:name="_Toc184308049"/>
      <w:bookmarkEnd w:id="238"/>
      <w:bookmarkStart w:id="239" w:name="_Toc184313242"/>
      <w:bookmarkEnd w:id="239"/>
      <w:bookmarkStart w:id="240" w:name="_Toc184313272"/>
      <w:bookmarkEnd w:id="240"/>
      <w:bookmarkStart w:id="241" w:name="_Toc184308061"/>
      <w:bookmarkEnd w:id="241"/>
      <w:bookmarkStart w:id="242" w:name="_Toc184313238"/>
      <w:bookmarkEnd w:id="242"/>
      <w:bookmarkStart w:id="243" w:name="_Toc184312114"/>
      <w:bookmarkEnd w:id="243"/>
      <w:bookmarkStart w:id="244" w:name="_Toc184313305"/>
      <w:bookmarkEnd w:id="244"/>
      <w:bookmarkStart w:id="245" w:name="_Toc184308040"/>
      <w:bookmarkEnd w:id="245"/>
      <w:bookmarkStart w:id="246" w:name="_Toc184312084"/>
      <w:bookmarkEnd w:id="246"/>
      <w:bookmarkStart w:id="247" w:name="_Toc184314481"/>
      <w:bookmarkEnd w:id="247"/>
      <w:bookmarkStart w:id="248" w:name="_Toc184308073"/>
      <w:bookmarkEnd w:id="248"/>
      <w:bookmarkStart w:id="249" w:name="_Toc184313301"/>
      <w:bookmarkEnd w:id="249"/>
      <w:bookmarkStart w:id="250" w:name="_Toc184313307"/>
      <w:bookmarkEnd w:id="250"/>
      <w:bookmarkStart w:id="251" w:name="_Toc184314455"/>
      <w:bookmarkEnd w:id="251"/>
      <w:bookmarkStart w:id="252" w:name="_Toc184313241"/>
      <w:bookmarkEnd w:id="252"/>
      <w:bookmarkStart w:id="253" w:name="_Toc184308080"/>
      <w:bookmarkEnd w:id="253"/>
      <w:bookmarkStart w:id="254" w:name="_Toc184310303"/>
      <w:bookmarkEnd w:id="254"/>
      <w:bookmarkStart w:id="255" w:name="_Toc184308085"/>
      <w:bookmarkEnd w:id="255"/>
      <w:bookmarkStart w:id="256" w:name="_Toc184313289"/>
      <w:bookmarkEnd w:id="256"/>
      <w:bookmarkStart w:id="257" w:name="_Toc184308104"/>
      <w:bookmarkEnd w:id="257"/>
      <w:bookmarkStart w:id="258" w:name="_Toc184314477"/>
      <w:bookmarkEnd w:id="258"/>
      <w:bookmarkStart w:id="259" w:name="_Toc184314428"/>
      <w:bookmarkEnd w:id="259"/>
      <w:bookmarkStart w:id="260" w:name="_Toc184312124"/>
      <w:bookmarkEnd w:id="260"/>
      <w:bookmarkStart w:id="261" w:name="_Toc184308072"/>
      <w:bookmarkEnd w:id="261"/>
      <w:bookmarkStart w:id="262" w:name="_Toc184313249"/>
      <w:bookmarkEnd w:id="262"/>
      <w:bookmarkStart w:id="263" w:name="_Toc184308070"/>
      <w:bookmarkEnd w:id="263"/>
      <w:bookmarkStart w:id="264" w:name="_Toc184310285"/>
      <w:bookmarkEnd w:id="264"/>
      <w:bookmarkStart w:id="265" w:name="_Toc184308087"/>
      <w:bookmarkEnd w:id="265"/>
      <w:bookmarkStart w:id="266" w:name="_Toc184314432"/>
      <w:bookmarkEnd w:id="266"/>
      <w:bookmarkStart w:id="267" w:name="_Toc184314447"/>
      <w:bookmarkEnd w:id="267"/>
      <w:bookmarkStart w:id="268" w:name="_Toc184310284"/>
      <w:bookmarkEnd w:id="268"/>
      <w:bookmarkStart w:id="269" w:name="_Toc184310321"/>
      <w:bookmarkEnd w:id="269"/>
      <w:bookmarkStart w:id="270" w:name="_Toc184312092"/>
      <w:bookmarkEnd w:id="270"/>
      <w:bookmarkStart w:id="271" w:name="_Toc184314475"/>
      <w:bookmarkEnd w:id="271"/>
      <w:bookmarkStart w:id="272" w:name="_Toc184312115"/>
      <w:bookmarkEnd w:id="272"/>
      <w:bookmarkStart w:id="273" w:name="_Toc184313263"/>
      <w:bookmarkEnd w:id="273"/>
      <w:bookmarkStart w:id="274" w:name="_Toc184312071"/>
      <w:bookmarkEnd w:id="274"/>
      <w:bookmarkStart w:id="275" w:name="_Toc184314462"/>
      <w:bookmarkEnd w:id="275"/>
      <w:bookmarkStart w:id="276" w:name="_Toc184310338"/>
      <w:bookmarkEnd w:id="276"/>
      <w:bookmarkStart w:id="277" w:name="_Toc184314425"/>
      <w:bookmarkEnd w:id="277"/>
      <w:bookmarkStart w:id="278" w:name="_Toc184310344"/>
      <w:bookmarkEnd w:id="278"/>
      <w:bookmarkStart w:id="279" w:name="_Toc184312088"/>
      <w:bookmarkEnd w:id="279"/>
      <w:bookmarkStart w:id="280" w:name="_Toc184312082"/>
      <w:bookmarkEnd w:id="280"/>
      <w:bookmarkStart w:id="281" w:name="_Toc184310304"/>
      <w:bookmarkEnd w:id="281"/>
      <w:bookmarkStart w:id="282" w:name="_Toc184313267"/>
      <w:bookmarkEnd w:id="282"/>
      <w:bookmarkStart w:id="283" w:name="_Toc184313274"/>
      <w:bookmarkEnd w:id="283"/>
      <w:bookmarkStart w:id="284" w:name="_Toc184308103"/>
      <w:bookmarkEnd w:id="284"/>
      <w:bookmarkStart w:id="285" w:name="_Toc184313297"/>
      <w:bookmarkEnd w:id="285"/>
      <w:bookmarkStart w:id="286" w:name="_Toc184308096"/>
      <w:bookmarkEnd w:id="286"/>
      <w:bookmarkStart w:id="287" w:name="_Toc184314418"/>
      <w:bookmarkEnd w:id="287"/>
      <w:bookmarkStart w:id="288" w:name="_Toc184313291"/>
      <w:bookmarkEnd w:id="288"/>
      <w:bookmarkStart w:id="289" w:name="_Toc184313293"/>
      <w:bookmarkEnd w:id="289"/>
      <w:bookmarkStart w:id="290" w:name="_Toc184313294"/>
      <w:bookmarkEnd w:id="290"/>
      <w:bookmarkStart w:id="291" w:name="_Toc184310322"/>
      <w:bookmarkEnd w:id="291"/>
      <w:bookmarkStart w:id="292" w:name="_Toc184310295"/>
      <w:bookmarkEnd w:id="292"/>
      <w:bookmarkStart w:id="293" w:name="_Toc184308039"/>
      <w:bookmarkEnd w:id="293"/>
      <w:bookmarkStart w:id="294" w:name="_Toc184312073"/>
      <w:bookmarkEnd w:id="294"/>
      <w:bookmarkStart w:id="295" w:name="_Toc184310289"/>
      <w:bookmarkEnd w:id="295"/>
      <w:bookmarkStart w:id="296" w:name="_Toc184310332"/>
      <w:bookmarkEnd w:id="296"/>
      <w:bookmarkStart w:id="297" w:name="_Toc184313244"/>
      <w:bookmarkEnd w:id="297"/>
      <w:bookmarkStart w:id="298" w:name="_Toc184314441"/>
      <w:bookmarkEnd w:id="298"/>
      <w:bookmarkStart w:id="299" w:name="_Toc184308089"/>
      <w:bookmarkEnd w:id="299"/>
      <w:bookmarkStart w:id="300" w:name="_Toc184312076"/>
      <w:bookmarkEnd w:id="300"/>
      <w:bookmarkStart w:id="301" w:name="_Toc184308095"/>
      <w:bookmarkEnd w:id="301"/>
      <w:bookmarkStart w:id="302" w:name="_Toc184310328"/>
      <w:bookmarkEnd w:id="302"/>
      <w:bookmarkStart w:id="303" w:name="_Toc184312125"/>
      <w:bookmarkEnd w:id="303"/>
      <w:bookmarkStart w:id="304" w:name="_Toc184308093"/>
      <w:bookmarkEnd w:id="304"/>
      <w:bookmarkStart w:id="305" w:name="_Toc184312102"/>
      <w:bookmarkEnd w:id="305"/>
      <w:bookmarkStart w:id="306" w:name="_Toc184310288"/>
      <w:bookmarkEnd w:id="306"/>
      <w:bookmarkStart w:id="307" w:name="_Toc184314439"/>
      <w:bookmarkEnd w:id="307"/>
      <w:bookmarkStart w:id="308" w:name="_Toc184313243"/>
      <w:bookmarkEnd w:id="308"/>
      <w:bookmarkStart w:id="309" w:name="_Toc184308108"/>
      <w:bookmarkEnd w:id="309"/>
      <w:bookmarkStart w:id="310" w:name="_Toc184312108"/>
      <w:bookmarkEnd w:id="310"/>
      <w:bookmarkStart w:id="311" w:name="_Toc184308101"/>
      <w:bookmarkEnd w:id="311"/>
      <w:bookmarkStart w:id="312" w:name="_Toc184310313"/>
      <w:bookmarkEnd w:id="312"/>
      <w:bookmarkStart w:id="313" w:name="_Toc184310296"/>
      <w:bookmarkEnd w:id="313"/>
      <w:bookmarkStart w:id="314" w:name="_Toc184313260"/>
      <w:bookmarkEnd w:id="314"/>
      <w:bookmarkStart w:id="315" w:name="_Toc184313302"/>
      <w:bookmarkEnd w:id="315"/>
      <w:bookmarkStart w:id="316" w:name="_Toc184310314"/>
      <w:bookmarkEnd w:id="316"/>
      <w:bookmarkStart w:id="317" w:name="_Toc184310339"/>
      <w:bookmarkEnd w:id="317"/>
      <w:bookmarkStart w:id="318" w:name="_Toc184313277"/>
      <w:bookmarkEnd w:id="318"/>
      <w:bookmarkStart w:id="319" w:name="_Toc184312104"/>
      <w:bookmarkEnd w:id="319"/>
      <w:bookmarkStart w:id="320" w:name="_Toc184313304"/>
      <w:bookmarkEnd w:id="320"/>
      <w:bookmarkStart w:id="321" w:name="_Toc184314430"/>
      <w:bookmarkEnd w:id="321"/>
      <w:bookmarkStart w:id="322" w:name="_Toc184308045"/>
      <w:bookmarkEnd w:id="322"/>
      <w:bookmarkStart w:id="323" w:name="_Toc184314440"/>
      <w:bookmarkEnd w:id="323"/>
      <w:bookmarkStart w:id="324" w:name="_Toc184310291"/>
      <w:bookmarkEnd w:id="324"/>
      <w:bookmarkStart w:id="325" w:name="_Toc184310327"/>
      <w:bookmarkEnd w:id="325"/>
      <w:bookmarkStart w:id="326" w:name="_Toc184314443"/>
      <w:bookmarkEnd w:id="326"/>
      <w:bookmarkStart w:id="327" w:name="_Toc184308044"/>
      <w:bookmarkEnd w:id="327"/>
      <w:bookmarkStart w:id="328" w:name="_Toc184308079"/>
      <w:bookmarkEnd w:id="328"/>
      <w:bookmarkStart w:id="329" w:name="_Toc184313269"/>
      <w:bookmarkEnd w:id="329"/>
      <w:bookmarkStart w:id="330" w:name="_Toc184314458"/>
      <w:bookmarkEnd w:id="330"/>
      <w:bookmarkStart w:id="331" w:name="_Toc184308078"/>
      <w:bookmarkEnd w:id="331"/>
      <w:bookmarkStart w:id="332" w:name="_Toc184308056"/>
      <w:bookmarkEnd w:id="332"/>
      <w:bookmarkStart w:id="333" w:name="_Toc184312113"/>
      <w:bookmarkEnd w:id="333"/>
      <w:bookmarkStart w:id="334" w:name="_Toc184314415"/>
      <w:bookmarkEnd w:id="334"/>
      <w:bookmarkStart w:id="335" w:name="_Toc184312111"/>
      <w:bookmarkEnd w:id="335"/>
      <w:bookmarkStart w:id="336" w:name="_Toc184313309"/>
      <w:bookmarkEnd w:id="336"/>
      <w:bookmarkStart w:id="337" w:name="_Toc184314444"/>
      <w:bookmarkEnd w:id="337"/>
      <w:bookmarkStart w:id="338" w:name="_Toc184312101"/>
      <w:bookmarkEnd w:id="338"/>
      <w:bookmarkStart w:id="339" w:name="_Toc184312105"/>
      <w:bookmarkEnd w:id="339"/>
      <w:bookmarkStart w:id="340" w:name="_Toc184310307"/>
      <w:bookmarkEnd w:id="340"/>
      <w:bookmarkStart w:id="341" w:name="_Toc184310337"/>
      <w:bookmarkEnd w:id="341"/>
      <w:bookmarkStart w:id="342" w:name="_Toc184312132"/>
      <w:bookmarkEnd w:id="342"/>
      <w:bookmarkStart w:id="343" w:name="_Toc184308042"/>
      <w:bookmarkEnd w:id="343"/>
      <w:bookmarkStart w:id="344" w:name="_Toc184308098"/>
      <w:bookmarkEnd w:id="344"/>
      <w:bookmarkStart w:id="345" w:name="_Toc184310331"/>
      <w:bookmarkEnd w:id="345"/>
      <w:bookmarkStart w:id="346" w:name="_Toc184314456"/>
      <w:bookmarkEnd w:id="346"/>
      <w:bookmarkStart w:id="347" w:name="_Toc184312075"/>
      <w:bookmarkEnd w:id="347"/>
      <w:bookmarkStart w:id="348" w:name="_Toc184310290"/>
      <w:bookmarkEnd w:id="348"/>
      <w:bookmarkStart w:id="349" w:name="_Toc184310279"/>
      <w:bookmarkEnd w:id="349"/>
      <w:bookmarkStart w:id="350" w:name="_Toc184312110"/>
      <w:bookmarkEnd w:id="350"/>
      <w:bookmarkStart w:id="351" w:name="_Toc184310280"/>
      <w:bookmarkEnd w:id="351"/>
      <w:bookmarkStart w:id="352" w:name="_Toc184312130"/>
      <w:bookmarkEnd w:id="352"/>
      <w:bookmarkStart w:id="353" w:name="_Toc184314469"/>
      <w:bookmarkEnd w:id="353"/>
      <w:bookmarkStart w:id="354" w:name="_Toc184308099"/>
      <w:bookmarkEnd w:id="354"/>
      <w:bookmarkStart w:id="355" w:name="_Toc184308065"/>
      <w:bookmarkEnd w:id="355"/>
      <w:bookmarkStart w:id="356" w:name="_Toc184312098"/>
      <w:bookmarkEnd w:id="356"/>
      <w:bookmarkStart w:id="357" w:name="_Toc184313256"/>
      <w:bookmarkEnd w:id="357"/>
      <w:bookmarkStart w:id="358" w:name="_Toc184310293"/>
      <w:bookmarkEnd w:id="358"/>
      <w:bookmarkStart w:id="359" w:name="_Toc184312139"/>
      <w:bookmarkEnd w:id="359"/>
      <w:bookmarkStart w:id="360" w:name="_Toc184313240"/>
      <w:bookmarkEnd w:id="360"/>
      <w:bookmarkStart w:id="361" w:name="_Toc184313253"/>
      <w:bookmarkEnd w:id="361"/>
      <w:bookmarkStart w:id="362" w:name="_Toc184310323"/>
      <w:bookmarkEnd w:id="362"/>
      <w:bookmarkStart w:id="363" w:name="_Toc184310312"/>
      <w:bookmarkEnd w:id="363"/>
      <w:bookmarkStart w:id="364" w:name="_Toc184312096"/>
      <w:bookmarkEnd w:id="364"/>
      <w:bookmarkStart w:id="365" w:name="_Toc184314459"/>
      <w:bookmarkEnd w:id="365"/>
      <w:bookmarkStart w:id="366" w:name="_Toc184312068"/>
      <w:bookmarkEnd w:id="366"/>
      <w:bookmarkStart w:id="367" w:name="_Toc184312083"/>
      <w:bookmarkEnd w:id="367"/>
      <w:bookmarkStart w:id="368" w:name="_Toc184314414"/>
      <w:bookmarkEnd w:id="368"/>
      <w:bookmarkStart w:id="369" w:name="_Toc184312069"/>
      <w:bookmarkEnd w:id="369"/>
      <w:bookmarkStart w:id="370" w:name="_Toc184314413"/>
      <w:bookmarkEnd w:id="370"/>
      <w:bookmarkStart w:id="371" w:name="_Toc184313300"/>
      <w:bookmarkEnd w:id="371"/>
      <w:bookmarkStart w:id="372" w:name="_Toc184308084"/>
      <w:bookmarkEnd w:id="372"/>
      <w:bookmarkStart w:id="373" w:name="_Toc184313282"/>
      <w:bookmarkEnd w:id="373"/>
      <w:bookmarkStart w:id="374" w:name="_Toc184312100"/>
      <w:bookmarkEnd w:id="374"/>
      <w:bookmarkStart w:id="375" w:name="_Toc184312123"/>
      <w:bookmarkEnd w:id="375"/>
      <w:bookmarkStart w:id="376" w:name="_Toc184308058"/>
      <w:bookmarkEnd w:id="376"/>
      <w:bookmarkStart w:id="377" w:name="_Toc184314476"/>
      <w:bookmarkEnd w:id="377"/>
      <w:bookmarkStart w:id="378" w:name="_Toc184313252"/>
      <w:bookmarkEnd w:id="378"/>
      <w:bookmarkStart w:id="379" w:name="_Toc184310305"/>
      <w:bookmarkEnd w:id="379"/>
      <w:bookmarkStart w:id="380" w:name="_Toc184314468"/>
      <w:bookmarkEnd w:id="380"/>
      <w:bookmarkStart w:id="381" w:name="_Toc184312067"/>
      <w:bookmarkEnd w:id="381"/>
      <w:bookmarkStart w:id="382" w:name="_Toc184308082"/>
      <w:bookmarkEnd w:id="382"/>
      <w:bookmarkStart w:id="383" w:name="_Toc184313299"/>
      <w:bookmarkEnd w:id="383"/>
      <w:bookmarkStart w:id="384" w:name="_Toc184312119"/>
      <w:bookmarkEnd w:id="384"/>
      <w:bookmarkStart w:id="385" w:name="_Toc184314420"/>
      <w:bookmarkEnd w:id="385"/>
      <w:bookmarkStart w:id="386" w:name="_Toc184312107"/>
      <w:bookmarkEnd w:id="386"/>
      <w:bookmarkStart w:id="387" w:name="_Toc184312118"/>
      <w:bookmarkEnd w:id="387"/>
      <w:bookmarkStart w:id="388" w:name="_Toc184314433"/>
      <w:bookmarkEnd w:id="388"/>
      <w:bookmarkStart w:id="389" w:name="_Toc184314412"/>
      <w:bookmarkEnd w:id="389"/>
      <w:bookmarkStart w:id="390" w:name="_Toc184313255"/>
      <w:bookmarkEnd w:id="390"/>
      <w:bookmarkStart w:id="391" w:name="_Toc184312112"/>
      <w:bookmarkEnd w:id="391"/>
      <w:bookmarkStart w:id="392" w:name="_Toc184314478"/>
      <w:bookmarkEnd w:id="392"/>
      <w:bookmarkStart w:id="393" w:name="_Toc184314427"/>
      <w:bookmarkEnd w:id="393"/>
      <w:bookmarkStart w:id="394" w:name="_Toc184314421"/>
      <w:bookmarkEnd w:id="394"/>
      <w:bookmarkStart w:id="395" w:name="_Toc184310282"/>
      <w:bookmarkEnd w:id="395"/>
      <w:bookmarkStart w:id="396" w:name="_Toc184314463"/>
      <w:bookmarkEnd w:id="396"/>
      <w:bookmarkStart w:id="397" w:name="_Toc184310277"/>
      <w:bookmarkEnd w:id="397"/>
      <w:bookmarkStart w:id="398" w:name="_Toc184313268"/>
      <w:bookmarkEnd w:id="398"/>
      <w:bookmarkStart w:id="399" w:name="_Toc184313254"/>
      <w:bookmarkEnd w:id="399"/>
      <w:bookmarkStart w:id="400" w:name="_Toc184314429"/>
      <w:bookmarkEnd w:id="400"/>
      <w:bookmarkStart w:id="401" w:name="_Toc184310274"/>
      <w:bookmarkEnd w:id="401"/>
      <w:r>
        <w:rPr>
          <w:rFonts w:hint="eastAsia" w:ascii="仿宋" w:hAnsi="仿宋" w:cs="仿宋"/>
          <w:b/>
          <w:sz w:val="36"/>
          <w:szCs w:val="36"/>
        </w:rPr>
        <w:t>评标办法</w:t>
      </w:r>
      <w:bookmarkEnd w:id="36"/>
    </w:p>
    <w:p>
      <w:pPr>
        <w:pStyle w:val="138"/>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63"/>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5729"/>
        <w:gridCol w:w="782"/>
        <w:gridCol w:w="874"/>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5729"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评审标准</w:t>
            </w:r>
          </w:p>
        </w:tc>
        <w:tc>
          <w:tcPr>
            <w:tcW w:w="782"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权重</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Cs/>
                <w:sz w:val="24"/>
                <w:szCs w:val="24"/>
              </w:rPr>
              <w:t>主观分/客观分属性</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lang w:val="en-US" w:eastAsia="zh-CN"/>
              </w:rPr>
              <w:t>投标</w:t>
            </w:r>
            <w:r>
              <w:rPr>
                <w:rFonts w:hint="eastAsia" w:ascii="方正仿宋_GB2312" w:hAnsi="方正仿宋_GB2312" w:eastAsia="方正仿宋_GB2312" w:cs="方正仿宋_GB2312"/>
                <w:bCs/>
                <w:sz w:val="24"/>
                <w:szCs w:val="24"/>
              </w:rPr>
              <w:t>文件中评审标准相应的商务技术资料目录</w:t>
            </w:r>
            <w:r>
              <w:rPr>
                <w:rFonts w:hint="eastAsia" w:ascii="方正仿宋_GB2312" w:hAnsi="方正仿宋_GB2312" w:eastAsia="方正仿宋_GB2312" w:cs="方正仿宋_GB2312"/>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供应商（联合体投标的，指联合体牵头方）自2022年1月1日以来</w:t>
            </w:r>
            <w:r>
              <w:rPr>
                <w:rFonts w:hint="eastAsia" w:ascii="方正仿宋_GB2312" w:hAnsi="方正仿宋_GB2312" w:eastAsia="方正仿宋_GB2312" w:cs="方正仿宋_GB2312"/>
                <w:sz w:val="24"/>
                <w:szCs w:val="24"/>
                <w:lang w:eastAsia="zh-CN"/>
              </w:rPr>
              <w:t>类似品牌提升</w:t>
            </w:r>
            <w:r>
              <w:rPr>
                <w:rFonts w:hint="eastAsia" w:ascii="方正仿宋_GB2312" w:hAnsi="方正仿宋_GB2312" w:eastAsia="方正仿宋_GB2312" w:cs="方正仿宋_GB2312"/>
                <w:sz w:val="24"/>
                <w:szCs w:val="24"/>
                <w:lang w:val="en-US" w:eastAsia="zh-CN"/>
              </w:rPr>
              <w:t>或质量攻坚服务</w:t>
            </w:r>
            <w:r>
              <w:rPr>
                <w:rFonts w:hint="eastAsia" w:ascii="方正仿宋_GB2312" w:hAnsi="方正仿宋_GB2312" w:eastAsia="方正仿宋_GB2312" w:cs="方正仿宋_GB2312"/>
                <w:sz w:val="24"/>
                <w:szCs w:val="24"/>
              </w:rPr>
              <w:t>项目业绩，每提供一个项目业绩得</w:t>
            </w:r>
            <w:r>
              <w:rPr>
                <w:rFonts w:hint="eastAsia" w:ascii="方正仿宋_GB2312" w:hAnsi="方正仿宋_GB2312" w:eastAsia="方正仿宋_GB2312" w:cs="方正仿宋_GB2312"/>
                <w:sz w:val="24"/>
                <w:szCs w:val="24"/>
                <w:lang w:val="en-US" w:eastAsia="zh-CN"/>
              </w:rPr>
              <w:t>0.5</w:t>
            </w:r>
            <w:r>
              <w:rPr>
                <w:rFonts w:hint="eastAsia" w:ascii="方正仿宋_GB2312" w:hAnsi="方正仿宋_GB2312" w:eastAsia="方正仿宋_GB2312" w:cs="方正仿宋_GB2312"/>
                <w:sz w:val="24"/>
                <w:szCs w:val="24"/>
              </w:rPr>
              <w:t>分，最多得</w:t>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rPr>
              <w:t>分。（需提供合同复印件并加盖公章，否则不得分。）</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1</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根据供应商</w:t>
            </w:r>
            <w:r>
              <w:rPr>
                <w:rFonts w:hint="eastAsia" w:ascii="方正仿宋_GB2312" w:hAnsi="方正仿宋_GB2312" w:eastAsia="方正仿宋_GB2312" w:cs="方正仿宋_GB2312"/>
                <w:sz w:val="24"/>
                <w:szCs w:val="24"/>
              </w:rPr>
              <w:t>对本项目背景的了解程度</w:t>
            </w:r>
            <w:r>
              <w:rPr>
                <w:rFonts w:hint="eastAsia" w:ascii="方正仿宋_GB2312" w:hAnsi="方正仿宋_GB2312" w:eastAsia="方正仿宋_GB2312" w:cs="方正仿宋_GB2312"/>
                <w:sz w:val="24"/>
                <w:szCs w:val="24"/>
                <w:lang w:val="en-US" w:eastAsia="zh-CN"/>
              </w:rPr>
              <w:t>等情况进行评分。分值（0,1,2,3）</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bCs/>
                <w:sz w:val="24"/>
                <w:szCs w:val="24"/>
                <w:lang w:val="en-US" w:eastAsia="zh-CN"/>
              </w:rPr>
            </w:pPr>
            <w:r>
              <w:rPr>
                <w:rFonts w:hint="eastAsia" w:ascii="方正仿宋_GB2312" w:hAnsi="方正仿宋_GB2312" w:eastAsia="方正仿宋_GB2312" w:cs="方正仿宋_GB2312"/>
                <w:bCs/>
                <w:sz w:val="24"/>
                <w:szCs w:val="24"/>
                <w:lang w:val="en-US"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产业链分析。根据本项目特点，对所投标项的品牌领域产业链进行分析，根据分析到位情况及透彻程度进行评分。分值（0,1,2,3,4）</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4</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bCs/>
                <w:sz w:val="24"/>
                <w:szCs w:val="24"/>
                <w:lang w:val="en-US" w:eastAsia="zh-CN"/>
              </w:rPr>
            </w:pPr>
            <w:r>
              <w:rPr>
                <w:rFonts w:hint="eastAsia" w:ascii="方正仿宋_GB2312" w:hAnsi="方正仿宋_GB2312" w:eastAsia="方正仿宋_GB2312" w:cs="方正仿宋_GB2312"/>
                <w:bCs/>
                <w:sz w:val="24"/>
                <w:szCs w:val="24"/>
                <w:lang w:val="en-US"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4</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服务方案。结合重点服务区域，对所投标项内容的产业链质量提升拟采取的措施和调研方法提供服务方案，根据方案详实程度、可执行性情况进行打分。</w:t>
            </w:r>
            <w:r>
              <w:rPr>
                <w:rFonts w:hint="eastAsia" w:ascii="方正仿宋_GB2312" w:hAnsi="方正仿宋_GB2312" w:eastAsia="方正仿宋_GB2312" w:cs="方正仿宋_GB2312"/>
                <w:sz w:val="24"/>
                <w:szCs w:val="24"/>
              </w:rPr>
              <w:t>分值（0,1,2,3,4,5）</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供应商</w:t>
            </w:r>
            <w:r>
              <w:rPr>
                <w:rFonts w:hint="eastAsia" w:ascii="方正仿宋_GB2312" w:hAnsi="方正仿宋_GB2312" w:eastAsia="方正仿宋_GB2312" w:cs="方正仿宋_GB2312"/>
                <w:sz w:val="24"/>
                <w:szCs w:val="24"/>
              </w:rPr>
              <w:t>针对采购文件第</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部分采</w:t>
            </w:r>
            <w:r>
              <w:rPr>
                <w:rFonts w:hint="eastAsia" w:ascii="方正仿宋_GB2312" w:hAnsi="方正仿宋_GB2312" w:eastAsia="方正仿宋_GB2312" w:cs="方正仿宋_GB2312"/>
                <w:sz w:val="24"/>
                <w:szCs w:val="24"/>
                <w:highlight w:val="none"/>
              </w:rPr>
              <w:t>购需求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服务</w:t>
            </w:r>
            <w:r>
              <w:rPr>
                <w:rFonts w:hint="eastAsia" w:ascii="方正仿宋_GB2312" w:hAnsi="方正仿宋_GB2312" w:eastAsia="方正仿宋_GB2312" w:cs="方正仿宋_GB2312"/>
                <w:sz w:val="24"/>
                <w:szCs w:val="24"/>
                <w:highlight w:val="none"/>
              </w:rPr>
              <w:t>内容及</w:t>
            </w:r>
            <w:r>
              <w:rPr>
                <w:rFonts w:hint="eastAsia" w:ascii="方正仿宋_GB2312" w:hAnsi="方正仿宋_GB2312" w:eastAsia="方正仿宋_GB2312" w:cs="方正仿宋_GB2312"/>
                <w:sz w:val="24"/>
                <w:szCs w:val="24"/>
                <w:highlight w:val="none"/>
                <w:lang w:val="en-US" w:eastAsia="zh-CN"/>
              </w:rPr>
              <w:t>技术</w:t>
            </w:r>
            <w:r>
              <w:rPr>
                <w:rFonts w:hint="eastAsia" w:ascii="方正仿宋_GB2312" w:hAnsi="方正仿宋_GB2312" w:eastAsia="方正仿宋_GB2312" w:cs="方正仿宋_GB2312"/>
                <w:sz w:val="24"/>
                <w:szCs w:val="24"/>
                <w:highlight w:val="none"/>
              </w:rPr>
              <w:t>要求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中“服务内容”进行响应和承诺。所投标项服务内容</w:t>
            </w:r>
            <w:r>
              <w:rPr>
                <w:rFonts w:hint="eastAsia" w:ascii="方正仿宋_GB2312" w:hAnsi="方正仿宋_GB2312" w:eastAsia="方正仿宋_GB2312" w:cs="方正仿宋_GB2312"/>
                <w:sz w:val="24"/>
                <w:szCs w:val="24"/>
                <w:highlight w:val="none"/>
              </w:rPr>
              <w:t>均</w:t>
            </w:r>
            <w:r>
              <w:rPr>
                <w:rFonts w:hint="eastAsia" w:ascii="方正仿宋_GB2312" w:hAnsi="方正仿宋_GB2312" w:eastAsia="方正仿宋_GB2312" w:cs="方正仿宋_GB2312"/>
                <w:sz w:val="24"/>
                <w:szCs w:val="24"/>
                <w:highlight w:val="none"/>
                <w:lang w:val="en-US" w:eastAsia="zh-CN"/>
              </w:rPr>
              <w:t>承诺完全响应的</w:t>
            </w:r>
            <w:r>
              <w:rPr>
                <w:rFonts w:hint="eastAsia" w:ascii="方正仿宋_GB2312" w:hAnsi="方正仿宋_GB2312" w:eastAsia="方正仿宋_GB2312" w:cs="方正仿宋_GB2312"/>
                <w:sz w:val="24"/>
                <w:szCs w:val="24"/>
                <w:highlight w:val="none"/>
              </w:rPr>
              <w:t>得</w:t>
            </w:r>
            <w:r>
              <w:rPr>
                <w:rFonts w:hint="eastAsia" w:ascii="方正仿宋_GB2312" w:hAnsi="方正仿宋_GB2312" w:eastAsia="方正仿宋_GB2312" w:cs="方正仿宋_GB2312"/>
                <w:sz w:val="24"/>
                <w:szCs w:val="24"/>
                <w:highlight w:val="none"/>
                <w:lang w:val="en-US" w:eastAsia="zh-CN"/>
              </w:rPr>
              <w:t>30</w:t>
            </w:r>
            <w:r>
              <w:rPr>
                <w:rFonts w:hint="eastAsia" w:ascii="方正仿宋_GB2312" w:hAnsi="方正仿宋_GB2312" w:eastAsia="方正仿宋_GB2312" w:cs="方正仿宋_GB2312"/>
                <w:sz w:val="24"/>
                <w:szCs w:val="24"/>
                <w:highlight w:val="none"/>
              </w:rPr>
              <w:t>分，每</w:t>
            </w:r>
            <w:r>
              <w:rPr>
                <w:rFonts w:hint="eastAsia" w:ascii="方正仿宋_GB2312" w:hAnsi="方正仿宋_GB2312" w:eastAsia="方正仿宋_GB2312" w:cs="方正仿宋_GB2312"/>
                <w:sz w:val="24"/>
                <w:szCs w:val="24"/>
              </w:rPr>
              <w:t>一项不满足的扣</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分，扣完为止。</w:t>
            </w:r>
            <w:r>
              <w:rPr>
                <w:rFonts w:hint="eastAsia" w:ascii="方正仿宋_GB2312" w:hAnsi="方正仿宋_GB2312" w:eastAsia="方正仿宋_GB2312" w:cs="方正仿宋_GB2312"/>
                <w:sz w:val="24"/>
                <w:szCs w:val="24"/>
                <w:lang w:val="en-US" w:eastAsia="zh-CN"/>
              </w:rPr>
              <w:t>评审依据：技术服务响应表或商务技术偏离表或投标人对服务内容的逐条响应承诺。</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30</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供应商</w:t>
            </w:r>
            <w:r>
              <w:rPr>
                <w:rFonts w:hint="eastAsia" w:ascii="方正仿宋_GB2312" w:hAnsi="方正仿宋_GB2312" w:eastAsia="方正仿宋_GB2312" w:cs="方正仿宋_GB2312"/>
                <w:sz w:val="24"/>
                <w:szCs w:val="24"/>
              </w:rPr>
              <w:t>针对采购文件第</w:t>
            </w: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sz w:val="24"/>
                <w:szCs w:val="24"/>
              </w:rPr>
              <w:t>部分采</w:t>
            </w:r>
            <w:r>
              <w:rPr>
                <w:rFonts w:hint="eastAsia" w:ascii="方正仿宋_GB2312" w:hAnsi="方正仿宋_GB2312" w:eastAsia="方正仿宋_GB2312" w:cs="方正仿宋_GB2312"/>
                <w:sz w:val="24"/>
                <w:szCs w:val="24"/>
                <w:highlight w:val="none"/>
              </w:rPr>
              <w:t>购需求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rPr>
              <w:t>、</w:t>
            </w:r>
            <w:r>
              <w:rPr>
                <w:rFonts w:hint="eastAsia" w:ascii="方正仿宋_GB2312" w:hAnsi="方正仿宋_GB2312" w:eastAsia="方正仿宋_GB2312" w:cs="方正仿宋_GB2312"/>
                <w:sz w:val="24"/>
                <w:szCs w:val="24"/>
                <w:highlight w:val="none"/>
                <w:lang w:val="en-US" w:eastAsia="zh-CN"/>
              </w:rPr>
              <w:t>服务</w:t>
            </w:r>
            <w:r>
              <w:rPr>
                <w:rFonts w:hint="eastAsia" w:ascii="方正仿宋_GB2312" w:hAnsi="方正仿宋_GB2312" w:eastAsia="方正仿宋_GB2312" w:cs="方正仿宋_GB2312"/>
                <w:sz w:val="24"/>
                <w:szCs w:val="24"/>
                <w:highlight w:val="none"/>
              </w:rPr>
              <w:t>内容及</w:t>
            </w:r>
            <w:r>
              <w:rPr>
                <w:rFonts w:hint="eastAsia" w:ascii="方正仿宋_GB2312" w:hAnsi="方正仿宋_GB2312" w:eastAsia="方正仿宋_GB2312" w:cs="方正仿宋_GB2312"/>
                <w:sz w:val="24"/>
                <w:szCs w:val="24"/>
                <w:highlight w:val="none"/>
                <w:lang w:val="en-US" w:eastAsia="zh-CN"/>
              </w:rPr>
              <w:t>技术</w:t>
            </w:r>
            <w:r>
              <w:rPr>
                <w:rFonts w:hint="eastAsia" w:ascii="方正仿宋_GB2312" w:hAnsi="方正仿宋_GB2312" w:eastAsia="方正仿宋_GB2312" w:cs="方正仿宋_GB2312"/>
                <w:sz w:val="24"/>
                <w:szCs w:val="24"/>
                <w:highlight w:val="none"/>
              </w:rPr>
              <w:t>要求</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中“技术要求”进行响应和承诺。所投标项技术要求</w:t>
            </w:r>
            <w:r>
              <w:rPr>
                <w:rFonts w:hint="eastAsia" w:ascii="方正仿宋_GB2312" w:hAnsi="方正仿宋_GB2312" w:eastAsia="方正仿宋_GB2312" w:cs="方正仿宋_GB2312"/>
                <w:sz w:val="24"/>
                <w:szCs w:val="24"/>
                <w:highlight w:val="none"/>
              </w:rPr>
              <w:t>均</w:t>
            </w:r>
            <w:r>
              <w:rPr>
                <w:rFonts w:hint="eastAsia" w:ascii="方正仿宋_GB2312" w:hAnsi="方正仿宋_GB2312" w:eastAsia="方正仿宋_GB2312" w:cs="方正仿宋_GB2312"/>
                <w:sz w:val="24"/>
                <w:szCs w:val="24"/>
                <w:highlight w:val="none"/>
                <w:lang w:val="en-US" w:eastAsia="zh-CN"/>
              </w:rPr>
              <w:t>承诺完全响应的</w:t>
            </w:r>
            <w:r>
              <w:rPr>
                <w:rFonts w:hint="eastAsia" w:ascii="方正仿宋_GB2312" w:hAnsi="方正仿宋_GB2312" w:eastAsia="方正仿宋_GB2312" w:cs="方正仿宋_GB2312"/>
                <w:sz w:val="24"/>
                <w:szCs w:val="24"/>
                <w:highlight w:val="none"/>
              </w:rPr>
              <w:t>得</w:t>
            </w:r>
            <w:r>
              <w:rPr>
                <w:rFonts w:hint="eastAsia" w:ascii="方正仿宋_GB2312" w:hAnsi="方正仿宋_GB2312" w:eastAsia="方正仿宋_GB2312" w:cs="方正仿宋_GB2312"/>
                <w:sz w:val="24"/>
                <w:szCs w:val="24"/>
                <w:highlight w:val="none"/>
                <w:lang w:val="en-US" w:eastAsia="zh-CN"/>
              </w:rPr>
              <w:t>20</w:t>
            </w:r>
            <w:r>
              <w:rPr>
                <w:rFonts w:hint="eastAsia" w:ascii="方正仿宋_GB2312" w:hAnsi="方正仿宋_GB2312" w:eastAsia="方正仿宋_GB2312" w:cs="方正仿宋_GB2312"/>
                <w:sz w:val="24"/>
                <w:szCs w:val="24"/>
                <w:highlight w:val="none"/>
              </w:rPr>
              <w:t>分，每</w:t>
            </w:r>
            <w:r>
              <w:rPr>
                <w:rFonts w:hint="eastAsia" w:ascii="方正仿宋_GB2312" w:hAnsi="方正仿宋_GB2312" w:eastAsia="方正仿宋_GB2312" w:cs="方正仿宋_GB2312"/>
                <w:sz w:val="24"/>
                <w:szCs w:val="24"/>
              </w:rPr>
              <w:t>一项不满足的扣</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分，扣完为止。</w:t>
            </w:r>
            <w:r>
              <w:rPr>
                <w:rFonts w:hint="eastAsia" w:ascii="方正仿宋_GB2312" w:hAnsi="方正仿宋_GB2312" w:eastAsia="方正仿宋_GB2312" w:cs="方正仿宋_GB2312"/>
                <w:sz w:val="24"/>
                <w:szCs w:val="24"/>
                <w:lang w:val="en-US" w:eastAsia="zh-CN"/>
              </w:rPr>
              <w:t>评审依据：技术服务响应表或商务技术偏离表或投标人对技术要求的逐条响应承诺。</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20</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项目成果。对所投标项拟提供的项目成果材料进行承诺。完全符合采购需求的得5分，不满足的不得分。</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8</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项目组人员情况</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8.1</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eastAsia="zh-CN"/>
              </w:rPr>
              <w:t>项目负责人具有</w:t>
            </w:r>
            <w:r>
              <w:rPr>
                <w:rFonts w:hint="eastAsia" w:ascii="方正仿宋_GB2312" w:hAnsi="方正仿宋_GB2312" w:eastAsia="方正仿宋_GB2312" w:cs="方正仿宋_GB2312"/>
                <w:sz w:val="24"/>
                <w:szCs w:val="24"/>
                <w:lang w:val="en-US" w:eastAsia="zh-CN"/>
              </w:rPr>
              <w:t>标准、计量、检测、质量等相关专业高级及</w:t>
            </w:r>
            <w:r>
              <w:rPr>
                <w:rFonts w:hint="eastAsia" w:ascii="方正仿宋_GB2312" w:hAnsi="方正仿宋_GB2312" w:eastAsia="方正仿宋_GB2312" w:cs="方正仿宋_GB2312"/>
                <w:sz w:val="24"/>
                <w:szCs w:val="24"/>
                <w:lang w:eastAsia="zh-CN"/>
              </w:rPr>
              <w:t>以上职称的得</w:t>
            </w:r>
            <w:r>
              <w:rPr>
                <w:rFonts w:hint="eastAsia" w:ascii="方正仿宋_GB2312" w:hAnsi="方正仿宋_GB2312" w:eastAsia="方正仿宋_GB2312" w:cs="方正仿宋_GB2312"/>
                <w:sz w:val="24"/>
                <w:szCs w:val="24"/>
                <w:lang w:val="en-US" w:eastAsia="zh-CN"/>
              </w:rPr>
              <w:t>3分</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须提供证书复印件和近三月任意一个月在投标人处缴纳社保的证明。</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8.2</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项目负责人</w:t>
            </w:r>
            <w:r>
              <w:rPr>
                <w:rFonts w:hint="eastAsia" w:ascii="方正仿宋_GB2312" w:hAnsi="方正仿宋_GB2312" w:eastAsia="方正仿宋_GB2312" w:cs="方正仿宋_GB2312"/>
                <w:sz w:val="24"/>
                <w:szCs w:val="24"/>
                <w:lang w:val="en-US" w:eastAsia="zh-CN"/>
              </w:rPr>
              <w:t>具备5年及以上类似品牌提升或质量攻坚服务项目管理及实施的相关工作经验的得3分。须提供项目负责人履历表和近三月任意一个月在投标人处缴纳社保的证明。</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8.3</w:t>
            </w:r>
          </w:p>
        </w:tc>
        <w:tc>
          <w:tcPr>
            <w:tcW w:w="5729" w:type="dxa"/>
            <w:noWrap w:val="0"/>
            <w:vAlign w:val="center"/>
          </w:tcPr>
          <w:p>
            <w:pPr>
              <w:spacing w:line="240" w:lineRule="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项目团队人员（除项目负责人外）数量不少于10人，且具有标准、计量、检测、质量等相关专业中级及以上职称的工作人员数量不少于5人的得5分，须提供证书复印件和投标截止时间前近三月内任意一个月在投标人处缴纳社保的证明。</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8.4</w:t>
            </w:r>
          </w:p>
        </w:tc>
        <w:tc>
          <w:tcPr>
            <w:tcW w:w="5729" w:type="dxa"/>
            <w:noWrap w:val="0"/>
            <w:vAlign w:val="center"/>
          </w:tcPr>
          <w:p>
            <w:pPr>
              <w:spacing w:line="240" w:lineRule="auto"/>
              <w:outlineLvl w:val="0"/>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拟投入本次项目团队成员（不包括项目负责人）人员</w:t>
            </w:r>
            <w:r>
              <w:rPr>
                <w:rFonts w:hint="eastAsia" w:ascii="方正仿宋_GB2312" w:hAnsi="方正仿宋_GB2312" w:eastAsia="方正仿宋_GB2312" w:cs="方正仿宋_GB2312"/>
                <w:sz w:val="24"/>
                <w:szCs w:val="24"/>
                <w:lang w:val="en-US" w:eastAsia="zh-CN"/>
              </w:rPr>
              <w:t>岗位配置</w:t>
            </w:r>
            <w:r>
              <w:rPr>
                <w:rFonts w:hint="eastAsia" w:ascii="方正仿宋_GB2312" w:hAnsi="方正仿宋_GB2312" w:eastAsia="方正仿宋_GB2312" w:cs="方正仿宋_GB2312"/>
                <w:sz w:val="24"/>
                <w:szCs w:val="24"/>
                <w:lang w:eastAsia="zh-CN"/>
              </w:rPr>
              <w:t>情况、</w:t>
            </w:r>
            <w:r>
              <w:rPr>
                <w:rFonts w:hint="eastAsia" w:ascii="方正仿宋_GB2312" w:hAnsi="方正仿宋_GB2312" w:eastAsia="方正仿宋_GB2312" w:cs="方正仿宋_GB2312"/>
                <w:sz w:val="24"/>
                <w:szCs w:val="24"/>
                <w:lang w:val="en-US" w:eastAsia="zh-CN"/>
              </w:rPr>
              <w:t>任务分工明确程度</w:t>
            </w:r>
            <w:r>
              <w:rPr>
                <w:rFonts w:hint="eastAsia" w:ascii="方正仿宋_GB2312" w:hAnsi="方正仿宋_GB2312" w:eastAsia="方正仿宋_GB2312" w:cs="方正仿宋_GB2312"/>
                <w:sz w:val="24"/>
                <w:szCs w:val="24"/>
                <w:lang w:eastAsia="zh-CN"/>
              </w:rPr>
              <w:t>等进行评分分值（</w:t>
            </w:r>
            <w:r>
              <w:rPr>
                <w:rFonts w:hint="eastAsia" w:ascii="方正仿宋_GB2312" w:hAnsi="方正仿宋_GB2312" w:eastAsia="方正仿宋_GB2312" w:cs="方正仿宋_GB2312"/>
                <w:sz w:val="24"/>
                <w:szCs w:val="24"/>
                <w:lang w:val="en-US" w:eastAsia="zh-CN"/>
              </w:rPr>
              <w:t>0,1,2,3,4,5</w:t>
            </w:r>
            <w:r>
              <w:rPr>
                <w:rFonts w:hint="eastAsia" w:ascii="方正仿宋_GB2312" w:hAnsi="方正仿宋_GB2312" w:eastAsia="方正仿宋_GB2312" w:cs="方正仿宋_GB2312"/>
                <w:sz w:val="24"/>
                <w:szCs w:val="24"/>
                <w:lang w:eastAsia="zh-CN"/>
              </w:rPr>
              <w:t>）</w:t>
            </w:r>
          </w:p>
        </w:tc>
        <w:tc>
          <w:tcPr>
            <w:tcW w:w="782" w:type="dxa"/>
            <w:noWrap w:val="0"/>
            <w:vAlign w:val="center"/>
          </w:tcPr>
          <w:p>
            <w:pPr>
              <w:snapToGrid w:val="0"/>
              <w:spacing w:line="240" w:lineRule="auto"/>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5</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93"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9</w:t>
            </w:r>
          </w:p>
        </w:tc>
        <w:tc>
          <w:tcPr>
            <w:tcW w:w="5729" w:type="dxa"/>
            <w:noWrap w:val="0"/>
            <w:vAlign w:val="center"/>
          </w:tcPr>
          <w:p>
            <w:pPr>
              <w:spacing w:line="240" w:lineRule="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进度计划。根据供应商提供的项目进度计划的科学性、合理性，与本项目的匹配程度进行评分。分值（0,1,2,3）</w:t>
            </w:r>
          </w:p>
        </w:tc>
        <w:tc>
          <w:tcPr>
            <w:tcW w:w="782"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w:t>
            </w:r>
          </w:p>
        </w:tc>
        <w:tc>
          <w:tcPr>
            <w:tcW w:w="5729" w:type="dxa"/>
            <w:noWrap w:val="0"/>
            <w:vAlign w:val="center"/>
          </w:tcPr>
          <w:p>
            <w:pPr>
              <w:spacing w:line="24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保密措施</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根据投标人对服务过程中拟采取的保密措施的严谨性合理性进行评分。</w:t>
            </w:r>
            <w:r>
              <w:rPr>
                <w:rFonts w:hint="eastAsia" w:ascii="方正仿宋_GB2312" w:hAnsi="方正仿宋_GB2312" w:eastAsia="方正仿宋_GB2312" w:cs="方正仿宋_GB2312"/>
                <w:sz w:val="24"/>
                <w:szCs w:val="24"/>
                <w:lang w:eastAsia="zh-CN"/>
              </w:rPr>
              <w:t>分值（0,1,2,3）</w:t>
            </w:r>
          </w:p>
        </w:tc>
        <w:tc>
          <w:tcPr>
            <w:tcW w:w="782" w:type="dxa"/>
            <w:noWrap w:val="0"/>
            <w:vAlign w:val="center"/>
          </w:tcPr>
          <w:p>
            <w:pPr>
              <w:spacing w:line="240" w:lineRule="auto"/>
              <w:jc w:val="center"/>
              <w:outlineLvl w:val="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主观分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11</w:t>
            </w:r>
          </w:p>
        </w:tc>
        <w:tc>
          <w:tcPr>
            <w:tcW w:w="5729" w:type="dxa"/>
            <w:noWrap w:val="0"/>
            <w:vAlign w:val="center"/>
          </w:tcPr>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有效最后报价的最低价作为评审基准价，其最低报价为满分；按［最后报价得分=（评审基准价/最后报价）*</w:t>
            </w:r>
            <w:r>
              <w:rPr>
                <w:rFonts w:hint="eastAsia" w:ascii="方正仿宋_GB2312" w:hAnsi="方正仿宋_GB2312" w:eastAsia="方正仿宋_GB2312" w:cs="方正仿宋_GB2312"/>
                <w:sz w:val="24"/>
                <w:szCs w:val="24"/>
                <w:lang w:val="en-US" w:eastAsia="zh-CN"/>
              </w:rPr>
              <w:t>10</w:t>
            </w:r>
            <w:r>
              <w:rPr>
                <w:rFonts w:hint="eastAsia" w:ascii="方正仿宋_GB2312" w:hAnsi="方正仿宋_GB2312" w:eastAsia="方正仿宋_GB2312" w:cs="方正仿宋_GB2312"/>
                <w:sz w:val="24"/>
                <w:szCs w:val="24"/>
              </w:rPr>
              <w:t>］的计算公式计算。</w:t>
            </w:r>
          </w:p>
          <w:p>
            <w:pPr>
              <w:spacing w:line="240" w:lineRule="auto"/>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评审过程中，不得去掉报价中的最高报价和最低报价。</w:t>
            </w:r>
          </w:p>
          <w:p>
            <w:pPr>
              <w:pStyle w:val="2"/>
              <w:spacing w:line="240" w:lineRule="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对小型和微型企业的投标报价给予10%的扣除，用扣除后的价格参与评审。大中型企业与小微企业组成联合体或者大中型企业向一家或者多家小微企业分包的，对于联合协议或者分包意向协议约定小微企业的合同份额占到合同总金额30%以上的，对联合体或者大中型企业的报价给予4%的扣除，用扣除后的价格参加评审。</w:t>
            </w:r>
          </w:p>
        </w:tc>
        <w:tc>
          <w:tcPr>
            <w:tcW w:w="782"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lang w:val="en-US" w:eastAsia="zh-CN"/>
              </w:rPr>
              <w:t>10</w:t>
            </w:r>
          </w:p>
        </w:tc>
        <w:tc>
          <w:tcPr>
            <w:tcW w:w="874"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rPr>
              <w:t>客观分</w:t>
            </w:r>
          </w:p>
        </w:tc>
        <w:tc>
          <w:tcPr>
            <w:tcW w:w="1563" w:type="dxa"/>
            <w:noWrap w:val="0"/>
            <w:vAlign w:val="center"/>
          </w:tcPr>
          <w:p>
            <w:pPr>
              <w:pStyle w:val="138"/>
              <w:spacing w:before="0" w:line="240" w:lineRule="auto"/>
              <w:ind w:firstLine="0" w:firstLineChars="0"/>
              <w:jc w:val="center"/>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sz w:val="24"/>
                <w:szCs w:val="24"/>
              </w:rPr>
              <w:t>/</w:t>
            </w:r>
          </w:p>
        </w:tc>
      </w:tr>
    </w:tbl>
    <w:p>
      <w:pPr>
        <w:rPr>
          <w:rFonts w:hint="eastAsia" w:ascii="仿宋" w:hAnsi="仿宋" w:cs="仿宋"/>
          <w:lang w:eastAsia="zh-CN"/>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r>
        <w:rPr>
          <w:rFonts w:hint="eastAsia" w:ascii="仿宋" w:hAnsi="仿宋" w:cs="仿宋"/>
          <w:lang w:eastAsia="zh-CN"/>
        </w:rPr>
        <w:t>。</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spacing w:line="360" w:lineRule="auto"/>
        <w:ind w:right="-211" w:rightChars="-88" w:firstLine="482" w:firstLineChars="200"/>
        <w:rPr>
          <w:rFonts w:ascii="宋体" w:hAnsi="宋体"/>
          <w:b/>
          <w:sz w:val="24"/>
        </w:rPr>
      </w:pPr>
      <w:bookmarkStart w:id="402" w:name="第五部分"/>
      <w:bookmarkStart w:id="403" w:name="_Toc86217003"/>
      <w:r>
        <w:rPr>
          <w:rFonts w:ascii="宋体" w:hAnsi="宋体"/>
          <w:b/>
          <w:sz w:val="24"/>
        </w:rPr>
        <w:t>（本条款为双方必须遵守的基本条款，双方可根据实际情况签订合同</w:t>
      </w:r>
      <w:r>
        <w:rPr>
          <w:rFonts w:hint="eastAsia" w:ascii="宋体" w:hAnsi="宋体"/>
          <w:b/>
          <w:sz w:val="24"/>
        </w:rPr>
        <w:t>文本</w:t>
      </w:r>
      <w:r>
        <w:rPr>
          <w:rFonts w:ascii="宋体" w:hAnsi="宋体"/>
          <w:b/>
          <w:sz w:val="24"/>
        </w:rPr>
        <w:t>；正式合同以双方签字盖章的文本为准。）</w:t>
      </w:r>
    </w:p>
    <w:p>
      <w:pPr>
        <w:pStyle w:val="16"/>
        <w:spacing w:line="360" w:lineRule="auto"/>
        <w:ind w:firstLine="0"/>
        <w:rPr>
          <w:rFonts w:hint="eastAsia" w:ascii="宋体" w:hAnsi="宋体"/>
          <w:sz w:val="24"/>
          <w:szCs w:val="24"/>
        </w:rPr>
      </w:pPr>
      <w:r>
        <w:rPr>
          <w:rFonts w:hint="eastAsia" w:ascii="宋体" w:hAnsi="宋体"/>
          <w:sz w:val="24"/>
          <w:szCs w:val="24"/>
        </w:rPr>
        <w:t>甲方：</w:t>
      </w:r>
    </w:p>
    <w:p>
      <w:pPr>
        <w:pStyle w:val="16"/>
        <w:spacing w:line="360" w:lineRule="auto"/>
        <w:ind w:firstLine="0"/>
        <w:rPr>
          <w:rFonts w:hint="eastAsia" w:ascii="宋体" w:hAnsi="宋体"/>
          <w:sz w:val="24"/>
          <w:szCs w:val="24"/>
        </w:rPr>
      </w:pPr>
      <w:r>
        <w:rPr>
          <w:rFonts w:hint="eastAsia" w:ascii="宋体" w:hAnsi="宋体"/>
          <w:sz w:val="24"/>
          <w:szCs w:val="24"/>
        </w:rPr>
        <w:t>乙方：</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根据</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月</w:t>
      </w:r>
      <w:r>
        <w:rPr>
          <w:rFonts w:hint="eastAsia" w:ascii="宋体" w:hAnsi="宋体"/>
          <w:sz w:val="24"/>
          <w:u w:val="single"/>
        </w:rPr>
        <w:t xml:space="preserve">    </w:t>
      </w:r>
      <w:r>
        <w:rPr>
          <w:rFonts w:ascii="宋体" w:hAnsi="宋体"/>
          <w:sz w:val="24"/>
          <w:u w:val="single"/>
        </w:rPr>
        <w:t xml:space="preserve">日      </w:t>
      </w:r>
      <w:r>
        <w:rPr>
          <w:rFonts w:hint="eastAsia" w:ascii="宋体" w:hAnsi="宋体"/>
          <w:sz w:val="24"/>
        </w:rPr>
        <w:t>项目</w:t>
      </w:r>
      <w:r>
        <w:rPr>
          <w:rFonts w:hint="eastAsia" w:ascii="宋体" w:hAnsi="宋体"/>
          <w:sz w:val="24"/>
          <w:lang w:val="en-US" w:eastAsia="zh-CN"/>
        </w:rPr>
        <w:t>标项【】</w:t>
      </w:r>
      <w:r>
        <w:rPr>
          <w:rFonts w:hint="eastAsia" w:ascii="宋体" w:hAnsi="宋体"/>
          <w:sz w:val="24"/>
        </w:rPr>
        <w:t>公开招标</w:t>
      </w:r>
      <w:r>
        <w:rPr>
          <w:rFonts w:ascii="宋体" w:hAnsi="宋体"/>
          <w:sz w:val="24"/>
        </w:rPr>
        <w:t>结果和</w:t>
      </w:r>
      <w:r>
        <w:rPr>
          <w:rFonts w:hint="eastAsia" w:ascii="宋体" w:hAnsi="宋体"/>
          <w:sz w:val="24"/>
        </w:rPr>
        <w:t>采购文件</w:t>
      </w:r>
      <w:r>
        <w:rPr>
          <w:rFonts w:ascii="宋体" w:hAnsi="宋体"/>
          <w:sz w:val="24"/>
        </w:rPr>
        <w:t>的要求，并依照《中华人民共和国</w:t>
      </w:r>
      <w:r>
        <w:rPr>
          <w:rFonts w:hint="eastAsia" w:ascii="宋体" w:hAnsi="宋体"/>
          <w:sz w:val="24"/>
        </w:rPr>
        <w:t>民法典</w:t>
      </w:r>
      <w:r>
        <w:rPr>
          <w:rFonts w:ascii="宋体" w:hAnsi="宋体"/>
          <w:sz w:val="24"/>
        </w:rPr>
        <w:t>》等有关法律、行政法规的规定，同时在平等、公平、诚实和信用的原则下，经双方协商一致，订立本合同。</w:t>
      </w:r>
    </w:p>
    <w:p>
      <w:pPr>
        <w:autoSpaceDE w:val="0"/>
        <w:autoSpaceDN w:val="0"/>
        <w:adjustRightInd w:val="0"/>
        <w:snapToGrid w:val="0"/>
        <w:spacing w:line="360" w:lineRule="auto"/>
        <w:ind w:firstLine="480" w:firstLineChars="200"/>
        <w:textAlignment w:val="bottom"/>
        <w:rPr>
          <w:rFonts w:hint="eastAsia" w:ascii="宋体" w:hAnsi="宋体"/>
          <w:b/>
          <w:sz w:val="24"/>
        </w:rPr>
      </w:pPr>
      <w:r>
        <w:rPr>
          <w:rFonts w:hint="eastAsia" w:ascii="宋体" w:hAnsi="宋体"/>
          <w:sz w:val="24"/>
        </w:rPr>
        <w:t>1</w:t>
      </w:r>
      <w:r>
        <w:rPr>
          <w:rFonts w:hint="eastAsia" w:ascii="宋体" w:hAnsi="宋体"/>
          <w:sz w:val="24"/>
          <w:lang w:val="en-US" w:eastAsia="zh-CN"/>
        </w:rPr>
        <w:t>.</w:t>
      </w:r>
      <w:r>
        <w:rPr>
          <w:rFonts w:hint="eastAsia" w:ascii="宋体" w:hAnsi="宋体"/>
          <w:b/>
          <w:sz w:val="24"/>
        </w:rPr>
        <w:t>组成合同文件及其优先顺序（按顺序号的先后）</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组成合同的各项文件应相互解释，互为说明。除合同另有规定外，其优先顺序如下：</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（1）合同</w:t>
      </w:r>
      <w:r>
        <w:rPr>
          <w:rFonts w:hint="eastAsia" w:ascii="宋体" w:hAnsi="宋体"/>
          <w:sz w:val="24"/>
        </w:rPr>
        <w:t>文本。</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（2）</w:t>
      </w:r>
      <w:r>
        <w:rPr>
          <w:rFonts w:hint="eastAsia" w:ascii="宋体" w:hAnsi="宋体"/>
          <w:sz w:val="24"/>
        </w:rPr>
        <w:t>中标</w:t>
      </w:r>
      <w:r>
        <w:rPr>
          <w:rFonts w:ascii="宋体" w:hAnsi="宋体"/>
          <w:sz w:val="24"/>
        </w:rPr>
        <w:t>通知书</w:t>
      </w:r>
      <w:r>
        <w:rPr>
          <w:rFonts w:hint="eastAsia" w:ascii="宋体" w:hAnsi="宋体"/>
          <w:sz w:val="24"/>
        </w:rPr>
        <w:t>。</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投标文件</w:t>
      </w:r>
      <w:r>
        <w:rPr>
          <w:rFonts w:ascii="宋体" w:hAnsi="宋体"/>
          <w:sz w:val="24"/>
        </w:rPr>
        <w:t>及其附件（含询标纪要）；</w:t>
      </w:r>
      <w:r>
        <w:rPr>
          <w:rFonts w:hint="eastAsia" w:ascii="宋体" w:hAnsi="宋体"/>
          <w:sz w:val="24"/>
        </w:rPr>
        <w:t>【如有负偏离采购文件要求的内容，则无条件按采购文件执行】。</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采购</w:t>
      </w:r>
      <w:r>
        <w:rPr>
          <w:rFonts w:ascii="宋体" w:hAnsi="宋体"/>
          <w:sz w:val="24"/>
        </w:rPr>
        <w:t>文件（含补充文件、答疑纪要）</w:t>
      </w:r>
      <w:r>
        <w:rPr>
          <w:rFonts w:hint="eastAsia" w:ascii="宋体" w:hAnsi="宋体"/>
          <w:sz w:val="24"/>
        </w:rPr>
        <w:t>。</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ascii="宋体" w:hAnsi="宋体"/>
          <w:sz w:val="24"/>
        </w:rPr>
        <w:t>（</w:t>
      </w:r>
      <w:r>
        <w:rPr>
          <w:rFonts w:hint="eastAsia" w:ascii="宋体" w:hAnsi="宋体"/>
          <w:sz w:val="24"/>
        </w:rPr>
        <w:t>5</w:t>
      </w:r>
      <w:r>
        <w:rPr>
          <w:rFonts w:ascii="宋体" w:hAnsi="宋体"/>
          <w:sz w:val="24"/>
        </w:rPr>
        <w:t>）标准、规范及有关技术文件</w:t>
      </w:r>
      <w:r>
        <w:rPr>
          <w:rFonts w:hint="eastAsia" w:ascii="宋体" w:hAnsi="宋体"/>
          <w:sz w:val="24"/>
        </w:rPr>
        <w:t>。</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甲乙双方</w:t>
      </w:r>
      <w:r>
        <w:rPr>
          <w:rFonts w:ascii="宋体" w:hAnsi="宋体"/>
          <w:sz w:val="24"/>
        </w:rPr>
        <w:t>有关</w:t>
      </w:r>
      <w:r>
        <w:rPr>
          <w:rFonts w:hint="eastAsia" w:ascii="宋体" w:hAnsi="宋体"/>
          <w:sz w:val="24"/>
        </w:rPr>
        <w:t>项目实施过程中</w:t>
      </w:r>
      <w:r>
        <w:rPr>
          <w:rFonts w:ascii="宋体" w:hAnsi="宋体"/>
          <w:sz w:val="24"/>
        </w:rPr>
        <w:t>的洽商、变更等书面协议或文件作为本合同的组成部分。</w:t>
      </w:r>
    </w:p>
    <w:p>
      <w:pPr>
        <w:autoSpaceDE w:val="0"/>
        <w:autoSpaceDN w:val="0"/>
        <w:adjustRightInd w:val="0"/>
        <w:snapToGrid w:val="0"/>
        <w:spacing w:line="360" w:lineRule="auto"/>
        <w:ind w:firstLine="480" w:firstLineChars="200"/>
        <w:textAlignment w:val="bottom"/>
        <w:rPr>
          <w:rFonts w:hint="eastAsia" w:ascii="宋体" w:hAnsi="宋体"/>
          <w:sz w:val="24"/>
        </w:rPr>
      </w:pPr>
      <w:r>
        <w:rPr>
          <w:rFonts w:hint="eastAsia" w:ascii="宋体" w:hAnsi="宋体"/>
          <w:sz w:val="24"/>
        </w:rPr>
        <w:t>（签订合同时，招标要求、投标的优惠承诺等均可作为合同条款。）</w:t>
      </w:r>
    </w:p>
    <w:p>
      <w:pPr>
        <w:autoSpaceDE w:val="0"/>
        <w:autoSpaceDN w:val="0"/>
        <w:adjustRightInd w:val="0"/>
        <w:snapToGrid w:val="0"/>
        <w:spacing w:line="360" w:lineRule="auto"/>
        <w:ind w:firstLine="482" w:firstLineChars="200"/>
        <w:textAlignment w:val="bottom"/>
        <w:rPr>
          <w:rFonts w:hint="eastAsia" w:ascii="宋体" w:hAnsi="宋体"/>
          <w:b/>
          <w:sz w:val="24"/>
        </w:rPr>
      </w:pPr>
      <w:r>
        <w:rPr>
          <w:rFonts w:hint="eastAsia" w:ascii="宋体" w:hAnsi="宋体"/>
          <w:b/>
          <w:sz w:val="24"/>
        </w:rPr>
        <w:t>2</w:t>
      </w:r>
      <w:r>
        <w:rPr>
          <w:rFonts w:hint="eastAsia" w:ascii="宋体" w:hAnsi="宋体"/>
          <w:b/>
          <w:sz w:val="24"/>
          <w:lang w:val="en-US" w:eastAsia="zh-CN"/>
        </w:rPr>
        <w:t>.</w:t>
      </w:r>
      <w:r>
        <w:rPr>
          <w:rFonts w:hint="eastAsia" w:ascii="宋体" w:hAnsi="宋体"/>
          <w:b/>
          <w:sz w:val="24"/>
        </w:rPr>
        <w:t>服务期：</w:t>
      </w:r>
      <w:r>
        <w:rPr>
          <w:rFonts w:hint="eastAsia" w:ascii="宋体" w:hAnsi="宋体"/>
          <w:b/>
          <w:sz w:val="24"/>
          <w:u w:val="single"/>
        </w:rPr>
        <w:t xml:space="preserve">    年    月    日至    年    月   日</w:t>
      </w:r>
      <w:r>
        <w:rPr>
          <w:rFonts w:hint="eastAsia" w:ascii="宋体" w:hAnsi="宋体"/>
          <w:b/>
          <w:sz w:val="24"/>
        </w:rPr>
        <w:t>。</w:t>
      </w:r>
    </w:p>
    <w:p>
      <w:pPr>
        <w:pStyle w:val="33"/>
        <w:adjustRightInd w:val="0"/>
        <w:snapToGrid w:val="0"/>
        <w:spacing w:before="0" w:beforeLines="0" w:after="0" w:afterLines="0" w:line="360" w:lineRule="auto"/>
        <w:ind w:left="1" w:firstLine="511" w:firstLineChars="213"/>
        <w:rPr>
          <w:rFonts w:hint="eastAsia" w:hAnsi="宋体"/>
        </w:rPr>
      </w:pPr>
      <w:r>
        <w:rPr>
          <w:rFonts w:hint="eastAsia" w:hAnsi="宋体"/>
        </w:rPr>
        <w:t>3</w:t>
      </w:r>
      <w:r>
        <w:rPr>
          <w:rFonts w:hint="eastAsia" w:hAnsi="宋体"/>
          <w:lang w:val="en-US" w:eastAsia="zh-CN"/>
        </w:rPr>
        <w:t>.</w:t>
      </w:r>
      <w:r>
        <w:rPr>
          <w:rFonts w:hint="eastAsia" w:hAnsi="宋体"/>
        </w:rPr>
        <w:t>服务要求：按</w:t>
      </w:r>
      <w:r>
        <w:rPr>
          <w:rFonts w:hint="eastAsia" w:hAnsi="宋体"/>
          <w:lang w:eastAsia="zh-CN"/>
        </w:rPr>
        <w:t>采购</w:t>
      </w:r>
      <w:r>
        <w:rPr>
          <w:rFonts w:hint="eastAsia" w:hAnsi="宋体"/>
        </w:rPr>
        <w:t>文件要求。</w:t>
      </w:r>
    </w:p>
    <w:p>
      <w:pPr>
        <w:pStyle w:val="33"/>
        <w:adjustRightInd w:val="0"/>
        <w:snapToGrid w:val="0"/>
        <w:spacing w:before="0" w:beforeLines="0" w:after="0" w:afterLines="0" w:line="360" w:lineRule="auto"/>
        <w:ind w:left="1" w:firstLine="511" w:firstLineChars="213"/>
        <w:rPr>
          <w:rFonts w:hint="eastAsia" w:hAnsi="宋体"/>
        </w:rPr>
      </w:pPr>
      <w:r>
        <w:rPr>
          <w:rFonts w:hint="eastAsia" w:hAnsi="宋体"/>
        </w:rPr>
        <w:t>4</w:t>
      </w:r>
      <w:r>
        <w:rPr>
          <w:rFonts w:hint="eastAsia" w:hAnsi="宋体"/>
          <w:lang w:val="en-US" w:eastAsia="zh-CN"/>
        </w:rPr>
        <w:t>.</w:t>
      </w:r>
      <w:r>
        <w:rPr>
          <w:rFonts w:hint="eastAsia" w:hAnsi="宋体"/>
        </w:rPr>
        <w:t>项目负责人：姓名</w:t>
      </w:r>
      <w:r>
        <w:rPr>
          <w:rFonts w:hint="eastAsia" w:hAnsi="宋体"/>
          <w:u w:val="single"/>
        </w:rPr>
        <w:t xml:space="preserve">           </w:t>
      </w:r>
      <w:r>
        <w:rPr>
          <w:rFonts w:hint="eastAsia" w:hAnsi="宋体"/>
        </w:rPr>
        <w:t>，身份证号：</w:t>
      </w:r>
      <w:r>
        <w:rPr>
          <w:rFonts w:hint="eastAsia" w:hAnsi="宋体"/>
          <w:u w:val="single"/>
        </w:rPr>
        <w:t xml:space="preserve">          </w:t>
      </w:r>
      <w:r>
        <w:rPr>
          <w:rFonts w:hint="eastAsia" w:hAnsi="宋体"/>
        </w:rPr>
        <w:t>。</w:t>
      </w:r>
    </w:p>
    <w:p>
      <w:pPr>
        <w:pStyle w:val="33"/>
        <w:adjustRightInd w:val="0"/>
        <w:snapToGrid w:val="0"/>
        <w:spacing w:before="0" w:beforeLines="0" w:after="0" w:afterLines="0" w:line="360" w:lineRule="auto"/>
        <w:ind w:left="1" w:firstLine="513" w:firstLineChars="213"/>
        <w:rPr>
          <w:rFonts w:hint="eastAsia" w:hAnsi="宋体"/>
          <w:b/>
        </w:rPr>
      </w:pPr>
      <w:r>
        <w:rPr>
          <w:rFonts w:hint="eastAsia" w:hAnsi="宋体"/>
          <w:b/>
        </w:rPr>
        <w:t>5</w:t>
      </w:r>
      <w:r>
        <w:rPr>
          <w:rFonts w:hint="eastAsia" w:hAnsi="宋体"/>
          <w:b/>
          <w:lang w:val="en-US" w:eastAsia="zh-CN"/>
        </w:rPr>
        <w:t>.</w:t>
      </w:r>
      <w:r>
        <w:rPr>
          <w:rFonts w:hint="eastAsia" w:hAnsi="宋体"/>
          <w:b/>
        </w:rPr>
        <w:t>合同价款</w:t>
      </w:r>
      <w:r>
        <w:rPr>
          <w:rFonts w:hint="eastAsia" w:hAnsi="宋体"/>
          <w:b/>
          <w:lang w:eastAsia="zh-CN"/>
        </w:rPr>
        <w:t>：</w:t>
      </w:r>
      <w:r>
        <w:rPr>
          <w:rFonts w:hint="eastAsia" w:hAnsi="宋体"/>
          <w:b/>
        </w:rPr>
        <w:t>本项目合同总价为人民币______________元整。</w:t>
      </w:r>
    </w:p>
    <w:p>
      <w:pPr>
        <w:pStyle w:val="33"/>
        <w:adjustRightInd w:val="0"/>
        <w:snapToGrid w:val="0"/>
        <w:spacing w:before="0" w:beforeLines="0" w:after="0" w:afterLines="0" w:line="360" w:lineRule="auto"/>
        <w:ind w:left="1" w:firstLine="511" w:firstLineChars="213"/>
        <w:rPr>
          <w:rFonts w:hAnsi="宋体"/>
        </w:rPr>
      </w:pPr>
      <w:r>
        <w:rPr>
          <w:rFonts w:hint="eastAsia" w:hAnsi="宋体"/>
        </w:rPr>
        <w:t>6</w:t>
      </w:r>
      <w:r>
        <w:rPr>
          <w:rFonts w:hint="eastAsia" w:hAnsi="宋体"/>
          <w:lang w:val="en-US" w:eastAsia="zh-CN"/>
        </w:rPr>
        <w:t>.</w:t>
      </w:r>
      <w:r>
        <w:rPr>
          <w:rFonts w:hAnsi="宋体"/>
        </w:rPr>
        <w:t>变更</w:t>
      </w:r>
    </w:p>
    <w:p>
      <w:pPr>
        <w:pStyle w:val="33"/>
        <w:adjustRightInd w:val="0"/>
        <w:snapToGrid w:val="0"/>
        <w:spacing w:before="0" w:beforeLines="0" w:after="0" w:afterLines="0" w:line="360" w:lineRule="auto"/>
        <w:ind w:left="1" w:firstLine="511" w:firstLineChars="213"/>
        <w:rPr>
          <w:rFonts w:hAnsi="宋体"/>
        </w:rPr>
      </w:pPr>
      <w:r>
        <w:rPr>
          <w:rFonts w:hint="eastAsia" w:hAnsi="宋体"/>
        </w:rPr>
        <w:t>6.1</w:t>
      </w:r>
      <w:r>
        <w:rPr>
          <w:rFonts w:hAnsi="宋体"/>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pPr>
        <w:pStyle w:val="33"/>
        <w:adjustRightInd w:val="0"/>
        <w:snapToGrid w:val="0"/>
        <w:spacing w:before="0" w:beforeLines="0" w:after="0" w:afterLines="0" w:line="360" w:lineRule="auto"/>
        <w:ind w:left="1" w:firstLine="511" w:firstLineChars="213"/>
        <w:rPr>
          <w:rFonts w:hAnsi="宋体"/>
        </w:rPr>
      </w:pPr>
      <w:r>
        <w:rPr>
          <w:rFonts w:hint="eastAsia" w:hAnsi="宋体"/>
        </w:rPr>
        <w:t>6.2</w:t>
      </w:r>
      <w:r>
        <w:rPr>
          <w:rFonts w:hAnsi="宋体"/>
        </w:rPr>
        <w:t>当变更只是采购量增减时，按应标报价明细单中的单价进行结算。</w:t>
      </w:r>
    </w:p>
    <w:p>
      <w:pPr>
        <w:pStyle w:val="33"/>
        <w:adjustRightInd w:val="0"/>
        <w:snapToGrid w:val="0"/>
        <w:spacing w:before="0" w:beforeLines="0" w:after="0" w:afterLines="0" w:line="360" w:lineRule="auto"/>
        <w:ind w:left="1" w:firstLine="511" w:firstLineChars="213"/>
        <w:rPr>
          <w:rFonts w:hAnsi="宋体"/>
        </w:rPr>
      </w:pPr>
      <w:r>
        <w:rPr>
          <w:rFonts w:hint="eastAsia" w:hAnsi="宋体"/>
        </w:rPr>
        <w:t>7</w:t>
      </w:r>
      <w:r>
        <w:rPr>
          <w:rFonts w:hint="eastAsia" w:hAnsi="宋体"/>
          <w:lang w:val="en-US" w:eastAsia="zh-CN"/>
        </w:rPr>
        <w:t>.</w:t>
      </w:r>
      <w:r>
        <w:rPr>
          <w:rFonts w:hAnsi="宋体"/>
        </w:rPr>
        <w:t>专利权</w:t>
      </w:r>
    </w:p>
    <w:p>
      <w:pPr>
        <w:pStyle w:val="33"/>
        <w:adjustRightInd w:val="0"/>
        <w:snapToGrid w:val="0"/>
        <w:spacing w:before="0" w:beforeLines="0" w:after="0" w:afterLines="0" w:line="360" w:lineRule="auto"/>
        <w:ind w:left="1" w:firstLine="511" w:firstLineChars="213"/>
        <w:rPr>
          <w:rFonts w:hAnsi="宋体"/>
        </w:rPr>
      </w:pPr>
      <w:r>
        <w:rPr>
          <w:rFonts w:hAnsi="宋体"/>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w:t>
      </w:r>
      <w:r>
        <w:rPr>
          <w:rFonts w:hint="eastAsia" w:hAnsi="宋体"/>
          <w:lang w:val="en-US" w:eastAsia="zh-CN"/>
        </w:rPr>
        <w:t>.</w:t>
      </w:r>
      <w:r>
        <w:rPr>
          <w:rFonts w:hAnsi="宋体"/>
        </w:rPr>
        <w:t>考核和验收</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8.1</w:t>
      </w:r>
      <w:r>
        <w:rPr>
          <w:rFonts w:hAnsi="宋体"/>
        </w:rPr>
        <w:t>甲方在乙方提供相关服务的过程中，</w:t>
      </w:r>
      <w:r>
        <w:rPr>
          <w:rFonts w:hint="eastAsia" w:hAnsi="宋体"/>
        </w:rPr>
        <w:t>根据</w:t>
      </w:r>
      <w:r>
        <w:rPr>
          <w:rFonts w:hint="eastAsia" w:hAnsi="宋体"/>
          <w:lang w:eastAsia="zh-CN"/>
        </w:rPr>
        <w:t>采购文件</w:t>
      </w:r>
      <w:r>
        <w:rPr>
          <w:rFonts w:hint="eastAsia" w:hAnsi="宋体"/>
        </w:rPr>
        <w:t>的服务要求，</w:t>
      </w:r>
      <w:r>
        <w:rPr>
          <w:rFonts w:hAnsi="宋体"/>
        </w:rPr>
        <w:t>对乙方工作完成情况进行考核；考核达不到要求的，甲方将要求乙方及时整改并承担相应的</w:t>
      </w:r>
      <w:r>
        <w:rPr>
          <w:rFonts w:hint="eastAsia" w:hAnsi="宋体"/>
        </w:rPr>
        <w:t>责任。根据</w:t>
      </w:r>
      <w:r>
        <w:rPr>
          <w:rFonts w:hAnsi="宋体"/>
        </w:rPr>
        <w:t>考核</w:t>
      </w:r>
      <w:r>
        <w:rPr>
          <w:rFonts w:hint="eastAsia" w:hAnsi="宋体"/>
        </w:rPr>
        <w:t>结果，</w:t>
      </w:r>
      <w:r>
        <w:rPr>
          <w:rFonts w:hAnsi="宋体"/>
        </w:rPr>
        <w:t>有权对乙方作出</w:t>
      </w:r>
      <w:r>
        <w:rPr>
          <w:rFonts w:hint="eastAsia" w:hAnsi="宋体"/>
        </w:rPr>
        <w:t>扣除费用的处罚</w:t>
      </w:r>
      <w:r>
        <w:rPr>
          <w:rFonts w:hAnsi="宋体"/>
        </w:rPr>
        <w:t>。</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8.2</w:t>
      </w:r>
      <w:r>
        <w:rPr>
          <w:rFonts w:hint="eastAsia" w:hAnsi="宋体"/>
          <w:lang w:eastAsia="zh-CN"/>
        </w:rPr>
        <w:t>采购文件</w:t>
      </w:r>
      <w:r>
        <w:rPr>
          <w:rFonts w:hAnsi="宋体"/>
        </w:rPr>
        <w:t>及其补充文件、</w:t>
      </w:r>
      <w:r>
        <w:rPr>
          <w:rFonts w:hint="eastAsia" w:hAnsi="宋体"/>
          <w:lang w:eastAsia="zh-CN"/>
        </w:rPr>
        <w:t>投标文件</w:t>
      </w:r>
      <w:r>
        <w:rPr>
          <w:rFonts w:hAnsi="宋体"/>
        </w:rPr>
        <w:t>、澄清文件、承诺文件、</w:t>
      </w:r>
      <w:r>
        <w:rPr>
          <w:rFonts w:hint="eastAsia" w:hAnsi="宋体"/>
          <w:lang w:eastAsia="zh-CN"/>
        </w:rPr>
        <w:t>中标</w:t>
      </w:r>
      <w:r>
        <w:rPr>
          <w:rFonts w:hAnsi="宋体"/>
        </w:rPr>
        <w:t>通知书、合同等作为考核依据</w:t>
      </w:r>
      <w:r>
        <w:rPr>
          <w:rFonts w:hint="eastAsia" w:hAnsi="宋体"/>
        </w:rPr>
        <w:t>。</w:t>
      </w:r>
    </w:p>
    <w:p>
      <w:pPr>
        <w:pStyle w:val="33"/>
        <w:adjustRightInd w:val="0"/>
        <w:snapToGrid w:val="0"/>
        <w:spacing w:before="0" w:beforeLines="0" w:after="0" w:afterLines="0" w:line="360" w:lineRule="auto"/>
        <w:ind w:left="1" w:firstLine="511" w:firstLineChars="213"/>
        <w:rPr>
          <w:rFonts w:hAnsi="宋体"/>
        </w:rPr>
      </w:pPr>
      <w:r>
        <w:rPr>
          <w:rFonts w:hint="eastAsia" w:hAnsi="宋体"/>
        </w:rPr>
        <w:t>8.3</w:t>
      </w:r>
      <w:r>
        <w:rPr>
          <w:rFonts w:hAnsi="宋体"/>
        </w:rPr>
        <w:t>甲方负责对项目服务及相关资料进行验收，乙方应全力协助。</w:t>
      </w:r>
    </w:p>
    <w:p>
      <w:pPr>
        <w:pStyle w:val="33"/>
        <w:adjustRightInd w:val="0"/>
        <w:snapToGrid w:val="0"/>
        <w:spacing w:before="0" w:beforeLines="0" w:after="0" w:afterLines="0" w:line="360" w:lineRule="auto"/>
        <w:ind w:left="1" w:firstLine="511" w:firstLineChars="213"/>
        <w:rPr>
          <w:rFonts w:hint="eastAsia" w:hAnsi="宋体"/>
        </w:rPr>
      </w:pPr>
      <w:r>
        <w:rPr>
          <w:rFonts w:hint="eastAsia" w:hAnsi="宋体"/>
        </w:rPr>
        <w:t>9</w:t>
      </w:r>
      <w:r>
        <w:rPr>
          <w:rFonts w:hint="eastAsia" w:hAnsi="宋体"/>
          <w:lang w:val="en-US" w:eastAsia="zh-CN"/>
        </w:rPr>
        <w:t>.</w:t>
      </w:r>
      <w:r>
        <w:rPr>
          <w:rFonts w:hint="eastAsia" w:hAnsi="宋体"/>
        </w:rPr>
        <w:t>合同款支付</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rPr>
        <w:t>第一次付款：在合同签订生效后，</w:t>
      </w:r>
      <w:r>
        <w:rPr>
          <w:rFonts w:hint="eastAsia" w:ascii="宋体" w:hAnsi="宋体"/>
          <w:b/>
          <w:bCs/>
          <w:sz w:val="24"/>
          <w:lang w:val="en-US" w:eastAsia="zh-CN"/>
        </w:rPr>
        <w:t>甲方</w:t>
      </w:r>
      <w:r>
        <w:rPr>
          <w:rFonts w:hint="eastAsia" w:ascii="宋体" w:hAnsi="宋体"/>
          <w:b/>
          <w:bCs/>
          <w:sz w:val="24"/>
        </w:rPr>
        <w:t>收到正式发票7个工作日内</w:t>
      </w:r>
      <w:r>
        <w:rPr>
          <w:rFonts w:hint="eastAsia" w:ascii="宋体" w:hAnsi="宋体"/>
          <w:b/>
          <w:bCs/>
          <w:sz w:val="24"/>
          <w:lang w:val="en-US" w:eastAsia="zh-CN"/>
        </w:rPr>
        <w:t>向乙方</w:t>
      </w:r>
      <w:r>
        <w:rPr>
          <w:rFonts w:hint="eastAsia" w:ascii="宋体" w:hAnsi="宋体"/>
          <w:b/>
          <w:bCs/>
          <w:sz w:val="24"/>
        </w:rPr>
        <w:t>支付合同总价70%的首付款。</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rPr>
        <w:t>第二次付款：</w:t>
      </w:r>
      <w:r>
        <w:rPr>
          <w:rFonts w:hint="eastAsia" w:ascii="宋体" w:hAnsi="宋体"/>
          <w:b/>
          <w:bCs/>
          <w:sz w:val="24"/>
          <w:lang w:val="en-US" w:eastAsia="zh-CN"/>
        </w:rPr>
        <w:t>甲方</w:t>
      </w:r>
      <w:r>
        <w:rPr>
          <w:rFonts w:hint="eastAsia" w:ascii="宋体" w:hAnsi="宋体"/>
          <w:b/>
          <w:bCs/>
          <w:sz w:val="24"/>
        </w:rPr>
        <w:t>将视项目实际进展情况开展阶段性评估，评估通过后并支付不超过合同总价25%的款项，</w:t>
      </w:r>
      <w:r>
        <w:rPr>
          <w:rFonts w:hint="eastAsia" w:ascii="宋体" w:hAnsi="宋体"/>
          <w:b/>
          <w:bCs/>
          <w:sz w:val="24"/>
          <w:lang w:val="en-US" w:eastAsia="zh-CN"/>
        </w:rPr>
        <w:t>甲方</w:t>
      </w:r>
      <w:r>
        <w:rPr>
          <w:rFonts w:hint="eastAsia" w:ascii="宋体" w:hAnsi="宋体"/>
          <w:b/>
          <w:bCs/>
          <w:sz w:val="24"/>
        </w:rPr>
        <w:t>在收到</w:t>
      </w:r>
      <w:r>
        <w:rPr>
          <w:rFonts w:hint="eastAsia" w:ascii="宋体" w:hAnsi="宋体"/>
          <w:b/>
          <w:bCs/>
          <w:sz w:val="24"/>
          <w:lang w:val="en-US" w:eastAsia="zh-CN"/>
        </w:rPr>
        <w:t>乙方</w:t>
      </w:r>
      <w:r>
        <w:rPr>
          <w:rFonts w:hint="eastAsia" w:ascii="宋体" w:hAnsi="宋体"/>
          <w:b/>
          <w:bCs/>
          <w:sz w:val="24"/>
        </w:rPr>
        <w:t>的正式发票后7个工作日内办理支付手续（</w:t>
      </w:r>
      <w:r>
        <w:rPr>
          <w:rFonts w:hint="eastAsia" w:ascii="宋体" w:hAnsi="宋体"/>
          <w:b/>
          <w:bCs/>
          <w:sz w:val="24"/>
          <w:lang w:val="en-US" w:eastAsia="zh-CN"/>
        </w:rPr>
        <w:t>甲方</w:t>
      </w:r>
      <w:r>
        <w:rPr>
          <w:rFonts w:hint="eastAsia" w:ascii="宋体" w:hAnsi="宋体"/>
          <w:b/>
          <w:bCs/>
          <w:sz w:val="24"/>
        </w:rPr>
        <w:t>有权决定是否及何时何地开展阶段性验收评估）。</w:t>
      </w:r>
    </w:p>
    <w:p>
      <w:pPr>
        <w:autoSpaceDE w:val="0"/>
        <w:autoSpaceDN w:val="0"/>
        <w:adjustRightInd w:val="0"/>
        <w:spacing w:line="360" w:lineRule="auto"/>
        <w:ind w:firstLine="482" w:firstLineChars="200"/>
        <w:rPr>
          <w:rFonts w:hAnsi="宋体"/>
        </w:rPr>
      </w:pPr>
      <w:r>
        <w:rPr>
          <w:rFonts w:hint="eastAsia" w:ascii="宋体" w:hAnsi="宋体"/>
          <w:b/>
          <w:bCs/>
          <w:sz w:val="24"/>
        </w:rPr>
        <w:t>第三次付款：项目结束后，经</w:t>
      </w:r>
      <w:r>
        <w:rPr>
          <w:rFonts w:hint="eastAsia" w:ascii="宋体" w:hAnsi="宋体"/>
          <w:b/>
          <w:bCs/>
          <w:sz w:val="24"/>
          <w:lang w:val="en-US" w:eastAsia="zh-CN"/>
        </w:rPr>
        <w:t>甲方</w:t>
      </w:r>
      <w:r>
        <w:rPr>
          <w:rFonts w:hint="eastAsia" w:ascii="宋体" w:hAnsi="宋体"/>
          <w:b/>
          <w:bCs/>
          <w:sz w:val="24"/>
        </w:rPr>
        <w:t>验收合格，且收到</w:t>
      </w:r>
      <w:r>
        <w:rPr>
          <w:rFonts w:hint="eastAsia" w:ascii="宋体" w:hAnsi="宋体"/>
          <w:b/>
          <w:bCs/>
          <w:sz w:val="24"/>
          <w:lang w:val="en-US" w:eastAsia="zh-CN"/>
        </w:rPr>
        <w:t>乙方</w:t>
      </w:r>
      <w:r>
        <w:rPr>
          <w:rFonts w:hint="eastAsia" w:ascii="宋体" w:hAnsi="宋体"/>
          <w:b/>
          <w:bCs/>
          <w:sz w:val="24"/>
        </w:rPr>
        <w:t>提供的正式发票后7个工作日内，办理合同剩余款项的结算手续。</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0.</w:t>
      </w:r>
      <w:r>
        <w:rPr>
          <w:rFonts w:hAnsi="宋体"/>
        </w:rPr>
        <w:t>合同修改与解除</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0</w:t>
      </w:r>
      <w:r>
        <w:rPr>
          <w:rFonts w:hint="eastAsia" w:hAnsi="宋体"/>
        </w:rPr>
        <w:t>.1</w:t>
      </w:r>
      <w:r>
        <w:rPr>
          <w:rFonts w:hAnsi="宋体"/>
        </w:rPr>
        <w:t>本合同供需双方的任何一方无权对合同内容进行修改，本合同如需修改，必须达成书面协议，并作为该合同的有效组成部分。</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0</w:t>
      </w:r>
      <w:r>
        <w:rPr>
          <w:rFonts w:hint="eastAsia" w:hAnsi="宋体"/>
        </w:rPr>
        <w:t>.2</w:t>
      </w:r>
      <w:r>
        <w:rPr>
          <w:rFonts w:hAnsi="宋体"/>
        </w:rPr>
        <w:t>合同可以经双方协商一致解除，或按照《中华人民共和国</w:t>
      </w:r>
      <w:r>
        <w:rPr>
          <w:rFonts w:hint="eastAsia" w:hAnsi="宋体"/>
        </w:rPr>
        <w:t>民法典</w:t>
      </w:r>
      <w:r>
        <w:rPr>
          <w:rFonts w:hAnsi="宋体"/>
        </w:rPr>
        <w:t>》的规定单方解除。</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乙方的责任和义务</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.1根据供应商</w:t>
      </w:r>
      <w:r>
        <w:rPr>
          <w:rFonts w:hint="eastAsia" w:hAnsi="宋体"/>
          <w:lang w:eastAsia="zh-CN"/>
        </w:rPr>
        <w:t>投标文件</w:t>
      </w:r>
      <w:r>
        <w:rPr>
          <w:rFonts w:hAnsi="宋体"/>
        </w:rPr>
        <w:t>的承诺组建项目组人员，并确定项目负责人与甲方保持联系、沟通。</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.2在履行本合同义务的期间，应运用合理的技能，认真、勤奋的工作。</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1</w:t>
      </w:r>
      <w:r>
        <w:rPr>
          <w:rFonts w:hAnsi="宋体"/>
        </w:rPr>
        <w:t>.3在本合同期内或合同终止后，来征得有关方同意，不得泄漏与本项目、本合同有关的技术、资料等，不得以任何形式侵害甲方的知识产权。</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1</w:t>
      </w:r>
      <w:r>
        <w:rPr>
          <w:rFonts w:hAnsi="宋体"/>
        </w:rPr>
        <w:t>.4负责处理好与相关项目实施单位的协调工作。</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甲方的责任与义务</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.1甲方</w:t>
      </w:r>
      <w:r>
        <w:rPr>
          <w:rFonts w:hint="eastAsia" w:hAnsi="宋体"/>
          <w:lang w:eastAsia="zh-CN"/>
        </w:rPr>
        <w:t>尽可能</w:t>
      </w:r>
      <w:r>
        <w:rPr>
          <w:rFonts w:hAnsi="宋体"/>
        </w:rPr>
        <w:t>为乙方工作提供良好的外部条件。</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.2甲方应当按双方约定的内容和时间，向乙方提供与项目有关的资料。</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2</w:t>
      </w:r>
      <w:r>
        <w:rPr>
          <w:rFonts w:hAnsi="宋体"/>
        </w:rPr>
        <w:t>.3甲方应授权一名熟悉本项目情况，能迅速做出决定的项目代表，负责与乙方的联系，更换代表，要提前通知乙方。</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2</w:t>
      </w:r>
      <w:r>
        <w:rPr>
          <w:rFonts w:hAnsi="宋体"/>
        </w:rPr>
        <w:t>.4甲方有与乙方订立补充合同的签订权。</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Ansi="宋体"/>
        </w:rPr>
        <w:t>违约责任</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int="eastAsia" w:hAnsi="宋体"/>
        </w:rPr>
        <w:t>.1</w:t>
      </w:r>
      <w:r>
        <w:rPr>
          <w:rFonts w:hAnsi="宋体"/>
        </w:rPr>
        <w:t>甲方无正当理由拒绝履行合同，甲方向乙方偿付合同款项的百分之五作为违约金。</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int="eastAsia" w:hAnsi="宋体"/>
        </w:rPr>
        <w:t>.2</w:t>
      </w:r>
      <w:r>
        <w:rPr>
          <w:rFonts w:hAnsi="宋体"/>
        </w:rPr>
        <w:t>甲方无故逾期办理款项支付手续的，甲方应按逾期付款总额每日万分之五向乙方支付违约金</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3</w:t>
      </w:r>
      <w:r>
        <w:rPr>
          <w:rFonts w:hint="eastAsia" w:hAnsi="宋体"/>
        </w:rPr>
        <w:t>.3</w:t>
      </w:r>
      <w:r>
        <w:rPr>
          <w:rFonts w:hAnsi="宋体"/>
        </w:rPr>
        <w:t>乙方未能按其承诺的经甲方同意的服务实施进度如期提供服务的，甲方有权要求乙方每日支付合同款项的千分之五作为违约金。乙方超过约定日期10个工作日仍不能提供服务的，甲方有权解除本合同。</w:t>
      </w:r>
    </w:p>
    <w:p>
      <w:pPr>
        <w:pStyle w:val="33"/>
        <w:adjustRightInd w:val="0"/>
        <w:snapToGrid w:val="0"/>
        <w:spacing w:before="0" w:beforeLines="0" w:after="0" w:afterLines="0" w:line="360" w:lineRule="auto"/>
        <w:ind w:left="1" w:firstLine="511" w:firstLineChars="213"/>
        <w:rPr>
          <w:rFonts w:hint="eastAsia" w:hAnsi="宋体"/>
        </w:rPr>
      </w:pPr>
      <w:r>
        <w:rPr>
          <w:rFonts w:hAnsi="宋体"/>
        </w:rPr>
        <w:t>1</w:t>
      </w:r>
      <w:r>
        <w:rPr>
          <w:rFonts w:hint="eastAsia" w:hAnsi="宋体"/>
          <w:lang w:val="en-US" w:eastAsia="zh-CN"/>
        </w:rPr>
        <w:t>3</w:t>
      </w:r>
      <w:r>
        <w:rPr>
          <w:rFonts w:hint="eastAsia" w:hAnsi="宋体"/>
        </w:rPr>
        <w:t>.4</w:t>
      </w:r>
      <w:r>
        <w:rPr>
          <w:rFonts w:hAnsi="宋体"/>
        </w:rPr>
        <w:t>如乙方出现下述情况：未能实现服务承诺；考核不符合管理要求；出现重大工作失误造成不良社会影响的；甲方有权视情节严重，要求乙方作出相应经济赔偿，直至终止其承包服务。</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4.</w:t>
      </w:r>
      <w:r>
        <w:rPr>
          <w:rFonts w:hAnsi="宋体"/>
        </w:rPr>
        <w:t>争议处理</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4</w:t>
      </w:r>
      <w:r>
        <w:rPr>
          <w:rFonts w:hint="eastAsia" w:hAnsi="宋体"/>
        </w:rPr>
        <w:t>.1</w:t>
      </w:r>
      <w:r>
        <w:rPr>
          <w:rFonts w:hAnsi="宋体"/>
        </w:rPr>
        <w:t>合同在履行过程中发生争议时，甲方与乙方及时协商解决。协商不成时，提请杭州仲裁委员会根据仲裁规则仲裁。</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4</w:t>
      </w:r>
      <w:r>
        <w:rPr>
          <w:rFonts w:hint="eastAsia" w:hAnsi="宋体"/>
        </w:rPr>
        <w:t>.2</w:t>
      </w:r>
      <w:r>
        <w:rPr>
          <w:rFonts w:hAnsi="宋体"/>
        </w:rPr>
        <w:t>对于因违反或终止合同而引起的损失、损害的赔偿，由甲方与乙方友好协商解决，经协商仍未能达成一致的，提交杭州仲裁委员会仲裁。</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5.</w:t>
      </w:r>
      <w:r>
        <w:rPr>
          <w:rFonts w:hAnsi="宋体"/>
        </w:rPr>
        <w:t>不可抗力</w:t>
      </w:r>
    </w:p>
    <w:p>
      <w:pPr>
        <w:pStyle w:val="33"/>
        <w:adjustRightInd w:val="0"/>
        <w:snapToGrid w:val="0"/>
        <w:spacing w:before="0" w:beforeLines="0" w:after="0" w:afterLines="0" w:line="360" w:lineRule="auto"/>
        <w:ind w:left="1" w:firstLine="511" w:firstLineChars="213"/>
        <w:rPr>
          <w:rFonts w:hint="eastAsia" w:hAnsi="宋体"/>
        </w:rPr>
      </w:pPr>
      <w:r>
        <w:rPr>
          <w:rFonts w:hAnsi="宋体"/>
        </w:rPr>
        <w:t>不可抗力是指《中华人民共和国</w:t>
      </w:r>
      <w:r>
        <w:rPr>
          <w:rFonts w:hint="eastAsia" w:hAnsi="宋体"/>
          <w:lang w:eastAsia="zh-CN"/>
        </w:rPr>
        <w:t>民法典</w:t>
      </w:r>
      <w:r>
        <w:rPr>
          <w:rFonts w:hAnsi="宋体"/>
        </w:rPr>
        <w:t>》所列举的不可抗力。不可抗力一旦发生，证明文件由法律规定部门签署，并由甲、乙双方协商合同逾期履行和继续履行的方法，在此情况下，任何一方不能要求损失赔偿。</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int="eastAsia" w:hAnsi="宋体"/>
          <w:lang w:val="en-US" w:eastAsia="zh-CN"/>
        </w:rPr>
        <w:t>6.</w:t>
      </w:r>
      <w:r>
        <w:rPr>
          <w:rFonts w:hAnsi="宋体"/>
        </w:rPr>
        <w:t>合同的生效、变更与终止</w:t>
      </w:r>
    </w:p>
    <w:p>
      <w:pPr>
        <w:pStyle w:val="33"/>
        <w:adjustRightInd w:val="0"/>
        <w:snapToGrid w:val="0"/>
        <w:spacing w:before="0" w:beforeLines="0" w:after="0" w:afterLines="0" w:line="360" w:lineRule="auto"/>
        <w:ind w:left="1" w:firstLine="511" w:firstLineChars="213"/>
        <w:rPr>
          <w:rFonts w:hAnsi="宋体"/>
        </w:rPr>
      </w:pPr>
      <w:r>
        <w:rPr>
          <w:rFonts w:hint="eastAsia" w:hAnsi="宋体"/>
        </w:rPr>
        <w:t>1</w:t>
      </w:r>
      <w:r>
        <w:rPr>
          <w:rFonts w:hint="eastAsia" w:hAnsi="宋体"/>
          <w:lang w:val="en-US" w:eastAsia="zh-CN"/>
        </w:rPr>
        <w:t>6</w:t>
      </w:r>
      <w:r>
        <w:rPr>
          <w:rFonts w:hint="eastAsia" w:hAnsi="宋体"/>
        </w:rPr>
        <w:t>.1</w:t>
      </w:r>
      <w:r>
        <w:rPr>
          <w:rFonts w:hAnsi="宋体"/>
        </w:rPr>
        <w:t>合同经甲、乙</w:t>
      </w:r>
      <w:r>
        <w:rPr>
          <w:rFonts w:hint="eastAsia" w:hAnsi="宋体"/>
          <w:lang w:eastAsia="zh-CN"/>
        </w:rPr>
        <w:t>双</w:t>
      </w:r>
      <w:r>
        <w:rPr>
          <w:rFonts w:hAnsi="宋体"/>
        </w:rPr>
        <w:t>方签名并加盖单位公章后生效。</w:t>
      </w:r>
    </w:p>
    <w:p>
      <w:pPr>
        <w:pStyle w:val="33"/>
        <w:adjustRightInd w:val="0"/>
        <w:snapToGrid w:val="0"/>
        <w:spacing w:before="0" w:beforeLines="0" w:after="0" w:afterLines="0" w:line="360" w:lineRule="auto"/>
        <w:ind w:left="1" w:firstLine="511" w:firstLineChars="213"/>
        <w:rPr>
          <w:rFonts w:hAnsi="宋体"/>
        </w:rPr>
      </w:pPr>
      <w:r>
        <w:rPr>
          <w:rFonts w:hint="eastAsia" w:hAnsi="宋体"/>
        </w:rPr>
        <w:t>1</w:t>
      </w:r>
      <w:r>
        <w:rPr>
          <w:rFonts w:hint="eastAsia" w:hAnsi="宋体"/>
          <w:lang w:val="en-US" w:eastAsia="zh-CN"/>
        </w:rPr>
        <w:t>6</w:t>
      </w:r>
      <w:r>
        <w:rPr>
          <w:rFonts w:hint="eastAsia" w:hAnsi="宋体"/>
        </w:rPr>
        <w:t>.2</w:t>
      </w:r>
      <w:r>
        <w:rPr>
          <w:rFonts w:hAnsi="宋体"/>
        </w:rPr>
        <w:t>合同执行中涉及采购资金和采购内容修改或补充的，须经财政部门审批，并签书面补充协议，经报政府采购监督管理部门备案后，方可作为主合同不可分割的一部分。</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Ansi="宋体"/>
          <w:lang w:val="en-US" w:eastAsia="zh-CN"/>
        </w:rPr>
        <w:t>6</w:t>
      </w:r>
      <w:r>
        <w:rPr>
          <w:rFonts w:hAnsi="宋体"/>
        </w:rPr>
        <w:t>.3</w:t>
      </w:r>
      <w:r>
        <w:rPr>
          <w:rFonts w:hint="eastAsia" w:hAnsi="宋体"/>
          <w:lang w:eastAsia="zh-CN"/>
        </w:rPr>
        <w:t>采购文件</w:t>
      </w:r>
      <w:r>
        <w:rPr>
          <w:rFonts w:hAnsi="宋体"/>
        </w:rPr>
        <w:t>、</w:t>
      </w:r>
      <w:r>
        <w:rPr>
          <w:rFonts w:hint="eastAsia" w:hAnsi="宋体"/>
          <w:lang w:eastAsia="zh-CN"/>
        </w:rPr>
        <w:t>投标文件</w:t>
      </w:r>
      <w:r>
        <w:rPr>
          <w:rFonts w:hAnsi="宋体"/>
        </w:rPr>
        <w:t>与本合同具有同等法律效力。</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Ansi="宋体"/>
          <w:lang w:val="en-US" w:eastAsia="zh-CN"/>
        </w:rPr>
        <w:t>6</w:t>
      </w:r>
      <w:r>
        <w:rPr>
          <w:rFonts w:hAnsi="宋体"/>
        </w:rPr>
        <w:t>.4本合同未尽事宜，遵照《</w:t>
      </w:r>
      <w:r>
        <w:rPr>
          <w:rFonts w:hAnsi="宋体"/>
          <w:lang w:eastAsia="zh-CN"/>
        </w:rPr>
        <w:t>民法典</w:t>
      </w:r>
      <w:r>
        <w:rPr>
          <w:rFonts w:hAnsi="宋体"/>
        </w:rPr>
        <w:t xml:space="preserve">》有关条文执行。 </w:t>
      </w:r>
    </w:p>
    <w:p>
      <w:pPr>
        <w:pStyle w:val="33"/>
        <w:adjustRightInd w:val="0"/>
        <w:snapToGrid w:val="0"/>
        <w:spacing w:before="0" w:beforeLines="0" w:after="0" w:afterLines="0" w:line="360" w:lineRule="auto"/>
        <w:ind w:left="1" w:firstLine="511" w:firstLineChars="213"/>
        <w:rPr>
          <w:rFonts w:hAnsi="宋体"/>
        </w:rPr>
      </w:pPr>
      <w:r>
        <w:rPr>
          <w:rFonts w:hAnsi="宋体"/>
        </w:rPr>
        <w:t>1</w:t>
      </w:r>
      <w:r>
        <w:rPr>
          <w:rFonts w:hAnsi="宋体"/>
          <w:lang w:val="en-US" w:eastAsia="zh-CN"/>
        </w:rPr>
        <w:t>6</w:t>
      </w:r>
      <w:r>
        <w:rPr>
          <w:rFonts w:hAnsi="宋体"/>
        </w:rPr>
        <w:t>.5本合同一式</w:t>
      </w:r>
      <w:r>
        <w:rPr>
          <w:rFonts w:hint="eastAsia" w:hAnsi="宋体"/>
          <w:lang w:eastAsia="zh-CN"/>
        </w:rPr>
        <w:t>四</w:t>
      </w:r>
      <w:r>
        <w:rPr>
          <w:rFonts w:hAnsi="宋体"/>
        </w:rPr>
        <w:t>份，具有同等法律效力，甲方、乙方各执二份。</w:t>
      </w:r>
    </w:p>
    <w:p>
      <w:pPr>
        <w:spacing w:line="360" w:lineRule="auto"/>
        <w:jc w:val="left"/>
        <w:rPr>
          <w:rFonts w:hint="eastAsia" w:ascii="宋体" w:hAnsi="宋体"/>
          <w:bCs/>
          <w:sz w:val="24"/>
        </w:rPr>
      </w:pPr>
    </w:p>
    <w:p>
      <w:pPr>
        <w:spacing w:line="360" w:lineRule="auto"/>
        <w:jc w:val="left"/>
        <w:rPr>
          <w:rFonts w:hint="eastAsia" w:ascii="宋体" w:hAnsi="宋体"/>
          <w:bCs/>
          <w:sz w:val="24"/>
        </w:rPr>
      </w:pPr>
      <w:r>
        <w:rPr>
          <w:rFonts w:hint="eastAsia" w:ascii="宋体" w:hAnsi="宋体"/>
          <w:bCs/>
          <w:sz w:val="24"/>
        </w:rPr>
        <w:t>（以下无正文，为本合同签署页）</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月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签约时间：  年  月  日   </w:t>
      </w:r>
    </w:p>
    <w:p>
      <w:pPr>
        <w:snapToGrid w:val="0"/>
        <w:spacing w:line="360" w:lineRule="auto"/>
        <w:ind w:left="5694" w:leftChars="1939" w:hanging="1040" w:hangingChars="500"/>
        <w:jc w:val="center"/>
        <w:rPr>
          <w:rFonts w:hint="eastAsia" w:ascii="宋体" w:hAnsi="宋体"/>
          <w:spacing w:val="-16"/>
          <w:sz w:val="24"/>
        </w:rPr>
      </w:pPr>
      <w:r>
        <w:rPr>
          <w:rFonts w:hint="eastAsia" w:hAnsi="宋体"/>
          <w:spacing w:val="-16"/>
        </w:rPr>
        <w:t xml:space="preserve">            </w:t>
      </w:r>
      <w:r>
        <w:rPr>
          <w:rFonts w:hint="eastAsia" w:ascii="宋体" w:hAnsi="宋体"/>
          <w:spacing w:val="-16"/>
          <w:sz w:val="24"/>
        </w:rPr>
        <w:t xml:space="preserve">    签约地点：浙江杭州     </w:t>
      </w:r>
    </w:p>
    <w:p>
      <w:pPr>
        <w:pStyle w:val="33"/>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04" w:name="_Toc12455"/>
      <w:r>
        <w:rPr>
          <w:rFonts w:hint="eastAsia" w:ascii="仿宋" w:hAnsi="仿宋" w:cs="仿宋"/>
          <w:b/>
          <w:sz w:val="36"/>
          <w:szCs w:val="20"/>
        </w:rPr>
        <w:t>第六部分</w:t>
      </w:r>
      <w:bookmarkEnd w:id="402"/>
      <w:bookmarkEnd w:id="403"/>
      <w:r>
        <w:rPr>
          <w:rFonts w:hint="eastAsia" w:ascii="仿宋" w:hAnsi="仿宋" w:cs="仿宋"/>
          <w:b/>
          <w:sz w:val="36"/>
          <w:szCs w:val="20"/>
        </w:rPr>
        <w:t xml:space="preserve">  应提交的有关格式范例</w:t>
      </w:r>
      <w:bookmarkEnd w:id="404"/>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u w:val="single"/>
          <w:lang w:val="en-US" w:eastAsia="zh-CN"/>
        </w:rPr>
        <w:t>标项【】</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w:t>
      </w:r>
      <w:r>
        <w:rPr>
          <w:rFonts w:hint="eastAsia" w:ascii="仿宋" w:hAnsi="仿宋" w:cs="仿宋"/>
          <w:u w:val="single"/>
        </w:rPr>
        <w:t>（项目名称）</w:t>
      </w:r>
      <w:r>
        <w:rPr>
          <w:rFonts w:hint="eastAsia" w:ascii="仿宋" w:hAnsi="仿宋" w:cs="仿宋"/>
          <w:u w:val="single"/>
          <w:lang w:val="en-US" w:eastAsia="zh-CN"/>
        </w:rPr>
        <w:t>标项【】</w:t>
      </w:r>
      <w:r>
        <w:rPr>
          <w:rFonts w:hint="eastAsia" w:ascii="仿宋" w:hAnsi="仿宋" w:cs="仿宋"/>
        </w:rPr>
        <w:t>【招标编号：】招标的有关活动，并对此项目进行投标。为此：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u w:val="single"/>
        </w:rPr>
        <w:t>（项目名称）</w:t>
      </w:r>
      <w:r>
        <w:rPr>
          <w:rFonts w:hint="eastAsia" w:ascii="仿宋" w:hAnsi="仿宋" w:cs="仿宋"/>
          <w:u w:val="single"/>
          <w:lang w:val="en-US" w:eastAsia="zh-CN"/>
        </w:rPr>
        <w:t>标项【】</w:t>
      </w:r>
      <w:r>
        <w:rPr>
          <w:rFonts w:hint="eastAsia" w:ascii="仿宋" w:hAnsi="仿宋" w:cs="仿宋"/>
        </w:rPr>
        <w:t>【招标编号：（采购编号）】</w:t>
      </w:r>
      <w:r>
        <w:rPr>
          <w:rFonts w:hint="eastAsia" w:ascii="仿宋" w:hAnsi="仿宋" w:cs="仿宋"/>
          <w:kern w:val="0"/>
          <w:lang w:val="zh-CN"/>
        </w:rPr>
        <w:t>政府采购投标的一切事项，其法律后果由我方承担。</w:t>
      </w:r>
    </w:p>
    <w:p>
      <w:pPr>
        <w:spacing w:line="360" w:lineRule="auto"/>
        <w:ind w:firstLine="480" w:firstLineChars="200"/>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ind w:firstLine="480" w:firstLineChars="200"/>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u w:val="single"/>
        </w:rPr>
        <w:t>（项目名称）</w:t>
      </w:r>
      <w:r>
        <w:rPr>
          <w:rFonts w:hint="eastAsia" w:ascii="仿宋" w:hAnsi="仿宋" w:cs="仿宋"/>
          <w:u w:val="single"/>
          <w:lang w:val="en-US" w:eastAsia="zh-CN"/>
        </w:rPr>
        <w:t>标项【】</w:t>
      </w:r>
      <w:r>
        <w:rPr>
          <w:rFonts w:hint="eastAsia" w:ascii="仿宋" w:hAnsi="仿宋" w:cs="仿宋"/>
        </w:rPr>
        <w:t>【招标编号：（采购编号）】</w:t>
      </w:r>
      <w:r>
        <w:rPr>
          <w:rFonts w:hint="eastAsia" w:ascii="仿宋" w:hAnsi="仿宋" w:cs="仿宋"/>
          <w:kern w:val="0"/>
          <w:lang w:val="zh-CN"/>
        </w:rPr>
        <w:t>政府采购投标的一切事项，其法律后果由我方承担。</w:t>
      </w:r>
    </w:p>
    <w:p>
      <w:pPr>
        <w:spacing w:line="360" w:lineRule="auto"/>
        <w:ind w:firstLine="480" w:firstLineChars="200"/>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ind w:firstLine="480" w:firstLineChars="200"/>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u w:val="single"/>
          <w:lang w:val="en-US" w:eastAsia="zh-CN"/>
        </w:rPr>
        <w:t>标项【】</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05"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05"/>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06" w:name="OLE_LINK14"/>
      <w:bookmarkStart w:id="407" w:name="OLE_LINK13"/>
      <w:r>
        <w:rPr>
          <w:rFonts w:hint="eastAsia" w:ascii="仿宋" w:hAnsi="仿宋" w:cs="仿宋"/>
          <w:b/>
          <w:spacing w:val="6"/>
          <w:sz w:val="32"/>
          <w:szCs w:val="32"/>
        </w:rPr>
        <w:t>残疾人福利性单位声明函</w:t>
      </w:r>
    </w:p>
    <w:bookmarkEnd w:id="406"/>
    <w:bookmarkEnd w:id="407"/>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08"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08"/>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kern w:val="0"/>
          <w:lang w:eastAsia="zh-CN"/>
        </w:rPr>
        <w:t>【】</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w:t>
      </w:r>
      <w:r>
        <w:rPr>
          <w:rFonts w:hint="eastAsia" w:ascii="仿宋" w:hAnsi="仿宋" w:cs="仿宋"/>
          <w:lang w:eastAsia="zh-CN"/>
        </w:rPr>
        <w:t>【】</w:t>
      </w:r>
      <w:r>
        <w:rPr>
          <w:rFonts w:hint="eastAsia" w:ascii="仿宋" w:hAnsi="仿宋" w:cs="仿宋"/>
        </w:rPr>
        <w:t>%，小微企业合同金额达到</w:t>
      </w:r>
      <w:r>
        <w:rPr>
          <w:rFonts w:hint="eastAsia" w:ascii="仿宋" w:hAnsi="仿宋" w:cs="仿宋"/>
          <w:lang w:eastAsia="zh-CN"/>
        </w:rPr>
        <w:t>【】</w:t>
      </w:r>
      <w:r>
        <w:rPr>
          <w:rFonts w:hint="eastAsia" w:ascii="仿宋" w:hAnsi="仿宋" w:cs="仿宋"/>
        </w:rPr>
        <w:t>%</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09"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09"/>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）标项【】</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浙江省市场监督管理局品牌提升与质量攻坚</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8"/>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cs="仿宋"/>
          <w:i w:val="0"/>
          <w:iCs w:val="0"/>
          <w:caps w:val="0"/>
          <w:color w:val="000000"/>
          <w:spacing w:val="0"/>
          <w:sz w:val="24"/>
          <w:szCs w:val="24"/>
          <w:highlight w:val="yellow"/>
          <w:u w:val="single"/>
          <w:vertAlign w:val="baseline"/>
          <w:lang w:val="en-US" w:eastAsia="zh-CN"/>
        </w:rPr>
        <w:t xml:space="preserve">标的：（各标项标的名称详见第二部分投标人须知前附表） </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FD446B9-1A7B-4A89-B8D9-2D75782F3705}"/>
  </w:font>
  <w:font w:name="Arial">
    <w:panose1 w:val="020B0604020202020204"/>
    <w:charset w:val="01"/>
    <w:family w:val="swiss"/>
    <w:pitch w:val="default"/>
    <w:sig w:usb0="E0002AFF" w:usb1="C0007843" w:usb2="00000009" w:usb3="00000000" w:csb0="400001FF" w:csb1="FFFF0000"/>
    <w:embedRegular r:id="rId2" w:fontKey="{AA9EF8AE-5987-4A02-A9A5-C2F16602A7C4}"/>
  </w:font>
  <w:font w:name="黑体">
    <w:panose1 w:val="02010609060101010101"/>
    <w:charset w:val="86"/>
    <w:family w:val="auto"/>
    <w:pitch w:val="default"/>
    <w:sig w:usb0="800002BF" w:usb1="38CF7CFA" w:usb2="00000016" w:usb3="00000000" w:csb0="00040001" w:csb1="00000000"/>
    <w:embedRegular r:id="rId3" w:fontKey="{6F5454B7-9F55-457A-97A6-7CBA8544F4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4" w:fontKey="{0C927895-8B77-4B0F-B57B-BC92F77B9477}"/>
  </w:font>
  <w:font w:name="仿宋_GB2312">
    <w:panose1 w:val="02010609030101010101"/>
    <w:charset w:val="86"/>
    <w:family w:val="modern"/>
    <w:pitch w:val="default"/>
    <w:sig w:usb0="00000001" w:usb1="080E0000" w:usb2="00000000" w:usb3="00000000" w:csb0="00040000" w:csb1="00000000"/>
    <w:embedRegular r:id="rId5" w:fontKey="{CB125C37-0DDA-4D65-ABCA-07E39CC7F8BE}"/>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方正仿宋_GB2312">
    <w:panose1 w:val="02000000000000000000"/>
    <w:charset w:val="86"/>
    <w:family w:val="auto"/>
    <w:pitch w:val="default"/>
    <w:sig w:usb0="A00002BF" w:usb1="184F6CFA" w:usb2="00000012" w:usb3="00000000" w:csb0="00040001" w:csb1="00000000"/>
    <w:embedRegular r:id="rId6" w:fontKey="{1AAABA97-06C1-407A-88DE-7F5B3D63500C}"/>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0" w:name="_Toc91899912"/>
    <w:bookmarkStart w:id="411" w:name="_Toc36110187"/>
    <w:bookmarkStart w:id="412" w:name="_Toc13184514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C733AFD1"/>
    <w:multiLevelType w:val="singleLevel"/>
    <w:tmpl w:val="C733AFD1"/>
    <w:lvl w:ilvl="0" w:tentative="0">
      <w:start w:val="2"/>
      <w:numFmt w:val="chineseCounting"/>
      <w:suff w:val="nothing"/>
      <w:lvlText w:val="%1、"/>
      <w:lvlJc w:val="left"/>
      <w:rPr>
        <w:rFonts w:hint="eastAsia"/>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479DB60"/>
    <w:multiLevelType w:val="singleLevel"/>
    <w:tmpl w:val="4479DB60"/>
    <w:lvl w:ilvl="0" w:tentative="0">
      <w:start w:val="1"/>
      <w:numFmt w:val="decimal"/>
      <w:suff w:val="space"/>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7"/>
  </w:num>
  <w:num w:numId="3">
    <w:abstractNumId w:val="3"/>
  </w:num>
  <w:num w:numId="4">
    <w:abstractNumId w:val="1"/>
  </w:num>
  <w:num w:numId="5">
    <w:abstractNumId w:val="0"/>
  </w:num>
  <w:num w:numId="6">
    <w:abstractNumId w:val="9"/>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06637247-9c61-4267-ac94-243a9d11d1dc"/>
  </w:docVars>
  <w:rsids>
    <w:rsidRoot w:val="00000000"/>
    <w:rsid w:val="009C15CF"/>
    <w:rsid w:val="00B00BD6"/>
    <w:rsid w:val="01AA6DBD"/>
    <w:rsid w:val="01FB40D3"/>
    <w:rsid w:val="02056D00"/>
    <w:rsid w:val="027D0F8C"/>
    <w:rsid w:val="030B6598"/>
    <w:rsid w:val="03127926"/>
    <w:rsid w:val="032F2286"/>
    <w:rsid w:val="037800D1"/>
    <w:rsid w:val="040771FB"/>
    <w:rsid w:val="045B52FD"/>
    <w:rsid w:val="04657F2A"/>
    <w:rsid w:val="04BC3FEE"/>
    <w:rsid w:val="04D23811"/>
    <w:rsid w:val="05681A7F"/>
    <w:rsid w:val="0673692E"/>
    <w:rsid w:val="069F3BC7"/>
    <w:rsid w:val="071F3A7A"/>
    <w:rsid w:val="074D717F"/>
    <w:rsid w:val="075C1AB8"/>
    <w:rsid w:val="082A3964"/>
    <w:rsid w:val="083D5445"/>
    <w:rsid w:val="08A96637"/>
    <w:rsid w:val="09504DBD"/>
    <w:rsid w:val="0A6A629A"/>
    <w:rsid w:val="0A8C5E53"/>
    <w:rsid w:val="0B163D2C"/>
    <w:rsid w:val="0B646ACD"/>
    <w:rsid w:val="0B810B2E"/>
    <w:rsid w:val="0BD542E6"/>
    <w:rsid w:val="0BF4406D"/>
    <w:rsid w:val="0CCD48BE"/>
    <w:rsid w:val="0CE02843"/>
    <w:rsid w:val="0CE2480D"/>
    <w:rsid w:val="0D103128"/>
    <w:rsid w:val="0D9E714C"/>
    <w:rsid w:val="0E8A515C"/>
    <w:rsid w:val="0EA24254"/>
    <w:rsid w:val="0EB43F87"/>
    <w:rsid w:val="0EE24651"/>
    <w:rsid w:val="0FEB5787"/>
    <w:rsid w:val="10795489"/>
    <w:rsid w:val="108F25B6"/>
    <w:rsid w:val="10B1077E"/>
    <w:rsid w:val="110A60E1"/>
    <w:rsid w:val="11286567"/>
    <w:rsid w:val="11357601"/>
    <w:rsid w:val="11513D10"/>
    <w:rsid w:val="117C2C8C"/>
    <w:rsid w:val="11B85B3D"/>
    <w:rsid w:val="11F50B3F"/>
    <w:rsid w:val="12C02EFB"/>
    <w:rsid w:val="13433B2C"/>
    <w:rsid w:val="135E2714"/>
    <w:rsid w:val="1367781A"/>
    <w:rsid w:val="13CA1B57"/>
    <w:rsid w:val="13F84916"/>
    <w:rsid w:val="14276FAA"/>
    <w:rsid w:val="149363ED"/>
    <w:rsid w:val="153674A4"/>
    <w:rsid w:val="15BF56EC"/>
    <w:rsid w:val="1695644C"/>
    <w:rsid w:val="16B56AEF"/>
    <w:rsid w:val="16BC7E7D"/>
    <w:rsid w:val="16EA2C3C"/>
    <w:rsid w:val="176522C3"/>
    <w:rsid w:val="17A32DEB"/>
    <w:rsid w:val="17C33F38"/>
    <w:rsid w:val="17F65611"/>
    <w:rsid w:val="18273A1C"/>
    <w:rsid w:val="185D11EC"/>
    <w:rsid w:val="18BE612E"/>
    <w:rsid w:val="18D86AC4"/>
    <w:rsid w:val="19DB2D10"/>
    <w:rsid w:val="1A361CF4"/>
    <w:rsid w:val="1A4051E0"/>
    <w:rsid w:val="1A554F3D"/>
    <w:rsid w:val="1AA44EB0"/>
    <w:rsid w:val="1AB33345"/>
    <w:rsid w:val="1B155DAE"/>
    <w:rsid w:val="1B6D4B23"/>
    <w:rsid w:val="1B770817"/>
    <w:rsid w:val="1B903686"/>
    <w:rsid w:val="1BE063BC"/>
    <w:rsid w:val="1C0D4CD7"/>
    <w:rsid w:val="1C3819EF"/>
    <w:rsid w:val="1C47468D"/>
    <w:rsid w:val="1CD53A47"/>
    <w:rsid w:val="1D1D0F4A"/>
    <w:rsid w:val="1D5E3A3C"/>
    <w:rsid w:val="1D8965DF"/>
    <w:rsid w:val="1DB7314C"/>
    <w:rsid w:val="1DBB0E8E"/>
    <w:rsid w:val="1ECC5162"/>
    <w:rsid w:val="1ED55F80"/>
    <w:rsid w:val="1EE461C3"/>
    <w:rsid w:val="1FF95C9E"/>
    <w:rsid w:val="20A24A4B"/>
    <w:rsid w:val="20EE157B"/>
    <w:rsid w:val="2116462E"/>
    <w:rsid w:val="21185B98"/>
    <w:rsid w:val="21425423"/>
    <w:rsid w:val="21920158"/>
    <w:rsid w:val="21E464DA"/>
    <w:rsid w:val="22031056"/>
    <w:rsid w:val="23AD1279"/>
    <w:rsid w:val="23E822B1"/>
    <w:rsid w:val="242332EA"/>
    <w:rsid w:val="246415E1"/>
    <w:rsid w:val="248D4C07"/>
    <w:rsid w:val="24A3442A"/>
    <w:rsid w:val="24C543A1"/>
    <w:rsid w:val="24D64800"/>
    <w:rsid w:val="250F1AC0"/>
    <w:rsid w:val="25EF3DCB"/>
    <w:rsid w:val="26263565"/>
    <w:rsid w:val="264659B5"/>
    <w:rsid w:val="26D7660D"/>
    <w:rsid w:val="26DD1E76"/>
    <w:rsid w:val="274A3283"/>
    <w:rsid w:val="27871DE1"/>
    <w:rsid w:val="28174E7A"/>
    <w:rsid w:val="283006CB"/>
    <w:rsid w:val="286B34B1"/>
    <w:rsid w:val="28C66939"/>
    <w:rsid w:val="293E5013"/>
    <w:rsid w:val="298F4F7D"/>
    <w:rsid w:val="299D58EC"/>
    <w:rsid w:val="2A2953D2"/>
    <w:rsid w:val="2A3C4980"/>
    <w:rsid w:val="2A570191"/>
    <w:rsid w:val="2A5749FC"/>
    <w:rsid w:val="2B0971E3"/>
    <w:rsid w:val="2B5C5333"/>
    <w:rsid w:val="2B824D9A"/>
    <w:rsid w:val="2BDB26FC"/>
    <w:rsid w:val="2C002162"/>
    <w:rsid w:val="2C0A4D8F"/>
    <w:rsid w:val="2CC118F2"/>
    <w:rsid w:val="2CF77A09"/>
    <w:rsid w:val="2D6F75A0"/>
    <w:rsid w:val="2D7921CC"/>
    <w:rsid w:val="2DB82B6B"/>
    <w:rsid w:val="2DD003DC"/>
    <w:rsid w:val="2E9F2106"/>
    <w:rsid w:val="2FD63906"/>
    <w:rsid w:val="30071D11"/>
    <w:rsid w:val="304C1E1A"/>
    <w:rsid w:val="31322DBE"/>
    <w:rsid w:val="314F5556"/>
    <w:rsid w:val="32285F6F"/>
    <w:rsid w:val="33182487"/>
    <w:rsid w:val="33291F9F"/>
    <w:rsid w:val="334D3EDF"/>
    <w:rsid w:val="33B273BE"/>
    <w:rsid w:val="34607C42"/>
    <w:rsid w:val="34B65AB4"/>
    <w:rsid w:val="34F565DC"/>
    <w:rsid w:val="353335A8"/>
    <w:rsid w:val="35494B7A"/>
    <w:rsid w:val="35AD421B"/>
    <w:rsid w:val="35BE2E72"/>
    <w:rsid w:val="36252D67"/>
    <w:rsid w:val="362C24D2"/>
    <w:rsid w:val="3632560E"/>
    <w:rsid w:val="364D41F6"/>
    <w:rsid w:val="369D33CF"/>
    <w:rsid w:val="37721F02"/>
    <w:rsid w:val="37DA7D0B"/>
    <w:rsid w:val="384A6C3F"/>
    <w:rsid w:val="38FF3ECD"/>
    <w:rsid w:val="391F631E"/>
    <w:rsid w:val="39475874"/>
    <w:rsid w:val="3A4D6EBA"/>
    <w:rsid w:val="3A667F7C"/>
    <w:rsid w:val="3B8561E0"/>
    <w:rsid w:val="3BDF1D94"/>
    <w:rsid w:val="3C5C5193"/>
    <w:rsid w:val="3D597924"/>
    <w:rsid w:val="3D762284"/>
    <w:rsid w:val="3D9848F1"/>
    <w:rsid w:val="3E2E2B5F"/>
    <w:rsid w:val="3E495BEB"/>
    <w:rsid w:val="3F1D32FF"/>
    <w:rsid w:val="3F253F62"/>
    <w:rsid w:val="3F5860E5"/>
    <w:rsid w:val="3F80388E"/>
    <w:rsid w:val="3F9B5FD2"/>
    <w:rsid w:val="3FA96941"/>
    <w:rsid w:val="4000052B"/>
    <w:rsid w:val="40EF4827"/>
    <w:rsid w:val="41173D7E"/>
    <w:rsid w:val="415D3E87"/>
    <w:rsid w:val="41F8595E"/>
    <w:rsid w:val="4242307D"/>
    <w:rsid w:val="42823479"/>
    <w:rsid w:val="42862F6A"/>
    <w:rsid w:val="42D068DB"/>
    <w:rsid w:val="43100A85"/>
    <w:rsid w:val="431C3FB9"/>
    <w:rsid w:val="434F77FF"/>
    <w:rsid w:val="43566DE0"/>
    <w:rsid w:val="43B6787E"/>
    <w:rsid w:val="43BF2BD7"/>
    <w:rsid w:val="45280308"/>
    <w:rsid w:val="453C3DB3"/>
    <w:rsid w:val="45774DEB"/>
    <w:rsid w:val="45CF69D6"/>
    <w:rsid w:val="45D109A0"/>
    <w:rsid w:val="45EC0A45"/>
    <w:rsid w:val="460C5E7C"/>
    <w:rsid w:val="46AC4F69"/>
    <w:rsid w:val="476475F1"/>
    <w:rsid w:val="47A345BE"/>
    <w:rsid w:val="47AB5220"/>
    <w:rsid w:val="481A4B53"/>
    <w:rsid w:val="487E46E3"/>
    <w:rsid w:val="49153758"/>
    <w:rsid w:val="49211C3E"/>
    <w:rsid w:val="4A123335"/>
    <w:rsid w:val="4A1C2405"/>
    <w:rsid w:val="4A5971B6"/>
    <w:rsid w:val="4A6C0C97"/>
    <w:rsid w:val="4BBA1ED6"/>
    <w:rsid w:val="4C237A7B"/>
    <w:rsid w:val="4C2D26A8"/>
    <w:rsid w:val="4C5B7215"/>
    <w:rsid w:val="4C6360CA"/>
    <w:rsid w:val="4D241CFD"/>
    <w:rsid w:val="4D2C28F2"/>
    <w:rsid w:val="4D64659D"/>
    <w:rsid w:val="4E1753BE"/>
    <w:rsid w:val="4E265601"/>
    <w:rsid w:val="4E9764FE"/>
    <w:rsid w:val="4F22226C"/>
    <w:rsid w:val="4F610FE6"/>
    <w:rsid w:val="4F9A44F8"/>
    <w:rsid w:val="4FA90297"/>
    <w:rsid w:val="4FCB46B2"/>
    <w:rsid w:val="50175B49"/>
    <w:rsid w:val="507E7976"/>
    <w:rsid w:val="50923421"/>
    <w:rsid w:val="50DE6667"/>
    <w:rsid w:val="50ED0658"/>
    <w:rsid w:val="5107796B"/>
    <w:rsid w:val="514E4E9E"/>
    <w:rsid w:val="5233653E"/>
    <w:rsid w:val="527E1EAF"/>
    <w:rsid w:val="52B0193D"/>
    <w:rsid w:val="52C61160"/>
    <w:rsid w:val="530F6FAB"/>
    <w:rsid w:val="534A1D91"/>
    <w:rsid w:val="53D55AFF"/>
    <w:rsid w:val="53F6133F"/>
    <w:rsid w:val="542720D3"/>
    <w:rsid w:val="564E1B99"/>
    <w:rsid w:val="56847368"/>
    <w:rsid w:val="573A3ECB"/>
    <w:rsid w:val="57D165DD"/>
    <w:rsid w:val="581B3CFC"/>
    <w:rsid w:val="584E40D2"/>
    <w:rsid w:val="5886386C"/>
    <w:rsid w:val="5886561A"/>
    <w:rsid w:val="591C41D0"/>
    <w:rsid w:val="59575208"/>
    <w:rsid w:val="598F04FE"/>
    <w:rsid w:val="59B83EF9"/>
    <w:rsid w:val="5AB1340E"/>
    <w:rsid w:val="5ADC59C5"/>
    <w:rsid w:val="5ADF31C8"/>
    <w:rsid w:val="5B0B44FC"/>
    <w:rsid w:val="5B661732"/>
    <w:rsid w:val="5BA92B95"/>
    <w:rsid w:val="5BBC1352"/>
    <w:rsid w:val="5BFF190E"/>
    <w:rsid w:val="5C05719D"/>
    <w:rsid w:val="5D0D6309"/>
    <w:rsid w:val="5DB70023"/>
    <w:rsid w:val="5E2356B9"/>
    <w:rsid w:val="5E5E2B95"/>
    <w:rsid w:val="5E914D18"/>
    <w:rsid w:val="5EBB3B43"/>
    <w:rsid w:val="5F6366B5"/>
    <w:rsid w:val="603E67DA"/>
    <w:rsid w:val="6065645C"/>
    <w:rsid w:val="606D70BF"/>
    <w:rsid w:val="607B5C80"/>
    <w:rsid w:val="60D3786A"/>
    <w:rsid w:val="612754C0"/>
    <w:rsid w:val="61CD6067"/>
    <w:rsid w:val="61FE4473"/>
    <w:rsid w:val="62516C98"/>
    <w:rsid w:val="635A7DCF"/>
    <w:rsid w:val="63626C83"/>
    <w:rsid w:val="638C5AAE"/>
    <w:rsid w:val="63B514A9"/>
    <w:rsid w:val="63CB4828"/>
    <w:rsid w:val="64587C66"/>
    <w:rsid w:val="64801AB7"/>
    <w:rsid w:val="64D70FAB"/>
    <w:rsid w:val="6535464F"/>
    <w:rsid w:val="65387C9C"/>
    <w:rsid w:val="659770B8"/>
    <w:rsid w:val="66012783"/>
    <w:rsid w:val="66202B8F"/>
    <w:rsid w:val="66AF0431"/>
    <w:rsid w:val="66CA7019"/>
    <w:rsid w:val="66F2031E"/>
    <w:rsid w:val="67424E02"/>
    <w:rsid w:val="679D472E"/>
    <w:rsid w:val="67D85766"/>
    <w:rsid w:val="68103152"/>
    <w:rsid w:val="6843030E"/>
    <w:rsid w:val="687E630D"/>
    <w:rsid w:val="68930513"/>
    <w:rsid w:val="68BE495C"/>
    <w:rsid w:val="68C47A98"/>
    <w:rsid w:val="68F55EA4"/>
    <w:rsid w:val="693966D8"/>
    <w:rsid w:val="696A6E60"/>
    <w:rsid w:val="69825989"/>
    <w:rsid w:val="69C67F6C"/>
    <w:rsid w:val="69D1246D"/>
    <w:rsid w:val="69DF2DDC"/>
    <w:rsid w:val="69E95A08"/>
    <w:rsid w:val="6A885221"/>
    <w:rsid w:val="6ACD70D8"/>
    <w:rsid w:val="6D3671B7"/>
    <w:rsid w:val="6D374CDD"/>
    <w:rsid w:val="6DC72505"/>
    <w:rsid w:val="6DD95D94"/>
    <w:rsid w:val="6DFA4688"/>
    <w:rsid w:val="6DFE57FA"/>
    <w:rsid w:val="6E245261"/>
    <w:rsid w:val="6E846A90"/>
    <w:rsid w:val="6E9C573F"/>
    <w:rsid w:val="6EDC1FE0"/>
    <w:rsid w:val="6EE40E94"/>
    <w:rsid w:val="6F241291"/>
    <w:rsid w:val="6F616041"/>
    <w:rsid w:val="6FD9651F"/>
    <w:rsid w:val="70A1528F"/>
    <w:rsid w:val="70F116CB"/>
    <w:rsid w:val="71063344"/>
    <w:rsid w:val="715E6CDC"/>
    <w:rsid w:val="717C7162"/>
    <w:rsid w:val="725E2D0C"/>
    <w:rsid w:val="72952BD1"/>
    <w:rsid w:val="73027B3B"/>
    <w:rsid w:val="73AD3F4B"/>
    <w:rsid w:val="73AF381F"/>
    <w:rsid w:val="73B07597"/>
    <w:rsid w:val="73B40E35"/>
    <w:rsid w:val="742A10F7"/>
    <w:rsid w:val="74381A66"/>
    <w:rsid w:val="7456013E"/>
    <w:rsid w:val="74AF784E"/>
    <w:rsid w:val="74C4154C"/>
    <w:rsid w:val="75671ED7"/>
    <w:rsid w:val="75937C94"/>
    <w:rsid w:val="762F092F"/>
    <w:rsid w:val="76CA4E14"/>
    <w:rsid w:val="77642B72"/>
    <w:rsid w:val="7798281C"/>
    <w:rsid w:val="784604CA"/>
    <w:rsid w:val="78A82F32"/>
    <w:rsid w:val="78C22246"/>
    <w:rsid w:val="78C5310D"/>
    <w:rsid w:val="79075EAB"/>
    <w:rsid w:val="793F3897"/>
    <w:rsid w:val="79B53B59"/>
    <w:rsid w:val="7A3C1B84"/>
    <w:rsid w:val="7A82780E"/>
    <w:rsid w:val="7A85352B"/>
    <w:rsid w:val="7AB4796D"/>
    <w:rsid w:val="7AE83ABA"/>
    <w:rsid w:val="7B164183"/>
    <w:rsid w:val="7B3B62E0"/>
    <w:rsid w:val="7C547659"/>
    <w:rsid w:val="7C7750F6"/>
    <w:rsid w:val="7E123328"/>
    <w:rsid w:val="7E422D9C"/>
    <w:rsid w:val="7E45730E"/>
    <w:rsid w:val="7EBF4B32"/>
    <w:rsid w:val="7EF26CB5"/>
    <w:rsid w:val="7F557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Indent"/>
    <w:basedOn w:val="1"/>
    <w:next w:val="25"/>
    <w:link w:val="269"/>
    <w:qFormat/>
    <w:uiPriority w:val="0"/>
    <w:pPr>
      <w:spacing w:line="480" w:lineRule="exact"/>
      <w:ind w:firstLine="480" w:firstLineChars="200"/>
    </w:pPr>
    <w:rPr>
      <w:rFonts w:ascii="宋体" w:hAnsi="宋体"/>
    </w:rPr>
  </w:style>
  <w:style w:type="paragraph" w:styleId="25">
    <w:name w:val="Body Text First Indent 2"/>
    <w:basedOn w:val="24"/>
    <w:link w:val="12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94"/>
    <w:qFormat/>
    <w:uiPriority w:val="99"/>
    <w:rPr>
      <w:sz w:val="18"/>
      <w:szCs w:val="18"/>
    </w:rPr>
  </w:style>
  <w:style w:type="paragraph" w:styleId="40">
    <w:name w:val="footer"/>
    <w:basedOn w:val="1"/>
    <w:link w:val="383"/>
    <w:qFormat/>
    <w:uiPriority w:val="99"/>
    <w:pPr>
      <w:tabs>
        <w:tab w:val="center" w:pos="4153"/>
        <w:tab w:val="right" w:pos="8306"/>
      </w:tabs>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04"/>
    <w:qFormat/>
    <w:uiPriority w:val="0"/>
    <w:rPr>
      <w:b/>
      <w:bCs/>
    </w:rPr>
  </w:style>
  <w:style w:type="paragraph" w:styleId="61">
    <w:name w:val="Body Text First Indent"/>
    <w:basedOn w:val="2"/>
    <w:next w:val="51"/>
    <w:link w:val="323"/>
    <w:qFormat/>
    <w:uiPriority w:val="0"/>
    <w:pPr>
      <w:ind w:firstLine="420"/>
    </w:pPr>
    <w:rPr>
      <w:rFonts w:hAnsi="Calibri" w:cs="Times New Roman"/>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character" w:customStyle="1" w:styleId="80">
    <w:name w:val="正文缩进 字符"/>
    <w:qFormat/>
    <w:uiPriority w:val="0"/>
    <w:rPr>
      <w:rFonts w:ascii="宋体" w:eastAsia="宋体"/>
      <w:snapToGrid w:val="0"/>
      <w:color w:val="000000"/>
      <w:kern w:val="28"/>
      <w:sz w:val="28"/>
      <w:lang w:val="en-US" w:eastAsia="zh-CN" w:bidi="ar-SA"/>
    </w:rPr>
  </w:style>
  <w:style w:type="character" w:customStyle="1" w:styleId="81">
    <w:name w:val="正文文本 Char"/>
    <w:qFormat/>
    <w:uiPriority w:val="0"/>
    <w:rPr>
      <w:rFonts w:eastAsia="宋体"/>
      <w:kern w:val="2"/>
      <w:sz w:val="24"/>
      <w:szCs w:val="24"/>
      <w:lang w:val="en-US" w:eastAsia="zh-CN" w:bidi="ar-SA"/>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paragraph" w:customStyle="1" w:styleId="83">
    <w:name w:val="List Paragraph11"/>
    <w:basedOn w:val="1"/>
    <w:qFormat/>
    <w:uiPriority w:val="99"/>
    <w:pPr>
      <w:spacing w:line="360" w:lineRule="auto"/>
      <w:ind w:firstLine="200" w:firstLineChars="200"/>
    </w:pPr>
    <w:rPr>
      <w:rFonts w:eastAsia="楷体_GB2312" w:cs="Lucida Sans"/>
    </w:rPr>
  </w:style>
  <w:style w:type="character" w:customStyle="1" w:styleId="84">
    <w:name w:val="标题 1 Char"/>
    <w:link w:val="3"/>
    <w:qFormat/>
    <w:uiPriority w:val="9"/>
    <w:rPr>
      <w:b/>
      <w:bCs/>
      <w:kern w:val="44"/>
      <w:sz w:val="44"/>
      <w:szCs w:val="44"/>
    </w:rPr>
  </w:style>
  <w:style w:type="character" w:customStyle="1" w:styleId="85">
    <w:name w:val="标题 3 字符"/>
    <w:qFormat/>
    <w:uiPriority w:val="9"/>
    <w:rPr>
      <w:b/>
      <w:bCs/>
      <w:kern w:val="2"/>
      <w:sz w:val="32"/>
      <w:szCs w:val="32"/>
    </w:rPr>
  </w:style>
  <w:style w:type="paragraph" w:customStyle="1" w:styleId="86">
    <w:name w:val="样式6"/>
    <w:basedOn w:val="33"/>
    <w:next w:val="2"/>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25"/>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6"/>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z w:val="28"/>
    </w:rPr>
  </w:style>
  <w:style w:type="paragraph" w:customStyle="1" w:styleId="205">
    <w:name w:val="3级"/>
    <w:basedOn w:val="206"/>
    <w:link w:val="204"/>
    <w:qFormat/>
    <w:uiPriority w:val="0"/>
    <w:pPr>
      <w:ind w:left="0" w:right="466" w:firstLine="288"/>
    </w:pPr>
    <w:rPr>
      <w:rFonts w:hAnsi="宋体"/>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3"/>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9"/>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3"/>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39376</Words>
  <Characters>40832</Characters>
  <Lines>553</Lines>
  <Paragraphs>155</Paragraphs>
  <TotalTime>20</TotalTime>
  <ScaleCrop>false</ScaleCrop>
  <LinksUpToDate>false</LinksUpToDate>
  <CharactersWithSpaces>41800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2023-08-05T02:17:00Z</dcterms:created>
  <dc:creator>玥</dc:creator>
  <cp:lastModifiedBy>国际招投标----郑</cp:lastModifiedBy>
  <cp:lastPrinted>2023-12-22T05:44:00Z</cp:lastPrinted>
  <dcterms:modified xsi:type="dcterms:W3CDTF">2025-06-19T10:04:07Z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3E51F4B3A5F8492E8371710C1962E8AC_13</vt:lpwstr>
  </property>
  <property fmtid="{D5CDD505-2E9C-101B-9397-08002B2CF9AE}" pid="5" name="KSOTemplateDocerSaveRecord">
    <vt:lpwstr>eyJoZGlkIjoiMDZhOTNhZDU1NjQyYTg1NTM1M2FiYjk5YmFmNDc3OTciLCJ1c2VySWQiOiI0MjY5NDY4MTgifQ==</vt:lpwstr>
  </property>
</Properties>
</file>