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b/>
          <w:bCs/>
          <w:sz w:val="28"/>
          <w:szCs w:val="28"/>
        </w:rPr>
      </w:pPr>
      <w:r>
        <w:rPr>
          <w:rFonts w:eastAsia="华文中宋"/>
          <w:sz w:val="36"/>
        </w:rPr>
        <w:drawing>
          <wp:inline distT="0" distB="0" distL="114300" distR="114300">
            <wp:extent cx="746760" cy="6546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760867" cy="667053"/>
                    </a:xfrm>
                    <a:prstGeom prst="rect">
                      <a:avLst/>
                    </a:prstGeom>
                  </pic:spPr>
                </pic:pic>
              </a:graphicData>
            </a:graphic>
          </wp:inline>
        </w:drawing>
      </w:r>
    </w:p>
    <w:p>
      <w:pPr>
        <w:jc w:val="left"/>
        <w:rPr>
          <w:rFonts w:eastAsia="华文中宋"/>
          <w:sz w:val="36"/>
        </w:rPr>
      </w:pPr>
    </w:p>
    <w:p>
      <w:pPr>
        <w:jc w:val="left"/>
        <w:rPr>
          <w:rFonts w:eastAsia="华文中宋"/>
          <w:sz w:val="36"/>
        </w:rPr>
      </w:pPr>
    </w:p>
    <w:p>
      <w:pPr>
        <w:jc w:val="center"/>
        <w:rPr>
          <w:rFonts w:eastAsia="黑体"/>
          <w:b/>
          <w:bCs/>
          <w:sz w:val="52"/>
          <w:szCs w:val="52"/>
        </w:rPr>
      </w:pPr>
    </w:p>
    <w:p>
      <w:pPr>
        <w:jc w:val="center"/>
        <w:rPr>
          <w:b/>
          <w:bCs/>
          <w:sz w:val="84"/>
        </w:rPr>
      </w:pPr>
      <w:r>
        <w:rPr>
          <w:rFonts w:hint="eastAsia" w:eastAsia="黑体"/>
          <w:b/>
          <w:bCs/>
          <w:sz w:val="52"/>
          <w:szCs w:val="52"/>
        </w:rPr>
        <w:t>新疆维吾尔自治区人民医院国产医疗设备采购项目</w:t>
      </w:r>
    </w:p>
    <w:p/>
    <w:p>
      <w:pPr>
        <w:adjustRightInd w:val="0"/>
        <w:spacing w:line="360" w:lineRule="auto"/>
        <w:ind w:left="-1" w:leftChars="-1" w:hanging="1"/>
        <w:jc w:val="center"/>
        <w:textAlignment w:val="baseline"/>
        <w:rPr>
          <w:b/>
          <w:bCs/>
          <w:sz w:val="28"/>
          <w:szCs w:val="28"/>
        </w:rPr>
      </w:pPr>
    </w:p>
    <w:p>
      <w:pPr>
        <w:adjustRightInd w:val="0"/>
        <w:spacing w:line="360" w:lineRule="auto"/>
        <w:ind w:left="-1" w:leftChars="-1" w:hanging="1"/>
        <w:jc w:val="center"/>
        <w:textAlignment w:val="baseline"/>
        <w:rPr>
          <w:b/>
          <w:bCs/>
          <w:sz w:val="32"/>
          <w:szCs w:val="32"/>
        </w:rPr>
      </w:pPr>
      <w:r>
        <w:rPr>
          <w:b/>
          <w:bCs/>
          <w:sz w:val="32"/>
          <w:szCs w:val="32"/>
        </w:rPr>
        <w:t>项目编号：</w:t>
      </w:r>
      <w:r>
        <w:rPr>
          <w:rFonts w:hint="eastAsia"/>
          <w:b/>
          <w:bCs/>
          <w:sz w:val="32"/>
          <w:szCs w:val="32"/>
        </w:rPr>
        <w:t>GXTC-C-22510164</w:t>
      </w:r>
    </w:p>
    <w:p/>
    <w:p/>
    <w:p/>
    <w:p/>
    <w:p/>
    <w:p/>
    <w:p/>
    <w:p>
      <w:pPr>
        <w:spacing w:line="360" w:lineRule="auto"/>
        <w:jc w:val="center"/>
        <w:rPr>
          <w:rFonts w:eastAsia="黑体"/>
          <w:b/>
          <w:bCs/>
          <w:sz w:val="84"/>
        </w:rPr>
      </w:pPr>
      <w:r>
        <w:rPr>
          <w:rFonts w:eastAsia="黑体"/>
          <w:b/>
          <w:bCs/>
          <w:sz w:val="84"/>
        </w:rPr>
        <w:t>公开招标文件</w:t>
      </w:r>
    </w:p>
    <w:p>
      <w:pPr>
        <w:autoSpaceDE w:val="0"/>
        <w:autoSpaceDN w:val="0"/>
        <w:adjustRightInd w:val="0"/>
        <w:snapToGrid w:val="0"/>
        <w:spacing w:after="120" w:afterLines="50"/>
        <w:jc w:val="center"/>
        <w:rPr>
          <w:kern w:val="0"/>
          <w:sz w:val="32"/>
          <w:szCs w:val="32"/>
        </w:rPr>
      </w:pPr>
    </w:p>
    <w:p>
      <w:pPr>
        <w:autoSpaceDE w:val="0"/>
        <w:autoSpaceDN w:val="0"/>
        <w:adjustRightInd w:val="0"/>
        <w:snapToGrid w:val="0"/>
        <w:spacing w:after="120" w:afterLines="50"/>
        <w:jc w:val="center"/>
        <w:rPr>
          <w:kern w:val="0"/>
          <w:sz w:val="32"/>
          <w:szCs w:val="32"/>
        </w:rPr>
      </w:pPr>
    </w:p>
    <w:p>
      <w:pPr>
        <w:pStyle w:val="19"/>
      </w:pPr>
    </w:p>
    <w:p>
      <w:pPr>
        <w:pStyle w:val="20"/>
      </w:pPr>
    </w:p>
    <w:p>
      <w:pPr>
        <w:pStyle w:val="20"/>
      </w:pPr>
    </w:p>
    <w:tbl>
      <w:tblPr>
        <w:tblStyle w:val="42"/>
        <w:tblW w:w="6242" w:type="dxa"/>
        <w:tblInd w:w="15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9"/>
        <w:gridCol w:w="4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49" w:type="dxa"/>
          </w:tcPr>
          <w:p>
            <w:pPr>
              <w:autoSpaceDE w:val="0"/>
              <w:autoSpaceDN w:val="0"/>
              <w:adjustRightInd w:val="0"/>
              <w:snapToGrid w:val="0"/>
              <w:spacing w:after="120" w:afterLines="50"/>
              <w:jc w:val="center"/>
              <w:rPr>
                <w:b/>
                <w:bCs/>
                <w:kern w:val="0"/>
                <w:sz w:val="28"/>
                <w:szCs w:val="28"/>
              </w:rPr>
            </w:pPr>
            <w:r>
              <w:rPr>
                <w:b/>
                <w:bCs/>
                <w:kern w:val="0"/>
                <w:sz w:val="28"/>
                <w:szCs w:val="28"/>
              </w:rPr>
              <w:t>采   购   人：</w:t>
            </w:r>
          </w:p>
        </w:tc>
        <w:tc>
          <w:tcPr>
            <w:tcW w:w="4193" w:type="dxa"/>
          </w:tcPr>
          <w:p>
            <w:pPr>
              <w:autoSpaceDE w:val="0"/>
              <w:autoSpaceDN w:val="0"/>
              <w:adjustRightInd w:val="0"/>
              <w:snapToGrid w:val="0"/>
              <w:spacing w:after="120" w:afterLines="50"/>
              <w:jc w:val="left"/>
              <w:rPr>
                <w:b/>
                <w:bCs/>
                <w:kern w:val="0"/>
                <w:sz w:val="28"/>
                <w:szCs w:val="28"/>
              </w:rPr>
            </w:pPr>
            <w:r>
              <w:rPr>
                <w:b/>
                <w:bCs/>
                <w:kern w:val="0"/>
                <w:sz w:val="28"/>
                <w:szCs w:val="28"/>
              </w:rPr>
              <w:t>新疆维吾尔自治区人民医院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049" w:type="dxa"/>
          </w:tcPr>
          <w:p>
            <w:pPr>
              <w:autoSpaceDE w:val="0"/>
              <w:autoSpaceDN w:val="0"/>
              <w:adjustRightInd w:val="0"/>
              <w:snapToGrid w:val="0"/>
              <w:spacing w:after="120" w:afterLines="50"/>
              <w:jc w:val="center"/>
              <w:rPr>
                <w:b/>
                <w:bCs/>
                <w:kern w:val="0"/>
                <w:sz w:val="28"/>
                <w:szCs w:val="28"/>
              </w:rPr>
            </w:pPr>
            <w:r>
              <w:rPr>
                <w:b/>
                <w:bCs/>
                <w:kern w:val="0"/>
                <w:sz w:val="28"/>
                <w:szCs w:val="28"/>
              </w:rPr>
              <w:t>采购代理机构：</w:t>
            </w:r>
          </w:p>
        </w:tc>
        <w:tc>
          <w:tcPr>
            <w:tcW w:w="4193" w:type="dxa"/>
          </w:tcPr>
          <w:p>
            <w:pPr>
              <w:autoSpaceDE w:val="0"/>
              <w:autoSpaceDN w:val="0"/>
              <w:adjustRightInd w:val="0"/>
              <w:snapToGrid w:val="0"/>
              <w:spacing w:after="120" w:afterLines="50"/>
              <w:jc w:val="left"/>
              <w:rPr>
                <w:b/>
                <w:bCs/>
                <w:kern w:val="0"/>
                <w:sz w:val="28"/>
                <w:szCs w:val="28"/>
              </w:rPr>
            </w:pPr>
            <w:r>
              <w:rPr>
                <w:b/>
                <w:bCs/>
                <w:kern w:val="0"/>
                <w:sz w:val="28"/>
                <w:szCs w:val="28"/>
              </w:rPr>
              <w:t>国信招标集团股份有限公司</w:t>
            </w:r>
          </w:p>
        </w:tc>
      </w:tr>
    </w:tbl>
    <w:p>
      <w:pPr>
        <w:autoSpaceDE w:val="0"/>
        <w:autoSpaceDN w:val="0"/>
        <w:adjustRightInd w:val="0"/>
        <w:snapToGrid w:val="0"/>
        <w:spacing w:after="120" w:afterLines="50"/>
        <w:jc w:val="center"/>
        <w:rPr>
          <w:b/>
          <w:bCs/>
          <w:kern w:val="0"/>
          <w:sz w:val="28"/>
          <w:szCs w:val="28"/>
          <w:highlight w:val="none"/>
        </w:rPr>
      </w:pPr>
      <w:r>
        <w:rPr>
          <w:b/>
          <w:bCs/>
          <w:kern w:val="0"/>
          <w:sz w:val="28"/>
          <w:szCs w:val="28"/>
        </w:rPr>
        <w:t>2022年</w:t>
      </w:r>
      <w:r>
        <w:rPr>
          <w:rFonts w:hint="eastAsia"/>
          <w:b/>
          <w:bCs/>
          <w:kern w:val="0"/>
          <w:sz w:val="28"/>
          <w:szCs w:val="28"/>
          <w:highlight w:val="none"/>
        </w:rPr>
        <w:t>12</w:t>
      </w:r>
      <w:r>
        <w:rPr>
          <w:b/>
          <w:bCs/>
          <w:kern w:val="0"/>
          <w:sz w:val="28"/>
          <w:szCs w:val="28"/>
          <w:highlight w:val="none"/>
        </w:rPr>
        <w:t>月</w:t>
      </w:r>
      <w:r>
        <w:rPr>
          <w:rFonts w:hint="eastAsia"/>
          <w:b/>
          <w:bCs/>
          <w:kern w:val="0"/>
          <w:sz w:val="28"/>
          <w:szCs w:val="28"/>
          <w:highlight w:val="none"/>
          <w:lang w:val="en-US" w:eastAsia="zh-CN"/>
        </w:rPr>
        <w:t>22</w:t>
      </w:r>
      <w:r>
        <w:rPr>
          <w:b/>
          <w:bCs/>
          <w:kern w:val="0"/>
          <w:sz w:val="28"/>
          <w:szCs w:val="28"/>
          <w:highlight w:val="none"/>
        </w:rPr>
        <w:t>日</w:t>
      </w:r>
    </w:p>
    <w:p>
      <w:pPr>
        <w:widowControl/>
        <w:jc w:val="left"/>
        <w:rPr>
          <w:kern w:val="0"/>
          <w:sz w:val="32"/>
          <w:szCs w:val="32"/>
        </w:rPr>
        <w:sectPr>
          <w:headerReference r:id="rId3" w:type="default"/>
          <w:pgSz w:w="11906" w:h="16838"/>
          <w:pgMar w:top="1440" w:right="1440" w:bottom="1440" w:left="1797" w:header="851" w:footer="992" w:gutter="0"/>
          <w:pgNumType w:fmt="decimal"/>
          <w:cols w:space="720" w:num="1"/>
          <w:titlePg/>
          <w:docGrid w:linePitch="312" w:charSpace="0"/>
        </w:sectPr>
      </w:pPr>
    </w:p>
    <w:sdt>
      <w:sdtPr>
        <w:rPr>
          <w:rFonts w:ascii="Times New Roman" w:hAnsi="Times New Roman" w:eastAsia="宋体" w:cs="Times New Roman"/>
          <w:color w:val="auto"/>
          <w:kern w:val="2"/>
          <w:sz w:val="21"/>
          <w:szCs w:val="24"/>
          <w:lang w:val="zh-CN"/>
        </w:rPr>
        <w:id w:val="772826775"/>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434"/>
            <w:spacing w:line="240" w:lineRule="auto"/>
            <w:jc w:val="center"/>
            <w:rPr>
              <w:rFonts w:hint="eastAsia" w:ascii="宋体" w:hAnsi="宋体" w:eastAsia="宋体" w:cs="宋体"/>
              <w:b w:val="0"/>
              <w:bCs w:val="0"/>
              <w:color w:val="auto"/>
              <w:sz w:val="24"/>
              <w:szCs w:val="24"/>
            </w:rPr>
          </w:pPr>
          <w:bookmarkStart w:id="0" w:name="_Toc7932"/>
          <w:bookmarkStart w:id="1" w:name="_Toc8825"/>
          <w:r>
            <w:rPr>
              <w:rFonts w:hint="eastAsia" w:ascii="宋体" w:hAnsi="宋体" w:eastAsia="宋体" w:cs="宋体"/>
              <w:b w:val="0"/>
              <w:bCs w:val="0"/>
              <w:color w:val="auto"/>
              <w:sz w:val="24"/>
              <w:szCs w:val="24"/>
              <w:lang w:val="zh-CN"/>
            </w:rPr>
            <w:t>目  录</w:t>
          </w:r>
        </w:p>
        <w:p>
          <w:pPr>
            <w:pStyle w:val="32"/>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TOC \o "1-3" \h \z \u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_Toc12622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kern w:val="0"/>
              <w:sz w:val="24"/>
              <w:szCs w:val="24"/>
            </w:rPr>
            <w:t>第一章  招标公告</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_Toc12622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_Toc23711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一、项目基本情况</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_Toc23711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_Toc27681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二、申请人的资格要求：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_Toc27681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_Toc24875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三、获取招标文件</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_Toc24875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_Toc20365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四、提交投标文件截止时间、开标时间和地点</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_Toc20365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_Toc13146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五、公告期限</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_Toc13146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_Toc29899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六、其他补充事宜</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_Toc29899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_Toc15584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七、对本次招标提出询问，请按以下方式联系。</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_Toc15584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2"/>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_Toc1689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第二章 投标人须知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_Toc1689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2"/>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_Toc11767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（一）投标人须知前附表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_Toc11767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_Toc10995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交货地点：新疆维吾尔自治区人民医院，最终按甲方指定地点验收、交货。</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_Toc10995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2"/>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_Toc6313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（二）投标人须知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_Toc6313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_Toc10165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1 总则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_Toc10165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_Toc8059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2 招标文件</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_Toc8059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_Toc282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3 投标文件</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_Toc6745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4 投标</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_Toc6745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_Toc2425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5 开标</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_Toc2425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_Toc27632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6 资格审查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_Toc27632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_Toc21428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7 评标</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_Toc21428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_Toc21216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8 合同授予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_Toc21216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_Toc17958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9 纪律和监督</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_Toc17958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_Toc7526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10 需要补充的其他内容</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_Toc7526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2"/>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_Toc14881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第三章 资格审查、评标办法和标准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_Toc14881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_Toc7023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1 资格审查及标准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_Toc7023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_Toc13367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2 评标方法</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_Toc13367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_Toc19000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3 评审标准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_Toc19000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_Toc25566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4 评审程序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_Toc25566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_Toc19933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适用于标项一：</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_Toc19933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_Toc19768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附表一 资格审查表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_Toc19768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_Toc12432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附表二 符合性审查表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_Toc12432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_Toc22013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附表三 详细评审表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_Toc22013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_Toc23626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商务和技术评审标准（70分）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_Toc23626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_Toc30427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投标报价评分标准（30分）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_Toc30427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2"/>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_Toc11053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第四章 合同条款</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_Toc11053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2"/>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_Toc7378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第五章 采购需求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_Toc7378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_Toc3074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一、 商务要求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_Toc3074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_Toc25161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二、 技术参数要求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_Toc25161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_Toc25444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标项一</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_Toc25444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_Toc17904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标项名称：</w:t>
          </w:r>
          <w:r>
            <w:rPr>
              <w:rFonts w:hint="eastAsia" w:ascii="宋体" w:hAnsi="宋体" w:eastAsia="宋体" w:cs="宋体"/>
              <w:b w:val="0"/>
              <w:bCs w:val="0"/>
              <w:sz w:val="24"/>
              <w:szCs w:val="24"/>
              <w:lang w:eastAsia="zh-CN"/>
            </w:rPr>
            <w:t>飞行时间质谱检测系统</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_Toc17904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_Toc22435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标项二</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_Toc22435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_Toc30134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三、采购目录</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_Toc30134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2"/>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_Toc25701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第六章 投标文件格式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_Toc25701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_Toc13908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第一部分  商务部分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_Toc13908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_Toc15491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一、投标函</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_Toc15491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_Toc29752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二、《法定代表人资格证明书》或《法定代表人授权委托书》；</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_Toc29752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_Toc29632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三、资格审查证明文件</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_Toc29632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81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_Toc12511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四、医疗器械注册证（根据所投产品内容提供，非医疗器械产品无需提供）</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_Toc12511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_Toc30540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五、投标人供货业绩一览表（2019年1月1日至投标截止日）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_Toc30540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_Toc22489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六、商务偏差表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_Toc22489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_Toc21288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七、投标人基本情况表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_Toc21288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_Toc8458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八、投标承诺书</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_Toc8458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_Toc29673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九、反商业贿赂承诺书</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_Toc29673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_Toc4587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十、项目负责人简历表及拟投入本项目主要成员表（如有）</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_Toc4587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_Toc20342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十一、其他商务部分资料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_Toc20342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_Toc32213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十二、其他补充资料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_Toc32213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_Toc29862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第二部分  报价部分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_Toc29862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_Toc9627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一、开标一览表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_Toc9627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_Toc16625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二、投标分项报价表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_Toc16625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_Toc22784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附件2-1   投标货物分项报价表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_Toc22784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_Toc13458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附件2-2：备品备件、专用工具和专用试验仪器分项报价表（如有）</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_Toc13458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_Toc20681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附件2-3：服务费分项报价表（如有）</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_Toc20681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_Toc24780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附件2-4  单件货物价格构成表（如有）</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_Toc24780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_Toc28286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附件2-5  ***报价表（如有）</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_Toc28286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6"/>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_Toc2344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第三部分  技术部分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_Toc2344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_Toc14103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一、技术偏离表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_Toc14103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_Toc6128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二、货物的技术规格、数量、服务标准、验收等要求的响应</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_Toc6128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_Toc18471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三、售后服务体系及服务情况</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_Toc18471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_Toc18223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四、产品技术支持文件（包含但不限于产品彩页或技术白皮书等）</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_Toc18223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_Toc17216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五、售后服务承诺书</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_Toc17216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_Toc11004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六、质量保证承诺书</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_Toc11004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24"/>
            <w:tabs>
              <w:tab w:val="right" w:leader="dot" w:pos="8669"/>
              <w:tab w:val="clear" w:pos="400"/>
              <w:tab w:val="clear" w:pos="576"/>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_Toc18861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sz w:val="24"/>
              <w:szCs w:val="24"/>
            </w:rPr>
            <w:t>七、其他资料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_Toc18861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pStyle w:val="32"/>
            <w:tabs>
              <w:tab w:val="right" w:leader="dot" w:pos="8669"/>
              <w:tab w:val="clear" w:pos="8778"/>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fldChar w:fldCharType="begin"/>
          </w:r>
          <w:r>
            <w:rPr>
              <w:rFonts w:hint="eastAsia" w:ascii="宋体" w:hAnsi="宋体" w:eastAsia="宋体" w:cs="宋体"/>
              <w:b w:val="0"/>
              <w:bCs w:val="0"/>
              <w:sz w:val="24"/>
              <w:szCs w:val="24"/>
              <w:lang w:val="zh-CN"/>
            </w:rPr>
            <w:instrText xml:space="preserve"> HYPERLINK \l _Toc28383 </w:instrText>
          </w:r>
          <w:r>
            <w:rPr>
              <w:rFonts w:hint="eastAsia" w:ascii="宋体" w:hAnsi="宋体" w:eastAsia="宋体" w:cs="宋体"/>
              <w:b w:val="0"/>
              <w:bCs w:val="0"/>
              <w:sz w:val="24"/>
              <w:szCs w:val="24"/>
              <w:lang w:val="zh-CN"/>
            </w:rPr>
            <w:fldChar w:fldCharType="separate"/>
          </w:r>
          <w:r>
            <w:rPr>
              <w:rFonts w:hint="eastAsia" w:ascii="宋体" w:hAnsi="宋体" w:eastAsia="宋体" w:cs="宋体"/>
              <w:b w:val="0"/>
              <w:bCs w:val="0"/>
              <w:kern w:val="0"/>
              <w:sz w:val="24"/>
              <w:szCs w:val="24"/>
            </w:rPr>
            <w:t>第七章 其它</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_Toc28383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zh-CN"/>
            </w:rPr>
            <w:fldChar w:fldCharType="end"/>
          </w:r>
        </w:p>
        <w:p>
          <w:pPr>
            <w:adjustRightInd w:val="0"/>
            <w:snapToGrid w:val="0"/>
            <w:spacing w:line="240" w:lineRule="auto"/>
          </w:pPr>
          <w:r>
            <w:rPr>
              <w:rFonts w:hint="eastAsia" w:ascii="宋体" w:hAnsi="宋体" w:eastAsia="宋体" w:cs="宋体"/>
              <w:b w:val="0"/>
              <w:bCs w:val="0"/>
              <w:sz w:val="24"/>
              <w:szCs w:val="24"/>
              <w:lang w:val="zh-CN"/>
            </w:rPr>
            <w:fldChar w:fldCharType="end"/>
          </w:r>
        </w:p>
      </w:sdtContent>
    </w:sdt>
    <w:p>
      <w:pPr>
        <w:autoSpaceDE w:val="0"/>
        <w:autoSpaceDN w:val="0"/>
        <w:adjustRightInd w:val="0"/>
        <w:snapToGrid w:val="0"/>
        <w:spacing w:after="120" w:afterLines="50"/>
        <w:jc w:val="center"/>
        <w:rPr>
          <w:kern w:val="0"/>
          <w:sz w:val="24"/>
        </w:rPr>
      </w:pPr>
    </w:p>
    <w:p>
      <w:pPr>
        <w:autoSpaceDE w:val="0"/>
        <w:autoSpaceDN w:val="0"/>
        <w:adjustRightInd w:val="0"/>
        <w:snapToGrid w:val="0"/>
        <w:spacing w:after="120" w:afterLines="50"/>
        <w:jc w:val="center"/>
        <w:outlineLvl w:val="0"/>
        <w:rPr>
          <w:rFonts w:eastAsia="黑体"/>
          <w:kern w:val="0"/>
          <w:sz w:val="32"/>
          <w:szCs w:val="32"/>
        </w:rPr>
        <w:sectPr>
          <w:footerReference r:id="rId4" w:type="default"/>
          <w:pgSz w:w="11906" w:h="16838"/>
          <w:pgMar w:top="1440" w:right="1440" w:bottom="1440" w:left="1797" w:header="851" w:footer="992" w:gutter="0"/>
          <w:pgNumType w:fmt="decimal"/>
          <w:cols w:space="720" w:num="1"/>
          <w:docGrid w:linePitch="312" w:charSpace="0"/>
        </w:sectPr>
      </w:pPr>
    </w:p>
    <w:p>
      <w:pPr>
        <w:autoSpaceDE w:val="0"/>
        <w:autoSpaceDN w:val="0"/>
        <w:adjustRightInd w:val="0"/>
        <w:snapToGrid w:val="0"/>
        <w:spacing w:after="120" w:afterLines="50"/>
        <w:jc w:val="center"/>
        <w:outlineLvl w:val="0"/>
        <w:rPr>
          <w:rFonts w:eastAsia="黑体"/>
          <w:kern w:val="0"/>
          <w:sz w:val="32"/>
          <w:szCs w:val="32"/>
        </w:rPr>
      </w:pPr>
      <w:bookmarkStart w:id="2" w:name="_Toc12622"/>
      <w:r>
        <w:rPr>
          <w:rFonts w:eastAsia="黑体"/>
          <w:kern w:val="0"/>
          <w:sz w:val="32"/>
          <w:szCs w:val="32"/>
        </w:rPr>
        <w:t xml:space="preserve">第一章  </w:t>
      </w:r>
      <w:bookmarkEnd w:id="0"/>
      <w:r>
        <w:rPr>
          <w:rFonts w:eastAsia="黑体"/>
          <w:kern w:val="0"/>
          <w:sz w:val="32"/>
          <w:szCs w:val="32"/>
        </w:rPr>
        <w:t>招标公告</w:t>
      </w:r>
      <w:bookmarkEnd w:id="1"/>
      <w:bookmarkEnd w:id="2"/>
    </w:p>
    <w:p>
      <w:pPr>
        <w:jc w:val="center"/>
        <w:rPr>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sz w:val="24"/>
        </w:rPr>
      </w:pPr>
      <w:bookmarkStart w:id="3" w:name="_Toc31486"/>
      <w:r>
        <w:rPr>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sz w:val="24"/>
        </w:rPr>
      </w:pPr>
      <w:r>
        <w:rPr>
          <w:rFonts w:hint="eastAsia"/>
          <w:sz w:val="24"/>
          <w:u w:val="single"/>
        </w:rPr>
        <w:t>新疆维吾尔自治区人民医院国产医疗设备采购项目</w:t>
      </w:r>
      <w:r>
        <w:rPr>
          <w:sz w:val="24"/>
        </w:rPr>
        <w:t>招标项目的潜在投标人应在</w:t>
      </w:r>
      <w:r>
        <w:rPr>
          <w:rFonts w:hint="eastAsia"/>
          <w:sz w:val="24"/>
          <w:u w:val="single"/>
        </w:rPr>
        <w:t>政府采购云平台</w:t>
      </w:r>
      <w:r>
        <w:rPr>
          <w:sz w:val="24"/>
        </w:rPr>
        <w:t>获取招标文件，并于</w:t>
      </w:r>
      <w:r>
        <w:rPr>
          <w:sz w:val="24"/>
          <w:u w:val="single"/>
        </w:rPr>
        <w:t xml:space="preserve"> 202</w:t>
      </w:r>
      <w:r>
        <w:rPr>
          <w:rFonts w:hint="eastAsia"/>
          <w:sz w:val="24"/>
          <w:u w:val="single"/>
        </w:rPr>
        <w:t>3</w:t>
      </w:r>
      <w:r>
        <w:rPr>
          <w:bCs/>
          <w:color w:val="auto"/>
          <w:sz w:val="24"/>
          <w:u w:val="single"/>
        </w:rPr>
        <w:t>年</w:t>
      </w:r>
      <w:r>
        <w:rPr>
          <w:rFonts w:hint="eastAsia"/>
          <w:bCs/>
          <w:color w:val="auto"/>
          <w:sz w:val="24"/>
          <w:u w:val="single"/>
        </w:rPr>
        <w:t>01</w:t>
      </w:r>
      <w:r>
        <w:rPr>
          <w:bCs/>
          <w:color w:val="auto"/>
          <w:sz w:val="24"/>
          <w:u w:val="single"/>
        </w:rPr>
        <w:t>月</w:t>
      </w:r>
      <w:r>
        <w:rPr>
          <w:rFonts w:hint="eastAsia"/>
          <w:bCs/>
          <w:color w:val="auto"/>
          <w:sz w:val="24"/>
          <w:u w:val="single"/>
          <w:lang w:val="en-US" w:eastAsia="zh-CN"/>
        </w:rPr>
        <w:t>13</w:t>
      </w:r>
      <w:r>
        <w:rPr>
          <w:bCs/>
          <w:color w:val="auto"/>
          <w:sz w:val="24"/>
          <w:u w:val="single"/>
        </w:rPr>
        <w:t>日11点</w:t>
      </w:r>
      <w:r>
        <w:rPr>
          <w:bCs/>
          <w:sz w:val="24"/>
          <w:u w:val="single"/>
        </w:rPr>
        <w:t>00分（</w:t>
      </w:r>
      <w:r>
        <w:rPr>
          <w:bCs/>
          <w:sz w:val="24"/>
        </w:rPr>
        <w:t>北京时间）前递交投标文件</w:t>
      </w:r>
      <w:r>
        <w:rPr>
          <w:sz w:val="24"/>
        </w:rPr>
        <w:t>。</w:t>
      </w:r>
    </w:p>
    <w:p>
      <w:pPr>
        <w:rPr>
          <w:sz w:val="28"/>
          <w:szCs w:val="28"/>
        </w:rPr>
      </w:pPr>
    </w:p>
    <w:p>
      <w:pPr>
        <w:pStyle w:val="4"/>
        <w:spacing w:before="0" w:after="0" w:line="360" w:lineRule="auto"/>
        <w:rPr>
          <w:rFonts w:ascii="Times New Roman" w:hAnsi="Times New Roman"/>
          <w:b w:val="0"/>
          <w:sz w:val="28"/>
          <w:szCs w:val="28"/>
        </w:rPr>
      </w:pPr>
      <w:bookmarkStart w:id="4" w:name="_Toc25017"/>
      <w:bookmarkStart w:id="5" w:name="_Toc23711"/>
      <w:bookmarkStart w:id="6" w:name="_Toc28359079"/>
      <w:bookmarkStart w:id="7" w:name="_Toc35393621"/>
      <w:bookmarkStart w:id="8" w:name="_Toc35393790"/>
      <w:bookmarkStart w:id="9" w:name="_Toc28359002"/>
      <w:bookmarkStart w:id="10" w:name="_Hlk24379207"/>
      <w:r>
        <w:rPr>
          <w:rFonts w:hint="eastAsia" w:ascii="Times New Roman" w:hAnsi="Times New Roman"/>
          <w:b w:val="0"/>
          <w:sz w:val="28"/>
          <w:szCs w:val="28"/>
        </w:rPr>
        <w:t>一、项目</w:t>
      </w:r>
      <w:r>
        <w:rPr>
          <w:rFonts w:ascii="Times New Roman" w:hAnsi="Times New Roman"/>
          <w:b w:val="0"/>
          <w:sz w:val="28"/>
          <w:szCs w:val="28"/>
        </w:rPr>
        <w:t>基本情况</w:t>
      </w:r>
      <w:bookmarkEnd w:id="4"/>
      <w:bookmarkEnd w:id="5"/>
      <w:bookmarkEnd w:id="6"/>
      <w:bookmarkEnd w:id="7"/>
      <w:bookmarkEnd w:id="8"/>
      <w:bookmarkEnd w:id="9"/>
    </w:p>
    <w:p>
      <w:pPr>
        <w:pStyle w:val="38"/>
        <w:widowControl/>
        <w:spacing w:beforeAutospacing="0" w:afterAutospacing="0" w:line="360" w:lineRule="auto"/>
        <w:ind w:firstLine="480" w:firstLineChars="200"/>
        <w:jc w:val="both"/>
        <w:rPr>
          <w:color w:val="333333"/>
          <w:shd w:val="clear" w:color="auto" w:fill="FFFFFF"/>
        </w:rPr>
      </w:pPr>
      <w:r>
        <w:rPr>
          <w:color w:val="333333"/>
          <w:shd w:val="clear" w:color="auto" w:fill="FFFFFF"/>
        </w:rPr>
        <w:t>项目编号：</w:t>
      </w:r>
      <w:r>
        <w:rPr>
          <w:rFonts w:hint="eastAsia"/>
          <w:color w:val="333333"/>
          <w:shd w:val="clear" w:color="auto" w:fill="FFFFFF"/>
        </w:rPr>
        <w:t>GXTC-C-22510164</w:t>
      </w:r>
    </w:p>
    <w:p>
      <w:pPr>
        <w:pStyle w:val="38"/>
        <w:widowControl/>
        <w:spacing w:beforeAutospacing="0" w:afterAutospacing="0" w:line="360" w:lineRule="auto"/>
        <w:ind w:firstLine="480" w:firstLineChars="200"/>
        <w:jc w:val="both"/>
        <w:rPr>
          <w:color w:val="333333"/>
          <w:shd w:val="clear" w:color="auto" w:fill="FFFFFF"/>
        </w:rPr>
      </w:pPr>
      <w:r>
        <w:rPr>
          <w:color w:val="333333"/>
          <w:shd w:val="clear" w:color="auto" w:fill="FFFFFF"/>
        </w:rPr>
        <w:t>项目名称：</w:t>
      </w:r>
      <w:r>
        <w:rPr>
          <w:rFonts w:hint="eastAsia"/>
          <w:color w:val="333333"/>
          <w:shd w:val="clear" w:color="auto" w:fill="FFFFFF"/>
        </w:rPr>
        <w:t>新疆维吾尔自治区人民医院国产医疗设备采购项目</w:t>
      </w:r>
    </w:p>
    <w:p>
      <w:pPr>
        <w:pStyle w:val="38"/>
        <w:widowControl/>
        <w:spacing w:beforeAutospacing="0" w:afterAutospacing="0" w:line="360" w:lineRule="auto"/>
        <w:ind w:firstLine="480" w:firstLineChars="200"/>
        <w:jc w:val="both"/>
        <w:rPr>
          <w:color w:val="333333"/>
          <w:shd w:val="clear" w:color="auto" w:fill="FFFFFF"/>
        </w:rPr>
      </w:pPr>
      <w:r>
        <w:rPr>
          <w:rFonts w:hint="eastAsia"/>
          <w:color w:val="333333"/>
          <w:shd w:val="clear" w:color="auto" w:fill="FFFFFF"/>
        </w:rPr>
        <w:t>采购方式：公开招标</w:t>
      </w:r>
    </w:p>
    <w:p>
      <w:pPr>
        <w:pStyle w:val="38"/>
        <w:widowControl/>
        <w:spacing w:beforeAutospacing="0" w:afterAutospacing="0" w:line="360" w:lineRule="auto"/>
        <w:ind w:firstLine="480" w:firstLineChars="200"/>
        <w:jc w:val="both"/>
        <w:rPr>
          <w:color w:val="333333"/>
          <w:shd w:val="clear" w:color="auto" w:fill="FFFFFF"/>
        </w:rPr>
      </w:pPr>
      <w:r>
        <w:rPr>
          <w:color w:val="333333"/>
          <w:shd w:val="clear" w:color="auto" w:fill="FFFFFF"/>
        </w:rPr>
        <w:t>预算金额</w:t>
      </w:r>
      <w:r>
        <w:rPr>
          <w:rFonts w:hint="eastAsia"/>
          <w:color w:val="333333"/>
          <w:shd w:val="clear" w:color="auto" w:fill="FFFFFF"/>
        </w:rPr>
        <w:t>（元）</w:t>
      </w:r>
      <w:r>
        <w:rPr>
          <w:color w:val="333333"/>
          <w:shd w:val="clear" w:color="auto" w:fill="FFFFFF"/>
        </w:rPr>
        <w:t>：</w:t>
      </w:r>
      <w:r>
        <w:rPr>
          <w:rFonts w:hint="eastAsia"/>
          <w:shd w:val="clear" w:color="auto" w:fill="FFFFFF"/>
        </w:rPr>
        <w:t>12,000,000</w:t>
      </w:r>
      <w:r>
        <w:rPr>
          <w:shd w:val="clear" w:color="auto" w:fill="FFFFFF"/>
        </w:rPr>
        <w:t>.00</w:t>
      </w:r>
    </w:p>
    <w:bookmarkEnd w:id="10"/>
    <w:p>
      <w:pPr>
        <w:pStyle w:val="38"/>
        <w:widowControl/>
        <w:spacing w:beforeAutospacing="0" w:afterAutospacing="0" w:line="360" w:lineRule="auto"/>
        <w:ind w:firstLine="480" w:firstLineChars="200"/>
        <w:jc w:val="both"/>
        <w:rPr>
          <w:color w:val="FF0000"/>
          <w:shd w:val="clear" w:color="auto" w:fill="FFFFFF"/>
        </w:rPr>
      </w:pPr>
      <w:r>
        <w:rPr>
          <w:shd w:val="clear" w:color="auto" w:fill="FFFFFF"/>
        </w:rPr>
        <w:t>最高限价</w:t>
      </w:r>
      <w:r>
        <w:rPr>
          <w:rFonts w:hint="eastAsia"/>
          <w:shd w:val="clear" w:color="auto" w:fill="FFFFFF"/>
        </w:rPr>
        <w:t>（元）</w:t>
      </w:r>
      <w:r>
        <w:rPr>
          <w:shd w:val="clear" w:color="auto" w:fill="FFFFFF"/>
        </w:rPr>
        <w:t>：</w:t>
      </w:r>
      <w:r>
        <w:rPr>
          <w:rFonts w:hint="eastAsia"/>
          <w:shd w:val="clear" w:color="auto" w:fill="FFFFFF"/>
        </w:rPr>
        <w:t>4,000,000</w:t>
      </w:r>
      <w:r>
        <w:rPr>
          <w:shd w:val="clear" w:color="auto" w:fill="FFFFFF"/>
        </w:rPr>
        <w:t>.00</w:t>
      </w:r>
      <w:r>
        <w:rPr>
          <w:rFonts w:hint="eastAsia"/>
          <w:shd w:val="clear" w:color="auto" w:fill="FFFFFF"/>
        </w:rPr>
        <w:t>，8,000,000</w:t>
      </w:r>
      <w:r>
        <w:rPr>
          <w:shd w:val="clear" w:color="auto" w:fill="FFFFFF"/>
        </w:rPr>
        <w:t>.00</w:t>
      </w:r>
    </w:p>
    <w:p>
      <w:pPr>
        <w:pStyle w:val="38"/>
        <w:widowControl/>
        <w:spacing w:beforeAutospacing="0" w:afterAutospacing="0" w:line="360" w:lineRule="auto"/>
        <w:ind w:firstLine="480" w:firstLineChars="200"/>
        <w:jc w:val="both"/>
        <w:rPr>
          <w:color w:val="333333"/>
          <w:shd w:val="clear" w:color="auto" w:fill="FFFFFF"/>
        </w:rPr>
      </w:pPr>
      <w:r>
        <w:rPr>
          <w:color w:val="333333"/>
          <w:shd w:val="clear" w:color="auto" w:fill="FFFFFF"/>
        </w:rPr>
        <w:t>采购需求：</w:t>
      </w:r>
      <w:r>
        <w:rPr>
          <w:rFonts w:hint="eastAsia"/>
          <w:color w:val="333333"/>
          <w:shd w:val="clear" w:color="auto" w:fill="FFFFFF"/>
        </w:rPr>
        <w:t>详见招标文件第五章采购需求。</w:t>
      </w:r>
    </w:p>
    <w:p>
      <w:pPr>
        <w:pStyle w:val="38"/>
        <w:widowControl/>
        <w:spacing w:beforeAutospacing="0" w:afterAutospacing="0" w:line="360" w:lineRule="auto"/>
        <w:ind w:left="1142" w:hanging="1142" w:hangingChars="474"/>
        <w:rPr>
          <w:b/>
          <w:bCs/>
          <w:color w:val="333333"/>
          <w:shd w:val="clear" w:color="auto" w:fill="FFFFFF"/>
        </w:rPr>
      </w:pPr>
      <w:r>
        <w:rPr>
          <w:rFonts w:hint="eastAsia"/>
          <w:b/>
          <w:bCs/>
          <w:color w:val="333333"/>
          <w:shd w:val="clear" w:color="auto" w:fill="FFFFFF"/>
        </w:rPr>
        <w:t>标项一</w:t>
      </w:r>
    </w:p>
    <w:p>
      <w:pPr>
        <w:pStyle w:val="38"/>
        <w:widowControl/>
        <w:spacing w:beforeAutospacing="0" w:afterAutospacing="0" w:line="360" w:lineRule="auto"/>
        <w:ind w:firstLine="480" w:firstLineChars="200"/>
        <w:jc w:val="both"/>
        <w:rPr>
          <w:rFonts w:hint="eastAsia" w:eastAsia="宋体"/>
          <w:color w:val="333333"/>
          <w:shd w:val="clear" w:color="auto" w:fill="FFFFFF"/>
          <w:lang w:eastAsia="zh-CN"/>
        </w:rPr>
      </w:pPr>
      <w:r>
        <w:rPr>
          <w:rFonts w:hint="eastAsia"/>
          <w:color w:val="333333"/>
          <w:shd w:val="clear" w:color="auto" w:fill="FFFFFF"/>
        </w:rPr>
        <w:t>标项名称：</w:t>
      </w:r>
      <w:r>
        <w:rPr>
          <w:rFonts w:hint="eastAsia"/>
          <w:color w:val="333333"/>
          <w:shd w:val="clear" w:color="auto" w:fill="FFFFFF"/>
          <w:lang w:eastAsia="zh-CN"/>
        </w:rPr>
        <w:t>飞行时间质谱检测系统</w:t>
      </w:r>
    </w:p>
    <w:p>
      <w:pPr>
        <w:pStyle w:val="38"/>
        <w:widowControl/>
        <w:spacing w:beforeAutospacing="0" w:afterAutospacing="0" w:line="360" w:lineRule="auto"/>
        <w:ind w:firstLine="480" w:firstLineChars="200"/>
        <w:jc w:val="both"/>
        <w:rPr>
          <w:color w:val="333333"/>
          <w:shd w:val="clear" w:color="auto" w:fill="FFFFFF"/>
        </w:rPr>
      </w:pPr>
      <w:r>
        <w:rPr>
          <w:rFonts w:hint="eastAsia"/>
          <w:color w:val="333333"/>
          <w:shd w:val="clear" w:color="auto" w:fill="FFFFFF"/>
        </w:rPr>
        <w:t>数量：1套</w:t>
      </w:r>
    </w:p>
    <w:p>
      <w:pPr>
        <w:pStyle w:val="38"/>
        <w:widowControl/>
        <w:spacing w:beforeAutospacing="0" w:afterAutospacing="0" w:line="360" w:lineRule="auto"/>
        <w:ind w:firstLine="480" w:firstLineChars="200"/>
        <w:jc w:val="both"/>
        <w:rPr>
          <w:color w:val="333333"/>
          <w:shd w:val="clear" w:color="auto" w:fill="FFFFFF"/>
        </w:rPr>
      </w:pPr>
      <w:r>
        <w:rPr>
          <w:rFonts w:hint="eastAsia"/>
          <w:color w:val="333333"/>
          <w:shd w:val="clear" w:color="auto" w:fill="FFFFFF"/>
        </w:rPr>
        <w:t>预算金额（元）：4,000,000.00</w:t>
      </w:r>
    </w:p>
    <w:p>
      <w:pPr>
        <w:pStyle w:val="38"/>
        <w:widowControl/>
        <w:spacing w:beforeAutospacing="0" w:afterAutospacing="0" w:line="360" w:lineRule="auto"/>
        <w:ind w:firstLine="480" w:firstLineChars="200"/>
        <w:jc w:val="both"/>
        <w:rPr>
          <w:color w:val="333333"/>
          <w:shd w:val="clear" w:color="auto" w:fill="FFFFFF"/>
        </w:rPr>
      </w:pPr>
      <w:r>
        <w:rPr>
          <w:rFonts w:hint="eastAsia"/>
          <w:color w:val="333333"/>
          <w:shd w:val="clear" w:color="auto" w:fill="FFFFFF"/>
        </w:rPr>
        <w:t>简要规格描述或项目基本概况介绍、用途：具体技术参数详见第五章采购需求</w:t>
      </w:r>
    </w:p>
    <w:p>
      <w:pPr>
        <w:pStyle w:val="38"/>
        <w:widowControl/>
        <w:spacing w:beforeAutospacing="0" w:afterAutospacing="0" w:line="360" w:lineRule="auto"/>
        <w:ind w:firstLine="480" w:firstLineChars="200"/>
        <w:jc w:val="both"/>
        <w:rPr>
          <w:color w:val="333333"/>
          <w:shd w:val="clear" w:color="auto" w:fill="FFFFFF"/>
        </w:rPr>
      </w:pPr>
      <w:r>
        <w:rPr>
          <w:rFonts w:hint="eastAsia"/>
          <w:color w:val="333333"/>
          <w:shd w:val="clear" w:color="auto" w:fill="FFFFFF"/>
        </w:rPr>
        <w:t>备注：国产</w:t>
      </w:r>
    </w:p>
    <w:p>
      <w:pPr>
        <w:pStyle w:val="38"/>
        <w:widowControl/>
        <w:spacing w:beforeAutospacing="0" w:afterAutospacing="0" w:line="360" w:lineRule="auto"/>
        <w:ind w:firstLine="480" w:firstLineChars="200"/>
        <w:jc w:val="both"/>
        <w:rPr>
          <w:color w:val="333333"/>
          <w:shd w:val="clear" w:color="auto" w:fill="FFFFFF"/>
        </w:rPr>
      </w:pPr>
    </w:p>
    <w:p>
      <w:pPr>
        <w:pStyle w:val="38"/>
        <w:widowControl/>
        <w:spacing w:beforeAutospacing="0" w:afterAutospacing="0" w:line="360" w:lineRule="auto"/>
        <w:ind w:left="1142" w:hanging="1142" w:hangingChars="474"/>
        <w:rPr>
          <w:b/>
          <w:bCs/>
          <w:color w:val="333333"/>
          <w:shd w:val="clear" w:color="auto" w:fill="FFFFFF"/>
        </w:rPr>
      </w:pPr>
      <w:r>
        <w:rPr>
          <w:rFonts w:hint="eastAsia"/>
          <w:b/>
          <w:bCs/>
          <w:color w:val="333333"/>
          <w:shd w:val="clear" w:color="auto" w:fill="FFFFFF"/>
        </w:rPr>
        <w:t>标项二</w:t>
      </w:r>
    </w:p>
    <w:p>
      <w:pPr>
        <w:pStyle w:val="38"/>
        <w:widowControl/>
        <w:spacing w:beforeAutospacing="0" w:afterAutospacing="0" w:line="360" w:lineRule="auto"/>
        <w:ind w:firstLine="480" w:firstLineChars="200"/>
        <w:jc w:val="both"/>
        <w:rPr>
          <w:rFonts w:hint="eastAsia" w:eastAsia="宋体"/>
          <w:color w:val="333333"/>
          <w:shd w:val="clear" w:color="auto" w:fill="FFFFFF"/>
          <w:lang w:eastAsia="zh-CN"/>
        </w:rPr>
      </w:pPr>
      <w:r>
        <w:rPr>
          <w:rFonts w:hint="eastAsia"/>
          <w:color w:val="333333"/>
          <w:shd w:val="clear" w:color="auto" w:fill="FFFFFF"/>
        </w:rPr>
        <w:t>标项名称：</w:t>
      </w:r>
      <w:r>
        <w:rPr>
          <w:rFonts w:hint="eastAsia"/>
          <w:color w:val="333333"/>
          <w:shd w:val="clear" w:color="auto" w:fill="FFFFFF"/>
          <w:lang w:eastAsia="zh-CN"/>
        </w:rPr>
        <w:t>骨科手术导航系统（机器人）</w:t>
      </w:r>
    </w:p>
    <w:p>
      <w:pPr>
        <w:pStyle w:val="38"/>
        <w:widowControl/>
        <w:spacing w:beforeAutospacing="0" w:afterAutospacing="0" w:line="360" w:lineRule="auto"/>
        <w:ind w:firstLine="480" w:firstLineChars="200"/>
        <w:jc w:val="both"/>
        <w:rPr>
          <w:color w:val="333333"/>
          <w:shd w:val="clear" w:color="auto" w:fill="FFFFFF"/>
        </w:rPr>
      </w:pPr>
      <w:r>
        <w:rPr>
          <w:rFonts w:hint="eastAsia"/>
          <w:color w:val="333333"/>
          <w:shd w:val="clear" w:color="auto" w:fill="FFFFFF"/>
        </w:rPr>
        <w:t>数量：1套</w:t>
      </w:r>
    </w:p>
    <w:p>
      <w:pPr>
        <w:pStyle w:val="38"/>
        <w:widowControl/>
        <w:spacing w:beforeAutospacing="0" w:afterAutospacing="0" w:line="360" w:lineRule="auto"/>
        <w:ind w:firstLine="480" w:firstLineChars="200"/>
        <w:jc w:val="both"/>
        <w:rPr>
          <w:color w:val="333333"/>
          <w:shd w:val="clear" w:color="auto" w:fill="FFFFFF"/>
        </w:rPr>
      </w:pPr>
      <w:r>
        <w:rPr>
          <w:rFonts w:hint="eastAsia"/>
          <w:color w:val="333333"/>
          <w:shd w:val="clear" w:color="auto" w:fill="FFFFFF"/>
        </w:rPr>
        <w:t>预算金额（元）：8,000,000.00</w:t>
      </w:r>
    </w:p>
    <w:p>
      <w:pPr>
        <w:pStyle w:val="38"/>
        <w:widowControl/>
        <w:spacing w:beforeAutospacing="0" w:afterAutospacing="0" w:line="360" w:lineRule="auto"/>
        <w:ind w:firstLine="480" w:firstLineChars="200"/>
        <w:jc w:val="both"/>
        <w:rPr>
          <w:color w:val="333333"/>
          <w:shd w:val="clear" w:color="auto" w:fill="FFFFFF"/>
        </w:rPr>
      </w:pPr>
      <w:r>
        <w:rPr>
          <w:rFonts w:hint="eastAsia"/>
          <w:color w:val="333333"/>
          <w:shd w:val="clear" w:color="auto" w:fill="FFFFFF"/>
        </w:rPr>
        <w:t>简要规格描述或项目基本概况介绍、用途：具体技术参数详见第五章采购需求</w:t>
      </w:r>
    </w:p>
    <w:p>
      <w:pPr>
        <w:pStyle w:val="38"/>
        <w:widowControl/>
        <w:spacing w:beforeAutospacing="0" w:afterAutospacing="0" w:line="360" w:lineRule="auto"/>
        <w:ind w:firstLine="480" w:firstLineChars="200"/>
        <w:jc w:val="both"/>
        <w:rPr>
          <w:color w:val="333333"/>
          <w:shd w:val="clear" w:color="auto" w:fill="FFFFFF"/>
        </w:rPr>
      </w:pPr>
      <w:r>
        <w:rPr>
          <w:rFonts w:hint="eastAsia"/>
          <w:color w:val="333333"/>
          <w:shd w:val="clear" w:color="auto" w:fill="FFFFFF"/>
        </w:rPr>
        <w:t>备注</w:t>
      </w:r>
      <w:r>
        <w:rPr>
          <w:rFonts w:hint="eastAsia"/>
          <w:shd w:val="clear" w:color="auto" w:fill="FFFFFF"/>
        </w:rPr>
        <w:t>：国产</w:t>
      </w:r>
    </w:p>
    <w:p>
      <w:pPr>
        <w:pStyle w:val="38"/>
        <w:widowControl/>
        <w:spacing w:beforeAutospacing="0" w:afterAutospacing="0" w:line="360" w:lineRule="auto"/>
        <w:ind w:firstLine="480" w:firstLineChars="200"/>
        <w:jc w:val="both"/>
        <w:rPr>
          <w:color w:val="333333"/>
          <w:shd w:val="clear" w:color="auto" w:fill="FFFFFF"/>
        </w:rPr>
      </w:pPr>
    </w:p>
    <w:p>
      <w:pPr>
        <w:pStyle w:val="38"/>
        <w:widowControl/>
        <w:adjustRightInd w:val="0"/>
        <w:snapToGrid w:val="0"/>
        <w:spacing w:beforeAutospacing="0" w:afterAutospacing="0" w:line="360" w:lineRule="auto"/>
        <w:ind w:firstLine="480" w:firstLineChars="200"/>
        <w:jc w:val="both"/>
        <w:rPr>
          <w:shd w:val="clear" w:color="auto" w:fill="FFFFFF"/>
        </w:rPr>
      </w:pPr>
      <w:r>
        <w:rPr>
          <w:rFonts w:hint="eastAsia"/>
          <w:shd w:val="clear" w:color="auto" w:fill="FFFFFF"/>
        </w:rPr>
        <w:t>交货期</w:t>
      </w:r>
      <w:r>
        <w:rPr>
          <w:shd w:val="clear" w:color="auto" w:fill="FFFFFF"/>
        </w:rPr>
        <w:t>：</w:t>
      </w:r>
      <w:r>
        <w:rPr>
          <w:rFonts w:hint="eastAsia"/>
          <w:shd w:val="clear" w:color="auto" w:fill="FFFFFF"/>
        </w:rPr>
        <w:t>标项 1、2自采购人发出采购通知之日起</w:t>
      </w:r>
      <w:r>
        <w:rPr>
          <w:rFonts w:hint="eastAsia"/>
          <w:color w:val="00B050"/>
          <w:shd w:val="clear" w:color="auto" w:fill="FFFFFF"/>
        </w:rPr>
        <w:t>3</w:t>
      </w:r>
      <w:r>
        <w:rPr>
          <w:color w:val="00B050"/>
          <w:shd w:val="clear" w:color="auto" w:fill="FFFFFF"/>
        </w:rPr>
        <w:t>0</w:t>
      </w:r>
      <w:r>
        <w:rPr>
          <w:rFonts w:hint="eastAsia"/>
          <w:shd w:val="clear" w:color="auto" w:fill="FFFFFF"/>
        </w:rPr>
        <w:t>个工作日内完成供货；</w:t>
      </w:r>
    </w:p>
    <w:p>
      <w:pPr>
        <w:pStyle w:val="38"/>
        <w:widowControl/>
        <w:adjustRightInd w:val="0"/>
        <w:snapToGrid w:val="0"/>
        <w:spacing w:beforeAutospacing="0" w:afterAutospacing="0" w:line="360" w:lineRule="auto"/>
        <w:ind w:firstLine="480" w:firstLineChars="200"/>
        <w:jc w:val="both"/>
        <w:rPr>
          <w:shd w:val="clear" w:color="auto" w:fill="FFFFFF"/>
        </w:rPr>
      </w:pPr>
      <w:r>
        <w:rPr>
          <w:shd w:val="clear" w:color="auto" w:fill="FFFFFF"/>
        </w:rPr>
        <w:t>交货地点：新疆维吾尔自治区人民医院，最终按甲方指定地点验收、交货</w:t>
      </w:r>
      <w:r>
        <w:rPr>
          <w:rFonts w:hint="eastAsia"/>
          <w:shd w:val="clear" w:color="auto" w:fill="FFFFFF"/>
        </w:rPr>
        <w:t>；</w:t>
      </w:r>
    </w:p>
    <w:p>
      <w:pPr>
        <w:pStyle w:val="38"/>
        <w:widowControl/>
        <w:adjustRightInd w:val="0"/>
        <w:snapToGrid w:val="0"/>
        <w:spacing w:beforeAutospacing="0" w:afterAutospacing="0" w:line="360" w:lineRule="auto"/>
        <w:ind w:firstLine="480" w:firstLineChars="200"/>
        <w:jc w:val="both"/>
        <w:rPr>
          <w:color w:val="333333"/>
          <w:shd w:val="clear" w:color="auto" w:fill="FFFFFF"/>
        </w:rPr>
      </w:pPr>
      <w:r>
        <w:rPr>
          <w:color w:val="333333"/>
          <w:shd w:val="clear" w:color="auto" w:fill="FFFFFF"/>
        </w:rPr>
        <w:t>是否接受进口产品投标：否</w:t>
      </w:r>
      <w:r>
        <w:rPr>
          <w:rFonts w:hint="eastAsia"/>
          <w:color w:val="333333"/>
          <w:shd w:val="clear" w:color="auto" w:fill="FFFFFF"/>
        </w:rPr>
        <w:t>；</w:t>
      </w:r>
    </w:p>
    <w:p>
      <w:pPr>
        <w:pStyle w:val="38"/>
        <w:widowControl/>
        <w:adjustRightInd w:val="0"/>
        <w:snapToGrid w:val="0"/>
        <w:spacing w:beforeAutospacing="0" w:afterAutospacing="0" w:line="360" w:lineRule="auto"/>
        <w:ind w:firstLine="482" w:firstLineChars="200"/>
        <w:rPr>
          <w:b/>
          <w:bCs/>
          <w:shd w:val="clear" w:color="auto" w:fill="FFFFFF"/>
        </w:rPr>
      </w:pPr>
      <w:r>
        <w:rPr>
          <w:rFonts w:hint="eastAsia"/>
          <w:b/>
          <w:bCs/>
          <w:shd w:val="clear" w:color="auto" w:fill="FFFFFF"/>
        </w:rPr>
        <w:t>是否专门面对中小企业采购：标项1，标项2专门面向中小企业采购。</w:t>
      </w:r>
    </w:p>
    <w:p>
      <w:pPr>
        <w:pStyle w:val="38"/>
        <w:widowControl/>
        <w:adjustRightInd w:val="0"/>
        <w:snapToGrid w:val="0"/>
        <w:spacing w:beforeAutospacing="0" w:afterAutospacing="0" w:line="360" w:lineRule="auto"/>
        <w:ind w:firstLine="480" w:firstLineChars="200"/>
        <w:rPr>
          <w:color w:val="333333"/>
          <w:shd w:val="clear" w:color="auto" w:fill="FFFFFF"/>
        </w:rPr>
      </w:pPr>
      <w:r>
        <w:rPr>
          <w:rFonts w:hint="eastAsia"/>
          <w:color w:val="333333"/>
          <w:shd w:val="clear" w:color="auto" w:fill="FFFFFF"/>
        </w:rPr>
        <w:t>其他：投标人必须对招标货物内所有货物进行投标，不允许只投标其中一部分，否则作为无效投标处理。</w:t>
      </w:r>
    </w:p>
    <w:p>
      <w:pPr>
        <w:pStyle w:val="38"/>
        <w:widowControl/>
        <w:spacing w:beforeAutospacing="0" w:afterAutospacing="0" w:line="360" w:lineRule="auto"/>
        <w:ind w:firstLine="480" w:firstLineChars="200"/>
        <w:jc w:val="both"/>
        <w:rPr>
          <w:shd w:val="clear" w:color="auto" w:fill="FFFFFF"/>
        </w:rPr>
      </w:pPr>
      <w:r>
        <w:rPr>
          <w:shd w:val="clear" w:color="auto" w:fill="FFFFFF"/>
        </w:rPr>
        <w:t>合同履行期限：</w:t>
      </w:r>
      <w:r>
        <w:rPr>
          <w:rFonts w:hint="eastAsia"/>
          <w:shd w:val="clear" w:color="auto" w:fill="FFFFFF"/>
        </w:rPr>
        <w:t>自合同签订之日起至合同项下货物及服务履行完毕止。</w:t>
      </w:r>
    </w:p>
    <w:p>
      <w:pPr>
        <w:pStyle w:val="38"/>
        <w:widowControl/>
        <w:spacing w:beforeAutospacing="0" w:afterAutospacing="0" w:line="360" w:lineRule="auto"/>
        <w:ind w:firstLine="480" w:firstLineChars="200"/>
        <w:jc w:val="both"/>
        <w:rPr>
          <w:shd w:val="clear" w:color="auto" w:fill="FFFFFF"/>
        </w:rPr>
      </w:pPr>
      <w:r>
        <w:rPr>
          <w:shd w:val="clear" w:color="auto" w:fill="FFFFFF"/>
        </w:rPr>
        <w:t>本项目（是/否）接受联合体投标：否</w:t>
      </w:r>
      <w:r>
        <w:rPr>
          <w:rFonts w:hint="eastAsia"/>
          <w:shd w:val="clear" w:color="auto" w:fill="FFFFFF"/>
        </w:rPr>
        <w:t>。</w:t>
      </w:r>
    </w:p>
    <w:p>
      <w:pPr>
        <w:pStyle w:val="38"/>
        <w:widowControl/>
        <w:spacing w:beforeAutospacing="0" w:afterAutospacing="0" w:line="360" w:lineRule="auto"/>
        <w:ind w:firstLine="480" w:firstLineChars="200"/>
        <w:jc w:val="both"/>
        <w:rPr>
          <w:shd w:val="clear" w:color="auto" w:fill="FFFFFF"/>
        </w:rPr>
      </w:pPr>
    </w:p>
    <w:p>
      <w:pPr>
        <w:pStyle w:val="4"/>
        <w:spacing w:before="0" w:after="0" w:line="360" w:lineRule="auto"/>
        <w:rPr>
          <w:rFonts w:ascii="Times New Roman" w:hAnsi="Times New Roman"/>
          <w:b w:val="0"/>
          <w:sz w:val="28"/>
          <w:szCs w:val="28"/>
        </w:rPr>
      </w:pPr>
      <w:bookmarkStart w:id="11" w:name="_Toc35393622"/>
      <w:bookmarkStart w:id="12" w:name="_Toc35393791"/>
      <w:bookmarkStart w:id="13" w:name="_Toc28359003"/>
      <w:bookmarkStart w:id="14" w:name="_Toc28359080"/>
      <w:bookmarkStart w:id="15" w:name="_Toc27681"/>
      <w:r>
        <w:rPr>
          <w:rFonts w:hint="eastAsia" w:ascii="Times New Roman" w:hAnsi="Times New Roman"/>
          <w:b w:val="0"/>
          <w:sz w:val="28"/>
          <w:szCs w:val="28"/>
        </w:rPr>
        <w:t>二、</w:t>
      </w:r>
      <w:r>
        <w:rPr>
          <w:rFonts w:ascii="Times New Roman" w:hAnsi="Times New Roman"/>
          <w:b w:val="0"/>
          <w:sz w:val="28"/>
          <w:szCs w:val="28"/>
        </w:rPr>
        <w:t>申请人的资格要求：</w:t>
      </w:r>
      <w:bookmarkEnd w:id="11"/>
      <w:bookmarkEnd w:id="12"/>
      <w:bookmarkEnd w:id="13"/>
      <w:bookmarkEnd w:id="14"/>
      <w:bookmarkEnd w:id="15"/>
    </w:p>
    <w:p>
      <w:pPr>
        <w:spacing w:line="360" w:lineRule="auto"/>
        <w:ind w:firstLine="480" w:firstLineChars="200"/>
        <w:rPr>
          <w:sz w:val="24"/>
        </w:rPr>
      </w:pPr>
      <w:r>
        <w:rPr>
          <w:sz w:val="24"/>
        </w:rPr>
        <w:t>1.满足《中华人民共和国政府采购法》第二十二条规定；</w:t>
      </w:r>
    </w:p>
    <w:p>
      <w:pPr>
        <w:pStyle w:val="38"/>
        <w:adjustRightInd w:val="0"/>
        <w:snapToGrid w:val="0"/>
        <w:spacing w:beforeAutospacing="0" w:afterAutospacing="0" w:line="360" w:lineRule="auto"/>
        <w:ind w:firstLine="480" w:firstLineChars="200"/>
        <w:jc w:val="both"/>
      </w:pPr>
      <w:r>
        <w:rPr>
          <w:color w:val="auto"/>
        </w:rPr>
        <w:t>2.落实政府采购政策需满足的资格要求：</w:t>
      </w:r>
      <w:r>
        <w:rPr>
          <w:rFonts w:hint="eastAsia"/>
          <w:b/>
          <w:bCs/>
          <w:color w:val="auto"/>
          <w:shd w:val="clear" w:color="auto" w:fill="FFFFFF"/>
        </w:rPr>
        <w:t>标项1，</w:t>
      </w:r>
      <w:r>
        <w:rPr>
          <w:rFonts w:hint="eastAsia"/>
          <w:b/>
          <w:bCs/>
          <w:shd w:val="clear" w:color="auto" w:fill="FFFFFF"/>
        </w:rPr>
        <w:t>标项2</w:t>
      </w:r>
      <w:r>
        <w:rPr>
          <w:rFonts w:hint="eastAsia"/>
          <w:b/>
          <w:bCs/>
          <w:color w:val="333333"/>
          <w:shd w:val="clear" w:color="auto" w:fill="FFFFFF"/>
        </w:rPr>
        <w:t>专门面向中小企业采购，投标人所投产品的生产厂家应均为中小微企业或监狱企业或残疾人福利性单位</w:t>
      </w:r>
      <w:r>
        <w:rPr>
          <w:rFonts w:hint="eastAsia"/>
        </w:rPr>
        <w:t>。落实节能环保、中小微型企业、监狱企业、残疾人福利性单位性扶持等相关政府采购政策（</w:t>
      </w:r>
      <w:r>
        <w:rPr>
          <w:rFonts w:hint="eastAsia"/>
          <w:shd w:val="clear" w:color="auto" w:fill="FFFFFF"/>
        </w:rPr>
        <w:t>监狱企业、残疾人福利性单位视同小微企业；监狱企业、残疾人福利性单位属于小型、微型企业的，不重复享受政策）</w:t>
      </w:r>
      <w:r>
        <w:rPr>
          <w:shd w:val="clear" w:color="auto" w:fill="FFFFFF"/>
        </w:rPr>
        <w:t>。</w:t>
      </w:r>
    </w:p>
    <w:p>
      <w:pPr>
        <w:spacing w:line="360" w:lineRule="auto"/>
        <w:ind w:firstLine="480" w:firstLineChars="200"/>
        <w:rPr>
          <w:sz w:val="24"/>
        </w:rPr>
      </w:pPr>
      <w:r>
        <w:rPr>
          <w:sz w:val="24"/>
        </w:rPr>
        <w:t>3.本项目的特定资格要求：</w:t>
      </w:r>
    </w:p>
    <w:p>
      <w:pPr>
        <w:pStyle w:val="25"/>
        <w:spacing w:line="360" w:lineRule="auto"/>
        <w:rPr>
          <w:rFonts w:ascii="Times New Roman" w:hAnsi="Times New Roman" w:cs="Times New Roman"/>
          <w:sz w:val="24"/>
          <w:szCs w:val="24"/>
        </w:rPr>
      </w:pPr>
      <w:r>
        <w:rPr>
          <w:rFonts w:hint="eastAsia" w:ascii="Times New Roman" w:hAnsi="Times New Roman" w:cs="Times New Roman"/>
          <w:sz w:val="24"/>
          <w:szCs w:val="24"/>
        </w:rPr>
        <w:t>（1）</w:t>
      </w:r>
      <w:r>
        <w:rPr>
          <w:rFonts w:hint="eastAsia" w:ascii="Times New Roman" w:hAnsi="Times New Roman" w:cs="Times New Roman"/>
          <w:b/>
          <w:bCs/>
          <w:sz w:val="24"/>
          <w:szCs w:val="24"/>
        </w:rPr>
        <w:t>本项目标项1、2专门面向中小企业采购，投标人所投产品的生产厂家应均为中小微企业或监狱企业或残疾人福利性单位。</w:t>
      </w:r>
      <w:r>
        <w:rPr>
          <w:rFonts w:hint="eastAsia" w:ascii="Times New Roman" w:hAnsi="Times New Roman" w:cs="Times New Roman"/>
          <w:sz w:val="24"/>
          <w:szCs w:val="24"/>
        </w:rPr>
        <w:t>监狱企业、残疾人福利性单位视同小微企业；监狱企业、残疾人福利性单位属于小型、微型企业的，不重复享受政策）</w:t>
      </w:r>
      <w:r>
        <w:rPr>
          <w:rFonts w:ascii="Times New Roman" w:hAnsi="Times New Roman" w:cs="Times New Roman"/>
          <w:sz w:val="24"/>
          <w:szCs w:val="24"/>
        </w:rPr>
        <w:t>。</w:t>
      </w:r>
    </w:p>
    <w:p>
      <w:pPr>
        <w:pStyle w:val="25"/>
        <w:spacing w:line="360" w:lineRule="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w:t>
      </w:r>
      <w:r>
        <w:rPr>
          <w:rFonts w:ascii="Times New Roman" w:hAnsi="Times New Roman" w:cs="Times New Roman"/>
          <w:sz w:val="24"/>
          <w:szCs w:val="24"/>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pPr>
        <w:pStyle w:val="25"/>
        <w:spacing w:line="360" w:lineRule="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3</w:t>
      </w:r>
      <w:r>
        <w:rPr>
          <w:rFonts w:hint="eastAsia" w:ascii="Times New Roman" w:hAnsi="Times New Roman" w:cs="Times New Roman"/>
          <w:sz w:val="24"/>
          <w:szCs w:val="24"/>
        </w:rPr>
        <w:t>）提供所投产品医疗器械注册证或备案证明。</w:t>
      </w:r>
    </w:p>
    <w:p>
      <w:pPr>
        <w:pStyle w:val="25"/>
        <w:spacing w:line="360" w:lineRule="auto"/>
        <w:rPr>
          <w:rFonts w:ascii="Times New Roman" w:hAnsi="Times New Roman" w:cs="Times New Roman"/>
          <w:sz w:val="24"/>
          <w:szCs w:val="24"/>
        </w:rPr>
      </w:pPr>
      <w:r>
        <w:rPr>
          <w:rFonts w:ascii="Times New Roman" w:hAnsi="Times New Roman" w:cs="Times New Roman"/>
          <w:sz w:val="24"/>
          <w:szCs w:val="24"/>
        </w:rPr>
        <w:t>（4）未被“信用中国”网站（www.creditchina.gov.cn）及“中国执行信息公开网”（http://zxgk.court.gov.cn/）中列入失信被执行人和/或重大税收违法案件当事人名单的供应商、未被中国政府采购网（www.ccgp.gov.cn）列入政府采购严重违法失信行为记录名单中被财政部门禁止参加政府采购活动的供应商（处罚决定规定的时间和地域范围内）</w:t>
      </w:r>
      <w:r>
        <w:rPr>
          <w:rFonts w:hint="eastAsia" w:ascii="Times New Roman" w:hAnsi="Times New Roman" w:cs="Times New Roman"/>
          <w:sz w:val="24"/>
          <w:szCs w:val="24"/>
        </w:rPr>
        <w:t>。</w:t>
      </w:r>
    </w:p>
    <w:p>
      <w:pPr>
        <w:pStyle w:val="25"/>
        <w:spacing w:line="360" w:lineRule="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5</w:t>
      </w:r>
      <w:r>
        <w:rPr>
          <w:rFonts w:hint="eastAsia" w:ascii="Times New Roman" w:hAnsi="Times New Roman" w:cs="Times New Roman"/>
          <w:sz w:val="24"/>
          <w:szCs w:val="24"/>
        </w:rPr>
        <w:t>）</w:t>
      </w:r>
      <w:r>
        <w:rPr>
          <w:rFonts w:ascii="Times New Roman" w:hAnsi="Times New Roman" w:cs="Times New Roman"/>
          <w:sz w:val="24"/>
          <w:szCs w:val="24"/>
        </w:rPr>
        <w:t>单位负责人为同一人或者存在</w:t>
      </w:r>
      <w:r>
        <w:rPr>
          <w:rFonts w:hint="eastAsia" w:ascii="Times New Roman" w:hAnsi="Times New Roman" w:cs="Times New Roman"/>
          <w:sz w:val="24"/>
          <w:szCs w:val="24"/>
        </w:rPr>
        <w:t>直接</w:t>
      </w:r>
      <w:r>
        <w:rPr>
          <w:rFonts w:ascii="Times New Roman" w:hAnsi="Times New Roman" w:cs="Times New Roman"/>
          <w:sz w:val="24"/>
          <w:szCs w:val="24"/>
        </w:rPr>
        <w:t>控股、管理关系的不同单位，不得同时参加本项目的投标。为本项目提供整体设计、规范编制或者项目管理、监理、检测等服务的投标人，不得再参加本项目投标。</w:t>
      </w:r>
    </w:p>
    <w:p>
      <w:pPr>
        <w:pStyle w:val="25"/>
        <w:spacing w:line="360" w:lineRule="auto"/>
        <w:ind w:left="420" w:firstLine="0"/>
        <w:rPr>
          <w:rFonts w:ascii="Times New Roman" w:hAnsi="Times New Roman" w:cs="Times New Roman"/>
          <w:sz w:val="24"/>
          <w:szCs w:val="24"/>
        </w:rPr>
      </w:pPr>
    </w:p>
    <w:p>
      <w:pPr>
        <w:pStyle w:val="4"/>
        <w:spacing w:before="0" w:after="0" w:line="360" w:lineRule="auto"/>
        <w:rPr>
          <w:rFonts w:ascii="Times New Roman" w:hAnsi="Times New Roman"/>
          <w:b w:val="0"/>
          <w:sz w:val="28"/>
          <w:szCs w:val="28"/>
        </w:rPr>
      </w:pPr>
      <w:bookmarkStart w:id="16" w:name="_Toc35393623"/>
      <w:bookmarkStart w:id="17" w:name="_Toc28359081"/>
      <w:bookmarkStart w:id="18" w:name="_Toc24875"/>
      <w:bookmarkStart w:id="19" w:name="_Toc28359004"/>
      <w:bookmarkStart w:id="20" w:name="_Toc7091"/>
      <w:bookmarkStart w:id="21" w:name="_Toc35393792"/>
      <w:r>
        <w:rPr>
          <w:rFonts w:hint="eastAsia" w:ascii="Times New Roman" w:hAnsi="Times New Roman"/>
          <w:b w:val="0"/>
          <w:sz w:val="28"/>
          <w:szCs w:val="28"/>
        </w:rPr>
        <w:t>三、</w:t>
      </w:r>
      <w:r>
        <w:rPr>
          <w:rFonts w:ascii="Times New Roman" w:hAnsi="Times New Roman"/>
          <w:b w:val="0"/>
          <w:sz w:val="28"/>
          <w:szCs w:val="28"/>
        </w:rPr>
        <w:t>获取招标文件</w:t>
      </w:r>
      <w:bookmarkEnd w:id="16"/>
      <w:bookmarkEnd w:id="17"/>
      <w:bookmarkEnd w:id="18"/>
      <w:bookmarkEnd w:id="19"/>
      <w:bookmarkEnd w:id="20"/>
      <w:bookmarkEnd w:id="21"/>
    </w:p>
    <w:p>
      <w:pPr>
        <w:spacing w:line="360" w:lineRule="auto"/>
        <w:ind w:firstLine="540"/>
        <w:rPr>
          <w:sz w:val="24"/>
        </w:rPr>
      </w:pPr>
      <w:r>
        <w:rPr>
          <w:sz w:val="24"/>
        </w:rPr>
        <w:t>时间：</w:t>
      </w:r>
      <w:r>
        <w:rPr>
          <w:sz w:val="24"/>
          <w:u w:val="single"/>
        </w:rPr>
        <w:t xml:space="preserve"> 2022</w:t>
      </w:r>
      <w:r>
        <w:rPr>
          <w:color w:val="auto"/>
          <w:sz w:val="24"/>
          <w:u w:val="single"/>
        </w:rPr>
        <w:t>年</w:t>
      </w:r>
      <w:r>
        <w:rPr>
          <w:rFonts w:hint="eastAsia"/>
          <w:color w:val="auto"/>
          <w:sz w:val="24"/>
          <w:u w:val="single"/>
        </w:rPr>
        <w:t>12</w:t>
      </w:r>
      <w:r>
        <w:rPr>
          <w:color w:val="auto"/>
          <w:sz w:val="24"/>
          <w:u w:val="single"/>
        </w:rPr>
        <w:t>月</w:t>
      </w:r>
      <w:r>
        <w:rPr>
          <w:rFonts w:hint="eastAsia"/>
          <w:color w:val="auto"/>
          <w:sz w:val="24"/>
          <w:u w:val="single"/>
          <w:lang w:val="en-US" w:eastAsia="zh-CN"/>
        </w:rPr>
        <w:t>22</w:t>
      </w:r>
      <w:r>
        <w:rPr>
          <w:color w:val="auto"/>
          <w:sz w:val="24"/>
          <w:u w:val="single"/>
        </w:rPr>
        <w:t>日</w:t>
      </w:r>
      <w:r>
        <w:rPr>
          <w:color w:val="auto"/>
          <w:sz w:val="24"/>
        </w:rPr>
        <w:t>至</w:t>
      </w:r>
      <w:r>
        <w:rPr>
          <w:color w:val="auto"/>
          <w:sz w:val="24"/>
          <w:u w:val="single"/>
        </w:rPr>
        <w:t xml:space="preserve"> 2022年</w:t>
      </w:r>
      <w:r>
        <w:rPr>
          <w:rFonts w:hint="eastAsia"/>
          <w:color w:val="auto"/>
          <w:sz w:val="24"/>
          <w:u w:val="single"/>
        </w:rPr>
        <w:t>12</w:t>
      </w:r>
      <w:r>
        <w:rPr>
          <w:color w:val="auto"/>
          <w:sz w:val="24"/>
          <w:u w:val="single"/>
        </w:rPr>
        <w:t>月</w:t>
      </w:r>
      <w:r>
        <w:rPr>
          <w:rFonts w:hint="eastAsia"/>
          <w:color w:val="auto"/>
          <w:sz w:val="24"/>
          <w:u w:val="single"/>
          <w:lang w:val="en-US" w:eastAsia="zh-CN"/>
        </w:rPr>
        <w:t>29</w:t>
      </w:r>
      <w:r>
        <w:rPr>
          <w:color w:val="auto"/>
          <w:sz w:val="24"/>
          <w:u w:val="single"/>
        </w:rPr>
        <w:t>日</w:t>
      </w:r>
      <w:r>
        <w:rPr>
          <w:color w:val="auto"/>
          <w:sz w:val="24"/>
        </w:rPr>
        <w:t>，每</w:t>
      </w:r>
      <w:r>
        <w:rPr>
          <w:sz w:val="24"/>
        </w:rPr>
        <w:t>天上午</w:t>
      </w:r>
      <w:r>
        <w:rPr>
          <w:sz w:val="24"/>
          <w:u w:val="single"/>
        </w:rPr>
        <w:t>10：00</w:t>
      </w:r>
      <w:r>
        <w:rPr>
          <w:sz w:val="24"/>
        </w:rPr>
        <w:t>至</w:t>
      </w:r>
      <w:r>
        <w:rPr>
          <w:sz w:val="24"/>
          <w:u w:val="single"/>
        </w:rPr>
        <w:t>13：00</w:t>
      </w:r>
      <w:r>
        <w:rPr>
          <w:sz w:val="24"/>
        </w:rPr>
        <w:t>，下午</w:t>
      </w:r>
      <w:r>
        <w:rPr>
          <w:sz w:val="24"/>
          <w:u w:val="single"/>
        </w:rPr>
        <w:t>14：00</w:t>
      </w:r>
      <w:r>
        <w:rPr>
          <w:sz w:val="24"/>
        </w:rPr>
        <w:t>至</w:t>
      </w:r>
      <w:r>
        <w:rPr>
          <w:sz w:val="24"/>
          <w:u w:val="single"/>
        </w:rPr>
        <w:t>18：00</w:t>
      </w:r>
      <w:r>
        <w:rPr>
          <w:sz w:val="24"/>
        </w:rPr>
        <w:t>（北京时间，法定节假日除外）</w:t>
      </w:r>
    </w:p>
    <w:p>
      <w:pPr>
        <w:spacing w:line="360" w:lineRule="auto"/>
        <w:ind w:firstLine="540"/>
        <w:rPr>
          <w:sz w:val="24"/>
          <w:u w:val="single"/>
        </w:rPr>
      </w:pPr>
      <w:r>
        <w:rPr>
          <w:sz w:val="24"/>
        </w:rPr>
        <w:t>地点：国信招标集团股份有限公司新疆分公司（新疆乌鲁木齐市天山区人民路2号乌鲁木齐大厦9层A座开标室</w:t>
      </w:r>
      <w:r>
        <w:rPr>
          <w:rFonts w:hint="eastAsia"/>
          <w:sz w:val="24"/>
        </w:rPr>
        <w:t>）</w:t>
      </w:r>
      <w:r>
        <w:rPr>
          <w:sz w:val="24"/>
        </w:rPr>
        <w:t>。</w:t>
      </w:r>
    </w:p>
    <w:p>
      <w:pPr>
        <w:spacing w:line="360" w:lineRule="auto"/>
        <w:ind w:firstLine="540"/>
        <w:rPr>
          <w:sz w:val="24"/>
        </w:rPr>
      </w:pPr>
      <w:r>
        <w:rPr>
          <w:sz w:val="24"/>
        </w:rPr>
        <w:t>方式：线上获取。供应商登录政采云平台https://www.zcygov.cn/在线申请获取招标文件（进入“项目采购”应用，在获取招标文件菜单中选择项目，申请获取招标文件）</w:t>
      </w:r>
      <w:r>
        <w:rPr>
          <w:rFonts w:hint="eastAsia"/>
          <w:sz w:val="24"/>
        </w:rPr>
        <w:t>。</w:t>
      </w:r>
    </w:p>
    <w:p>
      <w:pPr>
        <w:spacing w:line="360" w:lineRule="auto"/>
        <w:ind w:firstLine="540"/>
        <w:rPr>
          <w:sz w:val="24"/>
        </w:rPr>
      </w:pPr>
      <w:r>
        <w:rPr>
          <w:sz w:val="24"/>
        </w:rPr>
        <w:t>售价：人民币0元。</w:t>
      </w:r>
    </w:p>
    <w:p/>
    <w:p>
      <w:pPr>
        <w:pStyle w:val="4"/>
        <w:spacing w:before="0" w:after="0" w:line="360" w:lineRule="auto"/>
        <w:rPr>
          <w:rFonts w:ascii="Times New Roman" w:hAnsi="Times New Roman"/>
          <w:b w:val="0"/>
          <w:sz w:val="28"/>
          <w:szCs w:val="28"/>
        </w:rPr>
      </w:pPr>
      <w:bookmarkStart w:id="22" w:name="_Toc28359005"/>
      <w:bookmarkStart w:id="23" w:name="_Toc28359082"/>
      <w:bookmarkStart w:id="24" w:name="_Toc20365"/>
      <w:bookmarkStart w:id="25" w:name="_Toc35393624"/>
      <w:bookmarkStart w:id="26" w:name="_Toc31684"/>
      <w:bookmarkStart w:id="27" w:name="_Toc35393793"/>
      <w:r>
        <w:rPr>
          <w:rFonts w:ascii="Times New Roman" w:hAnsi="Times New Roman"/>
          <w:b w:val="0"/>
          <w:sz w:val="28"/>
          <w:szCs w:val="28"/>
        </w:rPr>
        <w:t>四、提交投标文件</w:t>
      </w:r>
      <w:bookmarkEnd w:id="22"/>
      <w:bookmarkEnd w:id="23"/>
      <w:r>
        <w:rPr>
          <w:rFonts w:ascii="Times New Roman" w:hAnsi="Times New Roman"/>
          <w:b w:val="0"/>
          <w:sz w:val="28"/>
          <w:szCs w:val="28"/>
        </w:rPr>
        <w:t>截止时间、开标时间和地点</w:t>
      </w:r>
      <w:bookmarkEnd w:id="24"/>
      <w:bookmarkEnd w:id="25"/>
      <w:bookmarkEnd w:id="26"/>
      <w:bookmarkEnd w:id="27"/>
    </w:p>
    <w:p>
      <w:pPr>
        <w:spacing w:line="360" w:lineRule="auto"/>
        <w:ind w:firstLine="480" w:firstLineChars="200"/>
        <w:rPr>
          <w:bCs/>
          <w:sz w:val="24"/>
          <w:u w:val="single"/>
        </w:rPr>
      </w:pPr>
      <w:r>
        <w:rPr>
          <w:rFonts w:hint="eastAsia"/>
          <w:bCs/>
          <w:sz w:val="24"/>
        </w:rPr>
        <w:t>截止时间：</w:t>
      </w:r>
      <w:r>
        <w:rPr>
          <w:bCs/>
          <w:sz w:val="24"/>
          <w:u w:val="single"/>
        </w:rPr>
        <w:t>2</w:t>
      </w:r>
      <w:r>
        <w:rPr>
          <w:bCs/>
          <w:color w:val="auto"/>
          <w:sz w:val="24"/>
          <w:u w:val="single"/>
        </w:rPr>
        <w:t>02</w:t>
      </w:r>
      <w:r>
        <w:rPr>
          <w:rFonts w:hint="eastAsia"/>
          <w:bCs/>
          <w:color w:val="auto"/>
          <w:sz w:val="24"/>
          <w:u w:val="single"/>
        </w:rPr>
        <w:t>3</w:t>
      </w:r>
      <w:r>
        <w:rPr>
          <w:bCs/>
          <w:color w:val="auto"/>
          <w:sz w:val="24"/>
          <w:u w:val="single"/>
        </w:rPr>
        <w:t>年</w:t>
      </w:r>
      <w:r>
        <w:rPr>
          <w:rFonts w:hint="eastAsia"/>
          <w:bCs/>
          <w:color w:val="auto"/>
          <w:sz w:val="24"/>
          <w:u w:val="single"/>
        </w:rPr>
        <w:t>01</w:t>
      </w:r>
      <w:r>
        <w:rPr>
          <w:bCs/>
          <w:color w:val="auto"/>
          <w:sz w:val="24"/>
          <w:u w:val="single"/>
        </w:rPr>
        <w:t>月</w:t>
      </w:r>
      <w:r>
        <w:rPr>
          <w:rFonts w:hint="eastAsia"/>
          <w:bCs/>
          <w:color w:val="auto"/>
          <w:sz w:val="24"/>
          <w:u w:val="single"/>
          <w:lang w:val="en-US" w:eastAsia="zh-CN"/>
        </w:rPr>
        <w:t>13</w:t>
      </w:r>
      <w:r>
        <w:rPr>
          <w:bCs/>
          <w:color w:val="auto"/>
          <w:sz w:val="24"/>
          <w:u w:val="single"/>
        </w:rPr>
        <w:t>日 11 点</w:t>
      </w:r>
      <w:r>
        <w:rPr>
          <w:bCs/>
          <w:sz w:val="24"/>
          <w:u w:val="single"/>
        </w:rPr>
        <w:t>00分</w:t>
      </w:r>
      <w:r>
        <w:rPr>
          <w:bCs/>
          <w:sz w:val="24"/>
        </w:rPr>
        <w:t>（北京时间）</w:t>
      </w:r>
    </w:p>
    <w:p>
      <w:pPr>
        <w:spacing w:line="360" w:lineRule="auto"/>
        <w:ind w:firstLine="480" w:firstLineChars="200"/>
        <w:rPr>
          <w:bCs/>
          <w:sz w:val="24"/>
          <w:u w:val="single"/>
        </w:rPr>
      </w:pPr>
      <w:r>
        <w:rPr>
          <w:sz w:val="24"/>
        </w:rPr>
        <w:t>地点：国信招标集团股份有限公司新疆分公司（新疆乌鲁木齐市天山区人民路2号乌鲁木齐大厦9层</w:t>
      </w:r>
      <w:r>
        <w:rPr>
          <w:rFonts w:hint="eastAsia"/>
          <w:sz w:val="24"/>
        </w:rPr>
        <w:t>A座</w:t>
      </w:r>
      <w:r>
        <w:rPr>
          <w:sz w:val="24"/>
        </w:rPr>
        <w:t>开标室）。</w:t>
      </w:r>
    </w:p>
    <w:p>
      <w:pPr>
        <w:pStyle w:val="4"/>
        <w:spacing w:before="0" w:after="0" w:line="360" w:lineRule="auto"/>
        <w:rPr>
          <w:rFonts w:ascii="Times New Roman" w:hAnsi="Times New Roman"/>
          <w:b w:val="0"/>
          <w:sz w:val="28"/>
          <w:szCs w:val="28"/>
        </w:rPr>
      </w:pPr>
      <w:bookmarkStart w:id="28" w:name="_Toc28359084"/>
      <w:bookmarkStart w:id="29" w:name="_Toc4615"/>
      <w:bookmarkStart w:id="30" w:name="_Toc35393625"/>
      <w:bookmarkStart w:id="31" w:name="_Toc35393794"/>
      <w:bookmarkStart w:id="32" w:name="_Toc13146"/>
      <w:bookmarkStart w:id="33" w:name="_Toc28359007"/>
      <w:r>
        <w:rPr>
          <w:rFonts w:ascii="Times New Roman" w:hAnsi="Times New Roman"/>
          <w:b w:val="0"/>
          <w:sz w:val="28"/>
          <w:szCs w:val="28"/>
        </w:rPr>
        <w:t>五、公告期限</w:t>
      </w:r>
      <w:bookmarkEnd w:id="28"/>
      <w:bookmarkEnd w:id="29"/>
      <w:bookmarkEnd w:id="30"/>
      <w:bookmarkEnd w:id="31"/>
      <w:bookmarkEnd w:id="32"/>
      <w:bookmarkEnd w:id="33"/>
    </w:p>
    <w:p>
      <w:pPr>
        <w:spacing w:line="360" w:lineRule="auto"/>
        <w:ind w:firstLine="480" w:firstLineChars="200"/>
        <w:rPr>
          <w:kern w:val="0"/>
          <w:sz w:val="24"/>
        </w:rPr>
      </w:pPr>
      <w:r>
        <w:rPr>
          <w:kern w:val="0"/>
          <w:sz w:val="24"/>
        </w:rPr>
        <w:t>自本公告发布之日起5个工作日。</w:t>
      </w:r>
    </w:p>
    <w:p/>
    <w:p>
      <w:pPr>
        <w:pStyle w:val="4"/>
        <w:spacing w:before="0" w:after="0" w:line="360" w:lineRule="auto"/>
        <w:rPr>
          <w:rFonts w:ascii="Times New Roman" w:hAnsi="Times New Roman"/>
          <w:b w:val="0"/>
          <w:sz w:val="28"/>
          <w:szCs w:val="28"/>
        </w:rPr>
      </w:pPr>
      <w:bookmarkStart w:id="34" w:name="_Toc19078"/>
      <w:bookmarkStart w:id="35" w:name="_Toc35393795"/>
      <w:bookmarkStart w:id="36" w:name="_Toc29899"/>
      <w:bookmarkStart w:id="37" w:name="_Toc35393626"/>
      <w:r>
        <w:rPr>
          <w:rFonts w:ascii="Times New Roman" w:hAnsi="Times New Roman"/>
          <w:b w:val="0"/>
          <w:sz w:val="28"/>
          <w:szCs w:val="28"/>
        </w:rPr>
        <w:t>六、其他补充事宜</w:t>
      </w:r>
      <w:bookmarkEnd w:id="34"/>
      <w:bookmarkEnd w:id="35"/>
      <w:bookmarkEnd w:id="36"/>
      <w:bookmarkEnd w:id="37"/>
    </w:p>
    <w:p>
      <w:pPr>
        <w:pStyle w:val="38"/>
        <w:widowControl/>
        <w:spacing w:beforeAutospacing="0" w:afterAutospacing="0" w:line="360" w:lineRule="auto"/>
        <w:ind w:firstLine="480" w:firstLineChars="200"/>
        <w:jc w:val="both"/>
      </w:pPr>
      <w:r>
        <w:t>1.采购项目执行政府采购政策</w:t>
      </w:r>
    </w:p>
    <w:p>
      <w:pPr>
        <w:pStyle w:val="38"/>
        <w:widowControl/>
        <w:spacing w:beforeAutospacing="0" w:afterAutospacing="0" w:line="360" w:lineRule="auto"/>
        <w:ind w:firstLine="540"/>
        <w:jc w:val="both"/>
      </w:pPr>
      <w:r>
        <w:t>（1）对</w:t>
      </w:r>
      <w:r>
        <w:rPr>
          <w:rFonts w:hint="eastAsia"/>
        </w:rPr>
        <w:t>中</w:t>
      </w:r>
      <w:r>
        <w:t>小</w:t>
      </w:r>
      <w:r>
        <w:rPr>
          <w:rFonts w:hint="eastAsia"/>
        </w:rPr>
        <w:t>微</w:t>
      </w:r>
      <w:r>
        <w:t>企业的报价给予价格扣除（监狱企业、残疾人福利性单位视同</w:t>
      </w:r>
      <w:r>
        <w:rPr>
          <w:color w:val="auto"/>
        </w:rPr>
        <w:t>小微企业；监狱企业、残疾人福利性单位属于小型、微型企业的，不重复享受政策）</w:t>
      </w:r>
      <w:r>
        <w:rPr>
          <w:rFonts w:hint="eastAsia"/>
          <w:b/>
          <w:bCs/>
          <w:color w:val="auto"/>
        </w:rPr>
        <w:t>（本项目专门面向中小企业采购项目，不再进行价格扣除）</w:t>
      </w:r>
      <w:r>
        <w:rPr>
          <w:b/>
          <w:bCs/>
          <w:color w:val="auto"/>
        </w:rPr>
        <w:t>。</w:t>
      </w:r>
    </w:p>
    <w:p>
      <w:pPr>
        <w:pStyle w:val="38"/>
        <w:widowControl/>
        <w:spacing w:beforeAutospacing="0" w:afterAutospacing="0" w:line="360" w:lineRule="auto"/>
        <w:ind w:firstLine="540"/>
        <w:jc w:val="both"/>
      </w:pPr>
      <w:r>
        <w:t>（2）优先采购节能环保产品（注：所采购的货物在政府采购节能产品、环境标志产品实施品目清单范围内，且具有国家确定的认证机构出具的、处于有效期之内的节能产品、环境标志产品认证证书）。</w:t>
      </w:r>
    </w:p>
    <w:p>
      <w:pPr>
        <w:pStyle w:val="38"/>
        <w:widowControl/>
        <w:spacing w:beforeAutospacing="0" w:afterAutospacing="0" w:line="360" w:lineRule="auto"/>
        <w:ind w:firstLine="540"/>
        <w:jc w:val="both"/>
        <w:rPr>
          <w:b/>
          <w:bCs/>
        </w:rPr>
      </w:pPr>
      <w:r>
        <w:rPr>
          <w:b/>
          <w:bCs/>
        </w:rPr>
        <w:t>2</w:t>
      </w:r>
      <w:r>
        <w:rPr>
          <w:rFonts w:hint="eastAsia"/>
          <w:b/>
          <w:bCs/>
        </w:rPr>
        <w:t>.同一投标人同时在多个标项投标可以同时中标。</w:t>
      </w:r>
    </w:p>
    <w:p>
      <w:pPr>
        <w:pStyle w:val="38"/>
        <w:widowControl/>
        <w:spacing w:beforeAutospacing="0" w:afterAutospacing="0" w:line="360" w:lineRule="auto"/>
        <w:ind w:firstLine="540"/>
        <w:jc w:val="both"/>
      </w:pPr>
      <w:r>
        <w:t>3.请投标人在汇款时务必注明所投标项目的项目编号及款项用途，否则，因款项用途不明导致投标无效等后果由投标人自行承担。</w:t>
      </w:r>
    </w:p>
    <w:p>
      <w:pPr>
        <w:pStyle w:val="4"/>
        <w:spacing w:before="0" w:after="0" w:line="360" w:lineRule="auto"/>
        <w:rPr>
          <w:rFonts w:ascii="Times New Roman" w:hAnsi="Times New Roman"/>
          <w:b w:val="0"/>
          <w:sz w:val="28"/>
          <w:szCs w:val="28"/>
        </w:rPr>
      </w:pPr>
      <w:bookmarkStart w:id="38" w:name="_Toc28359008"/>
      <w:bookmarkStart w:id="39" w:name="_Toc15584"/>
      <w:bookmarkStart w:id="40" w:name="_Toc35393796"/>
      <w:bookmarkStart w:id="41" w:name="_Toc28359085"/>
      <w:bookmarkStart w:id="42" w:name="_Toc35393627"/>
      <w:bookmarkStart w:id="43" w:name="_Toc4898"/>
      <w:r>
        <w:rPr>
          <w:rFonts w:ascii="Times New Roman" w:hAnsi="Times New Roman"/>
          <w:b w:val="0"/>
          <w:sz w:val="28"/>
          <w:szCs w:val="28"/>
        </w:rPr>
        <w:t>七、对本次招标提出询问，请按以下方式联系。</w:t>
      </w:r>
      <w:bookmarkEnd w:id="38"/>
      <w:bookmarkEnd w:id="39"/>
      <w:bookmarkEnd w:id="40"/>
      <w:bookmarkEnd w:id="41"/>
      <w:bookmarkEnd w:id="42"/>
      <w:bookmarkEnd w:id="43"/>
    </w:p>
    <w:p>
      <w:pPr>
        <w:widowControl/>
        <w:adjustRightInd w:val="0"/>
        <w:snapToGrid w:val="0"/>
        <w:spacing w:line="360" w:lineRule="auto"/>
        <w:ind w:firstLine="482" w:firstLineChars="200"/>
        <w:rPr>
          <w:rFonts w:ascii="Arial" w:hAnsi="Arial" w:cs="Arial"/>
          <w:b/>
          <w:bCs/>
          <w:snapToGrid w:val="0"/>
          <w:kern w:val="0"/>
          <w:sz w:val="24"/>
          <w:shd w:val="clear" w:color="auto" w:fill="FFFFFF"/>
        </w:rPr>
      </w:pPr>
      <w:r>
        <w:rPr>
          <w:rFonts w:ascii="Arial" w:hAnsi="Arial" w:cs="Arial"/>
          <w:b/>
          <w:bCs/>
          <w:snapToGrid w:val="0"/>
          <w:kern w:val="0"/>
          <w:sz w:val="24"/>
          <w:shd w:val="clear" w:color="auto" w:fill="FFFFFF"/>
        </w:rPr>
        <w:t>1、采购人信息</w:t>
      </w:r>
    </w:p>
    <w:p>
      <w:pPr>
        <w:widowControl/>
        <w:adjustRightInd w:val="0"/>
        <w:snapToGrid w:val="0"/>
        <w:spacing w:line="360" w:lineRule="auto"/>
        <w:ind w:firstLine="424" w:firstLineChars="177"/>
        <w:rPr>
          <w:rFonts w:ascii="Arial" w:hAnsi="Arial" w:cs="Arial"/>
          <w:snapToGrid w:val="0"/>
          <w:kern w:val="0"/>
          <w:sz w:val="24"/>
          <w:shd w:val="clear" w:color="auto" w:fill="FFFFFF"/>
        </w:rPr>
      </w:pPr>
      <w:r>
        <w:rPr>
          <w:rFonts w:ascii="Arial" w:hAnsi="Arial" w:cs="Arial"/>
          <w:snapToGrid w:val="0"/>
          <w:kern w:val="0"/>
          <w:sz w:val="24"/>
          <w:shd w:val="clear" w:color="auto" w:fill="FFFFFF"/>
        </w:rPr>
        <w:t>名    称：新疆维吾尔自治区人民医院</w:t>
      </w:r>
    </w:p>
    <w:p>
      <w:pPr>
        <w:widowControl/>
        <w:adjustRightInd w:val="0"/>
        <w:snapToGrid w:val="0"/>
        <w:spacing w:line="360" w:lineRule="auto"/>
        <w:ind w:firstLine="424" w:firstLineChars="177"/>
        <w:rPr>
          <w:rFonts w:ascii="Arial" w:hAnsi="Arial" w:cs="Arial"/>
          <w:snapToGrid w:val="0"/>
          <w:kern w:val="0"/>
          <w:sz w:val="24"/>
          <w:shd w:val="clear" w:color="auto" w:fill="FFFFFF"/>
        </w:rPr>
      </w:pPr>
      <w:r>
        <w:rPr>
          <w:rFonts w:ascii="Arial" w:hAnsi="Arial" w:cs="Arial"/>
          <w:snapToGrid w:val="0"/>
          <w:kern w:val="0"/>
          <w:sz w:val="24"/>
          <w:shd w:val="clear" w:color="auto" w:fill="FFFFFF"/>
        </w:rPr>
        <w:t>项目联系人：</w:t>
      </w:r>
      <w:r>
        <w:rPr>
          <w:rFonts w:hint="eastAsia" w:ascii="Arial" w:hAnsi="Arial" w:cs="Arial"/>
          <w:snapToGrid w:val="0"/>
          <w:kern w:val="0"/>
          <w:sz w:val="24"/>
          <w:shd w:val="clear" w:color="auto" w:fill="FFFFFF"/>
        </w:rPr>
        <w:t>李</w:t>
      </w:r>
      <w:r>
        <w:rPr>
          <w:rFonts w:ascii="Arial" w:hAnsi="Arial" w:cs="Arial"/>
          <w:snapToGrid w:val="0"/>
          <w:kern w:val="0"/>
          <w:sz w:val="24"/>
          <w:shd w:val="clear" w:color="auto" w:fill="FFFFFF"/>
        </w:rPr>
        <w:t>老师</w:t>
      </w:r>
    </w:p>
    <w:p>
      <w:pPr>
        <w:widowControl/>
        <w:adjustRightInd w:val="0"/>
        <w:snapToGrid w:val="0"/>
        <w:spacing w:line="360" w:lineRule="auto"/>
        <w:ind w:firstLine="424" w:firstLineChars="177"/>
        <w:rPr>
          <w:rFonts w:ascii="Arial" w:hAnsi="Arial" w:cs="Arial"/>
          <w:snapToGrid w:val="0"/>
          <w:kern w:val="0"/>
          <w:sz w:val="24"/>
          <w:shd w:val="clear" w:color="auto" w:fill="FFFFFF"/>
        </w:rPr>
      </w:pPr>
      <w:r>
        <w:rPr>
          <w:rFonts w:ascii="Arial" w:hAnsi="Arial" w:cs="Arial"/>
          <w:snapToGrid w:val="0"/>
          <w:kern w:val="0"/>
          <w:sz w:val="24"/>
          <w:shd w:val="clear" w:color="auto" w:fill="FFFFFF"/>
        </w:rPr>
        <w:t>联系地址：新疆乌鲁木齐市天池路91号</w:t>
      </w:r>
    </w:p>
    <w:p>
      <w:pPr>
        <w:widowControl/>
        <w:adjustRightInd w:val="0"/>
        <w:snapToGrid w:val="0"/>
        <w:spacing w:line="360" w:lineRule="auto"/>
        <w:ind w:firstLine="424" w:firstLineChars="177"/>
        <w:rPr>
          <w:rFonts w:ascii="Arial" w:hAnsi="Arial" w:cs="Arial"/>
          <w:snapToGrid w:val="0"/>
          <w:kern w:val="0"/>
          <w:sz w:val="24"/>
          <w:shd w:val="clear" w:color="auto" w:fill="FFFFFF"/>
        </w:rPr>
      </w:pPr>
      <w:r>
        <w:rPr>
          <w:rFonts w:ascii="Arial" w:hAnsi="Arial" w:cs="Arial"/>
          <w:snapToGrid w:val="0"/>
          <w:kern w:val="0"/>
          <w:sz w:val="24"/>
          <w:shd w:val="clear" w:color="auto" w:fill="FFFFFF"/>
        </w:rPr>
        <w:t>联系方式：0991-8562590</w:t>
      </w:r>
    </w:p>
    <w:p>
      <w:pPr>
        <w:widowControl/>
        <w:adjustRightInd w:val="0"/>
        <w:snapToGrid w:val="0"/>
        <w:spacing w:line="360" w:lineRule="auto"/>
        <w:ind w:left="212" w:leftChars="101" w:firstLine="241" w:firstLineChars="100"/>
        <w:rPr>
          <w:rFonts w:ascii="Arial" w:hAnsi="Arial" w:cs="Arial"/>
          <w:b/>
          <w:bCs/>
          <w:snapToGrid w:val="0"/>
          <w:kern w:val="0"/>
          <w:sz w:val="24"/>
          <w:shd w:val="clear" w:color="auto" w:fill="FFFFFF"/>
        </w:rPr>
      </w:pPr>
      <w:r>
        <w:rPr>
          <w:rFonts w:ascii="Arial" w:hAnsi="Arial" w:cs="Arial"/>
          <w:b/>
          <w:bCs/>
          <w:snapToGrid w:val="0"/>
          <w:kern w:val="0"/>
          <w:sz w:val="24"/>
          <w:shd w:val="clear" w:color="auto" w:fill="FFFFFF"/>
        </w:rPr>
        <w:t>2、代理机构信息</w:t>
      </w:r>
    </w:p>
    <w:p>
      <w:pPr>
        <w:widowControl/>
        <w:adjustRightInd w:val="0"/>
        <w:snapToGrid w:val="0"/>
        <w:spacing w:line="360" w:lineRule="auto"/>
        <w:ind w:firstLine="424" w:firstLineChars="177"/>
        <w:rPr>
          <w:rFonts w:ascii="Arial" w:hAnsi="Arial" w:cs="Arial"/>
          <w:snapToGrid w:val="0"/>
          <w:kern w:val="0"/>
          <w:sz w:val="24"/>
          <w:shd w:val="clear" w:color="auto" w:fill="FFFFFF"/>
        </w:rPr>
      </w:pPr>
      <w:r>
        <w:rPr>
          <w:rFonts w:ascii="Arial" w:hAnsi="Arial" w:cs="Arial"/>
          <w:snapToGrid w:val="0"/>
          <w:kern w:val="0"/>
          <w:sz w:val="24"/>
          <w:shd w:val="clear" w:color="auto" w:fill="FFFFFF"/>
        </w:rPr>
        <w:t>名</w:t>
      </w:r>
      <w:r>
        <w:rPr>
          <w:rFonts w:ascii="Arial" w:hAnsi="Arial" w:cs="Arial"/>
          <w:snapToGrid w:val="0"/>
          <w:kern w:val="0"/>
          <w:sz w:val="24"/>
        </w:rPr>
        <w:t xml:space="preserve">    </w:t>
      </w:r>
      <w:r>
        <w:rPr>
          <w:rFonts w:ascii="Arial" w:hAnsi="Arial" w:cs="Arial"/>
          <w:snapToGrid w:val="0"/>
          <w:kern w:val="0"/>
          <w:sz w:val="24"/>
          <w:shd w:val="clear" w:color="auto" w:fill="FFFFFF"/>
        </w:rPr>
        <w:t>称：国信招标集团股份有限公司</w:t>
      </w:r>
    </w:p>
    <w:p>
      <w:pPr>
        <w:widowControl/>
        <w:adjustRightInd w:val="0"/>
        <w:snapToGrid w:val="0"/>
        <w:spacing w:line="360" w:lineRule="auto"/>
        <w:ind w:firstLine="424" w:firstLineChars="177"/>
        <w:rPr>
          <w:rFonts w:ascii="Arial" w:hAnsi="Arial" w:cs="Arial"/>
          <w:snapToGrid w:val="0"/>
          <w:kern w:val="0"/>
          <w:sz w:val="24"/>
        </w:rPr>
      </w:pPr>
      <w:r>
        <w:rPr>
          <w:rFonts w:ascii="Arial" w:hAnsi="Arial" w:cs="Arial"/>
          <w:snapToGrid w:val="0"/>
          <w:kern w:val="0"/>
          <w:sz w:val="24"/>
        </w:rPr>
        <w:t>执行机构：国信招标集团股份有限公司新疆分公司</w:t>
      </w:r>
    </w:p>
    <w:p>
      <w:pPr>
        <w:widowControl/>
        <w:adjustRightInd w:val="0"/>
        <w:snapToGrid w:val="0"/>
        <w:spacing w:line="360" w:lineRule="auto"/>
        <w:ind w:firstLine="424" w:firstLineChars="177"/>
        <w:rPr>
          <w:rFonts w:ascii="Arial" w:hAnsi="Arial" w:cs="Arial"/>
          <w:snapToGrid w:val="0"/>
          <w:kern w:val="0"/>
          <w:sz w:val="24"/>
        </w:rPr>
      </w:pPr>
      <w:r>
        <w:rPr>
          <w:rFonts w:ascii="Arial" w:hAnsi="Arial" w:cs="Arial"/>
          <w:snapToGrid w:val="0"/>
          <w:kern w:val="0"/>
          <w:sz w:val="24"/>
        </w:rPr>
        <w:t>联 系 人：于海臣、</w:t>
      </w:r>
      <w:r>
        <w:rPr>
          <w:rFonts w:hint="eastAsia" w:ascii="Arial" w:hAnsi="Arial" w:cs="Arial"/>
          <w:snapToGrid w:val="0"/>
          <w:kern w:val="0"/>
          <w:sz w:val="24"/>
        </w:rPr>
        <w:t>任园园</w:t>
      </w:r>
    </w:p>
    <w:p>
      <w:pPr>
        <w:widowControl/>
        <w:adjustRightInd w:val="0"/>
        <w:snapToGrid w:val="0"/>
        <w:spacing w:line="360" w:lineRule="auto"/>
        <w:ind w:firstLine="424" w:firstLineChars="177"/>
        <w:rPr>
          <w:rFonts w:ascii="Arial" w:hAnsi="Arial" w:cs="Arial"/>
          <w:snapToGrid w:val="0"/>
          <w:kern w:val="0"/>
          <w:sz w:val="24"/>
        </w:rPr>
      </w:pPr>
      <w:r>
        <w:rPr>
          <w:rFonts w:ascii="Arial" w:hAnsi="Arial" w:cs="Arial"/>
          <w:snapToGrid w:val="0"/>
          <w:kern w:val="0"/>
          <w:sz w:val="24"/>
        </w:rPr>
        <w:t>地    址：新疆乌鲁木齐市天山区人民路2号乌鲁木齐大厦9层A座</w:t>
      </w:r>
    </w:p>
    <w:p>
      <w:pPr>
        <w:widowControl/>
        <w:adjustRightInd w:val="0"/>
        <w:snapToGrid w:val="0"/>
        <w:spacing w:line="360" w:lineRule="auto"/>
        <w:ind w:firstLine="424" w:firstLineChars="177"/>
        <w:rPr>
          <w:rFonts w:ascii="Arial" w:hAnsi="Arial" w:cs="Arial"/>
          <w:snapToGrid w:val="0"/>
          <w:kern w:val="0"/>
          <w:sz w:val="24"/>
          <w:shd w:val="clear" w:color="auto" w:fill="FFFFFF"/>
        </w:rPr>
      </w:pPr>
      <w:r>
        <w:rPr>
          <w:rFonts w:ascii="Arial" w:hAnsi="Arial" w:cs="Arial"/>
          <w:snapToGrid w:val="0"/>
          <w:kern w:val="0"/>
          <w:sz w:val="24"/>
          <w:shd w:val="clear" w:color="auto" w:fill="FFFFFF"/>
        </w:rPr>
        <w:t>联系方式：18199185399、</w:t>
      </w:r>
      <w:r>
        <w:rPr>
          <w:rFonts w:hint="eastAsia" w:ascii="Arial" w:hAnsi="Arial" w:cs="Arial"/>
          <w:snapToGrid w:val="0"/>
          <w:kern w:val="0"/>
          <w:sz w:val="24"/>
          <w:shd w:val="clear" w:color="auto" w:fill="FFFFFF"/>
        </w:rPr>
        <w:t>18195911775</w:t>
      </w:r>
    </w:p>
    <w:p>
      <w:pPr>
        <w:widowControl/>
        <w:adjustRightInd w:val="0"/>
        <w:snapToGrid w:val="0"/>
        <w:spacing w:line="360" w:lineRule="auto"/>
        <w:ind w:firstLine="426" w:firstLineChars="177"/>
        <w:rPr>
          <w:rFonts w:ascii="Arial" w:hAnsi="Arial" w:cs="Arial"/>
          <w:b/>
          <w:bCs/>
          <w:snapToGrid w:val="0"/>
          <w:kern w:val="0"/>
          <w:sz w:val="24"/>
          <w:shd w:val="clear" w:color="auto" w:fill="FFFFFF"/>
        </w:rPr>
      </w:pPr>
      <w:r>
        <w:rPr>
          <w:rFonts w:ascii="Arial" w:hAnsi="Arial" w:cs="Arial"/>
          <w:b/>
          <w:bCs/>
          <w:snapToGrid w:val="0"/>
          <w:kern w:val="0"/>
          <w:sz w:val="24"/>
          <w:shd w:val="clear" w:color="auto" w:fill="FFFFFF"/>
        </w:rPr>
        <w:t>3、项目联系方式</w:t>
      </w:r>
    </w:p>
    <w:p>
      <w:pPr>
        <w:widowControl/>
        <w:adjustRightInd w:val="0"/>
        <w:snapToGrid w:val="0"/>
        <w:spacing w:line="360" w:lineRule="auto"/>
        <w:ind w:firstLine="424" w:firstLineChars="177"/>
        <w:rPr>
          <w:rFonts w:ascii="Arial" w:hAnsi="Arial" w:cs="Arial"/>
          <w:snapToGrid w:val="0"/>
          <w:kern w:val="0"/>
          <w:sz w:val="24"/>
          <w:shd w:val="clear" w:color="auto" w:fill="FFFFFF"/>
        </w:rPr>
      </w:pPr>
      <w:r>
        <w:rPr>
          <w:rFonts w:ascii="Arial" w:hAnsi="Arial" w:cs="Arial"/>
          <w:snapToGrid w:val="0"/>
          <w:kern w:val="0"/>
          <w:sz w:val="24"/>
          <w:shd w:val="clear" w:color="auto" w:fill="FFFFFF"/>
        </w:rPr>
        <w:t>联 系 人：于海臣、</w:t>
      </w:r>
      <w:r>
        <w:rPr>
          <w:rFonts w:hint="eastAsia" w:ascii="Arial" w:hAnsi="Arial" w:cs="Arial"/>
          <w:snapToGrid w:val="0"/>
          <w:kern w:val="0"/>
          <w:sz w:val="24"/>
          <w:shd w:val="clear" w:color="auto" w:fill="FFFFFF"/>
        </w:rPr>
        <w:t>任园园</w:t>
      </w:r>
    </w:p>
    <w:p>
      <w:pPr>
        <w:widowControl/>
        <w:adjustRightInd w:val="0"/>
        <w:snapToGrid w:val="0"/>
        <w:spacing w:line="360" w:lineRule="auto"/>
        <w:ind w:firstLine="424" w:firstLineChars="177"/>
        <w:rPr>
          <w:rFonts w:ascii="Arial" w:hAnsi="Arial" w:cs="Arial"/>
          <w:snapToGrid w:val="0"/>
          <w:kern w:val="0"/>
          <w:sz w:val="24"/>
          <w:shd w:val="clear" w:color="auto" w:fill="FFFFFF"/>
        </w:rPr>
      </w:pPr>
      <w:r>
        <w:rPr>
          <w:rFonts w:ascii="Arial" w:hAnsi="Arial" w:cs="Arial"/>
          <w:snapToGrid w:val="0"/>
          <w:kern w:val="0"/>
          <w:sz w:val="24"/>
          <w:shd w:val="clear" w:color="auto" w:fill="FFFFFF"/>
        </w:rPr>
        <w:t>电    话：18199185399、</w:t>
      </w:r>
      <w:bookmarkEnd w:id="3"/>
      <w:bookmarkStart w:id="44" w:name="_Toc22518"/>
      <w:r>
        <w:rPr>
          <w:rFonts w:hint="eastAsia" w:ascii="Arial" w:hAnsi="Arial" w:cs="Arial"/>
          <w:snapToGrid w:val="0"/>
          <w:kern w:val="0"/>
          <w:sz w:val="24"/>
          <w:shd w:val="clear" w:color="auto" w:fill="FFFFFF"/>
        </w:rPr>
        <w:t>18195911775</w:t>
      </w:r>
    </w:p>
    <w:p>
      <w:r>
        <w:rPr>
          <w:rFonts w:hint="eastAsia" w:ascii="Arial" w:hAnsi="Arial" w:cs="Arial"/>
          <w:snapToGrid w:val="0"/>
          <w:kern w:val="0"/>
          <w:sz w:val="24"/>
          <w:shd w:val="clear" w:color="auto" w:fill="FFFFFF"/>
        </w:rPr>
        <w:br w:type="page"/>
      </w:r>
    </w:p>
    <w:p>
      <w:pPr>
        <w:autoSpaceDE w:val="0"/>
        <w:autoSpaceDN w:val="0"/>
        <w:adjustRightInd w:val="0"/>
        <w:snapToGrid w:val="0"/>
        <w:spacing w:after="120" w:afterLines="50"/>
        <w:jc w:val="center"/>
        <w:outlineLvl w:val="0"/>
        <w:rPr>
          <w:rFonts w:eastAsia="黑体"/>
          <w:kern w:val="0"/>
          <w:sz w:val="32"/>
          <w:szCs w:val="32"/>
        </w:rPr>
      </w:pPr>
      <w:bookmarkStart w:id="45" w:name="_Toc1689"/>
      <w:r>
        <w:rPr>
          <w:rFonts w:eastAsia="黑体"/>
          <w:kern w:val="0"/>
          <w:sz w:val="32"/>
          <w:szCs w:val="32"/>
        </w:rPr>
        <w:t>第二章 投标人须知</w:t>
      </w:r>
      <w:bookmarkEnd w:id="44"/>
      <w:bookmarkEnd w:id="45"/>
    </w:p>
    <w:p>
      <w:pPr>
        <w:autoSpaceDE w:val="0"/>
        <w:autoSpaceDN w:val="0"/>
        <w:adjustRightInd w:val="0"/>
        <w:snapToGrid w:val="0"/>
        <w:spacing w:after="120" w:afterLines="50"/>
        <w:jc w:val="center"/>
        <w:outlineLvl w:val="0"/>
        <w:rPr>
          <w:kern w:val="0"/>
          <w:sz w:val="28"/>
          <w:szCs w:val="28"/>
        </w:rPr>
      </w:pPr>
      <w:bookmarkStart w:id="46" w:name="_Toc7370"/>
      <w:bookmarkStart w:id="47" w:name="_Toc11767"/>
      <w:bookmarkStart w:id="48" w:name="_Toc29925"/>
      <w:r>
        <w:rPr>
          <w:kern w:val="0"/>
          <w:sz w:val="28"/>
          <w:szCs w:val="28"/>
        </w:rPr>
        <w:t>（一）投标人须知前附表</w:t>
      </w:r>
      <w:bookmarkEnd w:id="46"/>
      <w:bookmarkEnd w:id="47"/>
      <w:bookmarkEnd w:id="48"/>
    </w:p>
    <w:tbl>
      <w:tblPr>
        <w:tblStyle w:val="41"/>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8"/>
        <w:gridCol w:w="5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autoSpaceDE w:val="0"/>
              <w:autoSpaceDN w:val="0"/>
              <w:adjustRightInd w:val="0"/>
              <w:snapToGrid w:val="0"/>
              <w:jc w:val="center"/>
              <w:rPr>
                <w:b/>
                <w:bCs/>
                <w:kern w:val="0"/>
                <w:sz w:val="24"/>
              </w:rPr>
            </w:pPr>
            <w:r>
              <w:rPr>
                <w:b/>
                <w:bCs/>
                <w:kern w:val="0"/>
                <w:sz w:val="24"/>
              </w:rPr>
              <w:t>条款号</w:t>
            </w:r>
          </w:p>
        </w:tc>
        <w:tc>
          <w:tcPr>
            <w:tcW w:w="2515" w:type="dxa"/>
            <w:vAlign w:val="center"/>
          </w:tcPr>
          <w:p>
            <w:pPr>
              <w:autoSpaceDE w:val="0"/>
              <w:autoSpaceDN w:val="0"/>
              <w:adjustRightInd w:val="0"/>
              <w:snapToGrid w:val="0"/>
              <w:jc w:val="center"/>
              <w:rPr>
                <w:b/>
                <w:bCs/>
                <w:kern w:val="0"/>
                <w:sz w:val="24"/>
              </w:rPr>
            </w:pPr>
            <w:r>
              <w:rPr>
                <w:b/>
                <w:bCs/>
                <w:kern w:val="0"/>
                <w:sz w:val="24"/>
              </w:rPr>
              <w:t>条款名称</w:t>
            </w:r>
          </w:p>
        </w:tc>
        <w:tc>
          <w:tcPr>
            <w:tcW w:w="5016" w:type="dxa"/>
            <w:gridSpan w:val="2"/>
            <w:vAlign w:val="center"/>
          </w:tcPr>
          <w:p>
            <w:pPr>
              <w:autoSpaceDE w:val="0"/>
              <w:autoSpaceDN w:val="0"/>
              <w:adjustRightInd w:val="0"/>
              <w:snapToGrid w:val="0"/>
              <w:jc w:val="center"/>
              <w:rPr>
                <w:b/>
                <w:bCs/>
                <w:kern w:val="0"/>
                <w:sz w:val="24"/>
              </w:rPr>
            </w:pPr>
            <w:r>
              <w:rPr>
                <w:b/>
                <w:bCs/>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eastAsiaTheme="minorEastAsia"/>
                <w:kern w:val="0"/>
                <w:sz w:val="24"/>
              </w:rPr>
            </w:pPr>
            <w:r>
              <w:rPr>
                <w:rFonts w:eastAsiaTheme="minorEastAsia"/>
                <w:kern w:val="0"/>
                <w:sz w:val="24"/>
              </w:rPr>
              <w:t>1.1.5</w:t>
            </w:r>
          </w:p>
        </w:tc>
        <w:tc>
          <w:tcPr>
            <w:tcW w:w="2515" w:type="dxa"/>
            <w:vAlign w:val="center"/>
          </w:tcPr>
          <w:p>
            <w:pPr>
              <w:autoSpaceDE w:val="0"/>
              <w:autoSpaceDN w:val="0"/>
              <w:adjustRightInd w:val="0"/>
              <w:snapToGrid w:val="0"/>
              <w:jc w:val="left"/>
              <w:rPr>
                <w:rFonts w:eastAsiaTheme="minorEastAsia"/>
                <w:kern w:val="0"/>
                <w:sz w:val="24"/>
              </w:rPr>
            </w:pPr>
            <w:r>
              <w:rPr>
                <w:rFonts w:eastAsiaTheme="minorEastAsia"/>
                <w:sz w:val="24"/>
              </w:rPr>
              <w:t>采购标的对应的中小企业划分标准所属行业</w:t>
            </w:r>
          </w:p>
        </w:tc>
        <w:tc>
          <w:tcPr>
            <w:tcW w:w="5016" w:type="dxa"/>
            <w:gridSpan w:val="2"/>
            <w:vAlign w:val="center"/>
          </w:tcPr>
          <w:p>
            <w:pPr>
              <w:autoSpaceDE w:val="0"/>
              <w:autoSpaceDN w:val="0"/>
              <w:adjustRightInd w:val="0"/>
              <w:snapToGrid w:val="0"/>
              <w:jc w:val="left"/>
              <w:rPr>
                <w:rFonts w:eastAsiaTheme="minorEastAsia"/>
                <w:kern w:val="0"/>
                <w:sz w:val="24"/>
              </w:rPr>
            </w:pPr>
            <w:r>
              <w:rPr>
                <w:rFonts w:eastAsiaTheme="minorEastAsia"/>
                <w:kern w:val="0"/>
                <w:sz w:val="24"/>
              </w:rPr>
              <w:t>所属行业为：</w:t>
            </w:r>
            <w:r>
              <w:rPr>
                <w:rFonts w:hint="eastAsia" w:eastAsiaTheme="minorEastAsia"/>
                <w:kern w:val="0"/>
                <w:sz w:val="24"/>
              </w:rPr>
              <w:t>工</w:t>
            </w:r>
            <w:r>
              <w:rPr>
                <w:rFonts w:eastAsiaTheme="minorEastAsia"/>
                <w:kern w:val="0"/>
                <w:sz w:val="24"/>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rFonts w:hint="eastAsia"/>
                <w:kern w:val="0"/>
                <w:sz w:val="24"/>
              </w:rPr>
              <w:t>1.</w:t>
            </w:r>
            <w:r>
              <w:rPr>
                <w:kern w:val="0"/>
                <w:sz w:val="24"/>
              </w:rPr>
              <w:t>4</w:t>
            </w:r>
          </w:p>
        </w:tc>
        <w:tc>
          <w:tcPr>
            <w:tcW w:w="2515" w:type="dxa"/>
            <w:vAlign w:val="center"/>
          </w:tcPr>
          <w:p>
            <w:pPr>
              <w:autoSpaceDE w:val="0"/>
              <w:autoSpaceDN w:val="0"/>
              <w:adjustRightInd w:val="0"/>
              <w:snapToGrid w:val="0"/>
              <w:jc w:val="center"/>
              <w:rPr>
                <w:kern w:val="0"/>
                <w:sz w:val="24"/>
              </w:rPr>
            </w:pPr>
            <w:r>
              <w:rPr>
                <w:rFonts w:hint="eastAsia"/>
                <w:kern w:val="0"/>
                <w:sz w:val="24"/>
              </w:rPr>
              <w:t>招标范围、交货期、交货地点、质量要求</w:t>
            </w:r>
          </w:p>
        </w:tc>
        <w:tc>
          <w:tcPr>
            <w:tcW w:w="5016" w:type="dxa"/>
            <w:gridSpan w:val="2"/>
            <w:vAlign w:val="center"/>
          </w:tcPr>
          <w:p>
            <w:pPr>
              <w:autoSpaceDE w:val="0"/>
              <w:autoSpaceDN w:val="0"/>
              <w:adjustRightInd w:val="0"/>
              <w:snapToGrid w:val="0"/>
              <w:jc w:val="left"/>
              <w:rPr>
                <w:kern w:val="0"/>
                <w:sz w:val="24"/>
              </w:rPr>
            </w:pPr>
            <w:r>
              <w:rPr>
                <w:rFonts w:hint="eastAsia"/>
                <w:b/>
                <w:bCs/>
                <w:kern w:val="0"/>
                <w:sz w:val="24"/>
              </w:rPr>
              <w:t>招标范围：</w:t>
            </w:r>
            <w:r>
              <w:rPr>
                <w:rFonts w:hint="eastAsia"/>
                <w:kern w:val="0"/>
                <w:sz w:val="24"/>
              </w:rPr>
              <w:t>见第五章采购需求</w:t>
            </w:r>
          </w:p>
          <w:p>
            <w:pPr>
              <w:pStyle w:val="38"/>
              <w:widowControl/>
              <w:adjustRightInd w:val="0"/>
              <w:snapToGrid w:val="0"/>
              <w:spacing w:beforeAutospacing="0" w:afterAutospacing="0"/>
              <w:jc w:val="both"/>
              <w:rPr>
                <w:kern w:val="2"/>
              </w:rPr>
            </w:pPr>
            <w:r>
              <w:rPr>
                <w:rFonts w:hint="eastAsia"/>
                <w:kern w:val="2"/>
              </w:rPr>
              <w:t>交货期：标项 1、2自采购人发出采购通知之日起30个工作日内完成供货；</w:t>
            </w:r>
          </w:p>
          <w:p>
            <w:pPr>
              <w:pStyle w:val="2"/>
              <w:spacing w:before="0" w:after="0" w:line="240" w:lineRule="auto"/>
              <w:rPr>
                <w:b w:val="0"/>
                <w:bCs w:val="0"/>
                <w:sz w:val="24"/>
                <w:szCs w:val="24"/>
              </w:rPr>
            </w:pPr>
            <w:bookmarkStart w:id="49" w:name="_Toc10995"/>
            <w:r>
              <w:rPr>
                <w:rFonts w:hint="eastAsia"/>
                <w:sz w:val="24"/>
                <w:szCs w:val="24"/>
              </w:rPr>
              <w:t>交货地点：</w:t>
            </w:r>
            <w:r>
              <w:rPr>
                <w:rFonts w:hint="eastAsia"/>
                <w:b w:val="0"/>
                <w:bCs w:val="0"/>
                <w:sz w:val="24"/>
                <w:szCs w:val="24"/>
              </w:rPr>
              <w:t>新疆维吾尔自治区人民医院，最终按甲方指定地点验收、交货。</w:t>
            </w:r>
            <w:bookmarkEnd w:id="49"/>
          </w:p>
          <w:p>
            <w:pPr>
              <w:autoSpaceDE w:val="0"/>
              <w:autoSpaceDN w:val="0"/>
              <w:adjustRightInd w:val="0"/>
              <w:snapToGrid w:val="0"/>
              <w:jc w:val="left"/>
              <w:rPr>
                <w:kern w:val="0"/>
                <w:sz w:val="24"/>
              </w:rPr>
            </w:pPr>
            <w:r>
              <w:rPr>
                <w:rFonts w:hint="eastAsia"/>
                <w:kern w:val="0"/>
                <w:sz w:val="24"/>
              </w:rPr>
              <w:t>质量要求：见第五章采购需求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pPr>
              <w:autoSpaceDE w:val="0"/>
              <w:autoSpaceDN w:val="0"/>
              <w:adjustRightInd w:val="0"/>
              <w:snapToGrid w:val="0"/>
              <w:jc w:val="center"/>
              <w:rPr>
                <w:kern w:val="0"/>
                <w:sz w:val="24"/>
              </w:rPr>
            </w:pPr>
            <w:r>
              <w:rPr>
                <w:kern w:val="0"/>
                <w:sz w:val="24"/>
              </w:rPr>
              <w:t>1.5.2</w:t>
            </w:r>
          </w:p>
        </w:tc>
        <w:tc>
          <w:tcPr>
            <w:tcW w:w="2515" w:type="dxa"/>
            <w:vAlign w:val="center"/>
          </w:tcPr>
          <w:p>
            <w:pPr>
              <w:autoSpaceDE w:val="0"/>
              <w:autoSpaceDN w:val="0"/>
              <w:adjustRightInd w:val="0"/>
              <w:snapToGrid w:val="0"/>
              <w:jc w:val="left"/>
              <w:rPr>
                <w:kern w:val="0"/>
                <w:sz w:val="24"/>
              </w:rPr>
            </w:pPr>
            <w:r>
              <w:rPr>
                <w:kern w:val="0"/>
                <w:sz w:val="24"/>
              </w:rPr>
              <w:t>是否专门面向中小企业或小型、微型企业采购</w:t>
            </w:r>
          </w:p>
        </w:tc>
        <w:tc>
          <w:tcPr>
            <w:tcW w:w="5016" w:type="dxa"/>
            <w:gridSpan w:val="2"/>
            <w:vAlign w:val="center"/>
          </w:tcPr>
          <w:p>
            <w:pPr>
              <w:autoSpaceDE w:val="0"/>
              <w:autoSpaceDN w:val="0"/>
              <w:adjustRightInd w:val="0"/>
              <w:snapToGrid w:val="0"/>
              <w:jc w:val="left"/>
              <w:rPr>
                <w:kern w:val="0"/>
                <w:sz w:val="24"/>
              </w:rPr>
            </w:pPr>
            <w:r>
              <w:rPr>
                <w:rFonts w:hint="eastAsia"/>
                <w:kern w:val="0"/>
                <w:sz w:val="24"/>
              </w:rPr>
              <w:t>☑</w:t>
            </w:r>
            <w:r>
              <w:rPr>
                <w:kern w:val="0"/>
                <w:sz w:val="24"/>
              </w:rPr>
              <w:t>是</w:t>
            </w:r>
            <w:r>
              <w:rPr>
                <w:rFonts w:hint="eastAsia"/>
                <w:b/>
                <w:bCs/>
                <w:kern w:val="0"/>
                <w:sz w:val="24"/>
              </w:rPr>
              <w:t>（标项1、2</w:t>
            </w:r>
            <w:r>
              <w:rPr>
                <w:b/>
                <w:bCs/>
                <w:kern w:val="0"/>
                <w:sz w:val="24"/>
              </w:rPr>
              <w:t>专门面向中小企业采购</w:t>
            </w:r>
            <w:r>
              <w:rPr>
                <w:rFonts w:hint="eastAsia"/>
                <w:b/>
                <w:bCs/>
                <w:kern w:val="0"/>
                <w:sz w:val="24"/>
              </w:rPr>
              <w:t>）</w:t>
            </w:r>
          </w:p>
          <w:p>
            <w:pPr>
              <w:autoSpaceDE w:val="0"/>
              <w:autoSpaceDN w:val="0"/>
              <w:adjustRightInd w:val="0"/>
              <w:snapToGrid w:val="0"/>
              <w:jc w:val="left"/>
              <w:rPr>
                <w:kern w:val="0"/>
                <w:sz w:val="24"/>
              </w:rPr>
            </w:pPr>
            <w:r>
              <w:rPr>
                <w:rFonts w:hint="eastAsia"/>
                <w:kern w:val="0"/>
                <w:sz w:val="24"/>
              </w:rPr>
              <w:t>□</w:t>
            </w:r>
            <w:r>
              <w:rPr>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1.6</w:t>
            </w:r>
          </w:p>
        </w:tc>
        <w:tc>
          <w:tcPr>
            <w:tcW w:w="2515" w:type="dxa"/>
            <w:vAlign w:val="center"/>
          </w:tcPr>
          <w:p>
            <w:pPr>
              <w:autoSpaceDE w:val="0"/>
              <w:autoSpaceDN w:val="0"/>
              <w:adjustRightInd w:val="0"/>
              <w:snapToGrid w:val="0"/>
              <w:jc w:val="left"/>
              <w:rPr>
                <w:kern w:val="0"/>
                <w:sz w:val="24"/>
              </w:rPr>
            </w:pPr>
            <w:r>
              <w:rPr>
                <w:kern w:val="0"/>
                <w:sz w:val="24"/>
              </w:rPr>
              <w:t>是否允许采用分包方式履行合同</w:t>
            </w:r>
          </w:p>
        </w:tc>
        <w:tc>
          <w:tcPr>
            <w:tcW w:w="5016" w:type="dxa"/>
            <w:gridSpan w:val="2"/>
            <w:vAlign w:val="center"/>
          </w:tcPr>
          <w:p>
            <w:pPr>
              <w:autoSpaceDE w:val="0"/>
              <w:autoSpaceDN w:val="0"/>
              <w:adjustRightInd w:val="0"/>
              <w:snapToGrid w:val="0"/>
              <w:jc w:val="left"/>
              <w:rPr>
                <w:kern w:val="0"/>
                <w:sz w:val="24"/>
              </w:rPr>
            </w:pPr>
            <w:r>
              <w:rPr>
                <w:rFonts w:hint="eastAsia"/>
                <w:kern w:val="0"/>
                <w:sz w:val="24"/>
              </w:rPr>
              <w:t>☑</w:t>
            </w:r>
            <w:r>
              <w:rPr>
                <w:kern w:val="0"/>
                <w:sz w:val="24"/>
              </w:rPr>
              <w:t>不允许</w:t>
            </w:r>
          </w:p>
          <w:p>
            <w:pPr>
              <w:autoSpaceDE w:val="0"/>
              <w:autoSpaceDN w:val="0"/>
              <w:adjustRightInd w:val="0"/>
              <w:snapToGrid w:val="0"/>
              <w:jc w:val="left"/>
              <w:rPr>
                <w:kern w:val="0"/>
                <w:sz w:val="24"/>
              </w:rPr>
            </w:pPr>
            <w:r>
              <w:rPr>
                <w:rFonts w:hint="eastAsia"/>
                <w:kern w:val="0"/>
                <w:sz w:val="24"/>
              </w:rPr>
              <w:t>□</w:t>
            </w:r>
            <w:r>
              <w:rPr>
                <w:kern w:val="0"/>
                <w:sz w:val="24"/>
              </w:rPr>
              <w:t>允许，分包要求</w:t>
            </w: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2.2</w:t>
            </w:r>
          </w:p>
        </w:tc>
        <w:tc>
          <w:tcPr>
            <w:tcW w:w="2515" w:type="dxa"/>
            <w:vAlign w:val="center"/>
          </w:tcPr>
          <w:p>
            <w:pPr>
              <w:autoSpaceDE w:val="0"/>
              <w:autoSpaceDN w:val="0"/>
              <w:adjustRightInd w:val="0"/>
              <w:snapToGrid w:val="0"/>
              <w:jc w:val="left"/>
              <w:rPr>
                <w:kern w:val="0"/>
                <w:sz w:val="24"/>
                <w:highlight w:val="yellow"/>
              </w:rPr>
            </w:pPr>
            <w:r>
              <w:rPr>
                <w:kern w:val="0"/>
                <w:sz w:val="24"/>
              </w:rPr>
              <w:t>核心产品</w:t>
            </w:r>
          </w:p>
        </w:tc>
        <w:tc>
          <w:tcPr>
            <w:tcW w:w="5016" w:type="dxa"/>
            <w:gridSpan w:val="2"/>
            <w:vAlign w:val="center"/>
          </w:tcPr>
          <w:p>
            <w:pPr>
              <w:autoSpaceDE w:val="0"/>
              <w:autoSpaceDN w:val="0"/>
              <w:adjustRightInd w:val="0"/>
              <w:snapToGrid w:val="0"/>
              <w:jc w:val="left"/>
              <w:rPr>
                <w:kern w:val="0"/>
                <w:sz w:val="24"/>
              </w:rPr>
            </w:pPr>
            <w:r>
              <w:rPr>
                <w:rFonts w:hint="eastAsia"/>
                <w:kern w:val="0"/>
                <w:sz w:val="24"/>
              </w:rPr>
              <w:t>□服务采购</w:t>
            </w:r>
          </w:p>
          <w:p>
            <w:pPr>
              <w:autoSpaceDE w:val="0"/>
              <w:autoSpaceDN w:val="0"/>
              <w:adjustRightInd w:val="0"/>
              <w:snapToGrid w:val="0"/>
              <w:jc w:val="left"/>
              <w:rPr>
                <w:kern w:val="0"/>
                <w:sz w:val="24"/>
                <w:highlight w:val="none"/>
              </w:rPr>
            </w:pPr>
            <w:r>
              <w:rPr>
                <w:rFonts w:hint="eastAsia"/>
                <w:kern w:val="0"/>
                <w:sz w:val="24"/>
                <w:highlight w:val="none"/>
                <w:lang w:eastAsia="zh-CN"/>
              </w:rPr>
              <w:t>□</w:t>
            </w:r>
            <w:r>
              <w:rPr>
                <w:rFonts w:hint="eastAsia"/>
                <w:kern w:val="0"/>
                <w:sz w:val="24"/>
                <w:highlight w:val="none"/>
              </w:rPr>
              <w:t>单一产品采购</w:t>
            </w:r>
          </w:p>
          <w:p>
            <w:pPr>
              <w:autoSpaceDE w:val="0"/>
              <w:autoSpaceDN w:val="0"/>
              <w:adjustRightInd w:val="0"/>
              <w:snapToGrid w:val="0"/>
              <w:jc w:val="left"/>
              <w:rPr>
                <w:sz w:val="24"/>
              </w:rPr>
            </w:pPr>
            <w:r>
              <w:rPr>
                <w:rFonts w:hint="eastAsia"/>
                <w:kern w:val="0"/>
                <w:sz w:val="24"/>
                <w:lang w:eastAsia="zh-CN"/>
              </w:rPr>
              <w:t>☑</w:t>
            </w:r>
            <w:r>
              <w:rPr>
                <w:rFonts w:hint="eastAsia"/>
                <w:b/>
                <w:bCs/>
                <w:kern w:val="0"/>
                <w:sz w:val="24"/>
              </w:rPr>
              <w:t>非单一产品采购，核心产品为：</w:t>
            </w:r>
            <w:r>
              <w:rPr>
                <w:rFonts w:hint="eastAsia" w:ascii="宋体" w:hAnsi="宋体" w:cs="宋体"/>
                <w:sz w:val="24"/>
              </w:rPr>
              <w:t>飞行时间核酸质谱分析系统</w:t>
            </w:r>
            <w:bookmarkStart w:id="427" w:name="_GoBack"/>
            <w:bookmarkEnd w:id="4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2.3.3</w:t>
            </w:r>
          </w:p>
        </w:tc>
        <w:tc>
          <w:tcPr>
            <w:tcW w:w="2515" w:type="dxa"/>
            <w:vAlign w:val="center"/>
          </w:tcPr>
          <w:p>
            <w:pPr>
              <w:autoSpaceDE w:val="0"/>
              <w:autoSpaceDN w:val="0"/>
              <w:adjustRightInd w:val="0"/>
              <w:snapToGrid w:val="0"/>
              <w:jc w:val="left"/>
              <w:rPr>
                <w:kern w:val="0"/>
                <w:sz w:val="24"/>
              </w:rPr>
            </w:pPr>
            <w:r>
              <w:rPr>
                <w:kern w:val="0"/>
                <w:sz w:val="24"/>
              </w:rPr>
              <w:t>采购人发出澄清文件时间</w:t>
            </w:r>
          </w:p>
        </w:tc>
        <w:tc>
          <w:tcPr>
            <w:tcW w:w="5016" w:type="dxa"/>
            <w:gridSpan w:val="2"/>
            <w:vAlign w:val="center"/>
          </w:tcPr>
          <w:p>
            <w:pPr>
              <w:autoSpaceDE w:val="0"/>
              <w:autoSpaceDN w:val="0"/>
              <w:adjustRightInd w:val="0"/>
              <w:snapToGrid w:val="0"/>
              <w:jc w:val="left"/>
              <w:rPr>
                <w:kern w:val="0"/>
                <w:sz w:val="24"/>
              </w:rPr>
            </w:pPr>
            <w:r>
              <w:rPr>
                <w:kern w:val="0"/>
                <w:sz w:val="24"/>
              </w:rPr>
              <w:t>投标截止日15日前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2.4.1</w:t>
            </w:r>
          </w:p>
        </w:tc>
        <w:tc>
          <w:tcPr>
            <w:tcW w:w="2515" w:type="dxa"/>
            <w:vAlign w:val="center"/>
          </w:tcPr>
          <w:p>
            <w:pPr>
              <w:rPr>
                <w:sz w:val="24"/>
              </w:rPr>
            </w:pPr>
            <w:bookmarkStart w:id="50" w:name="_Toc8477"/>
            <w:bookmarkStart w:id="51" w:name="_Toc20949"/>
            <w:bookmarkStart w:id="52" w:name="_Toc26077"/>
            <w:bookmarkStart w:id="53" w:name="_Toc4365"/>
            <w:r>
              <w:rPr>
                <w:sz w:val="24"/>
              </w:rPr>
              <w:t>采购人发出修改文件时间</w:t>
            </w:r>
            <w:bookmarkEnd w:id="50"/>
            <w:bookmarkEnd w:id="51"/>
            <w:bookmarkEnd w:id="52"/>
            <w:bookmarkEnd w:id="53"/>
          </w:p>
        </w:tc>
        <w:tc>
          <w:tcPr>
            <w:tcW w:w="5016" w:type="dxa"/>
            <w:gridSpan w:val="2"/>
            <w:vAlign w:val="center"/>
          </w:tcPr>
          <w:p>
            <w:pPr>
              <w:autoSpaceDE w:val="0"/>
              <w:autoSpaceDN w:val="0"/>
              <w:adjustRightInd w:val="0"/>
              <w:snapToGrid w:val="0"/>
              <w:spacing w:after="120" w:afterLines="50"/>
              <w:ind w:left="281" w:hanging="280" w:hangingChars="117"/>
              <w:rPr>
                <w:kern w:val="0"/>
                <w:sz w:val="24"/>
              </w:rPr>
            </w:pPr>
            <w:r>
              <w:rPr>
                <w:kern w:val="0"/>
                <w:sz w:val="24"/>
              </w:rPr>
              <w:t>投标截止日15日前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2.5</w:t>
            </w:r>
          </w:p>
        </w:tc>
        <w:tc>
          <w:tcPr>
            <w:tcW w:w="2515" w:type="dxa"/>
            <w:vAlign w:val="center"/>
          </w:tcPr>
          <w:p>
            <w:pPr>
              <w:rPr>
                <w:sz w:val="24"/>
              </w:rPr>
            </w:pPr>
            <w:bookmarkStart w:id="54" w:name="_Toc15622"/>
            <w:bookmarkStart w:id="55" w:name="_Toc5691"/>
            <w:bookmarkStart w:id="56" w:name="_Toc20336"/>
            <w:bookmarkStart w:id="57" w:name="_Toc31338"/>
            <w:r>
              <w:rPr>
                <w:sz w:val="24"/>
              </w:rPr>
              <w:t>接收质疑函的方式和联系方式</w:t>
            </w:r>
            <w:bookmarkEnd w:id="54"/>
            <w:bookmarkEnd w:id="55"/>
            <w:bookmarkEnd w:id="56"/>
            <w:bookmarkEnd w:id="57"/>
          </w:p>
        </w:tc>
        <w:tc>
          <w:tcPr>
            <w:tcW w:w="5016" w:type="dxa"/>
            <w:gridSpan w:val="2"/>
            <w:vAlign w:val="center"/>
          </w:tcPr>
          <w:p>
            <w:pPr>
              <w:autoSpaceDE w:val="0"/>
              <w:autoSpaceDN w:val="0"/>
              <w:adjustRightInd w:val="0"/>
              <w:snapToGrid w:val="0"/>
              <w:jc w:val="left"/>
              <w:rPr>
                <w:kern w:val="0"/>
                <w:sz w:val="24"/>
              </w:rPr>
            </w:pPr>
            <w:r>
              <w:rPr>
                <w:kern w:val="0"/>
                <w:sz w:val="24"/>
              </w:rPr>
              <w:t>质疑函应以书面形式送达（仅接收派人送达、邮寄送达质疑函原件两种方式）；质疑函的内容应当符合《政府采购质疑和投诉办法》的要求；质疑函按招标文件第七章提供的质疑函范本格式编写。</w:t>
            </w:r>
          </w:p>
          <w:p>
            <w:pPr>
              <w:autoSpaceDE w:val="0"/>
              <w:autoSpaceDN w:val="0"/>
              <w:adjustRightInd w:val="0"/>
              <w:snapToGrid w:val="0"/>
              <w:jc w:val="left"/>
              <w:rPr>
                <w:kern w:val="0"/>
                <w:sz w:val="24"/>
              </w:rPr>
            </w:pPr>
            <w:r>
              <w:rPr>
                <w:kern w:val="0"/>
                <w:sz w:val="24"/>
              </w:rPr>
              <w:t>联系部门：国信招标集团股份有限公司</w:t>
            </w:r>
          </w:p>
          <w:p>
            <w:pPr>
              <w:autoSpaceDE w:val="0"/>
              <w:autoSpaceDN w:val="0"/>
              <w:adjustRightInd w:val="0"/>
              <w:snapToGrid w:val="0"/>
              <w:jc w:val="left"/>
              <w:rPr>
                <w:kern w:val="0"/>
                <w:sz w:val="24"/>
              </w:rPr>
            </w:pPr>
            <w:r>
              <w:rPr>
                <w:kern w:val="0"/>
                <w:sz w:val="24"/>
              </w:rPr>
              <w:t>联系人：于海臣</w:t>
            </w:r>
          </w:p>
          <w:p>
            <w:pPr>
              <w:autoSpaceDE w:val="0"/>
              <w:autoSpaceDN w:val="0"/>
              <w:adjustRightInd w:val="0"/>
              <w:snapToGrid w:val="0"/>
              <w:jc w:val="left"/>
              <w:rPr>
                <w:kern w:val="0"/>
                <w:sz w:val="24"/>
              </w:rPr>
            </w:pPr>
            <w:r>
              <w:rPr>
                <w:kern w:val="0"/>
                <w:sz w:val="24"/>
              </w:rPr>
              <w:t>联系电话：0991-2329176</w:t>
            </w:r>
          </w:p>
          <w:p>
            <w:pPr>
              <w:autoSpaceDE w:val="0"/>
              <w:autoSpaceDN w:val="0"/>
              <w:adjustRightInd w:val="0"/>
              <w:snapToGrid w:val="0"/>
              <w:jc w:val="left"/>
              <w:rPr>
                <w:kern w:val="0"/>
                <w:sz w:val="24"/>
              </w:rPr>
            </w:pPr>
            <w:r>
              <w:rPr>
                <w:kern w:val="0"/>
                <w:sz w:val="24"/>
              </w:rPr>
              <w:t>通讯地址：新疆乌鲁木齐市天山区人民路2号乌鲁木齐大厦9层A座</w:t>
            </w:r>
          </w:p>
          <w:p>
            <w:pPr>
              <w:autoSpaceDE w:val="0"/>
              <w:autoSpaceDN w:val="0"/>
              <w:adjustRightInd w:val="0"/>
              <w:snapToGrid w:val="0"/>
              <w:jc w:val="left"/>
              <w:rPr>
                <w:kern w:val="0"/>
                <w:sz w:val="24"/>
              </w:rPr>
            </w:pPr>
            <w:r>
              <w:rPr>
                <w:kern w:val="0"/>
                <w:sz w:val="24"/>
              </w:rPr>
              <w:t>邮箱：gxxj_yhc@163.com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3.6.2</w:t>
            </w:r>
          </w:p>
        </w:tc>
        <w:tc>
          <w:tcPr>
            <w:tcW w:w="2515" w:type="dxa"/>
            <w:vAlign w:val="center"/>
          </w:tcPr>
          <w:p>
            <w:pPr>
              <w:rPr>
                <w:sz w:val="24"/>
              </w:rPr>
            </w:pPr>
            <w:bookmarkStart w:id="58" w:name="_Toc10933"/>
            <w:bookmarkStart w:id="59" w:name="_Toc28365"/>
            <w:bookmarkStart w:id="60" w:name="_Toc5055"/>
            <w:bookmarkStart w:id="61" w:name="_Toc195921788"/>
            <w:bookmarkStart w:id="62" w:name="_Toc1731"/>
            <w:r>
              <w:rPr>
                <w:sz w:val="24"/>
              </w:rPr>
              <w:t>投标有效期</w:t>
            </w:r>
            <w:bookmarkEnd w:id="58"/>
            <w:bookmarkEnd w:id="59"/>
            <w:bookmarkEnd w:id="60"/>
            <w:bookmarkEnd w:id="61"/>
            <w:bookmarkEnd w:id="62"/>
          </w:p>
        </w:tc>
        <w:tc>
          <w:tcPr>
            <w:tcW w:w="5016" w:type="dxa"/>
            <w:gridSpan w:val="2"/>
            <w:vAlign w:val="center"/>
          </w:tcPr>
          <w:p>
            <w:pPr>
              <w:autoSpaceDE w:val="0"/>
              <w:autoSpaceDN w:val="0"/>
              <w:adjustRightInd w:val="0"/>
              <w:snapToGrid w:val="0"/>
              <w:spacing w:after="120" w:afterLines="50"/>
              <w:rPr>
                <w:kern w:val="0"/>
                <w:sz w:val="24"/>
              </w:rPr>
            </w:pPr>
            <w:r>
              <w:rPr>
                <w:kern w:val="0"/>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3.7.1</w:t>
            </w:r>
          </w:p>
        </w:tc>
        <w:tc>
          <w:tcPr>
            <w:tcW w:w="2515" w:type="dxa"/>
            <w:vAlign w:val="center"/>
          </w:tcPr>
          <w:p>
            <w:pPr>
              <w:rPr>
                <w:sz w:val="24"/>
              </w:rPr>
            </w:pPr>
            <w:bookmarkStart w:id="63" w:name="_Toc12209"/>
            <w:bookmarkStart w:id="64" w:name="_Toc195921789"/>
            <w:bookmarkStart w:id="65" w:name="_Toc5482"/>
            <w:bookmarkStart w:id="66" w:name="_Toc12380"/>
            <w:bookmarkStart w:id="67" w:name="_Toc21352"/>
            <w:r>
              <w:rPr>
                <w:sz w:val="24"/>
              </w:rPr>
              <w:t>投标保证金</w:t>
            </w:r>
            <w:bookmarkEnd w:id="63"/>
            <w:bookmarkEnd w:id="64"/>
            <w:bookmarkEnd w:id="65"/>
            <w:bookmarkEnd w:id="66"/>
            <w:bookmarkEnd w:id="67"/>
          </w:p>
        </w:tc>
        <w:tc>
          <w:tcPr>
            <w:tcW w:w="5016" w:type="dxa"/>
            <w:gridSpan w:val="2"/>
            <w:vAlign w:val="center"/>
          </w:tcPr>
          <w:p>
            <w:pPr>
              <w:autoSpaceDE w:val="0"/>
              <w:autoSpaceDN w:val="0"/>
              <w:adjustRightInd w:val="0"/>
              <w:snapToGrid w:val="0"/>
              <w:jc w:val="left"/>
              <w:rPr>
                <w:kern w:val="0"/>
                <w:sz w:val="24"/>
              </w:rPr>
            </w:pPr>
            <w:r>
              <w:rPr>
                <w:kern w:val="0"/>
                <w:sz w:val="24"/>
              </w:rPr>
              <w:t>供应商可以自主选择以支票、汇票、本票或者金融机构、担保机构出具的保函等非现金形式缴纳或提交投标保证金，投标保证金从基本账户转出。</w:t>
            </w:r>
          </w:p>
          <w:p>
            <w:pPr>
              <w:autoSpaceDE w:val="0"/>
              <w:autoSpaceDN w:val="0"/>
              <w:adjustRightInd w:val="0"/>
              <w:snapToGrid w:val="0"/>
              <w:jc w:val="left"/>
              <w:rPr>
                <w:kern w:val="0"/>
                <w:sz w:val="24"/>
              </w:rPr>
            </w:pPr>
            <w:r>
              <w:rPr>
                <w:kern w:val="0"/>
                <w:sz w:val="24"/>
              </w:rPr>
              <w:t>采用电汇方式提交投标保证金时，请按以下内容办理：</w:t>
            </w:r>
          </w:p>
          <w:p>
            <w:pPr>
              <w:autoSpaceDE w:val="0"/>
              <w:autoSpaceDN w:val="0"/>
              <w:adjustRightInd w:val="0"/>
              <w:snapToGrid w:val="0"/>
              <w:jc w:val="left"/>
              <w:rPr>
                <w:kern w:val="0"/>
                <w:sz w:val="24"/>
              </w:rPr>
            </w:pPr>
            <w:r>
              <w:rPr>
                <w:kern w:val="0"/>
                <w:sz w:val="24"/>
              </w:rPr>
              <w:t>保证金金额：</w:t>
            </w:r>
          </w:p>
          <w:p>
            <w:pPr>
              <w:autoSpaceDE w:val="0"/>
              <w:autoSpaceDN w:val="0"/>
              <w:adjustRightInd w:val="0"/>
              <w:snapToGrid w:val="0"/>
              <w:jc w:val="left"/>
              <w:rPr>
                <w:b/>
                <w:bCs/>
                <w:kern w:val="0"/>
                <w:sz w:val="24"/>
              </w:rPr>
            </w:pPr>
            <w:r>
              <w:rPr>
                <w:rFonts w:hint="eastAsia"/>
                <w:b/>
                <w:bCs/>
                <w:kern w:val="0"/>
                <w:sz w:val="24"/>
              </w:rPr>
              <w:t>标项1：</w:t>
            </w:r>
            <w:r>
              <w:rPr>
                <w:b/>
                <w:bCs/>
                <w:kern w:val="0"/>
                <w:sz w:val="24"/>
              </w:rPr>
              <w:t>¥</w:t>
            </w:r>
            <w:r>
              <w:rPr>
                <w:rFonts w:hint="eastAsia"/>
                <w:b/>
                <w:bCs/>
                <w:kern w:val="0"/>
                <w:sz w:val="24"/>
              </w:rPr>
              <w:t>20000</w:t>
            </w:r>
            <w:r>
              <w:rPr>
                <w:b/>
                <w:bCs/>
                <w:kern w:val="0"/>
                <w:sz w:val="24"/>
              </w:rPr>
              <w:t>元（</w:t>
            </w:r>
            <w:r>
              <w:rPr>
                <w:rFonts w:hint="eastAsia"/>
                <w:b/>
                <w:bCs/>
                <w:kern w:val="0"/>
                <w:sz w:val="24"/>
              </w:rPr>
              <w:t>贰万元整</w:t>
            </w:r>
            <w:r>
              <w:rPr>
                <w:b/>
                <w:bCs/>
                <w:kern w:val="0"/>
                <w:sz w:val="24"/>
              </w:rPr>
              <w:t>）；</w:t>
            </w:r>
          </w:p>
          <w:p>
            <w:pPr>
              <w:autoSpaceDE w:val="0"/>
              <w:autoSpaceDN w:val="0"/>
              <w:adjustRightInd w:val="0"/>
              <w:snapToGrid w:val="0"/>
              <w:jc w:val="left"/>
              <w:rPr>
                <w:kern w:val="0"/>
                <w:sz w:val="24"/>
              </w:rPr>
            </w:pPr>
            <w:r>
              <w:rPr>
                <w:rFonts w:hint="eastAsia"/>
                <w:b/>
                <w:bCs/>
                <w:kern w:val="0"/>
                <w:sz w:val="24"/>
              </w:rPr>
              <w:t>标项</w:t>
            </w:r>
            <w:r>
              <w:rPr>
                <w:b/>
                <w:bCs/>
                <w:kern w:val="0"/>
                <w:sz w:val="24"/>
              </w:rPr>
              <w:t>2</w:t>
            </w:r>
            <w:r>
              <w:rPr>
                <w:rFonts w:hint="eastAsia"/>
                <w:b/>
                <w:bCs/>
                <w:kern w:val="0"/>
                <w:sz w:val="24"/>
              </w:rPr>
              <w:t>：</w:t>
            </w:r>
            <w:r>
              <w:rPr>
                <w:b/>
                <w:bCs/>
                <w:kern w:val="0"/>
                <w:sz w:val="24"/>
              </w:rPr>
              <w:t>¥</w:t>
            </w:r>
            <w:r>
              <w:rPr>
                <w:rFonts w:hint="eastAsia"/>
                <w:b/>
                <w:bCs/>
                <w:kern w:val="0"/>
                <w:sz w:val="24"/>
              </w:rPr>
              <w:t>20000</w:t>
            </w:r>
            <w:r>
              <w:rPr>
                <w:b/>
                <w:bCs/>
                <w:kern w:val="0"/>
                <w:sz w:val="24"/>
              </w:rPr>
              <w:t>元（</w:t>
            </w:r>
            <w:r>
              <w:rPr>
                <w:rFonts w:hint="eastAsia"/>
                <w:b/>
                <w:bCs/>
                <w:kern w:val="0"/>
                <w:sz w:val="24"/>
              </w:rPr>
              <w:t>贰万元整</w:t>
            </w:r>
            <w:r>
              <w:rPr>
                <w:b/>
                <w:bCs/>
                <w:kern w:val="0"/>
                <w:sz w:val="24"/>
              </w:rPr>
              <w:t>）；</w:t>
            </w:r>
          </w:p>
          <w:p>
            <w:pPr>
              <w:autoSpaceDE w:val="0"/>
              <w:autoSpaceDN w:val="0"/>
              <w:adjustRightInd w:val="0"/>
              <w:snapToGrid w:val="0"/>
              <w:jc w:val="left"/>
              <w:rPr>
                <w:kern w:val="0"/>
                <w:sz w:val="24"/>
              </w:rPr>
            </w:pPr>
            <w:r>
              <w:rPr>
                <w:kern w:val="0"/>
                <w:sz w:val="24"/>
              </w:rPr>
              <w:t>保证金账户信息</w:t>
            </w:r>
            <w:r>
              <w:rPr>
                <w:rFonts w:hint="eastAsia"/>
                <w:kern w:val="0"/>
                <w:sz w:val="24"/>
              </w:rPr>
              <w:t>：</w:t>
            </w:r>
          </w:p>
          <w:p>
            <w:pPr>
              <w:autoSpaceDE w:val="0"/>
              <w:autoSpaceDN w:val="0"/>
              <w:adjustRightInd w:val="0"/>
              <w:snapToGrid w:val="0"/>
              <w:jc w:val="left"/>
              <w:rPr>
                <w:kern w:val="0"/>
                <w:sz w:val="24"/>
              </w:rPr>
            </w:pPr>
            <w:r>
              <w:rPr>
                <w:kern w:val="0"/>
                <w:sz w:val="24"/>
              </w:rPr>
              <w:t>开户名称：国信招标集团股份有限公司新疆分公司</w:t>
            </w:r>
          </w:p>
          <w:p>
            <w:pPr>
              <w:autoSpaceDE w:val="0"/>
              <w:autoSpaceDN w:val="0"/>
              <w:adjustRightInd w:val="0"/>
              <w:snapToGrid w:val="0"/>
              <w:jc w:val="left"/>
              <w:rPr>
                <w:kern w:val="0"/>
                <w:sz w:val="24"/>
              </w:rPr>
            </w:pPr>
            <w:r>
              <w:rPr>
                <w:kern w:val="0"/>
                <w:sz w:val="24"/>
              </w:rPr>
              <w:t>开户银行：招商银行乌鲁木齐人民路支行</w:t>
            </w:r>
          </w:p>
          <w:p>
            <w:pPr>
              <w:autoSpaceDE w:val="0"/>
              <w:autoSpaceDN w:val="0"/>
              <w:adjustRightInd w:val="0"/>
              <w:snapToGrid w:val="0"/>
              <w:jc w:val="left"/>
              <w:rPr>
                <w:kern w:val="0"/>
                <w:sz w:val="22"/>
                <w:szCs w:val="22"/>
              </w:rPr>
            </w:pPr>
            <w:r>
              <w:rPr>
                <w:rFonts w:hint="eastAsia"/>
                <w:kern w:val="0"/>
                <w:sz w:val="24"/>
              </w:rPr>
              <w:t>银行</w:t>
            </w:r>
            <w:r>
              <w:rPr>
                <w:kern w:val="0"/>
                <w:sz w:val="24"/>
              </w:rPr>
              <w:t>行号：30</w:t>
            </w:r>
            <w:r>
              <w:rPr>
                <w:kern w:val="0"/>
                <w:sz w:val="22"/>
                <w:szCs w:val="22"/>
              </w:rPr>
              <w:t>8881029059</w:t>
            </w:r>
          </w:p>
          <w:p>
            <w:pPr>
              <w:autoSpaceDE w:val="0"/>
              <w:autoSpaceDN w:val="0"/>
              <w:adjustRightInd w:val="0"/>
              <w:snapToGrid w:val="0"/>
              <w:jc w:val="left"/>
              <w:rPr>
                <w:kern w:val="0"/>
                <w:sz w:val="22"/>
                <w:szCs w:val="22"/>
              </w:rPr>
            </w:pPr>
            <w:r>
              <w:rPr>
                <w:rFonts w:hint="eastAsia"/>
                <w:kern w:val="0"/>
                <w:sz w:val="22"/>
                <w:szCs w:val="22"/>
              </w:rPr>
              <w:t>标项1银行</w:t>
            </w:r>
            <w:r>
              <w:rPr>
                <w:kern w:val="0"/>
                <w:sz w:val="22"/>
                <w:szCs w:val="22"/>
              </w:rPr>
              <w:t>账号：9919048608102012200017908</w:t>
            </w:r>
          </w:p>
          <w:p>
            <w:pPr>
              <w:autoSpaceDE w:val="0"/>
              <w:autoSpaceDN w:val="0"/>
              <w:adjustRightInd w:val="0"/>
              <w:snapToGrid w:val="0"/>
              <w:jc w:val="left"/>
              <w:rPr>
                <w:rFonts w:hint="eastAsia"/>
                <w:kern w:val="0"/>
                <w:sz w:val="22"/>
                <w:szCs w:val="22"/>
                <w:lang w:val="en-US" w:eastAsia="zh-CN"/>
              </w:rPr>
            </w:pPr>
            <w:r>
              <w:rPr>
                <w:rFonts w:hint="eastAsia"/>
                <w:kern w:val="0"/>
                <w:sz w:val="22"/>
                <w:szCs w:val="22"/>
              </w:rPr>
              <w:t>标项2银行</w:t>
            </w:r>
            <w:r>
              <w:rPr>
                <w:kern w:val="0"/>
                <w:sz w:val="22"/>
                <w:szCs w:val="22"/>
              </w:rPr>
              <w:t>账号：991904860810201220001790</w:t>
            </w:r>
            <w:r>
              <w:rPr>
                <w:rFonts w:hint="eastAsia"/>
                <w:kern w:val="0"/>
                <w:sz w:val="22"/>
                <w:szCs w:val="22"/>
                <w:lang w:val="en-US" w:eastAsia="zh-CN"/>
              </w:rPr>
              <w:t>9</w:t>
            </w:r>
          </w:p>
          <w:p>
            <w:pPr>
              <w:rPr>
                <w:rFonts w:ascii="Arial" w:hAnsi="Arial" w:cs="Arial"/>
                <w:snapToGrid w:val="0"/>
                <w:kern w:val="0"/>
                <w:sz w:val="24"/>
              </w:rPr>
            </w:pPr>
            <w:r>
              <w:rPr>
                <w:rFonts w:hint="eastAsia" w:ascii="Arial" w:hAnsi="Arial" w:cs="Arial"/>
                <w:snapToGrid w:val="0"/>
                <w:kern w:val="0"/>
                <w:sz w:val="24"/>
              </w:rPr>
              <w:t>1、请各供应商在投标截止时间前3日，按招标文件的要求向采购代理机构递交投标保证金，投标截止时间之后递交的投标保证金将被拒绝。供应商必须在投标截止时间前按照招标文件中关于投标保证金的各项要求提交投标保证金。</w:t>
            </w:r>
            <w:r>
              <w:rPr>
                <w:rFonts w:hint="eastAsia" w:ascii="Arial" w:hAnsi="Arial" w:cs="Arial"/>
                <w:b/>
                <w:bCs/>
                <w:snapToGrid w:val="0"/>
                <w:kern w:val="0"/>
                <w:sz w:val="24"/>
              </w:rPr>
              <w:t>请供应商在汇款时务必注明所参加项目的项目编号、标项编号</w:t>
            </w:r>
            <w:r>
              <w:rPr>
                <w:rFonts w:hint="eastAsia" w:ascii="Arial" w:hAnsi="Arial" w:cs="Arial"/>
                <w:snapToGrid w:val="0"/>
                <w:kern w:val="0"/>
                <w:sz w:val="24"/>
              </w:rPr>
              <w:t>及款项用途，否则，因投标保证金未在投标截止时间之前到账或款项用途不明等原因导致投标无效等后果由供应商自行承担。</w:t>
            </w:r>
          </w:p>
          <w:p>
            <w:pPr>
              <w:rPr>
                <w:rFonts w:ascii="Arial" w:hAnsi="Arial" w:cs="Arial"/>
                <w:snapToGrid w:val="0"/>
                <w:kern w:val="0"/>
                <w:sz w:val="24"/>
              </w:rPr>
            </w:pPr>
            <w:r>
              <w:rPr>
                <w:rFonts w:hint="eastAsia" w:ascii="Arial" w:hAnsi="Arial" w:cs="Arial"/>
                <w:snapToGrid w:val="0"/>
                <w:kern w:val="0"/>
                <w:sz w:val="24"/>
              </w:rPr>
              <w:t>2、投标保证金交纳人必须与供应商名称保持一致；供应商需保证其保证金从其基本账户中转出，若供应商未按此要求办理而产生的一切后果由供应商自行承担。</w:t>
            </w:r>
          </w:p>
          <w:p>
            <w:pPr>
              <w:rPr>
                <w:rFonts w:ascii="Arial" w:hAnsi="Arial" w:cs="Arial"/>
                <w:b/>
                <w:bCs/>
                <w:snapToGrid w:val="0"/>
                <w:kern w:val="0"/>
                <w:sz w:val="24"/>
              </w:rPr>
            </w:pPr>
            <w:r>
              <w:rPr>
                <w:rFonts w:hint="eastAsia" w:ascii="Arial" w:hAnsi="Arial" w:cs="Arial"/>
                <w:snapToGrid w:val="0"/>
                <w:kern w:val="0"/>
                <w:sz w:val="24"/>
              </w:rPr>
              <w:t>3、</w:t>
            </w:r>
            <w:r>
              <w:rPr>
                <w:rFonts w:hint="eastAsia" w:ascii="Arial" w:hAnsi="Arial" w:cs="Arial"/>
                <w:b/>
                <w:bCs/>
                <w:snapToGrid w:val="0"/>
                <w:kern w:val="0"/>
                <w:sz w:val="24"/>
              </w:rPr>
              <w:t>供应商保证金付款的银行回单复印件（或采购代理机构开具的投标保证金收据复印件）（加盖供应商公章），需单独密封随投标文件一起递交，开标时由工作人员现场查验。</w:t>
            </w:r>
          </w:p>
          <w:p>
            <w:pPr>
              <w:rPr>
                <w:rFonts w:ascii="Arial" w:hAnsi="Arial" w:cs="Arial"/>
                <w:snapToGrid w:val="0"/>
                <w:kern w:val="0"/>
                <w:sz w:val="24"/>
              </w:rPr>
            </w:pPr>
            <w:r>
              <w:rPr>
                <w:rFonts w:hint="eastAsia" w:ascii="Arial" w:hAnsi="Arial" w:cs="Arial"/>
                <w:snapToGrid w:val="0"/>
                <w:kern w:val="0"/>
                <w:sz w:val="24"/>
              </w:rPr>
              <w:t>4、中标人需在中标合同签订之日起五个工作日内，持中标合同到国信招标集团股份有限公司新疆分公司财务部办理保证金退还手续；未中标人需在中标通知书发出之日起五个工作日内到国信招标集团股份有限公司新疆分公司财务部办理保证金退还手续。逾期未办理的，我公司不承担相关责任。</w:t>
            </w:r>
          </w:p>
          <w:p>
            <w:pPr>
              <w:rPr>
                <w:sz w:val="24"/>
              </w:rPr>
            </w:pPr>
            <w:r>
              <w:rPr>
                <w:rFonts w:hint="eastAsia" w:ascii="Arial" w:hAnsi="Arial" w:cs="Arial"/>
                <w:snapToGrid w:val="0"/>
                <w:kern w:val="0"/>
                <w:sz w:val="24"/>
              </w:rPr>
              <w:t>凡没有根据本须知的规定随附投标保证金/保函的响应，将被视为非响应性投标予以拒绝。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3.8.2</w:t>
            </w:r>
          </w:p>
        </w:tc>
        <w:tc>
          <w:tcPr>
            <w:tcW w:w="2515" w:type="dxa"/>
            <w:vAlign w:val="center"/>
          </w:tcPr>
          <w:p>
            <w:pPr>
              <w:autoSpaceDE w:val="0"/>
              <w:autoSpaceDN w:val="0"/>
              <w:adjustRightInd w:val="0"/>
              <w:snapToGrid w:val="0"/>
              <w:rPr>
                <w:kern w:val="0"/>
                <w:sz w:val="24"/>
              </w:rPr>
            </w:pPr>
            <w:r>
              <w:rPr>
                <w:kern w:val="0"/>
                <w:sz w:val="24"/>
              </w:rPr>
              <w:t>签字或加盖人名章要求</w:t>
            </w:r>
          </w:p>
        </w:tc>
        <w:tc>
          <w:tcPr>
            <w:tcW w:w="5016" w:type="dxa"/>
            <w:gridSpan w:val="2"/>
            <w:vAlign w:val="center"/>
          </w:tcPr>
          <w:p>
            <w:pPr>
              <w:autoSpaceDE w:val="0"/>
              <w:autoSpaceDN w:val="0"/>
              <w:adjustRightInd w:val="0"/>
              <w:snapToGrid w:val="0"/>
              <w:spacing w:after="120" w:afterLines="50"/>
              <w:rPr>
                <w:i/>
                <w:kern w:val="0"/>
                <w:sz w:val="24"/>
              </w:rPr>
            </w:pPr>
            <w:r>
              <w:rPr>
                <w:sz w:val="24"/>
              </w:rPr>
              <w:t>投标文件中要求加盖单位章处均应为单位公章、法人公章、法人代表签章。联合体投标时，投标书、联合体协议需加盖联合体各方公章和法人公章、法人代表签章。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3.8.3</w:t>
            </w:r>
          </w:p>
        </w:tc>
        <w:tc>
          <w:tcPr>
            <w:tcW w:w="2515" w:type="dxa"/>
            <w:vAlign w:val="center"/>
          </w:tcPr>
          <w:p>
            <w:pPr>
              <w:autoSpaceDE w:val="0"/>
              <w:autoSpaceDN w:val="0"/>
              <w:adjustRightInd w:val="0"/>
              <w:snapToGrid w:val="0"/>
              <w:rPr>
                <w:kern w:val="0"/>
                <w:sz w:val="24"/>
              </w:rPr>
            </w:pPr>
            <w:r>
              <w:rPr>
                <w:kern w:val="0"/>
                <w:sz w:val="24"/>
              </w:rPr>
              <w:t>投标文件副本份数</w:t>
            </w:r>
            <w:r>
              <w:rPr>
                <w:rFonts w:hint="eastAsia"/>
                <w:kern w:val="0"/>
                <w:sz w:val="24"/>
              </w:rPr>
              <w:t>、</w:t>
            </w:r>
            <w:r>
              <w:rPr>
                <w:kern w:val="0"/>
                <w:sz w:val="24"/>
              </w:rPr>
              <w:t>电子</w:t>
            </w:r>
            <w:r>
              <w:rPr>
                <w:rFonts w:hint="eastAsia"/>
                <w:kern w:val="0"/>
                <w:sz w:val="24"/>
              </w:rPr>
              <w:t>版</w:t>
            </w:r>
            <w:r>
              <w:rPr>
                <w:kern w:val="0"/>
                <w:sz w:val="24"/>
              </w:rPr>
              <w:t>份数</w:t>
            </w:r>
            <w:r>
              <w:rPr>
                <w:rFonts w:hint="eastAsia"/>
                <w:kern w:val="0"/>
                <w:sz w:val="24"/>
              </w:rPr>
              <w:t>及开标一览表</w:t>
            </w:r>
          </w:p>
        </w:tc>
        <w:tc>
          <w:tcPr>
            <w:tcW w:w="5016" w:type="dxa"/>
            <w:gridSpan w:val="2"/>
            <w:vAlign w:val="center"/>
          </w:tcPr>
          <w:p>
            <w:pPr>
              <w:pStyle w:val="422"/>
              <w:adjustRightInd w:val="0"/>
              <w:snapToGrid w:val="0"/>
              <w:spacing w:before="0" w:after="0"/>
              <w:ind w:firstLine="0" w:firstLineChars="0"/>
              <w:rPr>
                <w:rFonts w:ascii="Times New Roman" w:hAnsi="Times New Roman" w:eastAsia="宋体" w:cs="Times New Roman"/>
                <w:color w:val="auto"/>
                <w:kern w:val="0"/>
                <w:sz w:val="24"/>
                <w:szCs w:val="24"/>
                <w:lang w:val="en-US"/>
              </w:rPr>
            </w:pPr>
            <w:r>
              <w:rPr>
                <w:rFonts w:ascii="Times New Roman" w:hAnsi="Times New Roman" w:eastAsia="宋体" w:cs="Times New Roman"/>
                <w:color w:val="auto"/>
                <w:kern w:val="0"/>
                <w:sz w:val="24"/>
                <w:szCs w:val="24"/>
                <w:lang w:val="en-US"/>
              </w:rPr>
              <w:t>投标文件</w:t>
            </w:r>
            <w:r>
              <w:rPr>
                <w:rFonts w:hint="eastAsia" w:ascii="Times New Roman" w:hAnsi="Times New Roman" w:eastAsia="宋体" w:cs="Times New Roman"/>
                <w:color w:val="auto"/>
                <w:kern w:val="0"/>
                <w:sz w:val="24"/>
                <w:szCs w:val="24"/>
                <w:lang w:val="en-US"/>
              </w:rPr>
              <w:t>纸质版：正本一份、副本四</w:t>
            </w:r>
            <w:r>
              <w:rPr>
                <w:rFonts w:ascii="Times New Roman" w:hAnsi="Times New Roman" w:eastAsia="宋体" w:cs="Times New Roman"/>
                <w:color w:val="auto"/>
                <w:kern w:val="0"/>
                <w:sz w:val="24"/>
                <w:szCs w:val="24"/>
                <w:lang w:val="en-US"/>
              </w:rPr>
              <w:t>份；</w:t>
            </w:r>
          </w:p>
          <w:p>
            <w:pPr>
              <w:pStyle w:val="422"/>
              <w:autoSpaceDE w:val="0"/>
              <w:autoSpaceDN w:val="0"/>
              <w:adjustRightInd w:val="0"/>
              <w:snapToGrid w:val="0"/>
              <w:spacing w:before="0" w:after="0"/>
              <w:ind w:firstLine="0" w:firstLineChars="0"/>
              <w:rPr>
                <w:rFonts w:ascii="Times New Roman" w:hAnsi="Times New Roman" w:eastAsia="宋体" w:cs="Times New Roman"/>
                <w:color w:val="auto"/>
                <w:kern w:val="0"/>
                <w:sz w:val="24"/>
                <w:szCs w:val="24"/>
                <w:lang w:val="en-US"/>
              </w:rPr>
            </w:pPr>
            <w:r>
              <w:rPr>
                <w:rFonts w:ascii="Times New Roman" w:hAnsi="Times New Roman" w:eastAsia="宋体" w:cs="Times New Roman"/>
                <w:color w:val="auto"/>
                <w:kern w:val="0"/>
                <w:sz w:val="24"/>
                <w:szCs w:val="24"/>
                <w:lang w:val="en-US"/>
              </w:rPr>
              <w:t>投标文件电子</w:t>
            </w:r>
            <w:r>
              <w:rPr>
                <w:rFonts w:hint="eastAsia" w:ascii="Times New Roman" w:hAnsi="Times New Roman" w:eastAsia="宋体" w:cs="Times New Roman"/>
                <w:color w:val="auto"/>
                <w:kern w:val="0"/>
                <w:sz w:val="24"/>
                <w:szCs w:val="24"/>
                <w:lang w:val="en-US"/>
              </w:rPr>
              <w:t>版：一</w:t>
            </w:r>
            <w:r>
              <w:rPr>
                <w:rFonts w:ascii="Times New Roman" w:hAnsi="Times New Roman" w:eastAsia="宋体" w:cs="Times New Roman"/>
                <w:color w:val="auto"/>
                <w:kern w:val="0"/>
                <w:sz w:val="24"/>
                <w:szCs w:val="24"/>
                <w:lang w:val="en-US"/>
              </w:rPr>
              <w:t>份</w:t>
            </w:r>
            <w:r>
              <w:rPr>
                <w:rFonts w:hint="eastAsia" w:ascii="Times New Roman" w:hAnsi="Times New Roman" w:eastAsia="宋体" w:cs="Times New Roman"/>
                <w:color w:val="auto"/>
                <w:kern w:val="0"/>
                <w:sz w:val="24"/>
                <w:szCs w:val="24"/>
                <w:lang w:val="en-US"/>
              </w:rPr>
              <w:t>。</w:t>
            </w:r>
          </w:p>
          <w:p>
            <w:pPr>
              <w:pStyle w:val="422"/>
              <w:autoSpaceDE w:val="0"/>
              <w:autoSpaceDN w:val="0"/>
              <w:adjustRightInd w:val="0"/>
              <w:snapToGrid w:val="0"/>
              <w:spacing w:before="0" w:after="0"/>
              <w:ind w:firstLine="480"/>
              <w:rPr>
                <w:rFonts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rPr>
              <w:t>投标文件分为开标一览表信封、投标文件纸质版信封和投标文件电子版信封，必须包括下列内容：</w:t>
            </w:r>
          </w:p>
          <w:p>
            <w:pPr>
              <w:pStyle w:val="422"/>
              <w:autoSpaceDE w:val="0"/>
              <w:autoSpaceDN w:val="0"/>
              <w:adjustRightInd w:val="0"/>
              <w:snapToGrid w:val="0"/>
              <w:spacing w:before="0" w:after="0"/>
              <w:ind w:firstLine="0" w:firstLineChars="0"/>
              <w:jc w:val="left"/>
              <w:rPr>
                <w:rFonts w:ascii="Times New Roman" w:hAnsi="Times New Roman" w:eastAsia="宋体" w:cs="Times New Roman"/>
                <w:b/>
                <w:bCs/>
                <w:color w:val="auto"/>
                <w:sz w:val="24"/>
                <w:szCs w:val="24"/>
                <w:lang w:val="en-US"/>
              </w:rPr>
            </w:pPr>
            <w:r>
              <w:rPr>
                <w:rFonts w:ascii="Times New Roman" w:hAnsi="Times New Roman" w:eastAsia="宋体" w:cs="Times New Roman"/>
                <w:b/>
                <w:bCs/>
                <w:color w:val="auto"/>
                <w:sz w:val="24"/>
                <w:szCs w:val="24"/>
                <w:lang w:val="en-US"/>
              </w:rPr>
              <w:t>1</w:t>
            </w:r>
            <w:r>
              <w:rPr>
                <w:rFonts w:hint="eastAsia" w:ascii="Times New Roman" w:hAnsi="Times New Roman" w:eastAsia="宋体" w:cs="Times New Roman"/>
                <w:b/>
                <w:bCs/>
                <w:color w:val="auto"/>
                <w:sz w:val="24"/>
                <w:szCs w:val="24"/>
                <w:lang w:val="en-US"/>
              </w:rPr>
              <w:t>、开标一览表信封</w:t>
            </w:r>
          </w:p>
          <w:p>
            <w:pPr>
              <w:pStyle w:val="422"/>
              <w:autoSpaceDE w:val="0"/>
              <w:autoSpaceDN w:val="0"/>
              <w:adjustRightInd w:val="0"/>
              <w:snapToGrid w:val="0"/>
              <w:spacing w:before="0" w:after="0"/>
              <w:ind w:firstLine="0" w:firstLineChars="0"/>
              <w:rPr>
                <w:rFonts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rPr>
              <w:t>（</w:t>
            </w:r>
            <w:r>
              <w:rPr>
                <w:rFonts w:ascii="Times New Roman" w:hAnsi="Times New Roman" w:eastAsia="宋体" w:cs="Times New Roman"/>
                <w:color w:val="auto"/>
                <w:sz w:val="24"/>
                <w:szCs w:val="24"/>
                <w:lang w:val="en-US"/>
              </w:rPr>
              <w:t>1</w:t>
            </w:r>
            <w:r>
              <w:rPr>
                <w:rFonts w:hint="eastAsia" w:ascii="Times New Roman" w:hAnsi="Times New Roman" w:eastAsia="宋体" w:cs="Times New Roman"/>
                <w:color w:val="auto"/>
                <w:sz w:val="24"/>
                <w:szCs w:val="24"/>
                <w:lang w:val="en-US"/>
              </w:rPr>
              <w:t>）开标一览表；</w:t>
            </w:r>
          </w:p>
          <w:p>
            <w:pPr>
              <w:pStyle w:val="422"/>
              <w:autoSpaceDE w:val="0"/>
              <w:autoSpaceDN w:val="0"/>
              <w:adjustRightInd w:val="0"/>
              <w:snapToGrid w:val="0"/>
              <w:spacing w:before="0" w:after="0"/>
              <w:ind w:firstLine="0" w:firstLineChars="0"/>
              <w:rPr>
                <w:rFonts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rPr>
              <w:t>（2）投标分项报价表；</w:t>
            </w:r>
          </w:p>
          <w:p>
            <w:pPr>
              <w:pStyle w:val="422"/>
              <w:autoSpaceDE w:val="0"/>
              <w:autoSpaceDN w:val="0"/>
              <w:adjustRightInd w:val="0"/>
              <w:snapToGrid w:val="0"/>
              <w:spacing w:before="0" w:after="0"/>
              <w:ind w:firstLine="0" w:firstLineChars="0"/>
              <w:rPr>
                <w:rFonts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rPr>
              <w:t>（3）投标保证金支付的凭证（收据或银行汇款凭证）；</w:t>
            </w:r>
          </w:p>
          <w:p>
            <w:pPr>
              <w:pStyle w:val="422"/>
              <w:autoSpaceDE w:val="0"/>
              <w:autoSpaceDN w:val="0"/>
              <w:adjustRightInd w:val="0"/>
              <w:snapToGrid w:val="0"/>
              <w:spacing w:before="0" w:after="0"/>
              <w:ind w:firstLine="0" w:firstLineChars="0"/>
              <w:rPr>
                <w:rFonts w:ascii="Times New Roman" w:hAnsi="Times New Roman" w:eastAsia="宋体" w:cs="Times New Roman"/>
                <w:color w:val="auto"/>
                <w:sz w:val="24"/>
                <w:szCs w:val="24"/>
                <w:lang w:val="en-US"/>
              </w:rPr>
            </w:pPr>
            <w:r>
              <w:rPr>
                <w:rFonts w:ascii="Times New Roman" w:hAnsi="Times New Roman" w:eastAsia="宋体" w:cs="Times New Roman"/>
                <w:b/>
                <w:bCs/>
                <w:color w:val="auto"/>
                <w:sz w:val="24"/>
                <w:szCs w:val="24"/>
                <w:lang w:val="en-US"/>
              </w:rPr>
              <w:t>2</w:t>
            </w:r>
            <w:r>
              <w:rPr>
                <w:rFonts w:hint="eastAsia" w:ascii="Times New Roman" w:hAnsi="Times New Roman" w:eastAsia="宋体" w:cs="Times New Roman"/>
                <w:b/>
                <w:bCs/>
                <w:color w:val="auto"/>
                <w:sz w:val="24"/>
                <w:szCs w:val="24"/>
                <w:lang w:val="en-US"/>
              </w:rPr>
              <w:t>、投标文件纸质版信封</w:t>
            </w:r>
          </w:p>
          <w:p>
            <w:pPr>
              <w:pStyle w:val="422"/>
              <w:autoSpaceDE w:val="0"/>
              <w:autoSpaceDN w:val="0"/>
              <w:adjustRightInd w:val="0"/>
              <w:snapToGrid w:val="0"/>
              <w:spacing w:before="0" w:after="0"/>
              <w:ind w:firstLine="0" w:firstLineChars="0"/>
              <w:rPr>
                <w:rFonts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rPr>
              <w:t>（1）正本、副本可以单独密封，也可以密封在同一个密封袋中。</w:t>
            </w:r>
          </w:p>
          <w:p>
            <w:pPr>
              <w:pStyle w:val="422"/>
              <w:autoSpaceDE w:val="0"/>
              <w:autoSpaceDN w:val="0"/>
              <w:adjustRightInd w:val="0"/>
              <w:snapToGrid w:val="0"/>
              <w:spacing w:before="0" w:after="0"/>
              <w:ind w:firstLine="0" w:firstLineChars="0"/>
              <w:rPr>
                <w:rFonts w:ascii="Times New Roman" w:hAnsi="Times New Roman" w:eastAsia="宋体" w:cs="Times New Roman"/>
                <w:color w:val="auto"/>
                <w:sz w:val="24"/>
                <w:szCs w:val="24"/>
                <w:lang w:val="en-US"/>
              </w:rPr>
            </w:pPr>
            <w:r>
              <w:rPr>
                <w:rFonts w:hint="eastAsia" w:ascii="Times New Roman" w:hAnsi="Times New Roman" w:eastAsia="宋体" w:cs="Times New Roman"/>
                <w:b/>
                <w:bCs/>
                <w:color w:val="auto"/>
                <w:sz w:val="24"/>
                <w:szCs w:val="24"/>
                <w:lang w:val="en-US"/>
              </w:rPr>
              <w:t>（2）划分标项项目的投标文件商务部分：</w:t>
            </w:r>
            <w:r>
              <w:rPr>
                <w:rFonts w:hint="eastAsia" w:ascii="Times New Roman" w:hAnsi="Times New Roman" w:eastAsia="宋体" w:cs="Times New Roman"/>
                <w:color w:val="auto"/>
                <w:sz w:val="24"/>
                <w:szCs w:val="24"/>
                <w:lang w:val="en-US"/>
              </w:rPr>
              <w:t>当投标人同时参加多个标项投标时，投标文件商务部分可以只提供一份。无需重复递交内容相同的商务部分。</w:t>
            </w:r>
          </w:p>
          <w:p>
            <w:pPr>
              <w:pStyle w:val="422"/>
              <w:autoSpaceDE w:val="0"/>
              <w:autoSpaceDN w:val="0"/>
              <w:adjustRightInd w:val="0"/>
              <w:snapToGrid w:val="0"/>
              <w:spacing w:before="0" w:after="0"/>
              <w:ind w:firstLine="0" w:firstLineChars="0"/>
              <w:rPr>
                <w:rFonts w:ascii="Times New Roman" w:hAnsi="Times New Roman" w:eastAsia="宋体" w:cs="Times New Roman"/>
                <w:color w:val="auto"/>
                <w:sz w:val="24"/>
                <w:szCs w:val="24"/>
                <w:lang w:val="en-US"/>
              </w:rPr>
            </w:pPr>
            <w:r>
              <w:rPr>
                <w:rFonts w:ascii="Times New Roman" w:hAnsi="Times New Roman" w:eastAsia="宋体" w:cs="Times New Roman"/>
                <w:b/>
                <w:bCs/>
                <w:color w:val="auto"/>
                <w:sz w:val="24"/>
                <w:szCs w:val="24"/>
                <w:lang w:val="en-US"/>
              </w:rPr>
              <w:t>3</w:t>
            </w:r>
            <w:r>
              <w:rPr>
                <w:rFonts w:hint="eastAsia" w:ascii="Times New Roman" w:hAnsi="Times New Roman" w:eastAsia="宋体" w:cs="Times New Roman"/>
                <w:b/>
                <w:bCs/>
                <w:color w:val="auto"/>
                <w:sz w:val="24"/>
                <w:szCs w:val="24"/>
                <w:lang w:val="en-US"/>
              </w:rPr>
              <w:t>、投标文件电子版信封（U盘或光盘）</w:t>
            </w:r>
          </w:p>
          <w:p>
            <w:pPr>
              <w:pStyle w:val="422"/>
              <w:autoSpaceDE w:val="0"/>
              <w:autoSpaceDN w:val="0"/>
              <w:adjustRightInd w:val="0"/>
              <w:snapToGrid w:val="0"/>
              <w:spacing w:before="0" w:after="0"/>
              <w:ind w:firstLine="0" w:firstLineChars="0"/>
              <w:rPr>
                <w:rFonts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rPr>
              <w:t>（1）开标一览表电子版</w:t>
            </w:r>
          </w:p>
          <w:p>
            <w:pPr>
              <w:pStyle w:val="422"/>
              <w:autoSpaceDE w:val="0"/>
              <w:autoSpaceDN w:val="0"/>
              <w:adjustRightInd w:val="0"/>
              <w:snapToGrid w:val="0"/>
              <w:spacing w:before="0" w:after="0"/>
              <w:ind w:firstLine="0" w:firstLineChars="0"/>
              <w:rPr>
                <w:rFonts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rPr>
              <w:t>（2）投标分项报价表（Excel或Word格式）</w:t>
            </w:r>
          </w:p>
          <w:p>
            <w:pPr>
              <w:pStyle w:val="422"/>
              <w:autoSpaceDE w:val="0"/>
              <w:autoSpaceDN w:val="0"/>
              <w:adjustRightInd w:val="0"/>
              <w:snapToGrid w:val="0"/>
              <w:spacing w:before="0" w:after="0"/>
              <w:ind w:firstLine="0" w:firstLineChars="0"/>
              <w:rPr>
                <w:rFonts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rPr>
              <w:t>（</w:t>
            </w:r>
            <w:r>
              <w:rPr>
                <w:rFonts w:ascii="Times New Roman" w:hAnsi="Times New Roman" w:eastAsia="宋体" w:cs="Times New Roman"/>
                <w:color w:val="auto"/>
                <w:sz w:val="24"/>
                <w:szCs w:val="24"/>
                <w:lang w:val="en-US"/>
              </w:rPr>
              <w:t>3</w:t>
            </w:r>
            <w:r>
              <w:rPr>
                <w:rFonts w:hint="eastAsia" w:ascii="Times New Roman" w:hAnsi="Times New Roman" w:eastAsia="宋体" w:cs="Times New Roman"/>
                <w:color w:val="auto"/>
                <w:sz w:val="24"/>
                <w:szCs w:val="24"/>
                <w:lang w:val="en-US"/>
              </w:rPr>
              <w:t>）投标文件电子版：Word格式一份、P</w:t>
            </w:r>
            <w:r>
              <w:rPr>
                <w:rFonts w:ascii="Times New Roman" w:hAnsi="Times New Roman" w:eastAsia="宋体" w:cs="Times New Roman"/>
                <w:color w:val="auto"/>
                <w:sz w:val="24"/>
                <w:szCs w:val="24"/>
                <w:lang w:val="en-US"/>
              </w:rPr>
              <w:t>DF</w:t>
            </w:r>
            <w:r>
              <w:rPr>
                <w:rFonts w:hint="eastAsia" w:ascii="Times New Roman" w:hAnsi="Times New Roman" w:eastAsia="宋体" w:cs="Times New Roman"/>
                <w:color w:val="auto"/>
                <w:sz w:val="24"/>
                <w:szCs w:val="24"/>
                <w:lang w:val="en-US"/>
              </w:rPr>
              <w:t>格式一份，PDF格式须为以投标文件正本按要求签字盖章后彩色扫描成PDF格式。投标文件电子版须包含投标文件纸质版所有内容，且电子版与纸质版内容必须一致。</w:t>
            </w:r>
          </w:p>
          <w:p>
            <w:pPr>
              <w:pStyle w:val="422"/>
              <w:autoSpaceDE w:val="0"/>
              <w:autoSpaceDN w:val="0"/>
              <w:adjustRightInd w:val="0"/>
              <w:snapToGrid w:val="0"/>
              <w:spacing w:after="120" w:afterLines="50" w:line="380" w:lineRule="exact"/>
              <w:ind w:firstLine="0" w:firstLineChars="0"/>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rPr>
              <w:t>注：同一项目划分多个标项时，上述投标文件各个组成部分也应按标项分开单独制作并密封递交。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3.8.4</w:t>
            </w:r>
          </w:p>
        </w:tc>
        <w:tc>
          <w:tcPr>
            <w:tcW w:w="2515" w:type="dxa"/>
            <w:vAlign w:val="center"/>
          </w:tcPr>
          <w:p>
            <w:pPr>
              <w:autoSpaceDE w:val="0"/>
              <w:autoSpaceDN w:val="0"/>
              <w:adjustRightInd w:val="0"/>
              <w:snapToGrid w:val="0"/>
              <w:rPr>
                <w:kern w:val="0"/>
                <w:sz w:val="24"/>
              </w:rPr>
            </w:pPr>
            <w:r>
              <w:rPr>
                <w:kern w:val="0"/>
                <w:sz w:val="24"/>
              </w:rPr>
              <w:t>装订方式</w:t>
            </w:r>
          </w:p>
        </w:tc>
        <w:tc>
          <w:tcPr>
            <w:tcW w:w="5016" w:type="dxa"/>
            <w:gridSpan w:val="2"/>
            <w:vAlign w:val="center"/>
          </w:tcPr>
          <w:p>
            <w:pPr>
              <w:pStyle w:val="422"/>
              <w:spacing w:line="380" w:lineRule="exact"/>
              <w:ind w:firstLine="0" w:firstLineChars="0"/>
              <w:rPr>
                <w:rFonts w:ascii="Times New Roman" w:hAnsi="Times New Roman" w:eastAsia="宋体" w:cs="Times New Roman"/>
                <w:b/>
                <w:bCs/>
                <w:color w:val="auto"/>
                <w:sz w:val="24"/>
                <w:szCs w:val="24"/>
                <w:lang w:val="en-US"/>
              </w:rPr>
            </w:pPr>
            <w:r>
              <w:rPr>
                <w:rFonts w:ascii="Times New Roman" w:hAnsi="Times New Roman" w:eastAsia="宋体" w:cs="Times New Roman"/>
                <w:color w:val="auto"/>
                <w:kern w:val="0"/>
                <w:sz w:val="24"/>
                <w:szCs w:val="24"/>
                <w:lang w:val="en-US"/>
              </w:rPr>
              <w:t>所有投标文件采用不可拆装的胶订方式装订。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4.1.2</w:t>
            </w:r>
          </w:p>
        </w:tc>
        <w:tc>
          <w:tcPr>
            <w:tcW w:w="2515" w:type="dxa"/>
            <w:vAlign w:val="center"/>
          </w:tcPr>
          <w:p>
            <w:pPr>
              <w:autoSpaceDE w:val="0"/>
              <w:autoSpaceDN w:val="0"/>
              <w:adjustRightInd w:val="0"/>
              <w:snapToGrid w:val="0"/>
              <w:rPr>
                <w:kern w:val="0"/>
                <w:sz w:val="24"/>
              </w:rPr>
            </w:pPr>
            <w:r>
              <w:rPr>
                <w:kern w:val="0"/>
                <w:sz w:val="24"/>
              </w:rPr>
              <w:t>封套上写明</w:t>
            </w:r>
          </w:p>
        </w:tc>
        <w:tc>
          <w:tcPr>
            <w:tcW w:w="5016" w:type="dxa"/>
            <w:gridSpan w:val="2"/>
            <w:vAlign w:val="center"/>
          </w:tcPr>
          <w:p>
            <w:pPr>
              <w:autoSpaceDE w:val="0"/>
              <w:autoSpaceDN w:val="0"/>
              <w:adjustRightInd w:val="0"/>
              <w:snapToGrid w:val="0"/>
              <w:spacing w:after="120" w:afterLines="50"/>
              <w:rPr>
                <w:kern w:val="0"/>
                <w:sz w:val="24"/>
              </w:rPr>
            </w:pPr>
            <w:r>
              <w:rPr>
                <w:kern w:val="0"/>
                <w:sz w:val="24"/>
              </w:rPr>
              <w:t>采购人名称：</w:t>
            </w:r>
          </w:p>
          <w:p>
            <w:pPr>
              <w:autoSpaceDE w:val="0"/>
              <w:autoSpaceDN w:val="0"/>
              <w:adjustRightInd w:val="0"/>
              <w:snapToGrid w:val="0"/>
              <w:spacing w:after="120" w:afterLines="50"/>
              <w:rPr>
                <w:kern w:val="0"/>
                <w:sz w:val="24"/>
              </w:rPr>
            </w:pPr>
            <w:r>
              <w:rPr>
                <w:kern w:val="0"/>
                <w:sz w:val="24"/>
              </w:rPr>
              <w:t>项目编号：</w:t>
            </w:r>
          </w:p>
          <w:p>
            <w:pPr>
              <w:autoSpaceDE w:val="0"/>
              <w:autoSpaceDN w:val="0"/>
              <w:adjustRightInd w:val="0"/>
              <w:snapToGrid w:val="0"/>
              <w:spacing w:after="120" w:afterLines="50"/>
              <w:rPr>
                <w:kern w:val="0"/>
                <w:sz w:val="24"/>
              </w:rPr>
            </w:pPr>
            <w:r>
              <w:rPr>
                <w:kern w:val="0"/>
                <w:sz w:val="24"/>
              </w:rPr>
              <w:t>（项目名称）投标文件在   年  月  日时分前不得开启</w:t>
            </w:r>
          </w:p>
          <w:p>
            <w:pPr>
              <w:autoSpaceDE w:val="0"/>
              <w:autoSpaceDN w:val="0"/>
              <w:adjustRightInd w:val="0"/>
              <w:snapToGrid w:val="0"/>
              <w:spacing w:after="120" w:afterLines="50"/>
              <w:rPr>
                <w:kern w:val="0"/>
                <w:sz w:val="24"/>
              </w:rPr>
            </w:pPr>
            <w:r>
              <w:rPr>
                <w:kern w:val="0"/>
                <w:sz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6.1</w:t>
            </w:r>
          </w:p>
        </w:tc>
        <w:tc>
          <w:tcPr>
            <w:tcW w:w="2515" w:type="dxa"/>
            <w:vAlign w:val="center"/>
          </w:tcPr>
          <w:p>
            <w:pPr>
              <w:autoSpaceDE w:val="0"/>
              <w:autoSpaceDN w:val="0"/>
              <w:adjustRightInd w:val="0"/>
              <w:snapToGrid w:val="0"/>
              <w:rPr>
                <w:kern w:val="0"/>
                <w:sz w:val="24"/>
              </w:rPr>
            </w:pPr>
            <w:r>
              <w:rPr>
                <w:kern w:val="0"/>
                <w:sz w:val="24"/>
              </w:rPr>
              <w:t>资格审查主体</w:t>
            </w:r>
          </w:p>
        </w:tc>
        <w:tc>
          <w:tcPr>
            <w:tcW w:w="5016" w:type="dxa"/>
            <w:gridSpan w:val="2"/>
            <w:vAlign w:val="center"/>
          </w:tcPr>
          <w:p>
            <w:pPr>
              <w:autoSpaceDE w:val="0"/>
              <w:autoSpaceDN w:val="0"/>
              <w:adjustRightInd w:val="0"/>
              <w:snapToGrid w:val="0"/>
              <w:spacing w:after="120" w:afterLines="50"/>
              <w:rPr>
                <w:kern w:val="0"/>
                <w:sz w:val="24"/>
              </w:rPr>
            </w:pPr>
            <w:r>
              <w:rPr>
                <w:rFonts w:hint="eastAsia"/>
                <w:kern w:val="0"/>
                <w:sz w:val="24"/>
              </w:rPr>
              <w:t>☑</w:t>
            </w:r>
            <w:r>
              <w:rPr>
                <w:kern w:val="0"/>
                <w:sz w:val="24"/>
              </w:rPr>
              <w:t>采购人</w:t>
            </w:r>
          </w:p>
          <w:p>
            <w:pPr>
              <w:autoSpaceDE w:val="0"/>
              <w:autoSpaceDN w:val="0"/>
              <w:adjustRightInd w:val="0"/>
              <w:snapToGrid w:val="0"/>
              <w:spacing w:after="120" w:afterLines="50"/>
              <w:rPr>
                <w:kern w:val="0"/>
                <w:sz w:val="24"/>
              </w:rPr>
            </w:pPr>
            <w:r>
              <w:rPr>
                <w:rFonts w:hint="eastAsia"/>
                <w:kern w:val="0"/>
                <w:sz w:val="24"/>
              </w:rPr>
              <w:t>□</w:t>
            </w:r>
            <w:r>
              <w:rPr>
                <w:kern w:val="0"/>
                <w:sz w:val="24"/>
              </w:rPr>
              <w:t>采购人委托的采购代理机构</w:t>
            </w:r>
          </w:p>
          <w:p>
            <w:pPr>
              <w:autoSpaceDE w:val="0"/>
              <w:autoSpaceDN w:val="0"/>
              <w:adjustRightInd w:val="0"/>
              <w:snapToGrid w:val="0"/>
              <w:spacing w:after="120" w:afterLines="50"/>
              <w:rPr>
                <w:kern w:val="0"/>
                <w:sz w:val="24"/>
              </w:rPr>
            </w:pPr>
            <w:r>
              <w:rPr>
                <w:rFonts w:hint="eastAsia"/>
                <w:kern w:val="0"/>
                <w:sz w:val="24"/>
              </w:rPr>
              <w:t>□</w:t>
            </w:r>
            <w:r>
              <w:rPr>
                <w:kern w:val="0"/>
                <w:sz w:val="24"/>
              </w:rPr>
              <w:t>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7</w:t>
            </w:r>
            <w:r>
              <w:rPr>
                <w:rFonts w:hint="eastAsia"/>
                <w:kern w:val="0"/>
                <w:sz w:val="24"/>
              </w:rPr>
              <w:t>.</w:t>
            </w:r>
            <w:r>
              <w:rPr>
                <w:kern w:val="0"/>
                <w:sz w:val="24"/>
              </w:rPr>
              <w:t>1</w:t>
            </w:r>
            <w:r>
              <w:rPr>
                <w:rFonts w:hint="eastAsia"/>
                <w:kern w:val="0"/>
                <w:sz w:val="24"/>
              </w:rPr>
              <w:t>.</w:t>
            </w:r>
            <w:r>
              <w:rPr>
                <w:kern w:val="0"/>
                <w:sz w:val="24"/>
              </w:rPr>
              <w:t>1</w:t>
            </w:r>
          </w:p>
        </w:tc>
        <w:tc>
          <w:tcPr>
            <w:tcW w:w="2515" w:type="dxa"/>
            <w:vAlign w:val="center"/>
          </w:tcPr>
          <w:p>
            <w:pPr>
              <w:autoSpaceDE w:val="0"/>
              <w:autoSpaceDN w:val="0"/>
              <w:adjustRightInd w:val="0"/>
              <w:snapToGrid w:val="0"/>
              <w:rPr>
                <w:kern w:val="0"/>
                <w:sz w:val="24"/>
              </w:rPr>
            </w:pPr>
            <w:r>
              <w:rPr>
                <w:kern w:val="0"/>
                <w:sz w:val="24"/>
              </w:rPr>
              <w:t>评标委员会成员组成</w:t>
            </w:r>
          </w:p>
        </w:tc>
        <w:tc>
          <w:tcPr>
            <w:tcW w:w="5016" w:type="dxa"/>
            <w:gridSpan w:val="2"/>
            <w:vAlign w:val="center"/>
          </w:tcPr>
          <w:p>
            <w:pPr>
              <w:autoSpaceDE w:val="0"/>
              <w:autoSpaceDN w:val="0"/>
              <w:adjustRightInd w:val="0"/>
              <w:snapToGrid w:val="0"/>
              <w:spacing w:after="120" w:afterLines="50"/>
              <w:rPr>
                <w:kern w:val="0"/>
                <w:sz w:val="24"/>
              </w:rPr>
            </w:pPr>
            <w:r>
              <w:rPr>
                <w:kern w:val="0"/>
                <w:sz w:val="24"/>
              </w:rPr>
              <w:t>评标委员会</w:t>
            </w:r>
            <w:r>
              <w:rPr>
                <w:bCs/>
                <w:kern w:val="0"/>
                <w:sz w:val="24"/>
              </w:rPr>
              <w:t>成员共5名，采购人代表1人，专家成员4人从</w:t>
            </w:r>
            <w:r>
              <w:rPr>
                <w:rFonts w:hint="eastAsia"/>
                <w:bCs/>
                <w:kern w:val="0"/>
                <w:sz w:val="24"/>
              </w:rPr>
              <w:t>政府采购评审</w:t>
            </w:r>
            <w:r>
              <w:rPr>
                <w:bCs/>
                <w:kern w:val="0"/>
                <w:sz w:val="24"/>
              </w:rPr>
              <w:t>专家库相关专业随机抽取。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7.3</w:t>
            </w:r>
          </w:p>
        </w:tc>
        <w:tc>
          <w:tcPr>
            <w:tcW w:w="2515" w:type="dxa"/>
            <w:vAlign w:val="center"/>
          </w:tcPr>
          <w:p>
            <w:pPr>
              <w:autoSpaceDE w:val="0"/>
              <w:autoSpaceDN w:val="0"/>
              <w:adjustRightInd w:val="0"/>
              <w:snapToGrid w:val="0"/>
              <w:rPr>
                <w:kern w:val="0"/>
                <w:sz w:val="24"/>
              </w:rPr>
            </w:pPr>
            <w:r>
              <w:rPr>
                <w:kern w:val="0"/>
                <w:sz w:val="24"/>
              </w:rPr>
              <w:t>评审得分相同时随机抽取中标候选人的主体</w:t>
            </w:r>
          </w:p>
        </w:tc>
        <w:tc>
          <w:tcPr>
            <w:tcW w:w="5016" w:type="dxa"/>
            <w:gridSpan w:val="2"/>
            <w:vAlign w:val="center"/>
          </w:tcPr>
          <w:p>
            <w:pPr>
              <w:autoSpaceDE w:val="0"/>
              <w:autoSpaceDN w:val="0"/>
              <w:adjustRightInd w:val="0"/>
              <w:snapToGrid w:val="0"/>
              <w:spacing w:after="120" w:afterLines="50"/>
              <w:rPr>
                <w:kern w:val="0"/>
                <w:sz w:val="24"/>
              </w:rPr>
            </w:pPr>
            <w:r>
              <w:rPr>
                <w:rFonts w:hint="eastAsia"/>
                <w:kern w:val="0"/>
                <w:sz w:val="24"/>
              </w:rPr>
              <w:t>□</w:t>
            </w:r>
            <w:r>
              <w:rPr>
                <w:kern w:val="0"/>
                <w:sz w:val="24"/>
              </w:rPr>
              <w:t>采购人</w:t>
            </w:r>
          </w:p>
          <w:p>
            <w:pPr>
              <w:autoSpaceDE w:val="0"/>
              <w:autoSpaceDN w:val="0"/>
              <w:adjustRightInd w:val="0"/>
              <w:snapToGrid w:val="0"/>
              <w:spacing w:after="120" w:afterLines="50"/>
              <w:rPr>
                <w:kern w:val="0"/>
                <w:sz w:val="24"/>
              </w:rPr>
            </w:pPr>
            <w:r>
              <w:rPr>
                <w:rFonts w:hint="eastAsia"/>
                <w:kern w:val="0"/>
                <w:sz w:val="24"/>
              </w:rPr>
              <w:t>☑</w:t>
            </w:r>
            <w:r>
              <w:rPr>
                <w:kern w:val="0"/>
                <w:sz w:val="24"/>
              </w:rPr>
              <w:t>采购人委托评标委员会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7</w:t>
            </w:r>
            <w:r>
              <w:rPr>
                <w:rFonts w:hint="eastAsia"/>
                <w:kern w:val="0"/>
                <w:sz w:val="24"/>
              </w:rPr>
              <w:t>.</w:t>
            </w:r>
            <w:r>
              <w:rPr>
                <w:kern w:val="0"/>
                <w:sz w:val="24"/>
              </w:rPr>
              <w:t>4</w:t>
            </w:r>
          </w:p>
        </w:tc>
        <w:tc>
          <w:tcPr>
            <w:tcW w:w="2515" w:type="dxa"/>
            <w:vAlign w:val="center"/>
          </w:tcPr>
          <w:p>
            <w:pPr>
              <w:rPr>
                <w:sz w:val="24"/>
              </w:rPr>
            </w:pPr>
            <w:r>
              <w:rPr>
                <w:rFonts w:hint="eastAsia"/>
                <w:kern w:val="0"/>
                <w:sz w:val="24"/>
              </w:rPr>
              <w:t>评标办法</w:t>
            </w:r>
          </w:p>
        </w:tc>
        <w:tc>
          <w:tcPr>
            <w:tcW w:w="5016" w:type="dxa"/>
            <w:gridSpan w:val="2"/>
            <w:vAlign w:val="center"/>
          </w:tcPr>
          <w:p>
            <w:pPr>
              <w:autoSpaceDE w:val="0"/>
              <w:autoSpaceDN w:val="0"/>
              <w:adjustRightInd w:val="0"/>
              <w:snapToGrid w:val="0"/>
              <w:spacing w:after="120" w:afterLines="50"/>
              <w:rPr>
                <w:kern w:val="0"/>
                <w:sz w:val="24"/>
              </w:rPr>
            </w:pPr>
            <w:r>
              <w:rPr>
                <w:rFonts w:hint="eastAsia"/>
                <w:kern w:val="0"/>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8.1</w:t>
            </w:r>
          </w:p>
        </w:tc>
        <w:tc>
          <w:tcPr>
            <w:tcW w:w="2515" w:type="dxa"/>
            <w:vAlign w:val="center"/>
          </w:tcPr>
          <w:p>
            <w:pPr>
              <w:rPr>
                <w:sz w:val="24"/>
              </w:rPr>
            </w:pPr>
            <w:bookmarkStart w:id="68" w:name="_Toc2244"/>
            <w:bookmarkStart w:id="69" w:name="_Toc27209"/>
            <w:bookmarkStart w:id="70" w:name="_Toc22645"/>
            <w:bookmarkStart w:id="71" w:name="_Toc28567"/>
            <w:r>
              <w:rPr>
                <w:sz w:val="24"/>
              </w:rPr>
              <w:t>推荐的中标候选人数量</w:t>
            </w:r>
            <w:bookmarkEnd w:id="68"/>
            <w:bookmarkEnd w:id="69"/>
            <w:bookmarkEnd w:id="70"/>
            <w:bookmarkEnd w:id="71"/>
          </w:p>
        </w:tc>
        <w:tc>
          <w:tcPr>
            <w:tcW w:w="5016" w:type="dxa"/>
            <w:gridSpan w:val="2"/>
            <w:vAlign w:val="center"/>
          </w:tcPr>
          <w:p>
            <w:pPr>
              <w:autoSpaceDE w:val="0"/>
              <w:autoSpaceDN w:val="0"/>
              <w:adjustRightInd w:val="0"/>
              <w:snapToGrid w:val="0"/>
              <w:spacing w:after="120" w:afterLines="50"/>
              <w:rPr>
                <w:kern w:val="0"/>
                <w:sz w:val="24"/>
              </w:rPr>
            </w:pPr>
            <w:r>
              <w:rPr>
                <w:kern w:val="0"/>
                <w:sz w:val="24"/>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8.1</w:t>
            </w:r>
          </w:p>
        </w:tc>
        <w:tc>
          <w:tcPr>
            <w:tcW w:w="2515" w:type="dxa"/>
            <w:vAlign w:val="center"/>
          </w:tcPr>
          <w:p>
            <w:pPr>
              <w:rPr>
                <w:sz w:val="24"/>
              </w:rPr>
            </w:pPr>
            <w:bookmarkStart w:id="72" w:name="_Toc3746"/>
            <w:bookmarkStart w:id="73" w:name="_Toc31909"/>
            <w:r>
              <w:rPr>
                <w:sz w:val="24"/>
              </w:rPr>
              <w:t>确定中标人的方式</w:t>
            </w:r>
            <w:bookmarkEnd w:id="72"/>
            <w:bookmarkEnd w:id="73"/>
          </w:p>
        </w:tc>
        <w:tc>
          <w:tcPr>
            <w:tcW w:w="5016" w:type="dxa"/>
            <w:gridSpan w:val="2"/>
            <w:vAlign w:val="center"/>
          </w:tcPr>
          <w:p>
            <w:pPr>
              <w:widowControl/>
              <w:autoSpaceDE w:val="0"/>
              <w:autoSpaceDN w:val="0"/>
              <w:adjustRightInd w:val="0"/>
              <w:snapToGrid w:val="0"/>
              <w:spacing w:after="120" w:afterLines="50"/>
              <w:rPr>
                <w:kern w:val="0"/>
                <w:sz w:val="24"/>
              </w:rPr>
            </w:pPr>
            <w:r>
              <w:rPr>
                <w:rFonts w:hint="eastAsia"/>
                <w:kern w:val="0"/>
                <w:sz w:val="24"/>
              </w:rPr>
              <w:t>☑</w:t>
            </w:r>
            <w:r>
              <w:rPr>
                <w:kern w:val="0"/>
                <w:sz w:val="24"/>
              </w:rPr>
              <w:t>采购人委托评标委员会直接确认中标人</w:t>
            </w:r>
          </w:p>
          <w:p>
            <w:pPr>
              <w:autoSpaceDE w:val="0"/>
              <w:autoSpaceDN w:val="0"/>
              <w:adjustRightInd w:val="0"/>
              <w:snapToGrid w:val="0"/>
              <w:spacing w:after="120" w:afterLines="50"/>
              <w:rPr>
                <w:kern w:val="0"/>
                <w:sz w:val="24"/>
                <w:u w:val="single"/>
              </w:rPr>
            </w:pPr>
            <w:r>
              <w:rPr>
                <w:rFonts w:hint="eastAsia"/>
                <w:kern w:val="0"/>
                <w:sz w:val="24"/>
              </w:rPr>
              <w:t>□</w:t>
            </w:r>
            <w:r>
              <w:rPr>
                <w:kern w:val="0"/>
                <w:sz w:val="24"/>
              </w:rPr>
              <w:t>采购人确认中标人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8.4.1</w:t>
            </w:r>
          </w:p>
        </w:tc>
        <w:tc>
          <w:tcPr>
            <w:tcW w:w="2515" w:type="dxa"/>
            <w:vAlign w:val="center"/>
          </w:tcPr>
          <w:p>
            <w:pPr>
              <w:rPr>
                <w:sz w:val="24"/>
              </w:rPr>
            </w:pPr>
            <w:bookmarkStart w:id="74" w:name="_Toc15907"/>
            <w:bookmarkStart w:id="75" w:name="_Toc16975"/>
            <w:bookmarkStart w:id="76" w:name="_Toc27528"/>
            <w:bookmarkStart w:id="77" w:name="_Toc8885"/>
            <w:r>
              <w:rPr>
                <w:sz w:val="24"/>
              </w:rPr>
              <w:t>履约保证金</w:t>
            </w:r>
            <w:bookmarkEnd w:id="74"/>
            <w:bookmarkEnd w:id="75"/>
            <w:bookmarkEnd w:id="76"/>
            <w:bookmarkEnd w:id="77"/>
          </w:p>
        </w:tc>
        <w:tc>
          <w:tcPr>
            <w:tcW w:w="5016" w:type="dxa"/>
            <w:gridSpan w:val="2"/>
            <w:vAlign w:val="center"/>
          </w:tcPr>
          <w:p>
            <w:pPr>
              <w:autoSpaceDE w:val="0"/>
              <w:autoSpaceDN w:val="0"/>
              <w:adjustRightInd w:val="0"/>
              <w:snapToGrid w:val="0"/>
              <w:spacing w:after="120" w:afterLines="50"/>
              <w:rPr>
                <w:kern w:val="0"/>
                <w:sz w:val="24"/>
              </w:rPr>
            </w:pPr>
            <w:r>
              <w:rPr>
                <w:kern w:val="0"/>
                <w:sz w:val="24"/>
              </w:rPr>
              <w:t>不收取</w:t>
            </w:r>
            <w:r>
              <w:rPr>
                <w:rFonts w:hint="eastAsia"/>
                <w:kern w:val="0"/>
                <w:sz w:val="24"/>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b/>
                <w:bCs/>
                <w:kern w:val="0"/>
                <w:sz w:val="24"/>
              </w:rPr>
              <w:t>10</w:t>
            </w:r>
          </w:p>
        </w:tc>
        <w:tc>
          <w:tcPr>
            <w:tcW w:w="7531" w:type="dxa"/>
            <w:gridSpan w:val="3"/>
            <w:vAlign w:val="center"/>
          </w:tcPr>
          <w:p>
            <w:pPr>
              <w:autoSpaceDE w:val="0"/>
              <w:autoSpaceDN w:val="0"/>
              <w:adjustRightInd w:val="0"/>
              <w:snapToGrid w:val="0"/>
              <w:rPr>
                <w:kern w:val="0"/>
                <w:sz w:val="24"/>
              </w:rPr>
            </w:pPr>
            <w:r>
              <w:rPr>
                <w:kern w:val="0"/>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10.1</w:t>
            </w:r>
          </w:p>
        </w:tc>
        <w:tc>
          <w:tcPr>
            <w:tcW w:w="2523" w:type="dxa"/>
            <w:gridSpan w:val="2"/>
            <w:vAlign w:val="center"/>
          </w:tcPr>
          <w:p>
            <w:pPr>
              <w:autoSpaceDE w:val="0"/>
              <w:autoSpaceDN w:val="0"/>
              <w:adjustRightInd w:val="0"/>
              <w:snapToGrid w:val="0"/>
              <w:rPr>
                <w:kern w:val="0"/>
                <w:sz w:val="24"/>
              </w:rPr>
            </w:pPr>
            <w:r>
              <w:rPr>
                <w:kern w:val="0"/>
                <w:sz w:val="24"/>
              </w:rPr>
              <w:t>近年财务状况的年份要求</w:t>
            </w:r>
          </w:p>
        </w:tc>
        <w:tc>
          <w:tcPr>
            <w:tcW w:w="5008" w:type="dxa"/>
            <w:vAlign w:val="center"/>
          </w:tcPr>
          <w:p>
            <w:pPr>
              <w:autoSpaceDE w:val="0"/>
              <w:autoSpaceDN w:val="0"/>
              <w:adjustRightInd w:val="0"/>
              <w:snapToGrid w:val="0"/>
              <w:jc w:val="left"/>
              <w:rPr>
                <w:kern w:val="0"/>
                <w:sz w:val="24"/>
              </w:rPr>
            </w:pPr>
            <w:r>
              <w:rPr>
                <w:kern w:val="0"/>
                <w:sz w:val="24"/>
              </w:rPr>
              <w:t>提供上年度</w:t>
            </w:r>
            <w:r>
              <w:rPr>
                <w:rFonts w:hint="eastAsia"/>
                <w:kern w:val="0"/>
                <w:sz w:val="24"/>
              </w:rPr>
              <w:t>（2</w:t>
            </w:r>
            <w:r>
              <w:rPr>
                <w:kern w:val="0"/>
                <w:sz w:val="24"/>
              </w:rPr>
              <w:t>021</w:t>
            </w:r>
            <w:r>
              <w:rPr>
                <w:rFonts w:hint="eastAsia"/>
                <w:kern w:val="0"/>
                <w:sz w:val="24"/>
              </w:rPr>
              <w:t>年度）</w:t>
            </w:r>
            <w:r>
              <w:rPr>
                <w:kern w:val="0"/>
                <w:sz w:val="24"/>
              </w:rPr>
              <w:t>财务审计报告或半年内任意一个月财务报表（财务报表应至少包括资产负债表、利润表、现金流量表或财务状况变动表，当月新成立公司不需提供）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10.2</w:t>
            </w:r>
          </w:p>
        </w:tc>
        <w:tc>
          <w:tcPr>
            <w:tcW w:w="2523" w:type="dxa"/>
            <w:gridSpan w:val="2"/>
            <w:vAlign w:val="center"/>
          </w:tcPr>
          <w:p>
            <w:pPr>
              <w:autoSpaceDE w:val="0"/>
              <w:autoSpaceDN w:val="0"/>
              <w:adjustRightInd w:val="0"/>
              <w:snapToGrid w:val="0"/>
              <w:rPr>
                <w:kern w:val="0"/>
                <w:sz w:val="24"/>
              </w:rPr>
            </w:pPr>
            <w:r>
              <w:rPr>
                <w:kern w:val="0"/>
                <w:sz w:val="24"/>
              </w:rPr>
              <w:t>近年完成的类似项目的年份要求</w:t>
            </w:r>
          </w:p>
        </w:tc>
        <w:tc>
          <w:tcPr>
            <w:tcW w:w="5008" w:type="dxa"/>
            <w:vAlign w:val="center"/>
          </w:tcPr>
          <w:p>
            <w:pPr>
              <w:autoSpaceDE w:val="0"/>
              <w:autoSpaceDN w:val="0"/>
              <w:adjustRightInd w:val="0"/>
              <w:snapToGrid w:val="0"/>
              <w:spacing w:after="120" w:afterLines="50"/>
              <w:rPr>
                <w:kern w:val="0"/>
                <w:sz w:val="24"/>
              </w:rPr>
            </w:pPr>
            <w:r>
              <w:rPr>
                <w:kern w:val="0"/>
                <w:sz w:val="24"/>
              </w:rPr>
              <w:t>2019年</w:t>
            </w:r>
            <w:r>
              <w:rPr>
                <w:rFonts w:hint="eastAsia"/>
                <w:kern w:val="0"/>
                <w:sz w:val="24"/>
              </w:rPr>
              <w:t>1月1日至投标截止日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10.3</w:t>
            </w:r>
          </w:p>
        </w:tc>
        <w:tc>
          <w:tcPr>
            <w:tcW w:w="2523" w:type="dxa"/>
            <w:gridSpan w:val="2"/>
            <w:vAlign w:val="center"/>
          </w:tcPr>
          <w:p>
            <w:pPr>
              <w:autoSpaceDE w:val="0"/>
              <w:autoSpaceDN w:val="0"/>
              <w:adjustRightInd w:val="0"/>
              <w:snapToGrid w:val="0"/>
              <w:rPr>
                <w:kern w:val="0"/>
                <w:sz w:val="24"/>
              </w:rPr>
            </w:pPr>
            <w:r>
              <w:rPr>
                <w:kern w:val="0"/>
                <w:sz w:val="24"/>
              </w:rPr>
              <w:t>社保记录年份要求</w:t>
            </w:r>
          </w:p>
        </w:tc>
        <w:tc>
          <w:tcPr>
            <w:tcW w:w="5008" w:type="dxa"/>
            <w:vAlign w:val="center"/>
          </w:tcPr>
          <w:p>
            <w:pPr>
              <w:autoSpaceDE w:val="0"/>
              <w:autoSpaceDN w:val="0"/>
              <w:adjustRightInd w:val="0"/>
              <w:snapToGrid w:val="0"/>
              <w:spacing w:after="120" w:afterLines="50"/>
              <w:rPr>
                <w:kern w:val="0"/>
                <w:sz w:val="24"/>
              </w:rPr>
            </w:pPr>
            <w:r>
              <w:rPr>
                <w:kern w:val="0"/>
                <w:sz w:val="24"/>
              </w:rPr>
              <w:t>提供社保缴纳证明（近半年内任意一月社保缴纳证明，当月新成立公司不需提供）。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10.4</w:t>
            </w:r>
          </w:p>
        </w:tc>
        <w:tc>
          <w:tcPr>
            <w:tcW w:w="2523" w:type="dxa"/>
            <w:gridSpan w:val="2"/>
            <w:vAlign w:val="center"/>
          </w:tcPr>
          <w:p>
            <w:pPr>
              <w:autoSpaceDE w:val="0"/>
              <w:autoSpaceDN w:val="0"/>
              <w:adjustRightInd w:val="0"/>
              <w:snapToGrid w:val="0"/>
              <w:rPr>
                <w:i/>
                <w:kern w:val="0"/>
                <w:sz w:val="24"/>
              </w:rPr>
            </w:pPr>
            <w:r>
              <w:rPr>
                <w:kern w:val="0"/>
                <w:sz w:val="24"/>
              </w:rPr>
              <w:t>招标代理服务费</w:t>
            </w:r>
          </w:p>
        </w:tc>
        <w:tc>
          <w:tcPr>
            <w:tcW w:w="5008" w:type="dxa"/>
            <w:vAlign w:val="center"/>
          </w:tcPr>
          <w:p>
            <w:pPr>
              <w:autoSpaceDE w:val="0"/>
              <w:autoSpaceDN w:val="0"/>
              <w:adjustRightInd w:val="0"/>
              <w:snapToGrid w:val="0"/>
              <w:rPr>
                <w:kern w:val="0"/>
                <w:sz w:val="24"/>
              </w:rPr>
            </w:pPr>
            <w:r>
              <w:rPr>
                <w:kern w:val="0"/>
                <w:sz w:val="24"/>
              </w:rPr>
              <w:t>招标</w:t>
            </w:r>
            <w:r>
              <w:rPr>
                <w:rFonts w:hint="eastAsia"/>
                <w:kern w:val="0"/>
                <w:sz w:val="24"/>
              </w:rPr>
              <w:t>代理</w:t>
            </w:r>
            <w:r>
              <w:rPr>
                <w:kern w:val="0"/>
                <w:sz w:val="24"/>
              </w:rPr>
              <w:t>服务费</w:t>
            </w:r>
            <w:r>
              <w:rPr>
                <w:rFonts w:hint="eastAsia"/>
                <w:kern w:val="0"/>
                <w:sz w:val="24"/>
              </w:rPr>
              <w:t>以中标金额为基数</w:t>
            </w:r>
            <w:r>
              <w:rPr>
                <w:kern w:val="0"/>
                <w:sz w:val="24"/>
              </w:rPr>
              <w:t>按“计价格[2002]1980号”、“发改价格[2011]534号”文件规定的货物类标准下浮50%计算。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10.5</w:t>
            </w:r>
          </w:p>
        </w:tc>
        <w:tc>
          <w:tcPr>
            <w:tcW w:w="2523" w:type="dxa"/>
            <w:gridSpan w:val="2"/>
            <w:vAlign w:val="center"/>
          </w:tcPr>
          <w:p>
            <w:pPr>
              <w:autoSpaceDE w:val="0"/>
              <w:autoSpaceDN w:val="0"/>
              <w:adjustRightInd w:val="0"/>
              <w:snapToGrid w:val="0"/>
              <w:rPr>
                <w:kern w:val="0"/>
                <w:sz w:val="24"/>
              </w:rPr>
            </w:pPr>
            <w:r>
              <w:rPr>
                <w:kern w:val="0"/>
                <w:sz w:val="24"/>
              </w:rPr>
              <w:t>最高限价</w:t>
            </w:r>
          </w:p>
        </w:tc>
        <w:tc>
          <w:tcPr>
            <w:tcW w:w="5008" w:type="dxa"/>
            <w:vAlign w:val="center"/>
          </w:tcPr>
          <w:p>
            <w:pPr>
              <w:pStyle w:val="38"/>
              <w:spacing w:beforeAutospacing="0" w:afterAutospacing="0"/>
              <w:jc w:val="both"/>
              <w:rPr>
                <w:b/>
                <w:bCs/>
              </w:rPr>
            </w:pPr>
            <w:r>
              <w:rPr>
                <w:rFonts w:hint="eastAsia"/>
                <w:b/>
                <w:bCs/>
              </w:rPr>
              <w:t>本项目各标项最高限价详见第五章采购需求。</w:t>
            </w:r>
          </w:p>
          <w:p>
            <w:pPr>
              <w:pStyle w:val="38"/>
              <w:spacing w:beforeAutospacing="0" w:afterAutospacing="0"/>
              <w:jc w:val="both"/>
              <w:rPr>
                <w:b/>
                <w:bCs/>
              </w:rPr>
            </w:pPr>
            <w:r>
              <w:rPr>
                <w:b/>
                <w:bCs/>
              </w:rPr>
              <w:t>超出最高限价的投标按无效投标处理</w:t>
            </w:r>
            <w:r>
              <w:rPr>
                <w:rFonts w:hint="eastAsia"/>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10.6</w:t>
            </w:r>
          </w:p>
        </w:tc>
        <w:tc>
          <w:tcPr>
            <w:tcW w:w="2523" w:type="dxa"/>
            <w:gridSpan w:val="2"/>
            <w:vAlign w:val="center"/>
          </w:tcPr>
          <w:p>
            <w:pPr>
              <w:autoSpaceDE w:val="0"/>
              <w:autoSpaceDN w:val="0"/>
              <w:adjustRightInd w:val="0"/>
              <w:snapToGrid w:val="0"/>
              <w:rPr>
                <w:kern w:val="0"/>
                <w:sz w:val="24"/>
              </w:rPr>
            </w:pPr>
            <w:r>
              <w:rPr>
                <w:kern w:val="0"/>
                <w:sz w:val="24"/>
              </w:rPr>
              <w:t>公告发布媒介</w:t>
            </w:r>
          </w:p>
        </w:tc>
        <w:tc>
          <w:tcPr>
            <w:tcW w:w="5008" w:type="dxa"/>
            <w:vAlign w:val="center"/>
          </w:tcPr>
          <w:p>
            <w:pPr>
              <w:autoSpaceDE w:val="0"/>
              <w:autoSpaceDN w:val="0"/>
              <w:adjustRightInd w:val="0"/>
              <w:snapToGrid w:val="0"/>
              <w:rPr>
                <w:kern w:val="0"/>
                <w:sz w:val="24"/>
              </w:rPr>
            </w:pPr>
            <w:r>
              <w:rPr>
                <w:bCs/>
                <w:sz w:val="24"/>
                <w:shd w:val="clear" w:color="auto" w:fill="FFFFFF"/>
              </w:rPr>
              <w:t>新疆政府采购网（www.ccgp-xinjiang.gov.cn）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color w:val="auto"/>
                <w:kern w:val="0"/>
                <w:sz w:val="24"/>
              </w:rPr>
            </w:pPr>
            <w:r>
              <w:rPr>
                <w:color w:val="auto"/>
                <w:kern w:val="0"/>
                <w:sz w:val="24"/>
              </w:rPr>
              <w:t>10.7</w:t>
            </w:r>
          </w:p>
        </w:tc>
        <w:tc>
          <w:tcPr>
            <w:tcW w:w="2523" w:type="dxa"/>
            <w:gridSpan w:val="2"/>
            <w:vAlign w:val="center"/>
          </w:tcPr>
          <w:p>
            <w:pPr>
              <w:autoSpaceDE w:val="0"/>
              <w:autoSpaceDN w:val="0"/>
              <w:adjustRightInd w:val="0"/>
              <w:snapToGrid w:val="0"/>
              <w:rPr>
                <w:color w:val="auto"/>
                <w:kern w:val="0"/>
                <w:sz w:val="24"/>
              </w:rPr>
            </w:pPr>
            <w:r>
              <w:rPr>
                <w:color w:val="auto"/>
                <w:kern w:val="0"/>
                <w:sz w:val="24"/>
              </w:rPr>
              <w:t>付款方式、币种</w:t>
            </w:r>
          </w:p>
        </w:tc>
        <w:tc>
          <w:tcPr>
            <w:tcW w:w="5008" w:type="dxa"/>
            <w:vAlign w:val="center"/>
          </w:tcPr>
          <w:p>
            <w:pPr>
              <w:autoSpaceDE w:val="0"/>
              <w:autoSpaceDN w:val="0"/>
              <w:adjustRightInd w:val="0"/>
              <w:snapToGrid w:val="0"/>
              <w:rPr>
                <w:bCs/>
                <w:kern w:val="0"/>
                <w:sz w:val="24"/>
              </w:rPr>
            </w:pPr>
            <w:r>
              <w:rPr>
                <w:rFonts w:hint="eastAsia"/>
                <w:bCs/>
                <w:kern w:val="0"/>
                <w:sz w:val="24"/>
              </w:rPr>
              <w:t>（1）价值在10万元以下（不含10万元）的医疗设备按照9:1的方式付款，即货到验收合格支付合同总金额的90%，余10%质保金质保期结束后支付。</w:t>
            </w:r>
          </w:p>
          <w:p>
            <w:pPr>
              <w:autoSpaceDE w:val="0"/>
              <w:autoSpaceDN w:val="0"/>
              <w:adjustRightInd w:val="0"/>
              <w:snapToGrid w:val="0"/>
              <w:rPr>
                <w:bCs/>
                <w:kern w:val="0"/>
                <w:sz w:val="24"/>
              </w:rPr>
            </w:pPr>
            <w:r>
              <w:rPr>
                <w:rFonts w:hint="eastAsia"/>
                <w:bCs/>
                <w:kern w:val="0"/>
                <w:sz w:val="24"/>
              </w:rPr>
              <w:t>（2）价值在10万元-50万元之间的医疗设备按照3:6:1的方式付款，即货到验收合格支付合同总金额的30%，验收合格半年支付合同总金额的60%，余10%质保金质保期结束后支付。</w:t>
            </w:r>
          </w:p>
          <w:p>
            <w:pPr>
              <w:autoSpaceDE w:val="0"/>
              <w:autoSpaceDN w:val="0"/>
              <w:adjustRightInd w:val="0"/>
              <w:snapToGrid w:val="0"/>
              <w:rPr>
                <w:bCs/>
                <w:kern w:val="0"/>
                <w:sz w:val="24"/>
              </w:rPr>
            </w:pPr>
            <w:r>
              <w:rPr>
                <w:rFonts w:hint="eastAsia"/>
                <w:bCs/>
                <w:kern w:val="0"/>
                <w:sz w:val="24"/>
              </w:rPr>
              <w:t>（</w:t>
            </w:r>
            <w:r>
              <w:rPr>
                <w:bCs/>
                <w:kern w:val="0"/>
                <w:sz w:val="24"/>
              </w:rPr>
              <w:t>3</w:t>
            </w:r>
            <w:r>
              <w:rPr>
                <w:rFonts w:hint="eastAsia"/>
                <w:bCs/>
                <w:kern w:val="0"/>
                <w:sz w:val="24"/>
              </w:rPr>
              <w:t>）价值在50万元以上的医疗设备按照3:3:3:1的方式付款，即货到验收合格支付合同总金额的30%，验收合格半年支付合同总金额的30%,验收合格一年支付30%,余10%质保金质保期结束后支付。</w:t>
            </w:r>
          </w:p>
          <w:p>
            <w:pPr>
              <w:autoSpaceDE w:val="0"/>
              <w:autoSpaceDN w:val="0"/>
              <w:adjustRightInd w:val="0"/>
              <w:snapToGrid w:val="0"/>
              <w:rPr>
                <w:bCs/>
                <w:kern w:val="0"/>
                <w:sz w:val="24"/>
              </w:rPr>
            </w:pPr>
            <w:r>
              <w:rPr>
                <w:bCs/>
                <w:kern w:val="0"/>
                <w:sz w:val="24"/>
              </w:rPr>
              <w:t>最终付款方式以和</w:t>
            </w:r>
            <w:r>
              <w:rPr>
                <w:rFonts w:hint="eastAsia"/>
                <w:bCs/>
                <w:kern w:val="0"/>
                <w:sz w:val="24"/>
              </w:rPr>
              <w:t>采购人</w:t>
            </w:r>
            <w:r>
              <w:rPr>
                <w:bCs/>
                <w:kern w:val="0"/>
                <w:sz w:val="24"/>
              </w:rPr>
              <w:t>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rFonts w:hint="eastAsia"/>
                <w:kern w:val="0"/>
                <w:sz w:val="24"/>
              </w:rPr>
              <w:t>1</w:t>
            </w:r>
            <w:r>
              <w:rPr>
                <w:kern w:val="0"/>
                <w:sz w:val="24"/>
              </w:rPr>
              <w:t>0</w:t>
            </w:r>
            <w:r>
              <w:rPr>
                <w:rFonts w:hint="eastAsia"/>
                <w:kern w:val="0"/>
                <w:sz w:val="24"/>
              </w:rPr>
              <w:t>.</w:t>
            </w:r>
            <w:r>
              <w:rPr>
                <w:kern w:val="0"/>
                <w:sz w:val="24"/>
              </w:rPr>
              <w:t>8</w:t>
            </w:r>
          </w:p>
        </w:tc>
        <w:tc>
          <w:tcPr>
            <w:tcW w:w="2523" w:type="dxa"/>
            <w:gridSpan w:val="2"/>
            <w:vAlign w:val="center"/>
          </w:tcPr>
          <w:p>
            <w:pPr>
              <w:autoSpaceDE w:val="0"/>
              <w:autoSpaceDN w:val="0"/>
              <w:adjustRightInd w:val="0"/>
              <w:snapToGrid w:val="0"/>
              <w:jc w:val="center"/>
              <w:rPr>
                <w:kern w:val="0"/>
                <w:sz w:val="24"/>
              </w:rPr>
            </w:pPr>
            <w:r>
              <w:rPr>
                <w:kern w:val="0"/>
                <w:sz w:val="24"/>
              </w:rPr>
              <w:t>质保期</w:t>
            </w:r>
          </w:p>
        </w:tc>
        <w:tc>
          <w:tcPr>
            <w:tcW w:w="5008" w:type="dxa"/>
            <w:vAlign w:val="center"/>
          </w:tcPr>
          <w:p>
            <w:pPr>
              <w:autoSpaceDE w:val="0"/>
              <w:autoSpaceDN w:val="0"/>
              <w:adjustRightInd w:val="0"/>
              <w:snapToGrid w:val="0"/>
              <w:rPr>
                <w:bCs/>
                <w:kern w:val="0"/>
                <w:sz w:val="24"/>
              </w:rPr>
            </w:pPr>
            <w:r>
              <w:rPr>
                <w:rFonts w:hint="eastAsia"/>
                <w:bCs/>
                <w:kern w:val="0"/>
                <w:sz w:val="24"/>
              </w:rPr>
              <w:t>自货物验收合格之日起质保叁年（含叁年）以上。（招标文件第五章“采购需求”另有规定的，从其规定）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 w:val="24"/>
              </w:rPr>
            </w:pPr>
            <w:r>
              <w:rPr>
                <w:kern w:val="0"/>
                <w:sz w:val="24"/>
              </w:rPr>
              <w:t>10.9</w:t>
            </w:r>
          </w:p>
        </w:tc>
        <w:tc>
          <w:tcPr>
            <w:tcW w:w="2523" w:type="dxa"/>
            <w:gridSpan w:val="2"/>
            <w:vAlign w:val="center"/>
          </w:tcPr>
          <w:p>
            <w:pPr>
              <w:autoSpaceDE w:val="0"/>
              <w:autoSpaceDN w:val="0"/>
              <w:adjustRightInd w:val="0"/>
              <w:snapToGrid w:val="0"/>
              <w:jc w:val="center"/>
              <w:rPr>
                <w:kern w:val="0"/>
                <w:sz w:val="24"/>
              </w:rPr>
            </w:pPr>
            <w:r>
              <w:rPr>
                <w:kern w:val="0"/>
                <w:sz w:val="24"/>
              </w:rPr>
              <w:t>验收标准</w:t>
            </w:r>
          </w:p>
        </w:tc>
        <w:tc>
          <w:tcPr>
            <w:tcW w:w="5008" w:type="dxa"/>
            <w:vAlign w:val="center"/>
          </w:tcPr>
          <w:p>
            <w:pPr>
              <w:pStyle w:val="19"/>
              <w:spacing w:line="240" w:lineRule="auto"/>
              <w:ind w:firstLine="480" w:firstLineChars="200"/>
              <w:rPr>
                <w:bCs/>
                <w:kern w:val="0"/>
                <w:sz w:val="24"/>
              </w:rPr>
            </w:pPr>
            <w:r>
              <w:rPr>
                <w:bCs/>
                <w:kern w:val="0"/>
                <w:sz w:val="24"/>
              </w:rPr>
              <w:t>按新疆维吾尔自治区人民医院验收标准规定的程序及要求组织实施验收。具体如下：</w:t>
            </w:r>
          </w:p>
          <w:p>
            <w:pPr>
              <w:pStyle w:val="19"/>
              <w:spacing w:line="240" w:lineRule="auto"/>
              <w:ind w:firstLine="480" w:firstLineChars="200"/>
              <w:rPr>
                <w:bCs/>
                <w:kern w:val="0"/>
                <w:sz w:val="24"/>
              </w:rPr>
            </w:pPr>
            <w:r>
              <w:rPr>
                <w:bCs/>
                <w:kern w:val="0"/>
                <w:sz w:val="24"/>
              </w:rPr>
              <w:t>货物到达后，甲乙双方均须在场并确认包装的完好性后，安装</w:t>
            </w:r>
            <w:r>
              <w:rPr>
                <w:rFonts w:hint="eastAsia"/>
                <w:bCs/>
                <w:kern w:val="0"/>
                <w:sz w:val="24"/>
              </w:rPr>
              <w:t>（如有）</w:t>
            </w:r>
            <w:r>
              <w:rPr>
                <w:bCs/>
                <w:kern w:val="0"/>
                <w:sz w:val="24"/>
              </w:rPr>
              <w:t>后由甲方验货。并对货物进行清点验收，共同签字确认。如验收不合格，乙方应退货，预缴押金的要全额退还，一切损失由乙方承担。</w:t>
            </w:r>
          </w:p>
          <w:p>
            <w:pPr>
              <w:pStyle w:val="19"/>
              <w:spacing w:line="240" w:lineRule="auto"/>
              <w:ind w:firstLine="480" w:firstLineChars="200"/>
              <w:rPr>
                <w:bCs/>
                <w:kern w:val="0"/>
                <w:sz w:val="24"/>
              </w:rPr>
            </w:pPr>
            <w:r>
              <w:rPr>
                <w:bCs/>
                <w:kern w:val="0"/>
                <w:sz w:val="24"/>
              </w:rPr>
              <w:t>乙方所供货物的技术标准应符合国家相关部门最新颁布的相应标准,确保所供产品必须是最新、最成熟、性能最完善的产品，所提供的软件</w:t>
            </w:r>
            <w:r>
              <w:rPr>
                <w:rFonts w:hint="eastAsia"/>
                <w:bCs/>
                <w:kern w:val="0"/>
                <w:sz w:val="24"/>
              </w:rPr>
              <w:t>（如有）</w:t>
            </w:r>
            <w:r>
              <w:rPr>
                <w:bCs/>
                <w:kern w:val="0"/>
                <w:sz w:val="24"/>
              </w:rPr>
              <w:t>是当前最新软件版本，使用期内软件免费升级。</w:t>
            </w:r>
          </w:p>
          <w:p>
            <w:pPr>
              <w:autoSpaceDE w:val="0"/>
              <w:autoSpaceDN w:val="0"/>
              <w:adjustRightInd w:val="0"/>
              <w:snapToGrid w:val="0"/>
              <w:ind w:firstLine="480" w:firstLineChars="200"/>
              <w:rPr>
                <w:kern w:val="0"/>
                <w:sz w:val="24"/>
                <w:highlight w:val="yellow"/>
              </w:rPr>
            </w:pPr>
            <w:r>
              <w:rPr>
                <w:bCs/>
                <w:kern w:val="0"/>
                <w:sz w:val="24"/>
              </w:rPr>
              <w:t>交货时，乙方必须提供产品检验合格证书、装箱单、产品使用说明书、维修指南</w:t>
            </w:r>
            <w:r>
              <w:rPr>
                <w:rFonts w:hint="eastAsia"/>
                <w:bCs/>
                <w:kern w:val="0"/>
                <w:sz w:val="24"/>
              </w:rPr>
              <w:t>（如有）</w:t>
            </w:r>
            <w:r>
              <w:rPr>
                <w:bCs/>
                <w:kern w:val="0"/>
                <w:sz w:val="24"/>
              </w:rPr>
              <w:t>、服务手册等资料，进口设备</w:t>
            </w:r>
            <w:r>
              <w:rPr>
                <w:rFonts w:hint="eastAsia"/>
                <w:bCs/>
                <w:kern w:val="0"/>
                <w:sz w:val="24"/>
              </w:rPr>
              <w:t>（如适用）</w:t>
            </w:r>
            <w:r>
              <w:rPr>
                <w:bCs/>
                <w:kern w:val="0"/>
                <w:sz w:val="24"/>
              </w:rPr>
              <w:t>须带海关报关单和商品检验单，保证是原产地的原装产品，否则按退货处理。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188" w:type="dxa"/>
            <w:vAlign w:val="center"/>
          </w:tcPr>
          <w:p>
            <w:pPr>
              <w:autoSpaceDE w:val="0"/>
              <w:autoSpaceDN w:val="0"/>
              <w:adjustRightInd w:val="0"/>
              <w:snapToGrid w:val="0"/>
              <w:jc w:val="center"/>
              <w:rPr>
                <w:kern w:val="0"/>
                <w:sz w:val="24"/>
              </w:rPr>
            </w:pPr>
            <w:r>
              <w:rPr>
                <w:kern w:val="0"/>
                <w:sz w:val="24"/>
              </w:rPr>
              <w:t>10.10</w:t>
            </w:r>
          </w:p>
        </w:tc>
        <w:tc>
          <w:tcPr>
            <w:tcW w:w="2523" w:type="dxa"/>
            <w:gridSpan w:val="2"/>
            <w:vAlign w:val="center"/>
          </w:tcPr>
          <w:p>
            <w:pPr>
              <w:autoSpaceDE w:val="0"/>
              <w:autoSpaceDN w:val="0"/>
              <w:adjustRightInd w:val="0"/>
              <w:snapToGrid w:val="0"/>
              <w:rPr>
                <w:kern w:val="0"/>
                <w:sz w:val="24"/>
              </w:rPr>
            </w:pPr>
            <w:r>
              <w:rPr>
                <w:kern w:val="0"/>
                <w:sz w:val="24"/>
              </w:rPr>
              <w:t>采购需求其他要求</w:t>
            </w:r>
          </w:p>
        </w:tc>
        <w:tc>
          <w:tcPr>
            <w:tcW w:w="5008" w:type="dxa"/>
            <w:vAlign w:val="center"/>
          </w:tcPr>
          <w:p>
            <w:pPr>
              <w:rPr>
                <w:sz w:val="24"/>
              </w:rPr>
            </w:pPr>
            <w:r>
              <w:rPr>
                <w:sz w:val="24"/>
              </w:rPr>
              <w:t>投标人的产品配送及安装</w:t>
            </w:r>
            <w:r>
              <w:rPr>
                <w:rFonts w:hint="eastAsia"/>
                <w:sz w:val="24"/>
              </w:rPr>
              <w:t>（如有安装）</w:t>
            </w:r>
            <w:r>
              <w:rPr>
                <w:sz w:val="24"/>
              </w:rPr>
              <w:t>实施方案、售后服务能力（人员及售后服务体系等）、培训方案</w:t>
            </w:r>
            <w:r>
              <w:rPr>
                <w:rFonts w:hint="eastAsia"/>
                <w:sz w:val="24"/>
              </w:rPr>
              <w:t>（如有）</w:t>
            </w:r>
            <w:r>
              <w:rPr>
                <w:sz w:val="24"/>
              </w:rPr>
              <w:t>及质保承诺</w:t>
            </w:r>
            <w:r>
              <w:rPr>
                <w:rFonts w:hint="eastAsia"/>
                <w:sz w:val="24"/>
              </w:rPr>
              <w:t>（如有）</w:t>
            </w:r>
            <w:r>
              <w:rPr>
                <w:sz w:val="24"/>
              </w:rPr>
              <w:t>等应满足采购人的实际需求。售后服务响应时间为接到采购人通知后24小时内到达现场。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188" w:type="dxa"/>
            <w:vAlign w:val="center"/>
          </w:tcPr>
          <w:p>
            <w:pPr>
              <w:autoSpaceDE w:val="0"/>
              <w:autoSpaceDN w:val="0"/>
              <w:adjustRightInd w:val="0"/>
              <w:snapToGrid w:val="0"/>
              <w:jc w:val="center"/>
              <w:rPr>
                <w:kern w:val="0"/>
                <w:sz w:val="24"/>
              </w:rPr>
            </w:pPr>
            <w:r>
              <w:rPr>
                <w:rFonts w:hint="eastAsia"/>
                <w:kern w:val="0"/>
                <w:sz w:val="24"/>
              </w:rPr>
              <w:t>1</w:t>
            </w:r>
            <w:r>
              <w:rPr>
                <w:kern w:val="0"/>
                <w:sz w:val="24"/>
              </w:rPr>
              <w:t>0</w:t>
            </w:r>
            <w:r>
              <w:rPr>
                <w:rFonts w:hint="eastAsia"/>
                <w:kern w:val="0"/>
                <w:sz w:val="24"/>
              </w:rPr>
              <w:t>.</w:t>
            </w:r>
            <w:r>
              <w:rPr>
                <w:kern w:val="0"/>
                <w:sz w:val="24"/>
              </w:rPr>
              <w:t>11</w:t>
            </w:r>
          </w:p>
        </w:tc>
        <w:tc>
          <w:tcPr>
            <w:tcW w:w="2523" w:type="dxa"/>
            <w:gridSpan w:val="2"/>
            <w:vAlign w:val="center"/>
          </w:tcPr>
          <w:p>
            <w:pPr>
              <w:autoSpaceDE w:val="0"/>
              <w:autoSpaceDN w:val="0"/>
              <w:adjustRightInd w:val="0"/>
              <w:snapToGrid w:val="0"/>
              <w:rPr>
                <w:kern w:val="0"/>
                <w:sz w:val="24"/>
              </w:rPr>
            </w:pPr>
            <w:r>
              <w:rPr>
                <w:rFonts w:hint="eastAsia"/>
                <w:kern w:val="0"/>
                <w:sz w:val="24"/>
              </w:rPr>
              <w:t>低于成本价不正当竞争预防措施</w:t>
            </w:r>
          </w:p>
        </w:tc>
        <w:tc>
          <w:tcPr>
            <w:tcW w:w="5008" w:type="dxa"/>
            <w:vAlign w:val="center"/>
          </w:tcPr>
          <w:p>
            <w:pPr>
              <w:rPr>
                <w:sz w:val="24"/>
              </w:rPr>
            </w:pPr>
            <w:r>
              <w:rPr>
                <w:rFonts w:hint="eastAsia"/>
                <w:sz w:val="24"/>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719" w:type="dxa"/>
            <w:gridSpan w:val="4"/>
            <w:vAlign w:val="center"/>
          </w:tcPr>
          <w:p>
            <w:pPr>
              <w:rPr>
                <w:sz w:val="24"/>
              </w:rPr>
            </w:pPr>
            <w:r>
              <w:rPr>
                <w:rFonts w:hint="eastAsia"/>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autoSpaceDE w:val="0"/>
        <w:autoSpaceDN w:val="0"/>
        <w:adjustRightInd w:val="0"/>
        <w:snapToGrid w:val="0"/>
        <w:spacing w:after="120" w:afterLines="50"/>
        <w:jc w:val="left"/>
        <w:rPr>
          <w:b/>
          <w:bCs/>
          <w:kern w:val="0"/>
          <w:sz w:val="28"/>
          <w:szCs w:val="28"/>
        </w:rPr>
      </w:pPr>
      <w:r>
        <w:rPr>
          <w:b/>
          <w:bCs/>
          <w:sz w:val="24"/>
        </w:rPr>
        <w:t>注：投标人须知正文与本表不一致的以本表为准。</w:t>
      </w:r>
      <w:r>
        <w:rPr>
          <w:b/>
          <w:bCs/>
          <w:kern w:val="0"/>
          <w:szCs w:val="21"/>
        </w:rPr>
        <w:br w:type="page"/>
      </w:r>
    </w:p>
    <w:p>
      <w:pPr>
        <w:autoSpaceDE w:val="0"/>
        <w:autoSpaceDN w:val="0"/>
        <w:adjustRightInd w:val="0"/>
        <w:snapToGrid w:val="0"/>
        <w:spacing w:after="120" w:afterLines="50"/>
        <w:jc w:val="center"/>
        <w:outlineLvl w:val="0"/>
        <w:rPr>
          <w:kern w:val="0"/>
          <w:sz w:val="28"/>
          <w:szCs w:val="28"/>
        </w:rPr>
      </w:pPr>
      <w:bookmarkStart w:id="78" w:name="_Toc9463"/>
      <w:bookmarkStart w:id="79" w:name="_Toc26328"/>
      <w:bookmarkStart w:id="80" w:name="_Toc6313"/>
      <w:r>
        <w:rPr>
          <w:kern w:val="0"/>
          <w:sz w:val="28"/>
          <w:szCs w:val="28"/>
        </w:rPr>
        <w:t>（二）投标人须知</w:t>
      </w:r>
      <w:bookmarkEnd w:id="78"/>
      <w:bookmarkEnd w:id="79"/>
      <w:bookmarkEnd w:id="80"/>
    </w:p>
    <w:p>
      <w:pPr>
        <w:numPr>
          <w:ilvl w:val="0"/>
          <w:numId w:val="1"/>
        </w:numPr>
        <w:autoSpaceDE w:val="0"/>
        <w:autoSpaceDN w:val="0"/>
        <w:adjustRightInd w:val="0"/>
        <w:spacing w:after="120" w:afterLines="50" w:line="360" w:lineRule="auto"/>
        <w:outlineLvl w:val="2"/>
        <w:rPr>
          <w:rFonts w:eastAsia="黑体"/>
          <w:kern w:val="0"/>
          <w:sz w:val="24"/>
        </w:rPr>
      </w:pPr>
      <w:bookmarkStart w:id="81" w:name="_Toc195921793"/>
      <w:bookmarkStart w:id="82" w:name="_Toc10165"/>
      <w:bookmarkStart w:id="83" w:name="_Toc9858"/>
      <w:bookmarkStart w:id="84" w:name="_Toc23205"/>
      <w:r>
        <w:rPr>
          <w:rFonts w:eastAsia="黑体"/>
          <w:kern w:val="0"/>
          <w:sz w:val="24"/>
        </w:rPr>
        <w:t>总则</w:t>
      </w:r>
      <w:bookmarkEnd w:id="81"/>
      <w:bookmarkEnd w:id="82"/>
      <w:bookmarkEnd w:id="83"/>
      <w:bookmarkEnd w:id="84"/>
    </w:p>
    <w:p>
      <w:pPr>
        <w:numPr>
          <w:ilvl w:val="1"/>
          <w:numId w:val="1"/>
        </w:numPr>
        <w:autoSpaceDE w:val="0"/>
        <w:autoSpaceDN w:val="0"/>
        <w:adjustRightInd w:val="0"/>
        <w:snapToGrid w:val="0"/>
        <w:spacing w:after="120" w:afterLines="50" w:line="360" w:lineRule="auto"/>
        <w:rPr>
          <w:kern w:val="0"/>
          <w:sz w:val="24"/>
        </w:rPr>
      </w:pPr>
      <w:bookmarkStart w:id="85" w:name="_Toc195921794"/>
      <w:r>
        <w:rPr>
          <w:kern w:val="0"/>
          <w:sz w:val="24"/>
        </w:rPr>
        <w:t>项目概况</w:t>
      </w:r>
      <w:bookmarkEnd w:id="85"/>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根据《中华人民共和国政府采购法》和《中华人民共和国政府采购法实施条例》等有关法律、法规和规章的规定，对本招标项目进行招标。</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采购人：</w:t>
      </w:r>
      <w:r>
        <w:rPr>
          <w:sz w:val="24"/>
        </w:rPr>
        <w:t>指依法进行政府采购的国家机关、事业单位、团体组织。本项目采购人见</w:t>
      </w:r>
      <w:r>
        <w:rPr>
          <w:rFonts w:hint="eastAsia"/>
          <w:sz w:val="24"/>
        </w:rPr>
        <w:t>招标公告</w:t>
      </w:r>
      <w:r>
        <w:rPr>
          <w:kern w:val="0"/>
          <w:sz w:val="24"/>
        </w:rPr>
        <w:t>。</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采购代理机构：</w:t>
      </w:r>
      <w:r>
        <w:rPr>
          <w:sz w:val="24"/>
        </w:rPr>
        <w:t>指采购人委托的采购代理机构。本项目采购代理机构见</w:t>
      </w:r>
      <w:r>
        <w:rPr>
          <w:rFonts w:hint="eastAsia"/>
          <w:sz w:val="24"/>
        </w:rPr>
        <w:t>招标公告</w:t>
      </w:r>
      <w:r>
        <w:rPr>
          <w:kern w:val="0"/>
          <w:sz w:val="24"/>
        </w:rPr>
        <w:t>。</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采购货物名称</w:t>
      </w:r>
    </w:p>
    <w:p>
      <w:pPr>
        <w:autoSpaceDE w:val="0"/>
        <w:autoSpaceDN w:val="0"/>
        <w:adjustRightInd w:val="0"/>
        <w:snapToGrid w:val="0"/>
        <w:spacing w:after="120" w:afterLines="50" w:line="360" w:lineRule="auto"/>
        <w:ind w:left="1079"/>
        <w:rPr>
          <w:sz w:val="24"/>
        </w:rPr>
      </w:pPr>
      <w:r>
        <w:rPr>
          <w:sz w:val="24"/>
        </w:rPr>
        <w:t>见招标公告。</w:t>
      </w:r>
    </w:p>
    <w:p>
      <w:pPr>
        <w:autoSpaceDE w:val="0"/>
        <w:autoSpaceDN w:val="0"/>
        <w:adjustRightInd w:val="0"/>
        <w:snapToGrid w:val="0"/>
        <w:spacing w:after="120" w:afterLines="50" w:line="360" w:lineRule="auto"/>
        <w:rPr>
          <w:sz w:val="24"/>
        </w:rPr>
      </w:pPr>
      <w:r>
        <w:rPr>
          <w:sz w:val="24"/>
        </w:rPr>
        <w:t>1.1.5     采购标的对应的中小企业划分标准所属行业：</w:t>
      </w:r>
      <w:r>
        <w:rPr>
          <w:kern w:val="0"/>
          <w:sz w:val="24"/>
        </w:rPr>
        <w:t>见投标人须知前附表</w:t>
      </w:r>
    </w:p>
    <w:p>
      <w:pPr>
        <w:numPr>
          <w:ilvl w:val="1"/>
          <w:numId w:val="1"/>
        </w:numPr>
        <w:autoSpaceDE w:val="0"/>
        <w:autoSpaceDN w:val="0"/>
        <w:adjustRightInd w:val="0"/>
        <w:snapToGrid w:val="0"/>
        <w:spacing w:after="120" w:afterLines="50" w:line="360" w:lineRule="auto"/>
        <w:rPr>
          <w:kern w:val="0"/>
          <w:sz w:val="24"/>
        </w:rPr>
      </w:pPr>
      <w:bookmarkStart w:id="86" w:name="_Toc195921795"/>
      <w:r>
        <w:rPr>
          <w:kern w:val="0"/>
          <w:sz w:val="24"/>
        </w:rPr>
        <w:t>采购预算</w:t>
      </w:r>
      <w:bookmarkEnd w:id="86"/>
    </w:p>
    <w:p>
      <w:pPr>
        <w:autoSpaceDE w:val="0"/>
        <w:autoSpaceDN w:val="0"/>
        <w:adjustRightInd w:val="0"/>
        <w:snapToGrid w:val="0"/>
        <w:spacing w:after="120" w:afterLines="50" w:line="360" w:lineRule="auto"/>
        <w:ind w:left="1079"/>
        <w:rPr>
          <w:sz w:val="24"/>
        </w:rPr>
      </w:pPr>
      <w:r>
        <w:rPr>
          <w:sz w:val="24"/>
        </w:rPr>
        <w:t>见招标公告。</w:t>
      </w:r>
    </w:p>
    <w:p>
      <w:pPr>
        <w:numPr>
          <w:ilvl w:val="1"/>
          <w:numId w:val="1"/>
        </w:numPr>
        <w:autoSpaceDE w:val="0"/>
        <w:autoSpaceDN w:val="0"/>
        <w:adjustRightInd w:val="0"/>
        <w:snapToGrid w:val="0"/>
        <w:spacing w:after="120" w:afterLines="50" w:line="360" w:lineRule="auto"/>
        <w:rPr>
          <w:kern w:val="0"/>
          <w:sz w:val="24"/>
        </w:rPr>
      </w:pPr>
      <w:bookmarkStart w:id="87" w:name="_Toc195921796"/>
      <w:r>
        <w:rPr>
          <w:kern w:val="0"/>
          <w:sz w:val="24"/>
        </w:rPr>
        <w:t>最高限价（如有）</w:t>
      </w:r>
    </w:p>
    <w:p>
      <w:pPr>
        <w:autoSpaceDE w:val="0"/>
        <w:autoSpaceDN w:val="0"/>
        <w:adjustRightInd w:val="0"/>
        <w:snapToGrid w:val="0"/>
        <w:spacing w:after="120" w:afterLines="50" w:line="360" w:lineRule="auto"/>
        <w:ind w:left="1079"/>
        <w:rPr>
          <w:sz w:val="24"/>
        </w:rPr>
      </w:pPr>
      <w:r>
        <w:rPr>
          <w:sz w:val="24"/>
        </w:rPr>
        <w:t>见招标公告。</w:t>
      </w:r>
    </w:p>
    <w:p>
      <w:pPr>
        <w:numPr>
          <w:ilvl w:val="1"/>
          <w:numId w:val="1"/>
        </w:numPr>
        <w:autoSpaceDE w:val="0"/>
        <w:autoSpaceDN w:val="0"/>
        <w:adjustRightInd w:val="0"/>
        <w:snapToGrid w:val="0"/>
        <w:spacing w:after="120" w:afterLines="50" w:line="360" w:lineRule="auto"/>
        <w:rPr>
          <w:kern w:val="0"/>
          <w:sz w:val="24"/>
        </w:rPr>
      </w:pPr>
      <w:r>
        <w:rPr>
          <w:kern w:val="0"/>
          <w:sz w:val="24"/>
        </w:rPr>
        <w:t>招</w:t>
      </w:r>
      <w:bookmarkEnd w:id="87"/>
      <w:r>
        <w:rPr>
          <w:rFonts w:hint="eastAsia"/>
          <w:kern w:val="0"/>
          <w:sz w:val="24"/>
        </w:rPr>
        <w:t>标范围、交货期、交货地点、质量要求</w:t>
      </w:r>
    </w:p>
    <w:p>
      <w:pPr>
        <w:autoSpaceDE w:val="0"/>
        <w:autoSpaceDN w:val="0"/>
        <w:adjustRightInd w:val="0"/>
        <w:snapToGrid w:val="0"/>
        <w:spacing w:after="120" w:afterLines="50" w:line="360" w:lineRule="auto"/>
        <w:ind w:left="1079"/>
        <w:rPr>
          <w:sz w:val="24"/>
        </w:rPr>
      </w:pPr>
      <w:r>
        <w:rPr>
          <w:sz w:val="24"/>
        </w:rPr>
        <w:t>见采购需求。</w:t>
      </w:r>
    </w:p>
    <w:p>
      <w:pPr>
        <w:numPr>
          <w:ilvl w:val="1"/>
          <w:numId w:val="1"/>
        </w:numPr>
        <w:autoSpaceDE w:val="0"/>
        <w:autoSpaceDN w:val="0"/>
        <w:adjustRightInd w:val="0"/>
        <w:snapToGrid w:val="0"/>
        <w:spacing w:after="120" w:afterLines="50" w:line="360" w:lineRule="auto"/>
        <w:rPr>
          <w:kern w:val="0"/>
          <w:sz w:val="24"/>
        </w:rPr>
      </w:pPr>
      <w:r>
        <w:rPr>
          <w:kern w:val="0"/>
          <w:sz w:val="24"/>
        </w:rPr>
        <w:t>申请人/投标人：</w:t>
      </w:r>
      <w:r>
        <w:rPr>
          <w:sz w:val="24"/>
        </w:rPr>
        <w:t>指响应招标、参加投标竞争的法人、其他组织或者自然人</w:t>
      </w:r>
      <w:r>
        <w:rPr>
          <w:kern w:val="0"/>
          <w:sz w:val="24"/>
        </w:rPr>
        <w:t>。</w:t>
      </w:r>
    </w:p>
    <w:p>
      <w:pPr>
        <w:numPr>
          <w:ilvl w:val="2"/>
          <w:numId w:val="1"/>
        </w:numPr>
        <w:tabs>
          <w:tab w:val="left" w:pos="1260"/>
        </w:tabs>
        <w:autoSpaceDE w:val="0"/>
        <w:autoSpaceDN w:val="0"/>
        <w:adjustRightInd w:val="0"/>
        <w:snapToGrid w:val="0"/>
        <w:spacing w:after="120" w:afterLines="50" w:line="360" w:lineRule="auto"/>
        <w:rPr>
          <w:kern w:val="0"/>
          <w:sz w:val="24"/>
        </w:rPr>
      </w:pPr>
      <w:bookmarkStart w:id="88" w:name="_Ref426956497"/>
      <w:r>
        <w:rPr>
          <w:kern w:val="0"/>
          <w:sz w:val="24"/>
        </w:rPr>
        <w:t>合格的申请人/投标人应具备以下条件：</w:t>
      </w:r>
      <w:bookmarkEnd w:id="88"/>
    </w:p>
    <w:p>
      <w:pPr>
        <w:autoSpaceDE w:val="0"/>
        <w:autoSpaceDN w:val="0"/>
        <w:adjustRightInd w:val="0"/>
        <w:snapToGrid w:val="0"/>
        <w:spacing w:after="120" w:afterLines="50" w:line="360" w:lineRule="auto"/>
        <w:ind w:left="1079"/>
        <w:rPr>
          <w:sz w:val="24"/>
        </w:rPr>
      </w:pPr>
      <w:r>
        <w:rPr>
          <w:sz w:val="24"/>
        </w:rPr>
        <w:t>见招标公告。</w:t>
      </w:r>
    </w:p>
    <w:p>
      <w:pPr>
        <w:numPr>
          <w:ilvl w:val="255"/>
          <w:numId w:val="0"/>
        </w:numPr>
        <w:tabs>
          <w:tab w:val="left" w:pos="1260"/>
        </w:tabs>
        <w:autoSpaceDE w:val="0"/>
        <w:autoSpaceDN w:val="0"/>
        <w:adjustRightInd w:val="0"/>
        <w:snapToGrid w:val="0"/>
        <w:spacing w:after="120" w:afterLines="50" w:line="360" w:lineRule="auto"/>
        <w:ind w:left="-1134"/>
        <w:rPr>
          <w:kern w:val="0"/>
          <w:sz w:val="24"/>
        </w:rPr>
      </w:pPr>
      <w:r>
        <w:rPr>
          <w:kern w:val="0"/>
          <w:sz w:val="24"/>
        </w:rPr>
        <w:t xml:space="preserve">         1.5.2    是否专门面向中小企业或小型、微型企业采购： 见投标人须知前附表</w:t>
      </w:r>
    </w:p>
    <w:p>
      <w:pPr>
        <w:numPr>
          <w:ilvl w:val="255"/>
          <w:numId w:val="0"/>
        </w:numPr>
        <w:autoSpaceDE w:val="0"/>
        <w:autoSpaceDN w:val="0"/>
        <w:adjustRightInd w:val="0"/>
        <w:snapToGrid w:val="0"/>
        <w:spacing w:after="120" w:afterLines="50" w:line="360" w:lineRule="auto"/>
        <w:ind w:left="960" w:hanging="960" w:hangingChars="400"/>
        <w:rPr>
          <w:kern w:val="0"/>
          <w:sz w:val="24"/>
        </w:rPr>
      </w:pPr>
      <w:r>
        <w:rPr>
          <w:kern w:val="0"/>
          <w:sz w:val="24"/>
        </w:rPr>
        <w:t>1.5.3    投标人应当遵循公平竞争的原则，不得恶意串通，不得妨碍其他投标人的竞争行为，不得损害采购人或者其他投标人的合法权益。</w:t>
      </w:r>
    </w:p>
    <w:p>
      <w:pPr>
        <w:numPr>
          <w:ilvl w:val="255"/>
          <w:numId w:val="0"/>
        </w:numPr>
        <w:autoSpaceDE w:val="0"/>
        <w:autoSpaceDN w:val="0"/>
        <w:adjustRightInd w:val="0"/>
        <w:snapToGrid w:val="0"/>
        <w:spacing w:after="120" w:afterLines="50" w:line="360" w:lineRule="auto"/>
        <w:ind w:left="960" w:hanging="960" w:hangingChars="400"/>
        <w:rPr>
          <w:kern w:val="0"/>
          <w:sz w:val="24"/>
        </w:rPr>
      </w:pPr>
      <w:r>
        <w:rPr>
          <w:kern w:val="0"/>
          <w:sz w:val="24"/>
        </w:rPr>
        <w:t>1.5.4   投标人不得以向采购人、评标委员会成员行贿或者采取其他不正当手段谋取中标。</w:t>
      </w:r>
    </w:p>
    <w:p>
      <w:pPr>
        <w:numPr>
          <w:ilvl w:val="255"/>
          <w:numId w:val="0"/>
        </w:numPr>
        <w:tabs>
          <w:tab w:val="left" w:pos="1260"/>
        </w:tabs>
        <w:autoSpaceDE w:val="0"/>
        <w:autoSpaceDN w:val="0"/>
        <w:adjustRightInd w:val="0"/>
        <w:snapToGrid w:val="0"/>
        <w:spacing w:after="120" w:afterLines="50" w:line="360" w:lineRule="auto"/>
        <w:rPr>
          <w:kern w:val="0"/>
          <w:sz w:val="24"/>
        </w:rPr>
      </w:pPr>
      <w:r>
        <w:rPr>
          <w:kern w:val="0"/>
          <w:sz w:val="24"/>
        </w:rPr>
        <w:t>1.5.5    本项目将执行在政府采购活动中查询及使用信用记录的规定，具体要求为：</w:t>
      </w:r>
    </w:p>
    <w:p>
      <w:pPr>
        <w:numPr>
          <w:ilvl w:val="0"/>
          <w:numId w:val="2"/>
        </w:numPr>
        <w:tabs>
          <w:tab w:val="left" w:pos="1701"/>
        </w:tabs>
        <w:autoSpaceDE w:val="0"/>
        <w:autoSpaceDN w:val="0"/>
        <w:adjustRightInd w:val="0"/>
        <w:snapToGrid w:val="0"/>
        <w:spacing w:after="120" w:afterLines="50" w:line="360" w:lineRule="auto"/>
        <w:ind w:left="1701" w:hanging="622"/>
        <w:rPr>
          <w:sz w:val="24"/>
        </w:rPr>
      </w:pPr>
      <w:r>
        <w:rPr>
          <w:sz w:val="24"/>
        </w:rPr>
        <w:t xml:space="preserve">信用信息查询的截止时点：投标截止时间。 </w:t>
      </w:r>
    </w:p>
    <w:p>
      <w:pPr>
        <w:numPr>
          <w:ilvl w:val="0"/>
          <w:numId w:val="2"/>
        </w:numPr>
        <w:tabs>
          <w:tab w:val="left" w:pos="1701"/>
        </w:tabs>
        <w:autoSpaceDE w:val="0"/>
        <w:autoSpaceDN w:val="0"/>
        <w:adjustRightInd w:val="0"/>
        <w:snapToGrid w:val="0"/>
        <w:spacing w:after="120" w:afterLines="50" w:line="360" w:lineRule="auto"/>
        <w:ind w:left="1701" w:hanging="622"/>
        <w:rPr>
          <w:sz w:val="24"/>
        </w:rPr>
      </w:pPr>
      <w:r>
        <w:rPr>
          <w:sz w:val="24"/>
        </w:rPr>
        <w:t xml:space="preserve">查询渠道：详见招标公告； </w:t>
      </w:r>
    </w:p>
    <w:p>
      <w:pPr>
        <w:numPr>
          <w:ilvl w:val="0"/>
          <w:numId w:val="2"/>
        </w:numPr>
        <w:tabs>
          <w:tab w:val="left" w:pos="1701"/>
        </w:tabs>
        <w:autoSpaceDE w:val="0"/>
        <w:autoSpaceDN w:val="0"/>
        <w:adjustRightInd w:val="0"/>
        <w:snapToGrid w:val="0"/>
        <w:spacing w:after="120" w:afterLines="50" w:line="360" w:lineRule="auto"/>
        <w:ind w:left="1701" w:hanging="622"/>
        <w:rPr>
          <w:sz w:val="24"/>
        </w:rPr>
      </w:pPr>
      <w:r>
        <w:rPr>
          <w:sz w:val="24"/>
        </w:rPr>
        <w:t xml:space="preserve">信用信息查询记录和证据留存具体方式：投标人的信用信息查询结果网页截图作为查询记录和证据，与其他招标文件一并保存； </w:t>
      </w:r>
    </w:p>
    <w:p>
      <w:pPr>
        <w:numPr>
          <w:ilvl w:val="0"/>
          <w:numId w:val="2"/>
        </w:numPr>
        <w:tabs>
          <w:tab w:val="left" w:pos="1701"/>
        </w:tabs>
        <w:autoSpaceDE w:val="0"/>
        <w:autoSpaceDN w:val="0"/>
        <w:adjustRightInd w:val="0"/>
        <w:snapToGrid w:val="0"/>
        <w:spacing w:after="120" w:afterLines="50" w:line="360" w:lineRule="auto"/>
        <w:ind w:left="1701" w:hanging="622"/>
        <w:rPr>
          <w:sz w:val="24"/>
        </w:rPr>
      </w:pPr>
      <w:r>
        <w:rPr>
          <w:sz w:val="24"/>
        </w:rPr>
        <w:t>信用信息的使用规则：本政府采购项目的投标人在信用信息查询截止时点（含）之前存在第一章招标公告第六条第2款所述不良信用记录的，投标无效。</w:t>
      </w:r>
    </w:p>
    <w:p>
      <w:pPr>
        <w:numPr>
          <w:ilvl w:val="0"/>
          <w:numId w:val="2"/>
        </w:numPr>
        <w:tabs>
          <w:tab w:val="left" w:pos="1701"/>
        </w:tabs>
        <w:autoSpaceDE w:val="0"/>
        <w:autoSpaceDN w:val="0"/>
        <w:adjustRightInd w:val="0"/>
        <w:snapToGrid w:val="0"/>
        <w:spacing w:after="120" w:afterLines="50" w:line="360" w:lineRule="auto"/>
        <w:ind w:left="1701" w:hanging="622"/>
        <w:rPr>
          <w:sz w:val="24"/>
        </w:rPr>
      </w:pPr>
      <w:r>
        <w:rPr>
          <w:sz w:val="24"/>
        </w:rPr>
        <w:t>信用信息查询主体：</w:t>
      </w:r>
      <w:r>
        <w:rPr>
          <w:kern w:val="0"/>
          <w:sz w:val="24"/>
        </w:rPr>
        <w:t>见投标人须知前附表</w:t>
      </w:r>
      <w:r>
        <w:rPr>
          <w:sz w:val="24"/>
        </w:rPr>
        <w:t>资格审查主体。</w:t>
      </w:r>
    </w:p>
    <w:p>
      <w:pPr>
        <w:numPr>
          <w:ilvl w:val="255"/>
          <w:numId w:val="0"/>
        </w:numPr>
        <w:tabs>
          <w:tab w:val="left" w:pos="1260"/>
        </w:tabs>
        <w:autoSpaceDE w:val="0"/>
        <w:autoSpaceDN w:val="0"/>
        <w:adjustRightInd w:val="0"/>
        <w:snapToGrid w:val="0"/>
        <w:spacing w:after="120" w:afterLines="50" w:line="360" w:lineRule="auto"/>
        <w:rPr>
          <w:kern w:val="0"/>
          <w:sz w:val="24"/>
        </w:rPr>
      </w:pPr>
      <w:r>
        <w:rPr>
          <w:kern w:val="0"/>
          <w:sz w:val="24"/>
        </w:rPr>
        <w:t>1.5.6   招标公告规定接受联合体投标的，除应符合本章第</w:t>
      </w:r>
      <w:r>
        <w:rPr>
          <w:rFonts w:hint="eastAsia"/>
          <w:kern w:val="0"/>
          <w:sz w:val="24"/>
        </w:rPr>
        <w:t>1.5.1</w:t>
      </w:r>
      <w:r>
        <w:rPr>
          <w:kern w:val="0"/>
          <w:sz w:val="24"/>
        </w:rPr>
        <w:t>项和第1.5.5项的要求外，还应遵守以下规定：</w:t>
      </w:r>
    </w:p>
    <w:p>
      <w:pPr>
        <w:numPr>
          <w:ilvl w:val="0"/>
          <w:numId w:val="3"/>
        </w:numPr>
        <w:tabs>
          <w:tab w:val="left" w:pos="1701"/>
        </w:tabs>
        <w:autoSpaceDE w:val="0"/>
        <w:autoSpaceDN w:val="0"/>
        <w:adjustRightInd w:val="0"/>
        <w:snapToGrid w:val="0"/>
        <w:spacing w:after="120" w:afterLines="50" w:line="360" w:lineRule="auto"/>
        <w:ind w:left="1701" w:hanging="622"/>
        <w:rPr>
          <w:sz w:val="24"/>
        </w:rPr>
      </w:pPr>
      <w:r>
        <w:rPr>
          <w:sz w:val="24"/>
        </w:rPr>
        <w:t>联合体各方应按招标文件提供的格式签订联合体协议书，明确联合体牵头人和各方工作内容和义务；</w:t>
      </w:r>
    </w:p>
    <w:p>
      <w:pPr>
        <w:numPr>
          <w:ilvl w:val="0"/>
          <w:numId w:val="3"/>
        </w:numPr>
        <w:tabs>
          <w:tab w:val="left" w:pos="1701"/>
        </w:tabs>
        <w:autoSpaceDE w:val="0"/>
        <w:autoSpaceDN w:val="0"/>
        <w:adjustRightInd w:val="0"/>
        <w:snapToGrid w:val="0"/>
        <w:spacing w:after="120" w:afterLines="50" w:line="360" w:lineRule="auto"/>
        <w:ind w:left="1701" w:hanging="622"/>
        <w:rPr>
          <w:sz w:val="24"/>
        </w:rPr>
      </w:pPr>
      <w:r>
        <w:rPr>
          <w:sz w:val="24"/>
        </w:rPr>
        <w:t>联合体中有同类资质的投标人按照联合体分工承担相同工作的，应当按照资质等级较低的投标人确定联合体的资质等级。</w:t>
      </w:r>
    </w:p>
    <w:p>
      <w:pPr>
        <w:numPr>
          <w:ilvl w:val="0"/>
          <w:numId w:val="3"/>
        </w:numPr>
        <w:tabs>
          <w:tab w:val="left" w:pos="1701"/>
        </w:tabs>
        <w:autoSpaceDE w:val="0"/>
        <w:autoSpaceDN w:val="0"/>
        <w:adjustRightInd w:val="0"/>
        <w:snapToGrid w:val="0"/>
        <w:spacing w:after="120" w:afterLines="50" w:line="360" w:lineRule="auto"/>
        <w:ind w:left="1701" w:hanging="622"/>
        <w:rPr>
          <w:sz w:val="24"/>
        </w:rPr>
      </w:pPr>
      <w:r>
        <w:rPr>
          <w:sz w:val="24"/>
        </w:rPr>
        <w:t>联合体各方不得再单独参加或者与其他投标人另外组成联合体参加同一合同项下的投标。</w:t>
      </w:r>
    </w:p>
    <w:p>
      <w:pPr>
        <w:numPr>
          <w:ilvl w:val="0"/>
          <w:numId w:val="3"/>
        </w:numPr>
        <w:tabs>
          <w:tab w:val="left" w:pos="1701"/>
        </w:tabs>
        <w:autoSpaceDE w:val="0"/>
        <w:autoSpaceDN w:val="0"/>
        <w:adjustRightInd w:val="0"/>
        <w:snapToGrid w:val="0"/>
        <w:spacing w:after="120" w:afterLines="50" w:line="360" w:lineRule="auto"/>
        <w:ind w:left="1701" w:hanging="622"/>
        <w:rPr>
          <w:sz w:val="24"/>
        </w:rPr>
      </w:pPr>
      <w:r>
        <w:rPr>
          <w:sz w:val="24"/>
        </w:rPr>
        <w:t>联合体各方应当共同与采购人签订采购合同，就采购合同约定的事项对采购人承担连带责任。</w:t>
      </w:r>
    </w:p>
    <w:p>
      <w:pPr>
        <w:numPr>
          <w:ilvl w:val="1"/>
          <w:numId w:val="1"/>
        </w:numPr>
        <w:autoSpaceDE w:val="0"/>
        <w:autoSpaceDN w:val="0"/>
        <w:adjustRightInd w:val="0"/>
        <w:snapToGrid w:val="0"/>
        <w:spacing w:after="120" w:afterLines="50"/>
        <w:rPr>
          <w:kern w:val="0"/>
          <w:sz w:val="24"/>
        </w:rPr>
      </w:pPr>
      <w:r>
        <w:rPr>
          <w:kern w:val="0"/>
          <w:sz w:val="24"/>
        </w:rPr>
        <w:t>分包</w:t>
      </w:r>
    </w:p>
    <w:p>
      <w:pPr>
        <w:autoSpaceDE w:val="0"/>
        <w:autoSpaceDN w:val="0"/>
        <w:adjustRightInd w:val="0"/>
        <w:snapToGrid w:val="0"/>
        <w:spacing w:after="120" w:afterLines="50" w:line="360" w:lineRule="auto"/>
        <w:ind w:left="1134" w:leftChars="540"/>
        <w:rPr>
          <w:kern w:val="0"/>
          <w:sz w:val="24"/>
        </w:rPr>
      </w:pPr>
      <w:r>
        <w:rPr>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政府采购合同分包履行的，中标、成交投标人就采购项目和分包项目向采购人负责，分包人就分包项目承担责任。</w:t>
      </w:r>
    </w:p>
    <w:p>
      <w:pPr>
        <w:numPr>
          <w:ilvl w:val="1"/>
          <w:numId w:val="1"/>
        </w:numPr>
        <w:autoSpaceDE w:val="0"/>
        <w:autoSpaceDN w:val="0"/>
        <w:adjustRightInd w:val="0"/>
        <w:snapToGrid w:val="0"/>
        <w:spacing w:after="120" w:afterLines="50"/>
        <w:rPr>
          <w:kern w:val="0"/>
          <w:sz w:val="24"/>
        </w:rPr>
      </w:pPr>
      <w:bookmarkStart w:id="89" w:name="_Toc195921799"/>
      <w:r>
        <w:rPr>
          <w:kern w:val="0"/>
          <w:sz w:val="24"/>
        </w:rPr>
        <w:t>合格的货物</w:t>
      </w:r>
    </w:p>
    <w:p>
      <w:pPr>
        <w:numPr>
          <w:ilvl w:val="2"/>
          <w:numId w:val="1"/>
        </w:numPr>
        <w:snapToGrid w:val="0"/>
        <w:spacing w:after="120" w:afterLines="50" w:line="360" w:lineRule="auto"/>
        <w:rPr>
          <w:sz w:val="24"/>
        </w:rPr>
      </w:pPr>
      <w:r>
        <w:rPr>
          <w:sz w:val="24"/>
        </w:rPr>
        <w:t>合同中提供的所有货物，均应来自上述</w:t>
      </w:r>
      <w:r>
        <w:rPr>
          <w:sz w:val="24"/>
        </w:rPr>
        <w:fldChar w:fldCharType="begin"/>
      </w:r>
      <w:r>
        <w:rPr>
          <w:sz w:val="24"/>
        </w:rPr>
        <w:instrText xml:space="preserve"> REF _Ref426956497 \r \h  \* MERGEFORMAT </w:instrText>
      </w:r>
      <w:r>
        <w:rPr>
          <w:sz w:val="24"/>
        </w:rPr>
        <w:fldChar w:fldCharType="separate"/>
      </w:r>
      <w:r>
        <w:rPr>
          <w:sz w:val="24"/>
        </w:rPr>
        <w:t>1.5.1</w:t>
      </w:r>
      <w:r>
        <w:rPr>
          <w:sz w:val="24"/>
        </w:rPr>
        <w:fldChar w:fldCharType="end"/>
      </w:r>
      <w:r>
        <w:rPr>
          <w:sz w:val="24"/>
        </w:rPr>
        <w:t>项所规定的合格投标人。</w:t>
      </w:r>
    </w:p>
    <w:p>
      <w:pPr>
        <w:snapToGrid w:val="0"/>
        <w:spacing w:after="120" w:afterLines="50" w:line="360" w:lineRule="auto"/>
        <w:ind w:left="1134" w:leftChars="540"/>
        <w:rPr>
          <w:i/>
          <w:sz w:val="24"/>
        </w:rPr>
      </w:pPr>
      <w:bookmarkStart w:id="90" w:name="_Ref495391292"/>
      <w:r>
        <w:rPr>
          <w:kern w:val="0"/>
          <w:sz w:val="24"/>
        </w:rPr>
        <w:t>货物系指投标人按招标文件规定，向采购人提供的符合招标文件要求的投标货物和以及招标文件要求的运输、保险、安装督导或安装、调试、技术培训、售后服务以及其他类似的义务。</w:t>
      </w:r>
      <w:bookmarkEnd w:id="90"/>
    </w:p>
    <w:p>
      <w:pPr>
        <w:numPr>
          <w:ilvl w:val="1"/>
          <w:numId w:val="1"/>
        </w:numPr>
        <w:autoSpaceDE w:val="0"/>
        <w:autoSpaceDN w:val="0"/>
        <w:adjustRightInd w:val="0"/>
        <w:snapToGrid w:val="0"/>
        <w:spacing w:after="120" w:afterLines="50" w:line="360" w:lineRule="auto"/>
        <w:rPr>
          <w:kern w:val="0"/>
          <w:sz w:val="24"/>
        </w:rPr>
      </w:pPr>
      <w:r>
        <w:rPr>
          <w:kern w:val="0"/>
          <w:sz w:val="24"/>
        </w:rPr>
        <w:t>费用承担</w:t>
      </w:r>
      <w:bookmarkEnd w:id="89"/>
    </w:p>
    <w:p>
      <w:pPr>
        <w:autoSpaceDE w:val="0"/>
        <w:autoSpaceDN w:val="0"/>
        <w:adjustRightInd w:val="0"/>
        <w:snapToGrid w:val="0"/>
        <w:spacing w:after="120" w:afterLines="50" w:line="360" w:lineRule="auto"/>
        <w:ind w:left="1134" w:leftChars="540"/>
        <w:rPr>
          <w:kern w:val="0"/>
          <w:sz w:val="24"/>
        </w:rPr>
      </w:pPr>
      <w:r>
        <w:rPr>
          <w:kern w:val="0"/>
          <w:sz w:val="24"/>
        </w:rPr>
        <w:t>投标人准备和参加投标活动发生的费用自理。</w:t>
      </w:r>
    </w:p>
    <w:p>
      <w:pPr>
        <w:numPr>
          <w:ilvl w:val="1"/>
          <w:numId w:val="1"/>
        </w:numPr>
        <w:autoSpaceDE w:val="0"/>
        <w:autoSpaceDN w:val="0"/>
        <w:adjustRightInd w:val="0"/>
        <w:snapToGrid w:val="0"/>
        <w:spacing w:after="120" w:afterLines="50" w:line="360" w:lineRule="auto"/>
        <w:rPr>
          <w:kern w:val="0"/>
          <w:sz w:val="24"/>
        </w:rPr>
      </w:pPr>
      <w:bookmarkStart w:id="91" w:name="_Toc195921800"/>
      <w:r>
        <w:rPr>
          <w:kern w:val="0"/>
          <w:sz w:val="24"/>
        </w:rPr>
        <w:t>保密</w:t>
      </w:r>
      <w:bookmarkEnd w:id="91"/>
    </w:p>
    <w:p>
      <w:pPr>
        <w:autoSpaceDE w:val="0"/>
        <w:autoSpaceDN w:val="0"/>
        <w:adjustRightInd w:val="0"/>
        <w:snapToGrid w:val="0"/>
        <w:spacing w:after="120" w:afterLines="50" w:line="360" w:lineRule="auto"/>
        <w:ind w:left="1134" w:leftChars="540"/>
        <w:rPr>
          <w:kern w:val="0"/>
          <w:sz w:val="24"/>
        </w:rPr>
      </w:pPr>
      <w:r>
        <w:rPr>
          <w:kern w:val="0"/>
          <w:sz w:val="24"/>
        </w:rPr>
        <w:t>参与招标投标活动的各方应对招标文件和投标文件中的商业和技术等秘密保密，违者应对由此造成的后果承担法律责任。</w:t>
      </w:r>
    </w:p>
    <w:p>
      <w:pPr>
        <w:numPr>
          <w:ilvl w:val="1"/>
          <w:numId w:val="1"/>
        </w:numPr>
        <w:autoSpaceDE w:val="0"/>
        <w:autoSpaceDN w:val="0"/>
        <w:adjustRightInd w:val="0"/>
        <w:snapToGrid w:val="0"/>
        <w:spacing w:after="120" w:afterLines="50" w:line="360" w:lineRule="auto"/>
        <w:rPr>
          <w:kern w:val="0"/>
          <w:sz w:val="24"/>
        </w:rPr>
      </w:pPr>
      <w:bookmarkStart w:id="92" w:name="_Toc195921801"/>
      <w:r>
        <w:rPr>
          <w:kern w:val="0"/>
          <w:sz w:val="24"/>
        </w:rPr>
        <w:t>语言文字</w:t>
      </w:r>
      <w:bookmarkEnd w:id="92"/>
    </w:p>
    <w:p>
      <w:pPr>
        <w:autoSpaceDE w:val="0"/>
        <w:autoSpaceDN w:val="0"/>
        <w:adjustRightInd w:val="0"/>
        <w:snapToGrid w:val="0"/>
        <w:spacing w:after="120" w:afterLines="50" w:line="360" w:lineRule="auto"/>
        <w:ind w:left="1134" w:leftChars="540"/>
        <w:rPr>
          <w:kern w:val="0"/>
          <w:sz w:val="24"/>
        </w:rPr>
      </w:pPr>
      <w:r>
        <w:rPr>
          <w:kern w:val="0"/>
          <w:sz w:val="24"/>
        </w:rPr>
        <w:t>除专用术语外，与招标投标有关的语言均使用中文。必要时专用术语应附有中文注释。</w:t>
      </w:r>
    </w:p>
    <w:p>
      <w:pPr>
        <w:numPr>
          <w:ilvl w:val="1"/>
          <w:numId w:val="1"/>
        </w:numPr>
        <w:autoSpaceDE w:val="0"/>
        <w:autoSpaceDN w:val="0"/>
        <w:adjustRightInd w:val="0"/>
        <w:snapToGrid w:val="0"/>
        <w:spacing w:after="120" w:afterLines="50" w:line="360" w:lineRule="auto"/>
        <w:rPr>
          <w:kern w:val="0"/>
          <w:sz w:val="24"/>
        </w:rPr>
      </w:pPr>
      <w:bookmarkStart w:id="93" w:name="_Toc195921802"/>
      <w:r>
        <w:rPr>
          <w:kern w:val="0"/>
          <w:sz w:val="24"/>
        </w:rPr>
        <w:t>计量单位</w:t>
      </w:r>
      <w:bookmarkEnd w:id="93"/>
    </w:p>
    <w:p>
      <w:pPr>
        <w:autoSpaceDE w:val="0"/>
        <w:autoSpaceDN w:val="0"/>
        <w:adjustRightInd w:val="0"/>
        <w:snapToGrid w:val="0"/>
        <w:spacing w:after="120" w:afterLines="50" w:line="360" w:lineRule="auto"/>
        <w:ind w:left="1134" w:leftChars="540"/>
        <w:rPr>
          <w:kern w:val="0"/>
          <w:sz w:val="24"/>
        </w:rPr>
      </w:pPr>
      <w:r>
        <w:rPr>
          <w:kern w:val="0"/>
          <w:sz w:val="24"/>
        </w:rPr>
        <w:t>所有计量均采用中华人民共和国法定计量单位。</w:t>
      </w:r>
    </w:p>
    <w:p>
      <w:pPr>
        <w:numPr>
          <w:ilvl w:val="0"/>
          <w:numId w:val="1"/>
        </w:numPr>
        <w:autoSpaceDE w:val="0"/>
        <w:autoSpaceDN w:val="0"/>
        <w:adjustRightInd w:val="0"/>
        <w:spacing w:after="120" w:afterLines="50" w:line="360" w:lineRule="auto"/>
        <w:outlineLvl w:val="2"/>
        <w:rPr>
          <w:rFonts w:eastAsia="黑体"/>
          <w:kern w:val="0"/>
          <w:sz w:val="24"/>
        </w:rPr>
      </w:pPr>
      <w:bookmarkStart w:id="94" w:name="_Toc6136"/>
      <w:bookmarkStart w:id="95" w:name="_Toc195921807"/>
      <w:bookmarkStart w:id="96" w:name="_Toc8059"/>
      <w:bookmarkStart w:id="97" w:name="_Toc29841"/>
      <w:r>
        <w:rPr>
          <w:rFonts w:eastAsia="黑体"/>
          <w:kern w:val="0"/>
          <w:sz w:val="24"/>
        </w:rPr>
        <w:t>招标文件</w:t>
      </w:r>
      <w:bookmarkEnd w:id="94"/>
      <w:bookmarkEnd w:id="95"/>
      <w:bookmarkEnd w:id="96"/>
      <w:bookmarkEnd w:id="97"/>
    </w:p>
    <w:p>
      <w:pPr>
        <w:numPr>
          <w:ilvl w:val="1"/>
          <w:numId w:val="1"/>
        </w:numPr>
        <w:autoSpaceDE w:val="0"/>
        <w:autoSpaceDN w:val="0"/>
        <w:adjustRightInd w:val="0"/>
        <w:snapToGrid w:val="0"/>
        <w:spacing w:after="120" w:afterLines="50" w:line="360" w:lineRule="auto"/>
        <w:rPr>
          <w:kern w:val="0"/>
          <w:sz w:val="24"/>
        </w:rPr>
      </w:pPr>
      <w:bookmarkStart w:id="98" w:name="_Toc195921808"/>
      <w:r>
        <w:rPr>
          <w:kern w:val="0"/>
          <w:sz w:val="24"/>
        </w:rPr>
        <w:t>招标文件的组成</w:t>
      </w:r>
      <w:bookmarkEnd w:id="98"/>
    </w:p>
    <w:p>
      <w:pPr>
        <w:autoSpaceDE w:val="0"/>
        <w:autoSpaceDN w:val="0"/>
        <w:adjustRightInd w:val="0"/>
        <w:snapToGrid w:val="0"/>
        <w:spacing w:after="120" w:afterLines="50" w:line="360" w:lineRule="auto"/>
        <w:ind w:left="1134" w:leftChars="540"/>
        <w:rPr>
          <w:kern w:val="0"/>
          <w:sz w:val="24"/>
        </w:rPr>
      </w:pPr>
      <w:r>
        <w:rPr>
          <w:kern w:val="0"/>
          <w:sz w:val="24"/>
        </w:rPr>
        <w:t>本招标文件包括：</w:t>
      </w:r>
    </w:p>
    <w:p>
      <w:pPr>
        <w:autoSpaceDE w:val="0"/>
        <w:autoSpaceDN w:val="0"/>
        <w:adjustRightInd w:val="0"/>
        <w:snapToGrid w:val="0"/>
        <w:spacing w:after="120" w:afterLines="50" w:line="360" w:lineRule="auto"/>
        <w:ind w:left="1617" w:leftChars="513" w:hanging="540" w:hangingChars="225"/>
        <w:rPr>
          <w:kern w:val="0"/>
          <w:sz w:val="24"/>
        </w:rPr>
      </w:pPr>
      <w:r>
        <w:rPr>
          <w:kern w:val="0"/>
          <w:sz w:val="24"/>
        </w:rPr>
        <w:t>（1）招标公告（或</w:t>
      </w:r>
      <w:r>
        <w:rPr>
          <w:rFonts w:hint="eastAsia"/>
          <w:kern w:val="0"/>
          <w:sz w:val="24"/>
        </w:rPr>
        <w:t>投标邀请</w:t>
      </w:r>
      <w:r>
        <w:rPr>
          <w:kern w:val="0"/>
          <w:sz w:val="24"/>
        </w:rPr>
        <w:t>）；</w:t>
      </w:r>
    </w:p>
    <w:p>
      <w:pPr>
        <w:autoSpaceDE w:val="0"/>
        <w:autoSpaceDN w:val="0"/>
        <w:adjustRightInd w:val="0"/>
        <w:snapToGrid w:val="0"/>
        <w:spacing w:after="120" w:afterLines="50" w:line="360" w:lineRule="auto"/>
        <w:ind w:left="1617" w:leftChars="513" w:hanging="540" w:hangingChars="225"/>
        <w:rPr>
          <w:kern w:val="0"/>
          <w:sz w:val="24"/>
        </w:rPr>
      </w:pPr>
      <w:r>
        <w:rPr>
          <w:kern w:val="0"/>
          <w:sz w:val="24"/>
        </w:rPr>
        <w:t>（2）投标人须知；</w:t>
      </w:r>
    </w:p>
    <w:p>
      <w:pPr>
        <w:autoSpaceDE w:val="0"/>
        <w:autoSpaceDN w:val="0"/>
        <w:adjustRightInd w:val="0"/>
        <w:snapToGrid w:val="0"/>
        <w:spacing w:after="120" w:afterLines="50" w:line="360" w:lineRule="auto"/>
        <w:ind w:left="1617" w:leftChars="513" w:hanging="540" w:hangingChars="225"/>
        <w:rPr>
          <w:kern w:val="0"/>
          <w:sz w:val="24"/>
        </w:rPr>
      </w:pPr>
      <w:r>
        <w:rPr>
          <w:kern w:val="0"/>
          <w:sz w:val="24"/>
        </w:rPr>
        <w:t>（3）资格审查、评标办法和标准；</w:t>
      </w:r>
    </w:p>
    <w:p>
      <w:pPr>
        <w:autoSpaceDE w:val="0"/>
        <w:autoSpaceDN w:val="0"/>
        <w:adjustRightInd w:val="0"/>
        <w:snapToGrid w:val="0"/>
        <w:spacing w:after="120" w:afterLines="50" w:line="360" w:lineRule="auto"/>
        <w:ind w:left="1617" w:leftChars="513" w:hanging="540" w:hangingChars="225"/>
        <w:rPr>
          <w:kern w:val="0"/>
          <w:sz w:val="24"/>
        </w:rPr>
      </w:pPr>
      <w:r>
        <w:rPr>
          <w:kern w:val="0"/>
          <w:sz w:val="24"/>
        </w:rPr>
        <w:t>（4）合同条款；</w:t>
      </w:r>
    </w:p>
    <w:p>
      <w:pPr>
        <w:autoSpaceDE w:val="0"/>
        <w:autoSpaceDN w:val="0"/>
        <w:adjustRightInd w:val="0"/>
        <w:snapToGrid w:val="0"/>
        <w:spacing w:after="120" w:afterLines="50" w:line="360" w:lineRule="auto"/>
        <w:ind w:left="1617" w:leftChars="513" w:hanging="540" w:hangingChars="225"/>
        <w:rPr>
          <w:kern w:val="0"/>
          <w:sz w:val="24"/>
        </w:rPr>
      </w:pPr>
      <w:r>
        <w:rPr>
          <w:kern w:val="0"/>
          <w:sz w:val="24"/>
        </w:rPr>
        <w:t>（5）</w:t>
      </w:r>
      <w:r>
        <w:rPr>
          <w:sz w:val="24"/>
        </w:rPr>
        <w:t>采购需求</w:t>
      </w:r>
      <w:r>
        <w:rPr>
          <w:kern w:val="0"/>
          <w:sz w:val="24"/>
        </w:rPr>
        <w:t>；</w:t>
      </w:r>
    </w:p>
    <w:p>
      <w:pPr>
        <w:autoSpaceDE w:val="0"/>
        <w:autoSpaceDN w:val="0"/>
        <w:adjustRightInd w:val="0"/>
        <w:snapToGrid w:val="0"/>
        <w:spacing w:after="120" w:afterLines="50" w:line="360" w:lineRule="auto"/>
        <w:ind w:left="1617" w:leftChars="513" w:hanging="540" w:hangingChars="225"/>
        <w:rPr>
          <w:kern w:val="0"/>
          <w:sz w:val="24"/>
        </w:rPr>
      </w:pPr>
      <w:r>
        <w:rPr>
          <w:kern w:val="0"/>
          <w:sz w:val="24"/>
        </w:rPr>
        <w:t>（6）投标文件格式。</w:t>
      </w:r>
    </w:p>
    <w:p>
      <w:pPr>
        <w:autoSpaceDE w:val="0"/>
        <w:autoSpaceDN w:val="0"/>
        <w:adjustRightInd w:val="0"/>
        <w:snapToGrid w:val="0"/>
        <w:spacing w:after="120" w:afterLines="50" w:line="360" w:lineRule="auto"/>
        <w:ind w:left="1134" w:leftChars="540"/>
        <w:rPr>
          <w:kern w:val="0"/>
          <w:sz w:val="24"/>
        </w:rPr>
      </w:pPr>
      <w:r>
        <w:rPr>
          <w:kern w:val="0"/>
          <w:sz w:val="24"/>
        </w:rPr>
        <w:t>根据本章第</w:t>
      </w:r>
      <w:r>
        <w:rPr>
          <w:rFonts w:hint="eastAsia"/>
          <w:kern w:val="0"/>
          <w:sz w:val="24"/>
        </w:rPr>
        <w:t>2.3</w:t>
      </w:r>
      <w:r>
        <w:rPr>
          <w:kern w:val="0"/>
          <w:sz w:val="24"/>
        </w:rPr>
        <w:t>款和第</w:t>
      </w:r>
      <w:r>
        <w:rPr>
          <w:rFonts w:hint="eastAsia"/>
          <w:kern w:val="0"/>
          <w:sz w:val="24"/>
        </w:rPr>
        <w:t>2.4</w:t>
      </w:r>
      <w:r>
        <w:rPr>
          <w:kern w:val="0"/>
          <w:sz w:val="24"/>
        </w:rPr>
        <w:t>款对招标文件所作的澄清、修改，构成招标文件的组成部分。</w:t>
      </w:r>
    </w:p>
    <w:p>
      <w:pPr>
        <w:numPr>
          <w:ilvl w:val="1"/>
          <w:numId w:val="1"/>
        </w:numPr>
        <w:autoSpaceDE w:val="0"/>
        <w:autoSpaceDN w:val="0"/>
        <w:adjustRightInd w:val="0"/>
        <w:snapToGrid w:val="0"/>
        <w:spacing w:after="120" w:afterLines="50" w:line="360" w:lineRule="auto"/>
        <w:rPr>
          <w:kern w:val="0"/>
          <w:sz w:val="24"/>
        </w:rPr>
      </w:pPr>
      <w:bookmarkStart w:id="99" w:name="_Toc195921809"/>
      <w:bookmarkStart w:id="100" w:name="_Ref426441946"/>
      <w:r>
        <w:rPr>
          <w:kern w:val="0"/>
          <w:sz w:val="24"/>
        </w:rPr>
        <w:t>根据采购项目技术构成、产品价格比重等确定核心产品，核心产品见投标人须知前附表。</w:t>
      </w:r>
    </w:p>
    <w:p>
      <w:pPr>
        <w:numPr>
          <w:ilvl w:val="1"/>
          <w:numId w:val="1"/>
        </w:numPr>
        <w:autoSpaceDE w:val="0"/>
        <w:autoSpaceDN w:val="0"/>
        <w:adjustRightInd w:val="0"/>
        <w:snapToGrid w:val="0"/>
        <w:spacing w:after="120" w:afterLines="50" w:line="360" w:lineRule="auto"/>
        <w:rPr>
          <w:kern w:val="0"/>
          <w:sz w:val="24"/>
        </w:rPr>
      </w:pPr>
      <w:r>
        <w:rPr>
          <w:kern w:val="0"/>
          <w:sz w:val="24"/>
        </w:rPr>
        <w:t>招标文件的澄清</w:t>
      </w:r>
      <w:bookmarkEnd w:id="99"/>
      <w:bookmarkEnd w:id="100"/>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投标人应仔细阅读和检查招标文件的全部内容。如发现缺页或附件不全，应及时向采购人提出，以便补齐。</w:t>
      </w:r>
    </w:p>
    <w:p>
      <w:pPr>
        <w:numPr>
          <w:ilvl w:val="2"/>
          <w:numId w:val="1"/>
        </w:numPr>
        <w:tabs>
          <w:tab w:val="left" w:pos="1260"/>
        </w:tabs>
        <w:autoSpaceDE w:val="0"/>
        <w:autoSpaceDN w:val="0"/>
        <w:adjustRightInd w:val="0"/>
        <w:snapToGrid w:val="0"/>
        <w:spacing w:after="120" w:afterLines="50" w:line="360" w:lineRule="auto"/>
        <w:rPr>
          <w:sz w:val="24"/>
        </w:rPr>
      </w:pPr>
      <w:r>
        <w:rPr>
          <w:sz w:val="24"/>
        </w:rPr>
        <w:t>投标人</w:t>
      </w:r>
      <w:r>
        <w:rPr>
          <w:kern w:val="0"/>
          <w:sz w:val="24"/>
        </w:rPr>
        <w:t>如有疑问</w:t>
      </w:r>
      <w:r>
        <w:rPr>
          <w:sz w:val="24"/>
        </w:rPr>
        <w:t>可以向采购人提出询问</w:t>
      </w:r>
      <w:r>
        <w:rPr>
          <w:kern w:val="0"/>
          <w:sz w:val="24"/>
        </w:rPr>
        <w:t>，要求采购人对招标文件予以澄清。</w:t>
      </w:r>
    </w:p>
    <w:p>
      <w:pPr>
        <w:numPr>
          <w:ilvl w:val="2"/>
          <w:numId w:val="1"/>
        </w:numPr>
        <w:tabs>
          <w:tab w:val="left" w:pos="1260"/>
        </w:tabs>
        <w:autoSpaceDE w:val="0"/>
        <w:autoSpaceDN w:val="0"/>
        <w:adjustRightInd w:val="0"/>
        <w:snapToGrid w:val="0"/>
        <w:spacing w:after="120" w:afterLines="50" w:line="360" w:lineRule="auto"/>
        <w:rPr>
          <w:kern w:val="0"/>
          <w:sz w:val="24"/>
        </w:rPr>
      </w:pPr>
      <w:r>
        <w:rPr>
          <w:sz w:val="24"/>
        </w:rPr>
        <w:t>采购人或者采购代理机构可以对已发出的招标文件进行必要的澄清。该澄清在原公告发布媒体上发布澄清（更正）公告，同时以书面形式通知所有投标人。澄清的内容为招标文件的组成部分。</w:t>
      </w:r>
      <w:r>
        <w:rPr>
          <w:kern w:val="0"/>
          <w:sz w:val="24"/>
        </w:rPr>
        <w:t>投标人须</w:t>
      </w:r>
      <w:r>
        <w:rPr>
          <w:sz w:val="24"/>
        </w:rPr>
        <w:t>在招标公告中规定的投标截止日前，随时查询招标公告发布媒体的信息，获取对招标文件澄清的信息。采购人的澄清</w:t>
      </w:r>
      <w:r>
        <w:rPr>
          <w:color w:val="000000"/>
          <w:sz w:val="24"/>
        </w:rPr>
        <w:t>以书面形式通知投标人的，投标人应在收到该澄清的24小时内或根据澄清通知中要求的时间内予以确认。</w:t>
      </w:r>
    </w:p>
    <w:p>
      <w:pPr>
        <w:tabs>
          <w:tab w:val="left" w:pos="1260"/>
        </w:tabs>
        <w:autoSpaceDE w:val="0"/>
        <w:autoSpaceDN w:val="0"/>
        <w:adjustRightInd w:val="0"/>
        <w:snapToGrid w:val="0"/>
        <w:spacing w:after="120" w:afterLines="50" w:line="360" w:lineRule="auto"/>
        <w:ind w:left="1134" w:leftChars="540"/>
        <w:rPr>
          <w:kern w:val="0"/>
          <w:sz w:val="24"/>
        </w:rPr>
      </w:pPr>
      <w:r>
        <w:rPr>
          <w:sz w:val="24"/>
        </w:rPr>
        <w:t>澄清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投标人在收到澄清文件后，应将加盖公章的回执以书面方式通知采购人，确认已收到该澄清。</w:t>
      </w:r>
    </w:p>
    <w:p>
      <w:pPr>
        <w:numPr>
          <w:ilvl w:val="1"/>
          <w:numId w:val="1"/>
        </w:numPr>
        <w:autoSpaceDE w:val="0"/>
        <w:autoSpaceDN w:val="0"/>
        <w:adjustRightInd w:val="0"/>
        <w:snapToGrid w:val="0"/>
        <w:spacing w:after="120" w:afterLines="50" w:line="360" w:lineRule="auto"/>
        <w:rPr>
          <w:kern w:val="0"/>
          <w:sz w:val="24"/>
        </w:rPr>
      </w:pPr>
      <w:bookmarkStart w:id="101" w:name="_Toc195921810"/>
      <w:bookmarkStart w:id="102" w:name="_Ref426441954"/>
      <w:r>
        <w:rPr>
          <w:kern w:val="0"/>
          <w:sz w:val="24"/>
        </w:rPr>
        <w:t>招标文件的修改</w:t>
      </w:r>
      <w:bookmarkEnd w:id="101"/>
      <w:bookmarkEnd w:id="102"/>
    </w:p>
    <w:p>
      <w:pPr>
        <w:numPr>
          <w:ilvl w:val="2"/>
          <w:numId w:val="1"/>
        </w:numPr>
        <w:tabs>
          <w:tab w:val="left" w:pos="1260"/>
        </w:tabs>
        <w:autoSpaceDE w:val="0"/>
        <w:autoSpaceDN w:val="0"/>
        <w:adjustRightInd w:val="0"/>
        <w:snapToGrid w:val="0"/>
        <w:spacing w:after="120" w:afterLines="50" w:line="360" w:lineRule="auto"/>
        <w:rPr>
          <w:kern w:val="0"/>
          <w:sz w:val="24"/>
        </w:rPr>
      </w:pPr>
      <w:r>
        <w:rPr>
          <w:sz w:val="24"/>
        </w:rPr>
        <w:t>采购人或者采购代理机构可以对已发出的招标文件进行必要的修改。该修改在原公告发布媒体上发布澄清（更正）公告，同时以书面形式通知所有投标人。修改的内容为招标文件的组成部分。</w:t>
      </w:r>
      <w:r>
        <w:rPr>
          <w:kern w:val="0"/>
          <w:sz w:val="24"/>
        </w:rPr>
        <w:t>投标人须</w:t>
      </w:r>
      <w:r>
        <w:rPr>
          <w:sz w:val="24"/>
        </w:rPr>
        <w:t>在投标截止日前，随时查询招标公告发布媒体的信息，获取对招标文件修改的信息。采购人的修改</w:t>
      </w:r>
      <w:r>
        <w:rPr>
          <w:color w:val="000000"/>
          <w:sz w:val="24"/>
        </w:rPr>
        <w:t>以书面形式通知投标人的，投标人应在收到该修改通知的24小时内或根据修改通知中要求的时间内予以确认。</w:t>
      </w:r>
    </w:p>
    <w:p>
      <w:pPr>
        <w:tabs>
          <w:tab w:val="left" w:pos="1260"/>
        </w:tabs>
        <w:autoSpaceDE w:val="0"/>
        <w:autoSpaceDN w:val="0"/>
        <w:adjustRightInd w:val="0"/>
        <w:snapToGrid w:val="0"/>
        <w:spacing w:after="120" w:afterLines="50" w:line="360" w:lineRule="auto"/>
        <w:ind w:left="1134" w:leftChars="540"/>
        <w:rPr>
          <w:kern w:val="0"/>
          <w:sz w:val="24"/>
        </w:rPr>
      </w:pPr>
      <w:r>
        <w:rPr>
          <w:sz w:val="24"/>
        </w:rPr>
        <w:t>修改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投标人收到修改文件后，应将加盖公章的回执以书面方式通知采购人，确认已收到该修改。</w:t>
      </w:r>
    </w:p>
    <w:p>
      <w:pPr>
        <w:numPr>
          <w:ilvl w:val="1"/>
          <w:numId w:val="1"/>
        </w:numPr>
        <w:autoSpaceDE w:val="0"/>
        <w:autoSpaceDN w:val="0"/>
        <w:adjustRightInd w:val="0"/>
        <w:snapToGrid w:val="0"/>
        <w:spacing w:after="120" w:afterLines="50" w:line="360" w:lineRule="auto"/>
        <w:rPr>
          <w:kern w:val="0"/>
          <w:sz w:val="24"/>
        </w:rPr>
      </w:pPr>
      <w:r>
        <w:rPr>
          <w:sz w:val="24"/>
        </w:rPr>
        <w:t>投标人认为招标文件使其权益受到损害的，在收到招标文件之日或招标文件公告期限届满之日起七个工作日内，按投标人须知前附表中接收质疑函的方式以书面形式一次性提出质疑。</w:t>
      </w:r>
    </w:p>
    <w:p>
      <w:pPr>
        <w:numPr>
          <w:ilvl w:val="0"/>
          <w:numId w:val="1"/>
        </w:numPr>
        <w:autoSpaceDE w:val="0"/>
        <w:autoSpaceDN w:val="0"/>
        <w:adjustRightInd w:val="0"/>
        <w:spacing w:after="120" w:afterLines="50" w:line="360" w:lineRule="auto"/>
        <w:outlineLvl w:val="2"/>
        <w:rPr>
          <w:rFonts w:eastAsia="黑体"/>
          <w:kern w:val="0"/>
          <w:sz w:val="24"/>
        </w:rPr>
      </w:pPr>
      <w:bookmarkStart w:id="103" w:name="_Toc195921811"/>
      <w:bookmarkStart w:id="104" w:name="_Toc22721"/>
      <w:bookmarkStart w:id="105" w:name="_Toc25864"/>
      <w:bookmarkStart w:id="106" w:name="_Toc282"/>
      <w:r>
        <w:rPr>
          <w:rFonts w:eastAsia="黑体"/>
          <w:kern w:val="0"/>
          <w:sz w:val="24"/>
        </w:rPr>
        <w:t>投标文件</w:t>
      </w:r>
      <w:bookmarkEnd w:id="103"/>
      <w:bookmarkEnd w:id="104"/>
      <w:bookmarkEnd w:id="105"/>
      <w:bookmarkEnd w:id="106"/>
    </w:p>
    <w:p>
      <w:pPr>
        <w:numPr>
          <w:ilvl w:val="1"/>
          <w:numId w:val="1"/>
        </w:numPr>
        <w:autoSpaceDE w:val="0"/>
        <w:autoSpaceDN w:val="0"/>
        <w:adjustRightInd w:val="0"/>
        <w:snapToGrid w:val="0"/>
        <w:spacing w:after="120" w:afterLines="50" w:line="360" w:lineRule="auto"/>
        <w:rPr>
          <w:kern w:val="0"/>
          <w:sz w:val="24"/>
        </w:rPr>
      </w:pPr>
      <w:bookmarkStart w:id="107" w:name="_Toc195921812"/>
      <w:r>
        <w:rPr>
          <w:kern w:val="0"/>
          <w:sz w:val="24"/>
        </w:rPr>
        <w:t>投标文件的组成</w:t>
      </w:r>
      <w:bookmarkEnd w:id="107"/>
    </w:p>
    <w:p>
      <w:pPr>
        <w:numPr>
          <w:ilvl w:val="2"/>
          <w:numId w:val="1"/>
        </w:numPr>
        <w:tabs>
          <w:tab w:val="left" w:pos="1260"/>
        </w:tabs>
        <w:autoSpaceDE w:val="0"/>
        <w:autoSpaceDN w:val="0"/>
        <w:adjustRightInd w:val="0"/>
        <w:snapToGrid w:val="0"/>
        <w:spacing w:after="120" w:afterLines="50" w:line="360" w:lineRule="auto"/>
        <w:rPr>
          <w:kern w:val="0"/>
          <w:sz w:val="24"/>
        </w:rPr>
      </w:pPr>
      <w:bookmarkStart w:id="108" w:name="_Toc195921813"/>
      <w:r>
        <w:rPr>
          <w:kern w:val="0"/>
          <w:sz w:val="24"/>
        </w:rPr>
        <w:t>投标文件应包括下列内容：</w:t>
      </w:r>
    </w:p>
    <w:p>
      <w:pPr>
        <w:numPr>
          <w:ilvl w:val="0"/>
          <w:numId w:val="4"/>
        </w:numPr>
        <w:autoSpaceDE w:val="0"/>
        <w:autoSpaceDN w:val="0"/>
        <w:adjustRightInd w:val="0"/>
        <w:snapToGrid w:val="0"/>
        <w:spacing w:after="120" w:afterLines="50" w:line="360" w:lineRule="auto"/>
        <w:rPr>
          <w:kern w:val="0"/>
          <w:sz w:val="24"/>
        </w:rPr>
      </w:pPr>
      <w:r>
        <w:rPr>
          <w:kern w:val="0"/>
          <w:sz w:val="24"/>
        </w:rPr>
        <w:t>商务部分</w:t>
      </w:r>
    </w:p>
    <w:p>
      <w:pPr>
        <w:numPr>
          <w:ilvl w:val="0"/>
          <w:numId w:val="5"/>
        </w:numPr>
        <w:tabs>
          <w:tab w:val="left" w:pos="2694"/>
        </w:tabs>
        <w:autoSpaceDE w:val="0"/>
        <w:autoSpaceDN w:val="0"/>
        <w:adjustRightInd w:val="0"/>
        <w:snapToGrid w:val="0"/>
        <w:spacing w:after="120" w:afterLines="50" w:line="360" w:lineRule="auto"/>
        <w:ind w:left="2694" w:hanging="562"/>
        <w:rPr>
          <w:kern w:val="0"/>
          <w:sz w:val="24"/>
        </w:rPr>
      </w:pPr>
      <w:r>
        <w:rPr>
          <w:kern w:val="0"/>
          <w:sz w:val="24"/>
        </w:rPr>
        <w:t>投标函；</w:t>
      </w:r>
    </w:p>
    <w:p>
      <w:pPr>
        <w:numPr>
          <w:ilvl w:val="0"/>
          <w:numId w:val="5"/>
        </w:numPr>
        <w:tabs>
          <w:tab w:val="left" w:pos="2694"/>
        </w:tabs>
        <w:autoSpaceDE w:val="0"/>
        <w:autoSpaceDN w:val="0"/>
        <w:adjustRightInd w:val="0"/>
        <w:snapToGrid w:val="0"/>
        <w:spacing w:after="120" w:afterLines="50" w:line="360" w:lineRule="auto"/>
        <w:ind w:left="2694" w:hanging="562"/>
        <w:rPr>
          <w:kern w:val="0"/>
          <w:sz w:val="24"/>
        </w:rPr>
      </w:pPr>
      <w:r>
        <w:rPr>
          <w:kern w:val="0"/>
          <w:sz w:val="24"/>
        </w:rPr>
        <w:t>法定代表人身份证明；</w:t>
      </w:r>
    </w:p>
    <w:p>
      <w:pPr>
        <w:numPr>
          <w:ilvl w:val="0"/>
          <w:numId w:val="5"/>
        </w:numPr>
        <w:tabs>
          <w:tab w:val="left" w:pos="2694"/>
        </w:tabs>
        <w:autoSpaceDE w:val="0"/>
        <w:autoSpaceDN w:val="0"/>
        <w:adjustRightInd w:val="0"/>
        <w:snapToGrid w:val="0"/>
        <w:spacing w:after="120" w:afterLines="50" w:line="360" w:lineRule="auto"/>
        <w:ind w:left="2694" w:hanging="562"/>
        <w:rPr>
          <w:kern w:val="0"/>
          <w:sz w:val="24"/>
        </w:rPr>
      </w:pPr>
      <w:r>
        <w:rPr>
          <w:kern w:val="0"/>
          <w:sz w:val="24"/>
        </w:rPr>
        <w:t>授权委托书；</w:t>
      </w:r>
    </w:p>
    <w:p>
      <w:pPr>
        <w:numPr>
          <w:ilvl w:val="0"/>
          <w:numId w:val="5"/>
        </w:numPr>
        <w:tabs>
          <w:tab w:val="left" w:pos="2694"/>
        </w:tabs>
        <w:autoSpaceDE w:val="0"/>
        <w:autoSpaceDN w:val="0"/>
        <w:adjustRightInd w:val="0"/>
        <w:snapToGrid w:val="0"/>
        <w:spacing w:after="120" w:afterLines="50" w:line="360" w:lineRule="auto"/>
        <w:ind w:left="2694" w:hanging="562"/>
        <w:rPr>
          <w:kern w:val="0"/>
          <w:sz w:val="24"/>
        </w:rPr>
      </w:pPr>
      <w:r>
        <w:rPr>
          <w:kern w:val="0"/>
          <w:sz w:val="24"/>
        </w:rPr>
        <w:t>资格证明文件（详见投标文件格式要求）；</w:t>
      </w:r>
    </w:p>
    <w:p>
      <w:pPr>
        <w:numPr>
          <w:ilvl w:val="0"/>
          <w:numId w:val="5"/>
        </w:numPr>
        <w:tabs>
          <w:tab w:val="left" w:pos="2694"/>
        </w:tabs>
        <w:autoSpaceDE w:val="0"/>
        <w:autoSpaceDN w:val="0"/>
        <w:adjustRightInd w:val="0"/>
        <w:snapToGrid w:val="0"/>
        <w:spacing w:after="120" w:afterLines="50" w:line="360" w:lineRule="auto"/>
        <w:ind w:left="2694" w:hanging="562"/>
        <w:rPr>
          <w:kern w:val="0"/>
          <w:sz w:val="24"/>
        </w:rPr>
      </w:pPr>
      <w:r>
        <w:rPr>
          <w:kern w:val="0"/>
          <w:sz w:val="24"/>
        </w:rPr>
        <w:t>投标保证金；</w:t>
      </w:r>
    </w:p>
    <w:p>
      <w:pPr>
        <w:numPr>
          <w:ilvl w:val="0"/>
          <w:numId w:val="5"/>
        </w:numPr>
        <w:tabs>
          <w:tab w:val="left" w:pos="2694"/>
        </w:tabs>
        <w:autoSpaceDE w:val="0"/>
        <w:autoSpaceDN w:val="0"/>
        <w:adjustRightInd w:val="0"/>
        <w:snapToGrid w:val="0"/>
        <w:spacing w:after="120" w:afterLines="50" w:line="360" w:lineRule="auto"/>
        <w:ind w:left="2694" w:hanging="562"/>
        <w:rPr>
          <w:kern w:val="0"/>
          <w:sz w:val="24"/>
        </w:rPr>
      </w:pPr>
      <w:r>
        <w:rPr>
          <w:kern w:val="0"/>
          <w:sz w:val="24"/>
        </w:rPr>
        <w:t>开标一览表；</w:t>
      </w:r>
    </w:p>
    <w:p>
      <w:pPr>
        <w:numPr>
          <w:ilvl w:val="0"/>
          <w:numId w:val="5"/>
        </w:numPr>
        <w:tabs>
          <w:tab w:val="left" w:pos="2694"/>
        </w:tabs>
        <w:autoSpaceDE w:val="0"/>
        <w:autoSpaceDN w:val="0"/>
        <w:adjustRightInd w:val="0"/>
        <w:snapToGrid w:val="0"/>
        <w:spacing w:after="120" w:afterLines="50" w:line="360" w:lineRule="auto"/>
        <w:ind w:left="2694" w:hanging="562"/>
        <w:rPr>
          <w:kern w:val="0"/>
          <w:sz w:val="24"/>
        </w:rPr>
      </w:pPr>
      <w:r>
        <w:rPr>
          <w:kern w:val="0"/>
          <w:sz w:val="24"/>
        </w:rPr>
        <w:t>投标分项报价表；</w:t>
      </w:r>
    </w:p>
    <w:p>
      <w:pPr>
        <w:numPr>
          <w:ilvl w:val="0"/>
          <w:numId w:val="5"/>
        </w:numPr>
        <w:tabs>
          <w:tab w:val="left" w:pos="2694"/>
        </w:tabs>
        <w:autoSpaceDE w:val="0"/>
        <w:autoSpaceDN w:val="0"/>
        <w:adjustRightInd w:val="0"/>
        <w:snapToGrid w:val="0"/>
        <w:spacing w:after="120" w:afterLines="50" w:line="360" w:lineRule="auto"/>
        <w:ind w:left="2694" w:hanging="562"/>
        <w:rPr>
          <w:kern w:val="0"/>
          <w:sz w:val="24"/>
        </w:rPr>
      </w:pPr>
      <w:r>
        <w:rPr>
          <w:kern w:val="0"/>
          <w:sz w:val="24"/>
        </w:rPr>
        <w:t>商务、合同条款偏差表；</w:t>
      </w:r>
    </w:p>
    <w:p>
      <w:pPr>
        <w:numPr>
          <w:ilvl w:val="0"/>
          <w:numId w:val="5"/>
        </w:numPr>
        <w:tabs>
          <w:tab w:val="left" w:pos="2694"/>
        </w:tabs>
        <w:autoSpaceDE w:val="0"/>
        <w:autoSpaceDN w:val="0"/>
        <w:adjustRightInd w:val="0"/>
        <w:snapToGrid w:val="0"/>
        <w:spacing w:after="120" w:afterLines="50" w:line="360" w:lineRule="auto"/>
        <w:ind w:left="2694" w:hanging="562"/>
        <w:rPr>
          <w:kern w:val="0"/>
          <w:sz w:val="24"/>
        </w:rPr>
      </w:pPr>
      <w:r>
        <w:rPr>
          <w:kern w:val="0"/>
          <w:sz w:val="24"/>
        </w:rPr>
        <w:t>投标人基本情况表；</w:t>
      </w:r>
    </w:p>
    <w:p>
      <w:pPr>
        <w:numPr>
          <w:ilvl w:val="0"/>
          <w:numId w:val="5"/>
        </w:numPr>
        <w:tabs>
          <w:tab w:val="left" w:pos="2694"/>
        </w:tabs>
        <w:autoSpaceDE w:val="0"/>
        <w:autoSpaceDN w:val="0"/>
        <w:adjustRightInd w:val="0"/>
        <w:snapToGrid w:val="0"/>
        <w:spacing w:after="120" w:afterLines="50" w:line="360" w:lineRule="auto"/>
        <w:ind w:left="2694" w:hanging="562"/>
        <w:rPr>
          <w:kern w:val="0"/>
          <w:sz w:val="24"/>
        </w:rPr>
      </w:pPr>
      <w:r>
        <w:rPr>
          <w:kern w:val="0"/>
          <w:sz w:val="24"/>
        </w:rPr>
        <w:t>政府采购政策的证明材料（详见投标文件格式要求）；</w:t>
      </w:r>
    </w:p>
    <w:p>
      <w:pPr>
        <w:numPr>
          <w:ilvl w:val="0"/>
          <w:numId w:val="5"/>
        </w:numPr>
        <w:tabs>
          <w:tab w:val="left" w:pos="2694"/>
        </w:tabs>
        <w:autoSpaceDE w:val="0"/>
        <w:autoSpaceDN w:val="0"/>
        <w:adjustRightInd w:val="0"/>
        <w:snapToGrid w:val="0"/>
        <w:spacing w:after="120" w:afterLines="50" w:line="360" w:lineRule="auto"/>
        <w:ind w:left="2694" w:hanging="562"/>
        <w:rPr>
          <w:kern w:val="0"/>
          <w:sz w:val="24"/>
        </w:rPr>
      </w:pPr>
      <w:r>
        <w:rPr>
          <w:kern w:val="0"/>
          <w:sz w:val="24"/>
        </w:rPr>
        <w:t>投标人供货业绩一览表；</w:t>
      </w:r>
    </w:p>
    <w:p>
      <w:pPr>
        <w:numPr>
          <w:ilvl w:val="0"/>
          <w:numId w:val="5"/>
        </w:numPr>
        <w:tabs>
          <w:tab w:val="left" w:pos="2694"/>
        </w:tabs>
        <w:autoSpaceDE w:val="0"/>
        <w:autoSpaceDN w:val="0"/>
        <w:adjustRightInd w:val="0"/>
        <w:snapToGrid w:val="0"/>
        <w:spacing w:after="120" w:afterLines="50" w:line="360" w:lineRule="auto"/>
        <w:ind w:left="2694" w:hanging="562"/>
        <w:rPr>
          <w:kern w:val="0"/>
          <w:sz w:val="24"/>
        </w:rPr>
      </w:pPr>
      <w:r>
        <w:rPr>
          <w:kern w:val="0"/>
          <w:sz w:val="24"/>
        </w:rPr>
        <w:t>投标承诺书；</w:t>
      </w:r>
    </w:p>
    <w:p>
      <w:pPr>
        <w:numPr>
          <w:ilvl w:val="0"/>
          <w:numId w:val="4"/>
        </w:numPr>
        <w:autoSpaceDE w:val="0"/>
        <w:autoSpaceDN w:val="0"/>
        <w:adjustRightInd w:val="0"/>
        <w:snapToGrid w:val="0"/>
        <w:spacing w:after="120" w:afterLines="50" w:line="360" w:lineRule="auto"/>
        <w:rPr>
          <w:kern w:val="0"/>
          <w:sz w:val="24"/>
        </w:rPr>
      </w:pPr>
      <w:r>
        <w:rPr>
          <w:kern w:val="0"/>
          <w:sz w:val="24"/>
        </w:rPr>
        <w:t>技术部分：</w:t>
      </w:r>
    </w:p>
    <w:p>
      <w:pPr>
        <w:numPr>
          <w:ilvl w:val="0"/>
          <w:numId w:val="6"/>
        </w:numPr>
        <w:tabs>
          <w:tab w:val="left" w:pos="2694"/>
        </w:tabs>
        <w:autoSpaceDE w:val="0"/>
        <w:autoSpaceDN w:val="0"/>
        <w:adjustRightInd w:val="0"/>
        <w:snapToGrid w:val="0"/>
        <w:spacing w:after="120" w:afterLines="50" w:line="360" w:lineRule="auto"/>
        <w:ind w:left="2694" w:hanging="567"/>
        <w:rPr>
          <w:kern w:val="0"/>
          <w:sz w:val="24"/>
        </w:rPr>
      </w:pPr>
      <w:r>
        <w:rPr>
          <w:kern w:val="0"/>
          <w:sz w:val="24"/>
        </w:rPr>
        <w:t>技术偏离表；</w:t>
      </w:r>
    </w:p>
    <w:p>
      <w:pPr>
        <w:numPr>
          <w:ilvl w:val="0"/>
          <w:numId w:val="6"/>
        </w:numPr>
        <w:tabs>
          <w:tab w:val="left" w:pos="2694"/>
        </w:tabs>
        <w:autoSpaceDE w:val="0"/>
        <w:autoSpaceDN w:val="0"/>
        <w:adjustRightInd w:val="0"/>
        <w:snapToGrid w:val="0"/>
        <w:spacing w:after="120" w:afterLines="50" w:line="360" w:lineRule="auto"/>
        <w:ind w:left="2694" w:hanging="562"/>
        <w:rPr>
          <w:kern w:val="0"/>
          <w:sz w:val="24"/>
        </w:rPr>
      </w:pPr>
      <w:r>
        <w:rPr>
          <w:kern w:val="0"/>
          <w:sz w:val="24"/>
        </w:rPr>
        <w:t>对</w:t>
      </w:r>
      <w:r>
        <w:rPr>
          <w:sz w:val="24"/>
        </w:rPr>
        <w:t>采购项目的技术规格、数量、服务标准、验收等要求</w:t>
      </w:r>
      <w:r>
        <w:rPr>
          <w:kern w:val="0"/>
          <w:sz w:val="24"/>
        </w:rPr>
        <w:t>的响应；</w:t>
      </w:r>
    </w:p>
    <w:p>
      <w:pPr>
        <w:numPr>
          <w:ilvl w:val="255"/>
          <w:numId w:val="0"/>
        </w:numPr>
        <w:tabs>
          <w:tab w:val="left" w:pos="2694"/>
        </w:tabs>
        <w:autoSpaceDE w:val="0"/>
        <w:autoSpaceDN w:val="0"/>
        <w:adjustRightInd w:val="0"/>
        <w:snapToGrid w:val="0"/>
        <w:spacing w:after="120" w:afterLines="50" w:line="360" w:lineRule="auto"/>
        <w:ind w:left="2132"/>
        <w:rPr>
          <w:kern w:val="0"/>
          <w:sz w:val="24"/>
        </w:rPr>
      </w:pPr>
      <w:r>
        <w:rPr>
          <w:kern w:val="0"/>
          <w:sz w:val="24"/>
        </w:rPr>
        <w:t>3）  售后服务支持能力；</w:t>
      </w:r>
    </w:p>
    <w:p>
      <w:pPr>
        <w:numPr>
          <w:ilvl w:val="255"/>
          <w:numId w:val="0"/>
        </w:numPr>
        <w:tabs>
          <w:tab w:val="left" w:pos="2694"/>
        </w:tabs>
        <w:autoSpaceDE w:val="0"/>
        <w:autoSpaceDN w:val="0"/>
        <w:adjustRightInd w:val="0"/>
        <w:snapToGrid w:val="0"/>
        <w:spacing w:after="120" w:afterLines="50" w:line="360" w:lineRule="auto"/>
        <w:ind w:left="2132"/>
        <w:rPr>
          <w:kern w:val="0"/>
          <w:sz w:val="24"/>
        </w:rPr>
      </w:pPr>
      <w:r>
        <w:rPr>
          <w:kern w:val="0"/>
          <w:sz w:val="24"/>
        </w:rPr>
        <w:t>4）  投标人服务承诺（如有）；</w:t>
      </w:r>
    </w:p>
    <w:p>
      <w:pPr>
        <w:numPr>
          <w:ilvl w:val="0"/>
          <w:numId w:val="4"/>
        </w:numPr>
        <w:autoSpaceDE w:val="0"/>
        <w:autoSpaceDN w:val="0"/>
        <w:adjustRightInd w:val="0"/>
        <w:snapToGrid w:val="0"/>
        <w:spacing w:after="120" w:afterLines="50" w:line="360" w:lineRule="auto"/>
        <w:rPr>
          <w:kern w:val="0"/>
          <w:sz w:val="24"/>
        </w:rPr>
      </w:pPr>
      <w:r>
        <w:rPr>
          <w:kern w:val="0"/>
          <w:sz w:val="24"/>
        </w:rPr>
        <w:t>投标文件要求的其他内容以及投标人认为必要的其他内容。</w:t>
      </w:r>
    </w:p>
    <w:p>
      <w:pPr>
        <w:numPr>
          <w:ilvl w:val="1"/>
          <w:numId w:val="1"/>
        </w:numPr>
        <w:autoSpaceDE w:val="0"/>
        <w:autoSpaceDN w:val="0"/>
        <w:adjustRightInd w:val="0"/>
        <w:snapToGrid w:val="0"/>
        <w:spacing w:after="120" w:afterLines="50" w:line="360" w:lineRule="auto"/>
        <w:ind w:left="1133" w:hanging="1132" w:hangingChars="472"/>
        <w:rPr>
          <w:kern w:val="0"/>
          <w:sz w:val="24"/>
        </w:rPr>
      </w:pPr>
      <w:r>
        <w:rPr>
          <w:kern w:val="0"/>
          <w:sz w:val="24"/>
        </w:rPr>
        <w:t>投标报价</w:t>
      </w:r>
      <w:bookmarkEnd w:id="108"/>
    </w:p>
    <w:p>
      <w:pPr>
        <w:numPr>
          <w:ilvl w:val="2"/>
          <w:numId w:val="1"/>
        </w:numPr>
        <w:tabs>
          <w:tab w:val="left" w:pos="1260"/>
        </w:tabs>
        <w:autoSpaceDE w:val="0"/>
        <w:autoSpaceDN w:val="0"/>
        <w:adjustRightInd w:val="0"/>
        <w:snapToGrid w:val="0"/>
        <w:spacing w:after="120" w:afterLines="50" w:line="360" w:lineRule="auto"/>
        <w:rPr>
          <w:kern w:val="0"/>
          <w:sz w:val="24"/>
        </w:rPr>
      </w:pPr>
      <w:bookmarkStart w:id="109" w:name="_Toc195921814"/>
      <w:r>
        <w:rPr>
          <w:kern w:val="0"/>
          <w:sz w:val="24"/>
        </w:rPr>
        <w:t>投标人应按招标文件第六章提供的格式进行投标报价。</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所有根据合同或其它原因应由投标人支付的税款和其它应交纳的费用都应包括在投标人提交的投标价格中。</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报价应包含本项目所有税项。</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投标人应仔细阅读所有招标文件，填报自己认为正确的报价。</w:t>
      </w:r>
    </w:p>
    <w:p>
      <w:pPr>
        <w:numPr>
          <w:ilvl w:val="1"/>
          <w:numId w:val="1"/>
        </w:numPr>
        <w:autoSpaceDE w:val="0"/>
        <w:autoSpaceDN w:val="0"/>
        <w:adjustRightInd w:val="0"/>
        <w:snapToGrid w:val="0"/>
        <w:spacing w:after="120" w:afterLines="50" w:line="360" w:lineRule="auto"/>
        <w:rPr>
          <w:kern w:val="0"/>
          <w:sz w:val="24"/>
        </w:rPr>
      </w:pPr>
      <w:r>
        <w:rPr>
          <w:kern w:val="0"/>
          <w:sz w:val="24"/>
        </w:rPr>
        <w:t>投标人对采购内容只允许有一个报价，采购人不接受任何有选择的报价。</w:t>
      </w:r>
    </w:p>
    <w:p>
      <w:pPr>
        <w:numPr>
          <w:ilvl w:val="1"/>
          <w:numId w:val="1"/>
        </w:numPr>
        <w:autoSpaceDE w:val="0"/>
        <w:autoSpaceDN w:val="0"/>
        <w:adjustRightInd w:val="0"/>
        <w:snapToGrid w:val="0"/>
        <w:spacing w:after="120" w:afterLines="50" w:line="360" w:lineRule="auto"/>
        <w:rPr>
          <w:kern w:val="0"/>
          <w:sz w:val="24"/>
        </w:rPr>
      </w:pPr>
      <w:r>
        <w:rPr>
          <w:kern w:val="0"/>
          <w:sz w:val="24"/>
        </w:rPr>
        <w:t>投标人根据本招标文件的规定将投标价分成几部分，只是为了方便采购人对投标文件进行比较，并不限制采购人以上述任何条件订立合同的权力。</w:t>
      </w:r>
    </w:p>
    <w:p>
      <w:pPr>
        <w:numPr>
          <w:ilvl w:val="1"/>
          <w:numId w:val="1"/>
        </w:numPr>
        <w:autoSpaceDE w:val="0"/>
        <w:autoSpaceDN w:val="0"/>
        <w:adjustRightInd w:val="0"/>
        <w:snapToGrid w:val="0"/>
        <w:spacing w:after="120" w:afterLines="50" w:line="360" w:lineRule="auto"/>
        <w:rPr>
          <w:kern w:val="0"/>
          <w:sz w:val="24"/>
        </w:rPr>
      </w:pPr>
      <w:r>
        <w:rPr>
          <w:kern w:val="0"/>
          <w:sz w:val="24"/>
        </w:rPr>
        <w:t>除非合同另有约定，投标人所报的投标价在合同执行过程中是固定不变的，不得以任何理由予以变更。任何包含价格调整要求的投标，将被认为是非响应性投标而予以拒绝。</w:t>
      </w:r>
    </w:p>
    <w:p>
      <w:pPr>
        <w:numPr>
          <w:ilvl w:val="1"/>
          <w:numId w:val="1"/>
        </w:numPr>
        <w:autoSpaceDE w:val="0"/>
        <w:autoSpaceDN w:val="0"/>
        <w:adjustRightInd w:val="0"/>
        <w:snapToGrid w:val="0"/>
        <w:spacing w:after="120" w:afterLines="50" w:line="360" w:lineRule="auto"/>
        <w:ind w:left="1133" w:hanging="1132" w:hangingChars="472"/>
        <w:rPr>
          <w:kern w:val="0"/>
          <w:sz w:val="24"/>
        </w:rPr>
      </w:pPr>
      <w:bookmarkStart w:id="110" w:name="_Ref421009326"/>
      <w:r>
        <w:rPr>
          <w:kern w:val="0"/>
          <w:sz w:val="24"/>
        </w:rPr>
        <w:t>投标有效期</w:t>
      </w:r>
      <w:bookmarkEnd w:id="109"/>
      <w:bookmarkEnd w:id="110"/>
    </w:p>
    <w:p>
      <w:pPr>
        <w:numPr>
          <w:ilvl w:val="2"/>
          <w:numId w:val="1"/>
        </w:numPr>
        <w:tabs>
          <w:tab w:val="left" w:pos="1260"/>
        </w:tabs>
        <w:autoSpaceDE w:val="0"/>
        <w:autoSpaceDN w:val="0"/>
        <w:adjustRightInd w:val="0"/>
        <w:snapToGrid w:val="0"/>
        <w:spacing w:after="120" w:afterLines="50" w:line="360" w:lineRule="auto"/>
        <w:rPr>
          <w:kern w:val="0"/>
          <w:sz w:val="24"/>
        </w:rPr>
      </w:pPr>
      <w:r>
        <w:rPr>
          <w:sz w:val="24"/>
        </w:rPr>
        <w:t>本项目投标有效期见投标人须知前附表。投标有效期从提交投标文件的截止之日起算。投标文件中承诺的投标有效期应当不少于招标文件中载明的投标有效期。</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在投标人须知前附表规定的投标有效期内，投标人</w:t>
      </w:r>
      <w:r>
        <w:t>不得要求</w:t>
      </w:r>
      <w:r>
        <w:rPr>
          <w:kern w:val="0"/>
          <w:sz w:val="24"/>
        </w:rPr>
        <w:t>修改其投标文件。</w:t>
      </w:r>
    </w:p>
    <w:p>
      <w:pPr>
        <w:numPr>
          <w:ilvl w:val="1"/>
          <w:numId w:val="1"/>
        </w:numPr>
        <w:autoSpaceDE w:val="0"/>
        <w:autoSpaceDN w:val="0"/>
        <w:adjustRightInd w:val="0"/>
        <w:snapToGrid w:val="0"/>
        <w:spacing w:after="120" w:afterLines="50" w:line="360" w:lineRule="auto"/>
        <w:ind w:left="1133" w:hanging="1132" w:hangingChars="472"/>
        <w:rPr>
          <w:kern w:val="0"/>
          <w:sz w:val="24"/>
        </w:rPr>
      </w:pPr>
      <w:bookmarkStart w:id="111" w:name="_Toc195921815"/>
      <w:r>
        <w:rPr>
          <w:kern w:val="0"/>
          <w:sz w:val="24"/>
        </w:rPr>
        <w:t>投标保证金</w:t>
      </w:r>
      <w:bookmarkEnd w:id="111"/>
    </w:p>
    <w:p>
      <w:pPr>
        <w:numPr>
          <w:ilvl w:val="2"/>
          <w:numId w:val="1"/>
        </w:numPr>
        <w:tabs>
          <w:tab w:val="left" w:pos="1260"/>
        </w:tabs>
        <w:autoSpaceDE w:val="0"/>
        <w:autoSpaceDN w:val="0"/>
        <w:adjustRightInd w:val="0"/>
        <w:snapToGrid w:val="0"/>
        <w:spacing w:after="120" w:afterLines="50" w:line="360" w:lineRule="auto"/>
        <w:rPr>
          <w:kern w:val="0"/>
          <w:sz w:val="24"/>
        </w:rPr>
      </w:pPr>
      <w:bookmarkStart w:id="112" w:name="_Ref419361076"/>
      <w:r>
        <w:rPr>
          <w:kern w:val="0"/>
          <w:sz w:val="24"/>
        </w:rPr>
        <w:t>投标人应按投标人须知前附表规定的金额、形式递交投标保证金，并作为其投标文件的组成部分。联合体投标的，可以由联合体中的一方或者共同提交投标保证金，以一方名义提交投标保证金的，对联合体各方均具有约束力。</w:t>
      </w:r>
      <w:bookmarkEnd w:id="112"/>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投标人不按本章第</w:t>
      </w:r>
      <w:r>
        <w:rPr>
          <w:rFonts w:hint="eastAsia"/>
          <w:kern w:val="0"/>
          <w:sz w:val="24"/>
        </w:rPr>
        <w:t>3.7.1</w:t>
      </w:r>
      <w:r>
        <w:rPr>
          <w:kern w:val="0"/>
          <w:sz w:val="24"/>
        </w:rPr>
        <w:t>项要求提交投标保证金的，其投标文件无效。</w:t>
      </w:r>
    </w:p>
    <w:p>
      <w:pPr>
        <w:numPr>
          <w:ilvl w:val="2"/>
          <w:numId w:val="1"/>
        </w:numPr>
        <w:tabs>
          <w:tab w:val="left" w:pos="1260"/>
        </w:tabs>
        <w:autoSpaceDE w:val="0"/>
        <w:autoSpaceDN w:val="0"/>
        <w:adjustRightInd w:val="0"/>
        <w:snapToGrid w:val="0"/>
        <w:spacing w:after="120" w:afterLines="50" w:line="360" w:lineRule="auto"/>
        <w:rPr>
          <w:sz w:val="24"/>
        </w:rPr>
      </w:pPr>
      <w:bookmarkStart w:id="113" w:name="_Ref419361088"/>
      <w:r>
        <w:rPr>
          <w:sz w:val="24"/>
        </w:rPr>
        <w:t>投标人在投标截止时间3日前，按招标文件的要求向招标代理机构递交投标保证金，投标截止时间之后递交的投标保证金投标将被拒绝。</w:t>
      </w:r>
      <w:bookmarkEnd w:id="113"/>
    </w:p>
    <w:p>
      <w:pPr>
        <w:numPr>
          <w:ilvl w:val="2"/>
          <w:numId w:val="1"/>
        </w:numPr>
        <w:tabs>
          <w:tab w:val="left" w:pos="1260"/>
        </w:tabs>
        <w:autoSpaceDE w:val="0"/>
        <w:autoSpaceDN w:val="0"/>
        <w:adjustRightInd w:val="0"/>
        <w:snapToGrid w:val="0"/>
        <w:spacing w:after="120" w:afterLines="50" w:line="360" w:lineRule="auto"/>
        <w:rPr>
          <w:sz w:val="24"/>
        </w:rPr>
      </w:pPr>
      <w:r>
        <w:rPr>
          <w:sz w:val="24"/>
        </w:rPr>
        <w:t>投标人在汇款时务必注明所投标项目的项目编号及用途，否则，因款项用途不明导致投标无效等后果由投标人自行承担。</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采购人或者采购代理机构应当自中标通知书发出之日起5个工作日内退还未中标人的投标保证金，自政府采购合同签订之日起5个工作日内退还中标人的投标保证金</w:t>
      </w:r>
      <w:r>
        <w:rPr>
          <w:sz w:val="24"/>
        </w:rPr>
        <w:t>或者转为中标人的履约保证金</w:t>
      </w:r>
      <w:r>
        <w:rPr>
          <w:kern w:val="0"/>
          <w:sz w:val="24"/>
        </w:rPr>
        <w:t>。</w:t>
      </w:r>
    </w:p>
    <w:p>
      <w:pPr>
        <w:tabs>
          <w:tab w:val="left" w:pos="1260"/>
        </w:tabs>
        <w:autoSpaceDE w:val="0"/>
        <w:autoSpaceDN w:val="0"/>
        <w:adjustRightInd w:val="0"/>
        <w:snapToGrid w:val="0"/>
        <w:spacing w:after="120" w:afterLines="50" w:line="360" w:lineRule="auto"/>
        <w:ind w:left="1058" w:hanging="1058" w:hangingChars="441"/>
        <w:rPr>
          <w:kern w:val="0"/>
          <w:sz w:val="24"/>
        </w:rPr>
      </w:pPr>
      <w:r>
        <w:rPr>
          <w:kern w:val="0"/>
          <w:sz w:val="24"/>
        </w:rPr>
        <w:t xml:space="preserve">         采购人或者采购代理机构逾期退还投标保证金的，除退还投标保证金本金外，还应当按中国人民银行同期贷款基准利率上浮20％后的利率支付超期资金占用费，但因投标人自身原因导致无法及时退还的除外。</w:t>
      </w:r>
    </w:p>
    <w:p>
      <w:pPr>
        <w:numPr>
          <w:ilvl w:val="2"/>
          <w:numId w:val="1"/>
        </w:numPr>
        <w:tabs>
          <w:tab w:val="left" w:pos="1260"/>
        </w:tabs>
        <w:autoSpaceDE w:val="0"/>
        <w:autoSpaceDN w:val="0"/>
        <w:adjustRightInd w:val="0"/>
        <w:snapToGrid w:val="0"/>
        <w:spacing w:after="120" w:afterLines="50" w:line="360" w:lineRule="auto"/>
        <w:rPr>
          <w:kern w:val="0"/>
          <w:sz w:val="24"/>
        </w:rPr>
      </w:pPr>
      <w:r>
        <w:rPr>
          <w:sz w:val="24"/>
        </w:rPr>
        <w:t>投标人有下列行为之一者，其投标保证金可不予退还：</w:t>
      </w:r>
    </w:p>
    <w:p>
      <w:pPr>
        <w:tabs>
          <w:tab w:val="left" w:pos="1843"/>
        </w:tabs>
        <w:autoSpaceDE w:val="0"/>
        <w:autoSpaceDN w:val="0"/>
        <w:adjustRightInd w:val="0"/>
        <w:snapToGrid w:val="0"/>
        <w:spacing w:after="120" w:afterLines="50" w:line="360" w:lineRule="auto"/>
        <w:ind w:left="1734" w:leftChars="540" w:hanging="600" w:hangingChars="250"/>
        <w:rPr>
          <w:kern w:val="0"/>
          <w:sz w:val="24"/>
        </w:rPr>
      </w:pPr>
      <w:r>
        <w:rPr>
          <w:kern w:val="0"/>
          <w:sz w:val="24"/>
        </w:rPr>
        <w:t>（1）投标人在投标有效期内撤销投标文件的；</w:t>
      </w:r>
    </w:p>
    <w:p>
      <w:pPr>
        <w:tabs>
          <w:tab w:val="left" w:pos="1843"/>
        </w:tabs>
        <w:autoSpaceDE w:val="0"/>
        <w:autoSpaceDN w:val="0"/>
        <w:adjustRightInd w:val="0"/>
        <w:snapToGrid w:val="0"/>
        <w:spacing w:after="120" w:afterLines="50" w:line="360" w:lineRule="auto"/>
        <w:ind w:left="1734" w:leftChars="540" w:hanging="600" w:hangingChars="250"/>
        <w:rPr>
          <w:kern w:val="0"/>
          <w:sz w:val="24"/>
        </w:rPr>
      </w:pPr>
      <w:r>
        <w:rPr>
          <w:kern w:val="0"/>
          <w:sz w:val="24"/>
        </w:rPr>
        <w:t>（2）投标人在投标文件中提供虚假材料的；</w:t>
      </w:r>
    </w:p>
    <w:p>
      <w:pPr>
        <w:tabs>
          <w:tab w:val="left" w:pos="1843"/>
        </w:tabs>
        <w:autoSpaceDE w:val="0"/>
        <w:autoSpaceDN w:val="0"/>
        <w:adjustRightInd w:val="0"/>
        <w:snapToGrid w:val="0"/>
        <w:spacing w:after="120" w:afterLines="50" w:line="360" w:lineRule="auto"/>
        <w:ind w:left="1734" w:leftChars="540" w:hanging="600" w:hangingChars="250"/>
        <w:rPr>
          <w:kern w:val="0"/>
          <w:sz w:val="24"/>
        </w:rPr>
      </w:pPr>
      <w:r>
        <w:rPr>
          <w:kern w:val="0"/>
          <w:sz w:val="24"/>
        </w:rPr>
        <w:t>（3）除因不可抗力或招标文件认可的情形以外，中标人不与采购人签订合同的；</w:t>
      </w:r>
    </w:p>
    <w:p>
      <w:pPr>
        <w:tabs>
          <w:tab w:val="left" w:pos="1843"/>
        </w:tabs>
        <w:autoSpaceDE w:val="0"/>
        <w:autoSpaceDN w:val="0"/>
        <w:adjustRightInd w:val="0"/>
        <w:snapToGrid w:val="0"/>
        <w:spacing w:after="120" w:afterLines="50" w:line="360" w:lineRule="auto"/>
        <w:ind w:left="1734" w:leftChars="540" w:hanging="600" w:hangingChars="250"/>
        <w:rPr>
          <w:kern w:val="0"/>
          <w:sz w:val="24"/>
        </w:rPr>
      </w:pPr>
      <w:r>
        <w:rPr>
          <w:kern w:val="0"/>
          <w:sz w:val="24"/>
        </w:rPr>
        <w:t>（4）投标人与采购人、其他投标人或者采购代理机构恶意串通的；</w:t>
      </w:r>
    </w:p>
    <w:p>
      <w:pPr>
        <w:tabs>
          <w:tab w:val="left" w:pos="1843"/>
        </w:tabs>
        <w:autoSpaceDE w:val="0"/>
        <w:autoSpaceDN w:val="0"/>
        <w:adjustRightInd w:val="0"/>
        <w:snapToGrid w:val="0"/>
        <w:spacing w:after="120" w:afterLines="50" w:line="360" w:lineRule="auto"/>
        <w:ind w:left="1734" w:leftChars="540" w:hanging="600" w:hangingChars="250"/>
        <w:rPr>
          <w:kern w:val="0"/>
          <w:sz w:val="24"/>
        </w:rPr>
      </w:pPr>
      <w:r>
        <w:rPr>
          <w:kern w:val="0"/>
          <w:sz w:val="24"/>
        </w:rPr>
        <w:t>（5）招标文件规定应由中标人缴纳招标服务费而中标人未缴纳的，扣除相同金额以用于缴纳服务费；</w:t>
      </w:r>
    </w:p>
    <w:p>
      <w:pPr>
        <w:tabs>
          <w:tab w:val="left" w:pos="1843"/>
        </w:tabs>
        <w:autoSpaceDE w:val="0"/>
        <w:autoSpaceDN w:val="0"/>
        <w:adjustRightInd w:val="0"/>
        <w:snapToGrid w:val="0"/>
        <w:spacing w:after="120" w:afterLines="50" w:line="360" w:lineRule="auto"/>
        <w:ind w:left="1734" w:leftChars="540" w:hanging="600" w:hangingChars="250"/>
        <w:rPr>
          <w:kern w:val="0"/>
          <w:sz w:val="24"/>
        </w:rPr>
      </w:pPr>
      <w:r>
        <w:rPr>
          <w:kern w:val="0"/>
          <w:sz w:val="24"/>
        </w:rPr>
        <w:t>（6）招标文件规定的其他情形；</w:t>
      </w:r>
    </w:p>
    <w:p>
      <w:pPr>
        <w:tabs>
          <w:tab w:val="left" w:pos="1843"/>
        </w:tabs>
        <w:autoSpaceDE w:val="0"/>
        <w:autoSpaceDN w:val="0"/>
        <w:adjustRightInd w:val="0"/>
        <w:snapToGrid w:val="0"/>
        <w:spacing w:after="120" w:afterLines="50" w:line="360" w:lineRule="auto"/>
        <w:ind w:left="1734" w:leftChars="540" w:hanging="600" w:hangingChars="250"/>
        <w:rPr>
          <w:kern w:val="0"/>
          <w:sz w:val="24"/>
        </w:rPr>
      </w:pPr>
      <w:r>
        <w:rPr>
          <w:kern w:val="0"/>
          <w:sz w:val="24"/>
        </w:rPr>
        <w:t>（7）存在其他违法违规行为的。</w:t>
      </w:r>
    </w:p>
    <w:p>
      <w:pPr>
        <w:numPr>
          <w:ilvl w:val="1"/>
          <w:numId w:val="1"/>
        </w:numPr>
        <w:autoSpaceDE w:val="0"/>
        <w:autoSpaceDN w:val="0"/>
        <w:adjustRightInd w:val="0"/>
        <w:snapToGrid w:val="0"/>
        <w:spacing w:after="120" w:afterLines="50" w:line="360" w:lineRule="auto"/>
        <w:ind w:left="1133" w:hanging="1132" w:hangingChars="472"/>
        <w:rPr>
          <w:kern w:val="0"/>
          <w:sz w:val="24"/>
        </w:rPr>
      </w:pPr>
      <w:bookmarkStart w:id="114" w:name="_Toc195921818"/>
      <w:r>
        <w:rPr>
          <w:kern w:val="0"/>
          <w:sz w:val="24"/>
        </w:rPr>
        <w:t>投标文件的编制</w:t>
      </w:r>
      <w:bookmarkEnd w:id="114"/>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投标文件应按第六章“投标文件格式”进行编写，如有必要，可以增加附页，作为投标文件的组成部分。投标人可以提出比招标文件要求更有利于采购人的承诺。</w:t>
      </w:r>
    </w:p>
    <w:p>
      <w:pPr>
        <w:tabs>
          <w:tab w:val="left" w:pos="1260"/>
        </w:tabs>
        <w:autoSpaceDE w:val="0"/>
        <w:autoSpaceDN w:val="0"/>
        <w:adjustRightInd w:val="0"/>
        <w:snapToGrid w:val="0"/>
        <w:spacing w:after="120" w:afterLines="50" w:line="360" w:lineRule="auto"/>
        <w:ind w:left="1134"/>
        <w:rPr>
          <w:kern w:val="0"/>
          <w:sz w:val="24"/>
        </w:rPr>
      </w:pPr>
      <w:r>
        <w:rPr>
          <w:kern w:val="0"/>
          <w:sz w:val="24"/>
        </w:rPr>
        <w:t>投标文件应当对招标文件有关交货期、投标有效期、对招标范围以及</w:t>
      </w:r>
      <w:r>
        <w:rPr>
          <w:sz w:val="24"/>
        </w:rPr>
        <w:t>采购项目的技术规格、数量、服务标准、验收</w:t>
      </w:r>
      <w:r>
        <w:rPr>
          <w:kern w:val="0"/>
          <w:sz w:val="24"/>
        </w:rPr>
        <w:t>等实质性内容作出响应。</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投标文件正本需打印或用不褪色墨水书写，投标人的法定代表人或经授权的代表须根据招标文件第六章的规定在投标文件中需要签字或盖章的位置签字（加盖人名章）或加盖单位公章。授权代表须持有书面的“法定代表人授权书”（标准格式附后），并将其附在投标文件中。签字或加盖人名章的其他要求见投标人须知前附表。</w:t>
      </w:r>
    </w:p>
    <w:p>
      <w:pPr>
        <w:tabs>
          <w:tab w:val="left" w:pos="1260"/>
        </w:tabs>
        <w:autoSpaceDE w:val="0"/>
        <w:autoSpaceDN w:val="0"/>
        <w:adjustRightInd w:val="0"/>
        <w:snapToGrid w:val="0"/>
        <w:spacing w:after="120" w:afterLines="50" w:line="360" w:lineRule="auto"/>
        <w:ind w:left="1134" w:leftChars="540"/>
        <w:rPr>
          <w:kern w:val="0"/>
          <w:sz w:val="24"/>
        </w:rPr>
      </w:pPr>
      <w:r>
        <w:rPr>
          <w:kern w:val="0"/>
          <w:sz w:val="24"/>
        </w:rPr>
        <w:t>投标截止时间前，如对投标文件进行了修改，包括对投标文件行间插字、涂改和增删，均应由投标人的法定代表人或经正式授权的代表在修改的每一页上签字。</w:t>
      </w:r>
    </w:p>
    <w:p>
      <w:pPr>
        <w:tabs>
          <w:tab w:val="left" w:pos="1260"/>
        </w:tabs>
        <w:autoSpaceDE w:val="0"/>
        <w:autoSpaceDN w:val="0"/>
        <w:adjustRightInd w:val="0"/>
        <w:snapToGrid w:val="0"/>
        <w:spacing w:after="120" w:afterLines="50" w:line="360" w:lineRule="auto"/>
        <w:ind w:left="1134" w:leftChars="540"/>
        <w:rPr>
          <w:kern w:val="0"/>
          <w:sz w:val="24"/>
        </w:rPr>
      </w:pPr>
      <w:r>
        <w:rPr>
          <w:kern w:val="0"/>
          <w:sz w:val="24"/>
        </w:rPr>
        <w:t>投标文件的副本可采用正本的复印件。</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投标文件正本一份，副本份数见投标人须知前附表。正本和副本的封面上应清楚地标记“正本”或“副本”的字样。当副本和正本不一致时，以正本为准。</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投标文件的正本与副本应分别装订成册，并编制目录，具体装订要求见投标人须知前附表规定。</w:t>
      </w:r>
    </w:p>
    <w:p>
      <w:pPr>
        <w:numPr>
          <w:ilvl w:val="0"/>
          <w:numId w:val="1"/>
        </w:numPr>
        <w:autoSpaceDE w:val="0"/>
        <w:autoSpaceDN w:val="0"/>
        <w:adjustRightInd w:val="0"/>
        <w:spacing w:after="120" w:afterLines="50" w:line="360" w:lineRule="auto"/>
        <w:outlineLvl w:val="2"/>
        <w:rPr>
          <w:rFonts w:eastAsia="黑体"/>
          <w:kern w:val="0"/>
          <w:sz w:val="24"/>
        </w:rPr>
      </w:pPr>
      <w:bookmarkStart w:id="115" w:name="_Toc12439"/>
      <w:bookmarkStart w:id="116" w:name="_Toc6745"/>
      <w:bookmarkStart w:id="117" w:name="_Toc15970"/>
      <w:bookmarkStart w:id="118" w:name="_Toc195921819"/>
      <w:r>
        <w:rPr>
          <w:rFonts w:eastAsia="黑体"/>
          <w:kern w:val="0"/>
          <w:sz w:val="24"/>
        </w:rPr>
        <w:t>投标</w:t>
      </w:r>
      <w:bookmarkEnd w:id="115"/>
      <w:bookmarkEnd w:id="116"/>
      <w:bookmarkEnd w:id="117"/>
      <w:bookmarkEnd w:id="118"/>
    </w:p>
    <w:p>
      <w:pPr>
        <w:numPr>
          <w:ilvl w:val="1"/>
          <w:numId w:val="1"/>
        </w:numPr>
        <w:autoSpaceDE w:val="0"/>
        <w:autoSpaceDN w:val="0"/>
        <w:adjustRightInd w:val="0"/>
        <w:snapToGrid w:val="0"/>
        <w:spacing w:after="120" w:afterLines="50" w:line="360" w:lineRule="auto"/>
        <w:ind w:left="1133" w:hanging="1132" w:hangingChars="472"/>
        <w:rPr>
          <w:kern w:val="0"/>
          <w:sz w:val="24"/>
        </w:rPr>
      </w:pPr>
      <w:bookmarkStart w:id="119" w:name="_Toc195921820"/>
      <w:r>
        <w:rPr>
          <w:kern w:val="0"/>
          <w:sz w:val="24"/>
        </w:rPr>
        <w:t>投标文件的密封和标记</w:t>
      </w:r>
      <w:bookmarkEnd w:id="119"/>
    </w:p>
    <w:p>
      <w:pPr>
        <w:numPr>
          <w:ilvl w:val="2"/>
          <w:numId w:val="1"/>
        </w:numPr>
        <w:tabs>
          <w:tab w:val="left" w:pos="1260"/>
        </w:tabs>
        <w:autoSpaceDE w:val="0"/>
        <w:autoSpaceDN w:val="0"/>
        <w:adjustRightInd w:val="0"/>
        <w:snapToGrid w:val="0"/>
        <w:spacing w:after="120" w:afterLines="50" w:line="360" w:lineRule="auto"/>
        <w:rPr>
          <w:kern w:val="0"/>
          <w:sz w:val="24"/>
        </w:rPr>
      </w:pPr>
      <w:bookmarkStart w:id="120" w:name="_Ref421008470"/>
      <w:r>
        <w:rPr>
          <w:kern w:val="0"/>
          <w:sz w:val="24"/>
        </w:rPr>
        <w:t>投标文件应当密封。</w:t>
      </w:r>
      <w:bookmarkEnd w:id="120"/>
    </w:p>
    <w:p>
      <w:pPr>
        <w:numPr>
          <w:ilvl w:val="2"/>
          <w:numId w:val="1"/>
        </w:numPr>
        <w:tabs>
          <w:tab w:val="left" w:pos="1260"/>
        </w:tabs>
        <w:autoSpaceDE w:val="0"/>
        <w:autoSpaceDN w:val="0"/>
        <w:adjustRightInd w:val="0"/>
        <w:snapToGrid w:val="0"/>
        <w:spacing w:after="120" w:afterLines="50" w:line="360" w:lineRule="auto"/>
        <w:rPr>
          <w:kern w:val="0"/>
          <w:sz w:val="24"/>
        </w:rPr>
      </w:pPr>
      <w:bookmarkStart w:id="121" w:name="_Ref421008478"/>
      <w:r>
        <w:rPr>
          <w:kern w:val="0"/>
          <w:sz w:val="24"/>
        </w:rPr>
        <w:t>投标文件的封套上应标识的其他内容见投标人须知前附表。</w:t>
      </w:r>
      <w:bookmarkEnd w:id="121"/>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未按本章第</w:t>
      </w:r>
      <w:r>
        <w:rPr>
          <w:rFonts w:hint="eastAsia"/>
          <w:kern w:val="0"/>
          <w:sz w:val="24"/>
        </w:rPr>
        <w:t>4.1.1</w:t>
      </w:r>
      <w:r>
        <w:rPr>
          <w:kern w:val="0"/>
          <w:sz w:val="24"/>
        </w:rPr>
        <w:t>项或第</w:t>
      </w:r>
      <w:r>
        <w:rPr>
          <w:rFonts w:hint="eastAsia"/>
          <w:kern w:val="0"/>
          <w:sz w:val="24"/>
        </w:rPr>
        <w:t>4.1.2</w:t>
      </w:r>
      <w:r>
        <w:rPr>
          <w:kern w:val="0"/>
          <w:sz w:val="24"/>
        </w:rPr>
        <w:t>项要求密封和加写标识的投标文件，采购人不予受理。</w:t>
      </w:r>
    </w:p>
    <w:p>
      <w:pPr>
        <w:numPr>
          <w:ilvl w:val="1"/>
          <w:numId w:val="1"/>
        </w:numPr>
        <w:autoSpaceDE w:val="0"/>
        <w:autoSpaceDN w:val="0"/>
        <w:adjustRightInd w:val="0"/>
        <w:snapToGrid w:val="0"/>
        <w:spacing w:after="120" w:afterLines="50" w:line="360" w:lineRule="auto"/>
        <w:ind w:left="1133" w:hanging="1132" w:hangingChars="472"/>
        <w:rPr>
          <w:kern w:val="0"/>
          <w:sz w:val="24"/>
        </w:rPr>
      </w:pPr>
      <w:bookmarkStart w:id="122" w:name="_Toc195921821"/>
      <w:r>
        <w:rPr>
          <w:kern w:val="0"/>
          <w:sz w:val="24"/>
        </w:rPr>
        <w:t>投标文件的递交</w:t>
      </w:r>
      <w:bookmarkEnd w:id="122"/>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投标人应</w:t>
      </w:r>
      <w:r>
        <w:rPr>
          <w:sz w:val="24"/>
        </w:rPr>
        <w:t>在招标文件要求提交投标文件的截止时间前，将投标文件密封送达投标地点</w:t>
      </w:r>
      <w:r>
        <w:rPr>
          <w:kern w:val="0"/>
          <w:sz w:val="24"/>
        </w:rPr>
        <w:t>。</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投标人递交投标文件的地点：见招标公告。</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除投标人不足3家未开标情形外，投标人所递交的投标文件不予退还。</w:t>
      </w:r>
    </w:p>
    <w:p>
      <w:pPr>
        <w:numPr>
          <w:ilvl w:val="2"/>
          <w:numId w:val="1"/>
        </w:numPr>
        <w:tabs>
          <w:tab w:val="left" w:pos="1260"/>
        </w:tabs>
        <w:autoSpaceDE w:val="0"/>
        <w:autoSpaceDN w:val="0"/>
        <w:adjustRightInd w:val="0"/>
        <w:snapToGrid w:val="0"/>
        <w:spacing w:after="120" w:afterLines="50" w:line="360" w:lineRule="auto"/>
        <w:rPr>
          <w:kern w:val="0"/>
          <w:sz w:val="24"/>
        </w:rPr>
      </w:pPr>
      <w:r>
        <w:rPr>
          <w:sz w:val="24"/>
        </w:rPr>
        <w:t>逾期送达或者未按照招标文件要求密封的投标文件，采购人、采购代理机构应当拒收</w:t>
      </w:r>
      <w:r>
        <w:rPr>
          <w:kern w:val="0"/>
          <w:sz w:val="24"/>
        </w:rPr>
        <w:t>。</w:t>
      </w:r>
    </w:p>
    <w:p>
      <w:pPr>
        <w:numPr>
          <w:ilvl w:val="1"/>
          <w:numId w:val="1"/>
        </w:numPr>
        <w:autoSpaceDE w:val="0"/>
        <w:autoSpaceDN w:val="0"/>
        <w:adjustRightInd w:val="0"/>
        <w:snapToGrid w:val="0"/>
        <w:spacing w:after="120" w:afterLines="50" w:line="360" w:lineRule="auto"/>
        <w:ind w:left="1133" w:hanging="1132" w:hangingChars="472"/>
        <w:rPr>
          <w:kern w:val="0"/>
          <w:sz w:val="24"/>
        </w:rPr>
      </w:pPr>
      <w:bookmarkStart w:id="123" w:name="_Toc195921822"/>
      <w:r>
        <w:rPr>
          <w:kern w:val="0"/>
          <w:sz w:val="24"/>
        </w:rPr>
        <w:t>投标文件的修改与撤回</w:t>
      </w:r>
      <w:bookmarkEnd w:id="123"/>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在招标公告规定的投标截止时间前，投标人可以修改或撤回已递交的投标文件，但应以书面形式通知采购人。</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修改的内容为投标文件的组成部分。修改的投标文件应按照本章第3条、第4条规定进行编制、密封、标记和递交，并标明“修改”字样。</w:t>
      </w:r>
    </w:p>
    <w:p>
      <w:pPr>
        <w:numPr>
          <w:ilvl w:val="0"/>
          <w:numId w:val="1"/>
        </w:numPr>
        <w:autoSpaceDE w:val="0"/>
        <w:autoSpaceDN w:val="0"/>
        <w:adjustRightInd w:val="0"/>
        <w:spacing w:after="120" w:afterLines="50" w:line="360" w:lineRule="auto"/>
        <w:outlineLvl w:val="2"/>
        <w:rPr>
          <w:rFonts w:eastAsia="黑体"/>
          <w:kern w:val="0"/>
          <w:sz w:val="24"/>
        </w:rPr>
      </w:pPr>
      <w:bookmarkStart w:id="124" w:name="_Toc16836"/>
      <w:bookmarkStart w:id="125" w:name="_Toc3444"/>
      <w:bookmarkStart w:id="126" w:name="_Toc2425"/>
      <w:bookmarkStart w:id="127" w:name="_Toc195921823"/>
      <w:r>
        <w:rPr>
          <w:rFonts w:eastAsia="黑体"/>
          <w:kern w:val="0"/>
          <w:sz w:val="24"/>
        </w:rPr>
        <w:t>开标</w:t>
      </w:r>
      <w:bookmarkEnd w:id="124"/>
      <w:bookmarkEnd w:id="125"/>
      <w:bookmarkEnd w:id="126"/>
      <w:bookmarkEnd w:id="127"/>
    </w:p>
    <w:p>
      <w:pPr>
        <w:numPr>
          <w:ilvl w:val="1"/>
          <w:numId w:val="1"/>
        </w:numPr>
        <w:autoSpaceDE w:val="0"/>
        <w:autoSpaceDN w:val="0"/>
        <w:adjustRightInd w:val="0"/>
        <w:snapToGrid w:val="0"/>
        <w:spacing w:after="120" w:afterLines="50" w:line="360" w:lineRule="auto"/>
        <w:ind w:left="1133" w:hanging="1132" w:hangingChars="472"/>
        <w:rPr>
          <w:kern w:val="0"/>
          <w:sz w:val="24"/>
        </w:rPr>
      </w:pPr>
      <w:bookmarkStart w:id="128" w:name="_Toc195921824"/>
      <w:r>
        <w:rPr>
          <w:kern w:val="0"/>
          <w:sz w:val="24"/>
        </w:rPr>
        <w:t>开标时间和地点</w:t>
      </w:r>
      <w:bookmarkEnd w:id="128"/>
    </w:p>
    <w:p>
      <w:pPr>
        <w:tabs>
          <w:tab w:val="left" w:pos="1260"/>
        </w:tabs>
        <w:autoSpaceDE w:val="0"/>
        <w:autoSpaceDN w:val="0"/>
        <w:adjustRightInd w:val="0"/>
        <w:snapToGrid w:val="0"/>
        <w:spacing w:after="120" w:afterLines="50" w:line="360" w:lineRule="auto"/>
        <w:ind w:left="1134"/>
        <w:rPr>
          <w:kern w:val="0"/>
          <w:sz w:val="24"/>
        </w:rPr>
      </w:pPr>
      <w:r>
        <w:rPr>
          <w:kern w:val="0"/>
          <w:sz w:val="24"/>
        </w:rPr>
        <w:t>采购人在招标公告规定的投标截止时间（开标时间）和地点公开开标，并邀请所有投标人的法定代表人或其委托代理人准时参加。投标人未参加开标的，视同认可开标结果。</w:t>
      </w:r>
    </w:p>
    <w:p>
      <w:pPr>
        <w:numPr>
          <w:ilvl w:val="1"/>
          <w:numId w:val="1"/>
        </w:numPr>
        <w:autoSpaceDE w:val="0"/>
        <w:autoSpaceDN w:val="0"/>
        <w:adjustRightInd w:val="0"/>
        <w:snapToGrid w:val="0"/>
        <w:spacing w:after="120" w:afterLines="50" w:line="360" w:lineRule="auto"/>
        <w:ind w:left="1133" w:hanging="1132" w:hangingChars="472"/>
        <w:rPr>
          <w:color w:val="FF0000"/>
          <w:kern w:val="0"/>
          <w:sz w:val="24"/>
        </w:rPr>
      </w:pPr>
      <w:r>
        <w:rPr>
          <w:kern w:val="0"/>
          <w:sz w:val="24"/>
        </w:rPr>
        <w:t>开标时，应当由投标人或者其推选的代表检查投标文件的密封情况；经确认无误后，由</w:t>
      </w:r>
      <w:r>
        <w:rPr>
          <w:sz w:val="24"/>
        </w:rPr>
        <w:t>采购人或者采购代理机构工作人员当众拆封，宣布投标人名称、投标价格和招标文件规定的需要宣布的其他内容</w:t>
      </w:r>
      <w:r>
        <w:rPr>
          <w:kern w:val="0"/>
          <w:sz w:val="24"/>
        </w:rPr>
        <w:t>。</w:t>
      </w:r>
    </w:p>
    <w:p>
      <w:pPr>
        <w:pStyle w:val="431"/>
        <w:snapToGrid w:val="0"/>
        <w:spacing w:after="120" w:afterLines="50" w:line="360" w:lineRule="auto"/>
        <w:ind w:left="1734" w:leftChars="540" w:hanging="600" w:hangingChars="250"/>
        <w:rPr>
          <w:rFonts w:ascii="Times New Roman" w:hAnsi="Times New Roman" w:cs="Times New Roman"/>
          <w:sz w:val="24"/>
          <w:szCs w:val="24"/>
        </w:rPr>
      </w:pPr>
      <w:r>
        <w:rPr>
          <w:rFonts w:ascii="Times New Roman" w:hAnsi="Times New Roman" w:cs="Times New Roman"/>
          <w:sz w:val="24"/>
          <w:szCs w:val="24"/>
        </w:rPr>
        <w:t>投标人不足3家的，不进行开标。</w:t>
      </w:r>
    </w:p>
    <w:p>
      <w:pPr>
        <w:numPr>
          <w:ilvl w:val="1"/>
          <w:numId w:val="1"/>
        </w:numPr>
        <w:autoSpaceDE w:val="0"/>
        <w:autoSpaceDN w:val="0"/>
        <w:adjustRightInd w:val="0"/>
        <w:snapToGrid w:val="0"/>
        <w:spacing w:after="120" w:afterLines="50" w:line="360" w:lineRule="auto"/>
        <w:ind w:left="1133" w:hanging="1132" w:hangingChars="472"/>
        <w:rPr>
          <w:kern w:val="0"/>
          <w:sz w:val="24"/>
        </w:rPr>
      </w:pPr>
      <w:r>
        <w:rPr>
          <w:kern w:val="0"/>
          <w:sz w:val="24"/>
        </w:rPr>
        <w:t>开标过程由采购人或者采购代理机构负责记录，由参加开标的各投标人代表和相关工作人员签字确认后随招标文件一并存档。</w:t>
      </w:r>
    </w:p>
    <w:p>
      <w:pPr>
        <w:pStyle w:val="431"/>
        <w:snapToGrid w:val="0"/>
        <w:spacing w:after="120" w:afterLines="50" w:line="360" w:lineRule="auto"/>
        <w:ind w:left="1132" w:leftChars="539"/>
        <w:rPr>
          <w:rFonts w:ascii="Times New Roman" w:hAnsi="Times New Roman" w:cs="Times New Roman"/>
          <w:sz w:val="24"/>
          <w:szCs w:val="24"/>
        </w:rPr>
      </w:pPr>
      <w:r>
        <w:rPr>
          <w:rFonts w:ascii="Times New Roman" w:hAnsi="Times New Roman" w:cs="Times New Roman"/>
          <w:sz w:val="24"/>
          <w:szCs w:val="24"/>
        </w:rPr>
        <w:t>投标人代表对开标过程和开标记录有疑义，以及认为采购人、采购代理机构相关工作人员有需要回避的情形的，应当场提出询问或者回避申请。</w:t>
      </w:r>
    </w:p>
    <w:p>
      <w:pPr>
        <w:numPr>
          <w:ilvl w:val="1"/>
          <w:numId w:val="1"/>
        </w:numPr>
        <w:autoSpaceDE w:val="0"/>
        <w:autoSpaceDN w:val="0"/>
        <w:adjustRightInd w:val="0"/>
        <w:snapToGrid w:val="0"/>
        <w:spacing w:after="120" w:afterLines="50" w:line="360" w:lineRule="auto"/>
        <w:ind w:left="1133" w:hanging="1132" w:hangingChars="472"/>
        <w:rPr>
          <w:kern w:val="0"/>
          <w:sz w:val="24"/>
        </w:rPr>
      </w:pPr>
      <w:r>
        <w:rPr>
          <w:kern w:val="0"/>
          <w:sz w:val="24"/>
        </w:rPr>
        <w:t>投标人对开标过程有疑义的，在开标结束后七个工作日内，按本须知2.5款接收质疑函的方式以书面形式一次性提出质疑。</w:t>
      </w:r>
    </w:p>
    <w:p>
      <w:pPr>
        <w:numPr>
          <w:ilvl w:val="0"/>
          <w:numId w:val="1"/>
        </w:numPr>
        <w:autoSpaceDE w:val="0"/>
        <w:autoSpaceDN w:val="0"/>
        <w:adjustRightInd w:val="0"/>
        <w:spacing w:after="120" w:afterLines="50" w:line="360" w:lineRule="auto"/>
        <w:outlineLvl w:val="2"/>
        <w:rPr>
          <w:rFonts w:eastAsia="黑体"/>
          <w:kern w:val="0"/>
          <w:sz w:val="24"/>
        </w:rPr>
      </w:pPr>
      <w:bookmarkStart w:id="129" w:name="_Toc6719"/>
      <w:bookmarkStart w:id="130" w:name="_Toc27632"/>
      <w:bookmarkStart w:id="131" w:name="_Toc28911"/>
      <w:r>
        <w:rPr>
          <w:rFonts w:eastAsia="黑体"/>
          <w:kern w:val="0"/>
          <w:sz w:val="24"/>
        </w:rPr>
        <w:t>资格审查</w:t>
      </w:r>
      <w:bookmarkEnd w:id="129"/>
      <w:bookmarkEnd w:id="130"/>
      <w:bookmarkEnd w:id="131"/>
    </w:p>
    <w:p>
      <w:pPr>
        <w:numPr>
          <w:ilvl w:val="1"/>
          <w:numId w:val="1"/>
        </w:numPr>
        <w:autoSpaceDE w:val="0"/>
        <w:autoSpaceDN w:val="0"/>
        <w:adjustRightInd w:val="0"/>
        <w:snapToGrid w:val="0"/>
        <w:spacing w:after="120" w:afterLines="50" w:line="360" w:lineRule="auto"/>
        <w:ind w:left="1133" w:hanging="1132" w:hangingChars="472"/>
        <w:rPr>
          <w:kern w:val="0"/>
          <w:sz w:val="24"/>
        </w:rPr>
      </w:pPr>
      <w:r>
        <w:rPr>
          <w:kern w:val="0"/>
          <w:sz w:val="24"/>
        </w:rPr>
        <w:t>开标结束后，采购人</w:t>
      </w:r>
      <w:bookmarkStart w:id="132" w:name="_Toc195921826"/>
      <w:r>
        <w:rPr>
          <w:kern w:val="0"/>
          <w:sz w:val="24"/>
        </w:rPr>
        <w:t>依法对投标人的资格进行审查。</w:t>
      </w:r>
    </w:p>
    <w:p>
      <w:pPr>
        <w:pStyle w:val="431"/>
        <w:snapToGrid w:val="0"/>
        <w:spacing w:after="120" w:afterLines="50" w:line="360" w:lineRule="auto"/>
        <w:ind w:left="1132" w:leftChars="539"/>
        <w:rPr>
          <w:rFonts w:ascii="Times New Roman" w:hAnsi="Times New Roman" w:cs="Times New Roman"/>
          <w:sz w:val="24"/>
          <w:szCs w:val="24"/>
        </w:rPr>
      </w:pPr>
      <w:r>
        <w:rPr>
          <w:rFonts w:ascii="Times New Roman" w:hAnsi="Times New Roman" w:cs="Times New Roman"/>
          <w:sz w:val="24"/>
          <w:szCs w:val="24"/>
        </w:rPr>
        <w:t>通过资格审查的投标人不足3家的，不得评标。</w:t>
      </w:r>
    </w:p>
    <w:p>
      <w:pPr>
        <w:numPr>
          <w:ilvl w:val="0"/>
          <w:numId w:val="1"/>
        </w:numPr>
        <w:autoSpaceDE w:val="0"/>
        <w:autoSpaceDN w:val="0"/>
        <w:adjustRightInd w:val="0"/>
        <w:spacing w:after="120" w:afterLines="50" w:line="360" w:lineRule="auto"/>
        <w:outlineLvl w:val="2"/>
        <w:rPr>
          <w:rFonts w:eastAsia="黑体"/>
          <w:kern w:val="0"/>
          <w:sz w:val="24"/>
        </w:rPr>
      </w:pPr>
      <w:bookmarkStart w:id="133" w:name="_Toc21428"/>
      <w:bookmarkStart w:id="134" w:name="_Toc30234"/>
      <w:bookmarkStart w:id="135" w:name="_Toc8893"/>
      <w:r>
        <w:rPr>
          <w:rFonts w:eastAsia="黑体"/>
          <w:kern w:val="0"/>
          <w:sz w:val="24"/>
        </w:rPr>
        <w:t>评标</w:t>
      </w:r>
      <w:bookmarkEnd w:id="132"/>
      <w:bookmarkEnd w:id="133"/>
      <w:bookmarkEnd w:id="134"/>
      <w:bookmarkEnd w:id="135"/>
    </w:p>
    <w:p>
      <w:pPr>
        <w:numPr>
          <w:ilvl w:val="1"/>
          <w:numId w:val="1"/>
        </w:numPr>
        <w:autoSpaceDE w:val="0"/>
        <w:autoSpaceDN w:val="0"/>
        <w:adjustRightInd w:val="0"/>
        <w:snapToGrid w:val="0"/>
        <w:spacing w:after="120" w:afterLines="50" w:line="360" w:lineRule="auto"/>
        <w:ind w:left="1133" w:hanging="1132" w:hangingChars="472"/>
        <w:rPr>
          <w:kern w:val="0"/>
          <w:sz w:val="24"/>
        </w:rPr>
      </w:pPr>
      <w:bookmarkStart w:id="136" w:name="_Toc195921827"/>
      <w:r>
        <w:rPr>
          <w:kern w:val="0"/>
          <w:sz w:val="24"/>
        </w:rPr>
        <w:t>评标委员会</w:t>
      </w:r>
      <w:bookmarkEnd w:id="136"/>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评标由采购人依法组建的评标委员会负责。评标委员会由采购人代表和有关技术、经济等方面的专家组成。</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评标委员会成员有下列情形之一的，应当回避：</w:t>
      </w:r>
    </w:p>
    <w:p>
      <w:pPr>
        <w:pStyle w:val="431"/>
        <w:snapToGrid w:val="0"/>
        <w:spacing w:after="120" w:afterLines="50" w:line="360" w:lineRule="auto"/>
        <w:ind w:left="1734" w:leftChars="540" w:hanging="600" w:hangingChars="250"/>
        <w:rPr>
          <w:rFonts w:ascii="Times New Roman" w:hAnsi="Times New Roman" w:cs="Times New Roman"/>
          <w:sz w:val="24"/>
          <w:szCs w:val="24"/>
        </w:rPr>
      </w:pPr>
      <w:r>
        <w:rPr>
          <w:rFonts w:ascii="Times New Roman" w:hAnsi="Times New Roman" w:cs="Times New Roman"/>
          <w:sz w:val="24"/>
          <w:szCs w:val="24"/>
        </w:rPr>
        <w:t>（1）参加采购活动前3年内与投标人存在劳动关系；</w:t>
      </w:r>
    </w:p>
    <w:p>
      <w:pPr>
        <w:pStyle w:val="431"/>
        <w:snapToGrid w:val="0"/>
        <w:spacing w:after="120" w:afterLines="50" w:line="360" w:lineRule="auto"/>
        <w:ind w:left="1734" w:leftChars="540" w:hanging="600" w:hangingChars="250"/>
        <w:rPr>
          <w:rFonts w:ascii="Times New Roman" w:hAnsi="Times New Roman" w:cs="Times New Roman"/>
          <w:sz w:val="24"/>
          <w:szCs w:val="24"/>
        </w:rPr>
      </w:pPr>
      <w:r>
        <w:rPr>
          <w:rFonts w:ascii="Times New Roman" w:hAnsi="Times New Roman" w:cs="Times New Roman"/>
          <w:sz w:val="24"/>
          <w:szCs w:val="24"/>
        </w:rPr>
        <w:t>（2）参加采购活动前3年内担任投标人的董事、监事；</w:t>
      </w:r>
    </w:p>
    <w:p>
      <w:pPr>
        <w:pStyle w:val="431"/>
        <w:snapToGrid w:val="0"/>
        <w:spacing w:after="120" w:afterLines="50" w:line="360" w:lineRule="auto"/>
        <w:ind w:left="1734" w:leftChars="540" w:hanging="600" w:hangingChars="250"/>
        <w:rPr>
          <w:rFonts w:ascii="Times New Roman" w:hAnsi="Times New Roman" w:cs="Times New Roman"/>
          <w:sz w:val="24"/>
          <w:szCs w:val="24"/>
        </w:rPr>
      </w:pPr>
      <w:r>
        <w:rPr>
          <w:rFonts w:ascii="Times New Roman" w:hAnsi="Times New Roman" w:cs="Times New Roman"/>
          <w:sz w:val="24"/>
          <w:szCs w:val="24"/>
        </w:rPr>
        <w:t>（3）参加采购活动前3年内是投标人的控股股东或者实际控制人；</w:t>
      </w:r>
    </w:p>
    <w:p>
      <w:pPr>
        <w:pStyle w:val="431"/>
        <w:snapToGrid w:val="0"/>
        <w:spacing w:after="120" w:afterLines="50" w:line="360" w:lineRule="auto"/>
        <w:ind w:left="1734" w:leftChars="540" w:hanging="600" w:hangingChars="250"/>
        <w:rPr>
          <w:rFonts w:ascii="Times New Roman" w:hAnsi="Times New Roman" w:cs="Times New Roman"/>
          <w:sz w:val="24"/>
          <w:szCs w:val="24"/>
        </w:rPr>
      </w:pPr>
      <w:r>
        <w:rPr>
          <w:rFonts w:ascii="Times New Roman" w:hAnsi="Times New Roman" w:cs="Times New Roman"/>
          <w:sz w:val="24"/>
          <w:szCs w:val="24"/>
        </w:rPr>
        <w:t>（4）与投标人的法定代表人或者负责人有夫妻、直系血亲、三代以内旁系血亲或者近姻亲关系；</w:t>
      </w:r>
    </w:p>
    <w:p>
      <w:pPr>
        <w:pStyle w:val="431"/>
        <w:snapToGrid w:val="0"/>
        <w:spacing w:after="120" w:afterLines="50" w:line="360" w:lineRule="auto"/>
        <w:ind w:left="1734" w:leftChars="540" w:hanging="600" w:hangingChars="250"/>
        <w:rPr>
          <w:rFonts w:ascii="Times New Roman" w:hAnsi="Times New Roman" w:cs="Times New Roman"/>
          <w:sz w:val="24"/>
          <w:szCs w:val="24"/>
        </w:rPr>
      </w:pPr>
      <w:r>
        <w:rPr>
          <w:rFonts w:ascii="Times New Roman" w:hAnsi="Times New Roman" w:cs="Times New Roman"/>
          <w:sz w:val="24"/>
          <w:szCs w:val="24"/>
        </w:rPr>
        <w:t>（5）与投标人有其他可能影响政府采购活动公平、公正进行的关系。</w:t>
      </w:r>
    </w:p>
    <w:p>
      <w:pPr>
        <w:numPr>
          <w:ilvl w:val="2"/>
          <w:numId w:val="1"/>
        </w:numPr>
        <w:tabs>
          <w:tab w:val="left" w:pos="1260"/>
          <w:tab w:val="left" w:pos="1418"/>
          <w:tab w:val="left" w:pos="1800"/>
        </w:tabs>
        <w:autoSpaceDE w:val="0"/>
        <w:autoSpaceDN w:val="0"/>
        <w:adjustRightInd w:val="0"/>
        <w:snapToGrid w:val="0"/>
        <w:spacing w:before="120" w:after="120" w:afterLines="50" w:line="360" w:lineRule="auto"/>
        <w:rPr>
          <w:kern w:val="0"/>
          <w:sz w:val="24"/>
        </w:rPr>
      </w:pPr>
      <w:r>
        <w:rPr>
          <w:kern w:val="0"/>
          <w:sz w:val="24"/>
        </w:rPr>
        <w:t>评标委员会</w:t>
      </w:r>
      <w:r>
        <w:rPr>
          <w:sz w:val="24"/>
        </w:rPr>
        <w:t>负责具体评标事务，并独立履行下列职责</w:t>
      </w:r>
      <w:r>
        <w:rPr>
          <w:kern w:val="0"/>
          <w:sz w:val="24"/>
        </w:rPr>
        <w:t>：</w:t>
      </w:r>
    </w:p>
    <w:p>
      <w:pPr>
        <w:pStyle w:val="431"/>
        <w:snapToGrid w:val="0"/>
        <w:spacing w:after="120" w:afterLines="50" w:line="360" w:lineRule="auto"/>
        <w:ind w:left="1840" w:leftChars="539" w:hanging="708" w:hangingChars="295"/>
        <w:rPr>
          <w:rFonts w:ascii="Times New Roman" w:hAnsi="Times New Roman" w:cs="Times New Roman"/>
          <w:sz w:val="24"/>
          <w:szCs w:val="24"/>
        </w:rPr>
      </w:pPr>
      <w:bookmarkStart w:id="137" w:name="_Toc195921828"/>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审查、评价投标文件是否符合招标文件的商务、技术等实质性要求；</w:t>
      </w:r>
    </w:p>
    <w:p>
      <w:pPr>
        <w:pStyle w:val="431"/>
        <w:snapToGrid w:val="0"/>
        <w:spacing w:after="120" w:afterLines="50" w:line="360" w:lineRule="auto"/>
        <w:ind w:left="1840" w:leftChars="539" w:hanging="708" w:hangingChars="29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要求投标人对投标文件有关事项作出澄清或者说明；</w:t>
      </w:r>
    </w:p>
    <w:p>
      <w:pPr>
        <w:pStyle w:val="431"/>
        <w:snapToGrid w:val="0"/>
        <w:spacing w:after="120" w:afterLines="50" w:line="360" w:lineRule="auto"/>
        <w:ind w:left="1840" w:leftChars="539" w:hanging="708" w:hangingChars="29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对投标文件进行比较和评价；</w:t>
      </w:r>
    </w:p>
    <w:p>
      <w:pPr>
        <w:pStyle w:val="431"/>
        <w:snapToGrid w:val="0"/>
        <w:spacing w:after="120" w:afterLines="50" w:line="360" w:lineRule="auto"/>
        <w:ind w:left="1840" w:leftChars="539" w:hanging="708" w:hangingChars="29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确定中标候选人名单，以及根据采购人委托直接确定中标人；</w:t>
      </w:r>
    </w:p>
    <w:p>
      <w:pPr>
        <w:pStyle w:val="431"/>
        <w:snapToGrid w:val="0"/>
        <w:spacing w:after="120" w:afterLines="50" w:line="360" w:lineRule="auto"/>
        <w:ind w:left="1840" w:leftChars="539" w:hanging="708" w:hangingChars="29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向采购人、采购代理机构或者有关部门报告评标中发现的违法行为。</w:t>
      </w:r>
    </w:p>
    <w:p>
      <w:pPr>
        <w:numPr>
          <w:ilvl w:val="1"/>
          <w:numId w:val="1"/>
        </w:numPr>
        <w:autoSpaceDE w:val="0"/>
        <w:autoSpaceDN w:val="0"/>
        <w:adjustRightInd w:val="0"/>
        <w:snapToGrid w:val="0"/>
        <w:spacing w:after="120" w:afterLines="50" w:line="360" w:lineRule="auto"/>
        <w:ind w:left="1133" w:hanging="1132" w:hangingChars="472"/>
        <w:rPr>
          <w:kern w:val="0"/>
          <w:sz w:val="24"/>
        </w:rPr>
      </w:pPr>
      <w:r>
        <w:rPr>
          <w:sz w:val="24"/>
        </w:rPr>
        <w:t>评标委员会应当对符合资格的投标人的投标文件进行符合性审查，以确定其是否满足招标文件的实质性要求。</w:t>
      </w:r>
      <w:bookmarkEnd w:id="137"/>
    </w:p>
    <w:p>
      <w:pPr>
        <w:numPr>
          <w:ilvl w:val="1"/>
          <w:numId w:val="1"/>
        </w:numPr>
        <w:autoSpaceDE w:val="0"/>
        <w:autoSpaceDN w:val="0"/>
        <w:adjustRightInd w:val="0"/>
        <w:snapToGrid w:val="0"/>
        <w:spacing w:after="120" w:afterLines="50" w:line="360" w:lineRule="auto"/>
        <w:ind w:left="1133" w:hanging="1132" w:hangingChars="472"/>
        <w:rPr>
          <w:kern w:val="0"/>
          <w:sz w:val="24"/>
        </w:rPr>
      </w:pPr>
      <w:r>
        <w:rPr>
          <w:kern w:val="0"/>
          <w:sz w:val="24"/>
        </w:rPr>
        <w:t>不同投标人以相同品牌产品参加同一合同项下投标，且通过资格审查、符合性审查的，按一家投标人计算，评审后得分最高的同品牌投标人获得中标人推荐资格；评审得分相同的，由采购人或者采购人委托评标委员会采取随机抽取方式确定，其他同品牌投标人不作为中标候选人。</w:t>
      </w:r>
    </w:p>
    <w:p>
      <w:pPr>
        <w:tabs>
          <w:tab w:val="left" w:pos="1260"/>
        </w:tabs>
        <w:autoSpaceDE w:val="0"/>
        <w:autoSpaceDN w:val="0"/>
        <w:adjustRightInd w:val="0"/>
        <w:snapToGrid w:val="0"/>
        <w:spacing w:after="120" w:afterLines="50" w:line="360" w:lineRule="auto"/>
        <w:ind w:left="1132" w:leftChars="539"/>
        <w:rPr>
          <w:kern w:val="0"/>
          <w:sz w:val="24"/>
        </w:rPr>
      </w:pPr>
      <w:r>
        <w:rPr>
          <w:kern w:val="0"/>
          <w:sz w:val="24"/>
        </w:rPr>
        <w:t>非单一产品采购项目，多家投标人提供的核心产品品牌相同的，按前款规定处理。</w:t>
      </w:r>
    </w:p>
    <w:p>
      <w:pPr>
        <w:numPr>
          <w:ilvl w:val="1"/>
          <w:numId w:val="1"/>
        </w:numPr>
        <w:autoSpaceDE w:val="0"/>
        <w:autoSpaceDN w:val="0"/>
        <w:adjustRightInd w:val="0"/>
        <w:snapToGrid w:val="0"/>
        <w:spacing w:after="120" w:afterLines="50" w:line="360" w:lineRule="auto"/>
        <w:ind w:left="1133" w:hanging="1132" w:hangingChars="472"/>
        <w:rPr>
          <w:sz w:val="24"/>
        </w:rPr>
      </w:pPr>
      <w:r>
        <w:rPr>
          <w:sz w:val="24"/>
        </w:rPr>
        <w:t>评标委员会按照第三章“资格审查、评标办法和标准”规定的评标方法和标准，对符合性审查合格的投标文件进行商务和技术评估，综合比较与评价。“评标办法”没有规定的方法、评审因素和标准，不作为评标依据。</w:t>
      </w:r>
    </w:p>
    <w:p>
      <w:pPr>
        <w:numPr>
          <w:ilvl w:val="1"/>
          <w:numId w:val="1"/>
        </w:numPr>
        <w:autoSpaceDE w:val="0"/>
        <w:autoSpaceDN w:val="0"/>
        <w:adjustRightInd w:val="0"/>
        <w:snapToGrid w:val="0"/>
        <w:spacing w:after="120" w:afterLines="50" w:line="360" w:lineRule="auto"/>
        <w:ind w:left="1133" w:hanging="1132" w:hangingChars="472"/>
        <w:rPr>
          <w:sz w:val="24"/>
        </w:rPr>
      </w:pPr>
      <w:r>
        <w:rPr>
          <w:sz w:val="24"/>
        </w:rPr>
        <w:t>在评标过程中发现投标人有不遵循公平竞争的原则，恶意串通，妨碍其他投标人的竞争行为，损害采购人或者其他投标人的合法权益的，评标委员会应当认定其投标无效，并书面报告本级财政部门。</w:t>
      </w:r>
    </w:p>
    <w:p>
      <w:pPr>
        <w:numPr>
          <w:ilvl w:val="1"/>
          <w:numId w:val="1"/>
        </w:numPr>
        <w:autoSpaceDE w:val="0"/>
        <w:autoSpaceDN w:val="0"/>
        <w:adjustRightInd w:val="0"/>
        <w:snapToGrid w:val="0"/>
        <w:spacing w:after="120" w:afterLines="50" w:line="360" w:lineRule="auto"/>
        <w:ind w:left="1133" w:hanging="1132" w:hangingChars="472"/>
        <w:rPr>
          <w:color w:val="FF0000"/>
          <w:sz w:val="24"/>
        </w:rPr>
      </w:pPr>
      <w:r>
        <w:rPr>
          <w:sz w:val="24"/>
        </w:rPr>
        <w:t>公开招标数额标准以上的采购项目，投标截止后投标人不足3家或者通过资格审查或符合性审查的投标人不足3家的，除采购任务取消情形外，将重新招标或采用其他采购方式采购。</w:t>
      </w:r>
    </w:p>
    <w:p>
      <w:pPr>
        <w:numPr>
          <w:ilvl w:val="255"/>
          <w:numId w:val="0"/>
        </w:numPr>
        <w:autoSpaceDE w:val="0"/>
        <w:autoSpaceDN w:val="0"/>
        <w:adjustRightInd w:val="0"/>
        <w:snapToGrid w:val="0"/>
        <w:spacing w:after="120" w:afterLines="50" w:line="360" w:lineRule="auto"/>
        <w:rPr>
          <w:color w:val="FF0000"/>
          <w:sz w:val="24"/>
        </w:rPr>
      </w:pPr>
    </w:p>
    <w:p>
      <w:pPr>
        <w:numPr>
          <w:ilvl w:val="0"/>
          <w:numId w:val="1"/>
        </w:numPr>
        <w:autoSpaceDE w:val="0"/>
        <w:autoSpaceDN w:val="0"/>
        <w:adjustRightInd w:val="0"/>
        <w:spacing w:after="120" w:afterLines="50" w:line="360" w:lineRule="auto"/>
        <w:outlineLvl w:val="2"/>
        <w:rPr>
          <w:rFonts w:eastAsia="黑体"/>
          <w:kern w:val="0"/>
          <w:sz w:val="24"/>
        </w:rPr>
      </w:pPr>
      <w:bookmarkStart w:id="138" w:name="_Toc21216"/>
      <w:bookmarkStart w:id="139" w:name="_Toc19223"/>
      <w:bookmarkStart w:id="140" w:name="_Toc22849"/>
      <w:bookmarkStart w:id="141" w:name="_Toc195921830"/>
      <w:r>
        <w:rPr>
          <w:rFonts w:eastAsia="黑体"/>
          <w:kern w:val="0"/>
          <w:sz w:val="24"/>
        </w:rPr>
        <w:t>合同授予</w:t>
      </w:r>
      <w:bookmarkEnd w:id="138"/>
      <w:bookmarkEnd w:id="139"/>
      <w:bookmarkEnd w:id="140"/>
      <w:bookmarkEnd w:id="141"/>
    </w:p>
    <w:p>
      <w:pPr>
        <w:numPr>
          <w:ilvl w:val="1"/>
          <w:numId w:val="1"/>
        </w:numPr>
        <w:autoSpaceDE w:val="0"/>
        <w:autoSpaceDN w:val="0"/>
        <w:adjustRightInd w:val="0"/>
        <w:snapToGrid w:val="0"/>
        <w:spacing w:after="120" w:afterLines="50" w:line="360" w:lineRule="auto"/>
        <w:ind w:left="1680" w:hanging="1680" w:hangingChars="700"/>
        <w:rPr>
          <w:kern w:val="0"/>
          <w:sz w:val="24"/>
        </w:rPr>
      </w:pPr>
      <w:bookmarkStart w:id="142" w:name="_Toc195921831"/>
      <w:r>
        <w:rPr>
          <w:kern w:val="0"/>
          <w:sz w:val="24"/>
        </w:rPr>
        <w:t>定标方式</w:t>
      </w:r>
      <w:bookmarkEnd w:id="142"/>
    </w:p>
    <w:p>
      <w:pPr>
        <w:tabs>
          <w:tab w:val="left" w:pos="1260"/>
        </w:tabs>
        <w:autoSpaceDE w:val="0"/>
        <w:autoSpaceDN w:val="0"/>
        <w:adjustRightInd w:val="0"/>
        <w:snapToGrid w:val="0"/>
        <w:spacing w:after="120" w:afterLines="50" w:line="360" w:lineRule="auto"/>
        <w:ind w:left="1134"/>
        <w:rPr>
          <w:kern w:val="0"/>
          <w:sz w:val="24"/>
        </w:rPr>
      </w:pPr>
      <w:r>
        <w:rPr>
          <w:sz w:val="24"/>
        </w:rPr>
        <w:t>采购人按评标报告确定的中标候选人名单中按顺序确定中标人。评标委员会确定的中标候选人的人数见投标人须知前附表。</w:t>
      </w:r>
    </w:p>
    <w:p>
      <w:pPr>
        <w:numPr>
          <w:ilvl w:val="1"/>
          <w:numId w:val="1"/>
        </w:numPr>
        <w:autoSpaceDE w:val="0"/>
        <w:autoSpaceDN w:val="0"/>
        <w:adjustRightInd w:val="0"/>
        <w:snapToGrid w:val="0"/>
        <w:spacing w:after="120" w:afterLines="50" w:line="360" w:lineRule="auto"/>
        <w:ind w:left="1680" w:hanging="1680" w:hangingChars="700"/>
        <w:rPr>
          <w:kern w:val="0"/>
          <w:sz w:val="24"/>
        </w:rPr>
      </w:pPr>
      <w:r>
        <w:rPr>
          <w:kern w:val="0"/>
          <w:sz w:val="24"/>
        </w:rPr>
        <w:t>中标公告</w:t>
      </w:r>
    </w:p>
    <w:p>
      <w:pPr>
        <w:numPr>
          <w:ilvl w:val="2"/>
          <w:numId w:val="1"/>
        </w:numPr>
        <w:tabs>
          <w:tab w:val="left" w:pos="1260"/>
        </w:tabs>
        <w:autoSpaceDE w:val="0"/>
        <w:autoSpaceDN w:val="0"/>
        <w:adjustRightInd w:val="0"/>
        <w:snapToGrid w:val="0"/>
        <w:spacing w:after="120" w:afterLines="50" w:line="360" w:lineRule="auto"/>
        <w:rPr>
          <w:sz w:val="24"/>
        </w:rPr>
      </w:pPr>
      <w:r>
        <w:rPr>
          <w:sz w:val="24"/>
        </w:rPr>
        <w:t>采购人或者采购代理机构应当自中标人确定之日起2个工作日内，在省级以上财政部门指定的媒体上公告中标结果。</w:t>
      </w:r>
    </w:p>
    <w:p>
      <w:pPr>
        <w:tabs>
          <w:tab w:val="left" w:pos="1260"/>
        </w:tabs>
        <w:autoSpaceDE w:val="0"/>
        <w:autoSpaceDN w:val="0"/>
        <w:adjustRightInd w:val="0"/>
        <w:snapToGrid w:val="0"/>
        <w:spacing w:after="120" w:afterLines="50" w:line="360" w:lineRule="auto"/>
        <w:ind w:left="1134"/>
        <w:rPr>
          <w:sz w:val="24"/>
        </w:rPr>
      </w:pPr>
      <w:r>
        <w:rPr>
          <w:sz w:val="24"/>
        </w:rPr>
        <w:t>中标公告期限为1个工作日。</w:t>
      </w:r>
    </w:p>
    <w:p>
      <w:pPr>
        <w:numPr>
          <w:ilvl w:val="2"/>
          <w:numId w:val="1"/>
        </w:numPr>
        <w:tabs>
          <w:tab w:val="left" w:pos="1260"/>
        </w:tabs>
        <w:autoSpaceDE w:val="0"/>
        <w:autoSpaceDN w:val="0"/>
        <w:adjustRightInd w:val="0"/>
        <w:snapToGrid w:val="0"/>
        <w:spacing w:after="120" w:afterLines="50" w:line="360" w:lineRule="auto"/>
        <w:rPr>
          <w:sz w:val="24"/>
        </w:rPr>
      </w:pPr>
      <w:r>
        <w:rPr>
          <w:kern w:val="0"/>
          <w:sz w:val="24"/>
        </w:rPr>
        <w:t>投标人认为中标结果使自己的权益受到损害的，在中标公告期限届满之日</w:t>
      </w:r>
      <w:r>
        <w:rPr>
          <w:sz w:val="24"/>
        </w:rPr>
        <w:t>起七个工作日内，按本须知2.5款接收质疑函的方式以书面形式一次性提出对中标结果的质疑。</w:t>
      </w:r>
    </w:p>
    <w:p>
      <w:pPr>
        <w:numPr>
          <w:ilvl w:val="1"/>
          <w:numId w:val="1"/>
        </w:numPr>
        <w:autoSpaceDE w:val="0"/>
        <w:autoSpaceDN w:val="0"/>
        <w:adjustRightInd w:val="0"/>
        <w:snapToGrid w:val="0"/>
        <w:spacing w:after="120" w:afterLines="50" w:line="360" w:lineRule="auto"/>
        <w:ind w:left="1680" w:hanging="1680" w:hangingChars="700"/>
        <w:rPr>
          <w:kern w:val="0"/>
          <w:sz w:val="24"/>
        </w:rPr>
      </w:pPr>
      <w:bookmarkStart w:id="143" w:name="_Toc195921832"/>
      <w:r>
        <w:rPr>
          <w:kern w:val="0"/>
          <w:sz w:val="24"/>
        </w:rPr>
        <w:t>中标通知</w:t>
      </w:r>
      <w:bookmarkEnd w:id="143"/>
    </w:p>
    <w:p>
      <w:pPr>
        <w:tabs>
          <w:tab w:val="left" w:pos="1260"/>
        </w:tabs>
        <w:autoSpaceDE w:val="0"/>
        <w:autoSpaceDN w:val="0"/>
        <w:adjustRightInd w:val="0"/>
        <w:snapToGrid w:val="0"/>
        <w:spacing w:after="120" w:afterLines="50" w:line="360" w:lineRule="auto"/>
        <w:ind w:left="1134"/>
        <w:rPr>
          <w:kern w:val="0"/>
          <w:sz w:val="24"/>
        </w:rPr>
      </w:pPr>
      <w:r>
        <w:rPr>
          <w:kern w:val="0"/>
          <w:sz w:val="24"/>
        </w:rPr>
        <w:t>在公告中标结果的同时，采购人以书面形式向中标人发出中标通知书，同时将中标结果通知未中标的投标人。</w:t>
      </w:r>
    </w:p>
    <w:p>
      <w:pPr>
        <w:tabs>
          <w:tab w:val="left" w:pos="1260"/>
        </w:tabs>
        <w:autoSpaceDE w:val="0"/>
        <w:autoSpaceDN w:val="0"/>
        <w:adjustRightInd w:val="0"/>
        <w:snapToGrid w:val="0"/>
        <w:spacing w:after="120" w:afterLines="50" w:line="360" w:lineRule="auto"/>
        <w:ind w:left="1134"/>
        <w:rPr>
          <w:kern w:val="0"/>
          <w:sz w:val="24"/>
        </w:rPr>
      </w:pPr>
      <w:r>
        <w:rPr>
          <w:sz w:val="24"/>
        </w:rPr>
        <w:t>中标通知书发出后，采购人不得违法改变中标结果，中标人无正当理由不得放弃中标。</w:t>
      </w:r>
    </w:p>
    <w:p>
      <w:pPr>
        <w:numPr>
          <w:ilvl w:val="1"/>
          <w:numId w:val="1"/>
        </w:numPr>
        <w:autoSpaceDE w:val="0"/>
        <w:autoSpaceDN w:val="0"/>
        <w:adjustRightInd w:val="0"/>
        <w:snapToGrid w:val="0"/>
        <w:spacing w:after="120" w:afterLines="50" w:line="360" w:lineRule="auto"/>
        <w:ind w:left="1133" w:hanging="1132" w:hangingChars="472"/>
        <w:rPr>
          <w:kern w:val="0"/>
          <w:sz w:val="24"/>
        </w:rPr>
      </w:pPr>
      <w:r>
        <w:rPr>
          <w:kern w:val="0"/>
          <w:sz w:val="24"/>
        </w:rPr>
        <w:t>履约保证金</w:t>
      </w:r>
    </w:p>
    <w:p>
      <w:pPr>
        <w:numPr>
          <w:ilvl w:val="2"/>
          <w:numId w:val="1"/>
        </w:numPr>
        <w:tabs>
          <w:tab w:val="left" w:pos="1260"/>
        </w:tabs>
        <w:autoSpaceDE w:val="0"/>
        <w:autoSpaceDN w:val="0"/>
        <w:adjustRightInd w:val="0"/>
        <w:snapToGrid w:val="0"/>
        <w:spacing w:after="120" w:afterLines="50" w:line="360" w:lineRule="auto"/>
        <w:rPr>
          <w:kern w:val="0"/>
          <w:sz w:val="24"/>
        </w:rPr>
      </w:pPr>
      <w:bookmarkStart w:id="144" w:name="_Ref421009348"/>
      <w:r>
        <w:rPr>
          <w:kern w:val="0"/>
          <w:sz w:val="24"/>
        </w:rPr>
        <w:t>在签订合同前，中标人应按投标人须知前附表规定的金额、担保形式和招标文件第四章“合同条款及格式”规定的履约保证金格式向采购人提交履约保证金。</w:t>
      </w:r>
      <w:bookmarkEnd w:id="144"/>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中标人不能按本章第</w:t>
      </w:r>
      <w:r>
        <w:rPr>
          <w:rFonts w:hint="eastAsia"/>
          <w:kern w:val="0"/>
          <w:sz w:val="24"/>
        </w:rPr>
        <w:t>8.4.1</w:t>
      </w:r>
      <w:r>
        <w:rPr>
          <w:kern w:val="0"/>
          <w:sz w:val="24"/>
        </w:rPr>
        <w:t>项要求提交履约保证金的，视为放弃中标，其投标保证金不予退还，给采购人造成的损失超过投标保证金数额的，中标人还应当对超过部分予以赔偿。</w:t>
      </w:r>
    </w:p>
    <w:p>
      <w:pPr>
        <w:numPr>
          <w:ilvl w:val="1"/>
          <w:numId w:val="1"/>
        </w:numPr>
        <w:autoSpaceDE w:val="0"/>
        <w:autoSpaceDN w:val="0"/>
        <w:adjustRightInd w:val="0"/>
        <w:snapToGrid w:val="0"/>
        <w:spacing w:after="120" w:afterLines="50" w:line="360" w:lineRule="auto"/>
        <w:ind w:left="1133" w:hanging="1132" w:hangingChars="472"/>
        <w:rPr>
          <w:kern w:val="0"/>
          <w:sz w:val="24"/>
        </w:rPr>
      </w:pPr>
      <w:bookmarkStart w:id="145" w:name="_Toc195921834"/>
      <w:r>
        <w:rPr>
          <w:kern w:val="0"/>
          <w:sz w:val="24"/>
        </w:rPr>
        <w:t>签订合同</w:t>
      </w:r>
      <w:bookmarkEnd w:id="145"/>
    </w:p>
    <w:p>
      <w:pPr>
        <w:numPr>
          <w:ilvl w:val="2"/>
          <w:numId w:val="1"/>
        </w:numPr>
        <w:tabs>
          <w:tab w:val="left" w:pos="1260"/>
        </w:tabs>
        <w:autoSpaceDE w:val="0"/>
        <w:autoSpaceDN w:val="0"/>
        <w:adjustRightInd w:val="0"/>
        <w:snapToGrid w:val="0"/>
        <w:spacing w:after="120" w:afterLines="50" w:line="360" w:lineRule="auto"/>
        <w:rPr>
          <w:kern w:val="0"/>
          <w:sz w:val="24"/>
        </w:rPr>
      </w:pPr>
      <w:r>
        <w:rPr>
          <w:sz w:val="24"/>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napToGrid w:val="0"/>
        <w:spacing w:after="120" w:afterLines="50" w:line="360" w:lineRule="auto"/>
        <w:ind w:left="1134"/>
        <w:rPr>
          <w:sz w:val="24"/>
        </w:rPr>
      </w:pPr>
      <w:r>
        <w:rPr>
          <w:sz w:val="24"/>
        </w:rPr>
        <w:t>采购人不得向中标人提出任何不合理的要求作为签订合同的条件。</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中标或者成交供应商拒绝与采购人签订合同的，采购人可以按照评审报告推荐的中标或者成交候选人名单排序，确定下一候选人为中标或者成交供应商，也可以重新开展政府采购活动。中标人无正当理由拒签合同的，采购人取消其中标资格，其投标保证金不予退还；给采购人造成的损失超过投标保证金数额的，中标人还应当对超过部分予以赔偿。</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发出中标通知书后，采购人无正当理由拒签合同的，采购人向中标人退还投标保证金；给中标人造成损失的，还应当赔偿损失。</w:t>
      </w:r>
    </w:p>
    <w:p>
      <w:pPr>
        <w:numPr>
          <w:ilvl w:val="2"/>
          <w:numId w:val="1"/>
        </w:numPr>
        <w:tabs>
          <w:tab w:val="left" w:pos="1260"/>
        </w:tabs>
        <w:autoSpaceDE w:val="0"/>
        <w:autoSpaceDN w:val="0"/>
        <w:adjustRightInd w:val="0"/>
        <w:snapToGrid w:val="0"/>
        <w:spacing w:after="120" w:afterLines="50" w:line="360" w:lineRule="auto"/>
        <w:rPr>
          <w:kern w:val="0"/>
          <w:sz w:val="24"/>
        </w:rPr>
      </w:pPr>
      <w:r>
        <w:rPr>
          <w:kern w:val="0"/>
          <w:sz w:val="24"/>
        </w:rPr>
        <w:t>依据《政府采购促进中小企业发展管理办法》（财库〔2020〕46号）</w:t>
      </w:r>
      <w:r>
        <w:rPr>
          <w:rFonts w:hint="eastAsia"/>
          <w:kern w:val="0"/>
          <w:sz w:val="24"/>
        </w:rPr>
        <w:t>及《关于进一步加大政府采购支持中小企业力度的通知》（财库〔2022〕19号）</w:t>
      </w:r>
      <w:r>
        <w:rPr>
          <w:kern w:val="0"/>
          <w:sz w:val="24"/>
        </w:rPr>
        <w:t>规定享受扶持政策获得政府采购合同的，小微企业不得将合同分包给大中型企业，中型企业不得将合同分包给大型企业。</w:t>
      </w:r>
    </w:p>
    <w:p>
      <w:pPr>
        <w:numPr>
          <w:ilvl w:val="0"/>
          <w:numId w:val="1"/>
        </w:numPr>
        <w:autoSpaceDE w:val="0"/>
        <w:autoSpaceDN w:val="0"/>
        <w:adjustRightInd w:val="0"/>
        <w:spacing w:after="120" w:afterLines="50" w:line="360" w:lineRule="auto"/>
        <w:outlineLvl w:val="2"/>
        <w:rPr>
          <w:rFonts w:eastAsia="黑体"/>
          <w:kern w:val="0"/>
          <w:sz w:val="24"/>
        </w:rPr>
      </w:pPr>
      <w:bookmarkStart w:id="146" w:name="_Toc2343"/>
      <w:bookmarkStart w:id="147" w:name="_Toc17958"/>
      <w:bookmarkStart w:id="148" w:name="_Toc195921838"/>
      <w:bookmarkStart w:id="149" w:name="_Toc28634"/>
      <w:r>
        <w:rPr>
          <w:rFonts w:eastAsia="黑体"/>
          <w:kern w:val="0"/>
          <w:sz w:val="24"/>
        </w:rPr>
        <w:t>纪律和监督</w:t>
      </w:r>
      <w:bookmarkEnd w:id="146"/>
      <w:bookmarkEnd w:id="147"/>
      <w:bookmarkEnd w:id="148"/>
      <w:bookmarkEnd w:id="149"/>
    </w:p>
    <w:p>
      <w:pPr>
        <w:numPr>
          <w:ilvl w:val="1"/>
          <w:numId w:val="1"/>
        </w:numPr>
        <w:autoSpaceDE w:val="0"/>
        <w:autoSpaceDN w:val="0"/>
        <w:adjustRightInd w:val="0"/>
        <w:snapToGrid w:val="0"/>
        <w:spacing w:after="120" w:afterLines="50" w:line="360" w:lineRule="auto"/>
        <w:ind w:left="1133" w:hanging="1132" w:hangingChars="472"/>
        <w:rPr>
          <w:kern w:val="0"/>
          <w:sz w:val="24"/>
        </w:rPr>
      </w:pPr>
      <w:bookmarkStart w:id="150" w:name="_Toc195921839"/>
      <w:r>
        <w:rPr>
          <w:kern w:val="0"/>
          <w:sz w:val="24"/>
        </w:rPr>
        <w:t>对采购人的要求</w:t>
      </w:r>
      <w:bookmarkEnd w:id="150"/>
    </w:p>
    <w:p>
      <w:pPr>
        <w:tabs>
          <w:tab w:val="left" w:pos="1260"/>
        </w:tabs>
        <w:autoSpaceDE w:val="0"/>
        <w:autoSpaceDN w:val="0"/>
        <w:adjustRightInd w:val="0"/>
        <w:snapToGrid w:val="0"/>
        <w:spacing w:after="120" w:afterLines="50" w:line="360" w:lineRule="auto"/>
        <w:ind w:left="1134"/>
        <w:rPr>
          <w:kern w:val="0"/>
          <w:sz w:val="24"/>
        </w:rPr>
      </w:pPr>
      <w:r>
        <w:rPr>
          <w:sz w:val="24"/>
        </w:rPr>
        <w:t>采购人在政府采购活动中应当维护国家利益和社会公共利益，公正廉洁，诚实守信，执行政府采购政策。采购人不得向投标人索要或者接受其给予的赠品、回扣或者与采购无关的其他商品、服务</w:t>
      </w:r>
      <w:r>
        <w:rPr>
          <w:kern w:val="0"/>
          <w:sz w:val="24"/>
        </w:rPr>
        <w:t>。</w:t>
      </w:r>
    </w:p>
    <w:p>
      <w:pPr>
        <w:numPr>
          <w:ilvl w:val="1"/>
          <w:numId w:val="1"/>
        </w:numPr>
        <w:autoSpaceDE w:val="0"/>
        <w:autoSpaceDN w:val="0"/>
        <w:adjustRightInd w:val="0"/>
        <w:snapToGrid w:val="0"/>
        <w:spacing w:after="120" w:afterLines="50" w:line="360" w:lineRule="auto"/>
        <w:ind w:left="1133" w:hanging="1132" w:hangingChars="472"/>
        <w:rPr>
          <w:kern w:val="0"/>
          <w:sz w:val="24"/>
        </w:rPr>
      </w:pPr>
      <w:bookmarkStart w:id="151" w:name="_Toc195921840"/>
      <w:r>
        <w:rPr>
          <w:kern w:val="0"/>
          <w:sz w:val="24"/>
        </w:rPr>
        <w:t>对采购代理机构的要求</w:t>
      </w:r>
    </w:p>
    <w:p>
      <w:pPr>
        <w:tabs>
          <w:tab w:val="left" w:pos="1260"/>
        </w:tabs>
        <w:autoSpaceDE w:val="0"/>
        <w:autoSpaceDN w:val="0"/>
        <w:adjustRightInd w:val="0"/>
        <w:snapToGrid w:val="0"/>
        <w:spacing w:after="120" w:afterLines="50" w:line="360" w:lineRule="auto"/>
        <w:ind w:left="1134"/>
        <w:rPr>
          <w:sz w:val="24"/>
        </w:rPr>
      </w:pPr>
      <w:r>
        <w:rPr>
          <w:sz w:val="24"/>
        </w:rPr>
        <w:t>采购代理机构不得与采购人、投标人恶意串通操纵政府采购活动。</w:t>
      </w:r>
    </w:p>
    <w:p>
      <w:pPr>
        <w:tabs>
          <w:tab w:val="left" w:pos="1260"/>
        </w:tabs>
        <w:autoSpaceDE w:val="0"/>
        <w:autoSpaceDN w:val="0"/>
        <w:adjustRightInd w:val="0"/>
        <w:snapToGrid w:val="0"/>
        <w:spacing w:after="120" w:afterLines="50" w:line="360" w:lineRule="auto"/>
        <w:ind w:left="1134"/>
        <w:rPr>
          <w:sz w:val="24"/>
        </w:rPr>
      </w:pPr>
      <w:r>
        <w:rPr>
          <w:sz w:val="24"/>
        </w:rPr>
        <w:t>采购代理机构工作人员不得接受采购人或者投标人组织的宴请、旅游、娱乐，不得收受礼品、现金、有价证券等，不得向采购人或者投标人报销应当由个人承担的费用。</w:t>
      </w:r>
    </w:p>
    <w:p>
      <w:pPr>
        <w:numPr>
          <w:ilvl w:val="1"/>
          <w:numId w:val="1"/>
        </w:numPr>
        <w:autoSpaceDE w:val="0"/>
        <w:autoSpaceDN w:val="0"/>
        <w:adjustRightInd w:val="0"/>
        <w:snapToGrid w:val="0"/>
        <w:spacing w:after="120" w:afterLines="50" w:line="360" w:lineRule="auto"/>
        <w:ind w:left="1133" w:hanging="1132" w:hangingChars="472"/>
        <w:rPr>
          <w:kern w:val="0"/>
          <w:sz w:val="24"/>
        </w:rPr>
      </w:pPr>
      <w:r>
        <w:rPr>
          <w:kern w:val="0"/>
          <w:sz w:val="24"/>
        </w:rPr>
        <w:t>对投标人的纪律要求</w:t>
      </w:r>
      <w:bookmarkEnd w:id="151"/>
    </w:p>
    <w:p>
      <w:pPr>
        <w:tabs>
          <w:tab w:val="left" w:pos="1260"/>
        </w:tabs>
        <w:autoSpaceDE w:val="0"/>
        <w:autoSpaceDN w:val="0"/>
        <w:adjustRightInd w:val="0"/>
        <w:snapToGrid w:val="0"/>
        <w:spacing w:after="120" w:afterLines="50" w:line="360" w:lineRule="auto"/>
        <w:ind w:left="1134"/>
        <w:rPr>
          <w:kern w:val="0"/>
          <w:sz w:val="24"/>
        </w:rPr>
      </w:pPr>
      <w:r>
        <w:rPr>
          <w:kern w:val="0"/>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pPr>
        <w:numPr>
          <w:ilvl w:val="1"/>
          <w:numId w:val="1"/>
        </w:numPr>
        <w:autoSpaceDE w:val="0"/>
        <w:autoSpaceDN w:val="0"/>
        <w:adjustRightInd w:val="0"/>
        <w:snapToGrid w:val="0"/>
        <w:spacing w:after="120" w:afterLines="50" w:line="360" w:lineRule="auto"/>
        <w:ind w:left="1133" w:hanging="1132" w:hangingChars="472"/>
        <w:rPr>
          <w:kern w:val="0"/>
          <w:sz w:val="24"/>
        </w:rPr>
      </w:pPr>
      <w:bookmarkStart w:id="152" w:name="_Toc195921841"/>
      <w:r>
        <w:rPr>
          <w:kern w:val="0"/>
          <w:sz w:val="24"/>
        </w:rPr>
        <w:t>评标委员会及其成员不得有下列行为</w:t>
      </w:r>
      <w:bookmarkEnd w:id="152"/>
    </w:p>
    <w:p>
      <w:pPr>
        <w:snapToGrid w:val="0"/>
        <w:spacing w:after="120" w:afterLines="50" w:line="360" w:lineRule="auto"/>
        <w:ind w:left="1840" w:leftChars="539" w:hanging="708" w:hangingChars="295"/>
        <w:rPr>
          <w:sz w:val="24"/>
        </w:rPr>
      </w:pPr>
      <w:r>
        <w:rPr>
          <w:sz w:val="24"/>
        </w:rPr>
        <w:t>（1）</w:t>
      </w:r>
      <w:r>
        <w:rPr>
          <w:sz w:val="24"/>
        </w:rPr>
        <w:tab/>
      </w:r>
      <w:r>
        <w:rPr>
          <w:sz w:val="24"/>
        </w:rPr>
        <w:t>确定参与评标至评标结束前私自接触投标人；</w:t>
      </w:r>
    </w:p>
    <w:p>
      <w:pPr>
        <w:snapToGrid w:val="0"/>
        <w:spacing w:after="120" w:afterLines="50" w:line="360" w:lineRule="auto"/>
        <w:ind w:left="1840" w:leftChars="539" w:hanging="708" w:hangingChars="295"/>
        <w:rPr>
          <w:sz w:val="24"/>
        </w:rPr>
      </w:pPr>
      <w:r>
        <w:rPr>
          <w:sz w:val="24"/>
        </w:rPr>
        <w:t>（2）</w:t>
      </w:r>
      <w:r>
        <w:rPr>
          <w:sz w:val="24"/>
        </w:rPr>
        <w:tab/>
      </w:r>
      <w:r>
        <w:rPr>
          <w:sz w:val="24"/>
        </w:rPr>
        <w:t>接受投标人提出的与投标文件不一致的澄清或者说明，评标委员会要求投标人作出必要的澄清、说明或者补正的情形除外；</w:t>
      </w:r>
    </w:p>
    <w:p>
      <w:pPr>
        <w:snapToGrid w:val="0"/>
        <w:spacing w:after="120" w:afterLines="50" w:line="360" w:lineRule="auto"/>
        <w:ind w:left="1840" w:leftChars="539" w:hanging="708" w:hangingChars="295"/>
        <w:rPr>
          <w:sz w:val="24"/>
        </w:rPr>
      </w:pPr>
      <w:r>
        <w:rPr>
          <w:sz w:val="24"/>
        </w:rPr>
        <w:t>（3）</w:t>
      </w:r>
      <w:r>
        <w:rPr>
          <w:sz w:val="24"/>
        </w:rPr>
        <w:tab/>
      </w:r>
      <w:r>
        <w:rPr>
          <w:sz w:val="24"/>
        </w:rPr>
        <w:t>违反评标纪律发表倾向性意见或者征询采购人的倾向性意见；</w:t>
      </w:r>
    </w:p>
    <w:p>
      <w:pPr>
        <w:snapToGrid w:val="0"/>
        <w:spacing w:after="120" w:afterLines="50" w:line="360" w:lineRule="auto"/>
        <w:ind w:left="1840" w:leftChars="539" w:hanging="708" w:hangingChars="295"/>
        <w:rPr>
          <w:sz w:val="24"/>
        </w:rPr>
      </w:pPr>
      <w:r>
        <w:rPr>
          <w:sz w:val="24"/>
        </w:rPr>
        <w:t>（4）</w:t>
      </w:r>
      <w:r>
        <w:rPr>
          <w:sz w:val="24"/>
        </w:rPr>
        <w:tab/>
      </w:r>
      <w:r>
        <w:rPr>
          <w:sz w:val="24"/>
        </w:rPr>
        <w:t>对需要专业判断的主观评审因素协商评分；</w:t>
      </w:r>
    </w:p>
    <w:p>
      <w:pPr>
        <w:snapToGrid w:val="0"/>
        <w:spacing w:after="120" w:afterLines="50" w:line="360" w:lineRule="auto"/>
        <w:ind w:left="1840" w:leftChars="539" w:hanging="708" w:hangingChars="295"/>
        <w:rPr>
          <w:sz w:val="24"/>
        </w:rPr>
      </w:pPr>
      <w:r>
        <w:rPr>
          <w:sz w:val="24"/>
        </w:rPr>
        <w:t>（5）</w:t>
      </w:r>
      <w:r>
        <w:rPr>
          <w:sz w:val="24"/>
        </w:rPr>
        <w:tab/>
      </w:r>
      <w:r>
        <w:rPr>
          <w:sz w:val="24"/>
        </w:rPr>
        <w:t>在评标过程中擅离职守，影响评标程序正常进行的；</w:t>
      </w:r>
    </w:p>
    <w:p>
      <w:pPr>
        <w:snapToGrid w:val="0"/>
        <w:spacing w:after="120" w:afterLines="50" w:line="360" w:lineRule="auto"/>
        <w:ind w:left="1840" w:leftChars="539" w:hanging="708" w:hangingChars="295"/>
        <w:rPr>
          <w:sz w:val="24"/>
        </w:rPr>
      </w:pPr>
      <w:r>
        <w:rPr>
          <w:sz w:val="24"/>
        </w:rPr>
        <w:t>（6）</w:t>
      </w:r>
      <w:r>
        <w:rPr>
          <w:sz w:val="24"/>
        </w:rPr>
        <w:tab/>
      </w:r>
      <w:r>
        <w:rPr>
          <w:sz w:val="24"/>
        </w:rPr>
        <w:t>记录、复制或者带走任何评标资料；</w:t>
      </w:r>
    </w:p>
    <w:p>
      <w:pPr>
        <w:snapToGrid w:val="0"/>
        <w:spacing w:after="120" w:afterLines="50" w:line="360" w:lineRule="auto"/>
        <w:ind w:left="1840" w:leftChars="539" w:hanging="708" w:hangingChars="295"/>
        <w:rPr>
          <w:sz w:val="24"/>
        </w:rPr>
      </w:pPr>
      <w:r>
        <w:rPr>
          <w:sz w:val="24"/>
        </w:rPr>
        <w:t>（7）</w:t>
      </w:r>
      <w:r>
        <w:rPr>
          <w:sz w:val="24"/>
        </w:rPr>
        <w:tab/>
      </w:r>
      <w:r>
        <w:rPr>
          <w:sz w:val="24"/>
        </w:rPr>
        <w:t>其他不遵守评标纪律的行为。</w:t>
      </w:r>
    </w:p>
    <w:p>
      <w:pPr>
        <w:numPr>
          <w:ilvl w:val="1"/>
          <w:numId w:val="1"/>
        </w:numPr>
        <w:autoSpaceDE w:val="0"/>
        <w:autoSpaceDN w:val="0"/>
        <w:adjustRightInd w:val="0"/>
        <w:snapToGrid w:val="0"/>
        <w:spacing w:after="120" w:afterLines="50" w:line="360" w:lineRule="auto"/>
        <w:ind w:left="1133" w:hanging="1132" w:hangingChars="472"/>
        <w:rPr>
          <w:kern w:val="0"/>
          <w:sz w:val="24"/>
        </w:rPr>
      </w:pPr>
      <w:bookmarkStart w:id="153" w:name="_Toc195921842"/>
      <w:r>
        <w:rPr>
          <w:kern w:val="0"/>
          <w:sz w:val="24"/>
        </w:rPr>
        <w:t>对与评标活动有关的工作人员的纪律要求</w:t>
      </w:r>
      <w:bookmarkEnd w:id="153"/>
    </w:p>
    <w:p>
      <w:pPr>
        <w:tabs>
          <w:tab w:val="left" w:pos="1260"/>
        </w:tabs>
        <w:autoSpaceDE w:val="0"/>
        <w:autoSpaceDN w:val="0"/>
        <w:adjustRightInd w:val="0"/>
        <w:snapToGrid w:val="0"/>
        <w:spacing w:after="120" w:afterLines="50" w:line="360" w:lineRule="auto"/>
        <w:ind w:left="1134"/>
        <w:rPr>
          <w:kern w:val="0"/>
          <w:sz w:val="24"/>
        </w:rPr>
      </w:pPr>
      <w:r>
        <w:rPr>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1"/>
        </w:numPr>
        <w:autoSpaceDE w:val="0"/>
        <w:autoSpaceDN w:val="0"/>
        <w:adjustRightInd w:val="0"/>
        <w:snapToGrid w:val="0"/>
        <w:spacing w:after="120" w:afterLines="50" w:line="360" w:lineRule="auto"/>
        <w:ind w:left="1920" w:hanging="1920" w:hangingChars="800"/>
        <w:rPr>
          <w:kern w:val="0"/>
          <w:sz w:val="24"/>
        </w:rPr>
      </w:pPr>
      <w:bookmarkStart w:id="154" w:name="_Toc195921843"/>
      <w:r>
        <w:rPr>
          <w:kern w:val="0"/>
          <w:sz w:val="24"/>
        </w:rPr>
        <w:t>投诉</w:t>
      </w:r>
      <w:bookmarkEnd w:id="154"/>
    </w:p>
    <w:p>
      <w:pPr>
        <w:tabs>
          <w:tab w:val="left" w:pos="1260"/>
        </w:tabs>
        <w:autoSpaceDE w:val="0"/>
        <w:autoSpaceDN w:val="0"/>
        <w:adjustRightInd w:val="0"/>
        <w:snapToGrid w:val="0"/>
        <w:spacing w:after="120" w:afterLines="50" w:line="360" w:lineRule="auto"/>
        <w:ind w:left="1134"/>
        <w:rPr>
          <w:kern w:val="0"/>
          <w:sz w:val="24"/>
        </w:rPr>
      </w:pPr>
      <w:r>
        <w:rPr>
          <w:kern w:val="0"/>
          <w:sz w:val="24"/>
        </w:rPr>
        <w:t>投标人和其他利害关系人认为本次招标活动违反法律、法规和规章规定的，有权向有关行政监督部门投诉。</w:t>
      </w:r>
    </w:p>
    <w:p>
      <w:pPr>
        <w:numPr>
          <w:ilvl w:val="0"/>
          <w:numId w:val="1"/>
        </w:numPr>
        <w:autoSpaceDE w:val="0"/>
        <w:autoSpaceDN w:val="0"/>
        <w:adjustRightInd w:val="0"/>
        <w:spacing w:after="120" w:afterLines="50" w:line="360" w:lineRule="auto"/>
        <w:outlineLvl w:val="2"/>
        <w:rPr>
          <w:rFonts w:eastAsia="黑体"/>
          <w:kern w:val="0"/>
          <w:sz w:val="24"/>
        </w:rPr>
      </w:pPr>
      <w:bookmarkStart w:id="155" w:name="_Toc25557"/>
      <w:bookmarkStart w:id="156" w:name="_Toc7526"/>
      <w:bookmarkStart w:id="157" w:name="_Toc195921844"/>
      <w:bookmarkStart w:id="158" w:name="_Toc29652"/>
      <w:r>
        <w:rPr>
          <w:rFonts w:eastAsia="黑体"/>
          <w:kern w:val="0"/>
          <w:sz w:val="24"/>
        </w:rPr>
        <w:t>需要补充的其他内容</w:t>
      </w:r>
      <w:bookmarkEnd w:id="155"/>
      <w:bookmarkEnd w:id="156"/>
      <w:bookmarkEnd w:id="157"/>
      <w:bookmarkEnd w:id="158"/>
    </w:p>
    <w:p>
      <w:pPr>
        <w:numPr>
          <w:ilvl w:val="0"/>
          <w:numId w:val="7"/>
        </w:numPr>
        <w:tabs>
          <w:tab w:val="left" w:pos="1843"/>
        </w:tabs>
        <w:autoSpaceDE w:val="0"/>
        <w:autoSpaceDN w:val="0"/>
        <w:adjustRightInd w:val="0"/>
        <w:snapToGrid w:val="0"/>
        <w:spacing w:after="120" w:afterLines="50" w:line="360" w:lineRule="auto"/>
        <w:ind w:left="1843" w:hanging="822"/>
        <w:rPr>
          <w:kern w:val="0"/>
          <w:sz w:val="24"/>
        </w:rPr>
      </w:pPr>
      <w:r>
        <w:rPr>
          <w:kern w:val="0"/>
          <w:sz w:val="24"/>
        </w:rPr>
        <w:t>投标人中标后须向招标代理机构交纳招标服务费。</w:t>
      </w:r>
      <w:r>
        <w:rPr>
          <w:rFonts w:hint="eastAsia"/>
          <w:kern w:val="0"/>
          <w:sz w:val="24"/>
        </w:rPr>
        <w:t>具体</w:t>
      </w:r>
      <w:r>
        <w:rPr>
          <w:kern w:val="0"/>
          <w:sz w:val="24"/>
        </w:rPr>
        <w:t>见投标人须知前附表。</w:t>
      </w:r>
    </w:p>
    <w:p>
      <w:pPr>
        <w:numPr>
          <w:ilvl w:val="0"/>
          <w:numId w:val="7"/>
        </w:numPr>
        <w:tabs>
          <w:tab w:val="left" w:pos="1843"/>
        </w:tabs>
        <w:autoSpaceDE w:val="0"/>
        <w:autoSpaceDN w:val="0"/>
        <w:adjustRightInd w:val="0"/>
        <w:snapToGrid w:val="0"/>
        <w:spacing w:after="120" w:afterLines="50" w:line="360" w:lineRule="auto"/>
        <w:ind w:left="1843" w:hanging="822"/>
        <w:rPr>
          <w:kern w:val="0"/>
          <w:sz w:val="24"/>
        </w:rPr>
      </w:pPr>
      <w:r>
        <w:rPr>
          <w:kern w:val="0"/>
          <w:sz w:val="24"/>
        </w:rPr>
        <w:t>需要补充的其他内容：见投标人须知前附表。</w:t>
      </w:r>
    </w:p>
    <w:p>
      <w:pPr>
        <w:autoSpaceDE w:val="0"/>
        <w:autoSpaceDN w:val="0"/>
        <w:adjustRightInd w:val="0"/>
        <w:snapToGrid w:val="0"/>
        <w:spacing w:after="120" w:afterLines="50"/>
        <w:jc w:val="center"/>
        <w:outlineLvl w:val="0"/>
        <w:rPr>
          <w:kern w:val="0"/>
          <w:sz w:val="32"/>
          <w:szCs w:val="32"/>
        </w:rPr>
      </w:pPr>
      <w:r>
        <w:br w:type="page"/>
      </w:r>
      <w:bookmarkStart w:id="159" w:name="_Toc195921851"/>
      <w:bookmarkStart w:id="160" w:name="_Toc28166"/>
      <w:bookmarkStart w:id="161" w:name="_Toc14881"/>
      <w:bookmarkStart w:id="162" w:name="_Toc29029"/>
      <w:r>
        <w:rPr>
          <w:rFonts w:eastAsia="黑体"/>
          <w:kern w:val="0"/>
          <w:sz w:val="32"/>
          <w:szCs w:val="32"/>
        </w:rPr>
        <w:t>第三章 资格审查、评标办法</w:t>
      </w:r>
      <w:bookmarkEnd w:id="159"/>
      <w:r>
        <w:rPr>
          <w:rFonts w:eastAsia="黑体"/>
          <w:kern w:val="0"/>
          <w:sz w:val="32"/>
          <w:szCs w:val="32"/>
        </w:rPr>
        <w:t>和标准</w:t>
      </w:r>
      <w:bookmarkEnd w:id="160"/>
      <w:bookmarkEnd w:id="161"/>
      <w:bookmarkEnd w:id="162"/>
    </w:p>
    <w:p>
      <w:pPr>
        <w:autoSpaceDE w:val="0"/>
        <w:autoSpaceDN w:val="0"/>
        <w:adjustRightInd w:val="0"/>
        <w:snapToGrid w:val="0"/>
        <w:spacing w:after="120" w:afterLines="50"/>
        <w:jc w:val="left"/>
        <w:rPr>
          <w:kern w:val="0"/>
          <w:szCs w:val="21"/>
        </w:rPr>
      </w:pPr>
    </w:p>
    <w:p>
      <w:pPr>
        <w:numPr>
          <w:ilvl w:val="0"/>
          <w:numId w:val="8"/>
        </w:numPr>
        <w:tabs>
          <w:tab w:val="left" w:pos="993"/>
        </w:tabs>
        <w:autoSpaceDE w:val="0"/>
        <w:autoSpaceDN w:val="0"/>
        <w:adjustRightInd w:val="0"/>
        <w:snapToGrid w:val="0"/>
        <w:spacing w:after="120" w:afterLines="50"/>
        <w:ind w:left="993" w:hanging="993"/>
        <w:jc w:val="left"/>
        <w:outlineLvl w:val="1"/>
        <w:rPr>
          <w:rFonts w:eastAsia="黑体"/>
          <w:kern w:val="0"/>
          <w:sz w:val="24"/>
        </w:rPr>
      </w:pPr>
      <w:bookmarkStart w:id="163" w:name="_Toc31577"/>
      <w:bookmarkStart w:id="164" w:name="_Toc13499"/>
      <w:bookmarkStart w:id="165" w:name="_Toc7023"/>
      <w:r>
        <w:rPr>
          <w:rFonts w:eastAsia="黑体"/>
          <w:kern w:val="0"/>
          <w:sz w:val="24"/>
        </w:rPr>
        <w:t>资格审查及标准</w:t>
      </w:r>
      <w:bookmarkEnd w:id="163"/>
      <w:bookmarkEnd w:id="164"/>
      <w:bookmarkEnd w:id="165"/>
    </w:p>
    <w:p>
      <w:pPr>
        <w:autoSpaceDE w:val="0"/>
        <w:autoSpaceDN w:val="0"/>
        <w:adjustRightInd w:val="0"/>
        <w:snapToGrid w:val="0"/>
        <w:spacing w:after="120" w:afterLines="50" w:line="360" w:lineRule="auto"/>
        <w:ind w:left="991" w:leftChars="472"/>
        <w:rPr>
          <w:kern w:val="0"/>
          <w:sz w:val="24"/>
        </w:rPr>
      </w:pPr>
      <w:r>
        <w:rPr>
          <w:kern w:val="0"/>
          <w:sz w:val="24"/>
        </w:rPr>
        <w:t>详见投标人须知前附表6.1，由采购人或采购代理机构按附表一所列审查标准，对投标人资格进行审查，以确定投标人是否具备投标资格，投标人未通过资格审查的，其投标无效。</w:t>
      </w:r>
    </w:p>
    <w:p>
      <w:pPr>
        <w:numPr>
          <w:ilvl w:val="0"/>
          <w:numId w:val="8"/>
        </w:numPr>
        <w:tabs>
          <w:tab w:val="left" w:pos="993"/>
        </w:tabs>
        <w:autoSpaceDE w:val="0"/>
        <w:autoSpaceDN w:val="0"/>
        <w:adjustRightInd w:val="0"/>
        <w:snapToGrid w:val="0"/>
        <w:spacing w:after="120" w:afterLines="50" w:line="360" w:lineRule="auto"/>
        <w:ind w:left="993" w:hanging="993"/>
        <w:jc w:val="left"/>
        <w:outlineLvl w:val="1"/>
        <w:rPr>
          <w:rFonts w:eastAsia="黑体"/>
          <w:kern w:val="0"/>
          <w:sz w:val="24"/>
        </w:rPr>
      </w:pPr>
      <w:bookmarkStart w:id="166" w:name="_Toc13367"/>
      <w:bookmarkStart w:id="167" w:name="_Toc10671"/>
      <w:bookmarkStart w:id="168" w:name="_Toc25398"/>
      <w:r>
        <w:rPr>
          <w:rFonts w:eastAsia="黑体"/>
          <w:kern w:val="0"/>
          <w:sz w:val="24"/>
        </w:rPr>
        <w:t>评标方法</w:t>
      </w:r>
      <w:bookmarkEnd w:id="166"/>
      <w:bookmarkEnd w:id="167"/>
      <w:bookmarkEnd w:id="168"/>
    </w:p>
    <w:p>
      <w:pPr>
        <w:autoSpaceDE w:val="0"/>
        <w:autoSpaceDN w:val="0"/>
        <w:adjustRightInd w:val="0"/>
        <w:snapToGrid w:val="0"/>
        <w:spacing w:after="120" w:afterLines="50" w:line="360" w:lineRule="auto"/>
        <w:ind w:left="991" w:leftChars="472"/>
        <w:rPr>
          <w:kern w:val="0"/>
          <w:sz w:val="24"/>
        </w:rPr>
      </w:pPr>
      <w:bookmarkStart w:id="169" w:name="_Toc23815"/>
      <w:bookmarkStart w:id="170" w:name="_Toc12642"/>
      <w:bookmarkStart w:id="171" w:name="_Toc17609"/>
      <w:r>
        <w:rPr>
          <w:kern w:val="0"/>
          <w:sz w:val="24"/>
        </w:rPr>
        <w:t>本次评标采用综合评分法。评标委员会对满足招标文件实质性要求的投标文件，按照本章第3.3条规定的评审标准进行打分，并按得分由高到低顺序推荐中标候选人，或根据采购人授权直接确定中标人。</w:t>
      </w:r>
      <w:bookmarkEnd w:id="169"/>
      <w:bookmarkEnd w:id="170"/>
      <w:r>
        <w:rPr>
          <w:kern w:val="0"/>
          <w:sz w:val="24"/>
        </w:rPr>
        <w:t>得分相同的，按投标报价由低到高顺序排列。得分且投标报价相同的并列。中标候选人并列的，由采购人或者采购人委托评标委员会按照招标文件规定的方式确定中标人；招标文件未规定的，采取随机抽取的方式确定。</w:t>
      </w:r>
      <w:bookmarkEnd w:id="171"/>
    </w:p>
    <w:p>
      <w:pPr>
        <w:numPr>
          <w:ilvl w:val="0"/>
          <w:numId w:val="8"/>
        </w:numPr>
        <w:tabs>
          <w:tab w:val="left" w:pos="993"/>
        </w:tabs>
        <w:autoSpaceDE w:val="0"/>
        <w:autoSpaceDN w:val="0"/>
        <w:adjustRightInd w:val="0"/>
        <w:snapToGrid w:val="0"/>
        <w:spacing w:after="120" w:afterLines="50" w:line="360" w:lineRule="auto"/>
        <w:ind w:left="993" w:hanging="993"/>
        <w:jc w:val="left"/>
        <w:outlineLvl w:val="1"/>
        <w:rPr>
          <w:rFonts w:eastAsia="黑体"/>
          <w:kern w:val="0"/>
          <w:sz w:val="24"/>
        </w:rPr>
      </w:pPr>
      <w:bookmarkStart w:id="172" w:name="_Toc12479"/>
      <w:bookmarkStart w:id="173" w:name="_Toc17932"/>
      <w:bookmarkStart w:id="174" w:name="_Toc19000"/>
      <w:r>
        <w:rPr>
          <w:rFonts w:eastAsia="黑体"/>
          <w:kern w:val="0"/>
          <w:sz w:val="24"/>
        </w:rPr>
        <w:t>评审标准</w:t>
      </w:r>
      <w:bookmarkEnd w:id="172"/>
      <w:bookmarkEnd w:id="173"/>
      <w:bookmarkEnd w:id="174"/>
    </w:p>
    <w:p>
      <w:pPr>
        <w:numPr>
          <w:ilvl w:val="1"/>
          <w:numId w:val="8"/>
        </w:numPr>
        <w:tabs>
          <w:tab w:val="left" w:pos="993"/>
        </w:tabs>
        <w:autoSpaceDE w:val="0"/>
        <w:autoSpaceDN w:val="0"/>
        <w:adjustRightInd w:val="0"/>
        <w:snapToGrid w:val="0"/>
        <w:spacing w:after="120" w:afterLines="50" w:line="360" w:lineRule="auto"/>
        <w:jc w:val="left"/>
        <w:rPr>
          <w:kern w:val="0"/>
          <w:sz w:val="24"/>
        </w:rPr>
      </w:pPr>
      <w:r>
        <w:rPr>
          <w:kern w:val="0"/>
          <w:sz w:val="24"/>
        </w:rPr>
        <w:t>符合性评审标准：见附表二。投标人须满足附表二符合性审查表的全部内容，否则其投标无效。</w:t>
      </w:r>
    </w:p>
    <w:p>
      <w:pPr>
        <w:numPr>
          <w:ilvl w:val="1"/>
          <w:numId w:val="8"/>
        </w:numPr>
        <w:tabs>
          <w:tab w:val="left" w:pos="993"/>
        </w:tabs>
        <w:autoSpaceDE w:val="0"/>
        <w:autoSpaceDN w:val="0"/>
        <w:adjustRightInd w:val="0"/>
        <w:snapToGrid w:val="0"/>
        <w:spacing w:after="120" w:afterLines="50" w:line="360" w:lineRule="auto"/>
        <w:jc w:val="left"/>
        <w:rPr>
          <w:kern w:val="0"/>
          <w:sz w:val="24"/>
        </w:rPr>
      </w:pPr>
      <w:r>
        <w:rPr>
          <w:kern w:val="0"/>
          <w:sz w:val="24"/>
        </w:rPr>
        <w:t>分值构成</w:t>
      </w:r>
    </w:p>
    <w:p>
      <w:pPr>
        <w:tabs>
          <w:tab w:val="left" w:pos="993"/>
        </w:tabs>
        <w:autoSpaceDE w:val="0"/>
        <w:autoSpaceDN w:val="0"/>
        <w:adjustRightInd w:val="0"/>
        <w:snapToGrid w:val="0"/>
        <w:spacing w:after="120" w:afterLines="50" w:line="360" w:lineRule="auto"/>
        <w:ind w:firstLine="960" w:firstLineChars="400"/>
        <w:jc w:val="left"/>
        <w:rPr>
          <w:kern w:val="0"/>
          <w:sz w:val="24"/>
        </w:rPr>
      </w:pPr>
      <w:r>
        <w:rPr>
          <w:kern w:val="0"/>
          <w:sz w:val="24"/>
        </w:rPr>
        <w:t>分值构成：总分100分</w:t>
      </w:r>
    </w:p>
    <w:p>
      <w:pPr>
        <w:numPr>
          <w:ilvl w:val="1"/>
          <w:numId w:val="8"/>
        </w:numPr>
        <w:tabs>
          <w:tab w:val="left" w:pos="993"/>
        </w:tabs>
        <w:autoSpaceDE w:val="0"/>
        <w:autoSpaceDN w:val="0"/>
        <w:adjustRightInd w:val="0"/>
        <w:snapToGrid w:val="0"/>
        <w:spacing w:after="120" w:afterLines="50" w:line="360" w:lineRule="auto"/>
        <w:jc w:val="left"/>
        <w:rPr>
          <w:kern w:val="0"/>
          <w:sz w:val="24"/>
        </w:rPr>
      </w:pPr>
      <w:bookmarkStart w:id="175" w:name="_Ref426362114"/>
      <w:r>
        <w:rPr>
          <w:kern w:val="0"/>
          <w:sz w:val="24"/>
        </w:rPr>
        <w:t>商务和技术评审标准</w:t>
      </w:r>
      <w:bookmarkEnd w:id="175"/>
    </w:p>
    <w:p>
      <w:pPr>
        <w:numPr>
          <w:ilvl w:val="2"/>
          <w:numId w:val="8"/>
        </w:numPr>
        <w:tabs>
          <w:tab w:val="left" w:pos="993"/>
        </w:tabs>
        <w:autoSpaceDE w:val="0"/>
        <w:autoSpaceDN w:val="0"/>
        <w:adjustRightInd w:val="0"/>
        <w:snapToGrid w:val="0"/>
        <w:spacing w:after="120" w:afterLines="50" w:line="360" w:lineRule="auto"/>
        <w:ind w:left="993" w:hanging="993"/>
        <w:jc w:val="left"/>
        <w:rPr>
          <w:kern w:val="0"/>
          <w:sz w:val="24"/>
        </w:rPr>
      </w:pPr>
      <w:bookmarkStart w:id="176" w:name="_Ref426362140"/>
      <w:r>
        <w:rPr>
          <w:kern w:val="0"/>
          <w:sz w:val="24"/>
        </w:rPr>
        <w:t>商务部分评分标准：见附表</w:t>
      </w:r>
      <w:bookmarkEnd w:id="176"/>
      <w:r>
        <w:rPr>
          <w:kern w:val="0"/>
          <w:sz w:val="24"/>
        </w:rPr>
        <w:t>三</w:t>
      </w:r>
    </w:p>
    <w:p>
      <w:pPr>
        <w:numPr>
          <w:ilvl w:val="2"/>
          <w:numId w:val="8"/>
        </w:numPr>
        <w:tabs>
          <w:tab w:val="left" w:pos="993"/>
        </w:tabs>
        <w:autoSpaceDE w:val="0"/>
        <w:autoSpaceDN w:val="0"/>
        <w:adjustRightInd w:val="0"/>
        <w:snapToGrid w:val="0"/>
        <w:spacing w:after="120" w:afterLines="50" w:line="360" w:lineRule="auto"/>
        <w:ind w:left="993" w:hanging="993"/>
        <w:jc w:val="left"/>
        <w:rPr>
          <w:kern w:val="0"/>
          <w:sz w:val="24"/>
        </w:rPr>
      </w:pPr>
      <w:bookmarkStart w:id="177" w:name="_Ref426362158"/>
      <w:r>
        <w:rPr>
          <w:kern w:val="0"/>
          <w:sz w:val="24"/>
        </w:rPr>
        <w:t>技术部分评分标准：</w:t>
      </w:r>
      <w:bookmarkEnd w:id="177"/>
      <w:bookmarkStart w:id="178" w:name="_Ref426362176"/>
      <w:r>
        <w:rPr>
          <w:kern w:val="0"/>
          <w:sz w:val="24"/>
        </w:rPr>
        <w:t>见附表三</w:t>
      </w:r>
    </w:p>
    <w:p>
      <w:pPr>
        <w:numPr>
          <w:ilvl w:val="2"/>
          <w:numId w:val="8"/>
        </w:numPr>
        <w:tabs>
          <w:tab w:val="left" w:pos="993"/>
        </w:tabs>
        <w:autoSpaceDE w:val="0"/>
        <w:autoSpaceDN w:val="0"/>
        <w:adjustRightInd w:val="0"/>
        <w:snapToGrid w:val="0"/>
        <w:spacing w:after="120" w:afterLines="50" w:line="360" w:lineRule="auto"/>
        <w:ind w:left="993" w:hanging="993"/>
        <w:jc w:val="left"/>
        <w:rPr>
          <w:kern w:val="0"/>
          <w:sz w:val="24"/>
        </w:rPr>
      </w:pPr>
      <w:r>
        <w:rPr>
          <w:kern w:val="0"/>
          <w:sz w:val="24"/>
        </w:rPr>
        <w:t>投标报价评分标准：</w:t>
      </w:r>
      <w:bookmarkEnd w:id="178"/>
    </w:p>
    <w:p>
      <w:pPr>
        <w:tabs>
          <w:tab w:val="left" w:pos="993"/>
        </w:tabs>
        <w:autoSpaceDE w:val="0"/>
        <w:autoSpaceDN w:val="0"/>
        <w:adjustRightInd w:val="0"/>
        <w:snapToGrid w:val="0"/>
        <w:spacing w:after="120" w:afterLines="50" w:line="360" w:lineRule="auto"/>
        <w:ind w:left="1696" w:leftChars="513" w:hanging="619" w:hangingChars="258"/>
        <w:jc w:val="left"/>
        <w:rPr>
          <w:kern w:val="0"/>
          <w:sz w:val="24"/>
        </w:rPr>
      </w:pPr>
      <w:r>
        <w:rPr>
          <w:kern w:val="0"/>
          <w:sz w:val="24"/>
        </w:rPr>
        <w:t>（1）根据《政府采购促进中小企业发展管理办法》（财库〔2020〕46号）</w:t>
      </w:r>
      <w:r>
        <w:rPr>
          <w:rFonts w:hint="eastAsia"/>
          <w:kern w:val="0"/>
          <w:sz w:val="24"/>
        </w:rPr>
        <w:t>及《关于进一步加大政府采购支持中小企业力度的通知》（财库〔2022〕19号）</w:t>
      </w:r>
      <w:r>
        <w:rPr>
          <w:kern w:val="0"/>
          <w:sz w:val="24"/>
        </w:rPr>
        <w:t>调整投标人参与评标的价格，用扣除后的价格参加评审。（</w:t>
      </w:r>
      <w:r>
        <w:rPr>
          <w:rFonts w:hint="eastAsia"/>
          <w:kern w:val="0"/>
          <w:sz w:val="24"/>
        </w:rPr>
        <w:t>适用于</w:t>
      </w:r>
      <w:r>
        <w:rPr>
          <w:kern w:val="0"/>
          <w:sz w:val="24"/>
        </w:rPr>
        <w:t>非专门面向中小企业的项目）</w:t>
      </w:r>
    </w:p>
    <w:p>
      <w:pPr>
        <w:tabs>
          <w:tab w:val="left" w:pos="993"/>
        </w:tabs>
        <w:autoSpaceDE w:val="0"/>
        <w:autoSpaceDN w:val="0"/>
        <w:adjustRightInd w:val="0"/>
        <w:snapToGrid w:val="0"/>
        <w:spacing w:after="120" w:afterLines="50" w:line="360" w:lineRule="auto"/>
        <w:ind w:left="1699" w:leftChars="809"/>
        <w:jc w:val="left"/>
        <w:rPr>
          <w:kern w:val="0"/>
          <w:sz w:val="24"/>
        </w:rPr>
      </w:pPr>
      <w:r>
        <w:rPr>
          <w:kern w:val="0"/>
          <w:sz w:val="24"/>
        </w:rPr>
        <w:t>对小型和微型企业报价给予</w:t>
      </w:r>
      <w:r>
        <w:rPr>
          <w:rFonts w:hint="eastAsia"/>
          <w:kern w:val="0"/>
          <w:sz w:val="24"/>
        </w:rPr>
        <w:t>10</w:t>
      </w:r>
      <w:r>
        <w:rPr>
          <w:kern w:val="0"/>
          <w:sz w:val="24"/>
        </w:rPr>
        <w:t>%的扣除。或</w:t>
      </w:r>
    </w:p>
    <w:p>
      <w:pPr>
        <w:tabs>
          <w:tab w:val="left" w:pos="993"/>
        </w:tabs>
        <w:autoSpaceDE w:val="0"/>
        <w:autoSpaceDN w:val="0"/>
        <w:adjustRightInd w:val="0"/>
        <w:snapToGrid w:val="0"/>
        <w:spacing w:after="120" w:afterLines="50" w:line="360" w:lineRule="auto"/>
        <w:ind w:left="1699" w:leftChars="809"/>
        <w:jc w:val="left"/>
        <w:rPr>
          <w:kern w:val="0"/>
          <w:sz w:val="24"/>
        </w:rPr>
      </w:pPr>
      <w:r>
        <w:rPr>
          <w:kern w:val="0"/>
          <w:sz w:val="24"/>
        </w:rPr>
        <w:t>大中型企业与小型、微型企业组成联合体，联合协议约定小型、微型企业的合同份额占到合同总金额30%以上的，联合体的报价给予/%的扣除。</w:t>
      </w:r>
    </w:p>
    <w:p>
      <w:pPr>
        <w:tabs>
          <w:tab w:val="left" w:pos="993"/>
        </w:tabs>
        <w:autoSpaceDE w:val="0"/>
        <w:autoSpaceDN w:val="0"/>
        <w:adjustRightInd w:val="0"/>
        <w:snapToGrid w:val="0"/>
        <w:spacing w:after="120" w:afterLines="50" w:line="360" w:lineRule="auto"/>
        <w:ind w:left="1699" w:leftChars="809"/>
        <w:jc w:val="left"/>
        <w:rPr>
          <w:kern w:val="0"/>
          <w:sz w:val="24"/>
        </w:rPr>
      </w:pPr>
      <w:r>
        <w:rPr>
          <w:kern w:val="0"/>
          <w:sz w:val="24"/>
        </w:rPr>
        <w:t>分包意向协议约定小型、微型企业的合同份额占到合同总金额30%以上的，大中型企业的报价给予/%的扣除。</w:t>
      </w:r>
    </w:p>
    <w:p>
      <w:pPr>
        <w:tabs>
          <w:tab w:val="left" w:pos="993"/>
        </w:tabs>
        <w:autoSpaceDE w:val="0"/>
        <w:autoSpaceDN w:val="0"/>
        <w:adjustRightInd w:val="0"/>
        <w:snapToGrid w:val="0"/>
        <w:spacing w:after="120" w:afterLines="50" w:line="360" w:lineRule="auto"/>
        <w:ind w:left="1699" w:leftChars="809"/>
        <w:jc w:val="left"/>
        <w:rPr>
          <w:kern w:val="0"/>
          <w:sz w:val="24"/>
        </w:rPr>
      </w:pPr>
      <w:r>
        <w:rPr>
          <w:kern w:val="0"/>
          <w:sz w:val="24"/>
        </w:rPr>
        <w:t>注：联合体各方均为小型、微型企业的，联合体视同小型、微型企业；监狱企业、残疾人福利性单位视同小微企业；监狱企业、残疾人福利性单位属于小型、微型企业的，不重复享受政策。</w:t>
      </w:r>
    </w:p>
    <w:p>
      <w:pPr>
        <w:tabs>
          <w:tab w:val="left" w:pos="993"/>
        </w:tabs>
        <w:autoSpaceDE w:val="0"/>
        <w:autoSpaceDN w:val="0"/>
        <w:adjustRightInd w:val="0"/>
        <w:snapToGrid w:val="0"/>
        <w:spacing w:after="120" w:afterLines="50" w:line="360" w:lineRule="auto"/>
        <w:ind w:left="2041" w:leftChars="515" w:hanging="960" w:hangingChars="400"/>
        <w:jc w:val="left"/>
        <w:rPr>
          <w:kern w:val="0"/>
          <w:sz w:val="24"/>
        </w:rPr>
      </w:pPr>
      <w:r>
        <w:rPr>
          <w:kern w:val="0"/>
          <w:sz w:val="24"/>
        </w:rPr>
        <w:t>（2）评标基准价</w:t>
      </w:r>
    </w:p>
    <w:p>
      <w:pPr>
        <w:tabs>
          <w:tab w:val="left" w:pos="993"/>
        </w:tabs>
        <w:autoSpaceDE w:val="0"/>
        <w:autoSpaceDN w:val="0"/>
        <w:adjustRightInd w:val="0"/>
        <w:snapToGrid w:val="0"/>
        <w:spacing w:after="120" w:afterLines="50" w:line="360" w:lineRule="auto"/>
        <w:ind w:left="1699" w:leftChars="809"/>
        <w:jc w:val="left"/>
        <w:rPr>
          <w:kern w:val="0"/>
          <w:sz w:val="24"/>
        </w:rPr>
      </w:pPr>
      <w:r>
        <w:rPr>
          <w:kern w:val="0"/>
          <w:sz w:val="24"/>
        </w:rPr>
        <w:t>有效投标文件中的并按</w:t>
      </w:r>
      <w:r>
        <w:rPr>
          <w:kern w:val="0"/>
          <w:sz w:val="24"/>
        </w:rPr>
        <w:fldChar w:fldCharType="begin"/>
      </w:r>
      <w:r>
        <w:rPr>
          <w:kern w:val="0"/>
          <w:sz w:val="24"/>
        </w:rPr>
        <w:instrText xml:space="preserve"> REF _Ref426362176 \r \h  \* MERGEFORMAT </w:instrText>
      </w:r>
      <w:r>
        <w:rPr>
          <w:kern w:val="0"/>
          <w:sz w:val="24"/>
        </w:rPr>
        <w:fldChar w:fldCharType="separate"/>
      </w:r>
      <w:r>
        <w:rPr>
          <w:kern w:val="0"/>
          <w:sz w:val="24"/>
        </w:rPr>
        <w:t>3.3.2</w:t>
      </w:r>
      <w:r>
        <w:rPr>
          <w:kern w:val="0"/>
          <w:sz w:val="24"/>
        </w:rPr>
        <w:fldChar w:fldCharType="end"/>
      </w:r>
      <w:r>
        <w:rPr>
          <w:kern w:val="0"/>
          <w:sz w:val="24"/>
        </w:rPr>
        <w:t>项（1）进行调整的最低报价为评标基准价。</w:t>
      </w:r>
    </w:p>
    <w:p>
      <w:pPr>
        <w:tabs>
          <w:tab w:val="left" w:pos="993"/>
        </w:tabs>
        <w:autoSpaceDE w:val="0"/>
        <w:autoSpaceDN w:val="0"/>
        <w:adjustRightInd w:val="0"/>
        <w:snapToGrid w:val="0"/>
        <w:spacing w:after="120" w:afterLines="50" w:line="360" w:lineRule="auto"/>
        <w:ind w:left="2041" w:leftChars="515" w:hanging="960" w:hangingChars="400"/>
        <w:jc w:val="left"/>
        <w:rPr>
          <w:kern w:val="0"/>
          <w:sz w:val="24"/>
        </w:rPr>
      </w:pPr>
      <w:r>
        <w:rPr>
          <w:kern w:val="0"/>
          <w:sz w:val="24"/>
        </w:rPr>
        <w:t>（3）投标人报价（按</w:t>
      </w:r>
      <w:r>
        <w:rPr>
          <w:kern w:val="0"/>
          <w:sz w:val="24"/>
        </w:rPr>
        <w:fldChar w:fldCharType="begin"/>
      </w:r>
      <w:r>
        <w:rPr>
          <w:kern w:val="0"/>
          <w:sz w:val="24"/>
        </w:rPr>
        <w:instrText xml:space="preserve"> REF _Ref426362176 \r \h  \* MERGEFORMAT </w:instrText>
      </w:r>
      <w:r>
        <w:rPr>
          <w:kern w:val="0"/>
          <w:sz w:val="24"/>
        </w:rPr>
        <w:fldChar w:fldCharType="separate"/>
      </w:r>
      <w:r>
        <w:rPr>
          <w:kern w:val="0"/>
          <w:sz w:val="24"/>
        </w:rPr>
        <w:t>3.3.2</w:t>
      </w:r>
      <w:r>
        <w:rPr>
          <w:kern w:val="0"/>
          <w:sz w:val="24"/>
        </w:rPr>
        <w:fldChar w:fldCharType="end"/>
      </w:r>
      <w:r>
        <w:rPr>
          <w:kern w:val="0"/>
          <w:sz w:val="24"/>
        </w:rPr>
        <w:t>项（1）进行调整后价格）得分：</w:t>
      </w:r>
    </w:p>
    <w:p>
      <w:pPr>
        <w:tabs>
          <w:tab w:val="left" w:pos="993"/>
        </w:tabs>
        <w:autoSpaceDE w:val="0"/>
        <w:autoSpaceDN w:val="0"/>
        <w:adjustRightInd w:val="0"/>
        <w:snapToGrid w:val="0"/>
        <w:spacing w:after="120" w:afterLines="50" w:line="360" w:lineRule="auto"/>
        <w:ind w:left="2039" w:leftChars="810" w:hanging="338" w:hangingChars="141"/>
        <w:jc w:val="left"/>
        <w:rPr>
          <w:kern w:val="0"/>
          <w:sz w:val="24"/>
        </w:rPr>
      </w:pPr>
      <w:r>
        <w:rPr>
          <w:kern w:val="0"/>
          <w:sz w:val="24"/>
        </w:rPr>
        <w:t>投标报价得分=(评标基准价／投标报价)×100</w:t>
      </w:r>
    </w:p>
    <w:p>
      <w:pPr>
        <w:tabs>
          <w:tab w:val="left" w:pos="993"/>
        </w:tabs>
        <w:autoSpaceDE w:val="0"/>
        <w:autoSpaceDN w:val="0"/>
        <w:adjustRightInd w:val="0"/>
        <w:snapToGrid w:val="0"/>
        <w:spacing w:after="120" w:afterLines="50" w:line="360" w:lineRule="auto"/>
        <w:ind w:left="2039" w:leftChars="810" w:hanging="338" w:hangingChars="141"/>
        <w:jc w:val="left"/>
        <w:rPr>
          <w:i/>
          <w:color w:val="FF0000"/>
          <w:kern w:val="0"/>
          <w:sz w:val="24"/>
        </w:rPr>
      </w:pPr>
    </w:p>
    <w:p>
      <w:pPr>
        <w:numPr>
          <w:ilvl w:val="0"/>
          <w:numId w:val="8"/>
        </w:numPr>
        <w:tabs>
          <w:tab w:val="left" w:pos="993"/>
        </w:tabs>
        <w:autoSpaceDE w:val="0"/>
        <w:autoSpaceDN w:val="0"/>
        <w:adjustRightInd w:val="0"/>
        <w:snapToGrid w:val="0"/>
        <w:spacing w:after="120" w:afterLines="50" w:line="360" w:lineRule="auto"/>
        <w:ind w:left="993" w:hanging="993"/>
        <w:jc w:val="left"/>
        <w:outlineLvl w:val="1"/>
        <w:rPr>
          <w:rFonts w:eastAsia="黑体"/>
          <w:kern w:val="0"/>
          <w:sz w:val="24"/>
        </w:rPr>
      </w:pPr>
      <w:bookmarkStart w:id="179" w:name="_Toc17270"/>
      <w:bookmarkStart w:id="180" w:name="_Toc25566"/>
      <w:bookmarkStart w:id="181" w:name="_Toc18755"/>
      <w:r>
        <w:rPr>
          <w:rFonts w:eastAsia="黑体"/>
          <w:kern w:val="0"/>
          <w:sz w:val="24"/>
        </w:rPr>
        <w:t>评审程序</w:t>
      </w:r>
      <w:bookmarkEnd w:id="179"/>
      <w:bookmarkEnd w:id="180"/>
      <w:bookmarkEnd w:id="181"/>
    </w:p>
    <w:p>
      <w:pPr>
        <w:numPr>
          <w:ilvl w:val="1"/>
          <w:numId w:val="8"/>
        </w:numPr>
        <w:tabs>
          <w:tab w:val="left" w:pos="993"/>
        </w:tabs>
        <w:autoSpaceDE w:val="0"/>
        <w:autoSpaceDN w:val="0"/>
        <w:adjustRightInd w:val="0"/>
        <w:snapToGrid w:val="0"/>
        <w:spacing w:after="120" w:afterLines="50" w:line="360" w:lineRule="auto"/>
        <w:ind w:left="993" w:hanging="993"/>
        <w:jc w:val="left"/>
        <w:rPr>
          <w:kern w:val="0"/>
          <w:sz w:val="24"/>
        </w:rPr>
      </w:pPr>
      <w:r>
        <w:rPr>
          <w:kern w:val="0"/>
          <w:sz w:val="24"/>
        </w:rPr>
        <w:t>符合性检查。</w:t>
      </w:r>
    </w:p>
    <w:p>
      <w:pPr>
        <w:numPr>
          <w:ilvl w:val="2"/>
          <w:numId w:val="8"/>
        </w:numPr>
        <w:tabs>
          <w:tab w:val="left" w:pos="993"/>
          <w:tab w:val="left" w:pos="1077"/>
        </w:tabs>
        <w:autoSpaceDE w:val="0"/>
        <w:autoSpaceDN w:val="0"/>
        <w:adjustRightInd w:val="0"/>
        <w:snapToGrid w:val="0"/>
        <w:spacing w:before="120" w:after="120" w:afterLines="50" w:line="360" w:lineRule="auto"/>
        <w:ind w:left="993" w:hanging="993"/>
        <w:jc w:val="left"/>
        <w:rPr>
          <w:kern w:val="0"/>
          <w:sz w:val="24"/>
        </w:rPr>
      </w:pPr>
      <w:r>
        <w:rPr>
          <w:kern w:val="0"/>
          <w:sz w:val="24"/>
        </w:rPr>
        <w:t>评标委员会按附表二所列标准，对投标文件的有效性、完整性和对招标文件的响应程度进行审查，以确定是否对招标文件的实质性要求作出响应。</w:t>
      </w:r>
    </w:p>
    <w:p>
      <w:pPr>
        <w:numPr>
          <w:ilvl w:val="2"/>
          <w:numId w:val="8"/>
        </w:numPr>
        <w:tabs>
          <w:tab w:val="left" w:pos="993"/>
          <w:tab w:val="left" w:pos="1077"/>
        </w:tabs>
        <w:autoSpaceDE w:val="0"/>
        <w:autoSpaceDN w:val="0"/>
        <w:adjustRightInd w:val="0"/>
        <w:snapToGrid w:val="0"/>
        <w:spacing w:before="120" w:after="120" w:afterLines="50" w:line="360" w:lineRule="auto"/>
        <w:ind w:left="993" w:hanging="993"/>
        <w:jc w:val="left"/>
        <w:rPr>
          <w:kern w:val="0"/>
          <w:sz w:val="24"/>
        </w:rPr>
      </w:pPr>
      <w:r>
        <w:rPr>
          <w:kern w:val="0"/>
          <w:sz w:val="24"/>
        </w:rPr>
        <w:t>澄清有关问题。</w:t>
      </w:r>
    </w:p>
    <w:p>
      <w:pPr>
        <w:tabs>
          <w:tab w:val="left" w:pos="993"/>
          <w:tab w:val="left" w:pos="1418"/>
        </w:tabs>
        <w:autoSpaceDE w:val="0"/>
        <w:autoSpaceDN w:val="0"/>
        <w:adjustRightInd w:val="0"/>
        <w:snapToGrid w:val="0"/>
        <w:spacing w:before="120" w:after="120" w:afterLines="50" w:line="360" w:lineRule="auto"/>
        <w:ind w:left="1699" w:leftChars="472" w:hanging="708" w:hangingChars="295"/>
        <w:jc w:val="left"/>
        <w:rPr>
          <w:kern w:val="0"/>
          <w:sz w:val="24"/>
        </w:rPr>
      </w:pPr>
      <w:r>
        <w:rPr>
          <w:kern w:val="0"/>
          <w:sz w:val="24"/>
        </w:rPr>
        <w:t>（1）</w:t>
      </w:r>
      <w:r>
        <w:rPr>
          <w:kern w:val="0"/>
          <w:sz w:val="24"/>
        </w:rPr>
        <w:tab/>
      </w:r>
      <w:r>
        <w:rPr>
          <w:kern w:val="0"/>
          <w:sz w:val="24"/>
        </w:rPr>
        <w:t>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w:t>
      </w:r>
    </w:p>
    <w:p>
      <w:pPr>
        <w:tabs>
          <w:tab w:val="left" w:pos="993"/>
          <w:tab w:val="left" w:pos="1418"/>
        </w:tabs>
        <w:autoSpaceDE w:val="0"/>
        <w:autoSpaceDN w:val="0"/>
        <w:adjustRightInd w:val="0"/>
        <w:snapToGrid w:val="0"/>
        <w:spacing w:before="120" w:after="120" w:afterLines="50" w:line="360" w:lineRule="auto"/>
        <w:ind w:left="1699" w:leftChars="472" w:hanging="708" w:hangingChars="295"/>
        <w:jc w:val="left"/>
        <w:rPr>
          <w:kern w:val="0"/>
          <w:sz w:val="24"/>
        </w:rPr>
      </w:pPr>
      <w:r>
        <w:rPr>
          <w:kern w:val="0"/>
          <w:sz w:val="24"/>
        </w:rPr>
        <w:t>（2）</w:t>
      </w:r>
      <w:r>
        <w:rPr>
          <w:kern w:val="0"/>
          <w:sz w:val="24"/>
        </w:rPr>
        <w:tab/>
      </w:r>
      <w:r>
        <w:rPr>
          <w:kern w:val="0"/>
          <w:sz w:val="24"/>
        </w:rPr>
        <w:t>评标委员会不接受投标人主动提出的澄清、说明或补正。</w:t>
      </w:r>
    </w:p>
    <w:p>
      <w:pPr>
        <w:tabs>
          <w:tab w:val="left" w:pos="993"/>
          <w:tab w:val="left" w:pos="1418"/>
        </w:tabs>
        <w:autoSpaceDE w:val="0"/>
        <w:autoSpaceDN w:val="0"/>
        <w:adjustRightInd w:val="0"/>
        <w:snapToGrid w:val="0"/>
        <w:spacing w:before="120" w:after="120" w:afterLines="50" w:line="360" w:lineRule="auto"/>
        <w:ind w:left="1699" w:leftChars="472" w:hanging="708" w:hangingChars="295"/>
        <w:jc w:val="left"/>
        <w:rPr>
          <w:kern w:val="0"/>
          <w:sz w:val="24"/>
        </w:rPr>
      </w:pPr>
      <w:r>
        <w:rPr>
          <w:kern w:val="0"/>
          <w:sz w:val="24"/>
        </w:rPr>
        <w:t>（3）</w:t>
      </w:r>
      <w:r>
        <w:rPr>
          <w:kern w:val="0"/>
          <w:sz w:val="24"/>
        </w:rPr>
        <w:tab/>
      </w:r>
      <w:r>
        <w:rPr>
          <w:kern w:val="0"/>
          <w:sz w:val="24"/>
        </w:rPr>
        <w:t>投标人的书面澄清、说明和补正属于投标文件的组成部分。</w:t>
      </w:r>
    </w:p>
    <w:p>
      <w:pPr>
        <w:tabs>
          <w:tab w:val="left" w:pos="993"/>
          <w:tab w:val="left" w:pos="1418"/>
        </w:tabs>
        <w:autoSpaceDE w:val="0"/>
        <w:autoSpaceDN w:val="0"/>
        <w:adjustRightInd w:val="0"/>
        <w:snapToGrid w:val="0"/>
        <w:spacing w:before="120" w:after="120" w:afterLines="50" w:line="360" w:lineRule="auto"/>
        <w:ind w:left="1699" w:leftChars="472" w:hanging="708" w:hangingChars="295"/>
        <w:jc w:val="left"/>
        <w:rPr>
          <w:kern w:val="0"/>
          <w:sz w:val="24"/>
        </w:rPr>
      </w:pPr>
      <w:r>
        <w:rPr>
          <w:kern w:val="0"/>
          <w:sz w:val="24"/>
        </w:rPr>
        <w:t>（4）</w:t>
      </w:r>
      <w:r>
        <w:rPr>
          <w:kern w:val="0"/>
          <w:sz w:val="24"/>
        </w:rPr>
        <w:tab/>
      </w:r>
      <w:r>
        <w:rPr>
          <w:kern w:val="0"/>
          <w:sz w:val="24"/>
        </w:rPr>
        <w:t>评标委员会对投标人提交的澄清、说明或补正有疑问的，可以要求投标人进一步澄清、说明或补正，直至满足评标委员会的要求。</w:t>
      </w:r>
    </w:p>
    <w:p>
      <w:pPr>
        <w:numPr>
          <w:ilvl w:val="2"/>
          <w:numId w:val="8"/>
        </w:numPr>
        <w:tabs>
          <w:tab w:val="left" w:pos="993"/>
          <w:tab w:val="left" w:pos="1077"/>
        </w:tabs>
        <w:autoSpaceDE w:val="0"/>
        <w:autoSpaceDN w:val="0"/>
        <w:adjustRightInd w:val="0"/>
        <w:snapToGrid w:val="0"/>
        <w:spacing w:before="120" w:after="120" w:afterLines="50" w:line="360" w:lineRule="auto"/>
        <w:ind w:left="993" w:hanging="993"/>
        <w:jc w:val="left"/>
        <w:rPr>
          <w:kern w:val="0"/>
          <w:sz w:val="24"/>
        </w:rPr>
      </w:pPr>
      <w:r>
        <w:rPr>
          <w:kern w:val="0"/>
          <w:sz w:val="24"/>
        </w:rPr>
        <w:t>投标文件报价出现前后不一致的，除招标文件另有规定外，按照下列规定修正：</w:t>
      </w:r>
    </w:p>
    <w:p>
      <w:pPr>
        <w:tabs>
          <w:tab w:val="left" w:pos="993"/>
        </w:tabs>
        <w:autoSpaceDE w:val="0"/>
        <w:autoSpaceDN w:val="0"/>
        <w:adjustRightInd w:val="0"/>
        <w:snapToGrid w:val="0"/>
        <w:spacing w:after="120" w:afterLines="50" w:line="360" w:lineRule="auto"/>
        <w:ind w:left="1696" w:leftChars="513" w:hanging="619" w:hangingChars="258"/>
        <w:jc w:val="left"/>
        <w:rPr>
          <w:kern w:val="0"/>
          <w:sz w:val="24"/>
        </w:rPr>
      </w:pPr>
      <w:r>
        <w:rPr>
          <w:kern w:val="0"/>
          <w:sz w:val="24"/>
        </w:rPr>
        <w:t>（1）</w:t>
      </w:r>
      <w:r>
        <w:rPr>
          <w:kern w:val="0"/>
          <w:sz w:val="24"/>
        </w:rPr>
        <w:tab/>
      </w:r>
      <w:r>
        <w:rPr>
          <w:kern w:val="0"/>
          <w:sz w:val="24"/>
        </w:rPr>
        <w:t>投标文件中开标一览表（报价表）内容与投标文件中相应内容不一致的，以开标一览表（报价表）为准；</w:t>
      </w:r>
    </w:p>
    <w:p>
      <w:pPr>
        <w:tabs>
          <w:tab w:val="left" w:pos="993"/>
        </w:tabs>
        <w:autoSpaceDE w:val="0"/>
        <w:autoSpaceDN w:val="0"/>
        <w:adjustRightInd w:val="0"/>
        <w:snapToGrid w:val="0"/>
        <w:spacing w:after="120" w:afterLines="50" w:line="360" w:lineRule="auto"/>
        <w:ind w:left="1696" w:leftChars="513" w:hanging="619" w:hangingChars="258"/>
        <w:jc w:val="left"/>
        <w:rPr>
          <w:kern w:val="0"/>
          <w:sz w:val="24"/>
        </w:rPr>
      </w:pPr>
      <w:r>
        <w:rPr>
          <w:kern w:val="0"/>
          <w:sz w:val="24"/>
        </w:rPr>
        <w:t>（2）</w:t>
      </w:r>
      <w:r>
        <w:rPr>
          <w:kern w:val="0"/>
          <w:sz w:val="24"/>
        </w:rPr>
        <w:tab/>
      </w:r>
      <w:r>
        <w:rPr>
          <w:kern w:val="0"/>
          <w:sz w:val="24"/>
        </w:rPr>
        <w:t>大写金额和小写金额不一致的，以大写金额为准；</w:t>
      </w:r>
    </w:p>
    <w:p>
      <w:pPr>
        <w:tabs>
          <w:tab w:val="left" w:pos="993"/>
        </w:tabs>
        <w:autoSpaceDE w:val="0"/>
        <w:autoSpaceDN w:val="0"/>
        <w:adjustRightInd w:val="0"/>
        <w:snapToGrid w:val="0"/>
        <w:spacing w:after="120" w:afterLines="50" w:line="360" w:lineRule="auto"/>
        <w:ind w:left="1696" w:leftChars="513" w:hanging="619" w:hangingChars="258"/>
        <w:jc w:val="left"/>
        <w:rPr>
          <w:kern w:val="0"/>
          <w:sz w:val="24"/>
        </w:rPr>
      </w:pPr>
      <w:r>
        <w:rPr>
          <w:kern w:val="0"/>
          <w:sz w:val="24"/>
        </w:rPr>
        <w:t>（3）</w:t>
      </w:r>
      <w:r>
        <w:rPr>
          <w:kern w:val="0"/>
          <w:sz w:val="24"/>
        </w:rPr>
        <w:tab/>
      </w:r>
      <w:r>
        <w:rPr>
          <w:kern w:val="0"/>
          <w:sz w:val="24"/>
        </w:rPr>
        <w:t>单价金额小数点或者百分比有明显错位的，以开标一览表（报价表）的总价为准，并修改单价；</w:t>
      </w:r>
    </w:p>
    <w:p>
      <w:pPr>
        <w:tabs>
          <w:tab w:val="left" w:pos="993"/>
        </w:tabs>
        <w:autoSpaceDE w:val="0"/>
        <w:autoSpaceDN w:val="0"/>
        <w:adjustRightInd w:val="0"/>
        <w:snapToGrid w:val="0"/>
        <w:spacing w:after="120" w:afterLines="50" w:line="360" w:lineRule="auto"/>
        <w:ind w:left="1696" w:leftChars="513" w:hanging="619" w:hangingChars="258"/>
        <w:jc w:val="left"/>
        <w:rPr>
          <w:kern w:val="0"/>
          <w:sz w:val="24"/>
        </w:rPr>
      </w:pPr>
      <w:r>
        <w:rPr>
          <w:kern w:val="0"/>
          <w:sz w:val="24"/>
        </w:rPr>
        <w:t>（4）</w:t>
      </w:r>
      <w:r>
        <w:rPr>
          <w:kern w:val="0"/>
          <w:sz w:val="24"/>
        </w:rPr>
        <w:tab/>
      </w:r>
      <w:r>
        <w:rPr>
          <w:kern w:val="0"/>
          <w:sz w:val="24"/>
        </w:rPr>
        <w:t>总价金额与按单价汇总金额不一致的，以单价金额计算结果为准。</w:t>
      </w:r>
    </w:p>
    <w:p>
      <w:pPr>
        <w:tabs>
          <w:tab w:val="left" w:pos="993"/>
        </w:tabs>
        <w:snapToGrid w:val="0"/>
        <w:spacing w:after="120" w:afterLines="50" w:line="360" w:lineRule="auto"/>
        <w:ind w:left="991" w:leftChars="472" w:firstLine="2"/>
        <w:rPr>
          <w:sz w:val="24"/>
        </w:rPr>
      </w:pPr>
      <w:r>
        <w:rPr>
          <w:sz w:val="24"/>
        </w:rPr>
        <w:t>同时出现两种以上不一致的，按照前款规定的顺序修正。修正后的报价经投标人确认后产生约束力，投标人不确认的，其投标无效。</w:t>
      </w:r>
    </w:p>
    <w:p>
      <w:pPr>
        <w:tabs>
          <w:tab w:val="left" w:pos="993"/>
        </w:tabs>
        <w:snapToGrid w:val="0"/>
        <w:spacing w:after="120" w:afterLines="50" w:line="360" w:lineRule="auto"/>
        <w:ind w:left="991" w:leftChars="472" w:firstLine="2"/>
        <w:rPr>
          <w:sz w:val="24"/>
        </w:rPr>
      </w:pPr>
      <w:r>
        <w:rPr>
          <w:sz w:val="24"/>
        </w:rPr>
        <w:t>投标人的确认应当采用书面形式，并加盖公章，或者由法定代表人或其授权的代表签字。</w:t>
      </w:r>
    </w:p>
    <w:p>
      <w:pPr>
        <w:numPr>
          <w:ilvl w:val="1"/>
          <w:numId w:val="8"/>
        </w:numPr>
        <w:tabs>
          <w:tab w:val="left" w:pos="993"/>
        </w:tabs>
        <w:autoSpaceDE w:val="0"/>
        <w:autoSpaceDN w:val="0"/>
        <w:adjustRightInd w:val="0"/>
        <w:snapToGrid w:val="0"/>
        <w:spacing w:after="120" w:afterLines="50" w:line="360" w:lineRule="auto"/>
        <w:jc w:val="left"/>
        <w:rPr>
          <w:kern w:val="0"/>
          <w:sz w:val="24"/>
        </w:rPr>
      </w:pPr>
      <w:r>
        <w:rPr>
          <w:kern w:val="0"/>
          <w:sz w:val="24"/>
        </w:rPr>
        <w:t>商务和技术评审</w:t>
      </w:r>
    </w:p>
    <w:p>
      <w:pPr>
        <w:numPr>
          <w:ilvl w:val="2"/>
          <w:numId w:val="8"/>
        </w:numPr>
        <w:tabs>
          <w:tab w:val="left" w:pos="993"/>
        </w:tabs>
        <w:autoSpaceDE w:val="0"/>
        <w:autoSpaceDN w:val="0"/>
        <w:adjustRightInd w:val="0"/>
        <w:snapToGrid w:val="0"/>
        <w:spacing w:after="120" w:afterLines="50" w:line="360" w:lineRule="auto"/>
        <w:ind w:left="993" w:hanging="993"/>
        <w:jc w:val="left"/>
        <w:rPr>
          <w:kern w:val="0"/>
          <w:sz w:val="24"/>
        </w:rPr>
      </w:pPr>
      <w:r>
        <w:rPr>
          <w:kern w:val="0"/>
          <w:sz w:val="24"/>
        </w:rPr>
        <w:t>比较与评价</w:t>
      </w:r>
    </w:p>
    <w:p>
      <w:pPr>
        <w:tabs>
          <w:tab w:val="left" w:pos="993"/>
        </w:tabs>
        <w:autoSpaceDE w:val="0"/>
        <w:autoSpaceDN w:val="0"/>
        <w:adjustRightInd w:val="0"/>
        <w:snapToGrid w:val="0"/>
        <w:spacing w:before="120" w:after="120" w:afterLines="50" w:line="360" w:lineRule="auto"/>
        <w:ind w:left="991" w:leftChars="472"/>
        <w:jc w:val="left"/>
        <w:rPr>
          <w:sz w:val="24"/>
        </w:rPr>
      </w:pPr>
      <w:r>
        <w:rPr>
          <w:kern w:val="0"/>
          <w:sz w:val="24"/>
        </w:rPr>
        <w:t>评标委员会按本章第</w:t>
      </w:r>
      <w:r>
        <w:rPr>
          <w:rFonts w:hint="eastAsia"/>
          <w:kern w:val="0"/>
          <w:sz w:val="24"/>
        </w:rPr>
        <w:t>3.3</w:t>
      </w:r>
      <w:r>
        <w:rPr>
          <w:kern w:val="0"/>
          <w:sz w:val="24"/>
        </w:rPr>
        <w:t>款[详细评审标准]</w:t>
      </w:r>
      <w:r>
        <w:rPr>
          <w:sz w:val="24"/>
        </w:rPr>
        <w:t>对资格审查合格且符合性审查合格的投标文件进行商务和技术评估，综合比较与评价。</w:t>
      </w:r>
    </w:p>
    <w:p>
      <w:pPr>
        <w:tabs>
          <w:tab w:val="left" w:pos="993"/>
        </w:tabs>
        <w:autoSpaceDE w:val="0"/>
        <w:autoSpaceDN w:val="0"/>
        <w:adjustRightInd w:val="0"/>
        <w:snapToGrid w:val="0"/>
        <w:spacing w:before="120" w:after="120" w:afterLines="50" w:line="360" w:lineRule="auto"/>
        <w:ind w:left="991" w:leftChars="472"/>
        <w:jc w:val="left"/>
        <w:rPr>
          <w:sz w:val="24"/>
        </w:rPr>
      </w:pPr>
      <w:r>
        <w:rPr>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2"/>
          <w:numId w:val="8"/>
        </w:numPr>
        <w:tabs>
          <w:tab w:val="left" w:pos="993"/>
        </w:tabs>
        <w:autoSpaceDE w:val="0"/>
        <w:autoSpaceDN w:val="0"/>
        <w:adjustRightInd w:val="0"/>
        <w:snapToGrid w:val="0"/>
        <w:spacing w:after="120" w:afterLines="50" w:line="360" w:lineRule="auto"/>
        <w:ind w:left="993" w:hanging="993"/>
        <w:jc w:val="left"/>
        <w:rPr>
          <w:kern w:val="0"/>
          <w:sz w:val="24"/>
        </w:rPr>
      </w:pPr>
      <w:r>
        <w:rPr>
          <w:kern w:val="0"/>
          <w:sz w:val="24"/>
        </w:rPr>
        <w:t>评标委员会按本章第</w:t>
      </w:r>
      <w:r>
        <w:rPr>
          <w:rFonts w:hint="eastAsia"/>
          <w:kern w:val="0"/>
          <w:sz w:val="24"/>
        </w:rPr>
        <w:t>3.3</w:t>
      </w:r>
      <w:r>
        <w:rPr>
          <w:kern w:val="0"/>
          <w:sz w:val="24"/>
        </w:rPr>
        <w:t>款规定的量化因素和分值进行打分，并计算出综合评估得分。</w:t>
      </w:r>
    </w:p>
    <w:p>
      <w:pPr>
        <w:tabs>
          <w:tab w:val="left" w:pos="993"/>
        </w:tabs>
        <w:autoSpaceDE w:val="0"/>
        <w:autoSpaceDN w:val="0"/>
        <w:adjustRightInd w:val="0"/>
        <w:snapToGrid w:val="0"/>
        <w:spacing w:after="120" w:afterLines="50" w:line="360" w:lineRule="auto"/>
        <w:ind w:left="1679" w:leftChars="514" w:hanging="600" w:hangingChars="250"/>
        <w:jc w:val="left"/>
        <w:rPr>
          <w:kern w:val="0"/>
          <w:sz w:val="24"/>
        </w:rPr>
      </w:pPr>
      <w:r>
        <w:rPr>
          <w:kern w:val="0"/>
          <w:sz w:val="24"/>
        </w:rPr>
        <w:t>（1）按本章第</w:t>
      </w:r>
      <w:r>
        <w:rPr>
          <w:rFonts w:hint="eastAsia"/>
          <w:kern w:val="0"/>
          <w:sz w:val="24"/>
        </w:rPr>
        <w:t>3.3.1</w:t>
      </w:r>
      <w:r>
        <w:rPr>
          <w:kern w:val="0"/>
          <w:sz w:val="24"/>
        </w:rPr>
        <w:t>项规定的评审因素和分值对商务部分计算出得分A；</w:t>
      </w:r>
    </w:p>
    <w:p>
      <w:pPr>
        <w:tabs>
          <w:tab w:val="left" w:pos="993"/>
        </w:tabs>
        <w:autoSpaceDE w:val="0"/>
        <w:autoSpaceDN w:val="0"/>
        <w:adjustRightInd w:val="0"/>
        <w:snapToGrid w:val="0"/>
        <w:spacing w:after="120" w:afterLines="50" w:line="360" w:lineRule="auto"/>
        <w:ind w:left="1679" w:leftChars="514" w:hanging="600" w:hangingChars="250"/>
        <w:jc w:val="left"/>
        <w:rPr>
          <w:kern w:val="0"/>
          <w:sz w:val="24"/>
        </w:rPr>
      </w:pPr>
      <w:r>
        <w:rPr>
          <w:kern w:val="0"/>
          <w:sz w:val="24"/>
        </w:rPr>
        <w:t>（2）按本章第</w:t>
      </w:r>
      <w:r>
        <w:rPr>
          <w:rFonts w:hint="eastAsia"/>
          <w:kern w:val="0"/>
          <w:sz w:val="24"/>
        </w:rPr>
        <w:t>3.3.1</w:t>
      </w:r>
      <w:r>
        <w:rPr>
          <w:kern w:val="0"/>
          <w:sz w:val="24"/>
        </w:rPr>
        <w:t>项规定的评审因素和分值对技术部分计算出得分B；</w:t>
      </w:r>
    </w:p>
    <w:p>
      <w:pPr>
        <w:tabs>
          <w:tab w:val="left" w:pos="993"/>
        </w:tabs>
        <w:autoSpaceDE w:val="0"/>
        <w:autoSpaceDN w:val="0"/>
        <w:adjustRightInd w:val="0"/>
        <w:snapToGrid w:val="0"/>
        <w:spacing w:after="120" w:afterLines="50" w:line="360" w:lineRule="auto"/>
        <w:ind w:left="1679" w:leftChars="514" w:hanging="600" w:hangingChars="250"/>
        <w:jc w:val="left"/>
        <w:rPr>
          <w:kern w:val="0"/>
          <w:sz w:val="24"/>
        </w:rPr>
      </w:pPr>
      <w:r>
        <w:rPr>
          <w:kern w:val="0"/>
          <w:sz w:val="24"/>
        </w:rPr>
        <w:t>（3）按本章第</w:t>
      </w:r>
      <w:r>
        <w:rPr>
          <w:rFonts w:hint="eastAsia"/>
          <w:kern w:val="0"/>
          <w:sz w:val="24"/>
        </w:rPr>
        <w:t>3.3.2</w:t>
      </w:r>
      <w:r>
        <w:rPr>
          <w:kern w:val="0"/>
          <w:sz w:val="24"/>
        </w:rPr>
        <w:t>项规定的评审因素和分值对报价部分计算出得分C。</w:t>
      </w:r>
    </w:p>
    <w:p>
      <w:pPr>
        <w:numPr>
          <w:ilvl w:val="2"/>
          <w:numId w:val="8"/>
        </w:numPr>
        <w:tabs>
          <w:tab w:val="left" w:pos="993"/>
        </w:tabs>
        <w:autoSpaceDE w:val="0"/>
        <w:autoSpaceDN w:val="0"/>
        <w:adjustRightInd w:val="0"/>
        <w:snapToGrid w:val="0"/>
        <w:spacing w:after="120" w:afterLines="50" w:line="360" w:lineRule="auto"/>
        <w:ind w:left="993" w:hanging="993"/>
        <w:jc w:val="left"/>
        <w:rPr>
          <w:kern w:val="0"/>
          <w:sz w:val="24"/>
        </w:rPr>
      </w:pPr>
      <w:r>
        <w:rPr>
          <w:kern w:val="0"/>
          <w:sz w:val="24"/>
        </w:rPr>
        <w:t>评分分值计算保留小数点后两位，小数点后第三位“四舍五入”。</w:t>
      </w:r>
    </w:p>
    <w:p>
      <w:pPr>
        <w:numPr>
          <w:ilvl w:val="2"/>
          <w:numId w:val="8"/>
        </w:numPr>
        <w:tabs>
          <w:tab w:val="left" w:pos="993"/>
        </w:tabs>
        <w:autoSpaceDE w:val="0"/>
        <w:autoSpaceDN w:val="0"/>
        <w:adjustRightInd w:val="0"/>
        <w:snapToGrid w:val="0"/>
        <w:spacing w:after="120" w:afterLines="50" w:line="360" w:lineRule="auto"/>
        <w:ind w:left="993" w:hanging="993"/>
        <w:jc w:val="left"/>
        <w:rPr>
          <w:kern w:val="0"/>
          <w:sz w:val="24"/>
        </w:rPr>
      </w:pPr>
      <w:r>
        <w:rPr>
          <w:kern w:val="0"/>
          <w:sz w:val="24"/>
        </w:rPr>
        <w:t>投标人得分=A＋B＋C</w:t>
      </w:r>
    </w:p>
    <w:p>
      <w:pPr>
        <w:numPr>
          <w:ilvl w:val="1"/>
          <w:numId w:val="8"/>
        </w:numPr>
        <w:tabs>
          <w:tab w:val="left" w:pos="993"/>
        </w:tabs>
        <w:autoSpaceDE w:val="0"/>
        <w:autoSpaceDN w:val="0"/>
        <w:adjustRightInd w:val="0"/>
        <w:snapToGrid w:val="0"/>
        <w:spacing w:after="120" w:afterLines="50" w:line="360" w:lineRule="auto"/>
        <w:jc w:val="left"/>
        <w:rPr>
          <w:kern w:val="0"/>
          <w:sz w:val="24"/>
        </w:rPr>
      </w:pPr>
      <w:r>
        <w:rPr>
          <w:kern w:val="0"/>
          <w:sz w:val="24"/>
        </w:rPr>
        <w:t>评标结果</w:t>
      </w:r>
    </w:p>
    <w:p>
      <w:pPr>
        <w:numPr>
          <w:ilvl w:val="2"/>
          <w:numId w:val="8"/>
        </w:numPr>
        <w:tabs>
          <w:tab w:val="left" w:pos="993"/>
        </w:tabs>
        <w:autoSpaceDE w:val="0"/>
        <w:autoSpaceDN w:val="0"/>
        <w:adjustRightInd w:val="0"/>
        <w:snapToGrid w:val="0"/>
        <w:spacing w:after="120" w:afterLines="50" w:line="360" w:lineRule="auto"/>
        <w:ind w:left="993" w:hanging="993"/>
        <w:jc w:val="left"/>
        <w:rPr>
          <w:kern w:val="0"/>
          <w:sz w:val="24"/>
        </w:rPr>
      </w:pPr>
      <w:r>
        <w:rPr>
          <w:kern w:val="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2"/>
          <w:numId w:val="8"/>
        </w:numPr>
        <w:tabs>
          <w:tab w:val="left" w:pos="993"/>
        </w:tabs>
        <w:autoSpaceDE w:val="0"/>
        <w:autoSpaceDN w:val="0"/>
        <w:adjustRightInd w:val="0"/>
        <w:snapToGrid w:val="0"/>
        <w:spacing w:after="120" w:afterLines="50" w:line="360" w:lineRule="auto"/>
        <w:ind w:left="993" w:hanging="993"/>
        <w:jc w:val="left"/>
        <w:rPr>
          <w:kern w:val="0"/>
          <w:sz w:val="24"/>
        </w:rPr>
      </w:pPr>
      <w:r>
        <w:rPr>
          <w:kern w:val="0"/>
          <w:sz w:val="24"/>
        </w:rPr>
        <w:t>除第二章“投标人须知”前附表授权直接确定中标人外，评标委员会按照得分由高到低的顺序推荐中标候选人。</w:t>
      </w:r>
    </w:p>
    <w:p>
      <w:pPr>
        <w:numPr>
          <w:ilvl w:val="2"/>
          <w:numId w:val="8"/>
        </w:numPr>
        <w:tabs>
          <w:tab w:val="left" w:pos="993"/>
        </w:tabs>
        <w:autoSpaceDE w:val="0"/>
        <w:autoSpaceDN w:val="0"/>
        <w:adjustRightInd w:val="0"/>
        <w:snapToGrid w:val="0"/>
        <w:spacing w:after="120" w:afterLines="50" w:line="360" w:lineRule="auto"/>
        <w:ind w:left="993" w:hanging="993"/>
        <w:jc w:val="left"/>
      </w:pPr>
      <w:r>
        <w:rPr>
          <w:kern w:val="0"/>
          <w:sz w:val="24"/>
        </w:rPr>
        <w:t>评标委员会完成评标后，应当向采购人提交书面评标报告。</w:t>
      </w:r>
      <w:bookmarkStart w:id="182" w:name="_Toc410631196"/>
      <w:bookmarkStart w:id="183" w:name="_Toc17062"/>
      <w:bookmarkStart w:id="184" w:name="_Toc28300"/>
      <w:bookmarkStart w:id="185" w:name="_Toc19011"/>
      <w:bookmarkStart w:id="186" w:name="_Toc414446032"/>
      <w:bookmarkStart w:id="187" w:name="_Toc9913"/>
      <w:bookmarkStart w:id="188" w:name="_Toc14622"/>
    </w:p>
    <w:p>
      <w:r>
        <w:br w:type="page"/>
      </w:r>
    </w:p>
    <w:p/>
    <w:p>
      <w:pPr>
        <w:tabs>
          <w:tab w:val="left" w:pos="-94"/>
          <w:tab w:val="left" w:pos="428"/>
        </w:tabs>
        <w:adjustRightInd w:val="0"/>
        <w:spacing w:line="360" w:lineRule="auto"/>
        <w:textAlignment w:val="baseline"/>
        <w:outlineLvl w:val="1"/>
        <w:rPr>
          <w:rFonts w:eastAsia="黑体"/>
          <w:sz w:val="28"/>
          <w:szCs w:val="28"/>
        </w:rPr>
      </w:pPr>
      <w:bookmarkStart w:id="189" w:name="_Toc19933"/>
      <w:r>
        <w:rPr>
          <w:rFonts w:hint="eastAsia" w:eastAsia="黑体"/>
          <w:sz w:val="28"/>
          <w:szCs w:val="28"/>
        </w:rPr>
        <w:t>适用于标项一：</w:t>
      </w:r>
      <w:bookmarkEnd w:id="182"/>
      <w:bookmarkEnd w:id="183"/>
      <w:bookmarkEnd w:id="184"/>
      <w:bookmarkEnd w:id="185"/>
      <w:bookmarkEnd w:id="186"/>
      <w:bookmarkEnd w:id="189"/>
      <w:bookmarkStart w:id="190" w:name="_Toc6054"/>
      <w:bookmarkStart w:id="191" w:name="_Toc414446033"/>
      <w:bookmarkStart w:id="192" w:name="_Toc410631197"/>
      <w:bookmarkStart w:id="193" w:name="_Toc26132"/>
      <w:bookmarkStart w:id="194" w:name="_Toc23856"/>
    </w:p>
    <w:p>
      <w:pPr>
        <w:tabs>
          <w:tab w:val="left" w:pos="-94"/>
          <w:tab w:val="left" w:pos="428"/>
        </w:tabs>
        <w:adjustRightInd w:val="0"/>
        <w:spacing w:line="360" w:lineRule="auto"/>
        <w:textAlignment w:val="baseline"/>
        <w:outlineLvl w:val="1"/>
        <w:rPr>
          <w:b/>
          <w:sz w:val="28"/>
          <w:szCs w:val="28"/>
        </w:rPr>
      </w:pPr>
      <w:bookmarkStart w:id="195" w:name="_Toc19768"/>
      <w:r>
        <w:rPr>
          <w:b/>
          <w:sz w:val="28"/>
          <w:szCs w:val="28"/>
        </w:rPr>
        <w:t>附表一 资格审查表</w:t>
      </w:r>
      <w:bookmarkEnd w:id="195"/>
    </w:p>
    <w:tbl>
      <w:tblPr>
        <w:tblStyle w:val="41"/>
        <w:tblW w:w="8522" w:type="dxa"/>
        <w:jc w:val="center"/>
        <w:tblLayout w:type="fixed"/>
        <w:tblCellMar>
          <w:top w:w="0" w:type="dxa"/>
          <w:left w:w="108" w:type="dxa"/>
          <w:bottom w:w="0" w:type="dxa"/>
          <w:right w:w="108" w:type="dxa"/>
        </w:tblCellMar>
      </w:tblPr>
      <w:tblGrid>
        <w:gridCol w:w="463"/>
        <w:gridCol w:w="1874"/>
        <w:gridCol w:w="4820"/>
        <w:gridCol w:w="425"/>
        <w:gridCol w:w="425"/>
        <w:gridCol w:w="515"/>
      </w:tblGrid>
      <w:tr>
        <w:tblPrEx>
          <w:tblCellMar>
            <w:top w:w="0" w:type="dxa"/>
            <w:left w:w="108" w:type="dxa"/>
            <w:bottom w:w="0" w:type="dxa"/>
            <w:right w:w="108" w:type="dxa"/>
          </w:tblCellMar>
        </w:tblPrEx>
        <w:trPr>
          <w:jc w:val="center"/>
        </w:trPr>
        <w:tc>
          <w:tcPr>
            <w:tcW w:w="2337" w:type="dxa"/>
            <w:gridSpan w:val="2"/>
            <w:vMerge w:val="restart"/>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jc w:val="center"/>
              <w:rPr>
                <w:rFonts w:ascii="Times New Roman" w:hAnsi="Times New Roman" w:cs="Times New Roman"/>
              </w:rPr>
            </w:pPr>
            <w:bookmarkStart w:id="196" w:name="_Hlk104564639"/>
            <w:r>
              <w:rPr>
                <w:rFonts w:ascii="Times New Roman" w:hAnsi="Times New Roman" w:cs="Times New Roman"/>
                <w:kern w:val="0"/>
              </w:rPr>
              <w:t>审查内容</w:t>
            </w:r>
          </w:p>
        </w:tc>
        <w:tc>
          <w:tcPr>
            <w:tcW w:w="4820" w:type="dxa"/>
            <w:vMerge w:val="restart"/>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Chars="200"/>
              <w:jc w:val="center"/>
              <w:rPr>
                <w:rFonts w:ascii="Times New Roman" w:hAnsi="Times New Roman" w:cs="Times New Roman"/>
              </w:rPr>
            </w:pPr>
            <w:r>
              <w:rPr>
                <w:rFonts w:ascii="Times New Roman" w:hAnsi="Times New Roman" w:cs="Times New Roman"/>
                <w:kern w:val="0"/>
              </w:rPr>
              <w:t>审查标准</w:t>
            </w:r>
          </w:p>
        </w:tc>
        <w:tc>
          <w:tcPr>
            <w:tcW w:w="1365" w:type="dxa"/>
            <w:gridSpan w:val="3"/>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jc w:val="center"/>
              <w:rPr>
                <w:rFonts w:ascii="Times New Roman" w:hAnsi="Times New Roman" w:cs="Times New Roman"/>
              </w:rPr>
            </w:pPr>
            <w:r>
              <w:rPr>
                <w:rFonts w:ascii="Times New Roman" w:hAnsi="Times New Roman" w:cs="Times New Roman"/>
                <w:kern w:val="0"/>
              </w:rPr>
              <w:t>投标</w:t>
            </w:r>
            <w:r>
              <w:rPr>
                <w:rFonts w:hint="eastAsia" w:ascii="Times New Roman" w:hAnsi="Times New Roman" w:cs="Times New Roman"/>
                <w:kern w:val="0"/>
              </w:rPr>
              <w:t>人</w:t>
            </w:r>
            <w:r>
              <w:rPr>
                <w:rFonts w:ascii="Times New Roman" w:hAnsi="Times New Roman" w:cs="Times New Roman"/>
                <w:kern w:val="0"/>
              </w:rPr>
              <w:t>名称</w:t>
            </w:r>
          </w:p>
        </w:tc>
      </w:tr>
      <w:tr>
        <w:tblPrEx>
          <w:tblCellMar>
            <w:top w:w="0" w:type="dxa"/>
            <w:left w:w="108" w:type="dxa"/>
            <w:bottom w:w="0" w:type="dxa"/>
            <w:right w:w="108" w:type="dxa"/>
          </w:tblCellMar>
        </w:tblPrEx>
        <w:trPr>
          <w:jc w:val="center"/>
        </w:trPr>
        <w:tc>
          <w:tcPr>
            <w:tcW w:w="233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Chars="200"/>
              <w:rPr>
                <w:rFonts w:ascii="Times New Roman" w:hAnsi="Times New Roman" w:cs="Times New Roman"/>
              </w:rPr>
            </w:pPr>
          </w:p>
        </w:tc>
        <w:tc>
          <w:tcPr>
            <w:tcW w:w="4820" w:type="dxa"/>
            <w:vMerge w:val="continue"/>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Chars="200"/>
              <w:rPr>
                <w:rFonts w:ascii="Times New Roman" w:hAnsi="Times New Roman" w:cs="Times New Roman"/>
              </w:rPr>
            </w:pPr>
          </w:p>
        </w:tc>
        <w:tc>
          <w:tcPr>
            <w:tcW w:w="425"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jc w:val="center"/>
              <w:rPr>
                <w:rFonts w:ascii="Times New Roman" w:hAnsi="Times New Roman" w:cs="Times New Roman"/>
              </w:rPr>
            </w:pPr>
            <w:r>
              <w:rPr>
                <w:rFonts w:ascii="Times New Roman" w:hAnsi="Times New Roman" w:cs="Times New Roman"/>
                <w:kern w:val="0"/>
              </w:rPr>
              <w:t>1</w:t>
            </w:r>
          </w:p>
        </w:tc>
        <w:tc>
          <w:tcPr>
            <w:tcW w:w="425"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jc w:val="center"/>
              <w:rPr>
                <w:rFonts w:ascii="Times New Roman" w:hAnsi="Times New Roman" w:cs="Times New Roman"/>
              </w:rPr>
            </w:pPr>
            <w:r>
              <w:rPr>
                <w:rFonts w:ascii="Times New Roman" w:hAnsi="Times New Roman" w:cs="Times New Roman"/>
                <w:kern w:val="0"/>
              </w:rPr>
              <w:t>2</w:t>
            </w:r>
          </w:p>
        </w:tc>
        <w:tc>
          <w:tcPr>
            <w:tcW w:w="515"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jc w:val="center"/>
              <w:rPr>
                <w:rFonts w:ascii="Times New Roman" w:hAnsi="Times New Roman" w:cs="Times New Roman"/>
              </w:rPr>
            </w:pPr>
            <w:r>
              <w:rPr>
                <w:rFonts w:ascii="Times New Roman" w:hAnsi="Times New Roman" w:cs="Times New Roman"/>
                <w:kern w:val="0"/>
              </w:rPr>
              <w:t>…</w:t>
            </w:r>
          </w:p>
        </w:tc>
      </w:tr>
      <w:tr>
        <w:tblPrEx>
          <w:tblCellMar>
            <w:top w:w="0" w:type="dxa"/>
            <w:left w:w="108" w:type="dxa"/>
            <w:bottom w:w="0" w:type="dxa"/>
            <w:right w:w="108" w:type="dxa"/>
          </w:tblCellMar>
        </w:tblPrEx>
        <w:trPr>
          <w:jc w:val="center"/>
        </w:trPr>
        <w:tc>
          <w:tcPr>
            <w:tcW w:w="46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1874"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rPr>
                <w:rFonts w:ascii="Times New Roman" w:hAnsi="Times New Roman" w:cs="Times New Roman"/>
              </w:rPr>
            </w:pPr>
            <w:r>
              <w:rPr>
                <w:rFonts w:ascii="Times New Roman" w:hAnsi="Times New Roman" w:cs="Times New Roman"/>
                <w:kern w:val="0"/>
              </w:rPr>
              <w:t>具有独立承担民事责任的能力</w:t>
            </w:r>
          </w:p>
        </w:tc>
        <w:tc>
          <w:tcPr>
            <w:tcW w:w="4820"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rPr>
                <w:rFonts w:ascii="Times New Roman" w:hAnsi="Times New Roman" w:cs="Times New Roman"/>
              </w:rPr>
            </w:pPr>
            <w:r>
              <w:rPr>
                <w:rFonts w:ascii="Times New Roman" w:hAnsi="Times New Roman" w:cs="Times New Roman"/>
                <w:kern w:val="0"/>
              </w:rPr>
              <w:t>法人或者其他组织的营业执照等证明文件；自然人需提供身份证明；</w:t>
            </w:r>
          </w:p>
        </w:tc>
        <w:tc>
          <w:tcPr>
            <w:tcW w:w="425"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Chars="200"/>
              <w:rPr>
                <w:rFonts w:ascii="Times New Roman" w:hAnsi="Times New Roman" w:cs="Times New Roman"/>
              </w:rPr>
            </w:pPr>
          </w:p>
        </w:tc>
        <w:tc>
          <w:tcPr>
            <w:tcW w:w="425" w:type="dxa"/>
            <w:tcBorders>
              <w:top w:val="single" w:color="auto" w:sz="4" w:space="0"/>
              <w:left w:val="single" w:color="auto" w:sz="4" w:space="0"/>
              <w:bottom w:val="single" w:color="auto" w:sz="4" w:space="0"/>
              <w:right w:val="single" w:color="auto" w:sz="4" w:space="0"/>
            </w:tcBorders>
          </w:tcPr>
          <w:p>
            <w:pPr>
              <w:pStyle w:val="25"/>
              <w:spacing w:line="240" w:lineRule="auto"/>
              <w:ind w:firstLineChars="200"/>
              <w:rPr>
                <w:rFonts w:ascii="Times New Roman" w:hAnsi="Times New Roman" w:cs="Times New Roman"/>
              </w:rPr>
            </w:pPr>
          </w:p>
        </w:tc>
        <w:tc>
          <w:tcPr>
            <w:tcW w:w="515" w:type="dxa"/>
            <w:tcBorders>
              <w:top w:val="single" w:color="auto" w:sz="4" w:space="0"/>
              <w:left w:val="single" w:color="auto" w:sz="4" w:space="0"/>
              <w:bottom w:val="single" w:color="auto" w:sz="4" w:space="0"/>
              <w:right w:val="single" w:color="auto" w:sz="4" w:space="0"/>
            </w:tcBorders>
          </w:tcPr>
          <w:p>
            <w:pPr>
              <w:pStyle w:val="25"/>
              <w:spacing w:line="240" w:lineRule="auto"/>
              <w:ind w:firstLineChars="200"/>
              <w:rPr>
                <w:rFonts w:ascii="Times New Roman" w:hAnsi="Times New Roman" w:cs="Times New Roman"/>
              </w:rPr>
            </w:pPr>
          </w:p>
        </w:tc>
      </w:tr>
      <w:tr>
        <w:tblPrEx>
          <w:tblCellMar>
            <w:top w:w="0" w:type="dxa"/>
            <w:left w:w="108" w:type="dxa"/>
            <w:bottom w:w="0" w:type="dxa"/>
            <w:right w:w="108" w:type="dxa"/>
          </w:tblCellMar>
        </w:tblPrEx>
        <w:trPr>
          <w:jc w:val="center"/>
        </w:trPr>
        <w:tc>
          <w:tcPr>
            <w:tcW w:w="46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1874"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rPr>
                <w:rFonts w:ascii="Times New Roman" w:hAnsi="Times New Roman" w:cs="Times New Roman"/>
                <w:kern w:val="0"/>
              </w:rPr>
            </w:pPr>
            <w:r>
              <w:rPr>
                <w:rFonts w:hAnsi="宋体" w:cs="宋体"/>
                <w:spacing w:val="-2"/>
              </w:rPr>
              <w:t>投标人代表身份证明</w:t>
            </w:r>
          </w:p>
        </w:tc>
        <w:tc>
          <w:tcPr>
            <w:tcW w:w="4820" w:type="dxa"/>
            <w:tcBorders>
              <w:top w:val="single" w:color="auto" w:sz="4" w:space="0"/>
              <w:left w:val="single" w:color="auto" w:sz="4" w:space="0"/>
              <w:bottom w:val="single" w:color="auto" w:sz="4" w:space="0"/>
              <w:right w:val="single" w:color="auto" w:sz="4" w:space="0"/>
            </w:tcBorders>
            <w:vAlign w:val="center"/>
          </w:tcPr>
          <w:p>
            <w:pPr>
              <w:spacing w:after="100" w:afterAutospacing="1"/>
              <w:rPr>
                <w:szCs w:val="21"/>
              </w:rPr>
            </w:pPr>
            <w:r>
              <w:rPr>
                <w:rFonts w:hint="eastAsia"/>
                <w:szCs w:val="21"/>
              </w:rPr>
              <w:t>提供有效的《法定代表人资格证明书》或《法定代表人授权委托书》等；</w:t>
            </w:r>
          </w:p>
        </w:tc>
        <w:tc>
          <w:tcPr>
            <w:tcW w:w="425"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Chars="200"/>
              <w:rPr>
                <w:rFonts w:ascii="Times New Roman" w:hAnsi="Times New Roman" w:cs="Times New Roman"/>
              </w:rPr>
            </w:pPr>
          </w:p>
        </w:tc>
        <w:tc>
          <w:tcPr>
            <w:tcW w:w="425" w:type="dxa"/>
            <w:tcBorders>
              <w:top w:val="single" w:color="auto" w:sz="4" w:space="0"/>
              <w:left w:val="single" w:color="auto" w:sz="4" w:space="0"/>
              <w:bottom w:val="single" w:color="auto" w:sz="4" w:space="0"/>
              <w:right w:val="single" w:color="auto" w:sz="4" w:space="0"/>
            </w:tcBorders>
          </w:tcPr>
          <w:p>
            <w:pPr>
              <w:pStyle w:val="25"/>
              <w:spacing w:line="240" w:lineRule="auto"/>
              <w:ind w:firstLineChars="200"/>
              <w:rPr>
                <w:rFonts w:ascii="Times New Roman" w:hAnsi="Times New Roman" w:cs="Times New Roman"/>
              </w:rPr>
            </w:pPr>
          </w:p>
        </w:tc>
        <w:tc>
          <w:tcPr>
            <w:tcW w:w="515" w:type="dxa"/>
            <w:tcBorders>
              <w:top w:val="single" w:color="auto" w:sz="4" w:space="0"/>
              <w:left w:val="single" w:color="auto" w:sz="4" w:space="0"/>
              <w:bottom w:val="single" w:color="auto" w:sz="4" w:space="0"/>
              <w:right w:val="single" w:color="auto" w:sz="4" w:space="0"/>
            </w:tcBorders>
          </w:tcPr>
          <w:p>
            <w:pPr>
              <w:pStyle w:val="25"/>
              <w:spacing w:line="240" w:lineRule="auto"/>
              <w:ind w:firstLineChars="200"/>
              <w:rPr>
                <w:rFonts w:ascii="Times New Roman" w:hAnsi="Times New Roman" w:cs="Times New Roman"/>
              </w:rPr>
            </w:pPr>
          </w:p>
        </w:tc>
      </w:tr>
      <w:tr>
        <w:tblPrEx>
          <w:tblCellMar>
            <w:top w:w="0" w:type="dxa"/>
            <w:left w:w="108" w:type="dxa"/>
            <w:bottom w:w="0" w:type="dxa"/>
            <w:right w:w="108" w:type="dxa"/>
          </w:tblCellMar>
        </w:tblPrEx>
        <w:trPr>
          <w:jc w:val="center"/>
        </w:trPr>
        <w:tc>
          <w:tcPr>
            <w:tcW w:w="46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1874"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rPr>
                <w:rFonts w:ascii="Times New Roman" w:hAnsi="Times New Roman" w:cs="Times New Roman"/>
              </w:rPr>
            </w:pPr>
            <w:r>
              <w:rPr>
                <w:rFonts w:ascii="Times New Roman" w:hAnsi="Times New Roman" w:cs="Times New Roman"/>
                <w:kern w:val="0"/>
              </w:rPr>
              <w:t>健全的财务会计制度</w:t>
            </w:r>
          </w:p>
        </w:tc>
        <w:tc>
          <w:tcPr>
            <w:tcW w:w="4820" w:type="dxa"/>
            <w:tcBorders>
              <w:top w:val="single" w:color="auto" w:sz="4" w:space="0"/>
              <w:left w:val="single" w:color="auto" w:sz="4" w:space="0"/>
              <w:bottom w:val="single" w:color="auto" w:sz="4" w:space="0"/>
              <w:right w:val="single" w:color="auto" w:sz="4" w:space="0"/>
            </w:tcBorders>
            <w:vAlign w:val="center"/>
          </w:tcPr>
          <w:p>
            <w:pPr>
              <w:spacing w:after="100" w:afterAutospacing="1"/>
              <w:rPr>
                <w:szCs w:val="21"/>
              </w:rPr>
            </w:pPr>
            <w:r>
              <w:rPr>
                <w:szCs w:val="21"/>
              </w:rPr>
              <w:t>提供上年度</w:t>
            </w:r>
            <w:r>
              <w:rPr>
                <w:rFonts w:hint="eastAsia"/>
                <w:szCs w:val="21"/>
              </w:rPr>
              <w:t>（</w:t>
            </w:r>
            <w:r>
              <w:rPr>
                <w:szCs w:val="21"/>
              </w:rPr>
              <w:t>2021</w:t>
            </w:r>
            <w:r>
              <w:rPr>
                <w:rFonts w:hint="eastAsia"/>
                <w:szCs w:val="21"/>
              </w:rPr>
              <w:t>年）</w:t>
            </w:r>
            <w:r>
              <w:rPr>
                <w:szCs w:val="21"/>
              </w:rPr>
              <w:t>财务审计报告或半年内任意一个月财务报表（财务报表应至少包括资产负债表、利润表、现金流量表或财务状况变动表，当月新成立公司不需提供）。</w:t>
            </w:r>
          </w:p>
        </w:tc>
        <w:tc>
          <w:tcPr>
            <w:tcW w:w="425"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Chars="200"/>
              <w:rPr>
                <w:rFonts w:ascii="Times New Roman" w:hAnsi="Times New Roman" w:cs="Times New Roman"/>
              </w:rPr>
            </w:pPr>
          </w:p>
        </w:tc>
        <w:tc>
          <w:tcPr>
            <w:tcW w:w="425" w:type="dxa"/>
            <w:tcBorders>
              <w:top w:val="single" w:color="auto" w:sz="4" w:space="0"/>
              <w:left w:val="single" w:color="auto" w:sz="4" w:space="0"/>
              <w:bottom w:val="single" w:color="auto" w:sz="4" w:space="0"/>
              <w:right w:val="single" w:color="auto" w:sz="4" w:space="0"/>
            </w:tcBorders>
          </w:tcPr>
          <w:p>
            <w:pPr>
              <w:pStyle w:val="25"/>
              <w:spacing w:line="240" w:lineRule="auto"/>
              <w:ind w:firstLineChars="200"/>
              <w:rPr>
                <w:rFonts w:ascii="Times New Roman" w:hAnsi="Times New Roman" w:cs="Times New Roman"/>
              </w:rPr>
            </w:pPr>
          </w:p>
        </w:tc>
        <w:tc>
          <w:tcPr>
            <w:tcW w:w="515" w:type="dxa"/>
            <w:tcBorders>
              <w:top w:val="single" w:color="auto" w:sz="4" w:space="0"/>
              <w:left w:val="single" w:color="auto" w:sz="4" w:space="0"/>
              <w:bottom w:val="single" w:color="auto" w:sz="4" w:space="0"/>
              <w:right w:val="single" w:color="auto" w:sz="4" w:space="0"/>
            </w:tcBorders>
          </w:tcPr>
          <w:p>
            <w:pPr>
              <w:pStyle w:val="25"/>
              <w:spacing w:line="240" w:lineRule="auto"/>
              <w:ind w:firstLineChars="200"/>
              <w:rPr>
                <w:rFonts w:ascii="Times New Roman" w:hAnsi="Times New Roman" w:cs="Times New Roman"/>
              </w:rPr>
            </w:pPr>
          </w:p>
        </w:tc>
      </w:tr>
      <w:tr>
        <w:tblPrEx>
          <w:tblCellMar>
            <w:top w:w="0" w:type="dxa"/>
            <w:left w:w="108" w:type="dxa"/>
            <w:bottom w:w="0" w:type="dxa"/>
            <w:right w:w="108" w:type="dxa"/>
          </w:tblCellMar>
        </w:tblPrEx>
        <w:trPr>
          <w:jc w:val="center"/>
        </w:trPr>
        <w:tc>
          <w:tcPr>
            <w:tcW w:w="46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w:t>
            </w:r>
          </w:p>
        </w:tc>
        <w:tc>
          <w:tcPr>
            <w:tcW w:w="1874" w:type="dxa"/>
            <w:tcBorders>
              <w:top w:val="single" w:color="auto" w:sz="4" w:space="0"/>
              <w:left w:val="single" w:color="auto" w:sz="4" w:space="0"/>
              <w:bottom w:val="single" w:color="auto" w:sz="4" w:space="0"/>
              <w:right w:val="single" w:color="auto" w:sz="4" w:space="0"/>
            </w:tcBorders>
            <w:vAlign w:val="center"/>
          </w:tcPr>
          <w:p>
            <w:pPr>
              <w:spacing w:after="100" w:afterAutospacing="1"/>
              <w:rPr>
                <w:szCs w:val="21"/>
              </w:rPr>
            </w:pPr>
            <w:r>
              <w:rPr>
                <w:szCs w:val="21"/>
              </w:rPr>
              <w:t>缴纳税收</w:t>
            </w:r>
          </w:p>
        </w:tc>
        <w:tc>
          <w:tcPr>
            <w:tcW w:w="4820" w:type="dxa"/>
            <w:tcBorders>
              <w:top w:val="single" w:color="auto" w:sz="4" w:space="0"/>
              <w:left w:val="single" w:color="auto" w:sz="4" w:space="0"/>
              <w:bottom w:val="single" w:color="auto" w:sz="4" w:space="0"/>
              <w:right w:val="single" w:color="auto" w:sz="4" w:space="0"/>
            </w:tcBorders>
            <w:vAlign w:val="center"/>
          </w:tcPr>
          <w:p>
            <w:pPr>
              <w:spacing w:after="100" w:afterAutospacing="1"/>
              <w:rPr>
                <w:szCs w:val="21"/>
              </w:rPr>
            </w:pPr>
            <w:r>
              <w:rPr>
                <w:szCs w:val="21"/>
              </w:rPr>
              <w:t>提供的近半年内任意一月依法缴纳税收证明，当月新成立公司不需提供；无需纳税或免税的也需提供相应证明材料。</w:t>
            </w:r>
          </w:p>
        </w:tc>
        <w:tc>
          <w:tcPr>
            <w:tcW w:w="425"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Chars="200"/>
              <w:rPr>
                <w:rFonts w:ascii="Times New Roman" w:hAnsi="Times New Roman" w:cs="Times New Roman"/>
              </w:rPr>
            </w:pPr>
          </w:p>
        </w:tc>
        <w:tc>
          <w:tcPr>
            <w:tcW w:w="425" w:type="dxa"/>
            <w:tcBorders>
              <w:top w:val="single" w:color="auto" w:sz="4" w:space="0"/>
              <w:left w:val="single" w:color="auto" w:sz="4" w:space="0"/>
              <w:bottom w:val="single" w:color="auto" w:sz="4" w:space="0"/>
              <w:right w:val="single" w:color="auto" w:sz="4" w:space="0"/>
            </w:tcBorders>
          </w:tcPr>
          <w:p>
            <w:pPr>
              <w:pStyle w:val="25"/>
              <w:spacing w:line="240" w:lineRule="auto"/>
              <w:ind w:firstLineChars="200"/>
              <w:rPr>
                <w:rFonts w:ascii="Times New Roman" w:hAnsi="Times New Roman" w:cs="Times New Roman"/>
              </w:rPr>
            </w:pPr>
          </w:p>
        </w:tc>
        <w:tc>
          <w:tcPr>
            <w:tcW w:w="515" w:type="dxa"/>
            <w:tcBorders>
              <w:top w:val="single" w:color="auto" w:sz="4" w:space="0"/>
              <w:left w:val="single" w:color="auto" w:sz="4" w:space="0"/>
              <w:bottom w:val="single" w:color="auto" w:sz="4" w:space="0"/>
              <w:right w:val="single" w:color="auto" w:sz="4" w:space="0"/>
            </w:tcBorders>
          </w:tcPr>
          <w:p>
            <w:pPr>
              <w:pStyle w:val="25"/>
              <w:spacing w:line="240" w:lineRule="auto"/>
              <w:ind w:firstLineChars="200"/>
              <w:rPr>
                <w:rFonts w:ascii="Times New Roman" w:hAnsi="Times New Roman" w:cs="Times New Roman"/>
              </w:rPr>
            </w:pPr>
          </w:p>
        </w:tc>
      </w:tr>
      <w:tr>
        <w:tblPrEx>
          <w:tblCellMar>
            <w:top w:w="0" w:type="dxa"/>
            <w:left w:w="108" w:type="dxa"/>
            <w:bottom w:w="0" w:type="dxa"/>
            <w:right w:w="108" w:type="dxa"/>
          </w:tblCellMar>
        </w:tblPrEx>
        <w:trPr>
          <w:jc w:val="center"/>
        </w:trPr>
        <w:tc>
          <w:tcPr>
            <w:tcW w:w="46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w:t>
            </w:r>
          </w:p>
        </w:tc>
        <w:tc>
          <w:tcPr>
            <w:tcW w:w="1874" w:type="dxa"/>
            <w:tcBorders>
              <w:top w:val="single" w:color="auto" w:sz="4" w:space="0"/>
              <w:left w:val="single" w:color="auto" w:sz="4" w:space="0"/>
              <w:bottom w:val="single" w:color="auto" w:sz="4" w:space="0"/>
              <w:right w:val="single" w:color="auto" w:sz="4" w:space="0"/>
            </w:tcBorders>
            <w:vAlign w:val="center"/>
          </w:tcPr>
          <w:p>
            <w:pPr>
              <w:spacing w:after="100" w:afterAutospacing="1"/>
              <w:rPr>
                <w:szCs w:val="21"/>
              </w:rPr>
            </w:pPr>
            <w:r>
              <w:rPr>
                <w:szCs w:val="21"/>
              </w:rPr>
              <w:t>缴纳社会保障资金</w:t>
            </w:r>
          </w:p>
        </w:tc>
        <w:tc>
          <w:tcPr>
            <w:tcW w:w="4820" w:type="dxa"/>
            <w:tcBorders>
              <w:top w:val="single" w:color="auto" w:sz="4" w:space="0"/>
              <w:left w:val="single" w:color="auto" w:sz="4" w:space="0"/>
              <w:bottom w:val="single" w:color="auto" w:sz="4" w:space="0"/>
              <w:right w:val="single" w:color="auto" w:sz="4" w:space="0"/>
            </w:tcBorders>
            <w:vAlign w:val="center"/>
          </w:tcPr>
          <w:p>
            <w:pPr>
              <w:spacing w:after="100" w:afterAutospacing="1"/>
              <w:rPr>
                <w:szCs w:val="21"/>
              </w:rPr>
            </w:pPr>
            <w:r>
              <w:rPr>
                <w:szCs w:val="21"/>
              </w:rPr>
              <w:t>提供社保缴纳证明（近半年内任意一月社保缴纳证明，当月新成立公司不需提供）</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25" w:type="dxa"/>
            <w:tcBorders>
              <w:top w:val="single" w:color="auto" w:sz="4" w:space="0"/>
              <w:left w:val="single" w:color="auto" w:sz="4" w:space="0"/>
              <w:bottom w:val="single" w:color="auto" w:sz="4" w:space="0"/>
              <w:right w:val="single" w:color="auto" w:sz="4" w:space="0"/>
            </w:tcBorders>
          </w:tcPr>
          <w:p>
            <w:pPr>
              <w:jc w:val="center"/>
              <w:rPr>
                <w:szCs w:val="21"/>
              </w:rPr>
            </w:pPr>
          </w:p>
        </w:tc>
        <w:tc>
          <w:tcPr>
            <w:tcW w:w="515"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CellMar>
            <w:top w:w="0" w:type="dxa"/>
            <w:left w:w="108" w:type="dxa"/>
            <w:bottom w:w="0" w:type="dxa"/>
            <w:right w:w="108" w:type="dxa"/>
          </w:tblCellMar>
        </w:tblPrEx>
        <w:trPr>
          <w:jc w:val="center"/>
        </w:trPr>
        <w:tc>
          <w:tcPr>
            <w:tcW w:w="46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1874" w:type="dxa"/>
            <w:tcBorders>
              <w:top w:val="single" w:color="auto" w:sz="4" w:space="0"/>
              <w:left w:val="single" w:color="auto" w:sz="4" w:space="0"/>
              <w:bottom w:val="single" w:color="auto" w:sz="4" w:space="0"/>
              <w:right w:val="single" w:color="auto" w:sz="4" w:space="0"/>
            </w:tcBorders>
            <w:vAlign w:val="center"/>
          </w:tcPr>
          <w:p>
            <w:pPr>
              <w:spacing w:after="100" w:afterAutospacing="1"/>
              <w:rPr>
                <w:szCs w:val="21"/>
              </w:rPr>
            </w:pPr>
            <w:r>
              <w:rPr>
                <w:szCs w:val="21"/>
              </w:rPr>
              <w:t>履行合同所必需的设备和能力</w:t>
            </w:r>
          </w:p>
        </w:tc>
        <w:tc>
          <w:tcPr>
            <w:tcW w:w="4820" w:type="dxa"/>
            <w:tcBorders>
              <w:top w:val="single" w:color="auto" w:sz="4" w:space="0"/>
              <w:left w:val="single" w:color="auto" w:sz="4" w:space="0"/>
              <w:bottom w:val="single" w:color="auto" w:sz="4" w:space="0"/>
              <w:right w:val="single" w:color="auto" w:sz="4" w:space="0"/>
            </w:tcBorders>
            <w:vAlign w:val="center"/>
          </w:tcPr>
          <w:p>
            <w:pPr>
              <w:spacing w:after="100" w:afterAutospacing="1"/>
              <w:rPr>
                <w:szCs w:val="21"/>
              </w:rPr>
            </w:pPr>
            <w:r>
              <w:rPr>
                <w:szCs w:val="21"/>
              </w:rPr>
              <w:t>提供具有履行合同所必需的设备和专业技术能力相关证明材料或声明；</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25" w:type="dxa"/>
            <w:tcBorders>
              <w:top w:val="single" w:color="auto" w:sz="4" w:space="0"/>
              <w:left w:val="single" w:color="auto" w:sz="4" w:space="0"/>
              <w:bottom w:val="single" w:color="auto" w:sz="4" w:space="0"/>
              <w:right w:val="single" w:color="auto" w:sz="4" w:space="0"/>
            </w:tcBorders>
          </w:tcPr>
          <w:p>
            <w:pPr>
              <w:jc w:val="center"/>
              <w:rPr>
                <w:szCs w:val="21"/>
              </w:rPr>
            </w:pPr>
          </w:p>
        </w:tc>
        <w:tc>
          <w:tcPr>
            <w:tcW w:w="515"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CellMar>
            <w:top w:w="0" w:type="dxa"/>
            <w:left w:w="108" w:type="dxa"/>
            <w:bottom w:w="0" w:type="dxa"/>
            <w:right w:w="108" w:type="dxa"/>
          </w:tblCellMar>
        </w:tblPrEx>
        <w:trPr>
          <w:jc w:val="center"/>
        </w:trPr>
        <w:tc>
          <w:tcPr>
            <w:tcW w:w="46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7</w:t>
            </w:r>
          </w:p>
        </w:tc>
        <w:tc>
          <w:tcPr>
            <w:tcW w:w="1874" w:type="dxa"/>
            <w:tcBorders>
              <w:top w:val="single" w:color="auto" w:sz="4" w:space="0"/>
              <w:left w:val="single" w:color="auto" w:sz="4" w:space="0"/>
              <w:bottom w:val="single" w:color="auto" w:sz="4" w:space="0"/>
              <w:right w:val="single" w:color="auto" w:sz="4" w:space="0"/>
            </w:tcBorders>
            <w:vAlign w:val="center"/>
          </w:tcPr>
          <w:p>
            <w:pPr>
              <w:spacing w:after="100" w:afterAutospacing="1"/>
              <w:rPr>
                <w:szCs w:val="21"/>
              </w:rPr>
            </w:pPr>
            <w:r>
              <w:rPr>
                <w:szCs w:val="21"/>
              </w:rPr>
              <w:t>提供无重大违法记录声明书</w:t>
            </w:r>
          </w:p>
        </w:tc>
        <w:tc>
          <w:tcPr>
            <w:tcW w:w="482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提供无重大违法记录声明书；</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25" w:type="dxa"/>
            <w:tcBorders>
              <w:top w:val="single" w:color="auto" w:sz="4" w:space="0"/>
              <w:left w:val="single" w:color="auto" w:sz="4" w:space="0"/>
              <w:bottom w:val="single" w:color="auto" w:sz="4" w:space="0"/>
              <w:right w:val="single" w:color="auto" w:sz="4" w:space="0"/>
            </w:tcBorders>
          </w:tcPr>
          <w:p>
            <w:pPr>
              <w:jc w:val="center"/>
              <w:rPr>
                <w:szCs w:val="21"/>
              </w:rPr>
            </w:pPr>
          </w:p>
        </w:tc>
        <w:tc>
          <w:tcPr>
            <w:tcW w:w="515"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CellMar>
            <w:top w:w="0" w:type="dxa"/>
            <w:left w:w="108" w:type="dxa"/>
            <w:bottom w:w="0" w:type="dxa"/>
            <w:right w:w="108" w:type="dxa"/>
          </w:tblCellMar>
        </w:tblPrEx>
        <w:trPr>
          <w:jc w:val="center"/>
        </w:trPr>
        <w:tc>
          <w:tcPr>
            <w:tcW w:w="46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8</w:t>
            </w:r>
          </w:p>
        </w:tc>
        <w:tc>
          <w:tcPr>
            <w:tcW w:w="1874" w:type="dxa"/>
            <w:tcBorders>
              <w:top w:val="single" w:color="auto" w:sz="4" w:space="0"/>
              <w:left w:val="single" w:color="auto" w:sz="4" w:space="0"/>
              <w:bottom w:val="single" w:color="auto" w:sz="4" w:space="0"/>
              <w:right w:val="single" w:color="auto" w:sz="4" w:space="0"/>
            </w:tcBorders>
            <w:vAlign w:val="center"/>
          </w:tcPr>
          <w:p>
            <w:pPr>
              <w:spacing w:after="100" w:afterAutospacing="1"/>
              <w:rPr>
                <w:rFonts w:ascii="Arial" w:hAnsi="Arial" w:cs="Arial"/>
                <w:snapToGrid w:val="0"/>
                <w:szCs w:val="21"/>
              </w:rPr>
            </w:pPr>
            <w:r>
              <w:rPr>
                <w:rFonts w:ascii="Arial" w:hAnsi="Arial" w:cs="Arial"/>
                <w:snapToGrid w:val="0"/>
                <w:szCs w:val="21"/>
              </w:rPr>
              <w:t>其他特定资格证明</w:t>
            </w:r>
          </w:p>
        </w:tc>
        <w:tc>
          <w:tcPr>
            <w:tcW w:w="4820" w:type="dxa"/>
            <w:tcBorders>
              <w:top w:val="single" w:color="auto" w:sz="4" w:space="0"/>
              <w:left w:val="single" w:color="auto" w:sz="4" w:space="0"/>
              <w:bottom w:val="single" w:color="auto" w:sz="4" w:space="0"/>
              <w:right w:val="single" w:color="auto" w:sz="4" w:space="0"/>
            </w:tcBorders>
            <w:vAlign w:val="center"/>
          </w:tcPr>
          <w:p>
            <w:pPr>
              <w:snapToGrid w:val="0"/>
              <w:rPr>
                <w:rFonts w:ascii="Arial" w:hAnsi="Arial" w:cs="Arial"/>
                <w:snapToGrid w:val="0"/>
                <w:szCs w:val="21"/>
              </w:rPr>
            </w:pPr>
            <w:r>
              <w:rPr>
                <w:rFonts w:hint="eastAsia" w:ascii="Arial" w:hAnsi="Arial" w:cs="Arial"/>
                <w:snapToGrid w:val="0"/>
                <w:szCs w:val="21"/>
              </w:rPr>
              <w:t>医疗器械经营备案凭证或医疗器械生产许可证或医疗器械经营许可证或其他医疗器械生产经营许可证明文件（根据所投内容提供）。</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25" w:type="dxa"/>
            <w:tcBorders>
              <w:top w:val="single" w:color="auto" w:sz="4" w:space="0"/>
              <w:left w:val="single" w:color="auto" w:sz="4" w:space="0"/>
              <w:bottom w:val="single" w:color="auto" w:sz="4" w:space="0"/>
              <w:right w:val="single" w:color="auto" w:sz="4" w:space="0"/>
            </w:tcBorders>
          </w:tcPr>
          <w:p>
            <w:pPr>
              <w:jc w:val="center"/>
              <w:rPr>
                <w:szCs w:val="21"/>
              </w:rPr>
            </w:pPr>
          </w:p>
        </w:tc>
        <w:tc>
          <w:tcPr>
            <w:tcW w:w="515"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CellMar>
            <w:top w:w="0" w:type="dxa"/>
            <w:left w:w="108" w:type="dxa"/>
            <w:bottom w:w="0" w:type="dxa"/>
            <w:right w:w="108" w:type="dxa"/>
          </w:tblCellMar>
        </w:tblPrEx>
        <w:trPr>
          <w:jc w:val="center"/>
        </w:trPr>
        <w:tc>
          <w:tcPr>
            <w:tcW w:w="46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9</w:t>
            </w:r>
          </w:p>
        </w:tc>
        <w:tc>
          <w:tcPr>
            <w:tcW w:w="1874"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rPr>
                <w:rFonts w:ascii="Times New Roman" w:hAnsi="Times New Roman" w:cs="Times New Roman"/>
                <w:kern w:val="0"/>
              </w:rPr>
            </w:pPr>
            <w:r>
              <w:rPr>
                <w:rFonts w:hint="eastAsia" w:ascii="Times New Roman" w:hAnsi="Times New Roman" w:cs="Times New Roman"/>
                <w:kern w:val="0"/>
              </w:rPr>
              <w:t>落实政府采购政策需满足的资格要求</w:t>
            </w:r>
          </w:p>
        </w:tc>
        <w:tc>
          <w:tcPr>
            <w:tcW w:w="4820" w:type="dxa"/>
            <w:tcBorders>
              <w:top w:val="single" w:color="auto" w:sz="4" w:space="0"/>
              <w:left w:val="single" w:color="auto" w:sz="4" w:space="0"/>
              <w:bottom w:val="single" w:color="auto" w:sz="4" w:space="0"/>
              <w:right w:val="single" w:color="auto" w:sz="4" w:space="0"/>
            </w:tcBorders>
            <w:vAlign w:val="center"/>
          </w:tcPr>
          <w:p>
            <w:pPr>
              <w:pStyle w:val="25"/>
              <w:ind w:firstLine="0"/>
              <w:rPr>
                <w:rFonts w:ascii="Times New Roman" w:hAnsi="Times New Roman" w:cs="Times New Roman"/>
                <w:kern w:val="0"/>
              </w:rPr>
            </w:pPr>
            <w:r>
              <w:rPr>
                <w:rFonts w:hint="eastAsia" w:ascii="Times New Roman" w:hAnsi="Times New Roman" w:cs="Times New Roman"/>
                <w:kern w:val="0"/>
              </w:rPr>
              <w:t>本项目标项1、2为专门面向中小企业采购的项目，投标人所投产品生产厂家应均为中小微企业或监狱企业或残疾人福利性单位；</w:t>
            </w:r>
          </w:p>
          <w:p>
            <w:pPr>
              <w:pStyle w:val="25"/>
              <w:spacing w:line="240" w:lineRule="auto"/>
              <w:ind w:firstLine="0"/>
              <w:rPr>
                <w:rFonts w:ascii="Times New Roman" w:hAnsi="Times New Roman" w:cs="Times New Roman"/>
                <w:kern w:val="0"/>
              </w:rPr>
            </w:pPr>
            <w:r>
              <w:rPr>
                <w:rFonts w:hint="eastAsia" w:ascii="Times New Roman" w:hAnsi="Times New Roman" w:cs="Times New Roman"/>
                <w:kern w:val="0"/>
              </w:rPr>
              <w:t>投标人应按招标文件要求提供《中小企业声明函》或《残疾人福利性单位声明函》或监狱企业证明材料；</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25" w:type="dxa"/>
            <w:tcBorders>
              <w:top w:val="single" w:color="auto" w:sz="4" w:space="0"/>
              <w:left w:val="single" w:color="auto" w:sz="4" w:space="0"/>
              <w:bottom w:val="single" w:color="auto" w:sz="4" w:space="0"/>
              <w:right w:val="single" w:color="auto" w:sz="4" w:space="0"/>
            </w:tcBorders>
          </w:tcPr>
          <w:p>
            <w:pPr>
              <w:jc w:val="center"/>
              <w:rPr>
                <w:szCs w:val="21"/>
              </w:rPr>
            </w:pPr>
          </w:p>
        </w:tc>
        <w:tc>
          <w:tcPr>
            <w:tcW w:w="515"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CellMar>
            <w:top w:w="0" w:type="dxa"/>
            <w:left w:w="108" w:type="dxa"/>
            <w:bottom w:w="0" w:type="dxa"/>
            <w:right w:w="108" w:type="dxa"/>
          </w:tblCellMar>
        </w:tblPrEx>
        <w:trPr>
          <w:jc w:val="center"/>
        </w:trPr>
        <w:tc>
          <w:tcPr>
            <w:tcW w:w="46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10</w:t>
            </w:r>
          </w:p>
        </w:tc>
        <w:tc>
          <w:tcPr>
            <w:tcW w:w="1874"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rPr>
                <w:rFonts w:ascii="Times New Roman" w:hAnsi="Times New Roman" w:cs="Times New Roman"/>
              </w:rPr>
            </w:pPr>
            <w:r>
              <w:rPr>
                <w:rFonts w:ascii="Times New Roman" w:hAnsi="Times New Roman" w:cs="Times New Roman"/>
                <w:kern w:val="0"/>
              </w:rPr>
              <w:t>信用查询结果</w:t>
            </w:r>
          </w:p>
        </w:tc>
        <w:tc>
          <w:tcPr>
            <w:tcW w:w="4820"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rPr>
                <w:rFonts w:ascii="Times New Roman" w:hAnsi="Times New Roman" w:cs="Times New Roman"/>
                <w:kern w:val="0"/>
              </w:rPr>
            </w:pPr>
            <w:r>
              <w:rPr>
                <w:rFonts w:ascii="Times New Roman" w:hAnsi="Times New Roman" w:cs="Times New Roman"/>
                <w:kern w:val="0"/>
              </w:rPr>
              <w:t>1、“信用中国”（www.creditchina.gov.cn）未被列入重大税收违法案件当事人名单；</w:t>
            </w:r>
          </w:p>
          <w:p>
            <w:pPr>
              <w:pStyle w:val="25"/>
              <w:spacing w:line="240" w:lineRule="auto"/>
              <w:ind w:firstLine="0"/>
              <w:rPr>
                <w:rFonts w:ascii="Times New Roman" w:hAnsi="Times New Roman" w:cs="Times New Roman"/>
                <w:kern w:val="0"/>
              </w:rPr>
            </w:pPr>
            <w:r>
              <w:rPr>
                <w:rFonts w:ascii="Times New Roman" w:hAnsi="Times New Roman" w:cs="Times New Roman"/>
                <w:kern w:val="0"/>
              </w:rPr>
              <w:t>2、“中国执行信息公开网”（http://zxgk.court.gov.cn/）未被列入失信被执行人；</w:t>
            </w:r>
          </w:p>
          <w:p>
            <w:pPr>
              <w:pStyle w:val="25"/>
              <w:spacing w:line="240" w:lineRule="auto"/>
              <w:ind w:firstLine="0"/>
              <w:rPr>
                <w:rFonts w:ascii="Times New Roman" w:hAnsi="Times New Roman" w:cs="Times New Roman"/>
              </w:rPr>
            </w:pPr>
            <w:r>
              <w:rPr>
                <w:rFonts w:ascii="Times New Roman" w:hAnsi="Times New Roman" w:cs="Times New Roman"/>
                <w:kern w:val="0"/>
              </w:rPr>
              <w:t>3、“中国政府采购网”（www.ccgp.gov.cn）网站上未被列入政府采购严重违法失信行为记录名单；</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25" w:type="dxa"/>
            <w:tcBorders>
              <w:top w:val="single" w:color="auto" w:sz="4" w:space="0"/>
              <w:left w:val="single" w:color="auto" w:sz="4" w:space="0"/>
              <w:bottom w:val="single" w:color="auto" w:sz="4" w:space="0"/>
              <w:right w:val="single" w:color="auto" w:sz="4" w:space="0"/>
            </w:tcBorders>
          </w:tcPr>
          <w:p>
            <w:pPr>
              <w:jc w:val="center"/>
              <w:rPr>
                <w:szCs w:val="21"/>
              </w:rPr>
            </w:pPr>
          </w:p>
        </w:tc>
        <w:tc>
          <w:tcPr>
            <w:tcW w:w="515"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CellMar>
            <w:top w:w="0" w:type="dxa"/>
            <w:left w:w="108" w:type="dxa"/>
            <w:bottom w:w="0" w:type="dxa"/>
            <w:right w:w="108" w:type="dxa"/>
          </w:tblCellMar>
        </w:tblPrEx>
        <w:trPr>
          <w:jc w:val="center"/>
        </w:trPr>
        <w:tc>
          <w:tcPr>
            <w:tcW w:w="463"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11</w:t>
            </w:r>
          </w:p>
        </w:tc>
        <w:tc>
          <w:tcPr>
            <w:tcW w:w="1874" w:type="dxa"/>
            <w:tcBorders>
              <w:top w:val="single" w:color="auto" w:sz="4" w:space="0"/>
              <w:left w:val="single" w:color="auto" w:sz="4" w:space="0"/>
              <w:bottom w:val="single" w:color="auto" w:sz="4" w:space="0"/>
              <w:right w:val="single" w:color="auto" w:sz="4" w:space="0"/>
            </w:tcBorders>
            <w:vAlign w:val="center"/>
          </w:tcPr>
          <w:p>
            <w:pPr>
              <w:spacing w:after="100" w:afterAutospacing="1"/>
              <w:rPr>
                <w:kern w:val="0"/>
                <w:szCs w:val="21"/>
              </w:rPr>
            </w:pPr>
            <w:r>
              <w:rPr>
                <w:kern w:val="0"/>
                <w:szCs w:val="21"/>
              </w:rPr>
              <w:t>不参与围标串标承诺书</w:t>
            </w:r>
          </w:p>
        </w:tc>
        <w:tc>
          <w:tcPr>
            <w:tcW w:w="4820" w:type="dxa"/>
            <w:tcBorders>
              <w:top w:val="single" w:color="auto" w:sz="4" w:space="0"/>
              <w:left w:val="single" w:color="auto" w:sz="4" w:space="0"/>
              <w:bottom w:val="single" w:color="auto" w:sz="4" w:space="0"/>
              <w:right w:val="single" w:color="auto" w:sz="4" w:space="0"/>
            </w:tcBorders>
            <w:vAlign w:val="center"/>
          </w:tcPr>
          <w:p>
            <w:pPr>
              <w:spacing w:after="100" w:afterAutospacing="1"/>
              <w:rPr>
                <w:kern w:val="0"/>
                <w:szCs w:val="21"/>
              </w:rPr>
            </w:pPr>
            <w:r>
              <w:rPr>
                <w:kern w:val="0"/>
                <w:szCs w:val="21"/>
              </w:rPr>
              <w:t>提供不参与围标串标承诺书；</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25" w:type="dxa"/>
            <w:tcBorders>
              <w:top w:val="single" w:color="auto" w:sz="4" w:space="0"/>
              <w:left w:val="single" w:color="auto" w:sz="4" w:space="0"/>
              <w:bottom w:val="single" w:color="auto" w:sz="4" w:space="0"/>
              <w:right w:val="single" w:color="auto" w:sz="4" w:space="0"/>
            </w:tcBorders>
          </w:tcPr>
          <w:p>
            <w:pPr>
              <w:jc w:val="center"/>
              <w:rPr>
                <w:szCs w:val="21"/>
              </w:rPr>
            </w:pPr>
          </w:p>
        </w:tc>
        <w:tc>
          <w:tcPr>
            <w:tcW w:w="515"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CellMar>
            <w:top w:w="0" w:type="dxa"/>
            <w:left w:w="108" w:type="dxa"/>
            <w:bottom w:w="0" w:type="dxa"/>
            <w:right w:w="108" w:type="dxa"/>
          </w:tblCellMar>
        </w:tblPrEx>
        <w:trPr>
          <w:trHeight w:val="533"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12</w:t>
            </w:r>
          </w:p>
        </w:tc>
        <w:tc>
          <w:tcPr>
            <w:tcW w:w="1874" w:type="dxa"/>
            <w:tcBorders>
              <w:top w:val="single" w:color="auto" w:sz="4" w:space="0"/>
              <w:left w:val="single" w:color="auto" w:sz="4" w:space="0"/>
              <w:bottom w:val="single" w:color="auto" w:sz="4" w:space="0"/>
              <w:right w:val="single" w:color="auto" w:sz="4" w:space="0"/>
            </w:tcBorders>
            <w:vAlign w:val="center"/>
          </w:tcPr>
          <w:p>
            <w:pPr>
              <w:spacing w:after="100" w:afterAutospacing="1"/>
              <w:rPr>
                <w:kern w:val="0"/>
                <w:szCs w:val="21"/>
              </w:rPr>
            </w:pPr>
            <w:r>
              <w:rPr>
                <w:kern w:val="0"/>
                <w:szCs w:val="21"/>
              </w:rPr>
              <w:t>投标保证金</w:t>
            </w:r>
          </w:p>
        </w:tc>
        <w:tc>
          <w:tcPr>
            <w:tcW w:w="4820" w:type="dxa"/>
            <w:tcBorders>
              <w:top w:val="single" w:color="auto" w:sz="4" w:space="0"/>
              <w:left w:val="single" w:color="auto" w:sz="4" w:space="0"/>
              <w:bottom w:val="single" w:color="auto" w:sz="4" w:space="0"/>
              <w:right w:val="single" w:color="auto" w:sz="4" w:space="0"/>
            </w:tcBorders>
            <w:vAlign w:val="center"/>
          </w:tcPr>
          <w:p>
            <w:pPr>
              <w:spacing w:after="100" w:afterAutospacing="1"/>
              <w:rPr>
                <w:kern w:val="0"/>
                <w:szCs w:val="21"/>
              </w:rPr>
            </w:pPr>
            <w:r>
              <w:rPr>
                <w:kern w:val="0"/>
                <w:szCs w:val="21"/>
              </w:rPr>
              <w:t>是否按照投标须知要求金额递交了投标保证金，并提供了投标保证金缴纳凭证。</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25" w:type="dxa"/>
            <w:tcBorders>
              <w:top w:val="single" w:color="auto" w:sz="4" w:space="0"/>
              <w:left w:val="single" w:color="auto" w:sz="4" w:space="0"/>
              <w:bottom w:val="single" w:color="auto" w:sz="4" w:space="0"/>
              <w:right w:val="single" w:color="auto" w:sz="4" w:space="0"/>
            </w:tcBorders>
          </w:tcPr>
          <w:p>
            <w:pPr>
              <w:jc w:val="center"/>
              <w:rPr>
                <w:szCs w:val="21"/>
              </w:rPr>
            </w:pPr>
          </w:p>
        </w:tc>
        <w:tc>
          <w:tcPr>
            <w:tcW w:w="515"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CellMar>
            <w:top w:w="0" w:type="dxa"/>
            <w:left w:w="108" w:type="dxa"/>
            <w:bottom w:w="0" w:type="dxa"/>
            <w:right w:w="108" w:type="dxa"/>
          </w:tblCellMar>
        </w:tblPrEx>
        <w:trPr>
          <w:trHeight w:val="315" w:hRule="atLeast"/>
          <w:jc w:val="center"/>
        </w:trPr>
        <w:tc>
          <w:tcPr>
            <w:tcW w:w="7157" w:type="dxa"/>
            <w:gridSpan w:val="3"/>
            <w:tcBorders>
              <w:top w:val="single" w:color="auto" w:sz="4" w:space="0"/>
              <w:left w:val="single" w:color="auto" w:sz="4" w:space="0"/>
              <w:bottom w:val="single" w:color="auto" w:sz="4" w:space="0"/>
              <w:right w:val="single" w:color="auto" w:sz="4" w:space="0"/>
            </w:tcBorders>
            <w:vAlign w:val="center"/>
          </w:tcPr>
          <w:p>
            <w:pPr>
              <w:spacing w:after="100" w:afterAutospacing="1"/>
              <w:ind w:leftChars="-18" w:hanging="37" w:hangingChars="18"/>
              <w:jc w:val="center"/>
              <w:rPr>
                <w:szCs w:val="21"/>
              </w:rPr>
            </w:pPr>
            <w:r>
              <w:rPr>
                <w:szCs w:val="21"/>
              </w:rPr>
              <w:t>资格审查结果</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25" w:type="dxa"/>
            <w:tcBorders>
              <w:top w:val="single" w:color="auto" w:sz="4" w:space="0"/>
              <w:left w:val="single" w:color="auto" w:sz="4" w:space="0"/>
              <w:bottom w:val="single" w:color="auto" w:sz="4" w:space="0"/>
              <w:right w:val="single" w:color="auto" w:sz="4" w:space="0"/>
            </w:tcBorders>
          </w:tcPr>
          <w:p>
            <w:pPr>
              <w:jc w:val="center"/>
              <w:rPr>
                <w:szCs w:val="21"/>
              </w:rPr>
            </w:pPr>
          </w:p>
        </w:tc>
        <w:tc>
          <w:tcPr>
            <w:tcW w:w="515"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CellMar>
            <w:top w:w="0" w:type="dxa"/>
            <w:left w:w="108" w:type="dxa"/>
            <w:bottom w:w="0" w:type="dxa"/>
            <w:right w:w="108" w:type="dxa"/>
          </w:tblCellMar>
        </w:tblPrEx>
        <w:trPr>
          <w:trHeight w:val="418" w:hRule="atLeast"/>
          <w:jc w:val="center"/>
        </w:trPr>
        <w:tc>
          <w:tcPr>
            <w:tcW w:w="7157" w:type="dxa"/>
            <w:gridSpan w:val="3"/>
            <w:tcBorders>
              <w:top w:val="single" w:color="auto" w:sz="4" w:space="0"/>
              <w:left w:val="single" w:color="auto" w:sz="4" w:space="0"/>
              <w:bottom w:val="single" w:color="auto" w:sz="4" w:space="0"/>
              <w:right w:val="single" w:color="auto" w:sz="4" w:space="0"/>
            </w:tcBorders>
            <w:vAlign w:val="center"/>
          </w:tcPr>
          <w:p>
            <w:pPr>
              <w:spacing w:after="100" w:afterAutospacing="1"/>
              <w:ind w:leftChars="-18" w:hanging="37" w:hangingChars="18"/>
              <w:jc w:val="center"/>
              <w:rPr>
                <w:szCs w:val="21"/>
              </w:rPr>
            </w:pPr>
            <w:r>
              <w:rPr>
                <w:szCs w:val="21"/>
              </w:rPr>
              <w:t>不通过理由说明</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25" w:type="dxa"/>
            <w:tcBorders>
              <w:top w:val="single" w:color="auto" w:sz="4" w:space="0"/>
              <w:left w:val="single" w:color="auto" w:sz="4" w:space="0"/>
              <w:bottom w:val="single" w:color="auto" w:sz="4" w:space="0"/>
              <w:right w:val="single" w:color="auto" w:sz="4" w:space="0"/>
            </w:tcBorders>
          </w:tcPr>
          <w:p>
            <w:pPr>
              <w:jc w:val="center"/>
              <w:rPr>
                <w:szCs w:val="21"/>
              </w:rPr>
            </w:pPr>
          </w:p>
        </w:tc>
        <w:tc>
          <w:tcPr>
            <w:tcW w:w="515" w:type="dxa"/>
            <w:tcBorders>
              <w:top w:val="single" w:color="auto" w:sz="4" w:space="0"/>
              <w:left w:val="single" w:color="auto" w:sz="4" w:space="0"/>
              <w:bottom w:val="single" w:color="auto" w:sz="4" w:space="0"/>
              <w:right w:val="single" w:color="auto" w:sz="4" w:space="0"/>
            </w:tcBorders>
          </w:tcPr>
          <w:p>
            <w:pPr>
              <w:jc w:val="center"/>
              <w:rPr>
                <w:szCs w:val="21"/>
              </w:rPr>
            </w:pPr>
          </w:p>
        </w:tc>
      </w:tr>
      <w:bookmarkEnd w:id="196"/>
    </w:tbl>
    <w:p>
      <w:bookmarkStart w:id="197" w:name="_Hlk104564648"/>
      <w:r>
        <w:rPr>
          <w:rFonts w:hint="eastAsia"/>
        </w:rPr>
        <w:t>审核人员签字：_________</w:t>
      </w:r>
    </w:p>
    <w:p>
      <w:r>
        <w:rPr>
          <w:rFonts w:hint="eastAsia"/>
        </w:rPr>
        <w:t>注：</w:t>
      </w:r>
    </w:p>
    <w:p>
      <w:r>
        <w:rPr>
          <w:rFonts w:hint="eastAsia"/>
        </w:rPr>
        <w:t>1、本表由采购人或采购代理机构核对并如实填写。</w:t>
      </w:r>
    </w:p>
    <w:p>
      <w:r>
        <w:rPr>
          <w:rFonts w:hint="eastAsia"/>
        </w:rPr>
        <w:t>2、审查项目有一项不满足则结论为不合格，</w:t>
      </w:r>
      <w:r>
        <w:rPr>
          <w:szCs w:val="21"/>
        </w:rPr>
        <w:t>符合要求用“</w:t>
      </w:r>
      <w:r>
        <w:rPr>
          <w:b/>
          <w:szCs w:val="21"/>
        </w:rPr>
        <w:t>√</w:t>
      </w:r>
      <w:r>
        <w:rPr>
          <w:szCs w:val="21"/>
        </w:rPr>
        <w:t>”表示，不符合用“×”表示</w:t>
      </w:r>
      <w:r>
        <w:rPr>
          <w:rFonts w:hint="eastAsia"/>
        </w:rPr>
        <w:t>。</w:t>
      </w:r>
    </w:p>
    <w:bookmarkEnd w:id="197"/>
    <w:p>
      <w:pPr>
        <w:pStyle w:val="2"/>
        <w:spacing w:before="0" w:after="0" w:line="360" w:lineRule="auto"/>
        <w:jc w:val="left"/>
        <w:rPr>
          <w:rFonts w:eastAsia="黑体"/>
          <w:b w:val="0"/>
          <w:bCs w:val="0"/>
          <w:sz w:val="28"/>
          <w:szCs w:val="28"/>
        </w:rPr>
        <w:sectPr>
          <w:footerReference r:id="rId5" w:type="default"/>
          <w:pgSz w:w="11906" w:h="16838"/>
          <w:pgMar w:top="1440" w:right="1440" w:bottom="1440" w:left="1797" w:header="851" w:footer="992" w:gutter="0"/>
          <w:pgNumType w:fmt="decimal" w:start="1"/>
          <w:cols w:space="720" w:num="1"/>
          <w:docGrid w:linePitch="312" w:charSpace="0"/>
        </w:sectPr>
      </w:pPr>
    </w:p>
    <w:p>
      <w:pPr>
        <w:tabs>
          <w:tab w:val="left" w:pos="-94"/>
          <w:tab w:val="left" w:pos="428"/>
        </w:tabs>
        <w:adjustRightInd w:val="0"/>
        <w:spacing w:line="360" w:lineRule="auto"/>
        <w:jc w:val="center"/>
        <w:textAlignment w:val="baseline"/>
        <w:outlineLvl w:val="1"/>
        <w:rPr>
          <w:b/>
          <w:sz w:val="28"/>
          <w:szCs w:val="28"/>
        </w:rPr>
      </w:pPr>
      <w:bookmarkStart w:id="198" w:name="_Toc12432"/>
      <w:r>
        <w:rPr>
          <w:b/>
          <w:sz w:val="28"/>
          <w:szCs w:val="28"/>
        </w:rPr>
        <w:t>附表二 符合性审查表</w:t>
      </w:r>
      <w:bookmarkEnd w:id="190"/>
      <w:bookmarkEnd w:id="191"/>
      <w:bookmarkEnd w:id="192"/>
      <w:bookmarkEnd w:id="193"/>
      <w:bookmarkEnd w:id="194"/>
      <w:bookmarkEnd w:id="198"/>
    </w:p>
    <w:tbl>
      <w:tblPr>
        <w:tblStyle w:val="41"/>
        <w:tblW w:w="90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93"/>
        <w:gridCol w:w="6136"/>
        <w:gridCol w:w="593"/>
        <w:gridCol w:w="593"/>
        <w:gridCol w:w="593"/>
        <w:gridCol w:w="5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6729" w:type="dxa"/>
            <w:gridSpan w:val="2"/>
            <w:vMerge w:val="restart"/>
            <w:tcBorders>
              <w:right w:val="single" w:color="auto" w:sz="4" w:space="0"/>
            </w:tcBorders>
            <w:vAlign w:val="center"/>
          </w:tcPr>
          <w:p>
            <w:pPr>
              <w:jc w:val="center"/>
              <w:rPr>
                <w:szCs w:val="21"/>
              </w:rPr>
            </w:pPr>
            <w:r>
              <w:rPr>
                <w:szCs w:val="21"/>
              </w:rPr>
              <w:t>评审内容</w:t>
            </w:r>
          </w:p>
        </w:tc>
        <w:tc>
          <w:tcPr>
            <w:tcW w:w="2330" w:type="dxa"/>
            <w:gridSpan w:val="4"/>
            <w:tcBorders>
              <w:left w:val="single" w:color="auto" w:sz="4" w:space="0"/>
              <w:bottom w:val="single" w:color="auto" w:sz="4" w:space="0"/>
            </w:tcBorders>
            <w:vAlign w:val="center"/>
          </w:tcPr>
          <w:p>
            <w:pPr>
              <w:jc w:val="center"/>
              <w:rPr>
                <w:b/>
                <w:szCs w:val="21"/>
              </w:rPr>
            </w:pPr>
            <w:r>
              <w:rPr>
                <w:b/>
                <w:szCs w:val="21"/>
              </w:rPr>
              <w:t>投标人名称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6729" w:type="dxa"/>
            <w:gridSpan w:val="2"/>
            <w:vMerge w:val="continue"/>
            <w:tcBorders>
              <w:right w:val="single" w:color="auto" w:sz="4" w:space="0"/>
            </w:tcBorders>
            <w:vAlign w:val="center"/>
          </w:tcPr>
          <w:p>
            <w:pPr>
              <w:jc w:val="center"/>
              <w:rPr>
                <w:szCs w:val="21"/>
              </w:rPr>
            </w:pPr>
          </w:p>
        </w:tc>
        <w:tc>
          <w:tcPr>
            <w:tcW w:w="593" w:type="dxa"/>
            <w:tcBorders>
              <w:top w:val="single" w:color="auto" w:sz="4" w:space="0"/>
              <w:left w:val="single" w:color="auto" w:sz="4" w:space="0"/>
              <w:right w:val="single" w:color="auto" w:sz="4" w:space="0"/>
            </w:tcBorders>
            <w:vAlign w:val="center"/>
          </w:tcPr>
          <w:p>
            <w:pPr>
              <w:jc w:val="center"/>
              <w:rPr>
                <w:b/>
                <w:szCs w:val="21"/>
              </w:rPr>
            </w:pPr>
            <w:r>
              <w:rPr>
                <w:b/>
                <w:szCs w:val="21"/>
              </w:rPr>
              <w:t>1</w:t>
            </w:r>
          </w:p>
        </w:tc>
        <w:tc>
          <w:tcPr>
            <w:tcW w:w="593" w:type="dxa"/>
            <w:tcBorders>
              <w:top w:val="single" w:color="auto" w:sz="4" w:space="0"/>
              <w:left w:val="single" w:color="auto" w:sz="4" w:space="0"/>
            </w:tcBorders>
            <w:vAlign w:val="center"/>
          </w:tcPr>
          <w:p>
            <w:pPr>
              <w:jc w:val="center"/>
              <w:rPr>
                <w:b/>
                <w:szCs w:val="21"/>
              </w:rPr>
            </w:pPr>
            <w:r>
              <w:rPr>
                <w:b/>
                <w:szCs w:val="21"/>
              </w:rPr>
              <w:t>2</w:t>
            </w:r>
          </w:p>
        </w:tc>
        <w:tc>
          <w:tcPr>
            <w:tcW w:w="593" w:type="dxa"/>
            <w:vAlign w:val="center"/>
          </w:tcPr>
          <w:p>
            <w:pPr>
              <w:jc w:val="center"/>
              <w:rPr>
                <w:b/>
                <w:szCs w:val="21"/>
              </w:rPr>
            </w:pPr>
            <w:r>
              <w:rPr>
                <w:b/>
                <w:szCs w:val="21"/>
              </w:rPr>
              <w:t>3</w:t>
            </w:r>
          </w:p>
        </w:tc>
        <w:tc>
          <w:tcPr>
            <w:tcW w:w="551" w:type="dxa"/>
            <w:vAlign w:val="center"/>
          </w:tcPr>
          <w:p>
            <w:pPr>
              <w:jc w:val="center"/>
              <w:rPr>
                <w:b/>
                <w:szCs w:val="21"/>
              </w:rPr>
            </w:pPr>
            <w:r>
              <w:rPr>
                <w:b/>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593" w:type="dxa"/>
            <w:vAlign w:val="center"/>
          </w:tcPr>
          <w:p>
            <w:pPr>
              <w:jc w:val="center"/>
              <w:textAlignment w:val="center"/>
              <w:rPr>
                <w:szCs w:val="21"/>
              </w:rPr>
            </w:pPr>
            <w:r>
              <w:rPr>
                <w:szCs w:val="21"/>
              </w:rPr>
              <w:t>1</w:t>
            </w:r>
          </w:p>
        </w:tc>
        <w:tc>
          <w:tcPr>
            <w:tcW w:w="6136" w:type="dxa"/>
            <w:tcBorders>
              <w:right w:val="single" w:color="auto" w:sz="4" w:space="0"/>
            </w:tcBorders>
            <w:vAlign w:val="center"/>
          </w:tcPr>
          <w:p>
            <w:pPr>
              <w:rPr>
                <w:szCs w:val="21"/>
              </w:rPr>
            </w:pPr>
            <w:r>
              <w:rPr>
                <w:szCs w:val="21"/>
              </w:rPr>
              <w:t>报价函</w:t>
            </w:r>
            <w:r>
              <w:rPr>
                <w:rFonts w:hint="eastAsia"/>
                <w:szCs w:val="21"/>
              </w:rPr>
              <w:t>是否</w:t>
            </w:r>
            <w:r>
              <w:rPr>
                <w:szCs w:val="21"/>
              </w:rPr>
              <w:t>有</w:t>
            </w:r>
            <w:r>
              <w:rPr>
                <w:rFonts w:hint="eastAsia"/>
                <w:szCs w:val="21"/>
              </w:rPr>
              <w:t>投标人</w:t>
            </w:r>
            <w:r>
              <w:rPr>
                <w:szCs w:val="21"/>
              </w:rPr>
              <w:t>盖章及法定代表人或法定代表人授权的代理人签字或盖章的；</w:t>
            </w:r>
          </w:p>
        </w:tc>
        <w:tc>
          <w:tcPr>
            <w:tcW w:w="593" w:type="dxa"/>
            <w:tcBorders>
              <w:left w:val="single" w:color="auto" w:sz="4" w:space="0"/>
              <w:right w:val="single" w:color="auto" w:sz="4" w:space="0"/>
            </w:tcBorders>
            <w:vAlign w:val="center"/>
          </w:tcPr>
          <w:p>
            <w:pPr>
              <w:jc w:val="center"/>
              <w:rPr>
                <w:szCs w:val="21"/>
              </w:rPr>
            </w:pPr>
          </w:p>
        </w:tc>
        <w:tc>
          <w:tcPr>
            <w:tcW w:w="593" w:type="dxa"/>
            <w:tcBorders>
              <w:left w:val="single" w:color="auto" w:sz="4" w:space="0"/>
            </w:tcBorders>
            <w:vAlign w:val="center"/>
          </w:tcPr>
          <w:p>
            <w:pPr>
              <w:jc w:val="center"/>
              <w:rPr>
                <w:szCs w:val="21"/>
              </w:rPr>
            </w:pPr>
          </w:p>
        </w:tc>
        <w:tc>
          <w:tcPr>
            <w:tcW w:w="593" w:type="dxa"/>
            <w:tcBorders>
              <w:right w:val="single" w:color="auto" w:sz="4" w:space="0"/>
            </w:tcBorders>
            <w:vAlign w:val="center"/>
          </w:tcPr>
          <w:p>
            <w:pPr>
              <w:jc w:val="center"/>
              <w:rPr>
                <w:szCs w:val="21"/>
              </w:rPr>
            </w:pPr>
          </w:p>
        </w:tc>
        <w:tc>
          <w:tcPr>
            <w:tcW w:w="551" w:type="dxa"/>
            <w:tcBorders>
              <w:lef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93" w:type="dxa"/>
            <w:vAlign w:val="center"/>
          </w:tcPr>
          <w:p>
            <w:pPr>
              <w:jc w:val="center"/>
              <w:textAlignment w:val="center"/>
              <w:rPr>
                <w:szCs w:val="21"/>
              </w:rPr>
            </w:pPr>
            <w:r>
              <w:rPr>
                <w:szCs w:val="21"/>
              </w:rPr>
              <w:t>2</w:t>
            </w:r>
          </w:p>
        </w:tc>
        <w:tc>
          <w:tcPr>
            <w:tcW w:w="6136" w:type="dxa"/>
            <w:tcBorders>
              <w:right w:val="single" w:color="auto" w:sz="4" w:space="0"/>
            </w:tcBorders>
            <w:vAlign w:val="center"/>
          </w:tcPr>
          <w:p>
            <w:pPr>
              <w:rPr>
                <w:szCs w:val="21"/>
              </w:rPr>
            </w:pPr>
            <w:r>
              <w:rPr>
                <w:szCs w:val="21"/>
              </w:rPr>
              <w:t>投标文件有效期是否满足招标文件要求的；</w:t>
            </w:r>
          </w:p>
        </w:tc>
        <w:tc>
          <w:tcPr>
            <w:tcW w:w="593" w:type="dxa"/>
            <w:tcBorders>
              <w:left w:val="single" w:color="auto" w:sz="4" w:space="0"/>
              <w:right w:val="single" w:color="auto" w:sz="4" w:space="0"/>
            </w:tcBorders>
            <w:vAlign w:val="center"/>
          </w:tcPr>
          <w:p>
            <w:pPr>
              <w:shd w:val="clear" w:color="auto" w:fill="FAFAFA"/>
              <w:spacing w:line="360" w:lineRule="auto"/>
              <w:jc w:val="center"/>
              <w:rPr>
                <w:szCs w:val="21"/>
              </w:rPr>
            </w:pPr>
          </w:p>
        </w:tc>
        <w:tc>
          <w:tcPr>
            <w:tcW w:w="593" w:type="dxa"/>
            <w:tcBorders>
              <w:left w:val="single" w:color="auto" w:sz="4" w:space="0"/>
            </w:tcBorders>
            <w:vAlign w:val="center"/>
          </w:tcPr>
          <w:p>
            <w:pPr>
              <w:jc w:val="center"/>
              <w:rPr>
                <w:szCs w:val="21"/>
              </w:rPr>
            </w:pPr>
          </w:p>
        </w:tc>
        <w:tc>
          <w:tcPr>
            <w:tcW w:w="593" w:type="dxa"/>
            <w:tcBorders>
              <w:right w:val="single" w:color="auto" w:sz="4" w:space="0"/>
            </w:tcBorders>
            <w:vAlign w:val="center"/>
          </w:tcPr>
          <w:p>
            <w:pPr>
              <w:jc w:val="center"/>
              <w:rPr>
                <w:szCs w:val="21"/>
              </w:rPr>
            </w:pPr>
          </w:p>
        </w:tc>
        <w:tc>
          <w:tcPr>
            <w:tcW w:w="551" w:type="dxa"/>
            <w:tcBorders>
              <w:lef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593" w:type="dxa"/>
            <w:vAlign w:val="center"/>
          </w:tcPr>
          <w:p>
            <w:pPr>
              <w:jc w:val="center"/>
              <w:textAlignment w:val="center"/>
              <w:rPr>
                <w:szCs w:val="21"/>
              </w:rPr>
            </w:pPr>
            <w:r>
              <w:rPr>
                <w:szCs w:val="21"/>
              </w:rPr>
              <w:t>3</w:t>
            </w:r>
          </w:p>
        </w:tc>
        <w:tc>
          <w:tcPr>
            <w:tcW w:w="6136" w:type="dxa"/>
            <w:tcBorders>
              <w:right w:val="single" w:color="auto" w:sz="4" w:space="0"/>
            </w:tcBorders>
            <w:vAlign w:val="center"/>
          </w:tcPr>
          <w:p>
            <w:pPr>
              <w:rPr>
                <w:szCs w:val="21"/>
              </w:rPr>
            </w:pPr>
            <w:r>
              <w:rPr>
                <w:rFonts w:hint="eastAsia"/>
                <w:szCs w:val="21"/>
              </w:rPr>
              <w:t>是否提供</w:t>
            </w:r>
            <w:r>
              <w:rPr>
                <w:szCs w:val="21"/>
              </w:rPr>
              <w:t>产品医疗器械注册证或备案证明</w:t>
            </w:r>
            <w:r>
              <w:rPr>
                <w:rFonts w:hint="eastAsia"/>
                <w:szCs w:val="21"/>
              </w:rPr>
              <w:t>。</w:t>
            </w:r>
          </w:p>
        </w:tc>
        <w:tc>
          <w:tcPr>
            <w:tcW w:w="593" w:type="dxa"/>
            <w:tcBorders>
              <w:left w:val="single" w:color="auto" w:sz="4" w:space="0"/>
              <w:right w:val="single" w:color="auto" w:sz="4" w:space="0"/>
            </w:tcBorders>
            <w:vAlign w:val="center"/>
          </w:tcPr>
          <w:p>
            <w:pPr>
              <w:jc w:val="center"/>
              <w:rPr>
                <w:szCs w:val="21"/>
              </w:rPr>
            </w:pPr>
          </w:p>
        </w:tc>
        <w:tc>
          <w:tcPr>
            <w:tcW w:w="593" w:type="dxa"/>
            <w:tcBorders>
              <w:left w:val="single" w:color="auto" w:sz="4" w:space="0"/>
            </w:tcBorders>
            <w:vAlign w:val="center"/>
          </w:tcPr>
          <w:p>
            <w:pPr>
              <w:jc w:val="center"/>
              <w:rPr>
                <w:szCs w:val="21"/>
              </w:rPr>
            </w:pPr>
          </w:p>
        </w:tc>
        <w:tc>
          <w:tcPr>
            <w:tcW w:w="593" w:type="dxa"/>
            <w:tcBorders>
              <w:right w:val="single" w:color="auto" w:sz="4" w:space="0"/>
            </w:tcBorders>
            <w:vAlign w:val="center"/>
          </w:tcPr>
          <w:p>
            <w:pPr>
              <w:jc w:val="center"/>
              <w:rPr>
                <w:szCs w:val="21"/>
              </w:rPr>
            </w:pPr>
          </w:p>
        </w:tc>
        <w:tc>
          <w:tcPr>
            <w:tcW w:w="551" w:type="dxa"/>
            <w:tcBorders>
              <w:lef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93" w:type="dxa"/>
            <w:vAlign w:val="center"/>
          </w:tcPr>
          <w:p>
            <w:pPr>
              <w:jc w:val="center"/>
              <w:textAlignment w:val="center"/>
              <w:rPr>
                <w:szCs w:val="21"/>
              </w:rPr>
            </w:pPr>
            <w:r>
              <w:rPr>
                <w:szCs w:val="21"/>
              </w:rPr>
              <w:t>4</w:t>
            </w:r>
          </w:p>
        </w:tc>
        <w:tc>
          <w:tcPr>
            <w:tcW w:w="6136" w:type="dxa"/>
            <w:tcBorders>
              <w:right w:val="single" w:color="auto" w:sz="4" w:space="0"/>
            </w:tcBorders>
            <w:vAlign w:val="center"/>
          </w:tcPr>
          <w:p>
            <w:pPr>
              <w:rPr>
                <w:szCs w:val="21"/>
              </w:rPr>
            </w:pPr>
            <w:r>
              <w:rPr>
                <w:szCs w:val="21"/>
              </w:rPr>
              <w:t>是否按规定提交投标文件份数；</w:t>
            </w:r>
          </w:p>
        </w:tc>
        <w:tc>
          <w:tcPr>
            <w:tcW w:w="593" w:type="dxa"/>
            <w:tcBorders>
              <w:left w:val="single" w:color="auto" w:sz="4" w:space="0"/>
              <w:right w:val="single" w:color="auto" w:sz="4" w:space="0"/>
            </w:tcBorders>
            <w:vAlign w:val="center"/>
          </w:tcPr>
          <w:p>
            <w:pPr>
              <w:jc w:val="center"/>
              <w:rPr>
                <w:szCs w:val="21"/>
              </w:rPr>
            </w:pPr>
          </w:p>
        </w:tc>
        <w:tc>
          <w:tcPr>
            <w:tcW w:w="593" w:type="dxa"/>
            <w:tcBorders>
              <w:left w:val="single" w:color="auto" w:sz="4" w:space="0"/>
            </w:tcBorders>
            <w:vAlign w:val="center"/>
          </w:tcPr>
          <w:p>
            <w:pPr>
              <w:jc w:val="center"/>
              <w:rPr>
                <w:szCs w:val="21"/>
              </w:rPr>
            </w:pPr>
          </w:p>
        </w:tc>
        <w:tc>
          <w:tcPr>
            <w:tcW w:w="593" w:type="dxa"/>
            <w:tcBorders>
              <w:right w:val="single" w:color="auto" w:sz="4" w:space="0"/>
            </w:tcBorders>
            <w:vAlign w:val="center"/>
          </w:tcPr>
          <w:p>
            <w:pPr>
              <w:jc w:val="center"/>
              <w:rPr>
                <w:szCs w:val="21"/>
              </w:rPr>
            </w:pPr>
          </w:p>
        </w:tc>
        <w:tc>
          <w:tcPr>
            <w:tcW w:w="551" w:type="dxa"/>
            <w:tcBorders>
              <w:lef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93" w:type="dxa"/>
            <w:vAlign w:val="center"/>
          </w:tcPr>
          <w:p>
            <w:pPr>
              <w:jc w:val="center"/>
              <w:textAlignment w:val="center"/>
              <w:rPr>
                <w:szCs w:val="21"/>
              </w:rPr>
            </w:pPr>
            <w:r>
              <w:rPr>
                <w:szCs w:val="21"/>
              </w:rPr>
              <w:t>5</w:t>
            </w:r>
          </w:p>
        </w:tc>
        <w:tc>
          <w:tcPr>
            <w:tcW w:w="6136" w:type="dxa"/>
            <w:tcBorders>
              <w:right w:val="single" w:color="auto" w:sz="4" w:space="0"/>
            </w:tcBorders>
            <w:vAlign w:val="center"/>
          </w:tcPr>
          <w:p>
            <w:pPr>
              <w:textAlignment w:val="center"/>
              <w:rPr>
                <w:szCs w:val="21"/>
              </w:rPr>
            </w:pPr>
            <w:r>
              <w:rPr>
                <w:szCs w:val="21"/>
              </w:rPr>
              <w:t>投标文件是否按照要求签署、盖章；</w:t>
            </w:r>
          </w:p>
        </w:tc>
        <w:tc>
          <w:tcPr>
            <w:tcW w:w="593" w:type="dxa"/>
            <w:tcBorders>
              <w:left w:val="single" w:color="auto" w:sz="4" w:space="0"/>
              <w:right w:val="single" w:color="auto" w:sz="4" w:space="0"/>
            </w:tcBorders>
            <w:vAlign w:val="center"/>
          </w:tcPr>
          <w:p>
            <w:pPr>
              <w:jc w:val="center"/>
              <w:rPr>
                <w:szCs w:val="21"/>
              </w:rPr>
            </w:pPr>
          </w:p>
        </w:tc>
        <w:tc>
          <w:tcPr>
            <w:tcW w:w="593" w:type="dxa"/>
            <w:tcBorders>
              <w:left w:val="single" w:color="auto" w:sz="4" w:space="0"/>
            </w:tcBorders>
            <w:vAlign w:val="center"/>
          </w:tcPr>
          <w:p>
            <w:pPr>
              <w:jc w:val="center"/>
              <w:rPr>
                <w:szCs w:val="21"/>
              </w:rPr>
            </w:pPr>
          </w:p>
        </w:tc>
        <w:tc>
          <w:tcPr>
            <w:tcW w:w="593" w:type="dxa"/>
            <w:tcBorders>
              <w:right w:val="single" w:color="auto" w:sz="4" w:space="0"/>
            </w:tcBorders>
            <w:vAlign w:val="center"/>
          </w:tcPr>
          <w:p>
            <w:pPr>
              <w:jc w:val="center"/>
              <w:rPr>
                <w:szCs w:val="21"/>
              </w:rPr>
            </w:pPr>
          </w:p>
        </w:tc>
        <w:tc>
          <w:tcPr>
            <w:tcW w:w="551" w:type="dxa"/>
            <w:tcBorders>
              <w:lef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93" w:type="dxa"/>
            <w:vAlign w:val="center"/>
          </w:tcPr>
          <w:p>
            <w:pPr>
              <w:jc w:val="center"/>
              <w:textAlignment w:val="center"/>
              <w:rPr>
                <w:szCs w:val="21"/>
              </w:rPr>
            </w:pPr>
            <w:r>
              <w:rPr>
                <w:szCs w:val="21"/>
              </w:rPr>
              <w:t>6</w:t>
            </w:r>
          </w:p>
        </w:tc>
        <w:tc>
          <w:tcPr>
            <w:tcW w:w="6136" w:type="dxa"/>
            <w:tcBorders>
              <w:right w:val="single" w:color="auto" w:sz="4" w:space="0"/>
            </w:tcBorders>
            <w:vAlign w:val="center"/>
          </w:tcPr>
          <w:p>
            <w:pPr>
              <w:rPr>
                <w:szCs w:val="21"/>
              </w:rPr>
            </w:pPr>
            <w:r>
              <w:rPr>
                <w:rFonts w:hint="eastAsia"/>
                <w:szCs w:val="21"/>
              </w:rPr>
              <w:t>投标</w:t>
            </w:r>
            <w:r>
              <w:rPr>
                <w:szCs w:val="21"/>
              </w:rPr>
              <w:t>报价是否在采购预算或最高限价以内；</w:t>
            </w:r>
          </w:p>
        </w:tc>
        <w:tc>
          <w:tcPr>
            <w:tcW w:w="593" w:type="dxa"/>
            <w:tcBorders>
              <w:left w:val="single" w:color="auto" w:sz="4" w:space="0"/>
              <w:right w:val="single" w:color="auto" w:sz="4" w:space="0"/>
            </w:tcBorders>
            <w:vAlign w:val="center"/>
          </w:tcPr>
          <w:p>
            <w:pPr>
              <w:jc w:val="center"/>
              <w:rPr>
                <w:szCs w:val="21"/>
              </w:rPr>
            </w:pPr>
          </w:p>
        </w:tc>
        <w:tc>
          <w:tcPr>
            <w:tcW w:w="593" w:type="dxa"/>
            <w:tcBorders>
              <w:left w:val="single" w:color="auto" w:sz="4" w:space="0"/>
            </w:tcBorders>
            <w:vAlign w:val="center"/>
          </w:tcPr>
          <w:p>
            <w:pPr>
              <w:jc w:val="center"/>
              <w:rPr>
                <w:szCs w:val="21"/>
              </w:rPr>
            </w:pPr>
          </w:p>
        </w:tc>
        <w:tc>
          <w:tcPr>
            <w:tcW w:w="593" w:type="dxa"/>
            <w:tcBorders>
              <w:right w:val="single" w:color="auto" w:sz="4" w:space="0"/>
            </w:tcBorders>
            <w:vAlign w:val="center"/>
          </w:tcPr>
          <w:p>
            <w:pPr>
              <w:jc w:val="center"/>
              <w:rPr>
                <w:szCs w:val="21"/>
              </w:rPr>
            </w:pPr>
          </w:p>
        </w:tc>
        <w:tc>
          <w:tcPr>
            <w:tcW w:w="551" w:type="dxa"/>
            <w:tcBorders>
              <w:lef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93" w:type="dxa"/>
            <w:vAlign w:val="center"/>
          </w:tcPr>
          <w:p>
            <w:pPr>
              <w:jc w:val="center"/>
              <w:textAlignment w:val="center"/>
              <w:rPr>
                <w:szCs w:val="21"/>
              </w:rPr>
            </w:pPr>
            <w:r>
              <w:rPr>
                <w:szCs w:val="21"/>
              </w:rPr>
              <w:t>7</w:t>
            </w:r>
          </w:p>
        </w:tc>
        <w:tc>
          <w:tcPr>
            <w:tcW w:w="6136" w:type="dxa"/>
            <w:tcBorders>
              <w:right w:val="single" w:color="auto" w:sz="4" w:space="0"/>
            </w:tcBorders>
            <w:vAlign w:val="center"/>
          </w:tcPr>
          <w:p>
            <w:pPr>
              <w:rPr>
                <w:szCs w:val="21"/>
              </w:rPr>
            </w:pPr>
            <w:r>
              <w:rPr>
                <w:rFonts w:hint="eastAsia"/>
                <w:szCs w:val="21"/>
              </w:rPr>
              <w:t>投标人</w:t>
            </w:r>
            <w:r>
              <w:rPr>
                <w:szCs w:val="21"/>
              </w:rPr>
              <w:t>所报</w:t>
            </w:r>
            <w:r>
              <w:rPr>
                <w:rFonts w:hint="eastAsia"/>
                <w:szCs w:val="21"/>
              </w:rPr>
              <w:t>交货期</w:t>
            </w:r>
            <w:r>
              <w:rPr>
                <w:szCs w:val="21"/>
              </w:rPr>
              <w:t>限是否超过招标文件规定期限的；</w:t>
            </w:r>
          </w:p>
        </w:tc>
        <w:tc>
          <w:tcPr>
            <w:tcW w:w="593" w:type="dxa"/>
            <w:tcBorders>
              <w:left w:val="single" w:color="auto" w:sz="4" w:space="0"/>
              <w:right w:val="single" w:color="auto" w:sz="4" w:space="0"/>
            </w:tcBorders>
            <w:vAlign w:val="center"/>
          </w:tcPr>
          <w:p>
            <w:pPr>
              <w:shd w:val="clear" w:color="auto" w:fill="FAFAFA"/>
              <w:spacing w:line="360" w:lineRule="auto"/>
              <w:jc w:val="center"/>
              <w:rPr>
                <w:szCs w:val="21"/>
              </w:rPr>
            </w:pPr>
          </w:p>
        </w:tc>
        <w:tc>
          <w:tcPr>
            <w:tcW w:w="593" w:type="dxa"/>
            <w:tcBorders>
              <w:left w:val="single" w:color="auto" w:sz="4" w:space="0"/>
            </w:tcBorders>
            <w:vAlign w:val="center"/>
          </w:tcPr>
          <w:p>
            <w:pPr>
              <w:jc w:val="center"/>
              <w:rPr>
                <w:szCs w:val="21"/>
              </w:rPr>
            </w:pPr>
          </w:p>
        </w:tc>
        <w:tc>
          <w:tcPr>
            <w:tcW w:w="593" w:type="dxa"/>
            <w:tcBorders>
              <w:right w:val="single" w:color="auto" w:sz="4" w:space="0"/>
            </w:tcBorders>
            <w:vAlign w:val="center"/>
          </w:tcPr>
          <w:p>
            <w:pPr>
              <w:jc w:val="center"/>
              <w:rPr>
                <w:szCs w:val="21"/>
              </w:rPr>
            </w:pPr>
          </w:p>
        </w:tc>
        <w:tc>
          <w:tcPr>
            <w:tcW w:w="551" w:type="dxa"/>
            <w:tcBorders>
              <w:lef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93" w:type="dxa"/>
            <w:vAlign w:val="center"/>
          </w:tcPr>
          <w:p>
            <w:pPr>
              <w:jc w:val="center"/>
              <w:textAlignment w:val="center"/>
              <w:rPr>
                <w:szCs w:val="21"/>
              </w:rPr>
            </w:pPr>
            <w:r>
              <w:rPr>
                <w:szCs w:val="21"/>
              </w:rPr>
              <w:t>8</w:t>
            </w:r>
          </w:p>
        </w:tc>
        <w:tc>
          <w:tcPr>
            <w:tcW w:w="6136" w:type="dxa"/>
            <w:tcBorders>
              <w:right w:val="single" w:color="auto" w:sz="4" w:space="0"/>
            </w:tcBorders>
            <w:vAlign w:val="center"/>
          </w:tcPr>
          <w:p>
            <w:pPr>
              <w:rPr>
                <w:szCs w:val="21"/>
              </w:rPr>
            </w:pPr>
            <w:r>
              <w:rPr>
                <w:szCs w:val="21"/>
              </w:rPr>
              <w:t>是否满足招标文件规定免费质保年限（以售后服务承诺为准）</w:t>
            </w:r>
            <w:r>
              <w:rPr>
                <w:rFonts w:hint="eastAsia"/>
                <w:szCs w:val="21"/>
              </w:rPr>
              <w:t>；</w:t>
            </w:r>
          </w:p>
        </w:tc>
        <w:tc>
          <w:tcPr>
            <w:tcW w:w="593" w:type="dxa"/>
            <w:tcBorders>
              <w:left w:val="single" w:color="auto" w:sz="4" w:space="0"/>
              <w:right w:val="single" w:color="auto" w:sz="4" w:space="0"/>
            </w:tcBorders>
            <w:vAlign w:val="center"/>
          </w:tcPr>
          <w:p>
            <w:pPr>
              <w:jc w:val="center"/>
              <w:rPr>
                <w:szCs w:val="21"/>
              </w:rPr>
            </w:pPr>
          </w:p>
        </w:tc>
        <w:tc>
          <w:tcPr>
            <w:tcW w:w="593" w:type="dxa"/>
            <w:tcBorders>
              <w:left w:val="single" w:color="auto" w:sz="4" w:space="0"/>
            </w:tcBorders>
            <w:vAlign w:val="center"/>
          </w:tcPr>
          <w:p>
            <w:pPr>
              <w:shd w:val="clear" w:color="auto" w:fill="FAFAFA"/>
              <w:spacing w:line="360" w:lineRule="auto"/>
              <w:jc w:val="center"/>
              <w:rPr>
                <w:szCs w:val="21"/>
              </w:rPr>
            </w:pPr>
          </w:p>
        </w:tc>
        <w:tc>
          <w:tcPr>
            <w:tcW w:w="593" w:type="dxa"/>
            <w:tcBorders>
              <w:right w:val="single" w:color="auto" w:sz="4" w:space="0"/>
            </w:tcBorders>
            <w:vAlign w:val="center"/>
          </w:tcPr>
          <w:p>
            <w:pPr>
              <w:jc w:val="center"/>
              <w:rPr>
                <w:szCs w:val="21"/>
              </w:rPr>
            </w:pPr>
          </w:p>
        </w:tc>
        <w:tc>
          <w:tcPr>
            <w:tcW w:w="551" w:type="dxa"/>
            <w:tcBorders>
              <w:lef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93" w:type="dxa"/>
            <w:vAlign w:val="center"/>
          </w:tcPr>
          <w:p>
            <w:pPr>
              <w:jc w:val="center"/>
              <w:textAlignment w:val="center"/>
              <w:rPr>
                <w:szCs w:val="21"/>
              </w:rPr>
            </w:pPr>
            <w:r>
              <w:rPr>
                <w:szCs w:val="21"/>
              </w:rPr>
              <w:t>9</w:t>
            </w:r>
          </w:p>
        </w:tc>
        <w:tc>
          <w:tcPr>
            <w:tcW w:w="6136" w:type="dxa"/>
            <w:tcBorders>
              <w:right w:val="single" w:color="auto" w:sz="4" w:space="0"/>
            </w:tcBorders>
            <w:vAlign w:val="center"/>
          </w:tcPr>
          <w:p>
            <w:pPr>
              <w:rPr>
                <w:szCs w:val="21"/>
              </w:rPr>
            </w:pPr>
            <w:r>
              <w:rPr>
                <w:rFonts w:hint="eastAsia"/>
                <w:szCs w:val="21"/>
              </w:rPr>
              <w:t>技术条款响应是否符合“采购需求”，无重大偏差（满足“*”号条款要求）。</w:t>
            </w:r>
          </w:p>
        </w:tc>
        <w:tc>
          <w:tcPr>
            <w:tcW w:w="593" w:type="dxa"/>
            <w:tcBorders>
              <w:left w:val="single" w:color="auto" w:sz="4" w:space="0"/>
              <w:right w:val="single" w:color="auto" w:sz="4" w:space="0"/>
            </w:tcBorders>
            <w:vAlign w:val="center"/>
          </w:tcPr>
          <w:p>
            <w:pPr>
              <w:jc w:val="center"/>
              <w:rPr>
                <w:szCs w:val="21"/>
              </w:rPr>
            </w:pPr>
          </w:p>
        </w:tc>
        <w:tc>
          <w:tcPr>
            <w:tcW w:w="593" w:type="dxa"/>
            <w:tcBorders>
              <w:left w:val="single" w:color="auto" w:sz="4" w:space="0"/>
            </w:tcBorders>
            <w:vAlign w:val="center"/>
          </w:tcPr>
          <w:p>
            <w:pPr>
              <w:shd w:val="clear" w:color="auto" w:fill="FAFAFA"/>
              <w:spacing w:line="360" w:lineRule="auto"/>
              <w:jc w:val="center"/>
              <w:rPr>
                <w:szCs w:val="21"/>
              </w:rPr>
            </w:pPr>
          </w:p>
        </w:tc>
        <w:tc>
          <w:tcPr>
            <w:tcW w:w="593" w:type="dxa"/>
            <w:tcBorders>
              <w:right w:val="single" w:color="auto" w:sz="4" w:space="0"/>
            </w:tcBorders>
            <w:vAlign w:val="center"/>
          </w:tcPr>
          <w:p>
            <w:pPr>
              <w:jc w:val="center"/>
              <w:rPr>
                <w:szCs w:val="21"/>
              </w:rPr>
            </w:pPr>
          </w:p>
        </w:tc>
        <w:tc>
          <w:tcPr>
            <w:tcW w:w="551" w:type="dxa"/>
            <w:tcBorders>
              <w:lef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93" w:type="dxa"/>
            <w:vAlign w:val="center"/>
          </w:tcPr>
          <w:p>
            <w:pPr>
              <w:jc w:val="center"/>
              <w:textAlignment w:val="center"/>
              <w:rPr>
                <w:szCs w:val="21"/>
              </w:rPr>
            </w:pPr>
            <w:r>
              <w:rPr>
                <w:szCs w:val="21"/>
              </w:rPr>
              <w:t>10</w:t>
            </w:r>
          </w:p>
        </w:tc>
        <w:tc>
          <w:tcPr>
            <w:tcW w:w="6136" w:type="dxa"/>
            <w:tcBorders>
              <w:right w:val="single" w:color="auto" w:sz="4" w:space="0"/>
            </w:tcBorders>
            <w:vAlign w:val="center"/>
          </w:tcPr>
          <w:p>
            <w:pPr>
              <w:rPr>
                <w:szCs w:val="21"/>
              </w:rPr>
            </w:pPr>
            <w:r>
              <w:rPr>
                <w:szCs w:val="21"/>
              </w:rPr>
              <w:t>是否存在法律、法规和招标文件规定的其他无效情形</w:t>
            </w:r>
            <w:r>
              <w:rPr>
                <w:rFonts w:hint="eastAsia"/>
                <w:szCs w:val="21"/>
              </w:rPr>
              <w:t>。</w:t>
            </w:r>
          </w:p>
        </w:tc>
        <w:tc>
          <w:tcPr>
            <w:tcW w:w="593" w:type="dxa"/>
            <w:tcBorders>
              <w:left w:val="single" w:color="auto" w:sz="4" w:space="0"/>
              <w:right w:val="single" w:color="auto" w:sz="4" w:space="0"/>
            </w:tcBorders>
            <w:vAlign w:val="center"/>
          </w:tcPr>
          <w:p>
            <w:pPr>
              <w:jc w:val="center"/>
              <w:rPr>
                <w:szCs w:val="21"/>
              </w:rPr>
            </w:pPr>
          </w:p>
        </w:tc>
        <w:tc>
          <w:tcPr>
            <w:tcW w:w="593" w:type="dxa"/>
            <w:tcBorders>
              <w:left w:val="single" w:color="auto" w:sz="4" w:space="0"/>
            </w:tcBorders>
            <w:vAlign w:val="center"/>
          </w:tcPr>
          <w:p>
            <w:pPr>
              <w:shd w:val="clear" w:color="auto" w:fill="FAFAFA"/>
              <w:spacing w:line="360" w:lineRule="auto"/>
              <w:jc w:val="center"/>
              <w:rPr>
                <w:szCs w:val="21"/>
              </w:rPr>
            </w:pPr>
          </w:p>
        </w:tc>
        <w:tc>
          <w:tcPr>
            <w:tcW w:w="593" w:type="dxa"/>
            <w:tcBorders>
              <w:right w:val="single" w:color="auto" w:sz="4" w:space="0"/>
            </w:tcBorders>
            <w:vAlign w:val="center"/>
          </w:tcPr>
          <w:p>
            <w:pPr>
              <w:jc w:val="center"/>
              <w:rPr>
                <w:szCs w:val="21"/>
              </w:rPr>
            </w:pPr>
          </w:p>
        </w:tc>
        <w:tc>
          <w:tcPr>
            <w:tcW w:w="551" w:type="dxa"/>
            <w:tcBorders>
              <w:lef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6729" w:type="dxa"/>
            <w:gridSpan w:val="2"/>
            <w:tcBorders>
              <w:right w:val="single" w:color="auto" w:sz="4" w:space="0"/>
            </w:tcBorders>
            <w:vAlign w:val="center"/>
          </w:tcPr>
          <w:p>
            <w:pPr>
              <w:jc w:val="center"/>
              <w:rPr>
                <w:szCs w:val="21"/>
              </w:rPr>
            </w:pPr>
            <w:r>
              <w:rPr>
                <w:szCs w:val="21"/>
              </w:rPr>
              <w:t>审查结果</w:t>
            </w:r>
          </w:p>
        </w:tc>
        <w:tc>
          <w:tcPr>
            <w:tcW w:w="593" w:type="dxa"/>
            <w:tcBorders>
              <w:left w:val="single" w:color="auto" w:sz="4" w:space="0"/>
              <w:right w:val="single" w:color="auto" w:sz="4" w:space="0"/>
            </w:tcBorders>
            <w:vAlign w:val="center"/>
          </w:tcPr>
          <w:p>
            <w:pPr>
              <w:jc w:val="center"/>
              <w:rPr>
                <w:szCs w:val="21"/>
              </w:rPr>
            </w:pPr>
          </w:p>
        </w:tc>
        <w:tc>
          <w:tcPr>
            <w:tcW w:w="593" w:type="dxa"/>
            <w:tcBorders>
              <w:left w:val="single" w:color="auto" w:sz="4" w:space="0"/>
            </w:tcBorders>
            <w:vAlign w:val="center"/>
          </w:tcPr>
          <w:p>
            <w:pPr>
              <w:jc w:val="center"/>
              <w:rPr>
                <w:szCs w:val="21"/>
              </w:rPr>
            </w:pPr>
          </w:p>
        </w:tc>
        <w:tc>
          <w:tcPr>
            <w:tcW w:w="593" w:type="dxa"/>
            <w:vAlign w:val="center"/>
          </w:tcPr>
          <w:p>
            <w:pPr>
              <w:jc w:val="center"/>
              <w:rPr>
                <w:szCs w:val="21"/>
              </w:rPr>
            </w:pPr>
          </w:p>
        </w:tc>
        <w:tc>
          <w:tcPr>
            <w:tcW w:w="55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6729" w:type="dxa"/>
            <w:gridSpan w:val="2"/>
            <w:tcBorders>
              <w:right w:val="single" w:color="auto" w:sz="4" w:space="0"/>
            </w:tcBorders>
            <w:vAlign w:val="center"/>
          </w:tcPr>
          <w:p>
            <w:pPr>
              <w:jc w:val="center"/>
              <w:rPr>
                <w:szCs w:val="21"/>
              </w:rPr>
            </w:pPr>
            <w:r>
              <w:rPr>
                <w:szCs w:val="21"/>
              </w:rPr>
              <w:t>不通过理由说明</w:t>
            </w:r>
          </w:p>
        </w:tc>
        <w:tc>
          <w:tcPr>
            <w:tcW w:w="593" w:type="dxa"/>
            <w:tcBorders>
              <w:left w:val="single" w:color="auto" w:sz="4" w:space="0"/>
              <w:right w:val="single" w:color="auto" w:sz="4" w:space="0"/>
            </w:tcBorders>
            <w:vAlign w:val="center"/>
          </w:tcPr>
          <w:p>
            <w:pPr>
              <w:jc w:val="center"/>
              <w:rPr>
                <w:szCs w:val="21"/>
              </w:rPr>
            </w:pPr>
          </w:p>
        </w:tc>
        <w:tc>
          <w:tcPr>
            <w:tcW w:w="593" w:type="dxa"/>
            <w:tcBorders>
              <w:left w:val="single" w:color="auto" w:sz="4" w:space="0"/>
            </w:tcBorders>
            <w:vAlign w:val="center"/>
          </w:tcPr>
          <w:p>
            <w:pPr>
              <w:jc w:val="center"/>
              <w:rPr>
                <w:szCs w:val="21"/>
              </w:rPr>
            </w:pPr>
          </w:p>
        </w:tc>
        <w:tc>
          <w:tcPr>
            <w:tcW w:w="593" w:type="dxa"/>
            <w:vAlign w:val="center"/>
          </w:tcPr>
          <w:p>
            <w:pPr>
              <w:jc w:val="center"/>
              <w:rPr>
                <w:szCs w:val="21"/>
              </w:rPr>
            </w:pPr>
          </w:p>
        </w:tc>
        <w:tc>
          <w:tcPr>
            <w:tcW w:w="551" w:type="dxa"/>
            <w:vAlign w:val="center"/>
          </w:tcPr>
          <w:p>
            <w:pPr>
              <w:jc w:val="center"/>
              <w:rPr>
                <w:szCs w:val="21"/>
              </w:rPr>
            </w:pPr>
          </w:p>
        </w:tc>
      </w:tr>
    </w:tbl>
    <w:p>
      <w:pPr>
        <w:tabs>
          <w:tab w:val="left" w:pos="1260"/>
          <w:tab w:val="left" w:pos="1620"/>
        </w:tabs>
        <w:adjustRightInd w:val="0"/>
        <w:spacing w:line="360" w:lineRule="auto"/>
        <w:jc w:val="left"/>
        <w:textAlignment w:val="baseline"/>
        <w:rPr>
          <w:b/>
          <w:szCs w:val="21"/>
        </w:rPr>
      </w:pPr>
      <w:r>
        <w:rPr>
          <w:b/>
          <w:szCs w:val="21"/>
        </w:rPr>
        <w:t>注：1、符合招标文件要求用“√”表示，不符合用“×”表示。有一项不符合要求，结论为不合格。</w:t>
      </w:r>
    </w:p>
    <w:p>
      <w:pPr>
        <w:tabs>
          <w:tab w:val="left" w:pos="1260"/>
          <w:tab w:val="left" w:pos="1620"/>
        </w:tabs>
        <w:adjustRightInd w:val="0"/>
        <w:spacing w:line="360" w:lineRule="auto"/>
        <w:jc w:val="left"/>
        <w:textAlignment w:val="baseline"/>
        <w:rPr>
          <w:b/>
          <w:szCs w:val="21"/>
        </w:rPr>
      </w:pPr>
    </w:p>
    <w:p>
      <w:pPr>
        <w:tabs>
          <w:tab w:val="left" w:pos="1260"/>
          <w:tab w:val="left" w:pos="1620"/>
        </w:tabs>
        <w:adjustRightInd w:val="0"/>
        <w:spacing w:line="360" w:lineRule="auto"/>
        <w:jc w:val="left"/>
        <w:textAlignment w:val="baseline"/>
        <w:rPr>
          <w:b/>
          <w:szCs w:val="21"/>
        </w:rPr>
      </w:pPr>
      <w:r>
        <w:rPr>
          <w:b/>
          <w:szCs w:val="21"/>
        </w:rPr>
        <w:br w:type="page"/>
      </w:r>
    </w:p>
    <w:p>
      <w:pPr>
        <w:tabs>
          <w:tab w:val="left" w:pos="-94"/>
          <w:tab w:val="left" w:pos="428"/>
        </w:tabs>
        <w:adjustRightInd w:val="0"/>
        <w:spacing w:line="360" w:lineRule="auto"/>
        <w:ind w:left="23" w:leftChars="11"/>
        <w:jc w:val="center"/>
        <w:textAlignment w:val="baseline"/>
        <w:outlineLvl w:val="1"/>
        <w:rPr>
          <w:b/>
          <w:sz w:val="28"/>
          <w:szCs w:val="28"/>
        </w:rPr>
      </w:pPr>
      <w:bookmarkStart w:id="199" w:name="_Toc22013"/>
      <w:bookmarkStart w:id="200" w:name="_Toc8395"/>
      <w:bookmarkStart w:id="201" w:name="_Toc11463"/>
      <w:bookmarkStart w:id="202" w:name="_Toc414446034"/>
      <w:bookmarkStart w:id="203" w:name="_Toc15146"/>
      <w:bookmarkStart w:id="204" w:name="_Toc410631198"/>
      <w:r>
        <w:rPr>
          <w:b/>
          <w:sz w:val="28"/>
          <w:szCs w:val="28"/>
        </w:rPr>
        <w:t>附表三 详细评审表</w:t>
      </w:r>
      <w:bookmarkEnd w:id="199"/>
      <w:bookmarkEnd w:id="200"/>
    </w:p>
    <w:p>
      <w:pPr>
        <w:spacing w:line="360" w:lineRule="auto"/>
        <w:jc w:val="center"/>
        <w:rPr>
          <w:b/>
          <w:sz w:val="30"/>
          <w:szCs w:val="30"/>
        </w:rPr>
      </w:pPr>
      <w:r>
        <w:rPr>
          <w:b/>
          <w:sz w:val="30"/>
          <w:szCs w:val="30"/>
        </w:rPr>
        <w:t>评分标准</w:t>
      </w:r>
      <w:r>
        <w:rPr>
          <w:rFonts w:hint="eastAsia"/>
          <w:b/>
          <w:sz w:val="30"/>
          <w:szCs w:val="30"/>
        </w:rPr>
        <w:t>（</w:t>
      </w:r>
      <w:r>
        <w:rPr>
          <w:b/>
          <w:sz w:val="30"/>
          <w:szCs w:val="30"/>
        </w:rPr>
        <w:t>100</w:t>
      </w:r>
      <w:r>
        <w:rPr>
          <w:rFonts w:hint="eastAsia"/>
          <w:b/>
          <w:sz w:val="30"/>
          <w:szCs w:val="30"/>
        </w:rPr>
        <w:t>分）</w:t>
      </w:r>
    </w:p>
    <w:bookmarkEnd w:id="201"/>
    <w:bookmarkEnd w:id="202"/>
    <w:bookmarkEnd w:id="203"/>
    <w:bookmarkEnd w:id="204"/>
    <w:p>
      <w:pPr>
        <w:pStyle w:val="2"/>
        <w:spacing w:before="0" w:after="0" w:line="360" w:lineRule="auto"/>
        <w:jc w:val="center"/>
        <w:rPr>
          <w:rFonts w:eastAsia="黑体"/>
          <w:b w:val="0"/>
          <w:bCs w:val="0"/>
          <w:sz w:val="28"/>
          <w:szCs w:val="28"/>
        </w:rPr>
      </w:pPr>
      <w:bookmarkStart w:id="205" w:name="_Toc23626"/>
      <w:r>
        <w:rPr>
          <w:rFonts w:hint="eastAsia" w:eastAsia="黑体"/>
          <w:b w:val="0"/>
          <w:bCs w:val="0"/>
          <w:sz w:val="28"/>
          <w:szCs w:val="28"/>
        </w:rPr>
        <w:t>商务和技术评审标准（7</w:t>
      </w:r>
      <w:r>
        <w:rPr>
          <w:rFonts w:eastAsia="黑体"/>
          <w:b w:val="0"/>
          <w:bCs w:val="0"/>
          <w:sz w:val="28"/>
          <w:szCs w:val="28"/>
        </w:rPr>
        <w:t>0</w:t>
      </w:r>
      <w:r>
        <w:rPr>
          <w:rFonts w:hint="eastAsia" w:eastAsia="黑体"/>
          <w:b w:val="0"/>
          <w:bCs w:val="0"/>
          <w:sz w:val="28"/>
          <w:szCs w:val="28"/>
        </w:rPr>
        <w:t>分）</w:t>
      </w:r>
      <w:bookmarkEnd w:id="205"/>
    </w:p>
    <w:tbl>
      <w:tblPr>
        <w:tblStyle w:val="41"/>
        <w:tblW w:w="8600" w:type="dxa"/>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2"/>
        <w:gridCol w:w="1425"/>
        <w:gridCol w:w="1287"/>
        <w:gridCol w:w="5386"/>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tblHeader/>
          <w:jc w:val="center"/>
        </w:trPr>
        <w:tc>
          <w:tcPr>
            <w:tcW w:w="502" w:type="dxa"/>
            <w:vAlign w:val="center"/>
          </w:tcPr>
          <w:p>
            <w:pPr>
              <w:pStyle w:val="425"/>
              <w:spacing w:before="0" w:after="0" w:line="240" w:lineRule="auto"/>
              <w:ind w:firstLine="0"/>
              <w:jc w:val="center"/>
              <w:rPr>
                <w:b/>
                <w:bCs/>
              </w:rPr>
            </w:pPr>
            <w:r>
              <w:rPr>
                <w:rFonts w:hint="eastAsia"/>
                <w:b/>
                <w:bCs/>
              </w:rPr>
              <w:t>序号</w:t>
            </w:r>
          </w:p>
        </w:tc>
        <w:tc>
          <w:tcPr>
            <w:tcW w:w="1425" w:type="dxa"/>
            <w:vAlign w:val="center"/>
          </w:tcPr>
          <w:p>
            <w:pPr>
              <w:pStyle w:val="425"/>
              <w:spacing w:before="0" w:after="0" w:line="240" w:lineRule="auto"/>
              <w:ind w:firstLine="0"/>
              <w:jc w:val="center"/>
              <w:rPr>
                <w:b/>
                <w:bCs/>
              </w:rPr>
            </w:pPr>
            <w:r>
              <w:rPr>
                <w:rFonts w:hint="eastAsia"/>
                <w:b/>
                <w:bCs/>
              </w:rPr>
              <w:t>评审项目</w:t>
            </w:r>
          </w:p>
        </w:tc>
        <w:tc>
          <w:tcPr>
            <w:tcW w:w="1287" w:type="dxa"/>
            <w:vAlign w:val="center"/>
          </w:tcPr>
          <w:p>
            <w:pPr>
              <w:pStyle w:val="425"/>
              <w:spacing w:before="0" w:after="0" w:line="240" w:lineRule="auto"/>
              <w:ind w:firstLine="0"/>
              <w:jc w:val="center"/>
              <w:rPr>
                <w:b/>
                <w:bCs/>
              </w:rPr>
            </w:pPr>
            <w:r>
              <w:rPr>
                <w:rFonts w:hint="eastAsia"/>
                <w:b/>
                <w:bCs/>
              </w:rPr>
              <w:t>评审因素及分值</w:t>
            </w:r>
          </w:p>
        </w:tc>
        <w:tc>
          <w:tcPr>
            <w:tcW w:w="5386" w:type="dxa"/>
            <w:vAlign w:val="center"/>
          </w:tcPr>
          <w:p>
            <w:pPr>
              <w:pStyle w:val="425"/>
              <w:spacing w:before="0" w:after="0" w:line="240" w:lineRule="auto"/>
              <w:ind w:firstLine="0"/>
              <w:jc w:val="center"/>
              <w:rPr>
                <w:b/>
                <w:bCs/>
              </w:rPr>
            </w:pPr>
            <w:r>
              <w:rPr>
                <w:rFonts w:hint="eastAsia"/>
                <w:b/>
                <w:bCs/>
              </w:rPr>
              <w:t>评分标准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19" w:hRule="atLeast"/>
          <w:jc w:val="center"/>
        </w:trPr>
        <w:tc>
          <w:tcPr>
            <w:tcW w:w="502" w:type="dxa"/>
            <w:vMerge w:val="restart"/>
            <w:vAlign w:val="center"/>
          </w:tcPr>
          <w:p>
            <w:pPr>
              <w:pStyle w:val="425"/>
              <w:spacing w:before="0" w:after="0" w:line="240" w:lineRule="auto"/>
              <w:ind w:firstLine="0"/>
              <w:jc w:val="center"/>
            </w:pPr>
            <w:r>
              <w:rPr>
                <w:rFonts w:hint="eastAsia"/>
              </w:rPr>
              <w:t>1</w:t>
            </w:r>
          </w:p>
        </w:tc>
        <w:tc>
          <w:tcPr>
            <w:tcW w:w="1425" w:type="dxa"/>
            <w:vMerge w:val="restart"/>
            <w:vAlign w:val="center"/>
          </w:tcPr>
          <w:p>
            <w:pPr>
              <w:pStyle w:val="425"/>
              <w:spacing w:line="240" w:lineRule="auto"/>
              <w:ind w:firstLine="0"/>
            </w:pPr>
            <w:r>
              <w:rPr>
                <w:rFonts w:hint="eastAsia"/>
              </w:rPr>
              <w:t>所投产品选型及兼容性</w:t>
            </w:r>
          </w:p>
        </w:tc>
        <w:tc>
          <w:tcPr>
            <w:tcW w:w="1287" w:type="dxa"/>
            <w:vAlign w:val="center"/>
          </w:tcPr>
          <w:p>
            <w:pPr>
              <w:pStyle w:val="425"/>
              <w:spacing w:line="240" w:lineRule="auto"/>
              <w:ind w:firstLine="0"/>
              <w:jc w:val="center"/>
            </w:pPr>
            <w:r>
              <w:rPr>
                <w:rFonts w:hint="eastAsia"/>
              </w:rPr>
              <w:t>产品选型（5分）</w:t>
            </w:r>
          </w:p>
        </w:tc>
        <w:tc>
          <w:tcPr>
            <w:tcW w:w="5386" w:type="dxa"/>
            <w:vAlign w:val="center"/>
          </w:tcPr>
          <w:p>
            <w:pPr>
              <w:rPr>
                <w:sz w:val="24"/>
              </w:rPr>
            </w:pPr>
            <w:r>
              <w:rPr>
                <w:rFonts w:hint="eastAsia"/>
                <w:sz w:val="24"/>
              </w:rPr>
              <w:t>从投标产品功能和质量（包括性能、材料、结构、安全）等方面来评审产品的选型合理性，合理得5分；基本合理，得3分；不合理，得1分；不提供不得分。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3" w:hRule="atLeast"/>
          <w:jc w:val="center"/>
        </w:trPr>
        <w:tc>
          <w:tcPr>
            <w:tcW w:w="502" w:type="dxa"/>
            <w:vMerge w:val="continue"/>
            <w:vAlign w:val="center"/>
          </w:tcPr>
          <w:p>
            <w:pPr>
              <w:pStyle w:val="425"/>
              <w:spacing w:before="0" w:after="0" w:line="240" w:lineRule="auto"/>
              <w:ind w:firstLine="0"/>
              <w:jc w:val="center"/>
            </w:pPr>
          </w:p>
        </w:tc>
        <w:tc>
          <w:tcPr>
            <w:tcW w:w="1425" w:type="dxa"/>
            <w:vMerge w:val="continue"/>
            <w:vAlign w:val="center"/>
          </w:tcPr>
          <w:p>
            <w:pPr>
              <w:pStyle w:val="425"/>
              <w:spacing w:before="0" w:after="0" w:line="240" w:lineRule="auto"/>
              <w:ind w:firstLine="0"/>
              <w:jc w:val="center"/>
            </w:pPr>
          </w:p>
        </w:tc>
        <w:tc>
          <w:tcPr>
            <w:tcW w:w="1287" w:type="dxa"/>
            <w:vAlign w:val="center"/>
          </w:tcPr>
          <w:p>
            <w:pPr>
              <w:pStyle w:val="425"/>
              <w:spacing w:before="0" w:after="0" w:line="240" w:lineRule="auto"/>
              <w:ind w:firstLine="0"/>
              <w:jc w:val="center"/>
            </w:pPr>
            <w:r>
              <w:rPr>
                <w:rFonts w:hint="eastAsia"/>
              </w:rPr>
              <w:t>产品兼容性（2分）</w:t>
            </w:r>
          </w:p>
        </w:tc>
        <w:tc>
          <w:tcPr>
            <w:tcW w:w="5386" w:type="dxa"/>
            <w:vAlign w:val="center"/>
          </w:tcPr>
          <w:p>
            <w:pPr>
              <w:rPr>
                <w:sz w:val="24"/>
              </w:rPr>
            </w:pPr>
            <w:r>
              <w:rPr>
                <w:rFonts w:hint="eastAsia"/>
                <w:sz w:val="24"/>
              </w:rPr>
              <w:t>投标方所投主要产品能够与用户现有投入的设备以及整个系统进行兼容，得2分；不兼容不得分。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502" w:type="dxa"/>
            <w:tcBorders>
              <w:bottom w:val="single" w:color="auto" w:sz="4" w:space="0"/>
            </w:tcBorders>
            <w:vAlign w:val="center"/>
          </w:tcPr>
          <w:p>
            <w:pPr>
              <w:pStyle w:val="426"/>
              <w:jc w:val="center"/>
              <w:rPr>
                <w:sz w:val="24"/>
              </w:rPr>
            </w:pPr>
            <w:r>
              <w:rPr>
                <w:rFonts w:hint="eastAsia"/>
                <w:sz w:val="24"/>
              </w:rPr>
              <w:t>2</w:t>
            </w:r>
          </w:p>
        </w:tc>
        <w:tc>
          <w:tcPr>
            <w:tcW w:w="1425" w:type="dxa"/>
            <w:tcBorders>
              <w:bottom w:val="single" w:color="auto" w:sz="4" w:space="0"/>
            </w:tcBorders>
            <w:vAlign w:val="center"/>
          </w:tcPr>
          <w:p>
            <w:pPr>
              <w:pStyle w:val="425"/>
              <w:spacing w:before="0" w:after="0" w:line="240" w:lineRule="auto"/>
              <w:ind w:firstLine="0"/>
              <w:jc w:val="center"/>
            </w:pPr>
            <w:r>
              <w:rPr>
                <w:rFonts w:hint="eastAsia"/>
              </w:rPr>
              <w:t>产品配置及性能指标</w:t>
            </w:r>
          </w:p>
        </w:tc>
        <w:tc>
          <w:tcPr>
            <w:tcW w:w="1287" w:type="dxa"/>
            <w:tcBorders>
              <w:bottom w:val="single" w:color="auto" w:sz="4" w:space="0"/>
            </w:tcBorders>
            <w:vAlign w:val="center"/>
          </w:tcPr>
          <w:p>
            <w:pPr>
              <w:pStyle w:val="425"/>
              <w:spacing w:before="0" w:after="0" w:line="240" w:lineRule="auto"/>
              <w:ind w:firstLine="0"/>
              <w:jc w:val="center"/>
            </w:pPr>
            <w:r>
              <w:rPr>
                <w:rFonts w:hint="eastAsia"/>
              </w:rPr>
              <w:t>配置及性能指标（40分）</w:t>
            </w:r>
          </w:p>
        </w:tc>
        <w:tc>
          <w:tcPr>
            <w:tcW w:w="5386" w:type="dxa"/>
            <w:tcBorders>
              <w:bottom w:val="single" w:color="auto" w:sz="4" w:space="0"/>
            </w:tcBorders>
            <w:vAlign w:val="center"/>
          </w:tcPr>
          <w:p>
            <w:pPr>
              <w:pStyle w:val="425"/>
              <w:spacing w:before="0" w:after="0" w:line="240" w:lineRule="auto"/>
              <w:ind w:firstLine="0"/>
            </w:pPr>
            <w:r>
              <w:rPr>
                <w:rFonts w:hint="eastAsia"/>
              </w:rPr>
              <w:t>根据所投产品的配置与性能指标的响应程度打分，所投产品所有技术参数全部满足的招标文件要求的得40分。</w:t>
            </w:r>
          </w:p>
          <w:p>
            <w:pPr>
              <w:pStyle w:val="425"/>
              <w:spacing w:before="0" w:after="0" w:line="240" w:lineRule="auto"/>
              <w:ind w:firstLine="0"/>
            </w:pPr>
            <w:r>
              <w:rPr>
                <w:rFonts w:hint="eastAsia"/>
              </w:rPr>
              <w:t>每有一项指标低于招标文件要求的扣5分，最多扣至0分。</w:t>
            </w:r>
          </w:p>
          <w:p>
            <w:pPr>
              <w:pStyle w:val="425"/>
              <w:spacing w:before="0" w:after="0" w:line="240" w:lineRule="auto"/>
              <w:ind w:firstLine="0"/>
            </w:pPr>
            <w:r>
              <w:rPr>
                <w:rFonts w:hint="eastAsia"/>
              </w:rPr>
              <w:t>（以投标人提供第三方检测机构出具的关于本次招标主要产品的检测报告中的检测结果数据为依据进行评分。）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5" w:hRule="atLeast"/>
          <w:jc w:val="center"/>
        </w:trPr>
        <w:tc>
          <w:tcPr>
            <w:tcW w:w="502" w:type="dxa"/>
            <w:vMerge w:val="restart"/>
            <w:tcBorders>
              <w:top w:val="single" w:color="auto" w:sz="4" w:space="0"/>
              <w:left w:val="single" w:color="auto" w:sz="4" w:space="0"/>
              <w:bottom w:val="single" w:color="auto" w:sz="4" w:space="0"/>
              <w:right w:val="single" w:color="auto" w:sz="4" w:space="0"/>
            </w:tcBorders>
            <w:vAlign w:val="center"/>
          </w:tcPr>
          <w:p>
            <w:pPr>
              <w:pStyle w:val="425"/>
              <w:spacing w:line="240" w:lineRule="auto"/>
              <w:ind w:firstLine="72"/>
            </w:pPr>
            <w:r>
              <w:rPr>
                <w:rFonts w:hint="eastAsia"/>
              </w:rPr>
              <w:t>3</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售后服务体系及服务情况</w:t>
            </w: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售后服务人员</w:t>
            </w:r>
          </w:p>
          <w:p>
            <w:pPr>
              <w:jc w:val="center"/>
              <w:rPr>
                <w:sz w:val="24"/>
              </w:rPr>
            </w:pPr>
            <w:r>
              <w:rPr>
                <w:rFonts w:hint="eastAsia"/>
                <w:sz w:val="24"/>
              </w:rPr>
              <w:t>（4分）</w:t>
            </w:r>
          </w:p>
        </w:tc>
        <w:tc>
          <w:tcPr>
            <w:tcW w:w="5386"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厂家在新疆具备稳定的专业维护工程师，并具备</w:t>
            </w:r>
            <w:r>
              <w:rPr>
                <w:sz w:val="24"/>
              </w:rPr>
              <w:t>相应的资格证明</w:t>
            </w:r>
            <w:r>
              <w:rPr>
                <w:rFonts w:hint="eastAsia"/>
                <w:sz w:val="24"/>
              </w:rPr>
              <w:t>，得2分（需提供证明材料）</w:t>
            </w:r>
          </w:p>
          <w:p>
            <w:pPr>
              <w:rPr>
                <w:sz w:val="24"/>
              </w:rPr>
            </w:pPr>
            <w:r>
              <w:rPr>
                <w:rFonts w:hint="eastAsia"/>
                <w:sz w:val="24"/>
              </w:rPr>
              <w:t>厂家在新疆具备稳定的技术支持，并具备</w:t>
            </w:r>
            <w:r>
              <w:rPr>
                <w:sz w:val="24"/>
              </w:rPr>
              <w:t>相应的资格证明</w:t>
            </w:r>
            <w:r>
              <w:rPr>
                <w:rFonts w:hint="eastAsia"/>
                <w:sz w:val="24"/>
              </w:rPr>
              <w:t>，得2分（需提供证明材料）</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5" w:hRule="atLeast"/>
          <w:jc w:val="center"/>
        </w:trPr>
        <w:tc>
          <w:tcPr>
            <w:tcW w:w="502" w:type="dxa"/>
            <w:vMerge w:val="continue"/>
            <w:tcBorders>
              <w:top w:val="single" w:color="auto" w:sz="4" w:space="0"/>
              <w:left w:val="single" w:color="auto" w:sz="4" w:space="0"/>
              <w:bottom w:val="single" w:color="auto" w:sz="4" w:space="0"/>
              <w:right w:val="single" w:color="auto" w:sz="4" w:space="0"/>
            </w:tcBorders>
            <w:vAlign w:val="center"/>
          </w:tcPr>
          <w:p>
            <w:pPr>
              <w:pStyle w:val="425"/>
              <w:spacing w:line="240" w:lineRule="auto"/>
              <w:ind w:firstLine="72"/>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sz w:val="24"/>
              </w:rPr>
            </w:pP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售后服务响应时间</w:t>
            </w:r>
          </w:p>
          <w:p>
            <w:pPr>
              <w:jc w:val="center"/>
              <w:rPr>
                <w:sz w:val="24"/>
              </w:rPr>
            </w:pPr>
            <w:r>
              <w:rPr>
                <w:rFonts w:hint="eastAsia"/>
                <w:sz w:val="24"/>
              </w:rPr>
              <w:t>（1分）</w:t>
            </w:r>
          </w:p>
        </w:tc>
        <w:tc>
          <w:tcPr>
            <w:tcW w:w="5386"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投标人售后服务响应时间满足招标文件的得1分，否则不得分。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5" w:hRule="atLeast"/>
          <w:jc w:val="center"/>
        </w:trPr>
        <w:tc>
          <w:tcPr>
            <w:tcW w:w="502" w:type="dxa"/>
            <w:vMerge w:val="continue"/>
            <w:tcBorders>
              <w:top w:val="single" w:color="auto" w:sz="4" w:space="0"/>
              <w:left w:val="single" w:color="auto" w:sz="4" w:space="0"/>
              <w:bottom w:val="single" w:color="auto" w:sz="4" w:space="0"/>
              <w:right w:val="single" w:color="auto" w:sz="4" w:space="0"/>
            </w:tcBorders>
            <w:vAlign w:val="center"/>
          </w:tcPr>
          <w:p>
            <w:pPr>
              <w:pStyle w:val="258"/>
              <w:spacing w:line="240" w:lineRule="auto"/>
              <w:ind w:firstLine="72"/>
              <w:rPr>
                <w:rFonts w:ascii="宋体" w:hAnsi="宋体"/>
                <w:sz w:val="24"/>
                <w:szCs w:val="24"/>
                <w:lang w:eastAsia="zh-CN"/>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sz w:val="24"/>
              </w:rPr>
            </w:pP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售后服务体系</w:t>
            </w:r>
          </w:p>
          <w:p>
            <w:pPr>
              <w:jc w:val="center"/>
              <w:rPr>
                <w:sz w:val="24"/>
              </w:rPr>
            </w:pPr>
            <w:r>
              <w:rPr>
                <w:rFonts w:hint="eastAsia"/>
                <w:sz w:val="24"/>
              </w:rPr>
              <w:t>（2分）</w:t>
            </w:r>
          </w:p>
        </w:tc>
        <w:tc>
          <w:tcPr>
            <w:tcW w:w="5386"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投标文件中有明确售后服务体系，在疆内设有技术支持机构并提供相关证明材料的得基本分2分，在国内（疆外）设有技术运营服务机构并提供相关证明材料的得1分。（需提供房产租赁合同或房产证等证明材料，无此项得0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36" w:hRule="atLeast"/>
          <w:jc w:val="center"/>
        </w:trPr>
        <w:tc>
          <w:tcPr>
            <w:tcW w:w="502" w:type="dxa"/>
            <w:vMerge w:val="continue"/>
            <w:tcBorders>
              <w:top w:val="single" w:color="auto" w:sz="4" w:space="0"/>
              <w:left w:val="single" w:color="auto" w:sz="4" w:space="0"/>
              <w:bottom w:val="single" w:color="auto" w:sz="4" w:space="0"/>
              <w:right w:val="single" w:color="auto" w:sz="4" w:space="0"/>
            </w:tcBorders>
            <w:vAlign w:val="center"/>
          </w:tcPr>
          <w:p>
            <w:pPr>
              <w:pStyle w:val="258"/>
              <w:spacing w:line="240" w:lineRule="auto"/>
              <w:ind w:firstLine="72"/>
              <w:rPr>
                <w:rFonts w:ascii="宋体" w:hAnsi="宋体"/>
                <w:sz w:val="24"/>
                <w:szCs w:val="24"/>
                <w:lang w:eastAsia="zh-CN"/>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sz w:val="24"/>
              </w:rPr>
            </w:pP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配送及安装实施方案</w:t>
            </w:r>
          </w:p>
          <w:p>
            <w:pPr>
              <w:jc w:val="center"/>
              <w:rPr>
                <w:sz w:val="24"/>
              </w:rPr>
            </w:pPr>
            <w:r>
              <w:rPr>
                <w:rFonts w:hint="eastAsia"/>
                <w:sz w:val="24"/>
              </w:rPr>
              <w:t>（5分）</w:t>
            </w:r>
          </w:p>
        </w:tc>
        <w:tc>
          <w:tcPr>
            <w:tcW w:w="5386"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从①配送计划、②安装调试方案、③测试与试运行等方面对投标人提供的配送及安装实施方案方案进行评价，满足需求、完整合理、针对性强的得5分，不够完善的得3分，极不完善的得1分，未提供的不得分。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5" w:hRule="atLeast"/>
          <w:jc w:val="center"/>
        </w:trPr>
        <w:tc>
          <w:tcPr>
            <w:tcW w:w="502" w:type="dxa"/>
            <w:vMerge w:val="continue"/>
            <w:tcBorders>
              <w:top w:val="single" w:color="auto" w:sz="4" w:space="0"/>
            </w:tcBorders>
            <w:vAlign w:val="center"/>
          </w:tcPr>
          <w:p>
            <w:pPr>
              <w:pStyle w:val="258"/>
              <w:spacing w:line="240" w:lineRule="auto"/>
              <w:ind w:firstLine="72"/>
              <w:rPr>
                <w:rFonts w:ascii="宋体" w:hAnsi="宋体"/>
                <w:sz w:val="24"/>
                <w:szCs w:val="24"/>
                <w:lang w:eastAsia="zh-CN"/>
              </w:rPr>
            </w:pPr>
          </w:p>
        </w:tc>
        <w:tc>
          <w:tcPr>
            <w:tcW w:w="1425" w:type="dxa"/>
            <w:vMerge w:val="continue"/>
            <w:tcBorders>
              <w:top w:val="single" w:color="auto" w:sz="4" w:space="0"/>
            </w:tcBorders>
            <w:vAlign w:val="center"/>
          </w:tcPr>
          <w:p>
            <w:pPr>
              <w:rPr>
                <w:sz w:val="24"/>
              </w:rPr>
            </w:pPr>
          </w:p>
        </w:tc>
        <w:tc>
          <w:tcPr>
            <w:tcW w:w="1287" w:type="dxa"/>
            <w:tcBorders>
              <w:top w:val="single" w:color="auto" w:sz="4" w:space="0"/>
              <w:bottom w:val="single" w:color="auto" w:sz="4" w:space="0"/>
            </w:tcBorders>
            <w:vAlign w:val="center"/>
          </w:tcPr>
          <w:p>
            <w:pPr>
              <w:rPr>
                <w:sz w:val="24"/>
              </w:rPr>
            </w:pPr>
            <w:r>
              <w:rPr>
                <w:rFonts w:hint="eastAsia"/>
                <w:sz w:val="24"/>
              </w:rPr>
              <w:t>培训方案</w:t>
            </w:r>
          </w:p>
          <w:p>
            <w:pPr>
              <w:rPr>
                <w:sz w:val="24"/>
              </w:rPr>
            </w:pPr>
            <w:r>
              <w:rPr>
                <w:rFonts w:hint="eastAsia"/>
                <w:sz w:val="24"/>
              </w:rPr>
              <w:t>（5分）</w:t>
            </w:r>
          </w:p>
        </w:tc>
        <w:tc>
          <w:tcPr>
            <w:tcW w:w="5386" w:type="dxa"/>
            <w:tcBorders>
              <w:top w:val="single" w:color="auto" w:sz="4" w:space="0"/>
              <w:bottom w:val="single" w:color="auto" w:sz="4" w:space="0"/>
            </w:tcBorders>
            <w:vAlign w:val="center"/>
          </w:tcPr>
          <w:p>
            <w:pPr>
              <w:rPr>
                <w:sz w:val="24"/>
              </w:rPr>
            </w:pPr>
            <w:r>
              <w:rPr>
                <w:rFonts w:hint="eastAsia"/>
                <w:sz w:val="24"/>
              </w:rPr>
              <w:t>从①培训内容、②培训方式、③培训覆盖面、④预期培训效果等方面对投标人提供的培训方案进行评价，完整合理、针对性强的得5分，不够完善的得3分，极不完善的得1分，未提供的不得分。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5" w:hRule="atLeast"/>
          <w:jc w:val="center"/>
        </w:trPr>
        <w:tc>
          <w:tcPr>
            <w:tcW w:w="502" w:type="dxa"/>
            <w:vAlign w:val="center"/>
          </w:tcPr>
          <w:p>
            <w:pPr>
              <w:pStyle w:val="258"/>
              <w:spacing w:line="240" w:lineRule="auto"/>
              <w:ind w:firstLine="72"/>
              <w:rPr>
                <w:rFonts w:ascii="宋体" w:hAnsi="宋体"/>
                <w:sz w:val="24"/>
                <w:szCs w:val="24"/>
              </w:rPr>
            </w:pPr>
            <w:r>
              <w:rPr>
                <w:rFonts w:hint="eastAsia" w:ascii="宋体" w:hAnsi="宋体"/>
                <w:sz w:val="24"/>
                <w:szCs w:val="24"/>
              </w:rPr>
              <w:t>4</w:t>
            </w:r>
          </w:p>
        </w:tc>
        <w:tc>
          <w:tcPr>
            <w:tcW w:w="1425" w:type="dxa"/>
            <w:vAlign w:val="center"/>
          </w:tcPr>
          <w:p>
            <w:pPr>
              <w:rPr>
                <w:sz w:val="24"/>
              </w:rPr>
            </w:pPr>
            <w:r>
              <w:rPr>
                <w:rFonts w:hint="eastAsia"/>
                <w:sz w:val="24"/>
              </w:rPr>
              <w:t>相关项目业绩</w:t>
            </w:r>
          </w:p>
        </w:tc>
        <w:tc>
          <w:tcPr>
            <w:tcW w:w="1287" w:type="dxa"/>
            <w:tcBorders>
              <w:top w:val="single" w:color="auto" w:sz="4" w:space="0"/>
              <w:bottom w:val="single" w:color="auto" w:sz="4" w:space="0"/>
            </w:tcBorders>
            <w:vAlign w:val="center"/>
          </w:tcPr>
          <w:p>
            <w:pPr>
              <w:jc w:val="center"/>
              <w:rPr>
                <w:sz w:val="24"/>
              </w:rPr>
            </w:pPr>
            <w:r>
              <w:rPr>
                <w:rFonts w:hint="eastAsia"/>
                <w:sz w:val="24"/>
              </w:rPr>
              <w:t>相关项目业绩</w:t>
            </w:r>
          </w:p>
          <w:p>
            <w:pPr>
              <w:jc w:val="center"/>
              <w:rPr>
                <w:sz w:val="24"/>
              </w:rPr>
            </w:pPr>
            <w:r>
              <w:rPr>
                <w:rFonts w:hint="eastAsia"/>
                <w:sz w:val="24"/>
              </w:rPr>
              <w:t>（6分）</w:t>
            </w:r>
          </w:p>
        </w:tc>
        <w:tc>
          <w:tcPr>
            <w:tcW w:w="5386" w:type="dxa"/>
            <w:tcBorders>
              <w:top w:val="single" w:color="auto" w:sz="4" w:space="0"/>
              <w:bottom w:val="single" w:color="auto" w:sz="4" w:space="0"/>
            </w:tcBorders>
            <w:vAlign w:val="center"/>
          </w:tcPr>
          <w:p>
            <w:pPr>
              <w:rPr>
                <w:sz w:val="24"/>
              </w:rPr>
            </w:pPr>
            <w:r>
              <w:rPr>
                <w:rFonts w:hint="eastAsia"/>
                <w:sz w:val="24"/>
              </w:rPr>
              <w:t>根据投标文件所提供近三年内所投产品的同类项目经营业绩进行评审，每提供一项经营业绩得1分，最高得6分；</w:t>
            </w:r>
          </w:p>
          <w:p>
            <w:pPr>
              <w:rPr>
                <w:sz w:val="24"/>
              </w:rPr>
            </w:pPr>
            <w:r>
              <w:rPr>
                <w:rFonts w:hint="eastAsia"/>
                <w:sz w:val="24"/>
              </w:rPr>
              <w:t>（以投标人提供的合同或中标通知书复印件为依据进行评分）</w:t>
            </w:r>
          </w:p>
        </w:tc>
      </w:tr>
    </w:tbl>
    <w:p>
      <w:pPr>
        <w:pStyle w:val="2"/>
        <w:spacing w:before="0" w:after="0" w:line="360" w:lineRule="auto"/>
        <w:jc w:val="center"/>
        <w:rPr>
          <w:rFonts w:eastAsia="黑体"/>
          <w:b w:val="0"/>
          <w:bCs w:val="0"/>
          <w:sz w:val="28"/>
          <w:szCs w:val="28"/>
        </w:rPr>
      </w:pPr>
      <w:bookmarkStart w:id="206" w:name="_Toc30427"/>
      <w:r>
        <w:rPr>
          <w:rFonts w:hint="eastAsia" w:eastAsia="黑体"/>
          <w:b w:val="0"/>
          <w:bCs w:val="0"/>
          <w:sz w:val="28"/>
          <w:szCs w:val="28"/>
        </w:rPr>
        <w:t>投标报价评分标准</w:t>
      </w:r>
      <w:r>
        <w:rPr>
          <w:rFonts w:eastAsia="黑体"/>
          <w:b w:val="0"/>
          <w:bCs w:val="0"/>
          <w:sz w:val="28"/>
          <w:szCs w:val="28"/>
        </w:rPr>
        <w:t>（</w:t>
      </w:r>
      <w:r>
        <w:rPr>
          <w:rFonts w:hint="eastAsia" w:eastAsia="黑体"/>
          <w:b w:val="0"/>
          <w:bCs w:val="0"/>
          <w:sz w:val="28"/>
          <w:szCs w:val="28"/>
        </w:rPr>
        <w:t>3</w:t>
      </w:r>
      <w:r>
        <w:rPr>
          <w:rFonts w:eastAsia="黑体"/>
          <w:b w:val="0"/>
          <w:bCs w:val="0"/>
          <w:sz w:val="28"/>
          <w:szCs w:val="28"/>
        </w:rPr>
        <w:t>0</w:t>
      </w:r>
      <w:r>
        <w:rPr>
          <w:rFonts w:hint="eastAsia" w:eastAsia="黑体"/>
          <w:b w:val="0"/>
          <w:bCs w:val="0"/>
          <w:sz w:val="28"/>
          <w:szCs w:val="28"/>
        </w:rPr>
        <w:t>分</w:t>
      </w:r>
      <w:r>
        <w:rPr>
          <w:rFonts w:eastAsia="黑体"/>
          <w:b w:val="0"/>
          <w:bCs w:val="0"/>
          <w:sz w:val="28"/>
          <w:szCs w:val="28"/>
        </w:rPr>
        <w:t>）</w:t>
      </w:r>
      <w:bookmarkEnd w:id="206"/>
    </w:p>
    <w:p>
      <w:pPr>
        <w:rPr>
          <w:szCs w:val="21"/>
        </w:rPr>
      </w:pPr>
    </w:p>
    <w:tbl>
      <w:tblPr>
        <w:tblStyle w:val="41"/>
        <w:tblW w:w="8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8"/>
        <w:gridCol w:w="809"/>
        <w:gridCol w:w="758"/>
        <w:gridCol w:w="64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blHeader/>
          <w:jc w:val="center"/>
        </w:trPr>
        <w:tc>
          <w:tcPr>
            <w:tcW w:w="528" w:type="dxa"/>
            <w:tcBorders>
              <w:top w:val="single" w:color="auto" w:sz="4" w:space="0"/>
              <w:bottom w:val="single" w:color="auto" w:sz="4" w:space="0"/>
              <w:right w:val="single" w:color="auto" w:sz="4" w:space="0"/>
            </w:tcBorders>
            <w:vAlign w:val="center"/>
          </w:tcPr>
          <w:p>
            <w:pPr>
              <w:jc w:val="center"/>
              <w:rPr>
                <w:b/>
                <w:bCs/>
                <w:sz w:val="24"/>
              </w:rPr>
            </w:pPr>
            <w:r>
              <w:rPr>
                <w:b/>
                <w:bCs/>
                <w:sz w:val="24"/>
              </w:rPr>
              <w:t>序号</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
                <w:bCs/>
                <w:sz w:val="24"/>
              </w:rPr>
              <w:t>评审项目</w:t>
            </w:r>
          </w:p>
        </w:tc>
        <w:tc>
          <w:tcPr>
            <w:tcW w:w="758"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
                <w:bCs/>
                <w:sz w:val="24"/>
              </w:rPr>
              <w:t>分值</w:t>
            </w:r>
          </w:p>
        </w:tc>
        <w:tc>
          <w:tcPr>
            <w:tcW w:w="6412" w:type="dxa"/>
            <w:tcBorders>
              <w:top w:val="single" w:color="auto" w:sz="4" w:space="0"/>
              <w:left w:val="single" w:color="auto" w:sz="4" w:space="0"/>
              <w:bottom w:val="single" w:color="auto" w:sz="4" w:space="0"/>
            </w:tcBorders>
            <w:vAlign w:val="center"/>
          </w:tcPr>
          <w:p>
            <w:pPr>
              <w:jc w:val="center"/>
              <w:rPr>
                <w:b/>
                <w:bCs/>
                <w:sz w:val="24"/>
              </w:rPr>
            </w:pPr>
            <w:r>
              <w:rPr>
                <w:b/>
                <w:bCs/>
                <w:sz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7" w:hRule="atLeast"/>
          <w:jc w:val="center"/>
        </w:trPr>
        <w:tc>
          <w:tcPr>
            <w:tcW w:w="528" w:type="dxa"/>
            <w:tcBorders>
              <w:top w:val="single" w:color="auto" w:sz="4" w:space="0"/>
              <w:bottom w:val="single" w:color="auto" w:sz="4" w:space="0"/>
              <w:right w:val="single" w:color="auto" w:sz="4" w:space="0"/>
            </w:tcBorders>
            <w:vAlign w:val="center"/>
          </w:tcPr>
          <w:p>
            <w:pPr>
              <w:jc w:val="center"/>
              <w:rPr>
                <w:sz w:val="24"/>
              </w:rPr>
            </w:pPr>
            <w:r>
              <w:rPr>
                <w:sz w:val="24"/>
              </w:rPr>
              <w:t>1</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投标报价</w:t>
            </w:r>
          </w:p>
        </w:tc>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sz w:val="24"/>
              </w:rPr>
              <w:t>30分</w:t>
            </w:r>
          </w:p>
        </w:tc>
        <w:tc>
          <w:tcPr>
            <w:tcW w:w="6412" w:type="dxa"/>
            <w:tcBorders>
              <w:top w:val="single" w:color="auto" w:sz="4" w:space="0"/>
              <w:left w:val="single" w:color="auto" w:sz="4" w:space="0"/>
              <w:bottom w:val="single" w:color="auto" w:sz="4" w:space="0"/>
            </w:tcBorders>
            <w:vAlign w:val="center"/>
          </w:tcPr>
          <w:p>
            <w:pPr>
              <w:rPr>
                <w:sz w:val="24"/>
              </w:rPr>
            </w:pPr>
            <w:r>
              <w:rPr>
                <w:sz w:val="24"/>
              </w:rPr>
              <w:t>在满足招标文件要求的前提下，取各投标人有效报价的最低价作为评标基准价,满分为30分；价格分的计算投标报价得分=(评标基准价／投标报价)×30 。（计算分值时，百分比按四舍五入原则，保留小数点后二位数）</w:t>
            </w:r>
          </w:p>
        </w:tc>
      </w:tr>
    </w:tbl>
    <w:p>
      <w:pPr>
        <w:tabs>
          <w:tab w:val="left" w:pos="0"/>
        </w:tabs>
        <w:adjustRightInd w:val="0"/>
        <w:snapToGrid w:val="0"/>
        <w:spacing w:line="440" w:lineRule="exact"/>
        <w:ind w:firstLine="420" w:firstLineChars="200"/>
        <w:rPr>
          <w:kern w:val="0"/>
          <w:szCs w:val="21"/>
        </w:rPr>
      </w:pPr>
      <w:r>
        <w:rPr>
          <w:kern w:val="0"/>
          <w:szCs w:val="21"/>
        </w:rPr>
        <w:t>注：评标委员会将根据政府采购政策支持中小企业对投标报价进行价格扣除</w:t>
      </w:r>
      <w:r>
        <w:rPr>
          <w:rFonts w:hint="eastAsia" w:eastAsia="黑体"/>
          <w:b/>
          <w:bCs/>
          <w:kern w:val="0"/>
          <w:sz w:val="22"/>
          <w:szCs w:val="22"/>
        </w:rPr>
        <w:t>（本项目标项1,2专门面向中小企业采购，不再进行价格扣除）</w:t>
      </w:r>
      <w:r>
        <w:rPr>
          <w:kern w:val="0"/>
          <w:szCs w:val="21"/>
        </w:rPr>
        <w:t>，扣除后的价格将作为评标价格</w:t>
      </w:r>
      <w:r>
        <w:rPr>
          <w:bCs/>
          <w:szCs w:val="21"/>
        </w:rPr>
        <w:t>，具体如下：</w:t>
      </w:r>
      <w:r>
        <w:rPr>
          <w:kern w:val="0"/>
          <w:szCs w:val="21"/>
        </w:rPr>
        <w:t xml:space="preserve"> </w:t>
      </w:r>
    </w:p>
    <w:tbl>
      <w:tblPr>
        <w:tblStyle w:val="41"/>
        <w:tblW w:w="8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5" w:hRule="atLeast"/>
          <w:jc w:val="center"/>
        </w:trPr>
        <w:tc>
          <w:tcPr>
            <w:tcW w:w="8519" w:type="dxa"/>
            <w:tcBorders>
              <w:top w:val="single" w:color="auto" w:sz="4" w:space="0"/>
              <w:bottom w:val="single" w:color="auto" w:sz="4" w:space="0"/>
            </w:tcBorders>
            <w:vAlign w:val="center"/>
          </w:tcPr>
          <w:p>
            <w:pPr>
              <w:snapToGrid w:val="0"/>
              <w:spacing w:line="300" w:lineRule="auto"/>
              <w:ind w:firstLine="315" w:firstLineChars="150"/>
              <w:rPr>
                <w:szCs w:val="21"/>
              </w:rPr>
            </w:pPr>
            <w:r>
              <w:rPr>
                <w:szCs w:val="21"/>
              </w:rPr>
              <w:t>根据中华人民共和国财政部、中华人民共和国工业和信息化部</w:t>
            </w:r>
            <w:r>
              <w:rPr>
                <w:rFonts w:hint="eastAsia"/>
                <w:szCs w:val="21"/>
              </w:rPr>
              <w:t>《政府采购促进中小企业发展管理办法》（财库〔2020〕46号）及《关于进一步加大政府采购支持中小企业力度的通知》（财库〔2022〕19号）文件的规定，属于中小企业评审优惠内容及幅度如下</w:t>
            </w:r>
          </w:p>
          <w:p>
            <w:pPr>
              <w:snapToGrid w:val="0"/>
              <w:spacing w:line="300" w:lineRule="auto"/>
              <w:ind w:firstLine="211" w:firstLineChars="100"/>
              <w:rPr>
                <w:szCs w:val="21"/>
              </w:rPr>
            </w:pPr>
            <w:r>
              <w:rPr>
                <w:b/>
                <w:szCs w:val="21"/>
              </w:rPr>
              <w:t>（一）</w:t>
            </w:r>
            <w:r>
              <w:rPr>
                <w:szCs w:val="21"/>
              </w:rPr>
              <w:t>中小企业（含中型、小型、微型企业）应当</w:t>
            </w:r>
            <w:r>
              <w:rPr>
                <w:b/>
                <w:szCs w:val="21"/>
              </w:rPr>
              <w:t>同时符合</w:t>
            </w:r>
            <w:r>
              <w:rPr>
                <w:szCs w:val="21"/>
              </w:rPr>
              <w:t>以下条件：</w:t>
            </w:r>
          </w:p>
          <w:p>
            <w:pPr>
              <w:pStyle w:val="435"/>
              <w:spacing w:line="300" w:lineRule="auto"/>
              <w:ind w:firstLine="420" w:firstLineChars="200"/>
              <w:rPr>
                <w:rFonts w:ascii="Times New Roman" w:hAnsi="Times New Roman"/>
                <w:szCs w:val="21"/>
              </w:rPr>
            </w:pPr>
            <w:r>
              <w:rPr>
                <w:rFonts w:hint="eastAsia" w:ascii="宋体" w:hAnsi="宋体" w:cs="宋体"/>
                <w:szCs w:val="21"/>
              </w:rPr>
              <w:t>①</w:t>
            </w:r>
            <w:r>
              <w:rPr>
                <w:rFonts w:ascii="Times New Roman" w:hAnsi="Times New Roman"/>
                <w:szCs w:val="21"/>
              </w:rPr>
              <w:t>符合中小企业划分标准（按《关于印发中小企业划型标准规定的通知》（工信部联企业〔2011〕300号）执行）；</w:t>
            </w:r>
          </w:p>
          <w:p>
            <w:pPr>
              <w:pStyle w:val="435"/>
              <w:spacing w:line="300" w:lineRule="auto"/>
              <w:ind w:firstLine="420" w:firstLineChars="200"/>
              <w:rPr>
                <w:rFonts w:ascii="Times New Roman" w:hAnsi="Times New Roman"/>
                <w:szCs w:val="21"/>
              </w:rPr>
            </w:pPr>
            <w:r>
              <w:rPr>
                <w:rFonts w:hint="eastAsia" w:ascii="宋体" w:hAnsi="宋体" w:cs="宋体"/>
                <w:szCs w:val="21"/>
              </w:rPr>
              <w:t>②</w:t>
            </w:r>
            <w:r>
              <w:rPr>
                <w:rFonts w:ascii="Times New Roman" w:hAnsi="Times New Roman"/>
                <w:szCs w:val="21"/>
              </w:rPr>
              <w:t>提供本企业制造的货物、承建的</w:t>
            </w:r>
            <w:r>
              <w:rPr>
                <w:rFonts w:hint="eastAsia" w:ascii="Times New Roman" w:hAnsi="Times New Roman"/>
                <w:szCs w:val="21"/>
              </w:rPr>
              <w:t>工程</w:t>
            </w:r>
            <w:r>
              <w:rPr>
                <w:rFonts w:ascii="Times New Roman" w:hAnsi="Times New Roman"/>
                <w:szCs w:val="21"/>
              </w:rPr>
              <w:t>或者承担的服务，或者提供其他中小企业制造的货物。本项所称货物不包括使用大型企业注册商标的货物；</w:t>
            </w:r>
          </w:p>
          <w:p>
            <w:pPr>
              <w:pStyle w:val="435"/>
              <w:spacing w:line="300" w:lineRule="auto"/>
              <w:ind w:firstLine="420" w:firstLineChars="200"/>
              <w:rPr>
                <w:rFonts w:ascii="Times New Roman" w:hAnsi="Times New Roman"/>
                <w:szCs w:val="21"/>
              </w:rPr>
            </w:pPr>
            <w:r>
              <w:rPr>
                <w:rFonts w:hint="eastAsia" w:ascii="宋体" w:hAnsi="宋体" w:cs="宋体"/>
                <w:szCs w:val="21"/>
              </w:rPr>
              <w:t>③</w:t>
            </w:r>
            <w:r>
              <w:rPr>
                <w:rFonts w:ascii="Times New Roman" w:hAnsi="Times New Roman"/>
                <w:szCs w:val="21"/>
              </w:rPr>
              <w:t>小型、微型企业提供中型企业制造的货物的，视同为中型企业。</w:t>
            </w:r>
          </w:p>
          <w:p>
            <w:pPr>
              <w:snapToGrid w:val="0"/>
              <w:spacing w:line="300" w:lineRule="auto"/>
              <w:ind w:firstLine="316" w:firstLineChars="150"/>
              <w:rPr>
                <w:szCs w:val="21"/>
              </w:rPr>
            </w:pPr>
            <w:r>
              <w:rPr>
                <w:b/>
                <w:szCs w:val="21"/>
              </w:rPr>
              <w:t>（二）</w:t>
            </w:r>
            <w:r>
              <w:rPr>
                <w:szCs w:val="21"/>
              </w:rPr>
              <w:t>价格扣除办法：</w:t>
            </w:r>
          </w:p>
          <w:p>
            <w:pPr>
              <w:pStyle w:val="435"/>
              <w:spacing w:line="300" w:lineRule="auto"/>
              <w:ind w:firstLine="420" w:firstLineChars="200"/>
              <w:rPr>
                <w:rFonts w:ascii="Times New Roman" w:hAnsi="Times New Roman"/>
                <w:szCs w:val="21"/>
              </w:rPr>
            </w:pPr>
            <w:r>
              <w:rPr>
                <w:rFonts w:ascii="Times New Roman" w:hAnsi="Times New Roman"/>
                <w:szCs w:val="21"/>
              </w:rPr>
              <w:t>对于非专门面向中小企业的项目，对小型和微型企业（或联合体各方均为小型、微型企业的，残疾人福利性单位、监狱企业视为小微企业）产品的价格给予</w:t>
            </w:r>
            <w:r>
              <w:rPr>
                <w:rFonts w:hint="eastAsia" w:ascii="Times New Roman" w:hAnsi="Times New Roman"/>
                <w:szCs w:val="21"/>
              </w:rPr>
              <w:t>10</w:t>
            </w:r>
            <w:r>
              <w:rPr>
                <w:rFonts w:ascii="Times New Roman" w:hAnsi="Times New Roman"/>
                <w:szCs w:val="21"/>
              </w:rPr>
              <w:t>%的扣除，用扣除后的价格参与价格的评审。</w:t>
            </w:r>
          </w:p>
          <w:p>
            <w:pPr>
              <w:snapToGrid w:val="0"/>
              <w:spacing w:line="300" w:lineRule="auto"/>
              <w:ind w:firstLine="316" w:firstLineChars="150"/>
              <w:rPr>
                <w:szCs w:val="21"/>
              </w:rPr>
            </w:pPr>
            <w:r>
              <w:rPr>
                <w:b/>
                <w:szCs w:val="21"/>
              </w:rPr>
              <w:t>（三）</w:t>
            </w:r>
            <w:r>
              <w:rPr>
                <w:szCs w:val="21"/>
              </w:rPr>
              <w:t>小型和微型企业适用价格扣除办法时应提供的相关资料：</w:t>
            </w:r>
            <w:r>
              <w:rPr>
                <w:rFonts w:hint="eastAsia"/>
                <w:szCs w:val="21"/>
              </w:rPr>
              <w:t>供应商</w:t>
            </w:r>
            <w:r>
              <w:rPr>
                <w:szCs w:val="21"/>
              </w:rPr>
              <w:t>《中小企业声明函》或《残疾人福利性单位声明函》或《监狱企业证明》。</w:t>
            </w:r>
          </w:p>
          <w:p>
            <w:pPr>
              <w:pStyle w:val="435"/>
              <w:spacing w:line="300" w:lineRule="auto"/>
              <w:ind w:firstLine="420" w:firstLineChars="200"/>
              <w:rPr>
                <w:rFonts w:ascii="Times New Roman" w:hAnsi="Times New Roman"/>
                <w:szCs w:val="21"/>
              </w:rPr>
            </w:pPr>
            <w:r>
              <w:rPr>
                <w:rFonts w:hint="eastAsia" w:ascii="Times New Roman" w:hAnsi="Times New Roman"/>
                <w:szCs w:val="21"/>
              </w:rPr>
              <w:t>供应商</w:t>
            </w:r>
            <w:r>
              <w:rPr>
                <w:rFonts w:ascii="Times New Roman" w:hAnsi="Times New Roman"/>
                <w:szCs w:val="21"/>
              </w:rPr>
              <w:t>应提供以上材料，否则将不给予价格扣除。若所供应产品为进口产品的，不适用《政府采购促进中小企业发展暂行办法》。</w:t>
            </w:r>
          </w:p>
          <w:p>
            <w:pPr>
              <w:pStyle w:val="435"/>
              <w:spacing w:line="300" w:lineRule="auto"/>
              <w:ind w:firstLine="420" w:firstLineChars="200"/>
              <w:rPr>
                <w:rFonts w:ascii="Times New Roman" w:hAnsi="Times New Roman"/>
                <w:bCs/>
                <w:szCs w:val="21"/>
              </w:rPr>
            </w:pPr>
            <w:r>
              <w:rPr>
                <w:rFonts w:ascii="Times New Roman" w:hAnsi="Times New Roman"/>
                <w:bCs/>
                <w:szCs w:val="21"/>
              </w:rPr>
              <w:t>注：监狱企业、残疾人福利性单位视同小微企业；残疾人福利性单位属于小型、微型企业的，不重复享受政策。</w:t>
            </w:r>
          </w:p>
        </w:tc>
      </w:tr>
      <w:bookmarkEnd w:id="187"/>
      <w:bookmarkEnd w:id="188"/>
    </w:tbl>
    <w:p>
      <w:bookmarkStart w:id="207" w:name="_Toc7522"/>
    </w:p>
    <w:p>
      <w:pPr>
        <w:autoSpaceDE w:val="0"/>
        <w:autoSpaceDN w:val="0"/>
        <w:adjustRightInd w:val="0"/>
        <w:snapToGrid w:val="0"/>
        <w:spacing w:after="120" w:afterLines="50"/>
        <w:jc w:val="center"/>
        <w:outlineLvl w:val="0"/>
        <w:rPr>
          <w:rFonts w:eastAsia="黑体"/>
          <w:kern w:val="0"/>
          <w:sz w:val="32"/>
          <w:szCs w:val="32"/>
        </w:rPr>
        <w:sectPr>
          <w:pgSz w:w="11906" w:h="16838"/>
          <w:pgMar w:top="1440" w:right="1440" w:bottom="1440" w:left="1797" w:header="851" w:footer="992" w:gutter="0"/>
          <w:pgNumType w:fmt="decimal"/>
          <w:cols w:space="720" w:num="1"/>
          <w:docGrid w:linePitch="312" w:charSpace="0"/>
        </w:sectPr>
      </w:pPr>
    </w:p>
    <w:p>
      <w:pPr>
        <w:autoSpaceDE w:val="0"/>
        <w:autoSpaceDN w:val="0"/>
        <w:adjustRightInd w:val="0"/>
        <w:snapToGrid w:val="0"/>
        <w:spacing w:after="120" w:afterLines="50"/>
        <w:jc w:val="center"/>
        <w:outlineLvl w:val="0"/>
        <w:rPr>
          <w:rFonts w:eastAsia="黑体"/>
          <w:kern w:val="0"/>
          <w:sz w:val="32"/>
          <w:szCs w:val="32"/>
        </w:rPr>
      </w:pPr>
      <w:bookmarkStart w:id="208" w:name="_Toc11053"/>
      <w:r>
        <w:rPr>
          <w:rFonts w:eastAsia="黑体"/>
          <w:kern w:val="0"/>
          <w:sz w:val="32"/>
          <w:szCs w:val="32"/>
        </w:rPr>
        <w:t>第四章 合同条款</w:t>
      </w:r>
      <w:bookmarkEnd w:id="207"/>
      <w:bookmarkEnd w:id="208"/>
    </w:p>
    <w:p>
      <w:pPr>
        <w:jc w:val="center"/>
        <w:rPr>
          <w:sz w:val="24"/>
        </w:rPr>
      </w:pPr>
    </w:p>
    <w:p>
      <w:pPr>
        <w:jc w:val="center"/>
        <w:rPr>
          <w:sz w:val="24"/>
        </w:rPr>
      </w:pPr>
      <w:bookmarkStart w:id="209" w:name="_Toc15800"/>
      <w:r>
        <w:rPr>
          <w:sz w:val="24"/>
        </w:rPr>
        <w:t>（所提供为合同</w:t>
      </w:r>
      <w:r>
        <w:rPr>
          <w:rFonts w:hint="eastAsia"/>
          <w:sz w:val="24"/>
        </w:rPr>
        <w:t>条款格式</w:t>
      </w:r>
      <w:r>
        <w:rPr>
          <w:sz w:val="24"/>
        </w:rPr>
        <w:t>，</w:t>
      </w:r>
      <w:r>
        <w:rPr>
          <w:rFonts w:hint="eastAsia"/>
          <w:sz w:val="24"/>
        </w:rPr>
        <w:t>中标人与</w:t>
      </w:r>
      <w:r>
        <w:rPr>
          <w:sz w:val="24"/>
        </w:rPr>
        <w:t>采购人可根据项目实际情况进行编制）</w:t>
      </w:r>
      <w:bookmarkEnd w:id="209"/>
    </w:p>
    <w:p>
      <w:pPr>
        <w:pStyle w:val="80"/>
        <w:snapToGrid w:val="0"/>
        <w:spacing w:after="120" w:afterLines="50"/>
        <w:jc w:val="center"/>
        <w:rPr>
          <w:rFonts w:ascii="Times New Roman" w:hAnsi="Times New Roman" w:cs="Times New Roman"/>
          <w:sz w:val="24"/>
          <w:szCs w:val="24"/>
        </w:rPr>
      </w:pPr>
      <w:r>
        <w:rPr>
          <w:rFonts w:ascii="Times New Roman" w:hAnsi="Times New Roman" w:cs="Times New Roman"/>
          <w:sz w:val="24"/>
          <w:szCs w:val="24"/>
        </w:rPr>
        <w:br w:type="page"/>
      </w:r>
    </w:p>
    <w:p>
      <w:pPr>
        <w:overflowPunct w:val="0"/>
        <w:spacing w:line="440" w:lineRule="exact"/>
        <w:jc w:val="center"/>
        <w:rPr>
          <w:b/>
          <w:bCs/>
          <w:sz w:val="28"/>
          <w:szCs w:val="28"/>
        </w:rPr>
      </w:pPr>
      <w:r>
        <w:rPr>
          <w:b/>
          <w:bCs/>
          <w:sz w:val="28"/>
          <w:szCs w:val="28"/>
        </w:rPr>
        <w:t>政府采购货物合同书</w:t>
      </w:r>
    </w:p>
    <w:p>
      <w:pPr>
        <w:overflowPunct w:val="0"/>
        <w:spacing w:line="440" w:lineRule="exact"/>
        <w:jc w:val="right"/>
        <w:rPr>
          <w:sz w:val="24"/>
        </w:rPr>
      </w:pPr>
      <w:r>
        <w:rPr>
          <w:sz w:val="24"/>
        </w:rPr>
        <w:t xml:space="preserve">                                          合同号：</w:t>
      </w:r>
    </w:p>
    <w:p>
      <w:pPr>
        <w:overflowPunct w:val="0"/>
        <w:spacing w:line="440" w:lineRule="exact"/>
        <w:rPr>
          <w:sz w:val="24"/>
        </w:rPr>
      </w:pPr>
      <w:r>
        <w:rPr>
          <w:sz w:val="24"/>
        </w:rPr>
        <w:t>甲方（采购方）：新疆维吾尔自治区人民医院</w:t>
      </w:r>
    </w:p>
    <w:p>
      <w:pPr>
        <w:overflowPunct w:val="0"/>
        <w:spacing w:line="440" w:lineRule="exact"/>
        <w:rPr>
          <w:sz w:val="24"/>
        </w:rPr>
      </w:pPr>
      <w:r>
        <w:rPr>
          <w:sz w:val="24"/>
        </w:rPr>
        <w:t>乙方（供应商）：</w:t>
      </w:r>
    </w:p>
    <w:p>
      <w:pPr>
        <w:overflowPunct w:val="0"/>
        <w:spacing w:line="440" w:lineRule="exact"/>
        <w:rPr>
          <w:sz w:val="24"/>
        </w:rPr>
      </w:pPr>
      <w:r>
        <w:rPr>
          <w:sz w:val="24"/>
        </w:rPr>
        <w:t>招标代理机构：国信招标集团股份有限公司</w:t>
      </w:r>
    </w:p>
    <w:p>
      <w:pPr>
        <w:overflowPunct w:val="0"/>
        <w:spacing w:line="440" w:lineRule="exact"/>
        <w:rPr>
          <w:sz w:val="24"/>
        </w:rPr>
      </w:pPr>
      <w:r>
        <w:rPr>
          <w:sz w:val="24"/>
        </w:rPr>
        <w:t>甲乙双方根据</w:t>
      </w:r>
      <w:r>
        <w:rPr>
          <w:rFonts w:hint="eastAsia"/>
          <w:sz w:val="24"/>
        </w:rPr>
        <w:t>《中华人民共和国民法典》及</w:t>
      </w:r>
      <w:r>
        <w:rPr>
          <w:sz w:val="24"/>
        </w:rPr>
        <w:t>政府采购</w:t>
      </w:r>
      <w:r>
        <w:rPr>
          <w:rFonts w:hint="eastAsia"/>
          <w:sz w:val="24"/>
        </w:rPr>
        <w:t>法</w:t>
      </w:r>
      <w:r>
        <w:rPr>
          <w:sz w:val="24"/>
        </w:rPr>
        <w:t>的有关规定，和中标通知书的要求，经双方友好协商，一致同意达成如下内容，特订立本合同，以便共同遵守。</w:t>
      </w:r>
    </w:p>
    <w:p>
      <w:pPr>
        <w:overflowPunct w:val="0"/>
        <w:spacing w:line="440" w:lineRule="exact"/>
        <w:rPr>
          <w:sz w:val="24"/>
        </w:rPr>
      </w:pPr>
      <w:r>
        <w:rPr>
          <w:sz w:val="24"/>
        </w:rPr>
        <w:t>第一条：合同标的</w:t>
      </w:r>
    </w:p>
    <w:p>
      <w:pPr>
        <w:overflowPunct w:val="0"/>
        <w:spacing w:line="440" w:lineRule="exact"/>
        <w:rPr>
          <w:sz w:val="24"/>
        </w:rPr>
      </w:pPr>
      <w:r>
        <w:rPr>
          <w:sz w:val="24"/>
        </w:rPr>
        <w:t>乙方根据甲方需求提供下列货物：</w:t>
      </w:r>
    </w:p>
    <w:tbl>
      <w:tblPr>
        <w:tblStyle w:val="41"/>
        <w:tblW w:w="875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42"/>
        <w:gridCol w:w="1276"/>
        <w:gridCol w:w="709"/>
        <w:gridCol w:w="1276"/>
        <w:gridCol w:w="850"/>
        <w:gridCol w:w="850"/>
        <w:gridCol w:w="1418"/>
        <w:gridCol w:w="11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1" w:hRule="atLeast"/>
        </w:trPr>
        <w:tc>
          <w:tcPr>
            <w:tcW w:w="1242" w:type="dxa"/>
            <w:tcMar>
              <w:top w:w="0" w:type="dxa"/>
              <w:left w:w="108" w:type="dxa"/>
              <w:bottom w:w="0" w:type="dxa"/>
              <w:right w:w="108" w:type="dxa"/>
            </w:tcMar>
            <w:vAlign w:val="center"/>
          </w:tcPr>
          <w:p>
            <w:pPr>
              <w:spacing w:line="440" w:lineRule="exact"/>
              <w:jc w:val="center"/>
              <w:rPr>
                <w:sz w:val="24"/>
              </w:rPr>
            </w:pPr>
            <w:r>
              <w:rPr>
                <w:sz w:val="24"/>
              </w:rPr>
              <w:t>货物名称</w:t>
            </w:r>
          </w:p>
        </w:tc>
        <w:tc>
          <w:tcPr>
            <w:tcW w:w="1276" w:type="dxa"/>
            <w:tcMar>
              <w:top w:w="0" w:type="dxa"/>
              <w:left w:w="108" w:type="dxa"/>
              <w:bottom w:w="0" w:type="dxa"/>
              <w:right w:w="108" w:type="dxa"/>
            </w:tcMar>
            <w:vAlign w:val="center"/>
          </w:tcPr>
          <w:p>
            <w:pPr>
              <w:spacing w:line="440" w:lineRule="exact"/>
              <w:jc w:val="center"/>
              <w:rPr>
                <w:sz w:val="24"/>
              </w:rPr>
            </w:pPr>
            <w:r>
              <w:rPr>
                <w:sz w:val="24"/>
              </w:rPr>
              <w:t>规格型号</w:t>
            </w:r>
          </w:p>
        </w:tc>
        <w:tc>
          <w:tcPr>
            <w:tcW w:w="709" w:type="dxa"/>
            <w:vAlign w:val="center"/>
          </w:tcPr>
          <w:p>
            <w:pPr>
              <w:spacing w:line="440" w:lineRule="exact"/>
              <w:jc w:val="center"/>
              <w:rPr>
                <w:sz w:val="24"/>
              </w:rPr>
            </w:pPr>
            <w:r>
              <w:rPr>
                <w:rFonts w:hint="eastAsia"/>
                <w:sz w:val="24"/>
              </w:rPr>
              <w:t>品牌</w:t>
            </w:r>
          </w:p>
        </w:tc>
        <w:tc>
          <w:tcPr>
            <w:tcW w:w="1276" w:type="dxa"/>
            <w:tcMar>
              <w:top w:w="0" w:type="dxa"/>
              <w:left w:w="108" w:type="dxa"/>
              <w:bottom w:w="0" w:type="dxa"/>
              <w:right w:w="108" w:type="dxa"/>
            </w:tcMar>
            <w:vAlign w:val="center"/>
          </w:tcPr>
          <w:p>
            <w:pPr>
              <w:spacing w:line="440" w:lineRule="exact"/>
              <w:jc w:val="center"/>
              <w:rPr>
                <w:sz w:val="24"/>
              </w:rPr>
            </w:pPr>
            <w:r>
              <w:rPr>
                <w:sz w:val="24"/>
              </w:rPr>
              <w:t>单价（元）</w:t>
            </w:r>
          </w:p>
        </w:tc>
        <w:tc>
          <w:tcPr>
            <w:tcW w:w="850" w:type="dxa"/>
            <w:vAlign w:val="center"/>
          </w:tcPr>
          <w:p>
            <w:pPr>
              <w:spacing w:line="440" w:lineRule="exact"/>
              <w:jc w:val="center"/>
              <w:rPr>
                <w:sz w:val="24"/>
              </w:rPr>
            </w:pPr>
            <w:r>
              <w:rPr>
                <w:rFonts w:hint="eastAsia"/>
                <w:sz w:val="24"/>
              </w:rPr>
              <w:t>单位</w:t>
            </w:r>
          </w:p>
        </w:tc>
        <w:tc>
          <w:tcPr>
            <w:tcW w:w="850" w:type="dxa"/>
            <w:tcMar>
              <w:top w:w="0" w:type="dxa"/>
              <w:left w:w="108" w:type="dxa"/>
              <w:bottom w:w="0" w:type="dxa"/>
              <w:right w:w="108" w:type="dxa"/>
            </w:tcMar>
            <w:vAlign w:val="center"/>
          </w:tcPr>
          <w:p>
            <w:pPr>
              <w:spacing w:line="440" w:lineRule="exact"/>
              <w:jc w:val="center"/>
              <w:rPr>
                <w:sz w:val="24"/>
              </w:rPr>
            </w:pPr>
            <w:r>
              <w:rPr>
                <w:sz w:val="24"/>
              </w:rPr>
              <w:t>数量</w:t>
            </w:r>
          </w:p>
        </w:tc>
        <w:tc>
          <w:tcPr>
            <w:tcW w:w="1418" w:type="dxa"/>
            <w:tcMar>
              <w:top w:w="0" w:type="dxa"/>
              <w:left w:w="108" w:type="dxa"/>
              <w:bottom w:w="0" w:type="dxa"/>
              <w:right w:w="108" w:type="dxa"/>
            </w:tcMar>
            <w:vAlign w:val="center"/>
          </w:tcPr>
          <w:p>
            <w:pPr>
              <w:spacing w:line="440" w:lineRule="exact"/>
              <w:jc w:val="center"/>
              <w:rPr>
                <w:sz w:val="24"/>
              </w:rPr>
            </w:pPr>
            <w:r>
              <w:rPr>
                <w:sz w:val="24"/>
              </w:rPr>
              <w:t>金额（元）</w:t>
            </w:r>
          </w:p>
        </w:tc>
        <w:tc>
          <w:tcPr>
            <w:tcW w:w="1134" w:type="dxa"/>
            <w:tcMar>
              <w:top w:w="0" w:type="dxa"/>
              <w:left w:w="108" w:type="dxa"/>
              <w:bottom w:w="0" w:type="dxa"/>
              <w:right w:w="108" w:type="dxa"/>
            </w:tcMar>
            <w:vAlign w:val="center"/>
          </w:tcPr>
          <w:p>
            <w:pPr>
              <w:spacing w:line="440" w:lineRule="exact"/>
              <w:jc w:val="center"/>
              <w:rPr>
                <w:sz w:val="24"/>
              </w:rPr>
            </w:pPr>
            <w:r>
              <w:rPr>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5" w:hRule="atLeast"/>
        </w:trPr>
        <w:tc>
          <w:tcPr>
            <w:tcW w:w="1242" w:type="dxa"/>
            <w:tcMar>
              <w:top w:w="0" w:type="dxa"/>
              <w:left w:w="108" w:type="dxa"/>
              <w:bottom w:w="0" w:type="dxa"/>
              <w:right w:w="108" w:type="dxa"/>
            </w:tcMar>
            <w:vAlign w:val="center"/>
          </w:tcPr>
          <w:p>
            <w:pPr>
              <w:spacing w:line="440" w:lineRule="exact"/>
              <w:ind w:firstLine="480"/>
              <w:jc w:val="center"/>
              <w:rPr>
                <w:sz w:val="24"/>
              </w:rPr>
            </w:pPr>
          </w:p>
        </w:tc>
        <w:tc>
          <w:tcPr>
            <w:tcW w:w="1276" w:type="dxa"/>
            <w:tcMar>
              <w:top w:w="0" w:type="dxa"/>
              <w:left w:w="108" w:type="dxa"/>
              <w:bottom w:w="0" w:type="dxa"/>
              <w:right w:w="108" w:type="dxa"/>
            </w:tcMar>
            <w:vAlign w:val="center"/>
          </w:tcPr>
          <w:p>
            <w:pPr>
              <w:spacing w:line="440" w:lineRule="exact"/>
              <w:ind w:left="143" w:firstLine="480"/>
              <w:jc w:val="center"/>
              <w:rPr>
                <w:sz w:val="24"/>
              </w:rPr>
            </w:pPr>
          </w:p>
        </w:tc>
        <w:tc>
          <w:tcPr>
            <w:tcW w:w="709" w:type="dxa"/>
          </w:tcPr>
          <w:p>
            <w:pPr>
              <w:spacing w:line="440" w:lineRule="exact"/>
              <w:ind w:firstLine="480"/>
              <w:jc w:val="center"/>
              <w:rPr>
                <w:sz w:val="24"/>
              </w:rPr>
            </w:pPr>
          </w:p>
        </w:tc>
        <w:tc>
          <w:tcPr>
            <w:tcW w:w="1276" w:type="dxa"/>
            <w:tcMar>
              <w:top w:w="0" w:type="dxa"/>
              <w:left w:w="108" w:type="dxa"/>
              <w:bottom w:w="0" w:type="dxa"/>
              <w:right w:w="108" w:type="dxa"/>
            </w:tcMar>
            <w:vAlign w:val="center"/>
          </w:tcPr>
          <w:p>
            <w:pPr>
              <w:spacing w:line="440" w:lineRule="exact"/>
              <w:ind w:firstLine="480"/>
              <w:jc w:val="center"/>
              <w:rPr>
                <w:sz w:val="24"/>
              </w:rPr>
            </w:pPr>
          </w:p>
        </w:tc>
        <w:tc>
          <w:tcPr>
            <w:tcW w:w="850" w:type="dxa"/>
          </w:tcPr>
          <w:p>
            <w:pPr>
              <w:spacing w:line="440" w:lineRule="exact"/>
              <w:ind w:firstLine="480"/>
              <w:jc w:val="center"/>
              <w:rPr>
                <w:sz w:val="24"/>
              </w:rPr>
            </w:pPr>
          </w:p>
        </w:tc>
        <w:tc>
          <w:tcPr>
            <w:tcW w:w="850" w:type="dxa"/>
            <w:tcMar>
              <w:top w:w="0" w:type="dxa"/>
              <w:left w:w="108" w:type="dxa"/>
              <w:bottom w:w="0" w:type="dxa"/>
              <w:right w:w="108" w:type="dxa"/>
            </w:tcMar>
            <w:vAlign w:val="center"/>
          </w:tcPr>
          <w:p>
            <w:pPr>
              <w:spacing w:line="440" w:lineRule="exact"/>
              <w:ind w:firstLine="480"/>
              <w:jc w:val="center"/>
              <w:rPr>
                <w:sz w:val="24"/>
              </w:rPr>
            </w:pPr>
          </w:p>
        </w:tc>
        <w:tc>
          <w:tcPr>
            <w:tcW w:w="1418" w:type="dxa"/>
            <w:tcMar>
              <w:top w:w="0" w:type="dxa"/>
              <w:left w:w="108" w:type="dxa"/>
              <w:bottom w:w="0" w:type="dxa"/>
              <w:right w:w="108" w:type="dxa"/>
            </w:tcMar>
            <w:vAlign w:val="center"/>
          </w:tcPr>
          <w:p>
            <w:pPr>
              <w:spacing w:line="440" w:lineRule="exact"/>
              <w:ind w:firstLine="480"/>
              <w:jc w:val="center"/>
              <w:rPr>
                <w:sz w:val="24"/>
              </w:rPr>
            </w:pPr>
          </w:p>
        </w:tc>
        <w:tc>
          <w:tcPr>
            <w:tcW w:w="1134" w:type="dxa"/>
            <w:tcMar>
              <w:top w:w="0" w:type="dxa"/>
              <w:left w:w="108" w:type="dxa"/>
              <w:bottom w:w="0" w:type="dxa"/>
              <w:right w:w="108" w:type="dxa"/>
            </w:tcMar>
            <w:vAlign w:val="center"/>
          </w:tcPr>
          <w:p>
            <w:pPr>
              <w:spacing w:line="44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5" w:hRule="atLeast"/>
        </w:trPr>
        <w:tc>
          <w:tcPr>
            <w:tcW w:w="1242" w:type="dxa"/>
            <w:tcMar>
              <w:top w:w="0" w:type="dxa"/>
              <w:left w:w="108" w:type="dxa"/>
              <w:bottom w:w="0" w:type="dxa"/>
              <w:right w:w="108" w:type="dxa"/>
            </w:tcMar>
            <w:vAlign w:val="center"/>
          </w:tcPr>
          <w:p>
            <w:pPr>
              <w:spacing w:line="440" w:lineRule="exact"/>
              <w:jc w:val="center"/>
              <w:rPr>
                <w:sz w:val="24"/>
              </w:rPr>
            </w:pPr>
          </w:p>
        </w:tc>
        <w:tc>
          <w:tcPr>
            <w:tcW w:w="1276" w:type="dxa"/>
            <w:tcMar>
              <w:top w:w="0" w:type="dxa"/>
              <w:left w:w="108" w:type="dxa"/>
              <w:bottom w:w="0" w:type="dxa"/>
              <w:right w:w="108" w:type="dxa"/>
            </w:tcMar>
            <w:vAlign w:val="center"/>
          </w:tcPr>
          <w:p>
            <w:pPr>
              <w:spacing w:line="440" w:lineRule="exact"/>
              <w:jc w:val="center"/>
              <w:rPr>
                <w:sz w:val="24"/>
              </w:rPr>
            </w:pPr>
          </w:p>
        </w:tc>
        <w:tc>
          <w:tcPr>
            <w:tcW w:w="709" w:type="dxa"/>
          </w:tcPr>
          <w:p>
            <w:pPr>
              <w:spacing w:line="440" w:lineRule="exact"/>
              <w:jc w:val="center"/>
              <w:rPr>
                <w:sz w:val="24"/>
              </w:rPr>
            </w:pPr>
          </w:p>
        </w:tc>
        <w:tc>
          <w:tcPr>
            <w:tcW w:w="1276" w:type="dxa"/>
            <w:tcMar>
              <w:top w:w="0" w:type="dxa"/>
              <w:left w:w="108" w:type="dxa"/>
              <w:bottom w:w="0" w:type="dxa"/>
              <w:right w:w="108" w:type="dxa"/>
            </w:tcMar>
            <w:vAlign w:val="center"/>
          </w:tcPr>
          <w:p>
            <w:pPr>
              <w:spacing w:line="440" w:lineRule="exact"/>
              <w:jc w:val="center"/>
              <w:rPr>
                <w:sz w:val="24"/>
              </w:rPr>
            </w:pPr>
          </w:p>
        </w:tc>
        <w:tc>
          <w:tcPr>
            <w:tcW w:w="850" w:type="dxa"/>
          </w:tcPr>
          <w:p>
            <w:pPr>
              <w:spacing w:line="440" w:lineRule="exact"/>
              <w:jc w:val="center"/>
              <w:rPr>
                <w:sz w:val="24"/>
              </w:rPr>
            </w:pPr>
          </w:p>
        </w:tc>
        <w:tc>
          <w:tcPr>
            <w:tcW w:w="850" w:type="dxa"/>
            <w:tcMar>
              <w:top w:w="0" w:type="dxa"/>
              <w:left w:w="108" w:type="dxa"/>
              <w:bottom w:w="0" w:type="dxa"/>
              <w:right w:w="108" w:type="dxa"/>
            </w:tcMar>
            <w:vAlign w:val="center"/>
          </w:tcPr>
          <w:p>
            <w:pPr>
              <w:spacing w:line="440" w:lineRule="exact"/>
              <w:jc w:val="center"/>
              <w:rPr>
                <w:sz w:val="24"/>
              </w:rPr>
            </w:pPr>
          </w:p>
        </w:tc>
        <w:tc>
          <w:tcPr>
            <w:tcW w:w="1418" w:type="dxa"/>
            <w:tcMar>
              <w:top w:w="0" w:type="dxa"/>
              <w:left w:w="108" w:type="dxa"/>
              <w:bottom w:w="0" w:type="dxa"/>
              <w:right w:w="108" w:type="dxa"/>
            </w:tcMar>
            <w:vAlign w:val="center"/>
          </w:tcPr>
          <w:p>
            <w:pPr>
              <w:spacing w:line="440" w:lineRule="exact"/>
              <w:jc w:val="center"/>
              <w:rPr>
                <w:sz w:val="24"/>
              </w:rPr>
            </w:pPr>
          </w:p>
        </w:tc>
        <w:tc>
          <w:tcPr>
            <w:tcW w:w="1134" w:type="dxa"/>
            <w:tcMar>
              <w:top w:w="0" w:type="dxa"/>
              <w:left w:w="108" w:type="dxa"/>
              <w:bottom w:w="0" w:type="dxa"/>
              <w:right w:w="108" w:type="dxa"/>
            </w:tcMar>
            <w:vAlign w:val="center"/>
          </w:tcPr>
          <w:p>
            <w:pPr>
              <w:spacing w:line="44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242" w:type="dxa"/>
            <w:tcMar>
              <w:top w:w="0" w:type="dxa"/>
              <w:left w:w="108" w:type="dxa"/>
              <w:bottom w:w="0" w:type="dxa"/>
              <w:right w:w="108" w:type="dxa"/>
            </w:tcMar>
            <w:vAlign w:val="center"/>
          </w:tcPr>
          <w:p>
            <w:pPr>
              <w:spacing w:line="440" w:lineRule="exact"/>
              <w:ind w:firstLine="480"/>
              <w:jc w:val="center"/>
              <w:rPr>
                <w:sz w:val="24"/>
              </w:rPr>
            </w:pPr>
          </w:p>
        </w:tc>
        <w:tc>
          <w:tcPr>
            <w:tcW w:w="1276" w:type="dxa"/>
            <w:tcMar>
              <w:top w:w="0" w:type="dxa"/>
              <w:left w:w="108" w:type="dxa"/>
              <w:bottom w:w="0" w:type="dxa"/>
              <w:right w:w="108" w:type="dxa"/>
            </w:tcMar>
            <w:vAlign w:val="center"/>
          </w:tcPr>
          <w:p>
            <w:pPr>
              <w:spacing w:line="440" w:lineRule="exact"/>
              <w:jc w:val="center"/>
              <w:rPr>
                <w:sz w:val="24"/>
              </w:rPr>
            </w:pPr>
          </w:p>
        </w:tc>
        <w:tc>
          <w:tcPr>
            <w:tcW w:w="709" w:type="dxa"/>
          </w:tcPr>
          <w:p>
            <w:pPr>
              <w:spacing w:line="440" w:lineRule="exact"/>
              <w:jc w:val="center"/>
              <w:rPr>
                <w:sz w:val="24"/>
              </w:rPr>
            </w:pPr>
          </w:p>
        </w:tc>
        <w:tc>
          <w:tcPr>
            <w:tcW w:w="1276" w:type="dxa"/>
            <w:tcMar>
              <w:top w:w="0" w:type="dxa"/>
              <w:left w:w="108" w:type="dxa"/>
              <w:bottom w:w="0" w:type="dxa"/>
              <w:right w:w="108" w:type="dxa"/>
            </w:tcMar>
            <w:vAlign w:val="center"/>
          </w:tcPr>
          <w:p>
            <w:pPr>
              <w:spacing w:line="440" w:lineRule="exact"/>
              <w:jc w:val="center"/>
              <w:rPr>
                <w:sz w:val="24"/>
              </w:rPr>
            </w:pPr>
          </w:p>
        </w:tc>
        <w:tc>
          <w:tcPr>
            <w:tcW w:w="850" w:type="dxa"/>
          </w:tcPr>
          <w:p>
            <w:pPr>
              <w:spacing w:line="440" w:lineRule="exact"/>
              <w:jc w:val="center"/>
              <w:rPr>
                <w:sz w:val="24"/>
              </w:rPr>
            </w:pPr>
          </w:p>
        </w:tc>
        <w:tc>
          <w:tcPr>
            <w:tcW w:w="850" w:type="dxa"/>
            <w:tcMar>
              <w:top w:w="0" w:type="dxa"/>
              <w:left w:w="108" w:type="dxa"/>
              <w:bottom w:w="0" w:type="dxa"/>
              <w:right w:w="108" w:type="dxa"/>
            </w:tcMar>
            <w:vAlign w:val="center"/>
          </w:tcPr>
          <w:p>
            <w:pPr>
              <w:spacing w:line="440" w:lineRule="exact"/>
              <w:jc w:val="center"/>
              <w:rPr>
                <w:sz w:val="24"/>
              </w:rPr>
            </w:pPr>
          </w:p>
        </w:tc>
        <w:tc>
          <w:tcPr>
            <w:tcW w:w="1418" w:type="dxa"/>
            <w:tcMar>
              <w:top w:w="0" w:type="dxa"/>
              <w:left w:w="108" w:type="dxa"/>
              <w:bottom w:w="0" w:type="dxa"/>
              <w:right w:w="108" w:type="dxa"/>
            </w:tcMar>
            <w:vAlign w:val="center"/>
          </w:tcPr>
          <w:p>
            <w:pPr>
              <w:spacing w:line="440" w:lineRule="exact"/>
              <w:ind w:firstLine="480"/>
              <w:jc w:val="center"/>
              <w:rPr>
                <w:sz w:val="24"/>
              </w:rPr>
            </w:pPr>
          </w:p>
        </w:tc>
        <w:tc>
          <w:tcPr>
            <w:tcW w:w="1134" w:type="dxa"/>
            <w:tcMar>
              <w:top w:w="0" w:type="dxa"/>
              <w:left w:w="108" w:type="dxa"/>
              <w:bottom w:w="0" w:type="dxa"/>
              <w:right w:w="108" w:type="dxa"/>
            </w:tcMar>
            <w:vAlign w:val="center"/>
          </w:tcPr>
          <w:p>
            <w:pPr>
              <w:spacing w:line="440" w:lineRule="exact"/>
              <w:jc w:val="center"/>
              <w:rPr>
                <w:sz w:val="24"/>
              </w:rPr>
            </w:pPr>
          </w:p>
        </w:tc>
      </w:tr>
    </w:tbl>
    <w:p>
      <w:pPr>
        <w:overflowPunct w:val="0"/>
        <w:spacing w:line="440" w:lineRule="exact"/>
        <w:rPr>
          <w:sz w:val="24"/>
        </w:rPr>
      </w:pPr>
    </w:p>
    <w:p>
      <w:pPr>
        <w:overflowPunct w:val="0"/>
        <w:spacing w:line="440" w:lineRule="exact"/>
        <w:rPr>
          <w:sz w:val="24"/>
        </w:rPr>
      </w:pPr>
      <w:r>
        <w:rPr>
          <w:sz w:val="24"/>
        </w:rPr>
        <w:t>第二条：合同价格</w:t>
      </w:r>
    </w:p>
    <w:p>
      <w:pPr>
        <w:overflowPunct w:val="0"/>
        <w:spacing w:line="440" w:lineRule="exact"/>
        <w:rPr>
          <w:sz w:val="24"/>
        </w:rPr>
      </w:pPr>
      <w:r>
        <w:rPr>
          <w:sz w:val="24"/>
        </w:rPr>
        <w:t>1、货物总价为人民币（大写）：</w:t>
      </w:r>
      <w:r>
        <w:rPr>
          <w:rFonts w:hint="eastAsia"/>
          <w:sz w:val="24"/>
          <w:u w:val="single"/>
        </w:rPr>
        <w:t xml:space="preserve"> </w:t>
      </w:r>
      <w:r>
        <w:rPr>
          <w:sz w:val="24"/>
          <w:u w:val="single"/>
        </w:rPr>
        <w:t xml:space="preserve">  </w:t>
      </w:r>
      <w:r>
        <w:rPr>
          <w:sz w:val="24"/>
        </w:rPr>
        <w:t>元整。</w:t>
      </w:r>
    </w:p>
    <w:p>
      <w:pPr>
        <w:overflowPunct w:val="0"/>
        <w:spacing w:line="440" w:lineRule="exact"/>
        <w:rPr>
          <w:sz w:val="24"/>
        </w:rPr>
      </w:pPr>
      <w:r>
        <w:rPr>
          <w:sz w:val="24"/>
        </w:rPr>
        <w:t>2、总价中包括</w:t>
      </w:r>
      <w:r>
        <w:rPr>
          <w:rFonts w:hint="eastAsia"/>
          <w:sz w:val="24"/>
        </w:rPr>
        <w:t>货物金额、包装费、运输费、装卸费、保险、税金、绣字费用及其它产生的相关所有费用</w:t>
      </w:r>
      <w:r>
        <w:rPr>
          <w:sz w:val="24"/>
        </w:rPr>
        <w:t>。本合同价格一般不得做任何变更与调整。</w:t>
      </w:r>
    </w:p>
    <w:p>
      <w:pPr>
        <w:overflowPunct w:val="0"/>
        <w:spacing w:line="440" w:lineRule="exact"/>
        <w:rPr>
          <w:sz w:val="24"/>
        </w:rPr>
      </w:pPr>
    </w:p>
    <w:p>
      <w:pPr>
        <w:overflowPunct w:val="0"/>
        <w:spacing w:line="440" w:lineRule="exact"/>
        <w:rPr>
          <w:sz w:val="24"/>
        </w:rPr>
      </w:pPr>
      <w:r>
        <w:rPr>
          <w:sz w:val="24"/>
        </w:rPr>
        <w:t>第三条：付款方式</w:t>
      </w:r>
    </w:p>
    <w:p>
      <w:pPr>
        <w:overflowPunct w:val="0"/>
        <w:spacing w:line="440" w:lineRule="exact"/>
        <w:rPr>
          <w:sz w:val="24"/>
        </w:rPr>
      </w:pPr>
      <w:r>
        <w:rPr>
          <w:sz w:val="24"/>
        </w:rPr>
        <w:t>1、甲乙双方确认的货款结算依据：投标文件、中标通知书，采购合同书，乙方开具的发票，甲方出具的验收结算书等。</w:t>
      </w:r>
    </w:p>
    <w:p>
      <w:pPr>
        <w:overflowPunct w:val="0"/>
        <w:spacing w:line="440" w:lineRule="exact"/>
        <w:rPr>
          <w:sz w:val="24"/>
        </w:rPr>
      </w:pPr>
      <w:r>
        <w:rPr>
          <w:sz w:val="24"/>
        </w:rPr>
        <w:t>2、货物验收合格，甲方出具验收结算书后付款。</w:t>
      </w:r>
    </w:p>
    <w:p>
      <w:pPr>
        <w:spacing w:line="360" w:lineRule="auto"/>
        <w:rPr>
          <w:sz w:val="24"/>
        </w:rPr>
      </w:pPr>
      <w:r>
        <w:rPr>
          <w:sz w:val="24"/>
        </w:rPr>
        <w:t>3、</w:t>
      </w:r>
      <w:r>
        <w:rPr>
          <w:rFonts w:hint="eastAsia"/>
          <w:sz w:val="24"/>
        </w:rPr>
        <w:t>（1）价值在10万元以下（不含10万元）的医疗设备 按照9:1的方式付款，即货到验收合格支付合同总金额的90%，余10%质保金质保期结束后支付。</w:t>
      </w:r>
    </w:p>
    <w:p>
      <w:pPr>
        <w:spacing w:line="360" w:lineRule="auto"/>
        <w:rPr>
          <w:sz w:val="24"/>
        </w:rPr>
      </w:pPr>
      <w:r>
        <w:rPr>
          <w:rFonts w:hint="eastAsia"/>
          <w:sz w:val="24"/>
        </w:rPr>
        <w:t>（2）价值在10万元-50万元之间的医疗设备按照3:6:1的方式付款，即货到验收合格支付合同总金额的30%，验收合格半年支付合同总金额的60%，余10%质保金质保期结束后支付。</w:t>
      </w:r>
    </w:p>
    <w:p>
      <w:pPr>
        <w:spacing w:line="360" w:lineRule="auto"/>
        <w:rPr>
          <w:b/>
          <w:bCs/>
          <w:sz w:val="24"/>
        </w:rPr>
      </w:pPr>
      <w:r>
        <w:rPr>
          <w:rFonts w:hint="eastAsia"/>
          <w:sz w:val="24"/>
        </w:rPr>
        <w:t>（3）价值在50万元以上的医疗设备按照3:3:3:1的方式付款，即货到验收合格支付合同总金额的30%，验收合格半年支付合同总金额的30%,验收合格一年支付30%,余10%质保金质保期结束后支付。</w:t>
      </w:r>
    </w:p>
    <w:p>
      <w:pPr>
        <w:spacing w:line="360" w:lineRule="auto"/>
        <w:rPr>
          <w:sz w:val="24"/>
        </w:rPr>
      </w:pPr>
      <w:r>
        <w:rPr>
          <w:rFonts w:hint="eastAsia"/>
          <w:b/>
          <w:bCs/>
          <w:sz w:val="24"/>
        </w:rPr>
        <w:t>（</w:t>
      </w:r>
      <w:r>
        <w:rPr>
          <w:b/>
          <w:bCs/>
          <w:sz w:val="24"/>
        </w:rPr>
        <w:t>注：</w:t>
      </w:r>
      <w:r>
        <w:rPr>
          <w:b/>
          <w:sz w:val="24"/>
        </w:rPr>
        <w:t>最终付款方式以签订</w:t>
      </w:r>
      <w:r>
        <w:rPr>
          <w:rFonts w:hint="eastAsia"/>
          <w:b/>
          <w:sz w:val="24"/>
        </w:rPr>
        <w:t>的</w:t>
      </w:r>
      <w:r>
        <w:rPr>
          <w:b/>
          <w:sz w:val="24"/>
        </w:rPr>
        <w:t>合同为准</w:t>
      </w:r>
      <w:r>
        <w:rPr>
          <w:rFonts w:hint="eastAsia"/>
          <w:b/>
          <w:sz w:val="24"/>
        </w:rPr>
        <w:t>。</w:t>
      </w:r>
      <w:r>
        <w:rPr>
          <w:rFonts w:hint="eastAsia"/>
          <w:b/>
          <w:bCs/>
          <w:sz w:val="24"/>
        </w:rPr>
        <w:t>）</w:t>
      </w:r>
    </w:p>
    <w:p>
      <w:pPr>
        <w:overflowPunct w:val="0"/>
        <w:spacing w:line="440" w:lineRule="exact"/>
        <w:rPr>
          <w:sz w:val="24"/>
        </w:rPr>
      </w:pPr>
    </w:p>
    <w:p>
      <w:pPr>
        <w:overflowPunct w:val="0"/>
        <w:spacing w:line="440" w:lineRule="exact"/>
        <w:rPr>
          <w:sz w:val="24"/>
        </w:rPr>
      </w:pPr>
      <w:r>
        <w:rPr>
          <w:sz w:val="24"/>
        </w:rPr>
        <w:t>第四条：交货、包装与验收</w:t>
      </w:r>
    </w:p>
    <w:p>
      <w:pPr>
        <w:overflowPunct w:val="0"/>
        <w:spacing w:line="440" w:lineRule="exact"/>
        <w:rPr>
          <w:sz w:val="24"/>
        </w:rPr>
      </w:pPr>
      <w:r>
        <w:rPr>
          <w:sz w:val="24"/>
        </w:rPr>
        <w:t>1、交货地点：新疆维吾尔自治区人民医院，最终按甲方指定地点验收、交货</w:t>
      </w:r>
    </w:p>
    <w:p>
      <w:pPr>
        <w:overflowPunct w:val="0"/>
        <w:spacing w:line="440" w:lineRule="exact"/>
        <w:rPr>
          <w:sz w:val="24"/>
        </w:rPr>
      </w:pPr>
      <w:r>
        <w:rPr>
          <w:sz w:val="24"/>
        </w:rPr>
        <w:t>2、交货时间：20  年 月 日前</w:t>
      </w:r>
    </w:p>
    <w:p>
      <w:pPr>
        <w:overflowPunct w:val="0"/>
        <w:spacing w:line="440" w:lineRule="exact"/>
        <w:rPr>
          <w:sz w:val="24"/>
        </w:rPr>
      </w:pPr>
      <w:r>
        <w:rPr>
          <w:sz w:val="24"/>
        </w:rPr>
        <w:t>3、货物包装应符合国家标准，以保证货物在运输过程中不受损伤。货物在运输或邮寄途中发生毁损或丢失，由乙方负责。在运输途中、交货前、卸货中发生人身伤害或货物受损的，由乙方负责承担。</w:t>
      </w:r>
    </w:p>
    <w:p>
      <w:pPr>
        <w:overflowPunct w:val="0"/>
        <w:spacing w:line="440" w:lineRule="exact"/>
        <w:rPr>
          <w:sz w:val="24"/>
        </w:rPr>
      </w:pPr>
      <w:r>
        <w:rPr>
          <w:sz w:val="24"/>
        </w:rPr>
        <w:t>4、货物到达后，甲乙双方均须在场并确认包装的完好性后，由甲方验货。并对货物进行清点验收，共同签字确认。如验收不合格，乙方应退货，预缴押金的要全额退还，一切损失由乙方承担。</w:t>
      </w:r>
    </w:p>
    <w:p>
      <w:pPr>
        <w:overflowPunct w:val="0"/>
        <w:spacing w:line="440" w:lineRule="exact"/>
        <w:rPr>
          <w:sz w:val="24"/>
        </w:rPr>
      </w:pPr>
    </w:p>
    <w:p>
      <w:pPr>
        <w:overflowPunct w:val="0"/>
        <w:spacing w:line="440" w:lineRule="exact"/>
        <w:rPr>
          <w:sz w:val="24"/>
        </w:rPr>
      </w:pPr>
      <w:r>
        <w:rPr>
          <w:sz w:val="24"/>
        </w:rPr>
        <w:t>第五条：本合同的有效组成文件：</w:t>
      </w:r>
    </w:p>
    <w:p>
      <w:pPr>
        <w:overflowPunct w:val="0"/>
        <w:spacing w:line="440" w:lineRule="exact"/>
        <w:rPr>
          <w:sz w:val="24"/>
        </w:rPr>
      </w:pPr>
      <w:r>
        <w:rPr>
          <w:sz w:val="24"/>
        </w:rPr>
        <w:t>1、投标文件。</w:t>
      </w:r>
    </w:p>
    <w:p>
      <w:pPr>
        <w:overflowPunct w:val="0"/>
        <w:spacing w:line="440" w:lineRule="exact"/>
        <w:rPr>
          <w:sz w:val="24"/>
        </w:rPr>
      </w:pPr>
      <w:r>
        <w:rPr>
          <w:sz w:val="24"/>
        </w:rPr>
        <w:t>2、中标通知书。</w:t>
      </w:r>
    </w:p>
    <w:p>
      <w:pPr>
        <w:overflowPunct w:val="0"/>
        <w:spacing w:line="440" w:lineRule="exact"/>
        <w:rPr>
          <w:sz w:val="24"/>
        </w:rPr>
      </w:pPr>
      <w:r>
        <w:rPr>
          <w:sz w:val="24"/>
        </w:rPr>
        <w:t>3、甲方出具的验货结算书。</w:t>
      </w:r>
    </w:p>
    <w:p>
      <w:pPr>
        <w:overflowPunct w:val="0"/>
        <w:spacing w:line="440" w:lineRule="exact"/>
        <w:rPr>
          <w:sz w:val="24"/>
        </w:rPr>
      </w:pPr>
      <w:r>
        <w:rPr>
          <w:sz w:val="24"/>
        </w:rPr>
        <w:t>4、乙方所提供的其他承诺。</w:t>
      </w:r>
    </w:p>
    <w:p>
      <w:pPr>
        <w:overflowPunct w:val="0"/>
        <w:spacing w:line="440" w:lineRule="exact"/>
        <w:rPr>
          <w:sz w:val="24"/>
        </w:rPr>
      </w:pPr>
    </w:p>
    <w:p>
      <w:pPr>
        <w:overflowPunct w:val="0"/>
        <w:spacing w:line="440" w:lineRule="exact"/>
        <w:rPr>
          <w:sz w:val="24"/>
        </w:rPr>
      </w:pPr>
      <w:r>
        <w:rPr>
          <w:sz w:val="24"/>
        </w:rPr>
        <w:t>第六条：质量保证和售后服务：</w:t>
      </w:r>
    </w:p>
    <w:p>
      <w:pPr>
        <w:overflowPunct w:val="0"/>
        <w:spacing w:line="440" w:lineRule="exact"/>
        <w:rPr>
          <w:sz w:val="24"/>
        </w:rPr>
      </w:pPr>
      <w:r>
        <w:rPr>
          <w:sz w:val="24"/>
        </w:rPr>
        <w:t>乙方应保证所提供的货物是全新、未使用过的原装合格正品，并完全符合国家标准和行业的相关标准。</w:t>
      </w:r>
    </w:p>
    <w:p>
      <w:pPr>
        <w:overflowPunct w:val="0"/>
        <w:spacing w:line="440" w:lineRule="exact"/>
        <w:rPr>
          <w:sz w:val="24"/>
        </w:rPr>
      </w:pPr>
    </w:p>
    <w:p>
      <w:pPr>
        <w:overflowPunct w:val="0"/>
        <w:spacing w:line="440" w:lineRule="exact"/>
        <w:rPr>
          <w:sz w:val="24"/>
        </w:rPr>
      </w:pPr>
      <w:r>
        <w:rPr>
          <w:sz w:val="24"/>
        </w:rPr>
        <w:t>第七条：违约责任：</w:t>
      </w:r>
    </w:p>
    <w:p>
      <w:pPr>
        <w:overflowPunct w:val="0"/>
        <w:spacing w:line="440" w:lineRule="exact"/>
        <w:rPr>
          <w:sz w:val="24"/>
        </w:rPr>
      </w:pPr>
      <w:r>
        <w:rPr>
          <w:sz w:val="24"/>
        </w:rPr>
        <w:t>1、乙方不能按期按约交货或部分交货的，甲方有权不予支付乙方货款，</w:t>
      </w:r>
    </w:p>
    <w:p>
      <w:pPr>
        <w:overflowPunct w:val="0"/>
        <w:spacing w:line="440" w:lineRule="exact"/>
        <w:rPr>
          <w:sz w:val="24"/>
        </w:rPr>
      </w:pPr>
      <w:r>
        <w:rPr>
          <w:sz w:val="24"/>
        </w:rPr>
        <w:t>并有权解除合同，乙方并应向甲方偿付相当于不能交货部分货款5%的违约金。</w:t>
      </w:r>
    </w:p>
    <w:p>
      <w:pPr>
        <w:overflowPunct w:val="0"/>
        <w:spacing w:line="440" w:lineRule="exact"/>
        <w:rPr>
          <w:sz w:val="24"/>
        </w:rPr>
      </w:pPr>
      <w:r>
        <w:rPr>
          <w:sz w:val="24"/>
        </w:rPr>
        <w:t>2、乙方所提供货物品种、数量、质量不符合国家法律法规和本合同规定的，甲方有权拒收，由乙方负责包换或退货，并承担由此而支付的实际费用。</w:t>
      </w:r>
    </w:p>
    <w:p>
      <w:pPr>
        <w:overflowPunct w:val="0"/>
        <w:spacing w:line="440" w:lineRule="exact"/>
        <w:rPr>
          <w:sz w:val="24"/>
        </w:rPr>
      </w:pPr>
      <w:r>
        <w:rPr>
          <w:sz w:val="24"/>
        </w:rPr>
        <w:t>3、乙方逾期交货的，按逾期缴货部分货款计算，向甲方偿付每日千分之五的违约金，并承担甲方因此所受的损失费用。</w:t>
      </w:r>
    </w:p>
    <w:p>
      <w:pPr>
        <w:overflowPunct w:val="0"/>
        <w:spacing w:line="440" w:lineRule="exact"/>
        <w:rPr>
          <w:sz w:val="24"/>
        </w:rPr>
      </w:pPr>
      <w:r>
        <w:rPr>
          <w:sz w:val="24"/>
        </w:rPr>
        <w:t>4、乙方违反本合同相关约定的，除应当承担违约责任外，因乙方违约导致甲方产生其他相关损失的，乙方应当赔偿甲方因此产生的经济损失。</w:t>
      </w:r>
    </w:p>
    <w:p>
      <w:pPr>
        <w:overflowPunct w:val="0"/>
        <w:spacing w:line="440" w:lineRule="exact"/>
        <w:rPr>
          <w:sz w:val="24"/>
        </w:rPr>
      </w:pPr>
      <w:r>
        <w:rPr>
          <w:sz w:val="24"/>
        </w:rPr>
        <w:t>5、甲方未按合同约定逾期付款的，应按照每日千分之五的比例向乙方偿付逾期货款的违约金。</w:t>
      </w:r>
    </w:p>
    <w:p>
      <w:pPr>
        <w:overflowPunct w:val="0"/>
        <w:spacing w:line="440" w:lineRule="exact"/>
        <w:rPr>
          <w:sz w:val="24"/>
        </w:rPr>
      </w:pPr>
      <w:r>
        <w:rPr>
          <w:sz w:val="24"/>
        </w:rPr>
        <w:t>6、甲方违反本合同规定拒绝接货的，应当承担由此对乙方造成的损失。</w:t>
      </w:r>
    </w:p>
    <w:p>
      <w:pPr>
        <w:overflowPunct w:val="0"/>
        <w:spacing w:line="440" w:lineRule="exact"/>
        <w:rPr>
          <w:sz w:val="24"/>
        </w:rPr>
      </w:pPr>
      <w:r>
        <w:rPr>
          <w:sz w:val="24"/>
        </w:rPr>
        <w:t>7、双方必须严格执行《中华人民共和国民法典》的有关违约责任规定。</w:t>
      </w:r>
    </w:p>
    <w:p>
      <w:pPr>
        <w:overflowPunct w:val="0"/>
        <w:spacing w:line="440" w:lineRule="exact"/>
        <w:rPr>
          <w:sz w:val="24"/>
        </w:rPr>
      </w:pPr>
      <w:r>
        <w:rPr>
          <w:sz w:val="24"/>
        </w:rPr>
        <w:t>第八条：不可抗力</w:t>
      </w:r>
    </w:p>
    <w:p>
      <w:pPr>
        <w:overflowPunct w:val="0"/>
        <w:spacing w:line="440" w:lineRule="exact"/>
        <w:rPr>
          <w:sz w:val="24"/>
        </w:rPr>
      </w:pPr>
      <w:r>
        <w:rPr>
          <w:sz w:val="24"/>
        </w:rPr>
        <w:t>1、本合同生效后发生不可抗力的，发生不可抗力的一方应立即通知对方和新疆维吾尔自治区人民医院，并在不可抗力发生之日起五天内提供不可抗力的详情及有关证明文件送交对方和新疆维吾尔自治区人民医院。</w:t>
      </w:r>
    </w:p>
    <w:p>
      <w:pPr>
        <w:overflowPunct w:val="0"/>
        <w:spacing w:line="440" w:lineRule="exact"/>
        <w:rPr>
          <w:sz w:val="24"/>
        </w:rPr>
      </w:pPr>
      <w:r>
        <w:rPr>
          <w:sz w:val="24"/>
        </w:rPr>
        <w:t>2、发生不可抗力事件时，双方应协商以寻找一个合理的解决方法，并尽一切努力减轻不可抗力产生的后果。如不可抗力影响双方合同正常执行的，双方应友好协商解决本合同是否继续履行或终止。</w:t>
      </w:r>
    </w:p>
    <w:p>
      <w:pPr>
        <w:overflowPunct w:val="0"/>
        <w:spacing w:line="440" w:lineRule="exact"/>
        <w:rPr>
          <w:sz w:val="24"/>
        </w:rPr>
      </w:pPr>
      <w:r>
        <w:rPr>
          <w:sz w:val="24"/>
        </w:rPr>
        <w:t>3、一方因不可抗力不能按本合同约定履行的，可以减轻或免除一方的违约责任，一方不能证明不能按本合同约定履行是因不可抗力的，应当承担本合同约定的违约和赔偿责任。</w:t>
      </w:r>
    </w:p>
    <w:p>
      <w:pPr>
        <w:overflowPunct w:val="0"/>
        <w:spacing w:line="440" w:lineRule="exact"/>
        <w:rPr>
          <w:sz w:val="24"/>
        </w:rPr>
      </w:pPr>
    </w:p>
    <w:p>
      <w:pPr>
        <w:overflowPunct w:val="0"/>
        <w:spacing w:line="440" w:lineRule="exact"/>
        <w:rPr>
          <w:sz w:val="24"/>
        </w:rPr>
      </w:pPr>
      <w:r>
        <w:rPr>
          <w:sz w:val="24"/>
        </w:rPr>
        <w:t>第九条：合同的解除和变更</w:t>
      </w:r>
    </w:p>
    <w:p>
      <w:pPr>
        <w:overflowPunct w:val="0"/>
        <w:spacing w:line="440" w:lineRule="exact"/>
        <w:rPr>
          <w:sz w:val="24"/>
        </w:rPr>
      </w:pPr>
      <w:r>
        <w:rPr>
          <w:sz w:val="24"/>
        </w:rPr>
        <w:t>当合同一方要求变更或解除合同时，在新协议未达成前，原合同仍然有效。要求变更的一方应及时书面通知对方新疆维吾尔自治区人民医院，对方在接到通知15日内书面给予答复，逾期未答复则视为已同意。双方达成协议的，按新协议执行，并报新疆维吾尔自治区人民医院备案。</w:t>
      </w:r>
    </w:p>
    <w:p>
      <w:pPr>
        <w:overflowPunct w:val="0"/>
        <w:spacing w:line="440" w:lineRule="exact"/>
        <w:rPr>
          <w:sz w:val="24"/>
        </w:rPr>
      </w:pPr>
      <w:r>
        <w:rPr>
          <w:sz w:val="24"/>
        </w:rPr>
        <w:t>第十条：争议解决方式</w:t>
      </w:r>
    </w:p>
    <w:p>
      <w:pPr>
        <w:overflowPunct w:val="0"/>
        <w:spacing w:line="440" w:lineRule="exact"/>
        <w:rPr>
          <w:sz w:val="24"/>
        </w:rPr>
      </w:pPr>
      <w:r>
        <w:rPr>
          <w:sz w:val="24"/>
        </w:rPr>
        <w:t>甲乙双方在合同执行中发生争议，由甲乙双方协商解决，协商解决不了的，甲乙双方均有权向新疆维吾尔自治区人民医院投诉或向合同签署所在地人民法院提起诉讼。</w:t>
      </w:r>
    </w:p>
    <w:p>
      <w:pPr>
        <w:overflowPunct w:val="0"/>
        <w:spacing w:line="440" w:lineRule="exact"/>
        <w:rPr>
          <w:sz w:val="24"/>
        </w:rPr>
      </w:pPr>
      <w:r>
        <w:rPr>
          <w:sz w:val="24"/>
        </w:rPr>
        <w:t>第十一条：合同生效及其他</w:t>
      </w:r>
    </w:p>
    <w:p>
      <w:pPr>
        <w:overflowPunct w:val="0"/>
        <w:spacing w:line="440" w:lineRule="exact"/>
        <w:rPr>
          <w:sz w:val="24"/>
        </w:rPr>
      </w:pPr>
      <w:r>
        <w:rPr>
          <w:sz w:val="24"/>
        </w:rPr>
        <w:t>1、本合同经甲乙双方盖章和代表签字日期，即为本合同生效日期。如双方盖章签字日期不一致时，以最后盖章签字方的盖章签字日期为合同的生效日期。</w:t>
      </w:r>
    </w:p>
    <w:p>
      <w:pPr>
        <w:overflowPunct w:val="0"/>
        <w:spacing w:line="440" w:lineRule="exact"/>
        <w:rPr>
          <w:sz w:val="24"/>
        </w:rPr>
      </w:pPr>
      <w:r>
        <w:rPr>
          <w:sz w:val="24"/>
        </w:rPr>
        <w:t>2、本合同一式陆份，甲伍份，乙方一份，政府采购办、招标代理公司各一套</w:t>
      </w:r>
    </w:p>
    <w:p>
      <w:pPr>
        <w:overflowPunct w:val="0"/>
        <w:spacing w:line="440" w:lineRule="exact"/>
        <w:rPr>
          <w:sz w:val="24"/>
        </w:rPr>
      </w:pPr>
      <w:r>
        <w:rPr>
          <w:sz w:val="24"/>
        </w:rPr>
        <w:t>3、本合同的未尽事项，必要时由甲乙双方另订补充协议，经甲乙双方盖章和双方授权代表签字后与本合同具有同等法律效力，补充协议必须交新疆维吾尔自治区人民医院备案。</w:t>
      </w:r>
    </w:p>
    <w:p>
      <w:pPr>
        <w:overflowPunct w:val="0"/>
        <w:spacing w:line="440" w:lineRule="exact"/>
        <w:rPr>
          <w:sz w:val="24"/>
        </w:rPr>
      </w:pPr>
      <w:r>
        <w:rPr>
          <w:sz w:val="24"/>
        </w:rPr>
        <w:t>甲方：                                       乙方：</w:t>
      </w:r>
    </w:p>
    <w:p>
      <w:pPr>
        <w:overflowPunct w:val="0"/>
        <w:spacing w:line="440" w:lineRule="exact"/>
        <w:rPr>
          <w:sz w:val="24"/>
        </w:rPr>
      </w:pPr>
      <w:r>
        <w:rPr>
          <w:sz w:val="24"/>
        </w:rPr>
        <w:t xml:space="preserve">地址：                                       地址：            </w:t>
      </w:r>
    </w:p>
    <w:p>
      <w:pPr>
        <w:overflowPunct w:val="0"/>
        <w:spacing w:line="440" w:lineRule="exact"/>
        <w:rPr>
          <w:sz w:val="24"/>
        </w:rPr>
      </w:pPr>
      <w:r>
        <w:rPr>
          <w:sz w:val="24"/>
        </w:rPr>
        <w:t xml:space="preserve">经办人：                                     经办人：         </w:t>
      </w:r>
    </w:p>
    <w:p>
      <w:pPr>
        <w:overflowPunct w:val="0"/>
        <w:spacing w:line="440" w:lineRule="exact"/>
        <w:rPr>
          <w:sz w:val="24"/>
        </w:rPr>
      </w:pPr>
      <w:r>
        <w:rPr>
          <w:sz w:val="24"/>
        </w:rPr>
        <w:t xml:space="preserve">电话：                                       电话：                           </w:t>
      </w:r>
    </w:p>
    <w:p>
      <w:pPr>
        <w:overflowPunct w:val="0"/>
        <w:spacing w:line="440" w:lineRule="exact"/>
        <w:rPr>
          <w:sz w:val="24"/>
        </w:rPr>
      </w:pPr>
      <w:r>
        <w:rPr>
          <w:sz w:val="24"/>
        </w:rPr>
        <w:t xml:space="preserve">20 年月日                                   20 年月日   </w:t>
      </w:r>
    </w:p>
    <w:p>
      <w:pPr>
        <w:rPr>
          <w:b/>
          <w:bCs/>
          <w:sz w:val="24"/>
        </w:rPr>
      </w:pPr>
      <w:r>
        <w:rPr>
          <w:b/>
          <w:bCs/>
          <w:sz w:val="24"/>
        </w:rPr>
        <w:t>注：最终合同以实际签订为准。</w:t>
      </w:r>
    </w:p>
    <w:p>
      <w:pPr>
        <w:pStyle w:val="80"/>
        <w:snapToGrid w:val="0"/>
        <w:spacing w:after="120" w:afterLines="50"/>
        <w:rPr>
          <w:rFonts w:ascii="Times New Roman" w:hAnsi="Times New Roman" w:cs="Times New Roman"/>
          <w:sz w:val="24"/>
          <w:szCs w:val="24"/>
        </w:rPr>
      </w:pPr>
    </w:p>
    <w:p>
      <w:pPr>
        <w:widowControl/>
        <w:jc w:val="left"/>
        <w:rPr>
          <w:sz w:val="24"/>
        </w:rPr>
        <w:sectPr>
          <w:pgSz w:w="11906" w:h="16838"/>
          <w:pgMar w:top="1440" w:right="1440" w:bottom="1440" w:left="1797" w:header="851" w:footer="992" w:gutter="0"/>
          <w:pgNumType w:fmt="decimal"/>
          <w:cols w:space="720" w:num="1"/>
          <w:docGrid w:linePitch="312" w:charSpace="0"/>
        </w:sectPr>
      </w:pPr>
    </w:p>
    <w:p>
      <w:pPr>
        <w:autoSpaceDE w:val="0"/>
        <w:autoSpaceDN w:val="0"/>
        <w:adjustRightInd w:val="0"/>
        <w:snapToGrid w:val="0"/>
        <w:spacing w:after="120" w:afterLines="50"/>
        <w:jc w:val="center"/>
        <w:outlineLvl w:val="0"/>
        <w:rPr>
          <w:rFonts w:eastAsia="黑体"/>
          <w:kern w:val="0"/>
          <w:sz w:val="32"/>
          <w:szCs w:val="32"/>
        </w:rPr>
      </w:pPr>
      <w:bookmarkStart w:id="210" w:name="_Toc5432"/>
      <w:bookmarkStart w:id="211" w:name="_Toc7378"/>
      <w:bookmarkStart w:id="212" w:name="_Toc12898"/>
      <w:r>
        <w:rPr>
          <w:rFonts w:eastAsia="黑体"/>
          <w:kern w:val="0"/>
          <w:sz w:val="32"/>
          <w:szCs w:val="32"/>
        </w:rPr>
        <w:t>第五章 采购需求</w:t>
      </w:r>
      <w:bookmarkEnd w:id="210"/>
      <w:bookmarkEnd w:id="211"/>
      <w:bookmarkEnd w:id="212"/>
    </w:p>
    <w:p>
      <w:pPr>
        <w:pStyle w:val="432"/>
        <w:spacing w:line="360" w:lineRule="auto"/>
        <w:ind w:firstLine="482" w:firstLineChars="200"/>
        <w:rPr>
          <w:rFonts w:ascii="Times New Roman" w:hAnsi="Times New Roman" w:eastAsia="宋体" w:cs="Times New Roman"/>
          <w:b/>
          <w:bCs/>
          <w:color w:val="333333"/>
          <w:sz w:val="24"/>
          <w:szCs w:val="24"/>
          <w:shd w:val="clear" w:color="auto" w:fill="FFFFFF"/>
        </w:rPr>
      </w:pPr>
      <w:bookmarkStart w:id="213" w:name="_Toc1195"/>
      <w:r>
        <w:rPr>
          <w:rFonts w:hint="eastAsia" w:ascii="Times New Roman" w:hAnsi="Times New Roman" w:eastAsia="宋体" w:cs="Times New Roman"/>
          <w:b/>
          <w:bCs/>
          <w:color w:val="333333"/>
          <w:sz w:val="24"/>
          <w:szCs w:val="24"/>
          <w:shd w:val="clear" w:color="auto" w:fill="FFFFFF"/>
        </w:rPr>
        <w:t>1、设备供应商向设备购买方免费提供设备信息与PACS、LIS手麻系统、集成平台等系统的接口方案，以保证该设备与以上使用系统的连接使用。</w:t>
      </w:r>
    </w:p>
    <w:p>
      <w:pPr>
        <w:pStyle w:val="432"/>
        <w:spacing w:line="360" w:lineRule="auto"/>
        <w:ind w:firstLine="482" w:firstLineChars="200"/>
        <w:rPr>
          <w:rFonts w:ascii="Times New Roman" w:hAnsi="Times New Roman" w:eastAsia="宋体" w:cs="Times New Roman"/>
          <w:b/>
          <w:bCs/>
          <w:color w:val="333333"/>
          <w:sz w:val="24"/>
          <w:szCs w:val="24"/>
          <w:shd w:val="clear" w:color="auto" w:fill="FFFFFF"/>
        </w:rPr>
      </w:pPr>
      <w:r>
        <w:rPr>
          <w:rFonts w:hint="eastAsia" w:ascii="Times New Roman" w:hAnsi="Times New Roman" w:eastAsia="宋体" w:cs="Times New Roman"/>
          <w:b/>
          <w:bCs/>
          <w:color w:val="333333"/>
          <w:sz w:val="24"/>
          <w:szCs w:val="24"/>
          <w:shd w:val="clear" w:color="auto" w:fill="FFFFFF"/>
        </w:rPr>
        <w:t>2、设备原代码及维修密码无条件开放。</w:t>
      </w:r>
    </w:p>
    <w:p>
      <w:pPr>
        <w:pStyle w:val="432"/>
        <w:spacing w:line="360" w:lineRule="auto"/>
        <w:ind w:firstLine="482" w:firstLineChars="200"/>
        <w:rPr>
          <w:rFonts w:ascii="Times New Roman" w:hAnsi="Times New Roman" w:eastAsia="宋体" w:cs="Times New Roman"/>
          <w:b/>
          <w:bCs/>
          <w:color w:val="333333"/>
          <w:sz w:val="24"/>
          <w:szCs w:val="24"/>
          <w:shd w:val="clear" w:color="auto" w:fill="FFFFFF"/>
        </w:rPr>
      </w:pPr>
      <w:r>
        <w:rPr>
          <w:rFonts w:hint="eastAsia" w:ascii="Times New Roman" w:hAnsi="Times New Roman" w:eastAsia="宋体" w:cs="Times New Roman"/>
          <w:b/>
          <w:bCs/>
          <w:color w:val="333333"/>
          <w:sz w:val="24"/>
          <w:szCs w:val="24"/>
          <w:shd w:val="clear" w:color="auto" w:fill="FFFFFF"/>
        </w:rPr>
        <w:t>3、提供设备零配件报价表。</w:t>
      </w:r>
    </w:p>
    <w:p>
      <w:pPr>
        <w:pStyle w:val="432"/>
        <w:spacing w:line="360" w:lineRule="auto"/>
        <w:ind w:firstLine="482" w:firstLineChars="200"/>
        <w:rPr>
          <w:rFonts w:ascii="Times New Roman" w:hAnsi="Times New Roman" w:eastAsia="宋体" w:cs="Times New Roman"/>
          <w:b/>
          <w:bCs/>
          <w:color w:val="333333"/>
          <w:sz w:val="24"/>
          <w:szCs w:val="24"/>
          <w:shd w:val="clear" w:color="auto" w:fill="FFFFFF"/>
        </w:rPr>
      </w:pPr>
      <w:r>
        <w:rPr>
          <w:rFonts w:hint="eastAsia" w:ascii="Times New Roman" w:hAnsi="Times New Roman" w:eastAsia="宋体" w:cs="Times New Roman"/>
          <w:b/>
          <w:bCs/>
          <w:color w:val="333333"/>
          <w:sz w:val="24"/>
          <w:szCs w:val="24"/>
          <w:shd w:val="clear" w:color="auto" w:fill="FFFFFF"/>
        </w:rPr>
        <w:t>4、提供质保期结束后设备年维保费用报价表。</w:t>
      </w:r>
    </w:p>
    <w:p>
      <w:pPr>
        <w:pStyle w:val="432"/>
        <w:spacing w:line="360" w:lineRule="auto"/>
        <w:ind w:firstLine="482" w:firstLineChars="200"/>
        <w:rPr>
          <w:rFonts w:ascii="Times New Roman" w:hAnsi="Times New Roman" w:eastAsia="宋体" w:cs="Times New Roman"/>
          <w:b/>
          <w:bCs/>
          <w:color w:val="333333"/>
          <w:sz w:val="24"/>
          <w:szCs w:val="24"/>
          <w:shd w:val="clear" w:color="auto" w:fill="FFFFFF"/>
        </w:rPr>
      </w:pPr>
      <w:r>
        <w:rPr>
          <w:rFonts w:hint="eastAsia" w:ascii="Times New Roman" w:hAnsi="Times New Roman" w:eastAsia="宋体" w:cs="Times New Roman"/>
          <w:b/>
          <w:bCs/>
          <w:color w:val="333333"/>
          <w:sz w:val="24"/>
          <w:szCs w:val="24"/>
          <w:shd w:val="clear" w:color="auto" w:fill="FFFFFF"/>
        </w:rPr>
        <w:t>5、提供易损件价格报价表。</w:t>
      </w:r>
    </w:p>
    <w:p>
      <w:pPr>
        <w:pStyle w:val="432"/>
        <w:spacing w:line="360" w:lineRule="auto"/>
        <w:ind w:firstLine="482" w:firstLineChars="200"/>
        <w:rPr>
          <w:rFonts w:ascii="Times New Roman" w:hAnsi="Times New Roman" w:eastAsia="宋体" w:cs="Times New Roman"/>
          <w:b/>
          <w:bCs/>
          <w:color w:val="333333"/>
          <w:sz w:val="24"/>
          <w:szCs w:val="24"/>
          <w:shd w:val="clear" w:color="auto" w:fill="FFFFFF"/>
        </w:rPr>
      </w:pPr>
      <w:r>
        <w:rPr>
          <w:rFonts w:hint="eastAsia" w:ascii="Times New Roman" w:hAnsi="Times New Roman" w:eastAsia="宋体" w:cs="Times New Roman"/>
          <w:b/>
          <w:bCs/>
          <w:color w:val="333333"/>
          <w:sz w:val="24"/>
          <w:szCs w:val="24"/>
          <w:shd w:val="clear" w:color="auto" w:fill="FFFFFF"/>
        </w:rPr>
        <w:t>6、提供一次性耗材价格报价表。</w:t>
      </w:r>
    </w:p>
    <w:p>
      <w:pPr>
        <w:pStyle w:val="432"/>
        <w:spacing w:line="360" w:lineRule="auto"/>
        <w:ind w:firstLine="482" w:firstLineChars="200"/>
        <w:rPr>
          <w:rFonts w:ascii="Times New Roman" w:hAnsi="Times New Roman" w:eastAsia="宋体" w:cs="Times New Roman"/>
          <w:b/>
          <w:bCs/>
          <w:color w:val="333333"/>
          <w:sz w:val="24"/>
          <w:szCs w:val="24"/>
          <w:shd w:val="clear" w:color="auto" w:fill="FFFFFF"/>
        </w:rPr>
      </w:pPr>
      <w:r>
        <w:rPr>
          <w:rFonts w:hint="eastAsia" w:ascii="Times New Roman" w:hAnsi="Times New Roman" w:eastAsia="宋体" w:cs="Times New Roman"/>
          <w:b/>
          <w:bCs/>
          <w:color w:val="333333"/>
          <w:sz w:val="24"/>
          <w:szCs w:val="24"/>
          <w:shd w:val="clear" w:color="auto" w:fill="FFFFFF"/>
        </w:rPr>
        <w:t>7、所有供应商必须提交《医疗器械注册证》（或备案证明）（含附页、附表），产品检测报告，彩图。</w:t>
      </w:r>
    </w:p>
    <w:p>
      <w:pPr>
        <w:pStyle w:val="432"/>
        <w:spacing w:line="360" w:lineRule="auto"/>
        <w:ind w:firstLine="482" w:firstLineChars="200"/>
        <w:rPr>
          <w:rFonts w:ascii="Times New Roman" w:hAnsi="Times New Roman" w:eastAsia="宋体" w:cs="Times New Roman"/>
          <w:b/>
          <w:bCs/>
          <w:color w:val="333333"/>
          <w:sz w:val="24"/>
          <w:szCs w:val="24"/>
          <w:shd w:val="clear" w:color="auto" w:fill="FFFFFF"/>
        </w:rPr>
      </w:pPr>
      <w:r>
        <w:rPr>
          <w:rFonts w:hint="eastAsia" w:ascii="Times New Roman" w:hAnsi="Times New Roman" w:eastAsia="宋体" w:cs="Times New Roman"/>
          <w:b/>
          <w:bCs/>
          <w:color w:val="333333"/>
          <w:sz w:val="24"/>
          <w:szCs w:val="24"/>
          <w:shd w:val="clear" w:color="auto" w:fill="FFFFFF"/>
        </w:rPr>
        <w:t>8、投标人应保证提供设备为全新的、先进的、成熟的、完整的和安全可靠的，且设备的技术经济性能符合本招标文件技术部分的要求。</w:t>
      </w:r>
    </w:p>
    <w:p>
      <w:pPr>
        <w:pStyle w:val="432"/>
        <w:spacing w:line="360" w:lineRule="auto"/>
        <w:ind w:firstLine="482" w:firstLineChars="200"/>
        <w:rPr>
          <w:rFonts w:ascii="Times New Roman" w:hAnsi="Times New Roman" w:eastAsia="宋体" w:cs="Times New Roman"/>
          <w:b/>
          <w:bCs/>
          <w:color w:val="333333"/>
          <w:sz w:val="24"/>
          <w:szCs w:val="24"/>
          <w:shd w:val="clear" w:color="auto" w:fill="FFFFFF"/>
        </w:rPr>
      </w:pPr>
      <w:r>
        <w:rPr>
          <w:rFonts w:hint="eastAsia" w:ascii="Times New Roman" w:hAnsi="Times New Roman" w:eastAsia="宋体" w:cs="Times New Roman"/>
          <w:b/>
          <w:bCs/>
          <w:color w:val="333333"/>
          <w:sz w:val="24"/>
          <w:szCs w:val="24"/>
          <w:shd w:val="clear" w:color="auto" w:fill="FFFFFF"/>
        </w:rPr>
        <w:t>9、投标人应提供详细供货清单，清单中依次说明型号、数量、产地、生产厂家等内容。</w:t>
      </w:r>
    </w:p>
    <w:p>
      <w:pPr>
        <w:pStyle w:val="432"/>
        <w:spacing w:line="360" w:lineRule="auto"/>
        <w:ind w:firstLine="482" w:firstLineChars="200"/>
        <w:rPr>
          <w:rFonts w:ascii="Times New Roman" w:hAnsi="Times New Roman" w:eastAsia="宋体" w:cs="Times New Roman"/>
          <w:b/>
          <w:bCs/>
          <w:color w:val="333333"/>
          <w:sz w:val="24"/>
          <w:szCs w:val="24"/>
          <w:shd w:val="clear" w:color="auto" w:fill="FFFFFF"/>
        </w:rPr>
      </w:pPr>
      <w:r>
        <w:rPr>
          <w:rFonts w:hint="eastAsia" w:ascii="Times New Roman" w:hAnsi="Times New Roman" w:eastAsia="宋体" w:cs="Times New Roman"/>
          <w:b/>
          <w:bCs/>
          <w:color w:val="333333"/>
          <w:sz w:val="24"/>
          <w:szCs w:val="24"/>
          <w:shd w:val="clear" w:color="auto" w:fill="FFFFFF"/>
        </w:rPr>
        <w:t>10、本项目为交钥匙工程。</w:t>
      </w:r>
    </w:p>
    <w:p>
      <w:pPr>
        <w:pStyle w:val="432"/>
        <w:spacing w:line="360" w:lineRule="auto"/>
        <w:ind w:firstLine="482" w:firstLineChars="200"/>
        <w:rPr>
          <w:rFonts w:ascii="Times New Roman" w:hAnsi="Times New Roman" w:eastAsia="宋体" w:cs="Times New Roman"/>
          <w:b/>
          <w:bCs/>
          <w:color w:val="333333"/>
          <w:sz w:val="24"/>
          <w:szCs w:val="24"/>
          <w:shd w:val="clear" w:color="auto" w:fill="FFFFFF"/>
        </w:rPr>
      </w:pPr>
      <w:r>
        <w:rPr>
          <w:rFonts w:hint="eastAsia" w:ascii="Times New Roman" w:hAnsi="Times New Roman" w:eastAsia="宋体" w:cs="Times New Roman"/>
          <w:b/>
          <w:bCs/>
          <w:color w:val="333333"/>
          <w:sz w:val="24"/>
          <w:szCs w:val="24"/>
          <w:shd w:val="clear" w:color="auto" w:fill="FFFFFF"/>
        </w:rPr>
        <w:t>11、带“*”号条款参数均为重要参数，如不满足将视为对招标文件的不响应，投标将被拒绝。</w:t>
      </w:r>
    </w:p>
    <w:p>
      <w:pPr>
        <w:pStyle w:val="432"/>
        <w:spacing w:line="360" w:lineRule="auto"/>
        <w:ind w:firstLine="482" w:firstLineChars="200"/>
        <w:rPr>
          <w:rFonts w:ascii="Times New Roman" w:hAnsi="Times New Roman" w:eastAsia="宋体" w:cs="Times New Roman"/>
          <w:b/>
          <w:bCs/>
          <w:color w:val="333333"/>
          <w:sz w:val="24"/>
          <w:szCs w:val="24"/>
          <w:shd w:val="clear" w:color="auto" w:fill="FFFFFF"/>
        </w:rPr>
      </w:pPr>
      <w:r>
        <w:rPr>
          <w:rFonts w:hint="eastAsia" w:ascii="Times New Roman" w:hAnsi="Times New Roman" w:eastAsia="宋体" w:cs="Times New Roman"/>
          <w:b/>
          <w:bCs/>
          <w:color w:val="333333"/>
          <w:sz w:val="24"/>
          <w:szCs w:val="24"/>
          <w:shd w:val="clear" w:color="auto" w:fill="FFFFFF"/>
        </w:rPr>
        <w:t>12、技术参数要求中如存在参数为某品牌所特有的，投标人可选择达到使用功能或优于其技术参数的产品均可。</w:t>
      </w:r>
    </w:p>
    <w:p>
      <w:pPr>
        <w:pStyle w:val="4"/>
        <w:numPr>
          <w:ilvl w:val="0"/>
          <w:numId w:val="9"/>
        </w:numPr>
        <w:spacing w:before="120" w:after="120"/>
        <w:ind w:left="0" w:leftChars="-1" w:hanging="2"/>
        <w:rPr>
          <w:rFonts w:ascii="Times New Roman" w:hAnsi="Times New Roman"/>
          <w:sz w:val="24"/>
          <w:szCs w:val="24"/>
        </w:rPr>
      </w:pPr>
      <w:bookmarkStart w:id="214" w:name="_Toc3074"/>
      <w:bookmarkStart w:id="215" w:name="_Toc98232230"/>
      <w:r>
        <w:rPr>
          <w:rFonts w:ascii="Times New Roman" w:hAnsi="Times New Roman"/>
          <w:sz w:val="24"/>
          <w:szCs w:val="24"/>
        </w:rPr>
        <w:t>商务要求</w:t>
      </w:r>
      <w:bookmarkEnd w:id="214"/>
      <w:bookmarkEnd w:id="215"/>
    </w:p>
    <w:p>
      <w:pPr>
        <w:pStyle w:val="19"/>
        <w:ind w:firstLine="482" w:firstLineChars="200"/>
        <w:rPr>
          <w:b/>
          <w:bCs/>
          <w:sz w:val="24"/>
        </w:rPr>
      </w:pPr>
      <w:r>
        <w:rPr>
          <w:b/>
          <w:bCs/>
          <w:sz w:val="24"/>
        </w:rPr>
        <w:t>1、投标报价：</w:t>
      </w:r>
      <w:r>
        <w:rPr>
          <w:sz w:val="24"/>
        </w:rPr>
        <w:t>以人民币报价。供应商报价须包含本采购文件约定的所有工作内容及相关费用。货物金额、安装费、包装费、软件接口费、运输费及运输途中保险费、装卸费、税金及其它产生的相关所有费用均包含在报价总额中。</w:t>
      </w:r>
    </w:p>
    <w:p>
      <w:pPr>
        <w:pStyle w:val="19"/>
        <w:ind w:firstLine="482" w:firstLineChars="200"/>
        <w:rPr>
          <w:b/>
          <w:bCs/>
          <w:sz w:val="24"/>
        </w:rPr>
      </w:pPr>
      <w:r>
        <w:rPr>
          <w:b/>
          <w:bCs/>
          <w:sz w:val="24"/>
        </w:rPr>
        <w:t>2、付款方式：</w:t>
      </w:r>
    </w:p>
    <w:p>
      <w:pPr>
        <w:pStyle w:val="19"/>
        <w:ind w:firstLine="480" w:firstLineChars="200"/>
        <w:rPr>
          <w:sz w:val="24"/>
        </w:rPr>
      </w:pPr>
      <w:r>
        <w:rPr>
          <w:rFonts w:hint="eastAsia"/>
          <w:sz w:val="24"/>
        </w:rPr>
        <w:t>（1）价值在10万元以下（不含10万元）的医疗设备按照9:1的方式付款，即货到验收合格支付合同总金额的90%，余10%质保金质保期结束后支付。</w:t>
      </w:r>
    </w:p>
    <w:p>
      <w:pPr>
        <w:pStyle w:val="19"/>
        <w:ind w:firstLine="480" w:firstLineChars="200"/>
        <w:rPr>
          <w:sz w:val="24"/>
        </w:rPr>
      </w:pPr>
      <w:r>
        <w:rPr>
          <w:rFonts w:hint="eastAsia"/>
          <w:sz w:val="24"/>
        </w:rPr>
        <w:t>（2）价值在10万元-50万元之间的医疗设备按照3:6:1的方式付款，即货到验收合格支付合同总金额的30%，验收合格半年支付合同总金额的60%，余10%质保金质保期结束后支付。</w:t>
      </w:r>
    </w:p>
    <w:p>
      <w:pPr>
        <w:pStyle w:val="19"/>
        <w:ind w:firstLine="480" w:firstLineChars="200"/>
        <w:rPr>
          <w:sz w:val="24"/>
        </w:rPr>
      </w:pPr>
      <w:r>
        <w:rPr>
          <w:rFonts w:hint="eastAsia"/>
          <w:sz w:val="24"/>
        </w:rPr>
        <w:t>（3）价值在50万元以上的医疗设备按照3:3:3:1的方式付款，即货到验收合格支付合同总金额的30%，验收合格半年支付合同总金额的30%,验收合格一年支付30%,余10%质保金质保期结束后支付。</w:t>
      </w:r>
    </w:p>
    <w:p>
      <w:pPr>
        <w:pStyle w:val="19"/>
        <w:ind w:firstLine="480" w:firstLineChars="200"/>
        <w:rPr>
          <w:b/>
          <w:bCs/>
          <w:sz w:val="24"/>
        </w:rPr>
      </w:pPr>
      <w:r>
        <w:rPr>
          <w:rFonts w:hint="eastAsia"/>
          <w:sz w:val="24"/>
        </w:rPr>
        <w:t>最终付款方式以和采购人签订合同为准。</w:t>
      </w:r>
      <w:r>
        <w:rPr>
          <w:sz w:val="24"/>
        </w:rPr>
        <w:t>。</w:t>
      </w:r>
    </w:p>
    <w:p>
      <w:pPr>
        <w:pStyle w:val="19"/>
        <w:ind w:firstLine="482" w:firstLineChars="200"/>
        <w:rPr>
          <w:sz w:val="24"/>
        </w:rPr>
      </w:pPr>
      <w:r>
        <w:rPr>
          <w:b/>
          <w:bCs/>
          <w:sz w:val="24"/>
        </w:rPr>
        <w:t>3、交货</w:t>
      </w:r>
      <w:r>
        <w:rPr>
          <w:rFonts w:hint="eastAsia"/>
          <w:b/>
          <w:bCs/>
          <w:sz w:val="24"/>
        </w:rPr>
        <w:t>期</w:t>
      </w:r>
      <w:r>
        <w:rPr>
          <w:b/>
          <w:bCs/>
          <w:sz w:val="24"/>
        </w:rPr>
        <w:t>：</w:t>
      </w:r>
      <w:r>
        <w:rPr>
          <w:sz w:val="24"/>
        </w:rPr>
        <w:t>自采购人发出</w:t>
      </w:r>
      <w:r>
        <w:rPr>
          <w:sz w:val="24"/>
          <w:highlight w:val="none"/>
        </w:rPr>
        <w:t>订货通知之日起30</w:t>
      </w:r>
      <w:r>
        <w:rPr>
          <w:rFonts w:hint="eastAsia"/>
          <w:sz w:val="24"/>
          <w:highlight w:val="none"/>
        </w:rPr>
        <w:t>个工作日</w:t>
      </w:r>
      <w:r>
        <w:rPr>
          <w:sz w:val="24"/>
          <w:highlight w:val="none"/>
        </w:rPr>
        <w:t>内完成供货</w:t>
      </w:r>
      <w:r>
        <w:rPr>
          <w:sz w:val="24"/>
        </w:rPr>
        <w:t>。</w:t>
      </w:r>
    </w:p>
    <w:p>
      <w:pPr>
        <w:pStyle w:val="19"/>
        <w:ind w:firstLine="482" w:firstLineChars="200"/>
        <w:rPr>
          <w:sz w:val="24"/>
        </w:rPr>
      </w:pPr>
      <w:r>
        <w:rPr>
          <w:b/>
          <w:bCs/>
          <w:sz w:val="24"/>
        </w:rPr>
        <w:t>4、交货地点：新疆维吾尔自治区人民医院，最终按甲方指定地点验收、交货</w:t>
      </w:r>
      <w:r>
        <w:rPr>
          <w:sz w:val="24"/>
        </w:rPr>
        <w:t>。</w:t>
      </w:r>
    </w:p>
    <w:p>
      <w:pPr>
        <w:pStyle w:val="19"/>
        <w:ind w:firstLine="482" w:firstLineChars="200"/>
        <w:rPr>
          <w:sz w:val="24"/>
        </w:rPr>
      </w:pPr>
      <w:r>
        <w:rPr>
          <w:b/>
          <w:bCs/>
          <w:sz w:val="24"/>
        </w:rPr>
        <w:t>5、质量标准：</w:t>
      </w:r>
      <w:r>
        <w:rPr>
          <w:sz w:val="24"/>
        </w:rPr>
        <w:t>合格；质量符合国家、地方和行业相关标准和规范。</w:t>
      </w:r>
    </w:p>
    <w:p>
      <w:pPr>
        <w:pStyle w:val="19"/>
        <w:ind w:firstLine="482" w:firstLineChars="200"/>
        <w:rPr>
          <w:sz w:val="24"/>
        </w:rPr>
      </w:pPr>
      <w:r>
        <w:rPr>
          <w:b/>
          <w:bCs/>
          <w:sz w:val="24"/>
        </w:rPr>
        <w:t>6</w:t>
      </w:r>
      <w:bookmarkStart w:id="216" w:name="_Hlk86920487"/>
      <w:r>
        <w:rPr>
          <w:b/>
          <w:bCs/>
          <w:sz w:val="24"/>
        </w:rPr>
        <w:t>、验收标准：</w:t>
      </w:r>
      <w:r>
        <w:rPr>
          <w:sz w:val="24"/>
        </w:rPr>
        <w:t>按新疆维吾尔自治区人民医院验收标准规定的程序及要求组织实施验收。</w:t>
      </w:r>
    </w:p>
    <w:p>
      <w:pPr>
        <w:pStyle w:val="19"/>
        <w:ind w:firstLine="480" w:firstLineChars="200"/>
        <w:rPr>
          <w:b/>
          <w:bCs/>
          <w:sz w:val="24"/>
        </w:rPr>
      </w:pPr>
      <w:r>
        <w:rPr>
          <w:sz w:val="24"/>
        </w:rPr>
        <w:t>货物到达后，甲乙双方均须在场并确认包装的完好性后，由甲方验货。并对货物进行清点验收，共同签字确认。如验收不合格，乙方应退货，预缴押金的要全额退还，一切损失由乙方承担。</w:t>
      </w:r>
    </w:p>
    <w:p>
      <w:pPr>
        <w:pStyle w:val="19"/>
        <w:ind w:firstLine="480" w:firstLineChars="200"/>
        <w:rPr>
          <w:sz w:val="24"/>
        </w:rPr>
      </w:pPr>
      <w:r>
        <w:rPr>
          <w:sz w:val="24"/>
        </w:rPr>
        <w:t>乙方所供货物的技术标准应符合国家相关部门最新颁布的相应标准,确保所供产品必须是最新、最成熟、性能最完善的产品。</w:t>
      </w:r>
    </w:p>
    <w:p>
      <w:pPr>
        <w:pStyle w:val="19"/>
        <w:ind w:firstLine="480" w:firstLineChars="200"/>
        <w:rPr>
          <w:sz w:val="24"/>
        </w:rPr>
      </w:pPr>
      <w:r>
        <w:rPr>
          <w:sz w:val="24"/>
        </w:rPr>
        <w:t>交货时，乙方必须提供产品检验合格证书、装箱单、产品安装使用说明书、维修指南、服务手册等资料。</w:t>
      </w:r>
    </w:p>
    <w:p>
      <w:pPr>
        <w:pStyle w:val="19"/>
        <w:ind w:firstLine="482" w:firstLineChars="200"/>
        <w:rPr>
          <w:sz w:val="24"/>
        </w:rPr>
      </w:pPr>
      <w:r>
        <w:rPr>
          <w:b/>
          <w:bCs/>
          <w:sz w:val="24"/>
        </w:rPr>
        <w:t>7、包装和运输：</w:t>
      </w:r>
      <w:r>
        <w:rPr>
          <w:sz w:val="24"/>
        </w:rPr>
        <w:t>供应商应根据货物的特点和运输的条件进行包装，避免货物损坏或变质。包装上应标注运输、装卸标记。货物包装应符合国家标准，以保证货物在运输过程中不受损伤。货物在运输或邮寄途中发生毁损或丢失，由乙方负责。在运输途中、交货前、卸货中发生人身伤害或货物受损的，由乙方负责承担。</w:t>
      </w:r>
    </w:p>
    <w:p/>
    <w:bookmarkEnd w:id="216"/>
    <w:p>
      <w:pPr>
        <w:pStyle w:val="19"/>
        <w:ind w:firstLine="482" w:firstLineChars="200"/>
        <w:rPr>
          <w:b/>
          <w:bCs/>
          <w:sz w:val="24"/>
        </w:rPr>
      </w:pPr>
      <w:r>
        <w:rPr>
          <w:b/>
          <w:bCs/>
          <w:sz w:val="24"/>
        </w:rPr>
        <w:t>8、售后服务要求：</w:t>
      </w:r>
      <w:r>
        <w:rPr>
          <w:sz w:val="24"/>
        </w:rPr>
        <w:t>应具有相应售后服务能力，发现产品质量问题时能够无条件进行调换服务。</w:t>
      </w:r>
    </w:p>
    <w:p>
      <w:pPr>
        <w:pStyle w:val="19"/>
        <w:ind w:firstLine="482" w:firstLineChars="200"/>
        <w:rPr>
          <w:sz w:val="24"/>
        </w:rPr>
      </w:pPr>
      <w:bookmarkStart w:id="217" w:name="_Toc98232231"/>
      <w:bookmarkStart w:id="218" w:name="_Toc87614578"/>
      <w:r>
        <w:rPr>
          <w:b/>
          <w:bCs/>
          <w:sz w:val="24"/>
          <w:highlight w:val="none"/>
        </w:rPr>
        <w:t>9、培训服务要求</w:t>
      </w:r>
      <w:r>
        <w:rPr>
          <w:sz w:val="24"/>
          <w:highlight w:val="none"/>
        </w:rPr>
        <w:t>：供应商负责对采购方维修人员和使用人员进行培训。</w:t>
      </w:r>
      <w:r>
        <w:rPr>
          <w:rFonts w:hint="eastAsia"/>
          <w:sz w:val="24"/>
          <w:highlight w:val="none"/>
        </w:rPr>
        <w:t>每套设备所需相关人员：</w:t>
      </w:r>
      <w:r>
        <w:rPr>
          <w:sz w:val="24"/>
          <w:highlight w:val="none"/>
        </w:rPr>
        <w:t>操作人员2名，维修工程师2名</w:t>
      </w:r>
      <w:r>
        <w:rPr>
          <w:rFonts w:hint="eastAsia"/>
          <w:sz w:val="24"/>
          <w:highlight w:val="none"/>
        </w:rPr>
        <w:t>。</w:t>
      </w:r>
      <w:r>
        <w:rPr>
          <w:sz w:val="24"/>
        </w:rPr>
        <w:t>培训地点：院内。使采购方维修人员能对设备的日常维护和一般性故障的查找及故障的排除，使用人员能熟练掌握设备的各项操作。</w:t>
      </w:r>
    </w:p>
    <w:p>
      <w:pPr>
        <w:pStyle w:val="19"/>
        <w:ind w:firstLine="480" w:firstLineChars="200"/>
        <w:rPr>
          <w:sz w:val="24"/>
        </w:rPr>
      </w:pPr>
      <w:r>
        <w:rPr>
          <w:sz w:val="24"/>
        </w:rPr>
        <w:t>设备生产厂家或代理商在培训使用科室相关医师或操作人员时,须到医疗器械中心登记备案，包括培训时间、地点、内容以及培训结束后取得的相关技术证明文件。否则医院将视为无效培训。</w:t>
      </w:r>
    </w:p>
    <w:p>
      <w:pPr>
        <w:tabs>
          <w:tab w:val="left" w:pos="3840"/>
        </w:tabs>
        <w:sectPr>
          <w:pgSz w:w="11906" w:h="16838"/>
          <w:pgMar w:top="1440" w:right="1440" w:bottom="1440" w:left="1797" w:header="851" w:footer="992" w:gutter="0"/>
          <w:pgNumType w:fmt="decimal"/>
          <w:cols w:space="720" w:num="1"/>
          <w:docGrid w:linePitch="312" w:charSpace="0"/>
        </w:sectPr>
      </w:pPr>
    </w:p>
    <w:p>
      <w:pPr>
        <w:pStyle w:val="4"/>
        <w:numPr>
          <w:ilvl w:val="0"/>
          <w:numId w:val="9"/>
        </w:numPr>
        <w:spacing w:before="120" w:after="120"/>
        <w:ind w:left="0" w:leftChars="-1" w:hanging="2"/>
        <w:rPr>
          <w:rFonts w:ascii="Times New Roman" w:hAnsi="Times New Roman"/>
          <w:sz w:val="24"/>
          <w:szCs w:val="24"/>
        </w:rPr>
      </w:pPr>
      <w:bookmarkStart w:id="219" w:name="_Toc25161"/>
      <w:r>
        <w:rPr>
          <w:rFonts w:ascii="Times New Roman" w:hAnsi="Times New Roman"/>
          <w:sz w:val="24"/>
          <w:szCs w:val="24"/>
        </w:rPr>
        <w:t>技术参数</w:t>
      </w:r>
      <w:bookmarkEnd w:id="217"/>
      <w:bookmarkEnd w:id="218"/>
      <w:r>
        <w:rPr>
          <w:rFonts w:ascii="Times New Roman" w:hAnsi="Times New Roman"/>
          <w:sz w:val="24"/>
          <w:szCs w:val="24"/>
        </w:rPr>
        <w:t>要求</w:t>
      </w:r>
      <w:bookmarkEnd w:id="219"/>
    </w:p>
    <w:p>
      <w:pPr>
        <w:pStyle w:val="2"/>
        <w:spacing w:before="0" w:after="0" w:line="360" w:lineRule="auto"/>
        <w:rPr>
          <w:sz w:val="24"/>
          <w:szCs w:val="24"/>
        </w:rPr>
      </w:pPr>
      <w:bookmarkStart w:id="220" w:name="_Toc25444"/>
      <w:r>
        <w:rPr>
          <w:sz w:val="24"/>
          <w:szCs w:val="24"/>
        </w:rPr>
        <w:t>标项一</w:t>
      </w:r>
      <w:bookmarkEnd w:id="220"/>
    </w:p>
    <w:p>
      <w:pPr>
        <w:pStyle w:val="2"/>
        <w:spacing w:before="0" w:after="0" w:line="360" w:lineRule="auto"/>
        <w:rPr>
          <w:rFonts w:hint="eastAsia" w:eastAsia="宋体"/>
          <w:color w:val="333333"/>
          <w:shd w:val="clear" w:color="auto" w:fill="FFFFFF"/>
          <w:lang w:eastAsia="zh-CN"/>
        </w:rPr>
      </w:pPr>
      <w:bookmarkStart w:id="221" w:name="_Toc17904"/>
      <w:r>
        <w:rPr>
          <w:sz w:val="24"/>
          <w:szCs w:val="24"/>
        </w:rPr>
        <w:t>标项名称：</w:t>
      </w:r>
      <w:r>
        <w:rPr>
          <w:rFonts w:hint="eastAsia"/>
          <w:sz w:val="24"/>
          <w:szCs w:val="24"/>
          <w:lang w:eastAsia="zh-CN"/>
        </w:rPr>
        <w:t>飞行时间质谱检测系统</w:t>
      </w:r>
      <w:bookmarkEnd w:id="221"/>
    </w:p>
    <w:p>
      <w:pPr>
        <w:pStyle w:val="5"/>
        <w:jc w:val="center"/>
      </w:pPr>
      <w:r>
        <w:rPr>
          <w:rFonts w:hint="eastAsia"/>
        </w:rPr>
        <w:t>飞行时间核酸质谱分析系统招标参数（1台）（实验室主要设备）</w:t>
      </w:r>
    </w:p>
    <w:p>
      <w:pPr>
        <w:spacing w:line="360" w:lineRule="auto"/>
        <w:jc w:val="left"/>
        <w:rPr>
          <w:rFonts w:ascii="宋体" w:hAnsi="宋体" w:cs="宋体"/>
          <w:b/>
          <w:bCs/>
          <w:sz w:val="24"/>
        </w:rPr>
      </w:pPr>
      <w:r>
        <w:rPr>
          <w:rFonts w:hint="eastAsia" w:ascii="宋体" w:hAnsi="宋体" w:cs="宋体"/>
          <w:b/>
          <w:bCs/>
          <w:sz w:val="24"/>
        </w:rPr>
        <w:t>1、设备用途：</w:t>
      </w:r>
    </w:p>
    <w:p>
      <w:pPr>
        <w:spacing w:after="156" w:line="360" w:lineRule="auto"/>
        <w:rPr>
          <w:rFonts w:ascii="宋体" w:hAnsi="宋体" w:cs="宋体"/>
          <w:sz w:val="24"/>
        </w:rPr>
      </w:pPr>
      <w:r>
        <w:rPr>
          <w:rFonts w:hint="eastAsia" w:ascii="宋体" w:hAnsi="宋体" w:cs="宋体"/>
          <w:sz w:val="24"/>
        </w:rPr>
        <w:t xml:space="preserve">    用于同时分析检测多个已知基因变异位点或DNA甲基化标志物。具体包括：</w:t>
      </w:r>
    </w:p>
    <w:p>
      <w:pPr>
        <w:spacing w:after="156" w:line="360" w:lineRule="auto"/>
        <w:rPr>
          <w:rFonts w:ascii="宋体" w:hAnsi="宋体" w:cs="宋体"/>
          <w:sz w:val="24"/>
        </w:rPr>
      </w:pPr>
      <w:r>
        <w:rPr>
          <w:rFonts w:hint="eastAsia" w:ascii="宋体" w:hAnsi="宋体" w:cs="宋体"/>
          <w:sz w:val="24"/>
        </w:rPr>
        <w:t>1). SNP/INDEL 基因型分析；</w:t>
      </w:r>
    </w:p>
    <w:p>
      <w:pPr>
        <w:spacing w:after="156" w:line="360" w:lineRule="auto"/>
        <w:rPr>
          <w:rFonts w:ascii="宋体" w:hAnsi="宋体" w:cs="宋体"/>
          <w:sz w:val="24"/>
        </w:rPr>
      </w:pPr>
      <w:r>
        <w:rPr>
          <w:rFonts w:hint="eastAsia" w:ascii="宋体" w:hAnsi="宋体" w:cs="宋体"/>
          <w:sz w:val="24"/>
        </w:rPr>
        <w:t>2). FUSION 融合基因检测；</w:t>
      </w:r>
    </w:p>
    <w:p>
      <w:pPr>
        <w:spacing w:after="156" w:line="360" w:lineRule="auto"/>
        <w:rPr>
          <w:rFonts w:ascii="宋体" w:hAnsi="宋体" w:cs="宋体"/>
          <w:sz w:val="24"/>
        </w:rPr>
      </w:pPr>
      <w:r>
        <w:rPr>
          <w:rFonts w:hint="eastAsia" w:ascii="宋体" w:hAnsi="宋体" w:cs="宋体"/>
          <w:sz w:val="24"/>
        </w:rPr>
        <w:t>3). CNV 基因拷贝数变异分析；</w:t>
      </w:r>
    </w:p>
    <w:p>
      <w:pPr>
        <w:spacing w:after="156" w:line="360" w:lineRule="auto"/>
        <w:rPr>
          <w:rFonts w:ascii="宋体" w:hAnsi="宋体" w:cs="宋体"/>
          <w:sz w:val="24"/>
        </w:rPr>
      </w:pPr>
      <w:r>
        <w:rPr>
          <w:rFonts w:hint="eastAsia" w:ascii="宋体" w:hAnsi="宋体" w:cs="宋体"/>
          <w:sz w:val="24"/>
        </w:rPr>
        <w:t>4). 超高灵敏度体细胞突变精确分析；</w:t>
      </w:r>
    </w:p>
    <w:p>
      <w:pPr>
        <w:spacing w:after="156" w:line="360" w:lineRule="auto"/>
        <w:rPr>
          <w:rFonts w:ascii="宋体" w:hAnsi="宋体" w:cs="宋体"/>
          <w:sz w:val="24"/>
        </w:rPr>
      </w:pPr>
      <w:r>
        <w:rPr>
          <w:rFonts w:hint="eastAsia" w:ascii="宋体" w:hAnsi="宋体" w:cs="宋体"/>
          <w:sz w:val="24"/>
        </w:rPr>
        <w:t>5). RNA表达定量分析。</w:t>
      </w:r>
    </w:p>
    <w:p>
      <w:pPr>
        <w:spacing w:line="360" w:lineRule="auto"/>
        <w:jc w:val="left"/>
        <w:rPr>
          <w:rFonts w:ascii="宋体" w:hAnsi="宋体" w:cs="宋体"/>
          <w:b/>
          <w:bCs/>
          <w:sz w:val="24"/>
        </w:rPr>
      </w:pPr>
      <w:r>
        <w:rPr>
          <w:rFonts w:hint="eastAsia" w:ascii="宋体" w:hAnsi="宋体" w:cs="宋体"/>
          <w:b/>
          <w:bCs/>
          <w:sz w:val="24"/>
        </w:rPr>
        <w:t>2、系统概述：</w:t>
      </w:r>
    </w:p>
    <w:p>
      <w:pPr>
        <w:spacing w:line="360" w:lineRule="auto"/>
        <w:rPr>
          <w:rFonts w:ascii="宋体" w:hAnsi="宋体" w:cs="宋体"/>
          <w:sz w:val="24"/>
        </w:rPr>
      </w:pPr>
      <w:r>
        <w:rPr>
          <w:rFonts w:hint="eastAsia" w:ascii="宋体" w:hAnsi="宋体" w:cs="宋体"/>
          <w:sz w:val="24"/>
        </w:rPr>
        <w:t xml:space="preserve">    配备基因分型分析软件。配合不同试剂，可完成单核苷酸多态性 (SNP)、体细胞突变、碱基插入/缺失、拷贝数变异、基因融合等多种应用；可检测三等位基因或四等位基因SNP。可兼容全血、口腔拭子、石蜡包埋切片、细针穿刺活检样本(FNA)、循环游离DNA(cfDNA)、循环肿瘤细胞(CTC)等多种样本；提供免费的在线及离线设计软件，智能化自动设计基因分型；提供定制服务，包括全套设计、优化、引物合成及后续技术支持。</w:t>
      </w:r>
    </w:p>
    <w:p>
      <w:pPr>
        <w:spacing w:line="360" w:lineRule="auto"/>
        <w:rPr>
          <w:rFonts w:ascii="宋体" w:hAnsi="宋体" w:cs="宋体"/>
          <w:b/>
          <w:bCs/>
          <w:sz w:val="24"/>
        </w:rPr>
      </w:pPr>
      <w:r>
        <w:rPr>
          <w:rFonts w:hint="eastAsia" w:ascii="宋体" w:hAnsi="宋体" w:cs="宋体"/>
          <w:b/>
          <w:bCs/>
          <w:sz w:val="24"/>
        </w:rPr>
        <w:t>3、技术参数</w:t>
      </w:r>
    </w:p>
    <w:p>
      <w:pPr>
        <w:spacing w:line="360" w:lineRule="auto"/>
        <w:rPr>
          <w:rFonts w:ascii="宋体" w:hAnsi="宋体" w:cs="宋体"/>
          <w:sz w:val="24"/>
        </w:rPr>
      </w:pPr>
      <w:r>
        <w:rPr>
          <w:rFonts w:hint="eastAsia" w:ascii="宋体" w:hAnsi="宋体" w:cs="宋体"/>
          <w:sz w:val="24"/>
        </w:rPr>
        <w:t>3．1飞行时间核酸质谱检测模块：</w:t>
      </w:r>
    </w:p>
    <w:p>
      <w:pPr>
        <w:spacing w:line="360" w:lineRule="auto"/>
        <w:rPr>
          <w:rFonts w:ascii="宋体" w:hAnsi="宋体" w:cs="宋体"/>
          <w:sz w:val="24"/>
        </w:rPr>
      </w:pPr>
      <w:r>
        <w:rPr>
          <w:rFonts w:hint="eastAsia" w:ascii="宋体" w:hAnsi="宋体" w:cs="宋体"/>
          <w:sz w:val="24"/>
        </w:rPr>
        <w:t>3.1.1适用范围：适用与所有生命体来源的（血液，体液，组织）核苷酸相关的临床检测（医疗器械注册证范围）；</w:t>
      </w:r>
    </w:p>
    <w:p>
      <w:pPr>
        <w:spacing w:line="360" w:lineRule="auto"/>
        <w:rPr>
          <w:rFonts w:ascii="宋体" w:hAnsi="宋体" w:cs="宋体"/>
          <w:sz w:val="24"/>
        </w:rPr>
      </w:pPr>
      <w:r>
        <w:rPr>
          <w:rFonts w:hint="eastAsia" w:ascii="宋体" w:hAnsi="宋体" w:cs="宋体"/>
          <w:sz w:val="24"/>
        </w:rPr>
        <w:t>3.3.2单次采集速度：384 个样本≤90 分钟；</w:t>
      </w:r>
    </w:p>
    <w:p>
      <w:pPr>
        <w:spacing w:line="360" w:lineRule="auto"/>
        <w:rPr>
          <w:rFonts w:ascii="宋体" w:hAnsi="宋体" w:cs="宋体"/>
          <w:sz w:val="24"/>
        </w:rPr>
      </w:pPr>
      <w:r>
        <w:rPr>
          <w:rFonts w:hint="eastAsia" w:ascii="宋体" w:hAnsi="宋体" w:cs="宋体"/>
          <w:sz w:val="24"/>
        </w:rPr>
        <w:t>3.3.3检测通量：一天处理样本可达3000个；</w:t>
      </w:r>
    </w:p>
    <w:p>
      <w:pPr>
        <w:spacing w:line="360" w:lineRule="auto"/>
        <w:rPr>
          <w:rFonts w:ascii="宋体" w:hAnsi="宋体" w:cs="宋体"/>
          <w:sz w:val="24"/>
        </w:rPr>
      </w:pPr>
      <w:r>
        <w:rPr>
          <w:rFonts w:hint="eastAsia" w:ascii="宋体" w:hAnsi="宋体" w:cs="宋体"/>
          <w:sz w:val="24"/>
        </w:rPr>
        <w:t>3.1.4通过检测碱基质量的差别（最小能分辨15Dal）对基因进行直接的分析分型，不依靠数据库比对；</w:t>
      </w:r>
    </w:p>
    <w:p>
      <w:pPr>
        <w:spacing w:line="360" w:lineRule="auto"/>
        <w:rPr>
          <w:rFonts w:ascii="宋体" w:hAnsi="宋体" w:cs="宋体"/>
          <w:sz w:val="24"/>
        </w:rPr>
      </w:pPr>
      <w:r>
        <w:rPr>
          <w:rFonts w:hint="eastAsia" w:ascii="宋体" w:hAnsi="宋体" w:cs="宋体"/>
          <w:sz w:val="24"/>
        </w:rPr>
        <w:t>3.1.5 单次样本处理能力：最高可达384样本；</w:t>
      </w:r>
    </w:p>
    <w:p>
      <w:pPr>
        <w:spacing w:line="360" w:lineRule="auto"/>
        <w:rPr>
          <w:rFonts w:ascii="宋体" w:hAnsi="宋体" w:cs="宋体"/>
          <w:sz w:val="24"/>
        </w:rPr>
      </w:pPr>
      <w:r>
        <w:rPr>
          <w:rFonts w:hint="eastAsia" w:ascii="宋体" w:hAnsi="宋体" w:cs="宋体"/>
          <w:sz w:val="24"/>
        </w:rPr>
        <w:t>3.1.6激光器: 氮分子激光器，重复频率 30 Hz，波长 337nm；</w:t>
      </w:r>
    </w:p>
    <w:p>
      <w:pPr>
        <w:spacing w:line="360" w:lineRule="auto"/>
        <w:rPr>
          <w:rFonts w:ascii="宋体" w:hAnsi="宋体" w:cs="宋体"/>
          <w:sz w:val="24"/>
        </w:rPr>
      </w:pPr>
      <w:r>
        <w:rPr>
          <w:rFonts w:hint="eastAsia" w:ascii="宋体" w:hAnsi="宋体" w:cs="宋体"/>
          <w:sz w:val="24"/>
        </w:rPr>
        <w:t>3.1.7飞行距离: ≥800 毫米；</w:t>
      </w:r>
    </w:p>
    <w:p>
      <w:pPr>
        <w:spacing w:line="360" w:lineRule="auto"/>
        <w:rPr>
          <w:rFonts w:ascii="宋体" w:hAnsi="宋体" w:cs="宋体"/>
          <w:sz w:val="24"/>
        </w:rPr>
      </w:pPr>
      <w:r>
        <w:rPr>
          <w:rFonts w:hint="eastAsia" w:ascii="宋体" w:hAnsi="宋体" w:cs="宋体"/>
          <w:sz w:val="24"/>
        </w:rPr>
        <w:t>3.1.8样本要求：可兼容全血、口腔拭子、石蜡包埋切片、细针穿刺活检样本(FNA)、循环游离DNA(cfDNA)、循环肿瘤细胞(CTC)等多种样本；</w:t>
      </w:r>
    </w:p>
    <w:p>
      <w:pPr>
        <w:spacing w:line="360" w:lineRule="auto"/>
        <w:rPr>
          <w:rFonts w:ascii="宋体" w:hAnsi="宋体" w:cs="宋体"/>
          <w:sz w:val="24"/>
        </w:rPr>
      </w:pPr>
      <w:r>
        <w:rPr>
          <w:rFonts w:hint="eastAsia" w:ascii="宋体" w:hAnsi="宋体" w:cs="宋体"/>
          <w:sz w:val="24"/>
        </w:rPr>
        <w:t>3.1.9软件：全自动实时数据获取和分析，直接提供生物学结果，即 SNP 位点的核酸组成，如纯合子（AA 或 CC）或杂合子（AC），定量基因表达分析。可提供核酸检测试剂盒检测报告至少10种；</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3.2微量分液模块：</w:t>
      </w:r>
    </w:p>
    <w:p>
      <w:pPr>
        <w:spacing w:line="360" w:lineRule="auto"/>
        <w:rPr>
          <w:rFonts w:ascii="宋体" w:hAnsi="宋体" w:cs="宋体"/>
          <w:sz w:val="24"/>
        </w:rPr>
      </w:pPr>
      <w:r>
        <w:rPr>
          <w:rFonts w:hint="eastAsia" w:ascii="宋体" w:hAnsi="宋体" w:cs="宋体"/>
          <w:sz w:val="24"/>
        </w:rPr>
        <w:t>3.2.1快速将样品转移到微阵列芯片上；</w:t>
      </w:r>
    </w:p>
    <w:p>
      <w:pPr>
        <w:spacing w:line="360" w:lineRule="auto"/>
        <w:rPr>
          <w:rFonts w:ascii="宋体" w:hAnsi="宋体" w:cs="宋体"/>
          <w:sz w:val="24"/>
        </w:rPr>
      </w:pPr>
      <w:r>
        <w:rPr>
          <w:rFonts w:hint="eastAsia" w:ascii="宋体" w:hAnsi="宋体" w:cs="宋体"/>
          <w:sz w:val="24"/>
        </w:rPr>
        <w:t>3.2.2可同时放置微阵列芯片和孔微板；</w:t>
      </w:r>
    </w:p>
    <w:p>
      <w:pPr>
        <w:spacing w:line="360" w:lineRule="auto"/>
        <w:rPr>
          <w:rFonts w:ascii="宋体" w:hAnsi="宋体" w:cs="宋体"/>
          <w:sz w:val="24"/>
        </w:rPr>
      </w:pPr>
      <w:r>
        <w:rPr>
          <w:rFonts w:hint="eastAsia" w:ascii="宋体" w:hAnsi="宋体" w:cs="宋体"/>
          <w:sz w:val="24"/>
        </w:rPr>
        <w:t>3.2.3具备24针点样功能；</w:t>
      </w:r>
    </w:p>
    <w:p>
      <w:pPr>
        <w:spacing w:line="360" w:lineRule="auto"/>
        <w:rPr>
          <w:rFonts w:ascii="宋体" w:hAnsi="宋体" w:cs="宋体"/>
          <w:sz w:val="24"/>
        </w:rPr>
      </w:pPr>
      <w:r>
        <w:rPr>
          <w:rFonts w:hint="eastAsia" w:ascii="宋体" w:hAnsi="宋体" w:cs="宋体"/>
          <w:sz w:val="24"/>
        </w:rPr>
        <w:t>3.2.4纳升级分液体积；</w:t>
      </w:r>
    </w:p>
    <w:p>
      <w:pPr>
        <w:spacing w:line="360" w:lineRule="auto"/>
        <w:rPr>
          <w:rFonts w:ascii="宋体" w:hAnsi="宋体" w:cs="宋体"/>
          <w:sz w:val="24"/>
        </w:rPr>
      </w:pPr>
      <w:r>
        <w:rPr>
          <w:rFonts w:hint="eastAsia" w:ascii="宋体" w:hAnsi="宋体" w:cs="宋体"/>
          <w:sz w:val="24"/>
        </w:rPr>
        <w:t>3.2.5 内置计算机控制机械手，将纳升级液体从 PCR 样品板，转移到相应的微阵列芯片上，供检测仪阅</w:t>
      </w:r>
    </w:p>
    <w:p>
      <w:pPr>
        <w:spacing w:line="360" w:lineRule="auto"/>
        <w:rPr>
          <w:rFonts w:ascii="宋体" w:hAnsi="宋体" w:cs="宋体"/>
          <w:sz w:val="24"/>
        </w:rPr>
      </w:pPr>
      <w:r>
        <w:rPr>
          <w:rFonts w:hint="eastAsia" w:ascii="宋体" w:hAnsi="宋体" w:cs="宋体"/>
          <w:sz w:val="24"/>
        </w:rPr>
        <w:t>3.3软件系统及其功能：</w:t>
      </w:r>
    </w:p>
    <w:p>
      <w:pPr>
        <w:spacing w:line="360" w:lineRule="auto"/>
        <w:rPr>
          <w:rFonts w:ascii="宋体" w:hAnsi="宋体" w:cs="宋体"/>
          <w:sz w:val="24"/>
        </w:rPr>
      </w:pPr>
      <w:r>
        <w:rPr>
          <w:rFonts w:hint="eastAsia" w:ascii="宋体" w:hAnsi="宋体" w:cs="宋体"/>
          <w:sz w:val="24"/>
        </w:rPr>
        <w:t>3.3.1 SNP 基因型分析系统</w:t>
      </w:r>
    </w:p>
    <w:p>
      <w:pPr>
        <w:spacing w:line="360" w:lineRule="auto"/>
        <w:rPr>
          <w:rFonts w:ascii="宋体" w:hAnsi="宋体" w:cs="宋体"/>
          <w:sz w:val="24"/>
        </w:rPr>
      </w:pPr>
      <w:r>
        <w:rPr>
          <w:rFonts w:hint="eastAsia" w:ascii="宋体" w:hAnsi="宋体" w:cs="宋体"/>
          <w:sz w:val="24"/>
        </w:rPr>
        <w:t>3.3.2 多重引物设计软件：提供基因型检测和体细胞突变检测设计的专业软件及网络版软件；</w:t>
      </w:r>
    </w:p>
    <w:p>
      <w:pPr>
        <w:spacing w:line="360" w:lineRule="auto"/>
        <w:rPr>
          <w:rFonts w:ascii="宋体" w:hAnsi="宋体" w:cs="宋体"/>
          <w:sz w:val="24"/>
        </w:rPr>
      </w:pPr>
      <w:r>
        <w:rPr>
          <w:rFonts w:hint="eastAsia" w:ascii="宋体" w:hAnsi="宋体" w:cs="宋体"/>
          <w:sz w:val="24"/>
        </w:rPr>
        <w:t>3.3.3 有效性：可以对≥95%的已知 SNP 和 INDEL 进行实验设计；</w:t>
      </w:r>
    </w:p>
    <w:p>
      <w:pPr>
        <w:spacing w:line="360" w:lineRule="auto"/>
        <w:rPr>
          <w:rFonts w:ascii="宋体" w:hAnsi="宋体" w:cs="宋体"/>
          <w:sz w:val="24"/>
        </w:rPr>
      </w:pPr>
      <w:r>
        <w:rPr>
          <w:rFonts w:hint="eastAsia" w:ascii="宋体" w:hAnsi="宋体" w:cs="宋体"/>
          <w:sz w:val="24"/>
        </w:rPr>
        <w:t>3.3.4灵敏度：常规试剂检测≥5%低频率体细胞突变，专用试剂检测&lt;1%低频率体细胞突变；</w:t>
      </w:r>
    </w:p>
    <w:p>
      <w:pPr>
        <w:spacing w:line="360" w:lineRule="auto"/>
        <w:rPr>
          <w:rFonts w:ascii="宋体" w:hAnsi="宋体" w:cs="宋体"/>
          <w:sz w:val="24"/>
        </w:rPr>
      </w:pPr>
      <w:r>
        <w:rPr>
          <w:rFonts w:hint="eastAsia" w:ascii="宋体" w:hAnsi="宋体" w:cs="宋体"/>
          <w:sz w:val="24"/>
        </w:rPr>
        <w:t xml:space="preserve">3.3.5样品要求：可检测降解到 80 bp 的 DNA； </w:t>
      </w:r>
    </w:p>
    <w:p>
      <w:pPr>
        <w:spacing w:line="360" w:lineRule="auto"/>
        <w:rPr>
          <w:rFonts w:ascii="宋体" w:hAnsi="宋体" w:cs="宋体"/>
          <w:sz w:val="24"/>
        </w:rPr>
      </w:pPr>
      <w:r>
        <w:rPr>
          <w:rFonts w:hint="eastAsia" w:ascii="宋体" w:hAnsi="宋体" w:cs="宋体"/>
          <w:sz w:val="24"/>
        </w:rPr>
        <w:t>3.3.6 CNV 分析：可以进行基因拷贝数变异分析；</w:t>
      </w:r>
    </w:p>
    <w:p>
      <w:pPr>
        <w:spacing w:line="360" w:lineRule="auto"/>
        <w:rPr>
          <w:rFonts w:ascii="宋体" w:hAnsi="宋体" w:cs="宋体"/>
          <w:sz w:val="24"/>
        </w:rPr>
      </w:pPr>
      <w:r>
        <w:rPr>
          <w:rFonts w:hint="eastAsia" w:ascii="宋体" w:hAnsi="宋体" w:cs="宋体"/>
          <w:sz w:val="24"/>
        </w:rPr>
        <w:t>3.3.7 等位基因：可以检出纯合子、杂合子及 3-4 等位 SNPs；</w:t>
      </w:r>
    </w:p>
    <w:p>
      <w:pPr>
        <w:spacing w:line="360" w:lineRule="auto"/>
        <w:rPr>
          <w:rFonts w:ascii="宋体" w:hAnsi="宋体" w:cs="宋体"/>
          <w:sz w:val="24"/>
        </w:rPr>
      </w:pPr>
      <w:r>
        <w:rPr>
          <w:rFonts w:hint="eastAsia" w:ascii="宋体" w:hAnsi="宋体" w:cs="宋体"/>
          <w:sz w:val="24"/>
        </w:rPr>
        <w:t>3.3.8 质控分析: 对 100-500bp 长度 DNA 待测序样本进行拷贝数质控检测；</w:t>
      </w:r>
    </w:p>
    <w:p>
      <w:pPr>
        <w:spacing w:line="360" w:lineRule="auto"/>
        <w:rPr>
          <w:rFonts w:ascii="宋体" w:hAnsi="宋体" w:cs="宋体"/>
          <w:color w:val="auto"/>
          <w:sz w:val="24"/>
        </w:rPr>
      </w:pPr>
      <w:r>
        <w:rPr>
          <w:rFonts w:hint="eastAsia" w:ascii="宋体" w:hAnsi="宋体" w:cs="宋体"/>
          <w:color w:val="auto"/>
          <w:sz w:val="24"/>
        </w:rPr>
        <w:t>3.3.9检测通量：常规试剂 1-40个基因型/每个反应；一天检测≥100,000 个基因型。</w:t>
      </w:r>
    </w:p>
    <w:p>
      <w:pPr>
        <w:spacing w:line="360" w:lineRule="auto"/>
        <w:rPr>
          <w:rFonts w:ascii="宋体" w:hAnsi="宋体" w:cs="宋体"/>
          <w:color w:val="auto"/>
          <w:sz w:val="24"/>
        </w:rPr>
      </w:pPr>
      <w:r>
        <w:rPr>
          <w:rFonts w:hint="eastAsia" w:ascii="宋体" w:hAnsi="宋体" w:cs="宋体"/>
          <w:b/>
          <w:bCs/>
          <w:color w:val="auto"/>
          <w:sz w:val="24"/>
        </w:rPr>
        <w:t>4、</w:t>
      </w:r>
      <w:r>
        <w:rPr>
          <w:rFonts w:hint="eastAsia" w:ascii="宋体" w:hAnsi="宋体" w:cs="宋体"/>
          <w:b/>
          <w:bCs/>
          <w:color w:val="auto"/>
          <w:kern w:val="0"/>
          <w:sz w:val="24"/>
        </w:rPr>
        <w:t>具备药物基因组学分析软件</w:t>
      </w:r>
    </w:p>
    <w:p>
      <w:pPr>
        <w:pStyle w:val="423"/>
        <w:spacing w:line="360" w:lineRule="auto"/>
        <w:rPr>
          <w:rFonts w:ascii="宋体" w:hAnsi="宋体" w:eastAsia="宋体" w:cs="宋体"/>
          <w:b/>
          <w:bCs/>
          <w:color w:val="auto"/>
          <w:szCs w:val="24"/>
        </w:rPr>
      </w:pPr>
      <w:r>
        <w:rPr>
          <w:rFonts w:hint="eastAsia" w:ascii="宋体" w:hAnsi="宋体" w:eastAsia="宋体" w:cs="宋体"/>
          <w:b/>
          <w:bCs/>
          <w:color w:val="auto"/>
          <w:szCs w:val="24"/>
        </w:rPr>
        <w:t>5、其它：</w:t>
      </w:r>
    </w:p>
    <w:p>
      <w:pPr>
        <w:spacing w:line="360" w:lineRule="auto"/>
        <w:rPr>
          <w:rFonts w:ascii="宋体" w:hAnsi="宋体" w:cs="宋体"/>
          <w:kern w:val="0"/>
          <w:sz w:val="24"/>
        </w:rPr>
      </w:pPr>
      <w:r>
        <w:rPr>
          <w:rFonts w:hint="eastAsia" w:ascii="宋体" w:hAnsi="宋体" w:cs="宋体"/>
          <w:kern w:val="0"/>
          <w:sz w:val="24"/>
        </w:rPr>
        <w:t>5.1.配置</w:t>
      </w:r>
      <w:r>
        <w:rPr>
          <w:rFonts w:hint="eastAsia" w:ascii="宋体" w:hAnsi="宋体" w:cs="宋体"/>
          <w:sz w:val="24"/>
        </w:rPr>
        <w:t>满足整套设备稳定供电的相关设施；</w:t>
      </w:r>
    </w:p>
    <w:p>
      <w:pPr>
        <w:spacing w:line="360" w:lineRule="auto"/>
        <w:rPr>
          <w:rFonts w:ascii="宋体" w:hAnsi="宋体" w:cs="宋体"/>
          <w:sz w:val="24"/>
        </w:rPr>
      </w:pPr>
      <w:r>
        <w:rPr>
          <w:rFonts w:hint="eastAsia" w:ascii="宋体" w:hAnsi="宋体" w:cs="宋体"/>
          <w:kern w:val="0"/>
          <w:sz w:val="24"/>
        </w:rPr>
        <w:t>5.2.</w:t>
      </w:r>
      <w:r>
        <w:rPr>
          <w:rFonts w:hint="eastAsia" w:ascii="宋体" w:hAnsi="宋体" w:cs="宋体"/>
          <w:sz w:val="24"/>
        </w:rPr>
        <w:t>配置供整套仪器操作及连接LIS所需相关设备；</w:t>
      </w:r>
    </w:p>
    <w:p>
      <w:pPr>
        <w:spacing w:line="360" w:lineRule="auto"/>
        <w:rPr>
          <w:rFonts w:ascii="宋体" w:hAnsi="宋体" w:cs="宋体"/>
          <w:kern w:val="0"/>
          <w:sz w:val="24"/>
        </w:rPr>
      </w:pPr>
      <w:r>
        <w:rPr>
          <w:rFonts w:hint="eastAsia" w:ascii="宋体" w:hAnsi="宋体" w:cs="宋体"/>
          <w:sz w:val="24"/>
        </w:rPr>
        <w:t>5.3所有电脑需要使用正版的windows专业版操作系统。</w:t>
      </w:r>
    </w:p>
    <w:p>
      <w:pPr>
        <w:widowControl/>
        <w:spacing w:line="360" w:lineRule="auto"/>
        <w:jc w:val="left"/>
        <w:rPr>
          <w:rFonts w:ascii="宋体" w:hAnsi="宋体" w:cs="宋体"/>
          <w:sz w:val="24"/>
        </w:rPr>
      </w:pPr>
      <w:r>
        <w:rPr>
          <w:rFonts w:hint="eastAsia" w:ascii="宋体" w:hAnsi="宋体" w:cs="宋体"/>
          <w:sz w:val="24"/>
        </w:rPr>
        <w:br w:type="page"/>
      </w:r>
    </w:p>
    <w:p>
      <w:pPr>
        <w:pStyle w:val="6"/>
        <w:jc w:val="center"/>
      </w:pPr>
      <w:bookmarkStart w:id="222" w:name="_Toc97553801"/>
      <w:r>
        <w:rPr>
          <w:rFonts w:hint="eastAsia"/>
        </w:rPr>
        <w:t>生物分析仪（1台）</w:t>
      </w:r>
      <w:bookmarkEnd w:id="222"/>
    </w:p>
    <w:p>
      <w:pPr>
        <w:spacing w:line="360" w:lineRule="auto"/>
        <w:rPr>
          <w:rFonts w:ascii="宋体" w:hAnsi="宋体" w:cs="宋体"/>
          <w:sz w:val="24"/>
        </w:rPr>
      </w:pPr>
      <w:r>
        <w:rPr>
          <w:rFonts w:hint="eastAsia" w:ascii="宋体" w:hAnsi="宋体" w:cs="宋体"/>
          <w:sz w:val="24"/>
        </w:rPr>
        <w:t>1、功能：采用毛细管电泳原理，可应用于DNA、RNA等核酸的电泳分析，能进行全自动的核酸片段大小测定，核酸质控，浓度测定，微卫星分析，蛋白检测等；</w:t>
      </w:r>
    </w:p>
    <w:p>
      <w:pPr>
        <w:spacing w:line="360" w:lineRule="auto"/>
        <w:rPr>
          <w:rFonts w:ascii="宋体" w:hAnsi="宋体" w:cs="宋体"/>
          <w:sz w:val="24"/>
        </w:rPr>
      </w:pPr>
      <w:r>
        <w:rPr>
          <w:rFonts w:hint="eastAsia" w:ascii="宋体" w:hAnsi="宋体" w:cs="宋体"/>
          <w:sz w:val="24"/>
        </w:rPr>
        <w:t>2、光源：LED光源，高灵敏度的光电倍增管检测；</w:t>
      </w:r>
    </w:p>
    <w:p>
      <w:pPr>
        <w:spacing w:line="360" w:lineRule="auto"/>
        <w:rPr>
          <w:rFonts w:ascii="宋体" w:hAnsi="宋体" w:cs="宋体"/>
          <w:sz w:val="24"/>
        </w:rPr>
      </w:pPr>
      <w:r>
        <w:rPr>
          <w:rFonts w:hint="eastAsia" w:ascii="宋体" w:hAnsi="宋体" w:cs="宋体"/>
          <w:sz w:val="24"/>
        </w:rPr>
        <w:t xml:space="preserve">3、自动化程度：采用预装式卡夹，即插即用，无须人工制胶、灌胶、上样，整个过程全部由仪器自动来完成；每轮分析后，仪器自动清洗毛细管，无须人工清洗； </w:t>
      </w:r>
    </w:p>
    <w:p>
      <w:pPr>
        <w:spacing w:line="360" w:lineRule="auto"/>
        <w:rPr>
          <w:rFonts w:ascii="宋体" w:hAnsi="宋体" w:cs="宋体"/>
          <w:sz w:val="24"/>
        </w:rPr>
      </w:pPr>
      <w:r>
        <w:rPr>
          <w:rFonts w:hint="eastAsia" w:ascii="宋体" w:hAnsi="宋体" w:cs="宋体"/>
          <w:sz w:val="24"/>
        </w:rPr>
        <w:t xml:space="preserve">4、上样形式：直接兼容0.2ml离心管、8联管、12联管、96孔微孔板等；可搭配专用微量管，样品管中溶液需求量最低1ul； </w:t>
      </w:r>
    </w:p>
    <w:p>
      <w:pPr>
        <w:spacing w:line="360" w:lineRule="auto"/>
        <w:rPr>
          <w:rFonts w:ascii="宋体" w:hAnsi="宋体" w:cs="宋体"/>
          <w:sz w:val="24"/>
        </w:rPr>
      </w:pPr>
      <w:r>
        <w:rPr>
          <w:rFonts w:hint="eastAsia" w:ascii="宋体" w:hAnsi="宋体" w:cs="宋体"/>
          <w:sz w:val="24"/>
        </w:rPr>
        <w:t>5、可以一次性完成1-100个任意个数样品的检测分析；可单次自动处理单个样本不造成浪费；</w:t>
      </w:r>
    </w:p>
    <w:p>
      <w:pPr>
        <w:spacing w:line="360" w:lineRule="auto"/>
        <w:rPr>
          <w:rFonts w:ascii="宋体" w:hAnsi="宋体" w:cs="宋体"/>
          <w:b/>
          <w:sz w:val="24"/>
        </w:rPr>
      </w:pPr>
      <w:r>
        <w:rPr>
          <w:rFonts w:hint="eastAsia" w:ascii="宋体" w:hAnsi="宋体" w:cs="宋体"/>
          <w:sz w:val="24"/>
        </w:rPr>
        <w:t>6、电泳时间：最快可达1-2分钟/样本；</w:t>
      </w:r>
      <w:r>
        <w:rPr>
          <w:rFonts w:hint="eastAsia" w:ascii="宋体" w:hAnsi="宋体" w:cs="宋体"/>
          <w:b/>
          <w:sz w:val="24"/>
        </w:rPr>
        <w:t xml:space="preserve"> </w:t>
      </w:r>
    </w:p>
    <w:p>
      <w:pPr>
        <w:spacing w:line="360" w:lineRule="auto"/>
        <w:rPr>
          <w:rFonts w:ascii="宋体" w:hAnsi="宋体" w:cs="宋体"/>
          <w:sz w:val="24"/>
        </w:rPr>
      </w:pPr>
      <w:r>
        <w:rPr>
          <w:rFonts w:hint="eastAsia" w:ascii="宋体" w:hAnsi="宋体" w:cs="宋体"/>
          <w:sz w:val="24"/>
        </w:rPr>
        <w:t>7、检测片段范围：15bp-50kb，可检测大于50kb的核酸，最大可达165kb；</w:t>
      </w:r>
    </w:p>
    <w:p>
      <w:pPr>
        <w:spacing w:line="360" w:lineRule="auto"/>
        <w:rPr>
          <w:rFonts w:ascii="宋体" w:hAnsi="宋体" w:cs="宋体"/>
          <w:sz w:val="24"/>
        </w:rPr>
      </w:pPr>
      <w:r>
        <w:rPr>
          <w:rFonts w:hint="eastAsia" w:ascii="宋体" w:hAnsi="宋体" w:cs="宋体"/>
          <w:sz w:val="24"/>
        </w:rPr>
        <w:t>8、灵敏度：无需对样品进行纯化，可以直接对PCR产物原液进行检测。DNA样品的检测灵敏度可达1pg/ul；</w:t>
      </w:r>
    </w:p>
    <w:p>
      <w:pPr>
        <w:spacing w:line="360" w:lineRule="auto"/>
        <w:rPr>
          <w:rFonts w:ascii="宋体" w:hAnsi="宋体" w:cs="宋体"/>
          <w:sz w:val="24"/>
        </w:rPr>
      </w:pPr>
      <w:r>
        <w:rPr>
          <w:rFonts w:hint="eastAsia" w:ascii="宋体" w:hAnsi="宋体" w:cs="宋体"/>
          <w:sz w:val="24"/>
        </w:rPr>
        <w:t>9、样品上样量：小于0.1 ul；</w:t>
      </w:r>
    </w:p>
    <w:p>
      <w:pPr>
        <w:spacing w:line="360" w:lineRule="auto"/>
        <w:rPr>
          <w:rFonts w:ascii="宋体" w:hAnsi="宋体" w:cs="宋体"/>
          <w:sz w:val="24"/>
        </w:rPr>
      </w:pPr>
      <w:r>
        <w:rPr>
          <w:rFonts w:hint="eastAsia" w:ascii="宋体" w:hAnsi="宋体" w:cs="宋体"/>
          <w:sz w:val="24"/>
        </w:rPr>
        <w:t>10、卡夹：提供预制胶卡夹，适用于DNA高分辨率分析、DNA普通产物分析、DNA快速筛查分析、RNA质量控制分析等应用；RNA质控分析时提供RNA完整性得分RQN值，DNA质控可提供DNA完整性指数DQN值；</w:t>
      </w:r>
    </w:p>
    <w:p>
      <w:pPr>
        <w:spacing w:line="360" w:lineRule="auto"/>
        <w:rPr>
          <w:rFonts w:ascii="宋体" w:hAnsi="宋体" w:cs="宋体"/>
          <w:sz w:val="24"/>
        </w:rPr>
      </w:pPr>
      <w:r>
        <w:rPr>
          <w:rFonts w:hint="eastAsia" w:ascii="宋体" w:hAnsi="宋体" w:cs="宋体"/>
          <w:sz w:val="24"/>
        </w:rPr>
        <w:t>11、分辨率：对&lt;500bp的DNA片段，可达1-4bp的分辨率，200bp片段可达1bp的分辨率;</w:t>
      </w:r>
    </w:p>
    <w:p>
      <w:pPr>
        <w:spacing w:line="360" w:lineRule="auto"/>
        <w:rPr>
          <w:rFonts w:ascii="宋体" w:hAnsi="宋体" w:cs="宋体"/>
          <w:sz w:val="24"/>
        </w:rPr>
      </w:pPr>
      <w:r>
        <w:rPr>
          <w:rFonts w:hint="eastAsia" w:ascii="宋体" w:hAnsi="宋体" w:cs="宋体"/>
          <w:sz w:val="24"/>
        </w:rPr>
        <w:t>12、软件功能：软件可以自动输出电泳胶图、峰图、样品浓度、片段大小等一系列数据，并可以以报告形式完整打印输出； PDF， WORD，JPG都可以输出；</w:t>
      </w:r>
    </w:p>
    <w:p>
      <w:pPr>
        <w:spacing w:line="360" w:lineRule="auto"/>
        <w:rPr>
          <w:rFonts w:ascii="宋体" w:hAnsi="宋体" w:cs="宋体"/>
          <w:sz w:val="24"/>
        </w:rPr>
      </w:pPr>
      <w:r>
        <w:rPr>
          <w:rFonts w:hint="eastAsia" w:ascii="宋体" w:hAnsi="宋体" w:cs="宋体"/>
          <w:sz w:val="24"/>
        </w:rPr>
        <w:t>13、无污染：系统中仪器、耗材及检测过程均为全封闭式，避免了核酸染色剂等有害物质与操作人员的接触；</w:t>
      </w:r>
    </w:p>
    <w:p>
      <w:pPr>
        <w:spacing w:line="360" w:lineRule="auto"/>
        <w:rPr>
          <w:rFonts w:ascii="宋体" w:hAnsi="宋体" w:cs="宋体"/>
          <w:sz w:val="24"/>
        </w:rPr>
      </w:pPr>
      <w:r>
        <w:rPr>
          <w:rFonts w:hint="eastAsia" w:ascii="宋体" w:hAnsi="宋体" w:cs="宋体"/>
          <w:sz w:val="24"/>
        </w:rPr>
        <w:t>14、具有通卡夹配件，在仪器外部对卡夹进行通胶，可以对卡夹中毛细管中的胶进行更好的置换，对过期卡夹或者保存不当卡夹进行处理。</w:t>
      </w:r>
    </w:p>
    <w:p>
      <w:pPr>
        <w:spacing w:line="360" w:lineRule="auto"/>
        <w:rPr>
          <w:rFonts w:ascii="宋体" w:hAnsi="宋体" w:cs="宋体"/>
          <w:sz w:val="24"/>
        </w:rPr>
      </w:pPr>
      <w:r>
        <w:rPr>
          <w:rFonts w:hint="eastAsia" w:ascii="宋体" w:hAnsi="宋体" w:cs="宋体"/>
          <w:sz w:val="24"/>
        </w:rPr>
        <w:t>15、采用空气压缩机或其他给压装置，操作方便，小巧便于放置和移动，无需氮气钢瓶，无需后期灌气；</w:t>
      </w:r>
    </w:p>
    <w:p>
      <w:pPr>
        <w:spacing w:line="360" w:lineRule="auto"/>
        <w:rPr>
          <w:rFonts w:ascii="宋体" w:hAnsi="宋体" w:cs="宋体"/>
          <w:sz w:val="24"/>
        </w:rPr>
      </w:pPr>
      <w:r>
        <w:rPr>
          <w:rFonts w:hint="eastAsia" w:ascii="宋体" w:hAnsi="宋体" w:cs="宋体"/>
          <w:sz w:val="24"/>
        </w:rPr>
        <w:t>16、软件终身免费升级，除了一套正版软件外，额外提供5套授权离线版分析软件；</w:t>
      </w:r>
    </w:p>
    <w:p>
      <w:pPr>
        <w:spacing w:line="360" w:lineRule="auto"/>
        <w:rPr>
          <w:rFonts w:ascii="宋体" w:hAnsi="宋体" w:cs="宋体"/>
          <w:sz w:val="24"/>
        </w:rPr>
      </w:pPr>
    </w:p>
    <w:p>
      <w:pPr>
        <w:widowControl/>
        <w:spacing w:line="360" w:lineRule="auto"/>
        <w:jc w:val="left"/>
        <w:rPr>
          <w:rFonts w:ascii="宋体" w:hAnsi="宋体" w:cs="宋体"/>
          <w:sz w:val="24"/>
        </w:rPr>
      </w:pPr>
      <w:r>
        <w:rPr>
          <w:rFonts w:hint="eastAsia" w:ascii="宋体" w:hAnsi="宋体" w:cs="宋体"/>
          <w:sz w:val="24"/>
        </w:rPr>
        <w:br w:type="page"/>
      </w:r>
    </w:p>
    <w:p>
      <w:pPr>
        <w:pStyle w:val="6"/>
        <w:jc w:val="center"/>
      </w:pPr>
      <w:bookmarkStart w:id="223" w:name="_Toc97553802"/>
      <w:r>
        <w:rPr>
          <w:rFonts w:hint="eastAsia"/>
        </w:rPr>
        <w:t>荧光定量PCR 技术参数（1台）</w:t>
      </w:r>
      <w:bookmarkEnd w:id="223"/>
    </w:p>
    <w:p>
      <w:pPr>
        <w:numPr>
          <w:ilvl w:val="0"/>
          <w:numId w:val="10"/>
        </w:numPr>
        <w:spacing w:line="360" w:lineRule="auto"/>
        <w:rPr>
          <w:rFonts w:ascii="宋体" w:hAnsi="宋体" w:cs="宋体"/>
          <w:b/>
          <w:bCs/>
          <w:sz w:val="24"/>
        </w:rPr>
      </w:pPr>
      <w:r>
        <w:rPr>
          <w:rFonts w:hint="eastAsia" w:ascii="宋体" w:hAnsi="宋体" w:cs="宋体"/>
          <w:b/>
          <w:bCs/>
          <w:sz w:val="24"/>
        </w:rPr>
        <w:t>技术指标及配置要求：</w:t>
      </w:r>
    </w:p>
    <w:p>
      <w:pPr>
        <w:numPr>
          <w:ilvl w:val="0"/>
          <w:numId w:val="11"/>
        </w:numPr>
        <w:spacing w:line="360" w:lineRule="auto"/>
        <w:rPr>
          <w:rFonts w:ascii="宋体" w:hAnsi="宋体" w:cs="宋体"/>
          <w:sz w:val="24"/>
        </w:rPr>
      </w:pPr>
      <w:r>
        <w:rPr>
          <w:rFonts w:hint="eastAsia" w:ascii="宋体" w:hAnsi="宋体" w:cs="宋体"/>
          <w:sz w:val="24"/>
        </w:rPr>
        <w:t>包括主机、电脑、软件及试剂，能够完成绝对定量、相对定量、基于 MGB 原理的高成功率 SNP 分析和熔点曲线分析</w:t>
      </w:r>
    </w:p>
    <w:p>
      <w:pPr>
        <w:numPr>
          <w:ilvl w:val="0"/>
          <w:numId w:val="11"/>
        </w:numPr>
        <w:spacing w:line="360" w:lineRule="auto"/>
        <w:rPr>
          <w:rFonts w:ascii="宋体" w:hAnsi="宋体" w:cs="宋体"/>
          <w:sz w:val="24"/>
        </w:rPr>
      </w:pPr>
      <w:r>
        <w:rPr>
          <w:rFonts w:hint="eastAsia" w:ascii="宋体" w:hAnsi="宋体" w:cs="宋体"/>
          <w:sz w:val="24"/>
        </w:rPr>
        <w:t>技术规格</w:t>
      </w:r>
    </w:p>
    <w:p>
      <w:pPr>
        <w:spacing w:line="360" w:lineRule="auto"/>
        <w:ind w:left="420"/>
        <w:rPr>
          <w:rFonts w:ascii="宋体" w:hAnsi="宋体" w:cs="宋体"/>
          <w:sz w:val="24"/>
        </w:rPr>
      </w:pPr>
      <w:r>
        <w:rPr>
          <w:rFonts w:hint="eastAsia" w:ascii="宋体" w:hAnsi="宋体" w:cs="宋体"/>
          <w:sz w:val="24"/>
        </w:rPr>
        <w:t>2.1热循环系统</w:t>
      </w:r>
    </w:p>
    <w:p>
      <w:pPr>
        <w:spacing w:line="360" w:lineRule="auto"/>
        <w:ind w:left="420" w:leftChars="200" w:firstLine="420" w:firstLineChars="175"/>
        <w:rPr>
          <w:rFonts w:ascii="宋体" w:hAnsi="宋体" w:cs="宋体"/>
          <w:sz w:val="24"/>
        </w:rPr>
      </w:pPr>
      <w:r>
        <w:rPr>
          <w:rFonts w:hint="eastAsia" w:ascii="宋体" w:hAnsi="宋体" w:cs="宋体"/>
          <w:sz w:val="24"/>
        </w:rPr>
        <w:t>2.1.1加热冷却方式为半导体</w:t>
      </w:r>
    </w:p>
    <w:p>
      <w:pPr>
        <w:spacing w:line="360" w:lineRule="auto"/>
        <w:ind w:left="420" w:leftChars="200" w:firstLine="420" w:firstLineChars="175"/>
        <w:rPr>
          <w:rFonts w:ascii="宋体" w:hAnsi="宋体" w:cs="宋体"/>
          <w:sz w:val="24"/>
        </w:rPr>
      </w:pPr>
      <w:r>
        <w:rPr>
          <w:rFonts w:hint="eastAsia" w:ascii="宋体" w:hAnsi="宋体" w:cs="宋体"/>
          <w:sz w:val="24"/>
        </w:rPr>
        <w:t>2.1.2 温度范围4℃-99.9℃</w:t>
      </w:r>
    </w:p>
    <w:p>
      <w:pPr>
        <w:spacing w:line="360" w:lineRule="auto"/>
        <w:ind w:left="420"/>
        <w:rPr>
          <w:rFonts w:ascii="宋体" w:hAnsi="宋体" w:cs="宋体"/>
          <w:sz w:val="24"/>
        </w:rPr>
      </w:pPr>
      <w:r>
        <w:rPr>
          <w:rFonts w:hint="eastAsia" w:ascii="宋体" w:hAnsi="宋体" w:cs="宋体"/>
          <w:sz w:val="24"/>
        </w:rPr>
        <w:t>2.2样品系统</w:t>
      </w:r>
    </w:p>
    <w:p>
      <w:pPr>
        <w:spacing w:line="360" w:lineRule="auto"/>
        <w:ind w:left="420" w:leftChars="200" w:firstLine="420" w:firstLineChars="175"/>
        <w:rPr>
          <w:rFonts w:ascii="宋体" w:hAnsi="宋体" w:cs="宋体"/>
          <w:sz w:val="24"/>
        </w:rPr>
      </w:pPr>
      <w:r>
        <w:rPr>
          <w:rFonts w:hint="eastAsia" w:ascii="宋体" w:hAnsi="宋体" w:cs="宋体"/>
          <w:sz w:val="24"/>
        </w:rPr>
        <w:t>2.2.1适用8联管和96孔板，无需适配器或者辅助器，保证实验结果</w:t>
      </w:r>
    </w:p>
    <w:p>
      <w:pPr>
        <w:spacing w:line="360" w:lineRule="auto"/>
        <w:ind w:left="420" w:leftChars="200" w:firstLine="420" w:firstLineChars="175"/>
        <w:rPr>
          <w:rFonts w:ascii="宋体" w:hAnsi="宋体" w:cs="宋体"/>
          <w:sz w:val="24"/>
        </w:rPr>
      </w:pPr>
      <w:r>
        <w:rPr>
          <w:rFonts w:hint="eastAsia" w:ascii="宋体" w:hAnsi="宋体" w:cs="宋体"/>
          <w:sz w:val="24"/>
        </w:rPr>
        <w:t>2.2.2硬件可以升级至快速模式或者升级 HRM 模块</w:t>
      </w:r>
    </w:p>
    <w:p>
      <w:pPr>
        <w:spacing w:line="360" w:lineRule="auto"/>
        <w:ind w:left="420" w:leftChars="200" w:firstLine="420" w:firstLineChars="175"/>
        <w:rPr>
          <w:rFonts w:ascii="宋体" w:hAnsi="宋体" w:cs="宋体"/>
          <w:sz w:val="24"/>
        </w:rPr>
      </w:pPr>
      <w:r>
        <w:rPr>
          <w:rFonts w:hint="eastAsia" w:ascii="宋体" w:hAnsi="宋体" w:cs="宋体"/>
          <w:sz w:val="24"/>
        </w:rPr>
        <w:t>2.2.3机械设计应使样品无需移动，反应后可降温至4℃保存</w:t>
      </w:r>
    </w:p>
    <w:p>
      <w:pPr>
        <w:spacing w:line="360" w:lineRule="auto"/>
        <w:ind w:left="420"/>
        <w:rPr>
          <w:rFonts w:ascii="宋体" w:hAnsi="宋体" w:cs="宋体"/>
          <w:sz w:val="24"/>
        </w:rPr>
      </w:pPr>
      <w:r>
        <w:rPr>
          <w:rFonts w:hint="eastAsia" w:ascii="宋体" w:hAnsi="宋体" w:cs="宋体"/>
          <w:sz w:val="24"/>
        </w:rPr>
        <w:t>2.3荧光系统</w:t>
      </w:r>
    </w:p>
    <w:p>
      <w:pPr>
        <w:spacing w:line="360" w:lineRule="auto"/>
        <w:ind w:left="420" w:leftChars="200" w:firstLine="420" w:firstLineChars="175"/>
        <w:rPr>
          <w:rFonts w:ascii="宋体" w:hAnsi="宋体" w:cs="宋体"/>
          <w:sz w:val="24"/>
        </w:rPr>
      </w:pPr>
      <w:r>
        <w:rPr>
          <w:rFonts w:hint="eastAsia" w:ascii="宋体" w:hAnsi="宋体" w:cs="宋体"/>
          <w:sz w:val="24"/>
        </w:rPr>
        <w:t>2.3.1 五色滤光片同时检测5色荧光，实现多重定量、SNPs基因型分型等研究；能同时检测并区分VIC荧光和TAMRA荧光，以用于基因拷贝数(CNV)检测</w:t>
      </w:r>
    </w:p>
    <w:p>
      <w:pPr>
        <w:spacing w:line="360" w:lineRule="auto"/>
        <w:ind w:left="420" w:leftChars="200" w:firstLine="420" w:firstLineChars="175"/>
        <w:rPr>
          <w:rFonts w:ascii="宋体" w:hAnsi="宋体" w:cs="宋体"/>
          <w:sz w:val="24"/>
        </w:rPr>
      </w:pPr>
      <w:r>
        <w:rPr>
          <w:rFonts w:hint="eastAsia" w:ascii="宋体" w:hAnsi="宋体" w:cs="宋体"/>
          <w:sz w:val="24"/>
        </w:rPr>
        <w:t>2.3.2软件支持Rox荧光校正去除移液误差</w:t>
      </w:r>
    </w:p>
    <w:p>
      <w:pPr>
        <w:spacing w:line="360" w:lineRule="auto"/>
        <w:ind w:left="420"/>
        <w:rPr>
          <w:rFonts w:ascii="宋体" w:hAnsi="宋体" w:cs="宋体"/>
          <w:sz w:val="24"/>
        </w:rPr>
      </w:pPr>
      <w:r>
        <w:rPr>
          <w:rFonts w:hint="eastAsia" w:ascii="宋体" w:hAnsi="宋体" w:cs="宋体"/>
          <w:sz w:val="24"/>
        </w:rPr>
        <w:t>2.4光学系统</w:t>
      </w:r>
    </w:p>
    <w:p>
      <w:pPr>
        <w:spacing w:line="360" w:lineRule="auto"/>
        <w:ind w:left="420" w:leftChars="200" w:firstLine="420" w:firstLineChars="175"/>
        <w:rPr>
          <w:rFonts w:ascii="宋体" w:hAnsi="宋体" w:cs="宋体"/>
          <w:sz w:val="24"/>
        </w:rPr>
      </w:pPr>
      <w:r>
        <w:rPr>
          <w:rFonts w:hint="eastAsia" w:ascii="宋体" w:hAnsi="宋体" w:cs="宋体"/>
          <w:sz w:val="24"/>
        </w:rPr>
        <w:t>2.4.1激发光源为卤钨灯，配备时间监测及自我诊断程序，滤光系统为五色光源滤光片结合荧光滤光片</w:t>
      </w:r>
    </w:p>
    <w:p>
      <w:pPr>
        <w:spacing w:line="360" w:lineRule="auto"/>
        <w:ind w:left="420" w:leftChars="200" w:firstLine="420" w:firstLineChars="175"/>
        <w:rPr>
          <w:rFonts w:ascii="宋体" w:hAnsi="宋体" w:cs="宋体"/>
          <w:sz w:val="24"/>
        </w:rPr>
      </w:pPr>
      <w:r>
        <w:rPr>
          <w:rFonts w:hint="eastAsia" w:ascii="宋体" w:hAnsi="宋体" w:cs="宋体"/>
          <w:sz w:val="24"/>
        </w:rPr>
        <w:t>2.4.2检测系统为CCD摄像机成像，实时动态检测，动态显示，可同时检测5种荧光染料</w:t>
      </w:r>
    </w:p>
    <w:p>
      <w:pPr>
        <w:spacing w:line="360" w:lineRule="auto"/>
        <w:ind w:left="420"/>
        <w:rPr>
          <w:rFonts w:ascii="宋体" w:hAnsi="宋体" w:cs="宋体"/>
          <w:sz w:val="24"/>
        </w:rPr>
      </w:pPr>
      <w:r>
        <w:rPr>
          <w:rFonts w:hint="eastAsia" w:ascii="宋体" w:hAnsi="宋体" w:cs="宋体"/>
          <w:sz w:val="24"/>
        </w:rPr>
        <w:t>2.5检测性能：能检测到≤10个拷贝数的模板，置信度99.7%，线形范围在10</w:t>
      </w:r>
      <w:r>
        <w:rPr>
          <w:rFonts w:hint="eastAsia" w:ascii="宋体" w:hAnsi="宋体" w:cs="宋体"/>
          <w:sz w:val="24"/>
          <w:vertAlign w:val="superscript"/>
        </w:rPr>
        <w:t>9</w:t>
      </w:r>
      <w:r>
        <w:rPr>
          <w:rFonts w:hint="eastAsia" w:ascii="宋体" w:hAnsi="宋体" w:cs="宋体"/>
          <w:sz w:val="24"/>
        </w:rPr>
        <w:t>以上</w:t>
      </w:r>
    </w:p>
    <w:p>
      <w:pPr>
        <w:spacing w:line="360" w:lineRule="auto"/>
        <w:ind w:left="420"/>
        <w:rPr>
          <w:rFonts w:ascii="宋体" w:hAnsi="宋体" w:cs="宋体"/>
          <w:sz w:val="24"/>
        </w:rPr>
      </w:pPr>
      <w:r>
        <w:rPr>
          <w:rFonts w:hint="eastAsia" w:ascii="宋体" w:hAnsi="宋体" w:cs="宋体"/>
          <w:sz w:val="24"/>
        </w:rPr>
        <w:t>2.6分析功能</w:t>
      </w:r>
    </w:p>
    <w:p>
      <w:pPr>
        <w:spacing w:line="360" w:lineRule="auto"/>
        <w:ind w:left="420" w:leftChars="200" w:firstLine="420" w:firstLineChars="175"/>
        <w:rPr>
          <w:rFonts w:ascii="宋体" w:hAnsi="宋体" w:cs="宋体"/>
          <w:sz w:val="24"/>
        </w:rPr>
      </w:pPr>
      <w:r>
        <w:rPr>
          <w:rFonts w:hint="eastAsia" w:ascii="宋体" w:hAnsi="宋体" w:cs="宋体"/>
          <w:sz w:val="24"/>
        </w:rPr>
        <w:t>2.6.1能进行绝对和相对定量，可同时对无限个数据进行分析、比对和作柱形图</w:t>
      </w:r>
    </w:p>
    <w:p>
      <w:pPr>
        <w:spacing w:line="360" w:lineRule="auto"/>
        <w:ind w:left="420" w:leftChars="200" w:firstLine="420" w:firstLineChars="175"/>
        <w:rPr>
          <w:rFonts w:ascii="宋体" w:hAnsi="宋体" w:cs="宋体"/>
          <w:sz w:val="24"/>
        </w:rPr>
      </w:pPr>
      <w:r>
        <w:rPr>
          <w:rFonts w:hint="eastAsia" w:ascii="宋体" w:hAnsi="宋体" w:cs="宋体"/>
          <w:sz w:val="24"/>
        </w:rPr>
        <w:t>2.6.2使用多组分算法，用于多色荧光分辨，去除不同荧光之间的干扰</w:t>
      </w:r>
    </w:p>
    <w:p>
      <w:pPr>
        <w:spacing w:line="360" w:lineRule="auto"/>
        <w:ind w:left="218" w:leftChars="104" w:firstLine="19" w:firstLineChars="8"/>
        <w:rPr>
          <w:rFonts w:ascii="宋体" w:hAnsi="宋体" w:cs="宋体"/>
          <w:sz w:val="24"/>
        </w:rPr>
      </w:pPr>
      <w:r>
        <w:rPr>
          <w:rFonts w:hint="eastAsia" w:ascii="宋体" w:hAnsi="宋体" w:cs="宋体"/>
          <w:sz w:val="24"/>
        </w:rPr>
        <w:t>2.7软件系统</w:t>
      </w:r>
    </w:p>
    <w:p>
      <w:pPr>
        <w:spacing w:line="360" w:lineRule="auto"/>
        <w:ind w:left="420" w:leftChars="200" w:firstLine="420" w:firstLineChars="175"/>
        <w:rPr>
          <w:rFonts w:ascii="宋体" w:hAnsi="宋体" w:cs="宋体"/>
          <w:sz w:val="24"/>
        </w:rPr>
      </w:pPr>
      <w:r>
        <w:rPr>
          <w:rFonts w:hint="eastAsia" w:ascii="宋体" w:hAnsi="宋体" w:cs="宋体"/>
          <w:sz w:val="24"/>
        </w:rPr>
        <w:t>2.7.1包括有绝对定量和相对定量软件，并有荧光校正软件</w:t>
      </w:r>
    </w:p>
    <w:p>
      <w:pPr>
        <w:spacing w:line="360" w:lineRule="auto"/>
        <w:ind w:left="420" w:leftChars="200" w:firstLine="420" w:firstLineChars="175"/>
        <w:rPr>
          <w:rFonts w:ascii="宋体" w:hAnsi="宋体" w:cs="宋体"/>
          <w:sz w:val="24"/>
        </w:rPr>
      </w:pPr>
      <w:r>
        <w:rPr>
          <w:rFonts w:hint="eastAsia" w:ascii="宋体" w:hAnsi="宋体" w:cs="宋体"/>
          <w:sz w:val="24"/>
        </w:rPr>
        <w:t>2.7.2有正版primer express引物探针软件，可用于PCR引物，巢式PCR，多重PCR引物，RT-PCR引物的设计和自动测试</w:t>
      </w:r>
    </w:p>
    <w:p>
      <w:pPr>
        <w:spacing w:line="360" w:lineRule="auto"/>
        <w:ind w:left="218" w:leftChars="104" w:firstLine="19" w:firstLineChars="8"/>
        <w:rPr>
          <w:rFonts w:ascii="宋体" w:hAnsi="宋体" w:cs="宋体"/>
          <w:sz w:val="24"/>
        </w:rPr>
      </w:pPr>
      <w:r>
        <w:rPr>
          <w:rFonts w:hint="eastAsia" w:ascii="宋体" w:hAnsi="宋体" w:cs="宋体"/>
          <w:sz w:val="24"/>
        </w:rPr>
        <w:t>2.8试剂盒</w:t>
      </w:r>
    </w:p>
    <w:p>
      <w:pPr>
        <w:spacing w:line="360" w:lineRule="auto"/>
        <w:ind w:left="420" w:leftChars="200" w:firstLine="420" w:firstLineChars="175"/>
        <w:rPr>
          <w:rFonts w:ascii="宋体" w:hAnsi="宋体" w:cs="宋体"/>
          <w:sz w:val="24"/>
        </w:rPr>
      </w:pPr>
      <w:r>
        <w:rPr>
          <w:rFonts w:hint="eastAsia" w:ascii="宋体" w:hAnsi="宋体" w:cs="宋体"/>
          <w:sz w:val="24"/>
        </w:rPr>
        <w:t>2.8.1 可提供原厂生产的基于taqman MGB技术检测microRNA的试剂盒</w:t>
      </w:r>
    </w:p>
    <w:p>
      <w:pPr>
        <w:spacing w:line="360" w:lineRule="auto"/>
        <w:ind w:left="420" w:leftChars="200" w:firstLine="420" w:firstLineChars="175"/>
        <w:rPr>
          <w:rFonts w:ascii="宋体" w:hAnsi="宋体" w:cs="宋体"/>
          <w:sz w:val="24"/>
        </w:rPr>
      </w:pPr>
      <w:r>
        <w:rPr>
          <w:rFonts w:hint="eastAsia" w:ascii="宋体" w:hAnsi="宋体" w:cs="宋体"/>
          <w:sz w:val="24"/>
        </w:rPr>
        <w:t>2.8.2 可提供原厂家600万种SNP检测试剂盒</w:t>
      </w:r>
    </w:p>
    <w:p>
      <w:pPr>
        <w:spacing w:line="360" w:lineRule="auto"/>
        <w:ind w:left="420" w:leftChars="200" w:firstLine="420" w:firstLineChars="175"/>
        <w:rPr>
          <w:rFonts w:ascii="宋体" w:hAnsi="宋体" w:cs="宋体"/>
          <w:sz w:val="24"/>
        </w:rPr>
      </w:pPr>
      <w:r>
        <w:rPr>
          <w:rFonts w:hint="eastAsia" w:ascii="宋体" w:hAnsi="宋体" w:cs="宋体"/>
          <w:sz w:val="24"/>
        </w:rPr>
        <w:t>2.8.3 可提供原厂生产的基因拷贝数变异（CNV）检测试剂盒</w:t>
      </w:r>
    </w:p>
    <w:p>
      <w:pPr>
        <w:spacing w:line="360" w:lineRule="auto"/>
        <w:ind w:left="218" w:leftChars="104" w:firstLine="19" w:firstLineChars="8"/>
        <w:rPr>
          <w:rFonts w:ascii="宋体" w:hAnsi="宋体" w:cs="宋体"/>
          <w:sz w:val="24"/>
        </w:rPr>
      </w:pPr>
      <w:r>
        <w:rPr>
          <w:rFonts w:hint="eastAsia" w:ascii="宋体" w:hAnsi="宋体" w:cs="宋体"/>
          <w:sz w:val="24"/>
        </w:rPr>
        <w:t>2.9  试剂、耗材为开放式</w:t>
      </w:r>
    </w:p>
    <w:p>
      <w:pPr>
        <w:spacing w:line="360" w:lineRule="auto"/>
        <w:ind w:left="218" w:leftChars="104" w:firstLine="19" w:firstLineChars="8"/>
        <w:rPr>
          <w:rFonts w:ascii="宋体" w:hAnsi="宋体" w:cs="宋体"/>
          <w:sz w:val="24"/>
        </w:rPr>
      </w:pPr>
      <w:r>
        <w:rPr>
          <w:rFonts w:hint="eastAsia" w:ascii="宋体" w:hAnsi="宋体" w:cs="宋体"/>
          <w:sz w:val="24"/>
        </w:rPr>
        <w:t>2.10装机指标99.7%的置信度下分辨5000和10000模板拷贝数的差异</w:t>
      </w:r>
    </w:p>
    <w:p>
      <w:pPr>
        <w:numPr>
          <w:ilvl w:val="0"/>
          <w:numId w:val="11"/>
        </w:numPr>
        <w:spacing w:line="360" w:lineRule="auto"/>
        <w:rPr>
          <w:rFonts w:ascii="宋体" w:hAnsi="宋体" w:cs="宋体"/>
          <w:sz w:val="24"/>
        </w:rPr>
      </w:pPr>
      <w:r>
        <w:rPr>
          <w:rFonts w:hint="eastAsia" w:ascii="宋体" w:hAnsi="宋体" w:cs="宋体"/>
          <w:sz w:val="24"/>
        </w:rPr>
        <w:t>有医疗器械注册证，且在国家药品监督管理局认可的有效期之内</w:t>
      </w:r>
    </w:p>
    <w:p>
      <w:pPr>
        <w:pStyle w:val="6"/>
        <w:jc w:val="center"/>
      </w:pPr>
      <w:bookmarkStart w:id="224" w:name="_Toc97553803"/>
      <w:r>
        <w:rPr>
          <w:rFonts w:hint="eastAsia"/>
        </w:rPr>
        <w:t>超微量分光光度计（1台）</w:t>
      </w:r>
      <w:bookmarkEnd w:id="224"/>
    </w:p>
    <w:p>
      <w:pPr>
        <w:spacing w:line="360" w:lineRule="auto"/>
        <w:ind w:firstLine="480" w:firstLineChars="200"/>
        <w:rPr>
          <w:rFonts w:ascii="宋体" w:hAnsi="宋体" w:cs="宋体"/>
          <w:sz w:val="24"/>
        </w:rPr>
      </w:pPr>
      <w:r>
        <w:rPr>
          <w:rFonts w:hint="eastAsia" w:ascii="宋体" w:hAnsi="宋体" w:cs="宋体"/>
          <w:sz w:val="24"/>
        </w:rPr>
        <w:t>1.基座检测下限：2ng/ul（dsDNA），0.06mg/ml（BSA），0.03mg/ml（IgG）；基座检测上限：27,500ng/ul（dsDNA），820mg/ml（BSA），400mg/ml（IgG）；</w:t>
      </w:r>
    </w:p>
    <w:p>
      <w:pPr>
        <w:spacing w:line="360" w:lineRule="auto"/>
        <w:ind w:firstLine="480" w:firstLineChars="200"/>
        <w:rPr>
          <w:rFonts w:ascii="宋体" w:hAnsi="宋体" w:cs="宋体"/>
          <w:sz w:val="24"/>
        </w:rPr>
      </w:pPr>
      <w:r>
        <w:rPr>
          <w:rFonts w:hint="eastAsia" w:ascii="宋体" w:hAnsi="宋体" w:cs="宋体"/>
          <w:sz w:val="24"/>
        </w:rPr>
        <w:t>2.波长范围：190－850nm连续波长全光谱分析；</w:t>
      </w:r>
    </w:p>
    <w:p>
      <w:pPr>
        <w:spacing w:line="360" w:lineRule="auto"/>
        <w:ind w:firstLine="480" w:firstLineChars="200"/>
        <w:rPr>
          <w:rFonts w:ascii="宋体" w:hAnsi="宋体" w:cs="宋体"/>
          <w:sz w:val="24"/>
        </w:rPr>
      </w:pPr>
      <w:r>
        <w:rPr>
          <w:rFonts w:hint="eastAsia" w:ascii="宋体" w:hAnsi="宋体" w:cs="宋体"/>
          <w:sz w:val="24"/>
        </w:rPr>
        <w:t>3.光程：内含0.03,0.05,0.1,0.2,1mm 5个光程，根据样品浓度进行自动匹配最佳光程，无需手工设置，光程调节器不会曝露在空气中，避免灰尘，纸屑或液体进入生锈导致光程不准确；</w:t>
      </w:r>
    </w:p>
    <w:p>
      <w:pPr>
        <w:spacing w:line="360" w:lineRule="auto"/>
        <w:ind w:firstLine="480" w:firstLineChars="200"/>
        <w:rPr>
          <w:rFonts w:ascii="宋体" w:hAnsi="宋体" w:cs="宋体"/>
          <w:sz w:val="24"/>
        </w:rPr>
      </w:pPr>
      <w:r>
        <w:rPr>
          <w:rFonts w:hint="eastAsia" w:ascii="宋体" w:hAnsi="宋体" w:cs="宋体"/>
          <w:sz w:val="24"/>
        </w:rPr>
        <w:t>4.检测重复性：0.002A(1.0mm光程) 或1%CV；</w:t>
      </w:r>
    </w:p>
    <w:p>
      <w:pPr>
        <w:spacing w:line="360" w:lineRule="auto"/>
        <w:ind w:firstLine="480" w:firstLineChars="200"/>
        <w:rPr>
          <w:rFonts w:ascii="宋体" w:hAnsi="宋体" w:cs="宋体"/>
          <w:sz w:val="24"/>
        </w:rPr>
      </w:pPr>
      <w:r>
        <w:rPr>
          <w:rFonts w:hint="eastAsia" w:ascii="宋体" w:hAnsi="宋体" w:cs="宋体"/>
          <w:sz w:val="24"/>
        </w:rPr>
        <w:t>5.最小样品体积≤1ul；</w:t>
      </w:r>
    </w:p>
    <w:p>
      <w:pPr>
        <w:spacing w:line="360" w:lineRule="auto"/>
        <w:ind w:firstLine="480" w:firstLineChars="200"/>
        <w:rPr>
          <w:rFonts w:ascii="宋体" w:hAnsi="宋体" w:cs="宋体"/>
          <w:sz w:val="24"/>
        </w:rPr>
      </w:pPr>
      <w:r>
        <w:rPr>
          <w:rFonts w:hint="eastAsia" w:ascii="宋体" w:hAnsi="宋体" w:cs="宋体"/>
          <w:sz w:val="24"/>
        </w:rPr>
        <w:t xml:space="preserve">6. 载样点采用303高抛光高耐磨不锈钢，并与主机整合在一起，直接上样并进行样品检测，无需使用微量比色皿和毛细管等容器； </w:t>
      </w:r>
    </w:p>
    <w:p>
      <w:pPr>
        <w:spacing w:line="360" w:lineRule="auto"/>
        <w:ind w:firstLine="480" w:firstLineChars="200"/>
        <w:rPr>
          <w:rFonts w:ascii="宋体" w:hAnsi="宋体" w:cs="宋体"/>
          <w:sz w:val="24"/>
        </w:rPr>
      </w:pPr>
      <w:r>
        <w:rPr>
          <w:rFonts w:hint="eastAsia" w:ascii="宋体" w:hAnsi="宋体" w:cs="宋体"/>
          <w:sz w:val="24"/>
        </w:rPr>
        <w:t>7.当样本中存在污染物时，能鉴定的污染物（≥5种）；样本检测的结果会自动扣除污染物的OD值，保证得到精确的样本浓度；</w:t>
      </w:r>
    </w:p>
    <w:p>
      <w:pPr>
        <w:spacing w:line="360" w:lineRule="auto"/>
        <w:ind w:firstLine="480" w:firstLineChars="200"/>
        <w:rPr>
          <w:rFonts w:ascii="宋体" w:hAnsi="宋体" w:cs="宋体"/>
          <w:sz w:val="24"/>
        </w:rPr>
      </w:pPr>
      <w:r>
        <w:rPr>
          <w:rFonts w:hint="eastAsia" w:ascii="宋体" w:hAnsi="宋体" w:cs="宋体"/>
          <w:sz w:val="24"/>
        </w:rPr>
        <w:t>8.仪器操作：≥7英寸，1280×800高分辨率彩色触摸屏，触摸屏可左右移动或前后45度角调整角度；操作系统内存≥32GB闪存，操作系统支持的语言≥8种；</w:t>
      </w:r>
    </w:p>
    <w:p>
      <w:pPr>
        <w:spacing w:line="360" w:lineRule="auto"/>
        <w:ind w:firstLine="480" w:firstLineChars="200"/>
        <w:rPr>
          <w:rFonts w:ascii="宋体" w:hAnsi="宋体" w:cs="宋体"/>
          <w:sz w:val="24"/>
        </w:rPr>
      </w:pPr>
      <w:r>
        <w:rPr>
          <w:rFonts w:hint="eastAsia" w:ascii="宋体" w:hAnsi="宋体" w:cs="宋体"/>
          <w:sz w:val="24"/>
        </w:rPr>
        <w:t>9.可免费下载电脑软件，用于分析和管理从仪器中导出的结果；</w:t>
      </w:r>
    </w:p>
    <w:p>
      <w:pPr>
        <w:spacing w:line="360" w:lineRule="auto"/>
        <w:ind w:firstLine="480" w:firstLineChars="200"/>
        <w:rPr>
          <w:rFonts w:ascii="宋体" w:hAnsi="宋体" w:cs="宋体"/>
          <w:sz w:val="24"/>
        </w:rPr>
      </w:pPr>
      <w:r>
        <w:rPr>
          <w:rFonts w:hint="eastAsia" w:ascii="宋体" w:hAnsi="宋体" w:cs="宋体"/>
          <w:sz w:val="24"/>
        </w:rPr>
        <w:t>10.仪器内置传感器，在检测前对样品形成的液柱进行数码成像，保证检测的可靠性；</w:t>
      </w:r>
    </w:p>
    <w:p>
      <w:pPr>
        <w:widowControl/>
        <w:spacing w:line="360" w:lineRule="auto"/>
        <w:jc w:val="left"/>
        <w:rPr>
          <w:rFonts w:ascii="宋体" w:hAnsi="宋体" w:cs="宋体"/>
          <w:sz w:val="24"/>
        </w:rPr>
      </w:pPr>
      <w:r>
        <w:rPr>
          <w:rFonts w:hint="eastAsia" w:ascii="宋体" w:hAnsi="宋体" w:cs="宋体"/>
          <w:sz w:val="24"/>
        </w:rPr>
        <w:br w:type="page"/>
      </w:r>
    </w:p>
    <w:p>
      <w:pPr>
        <w:pStyle w:val="6"/>
        <w:jc w:val="center"/>
      </w:pPr>
      <w:bookmarkStart w:id="225" w:name="_Toc97553804"/>
      <w:r>
        <w:rPr>
          <w:rFonts w:hint="eastAsia"/>
        </w:rPr>
        <w:t>96孔核酸扩增仪（1台）</w:t>
      </w:r>
      <w:bookmarkEnd w:id="225"/>
    </w:p>
    <w:p>
      <w:pPr>
        <w:tabs>
          <w:tab w:val="left" w:pos="3780"/>
        </w:tabs>
        <w:spacing w:line="360" w:lineRule="auto"/>
        <w:rPr>
          <w:rFonts w:ascii="宋体" w:hAnsi="宋体" w:cs="宋体"/>
          <w:bCs/>
          <w:sz w:val="24"/>
        </w:rPr>
      </w:pPr>
    </w:p>
    <w:p>
      <w:pPr>
        <w:numPr>
          <w:ilvl w:val="0"/>
          <w:numId w:val="12"/>
        </w:numPr>
        <w:spacing w:line="360" w:lineRule="auto"/>
        <w:ind w:left="0" w:firstLine="0"/>
        <w:rPr>
          <w:rFonts w:ascii="宋体" w:hAnsi="宋体" w:cs="宋体"/>
          <w:sz w:val="24"/>
        </w:rPr>
      </w:pPr>
      <w:r>
        <w:rPr>
          <w:rFonts w:hint="eastAsia" w:ascii="宋体" w:hAnsi="宋体" w:cs="宋体"/>
          <w:b/>
          <w:sz w:val="24"/>
        </w:rPr>
        <w:t>技术指标</w:t>
      </w:r>
    </w:p>
    <w:p>
      <w:pPr>
        <w:numPr>
          <w:ilvl w:val="1"/>
          <w:numId w:val="12"/>
        </w:numPr>
        <w:spacing w:line="360" w:lineRule="auto"/>
        <w:ind w:left="0" w:firstLine="0"/>
        <w:rPr>
          <w:rFonts w:ascii="宋体" w:hAnsi="宋体" w:cs="宋体"/>
          <w:sz w:val="24"/>
        </w:rPr>
      </w:pPr>
      <w:r>
        <w:rPr>
          <w:rFonts w:hint="eastAsia" w:ascii="宋体" w:hAnsi="宋体" w:cs="宋体"/>
          <w:sz w:val="24"/>
        </w:rPr>
        <w:t xml:space="preserve">加热元件：Peltier加热  </w:t>
      </w:r>
    </w:p>
    <w:p>
      <w:pPr>
        <w:numPr>
          <w:ilvl w:val="1"/>
          <w:numId w:val="12"/>
        </w:numPr>
        <w:tabs>
          <w:tab w:val="left" w:pos="1188"/>
          <w:tab w:val="left" w:pos="3810"/>
        </w:tabs>
        <w:spacing w:line="360" w:lineRule="auto"/>
        <w:ind w:left="0" w:firstLine="0"/>
        <w:rPr>
          <w:rFonts w:ascii="宋体" w:hAnsi="宋体" w:cs="宋体"/>
          <w:sz w:val="24"/>
        </w:rPr>
      </w:pPr>
      <w:r>
        <w:rPr>
          <w:rFonts w:hint="eastAsia" w:ascii="宋体" w:hAnsi="宋体" w:cs="宋体"/>
          <w:sz w:val="24"/>
        </w:rPr>
        <w:t>模块形式：96孔0.2 ml专用合金模块</w:t>
      </w:r>
    </w:p>
    <w:p>
      <w:pPr>
        <w:numPr>
          <w:ilvl w:val="1"/>
          <w:numId w:val="12"/>
        </w:numPr>
        <w:spacing w:line="360" w:lineRule="auto"/>
        <w:ind w:left="0" w:firstLine="0"/>
        <w:rPr>
          <w:rFonts w:ascii="宋体" w:hAnsi="宋体" w:cs="宋体"/>
          <w:sz w:val="24"/>
        </w:rPr>
      </w:pPr>
      <w:r>
        <w:rPr>
          <w:rFonts w:hint="eastAsia" w:ascii="宋体" w:hAnsi="宋体" w:cs="宋体"/>
          <w:sz w:val="24"/>
        </w:rPr>
        <w:t>模块最高升降温速率：3.9 ℃/秒</w:t>
      </w:r>
    </w:p>
    <w:p>
      <w:pPr>
        <w:numPr>
          <w:ilvl w:val="1"/>
          <w:numId w:val="12"/>
        </w:numPr>
        <w:spacing w:line="360" w:lineRule="auto"/>
        <w:ind w:left="0" w:firstLine="0"/>
        <w:rPr>
          <w:rFonts w:ascii="宋体" w:hAnsi="宋体" w:cs="宋体"/>
          <w:sz w:val="24"/>
        </w:rPr>
      </w:pPr>
      <w:r>
        <w:rPr>
          <w:rFonts w:hint="eastAsia" w:ascii="宋体" w:hAnsi="宋体" w:cs="宋体"/>
          <w:sz w:val="24"/>
        </w:rPr>
        <w:t>样品最大变温速率：3.35 ℃/秒</w:t>
      </w:r>
    </w:p>
    <w:p>
      <w:pPr>
        <w:numPr>
          <w:ilvl w:val="1"/>
          <w:numId w:val="12"/>
        </w:numPr>
        <w:spacing w:line="360" w:lineRule="auto"/>
        <w:ind w:left="0" w:firstLine="0"/>
        <w:rPr>
          <w:rFonts w:ascii="宋体" w:hAnsi="宋体" w:cs="宋体"/>
          <w:sz w:val="24"/>
        </w:rPr>
      </w:pPr>
      <w:r>
        <w:rPr>
          <w:rFonts w:hint="eastAsia" w:ascii="宋体" w:hAnsi="宋体" w:cs="宋体"/>
          <w:sz w:val="24"/>
        </w:rPr>
        <w:t>样品通量及体积：1-96个/10-100uL</w:t>
      </w:r>
    </w:p>
    <w:p>
      <w:pPr>
        <w:numPr>
          <w:ilvl w:val="1"/>
          <w:numId w:val="12"/>
        </w:numPr>
        <w:spacing w:line="360" w:lineRule="auto"/>
        <w:ind w:left="0" w:firstLine="0"/>
        <w:rPr>
          <w:rFonts w:ascii="宋体" w:hAnsi="宋体" w:cs="宋体"/>
          <w:sz w:val="24"/>
        </w:rPr>
      </w:pPr>
      <w:r>
        <w:rPr>
          <w:rFonts w:hint="eastAsia" w:ascii="宋体" w:hAnsi="宋体" w:cs="宋体"/>
          <w:sz w:val="24"/>
        </w:rPr>
        <w:t>支持运行快速反应试剂：支持</w:t>
      </w:r>
    </w:p>
    <w:p>
      <w:pPr>
        <w:numPr>
          <w:ilvl w:val="1"/>
          <w:numId w:val="12"/>
        </w:numPr>
        <w:spacing w:line="360" w:lineRule="auto"/>
        <w:ind w:left="0" w:firstLine="0"/>
        <w:rPr>
          <w:rFonts w:ascii="宋体" w:hAnsi="宋体" w:cs="宋体"/>
          <w:sz w:val="24"/>
        </w:rPr>
      </w:pPr>
      <w:r>
        <w:rPr>
          <w:rFonts w:hint="eastAsia" w:ascii="宋体" w:hAnsi="宋体" w:cs="宋体"/>
          <w:bCs/>
          <w:sz w:val="24"/>
        </w:rPr>
        <w:t>梯度功能：使用VeriFlex模块，</w:t>
      </w:r>
      <w:r>
        <w:rPr>
          <w:rFonts w:hint="eastAsia" w:ascii="宋体" w:hAnsi="宋体" w:cs="宋体"/>
          <w:sz w:val="24"/>
        </w:rPr>
        <w:t>共6组独立控温区域，可精确设置6个不同温度，</w:t>
      </w:r>
      <w:r>
        <w:rPr>
          <w:rFonts w:hint="eastAsia" w:ascii="宋体" w:hAnsi="宋体" w:cs="宋体"/>
          <w:bCs/>
          <w:sz w:val="24"/>
        </w:rPr>
        <w:t>可同时运行6种不同退火温度的PCR程序，比传统的梯度PCR更有效的优化反应条件</w:t>
      </w:r>
    </w:p>
    <w:p>
      <w:pPr>
        <w:numPr>
          <w:ilvl w:val="1"/>
          <w:numId w:val="12"/>
        </w:numPr>
        <w:spacing w:line="360" w:lineRule="auto"/>
        <w:ind w:left="0" w:firstLine="0"/>
        <w:rPr>
          <w:rFonts w:ascii="宋体" w:hAnsi="宋体" w:cs="宋体"/>
          <w:sz w:val="24"/>
        </w:rPr>
      </w:pPr>
      <w:r>
        <w:rPr>
          <w:rFonts w:hint="eastAsia" w:ascii="宋体" w:hAnsi="宋体" w:cs="宋体"/>
          <w:sz w:val="24"/>
        </w:rPr>
        <w:t>最小温度梯度和最大温度梯度：每2列区域间最小温差为0.1℃，整块板温差为0.5℃；每2列区域间最大温差为5℃，整块板温差为25℃</w:t>
      </w:r>
    </w:p>
    <w:p>
      <w:pPr>
        <w:numPr>
          <w:ilvl w:val="1"/>
          <w:numId w:val="12"/>
        </w:numPr>
        <w:spacing w:line="360" w:lineRule="auto"/>
        <w:ind w:left="0" w:firstLine="0"/>
        <w:rPr>
          <w:rFonts w:ascii="宋体" w:hAnsi="宋体" w:cs="宋体"/>
          <w:sz w:val="24"/>
        </w:rPr>
      </w:pPr>
      <w:r>
        <w:rPr>
          <w:rFonts w:hint="eastAsia" w:ascii="宋体" w:hAnsi="宋体" w:cs="宋体"/>
          <w:sz w:val="24"/>
        </w:rPr>
        <w:t>热盖温度范围：最高105℃，可设置关闭或调整温度</w:t>
      </w:r>
    </w:p>
    <w:p>
      <w:pPr>
        <w:numPr>
          <w:ilvl w:val="1"/>
          <w:numId w:val="12"/>
        </w:numPr>
        <w:spacing w:line="360" w:lineRule="auto"/>
        <w:ind w:left="0" w:firstLine="0"/>
        <w:rPr>
          <w:rFonts w:ascii="宋体" w:hAnsi="宋体" w:cs="宋体"/>
          <w:sz w:val="24"/>
        </w:rPr>
      </w:pPr>
      <w:r>
        <w:rPr>
          <w:rFonts w:hint="eastAsia" w:ascii="宋体" w:hAnsi="宋体" w:cs="宋体"/>
          <w:sz w:val="24"/>
        </w:rPr>
        <w:t xml:space="preserve">热盖接触压力：自动调节           </w:t>
      </w:r>
    </w:p>
    <w:p>
      <w:pPr>
        <w:numPr>
          <w:ilvl w:val="1"/>
          <w:numId w:val="12"/>
        </w:numPr>
        <w:spacing w:line="360" w:lineRule="auto"/>
        <w:ind w:left="0" w:firstLine="0"/>
        <w:rPr>
          <w:rFonts w:ascii="宋体" w:hAnsi="宋体" w:cs="宋体"/>
          <w:bCs/>
          <w:sz w:val="24"/>
        </w:rPr>
      </w:pPr>
      <w:r>
        <w:rPr>
          <w:rFonts w:hint="eastAsia" w:ascii="宋体" w:hAnsi="宋体" w:cs="宋体"/>
          <w:sz w:val="24"/>
        </w:rPr>
        <w:t>温控范围：</w:t>
      </w:r>
      <w:r>
        <w:rPr>
          <w:rFonts w:hint="eastAsia" w:ascii="宋体" w:hAnsi="宋体" w:cs="宋体"/>
          <w:bCs/>
          <w:sz w:val="24"/>
        </w:rPr>
        <w:t>0-100</w:t>
      </w:r>
      <w:r>
        <w:rPr>
          <w:rFonts w:hint="eastAsia" w:ascii="宋体" w:hAnsi="宋体" w:cs="宋体"/>
          <w:sz w:val="24"/>
        </w:rPr>
        <w:t>℃</w:t>
      </w:r>
    </w:p>
    <w:p>
      <w:pPr>
        <w:numPr>
          <w:ilvl w:val="1"/>
          <w:numId w:val="12"/>
        </w:numPr>
        <w:spacing w:line="360" w:lineRule="auto"/>
        <w:ind w:left="0" w:firstLine="0"/>
        <w:rPr>
          <w:rFonts w:ascii="宋体" w:hAnsi="宋体" w:cs="宋体"/>
          <w:bCs/>
          <w:sz w:val="24"/>
        </w:rPr>
      </w:pPr>
      <w:r>
        <w:rPr>
          <w:rFonts w:hint="eastAsia" w:ascii="宋体" w:hAnsi="宋体" w:cs="宋体"/>
          <w:sz w:val="24"/>
        </w:rPr>
        <w:t xml:space="preserve">温度精准性为 </w:t>
      </w:r>
      <w:r>
        <w:rPr>
          <w:rFonts w:hint="eastAsia" w:ascii="宋体" w:hAnsi="宋体" w:cs="宋体"/>
          <w:bCs/>
          <w:sz w:val="24"/>
        </w:rPr>
        <w:t xml:space="preserve">± 0.25 </w:t>
      </w:r>
      <w:r>
        <w:rPr>
          <w:rFonts w:hint="eastAsia" w:ascii="宋体" w:hAnsi="宋体" w:cs="宋体"/>
          <w:sz w:val="24"/>
        </w:rPr>
        <w:t>℃</w:t>
      </w:r>
      <w:r>
        <w:rPr>
          <w:rFonts w:hint="eastAsia" w:ascii="宋体" w:hAnsi="宋体" w:cs="宋体"/>
          <w:bCs/>
          <w:sz w:val="24"/>
        </w:rPr>
        <w:t>（35-99.9</w:t>
      </w:r>
      <w:r>
        <w:rPr>
          <w:rFonts w:hint="eastAsia" w:ascii="宋体" w:hAnsi="宋体" w:cs="宋体"/>
          <w:sz w:val="24"/>
        </w:rPr>
        <w:t>℃</w:t>
      </w:r>
      <w:r>
        <w:rPr>
          <w:rFonts w:hint="eastAsia" w:ascii="宋体" w:hAnsi="宋体" w:cs="宋体"/>
          <w:bCs/>
          <w:sz w:val="24"/>
        </w:rPr>
        <w:t>）</w:t>
      </w:r>
    </w:p>
    <w:p>
      <w:pPr>
        <w:numPr>
          <w:ilvl w:val="1"/>
          <w:numId w:val="12"/>
        </w:numPr>
        <w:spacing w:line="360" w:lineRule="auto"/>
        <w:ind w:left="0" w:firstLine="0"/>
        <w:rPr>
          <w:rFonts w:ascii="宋体" w:hAnsi="宋体" w:cs="宋体"/>
          <w:sz w:val="24"/>
        </w:rPr>
      </w:pPr>
      <w:r>
        <w:rPr>
          <w:rFonts w:hint="eastAsia" w:ascii="宋体" w:hAnsi="宋体" w:cs="宋体"/>
          <w:sz w:val="24"/>
        </w:rPr>
        <w:t>温度均一性：</w:t>
      </w:r>
      <w:r>
        <w:rPr>
          <w:rFonts w:hint="eastAsia" w:ascii="宋体" w:hAnsi="宋体" w:cs="宋体"/>
          <w:bCs/>
          <w:sz w:val="24"/>
        </w:rPr>
        <w:t>&lt; 0.5</w:t>
      </w:r>
      <w:r>
        <w:rPr>
          <w:rFonts w:hint="eastAsia" w:ascii="宋体" w:hAnsi="宋体" w:cs="宋体"/>
          <w:sz w:val="24"/>
        </w:rPr>
        <w:t>℃（到达</w:t>
      </w:r>
      <w:r>
        <w:rPr>
          <w:rFonts w:hint="eastAsia" w:ascii="宋体" w:hAnsi="宋体" w:cs="宋体"/>
          <w:bCs/>
          <w:sz w:val="24"/>
        </w:rPr>
        <w:t>95℃</w:t>
      </w:r>
      <w:r>
        <w:rPr>
          <w:rFonts w:hint="eastAsia" w:ascii="宋体" w:hAnsi="宋体" w:cs="宋体"/>
          <w:sz w:val="24"/>
        </w:rPr>
        <w:t>后</w:t>
      </w:r>
      <w:r>
        <w:rPr>
          <w:rFonts w:hint="eastAsia" w:ascii="宋体" w:hAnsi="宋体" w:cs="宋体"/>
          <w:bCs/>
          <w:sz w:val="24"/>
        </w:rPr>
        <w:t>20</w:t>
      </w:r>
      <w:r>
        <w:rPr>
          <w:rFonts w:hint="eastAsia" w:ascii="宋体" w:hAnsi="宋体" w:cs="宋体"/>
          <w:sz w:val="24"/>
        </w:rPr>
        <w:t>秒）</w:t>
      </w:r>
    </w:p>
    <w:p>
      <w:pPr>
        <w:numPr>
          <w:ilvl w:val="1"/>
          <w:numId w:val="12"/>
        </w:numPr>
        <w:spacing w:line="360" w:lineRule="auto"/>
        <w:rPr>
          <w:rFonts w:ascii="宋体" w:hAnsi="宋体" w:cs="宋体"/>
          <w:sz w:val="24"/>
        </w:rPr>
      </w:pPr>
      <w:r>
        <w:rPr>
          <w:rFonts w:hint="eastAsia" w:ascii="宋体" w:hAnsi="宋体" w:cs="宋体"/>
          <w:sz w:val="24"/>
        </w:rPr>
        <w:t>显示屏：≥</w:t>
      </w:r>
      <w:r>
        <w:rPr>
          <w:rFonts w:hint="eastAsia" w:ascii="宋体" w:hAnsi="宋体" w:cs="宋体"/>
          <w:bCs/>
          <w:sz w:val="24"/>
        </w:rPr>
        <w:t>6.5</w:t>
      </w:r>
      <w:r>
        <w:rPr>
          <w:rFonts w:hint="eastAsia" w:ascii="宋体" w:hAnsi="宋体" w:cs="宋体"/>
          <w:sz w:val="24"/>
        </w:rPr>
        <w:t>英寸</w:t>
      </w:r>
      <w:r>
        <w:rPr>
          <w:rFonts w:hint="eastAsia" w:ascii="宋体" w:hAnsi="宋体" w:cs="宋体"/>
          <w:bCs/>
          <w:sz w:val="24"/>
        </w:rPr>
        <w:t>VGA</w:t>
      </w:r>
      <w:r>
        <w:rPr>
          <w:rFonts w:hint="eastAsia" w:ascii="宋体" w:hAnsi="宋体" w:cs="宋体"/>
          <w:sz w:val="24"/>
        </w:rPr>
        <w:t>彩色触摸屏</w:t>
      </w:r>
    </w:p>
    <w:p>
      <w:pPr>
        <w:numPr>
          <w:ilvl w:val="1"/>
          <w:numId w:val="12"/>
        </w:numPr>
        <w:spacing w:line="360" w:lineRule="auto"/>
        <w:ind w:left="0" w:firstLine="0"/>
        <w:rPr>
          <w:rFonts w:ascii="宋体" w:hAnsi="宋体" w:cs="宋体"/>
          <w:sz w:val="24"/>
        </w:rPr>
      </w:pPr>
      <w:r>
        <w:rPr>
          <w:rFonts w:hint="eastAsia" w:ascii="宋体" w:hAnsi="宋体" w:cs="宋体"/>
          <w:sz w:val="24"/>
        </w:rPr>
        <w:t>仪器互联：最多可以卫星式分布同时连接同一局域网内12台Veriti Dx系统</w:t>
      </w:r>
    </w:p>
    <w:p>
      <w:pPr>
        <w:numPr>
          <w:ilvl w:val="1"/>
          <w:numId w:val="12"/>
        </w:numPr>
        <w:spacing w:line="360" w:lineRule="auto"/>
        <w:ind w:left="0" w:firstLine="0"/>
        <w:rPr>
          <w:rFonts w:ascii="宋体" w:hAnsi="宋体" w:cs="宋体"/>
          <w:bCs/>
          <w:sz w:val="24"/>
        </w:rPr>
      </w:pPr>
      <w:r>
        <w:rPr>
          <w:rFonts w:hint="eastAsia" w:ascii="宋体" w:hAnsi="宋体" w:cs="宋体"/>
          <w:bCs/>
          <w:sz w:val="24"/>
        </w:rPr>
        <w:t>体外诊断资格：依照ISO13485和GMP要求制造，具有CFDA医疗器械二类注册证，提供IQ/OQ服务认证</w:t>
      </w:r>
    </w:p>
    <w:p>
      <w:pPr>
        <w:numPr>
          <w:ilvl w:val="1"/>
          <w:numId w:val="12"/>
        </w:numPr>
        <w:spacing w:line="360" w:lineRule="auto"/>
        <w:ind w:left="0" w:firstLine="0"/>
        <w:rPr>
          <w:rFonts w:ascii="宋体" w:hAnsi="宋体" w:cs="宋体"/>
          <w:sz w:val="24"/>
        </w:rPr>
      </w:pPr>
      <w:r>
        <w:rPr>
          <w:rFonts w:hint="eastAsia" w:ascii="宋体" w:hAnsi="宋体" w:cs="宋体"/>
          <w:sz w:val="24"/>
        </w:rPr>
        <w:t>存储能力：在主机上可存储800个protocol，若使用U盘存储则无限制</w:t>
      </w:r>
    </w:p>
    <w:p>
      <w:pPr>
        <w:numPr>
          <w:ilvl w:val="1"/>
          <w:numId w:val="12"/>
        </w:numPr>
        <w:spacing w:line="360" w:lineRule="auto"/>
        <w:ind w:left="0" w:firstLine="0"/>
        <w:rPr>
          <w:rFonts w:ascii="宋体" w:hAnsi="宋体" w:cs="宋体"/>
          <w:sz w:val="24"/>
        </w:rPr>
      </w:pPr>
      <w:bookmarkStart w:id="226" w:name="_Hlk26806978"/>
      <w:r>
        <w:rPr>
          <w:rFonts w:hint="eastAsia" w:ascii="宋体" w:hAnsi="宋体" w:cs="宋体"/>
          <w:sz w:val="24"/>
        </w:rPr>
        <w:t xml:space="preserve">内置AutoDelta选项，适合Touchdown或Long PCR </w:t>
      </w:r>
    </w:p>
    <w:bookmarkEnd w:id="226"/>
    <w:p>
      <w:pPr>
        <w:numPr>
          <w:ilvl w:val="1"/>
          <w:numId w:val="12"/>
        </w:numPr>
        <w:spacing w:line="360" w:lineRule="auto"/>
        <w:ind w:left="0" w:firstLine="0"/>
        <w:rPr>
          <w:rFonts w:ascii="宋体" w:hAnsi="宋体" w:cs="宋体"/>
          <w:sz w:val="24"/>
        </w:rPr>
      </w:pPr>
      <w:r>
        <w:rPr>
          <w:rFonts w:hint="eastAsia" w:ascii="宋体" w:hAnsi="宋体" w:cs="宋体"/>
          <w:sz w:val="24"/>
        </w:rPr>
        <w:t>其他功能：内置程序模板、多重权限账户管理、暂停/继续程序、断电保护、自动休眠等</w:t>
      </w:r>
    </w:p>
    <w:p>
      <w:pPr>
        <w:numPr>
          <w:ilvl w:val="1"/>
          <w:numId w:val="12"/>
        </w:numPr>
        <w:spacing w:line="360" w:lineRule="auto"/>
        <w:ind w:left="0" w:firstLine="0"/>
        <w:rPr>
          <w:rFonts w:ascii="宋体" w:hAnsi="宋体" w:cs="宋体"/>
          <w:sz w:val="24"/>
        </w:rPr>
      </w:pPr>
      <w:r>
        <w:rPr>
          <w:rFonts w:hint="eastAsia" w:ascii="宋体" w:hAnsi="宋体" w:cs="宋体"/>
          <w:bCs/>
          <w:sz w:val="24"/>
        </w:rPr>
        <w:t>Tm</w:t>
      </w:r>
      <w:r>
        <w:rPr>
          <w:rFonts w:hint="eastAsia" w:ascii="宋体" w:hAnsi="宋体" w:cs="宋体"/>
          <w:sz w:val="24"/>
        </w:rPr>
        <w:t>计算器：基于触摸屏的菜单驱动</w:t>
      </w:r>
    </w:p>
    <w:p>
      <w:pPr>
        <w:numPr>
          <w:ilvl w:val="1"/>
          <w:numId w:val="12"/>
        </w:numPr>
        <w:spacing w:line="360" w:lineRule="auto"/>
        <w:ind w:left="0" w:firstLine="0"/>
      </w:pPr>
      <w:r>
        <w:rPr>
          <w:rFonts w:hint="eastAsia" w:ascii="宋体" w:hAnsi="宋体" w:cs="宋体"/>
          <w:sz w:val="24"/>
        </w:rPr>
        <w:t>连接口：</w:t>
      </w:r>
      <w:r>
        <w:rPr>
          <w:rFonts w:hint="eastAsia" w:ascii="宋体" w:hAnsi="宋体" w:cs="宋体"/>
          <w:bCs/>
          <w:sz w:val="24"/>
        </w:rPr>
        <w:t>USB</w:t>
      </w:r>
      <w:r>
        <w:rPr>
          <w:rFonts w:hint="eastAsia" w:ascii="宋体" w:hAnsi="宋体" w:cs="宋体"/>
          <w:sz w:val="24"/>
        </w:rPr>
        <w:t>端口，</w:t>
      </w:r>
      <w:r>
        <w:rPr>
          <w:rFonts w:hint="eastAsia" w:ascii="宋体" w:hAnsi="宋体" w:cs="宋体"/>
          <w:bCs/>
          <w:sz w:val="24"/>
        </w:rPr>
        <w:t>RS 232</w:t>
      </w:r>
      <w:r>
        <w:rPr>
          <w:rFonts w:hint="eastAsia" w:ascii="宋体" w:hAnsi="宋体" w:cs="宋体"/>
          <w:sz w:val="24"/>
        </w:rPr>
        <w:t>串联端口，快速以太网接口</w:t>
      </w:r>
      <w:bookmarkStart w:id="227" w:name="_Toc97553805"/>
    </w:p>
    <w:p/>
    <w:p>
      <w:pPr>
        <w:pStyle w:val="6"/>
        <w:jc w:val="center"/>
      </w:pPr>
      <w:r>
        <w:rPr>
          <w:rFonts w:hint="eastAsia"/>
        </w:rPr>
        <w:t>384孔核酸扩增仪（2台）</w:t>
      </w:r>
      <w:bookmarkEnd w:id="227"/>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 多种规格样品随意切换</w:t>
      </w: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 采用高级别马洛制冷片，变温速率可达5°/秒</w:t>
      </w: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 ≥7"TFT高清真彩全触摸液晶屏,曲线图形显示程序</w:t>
      </w: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 前进风后出风设计，可并排摆放</w:t>
      </w: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 稳定运行可达100万次</w:t>
      </w: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 中英文双语可选界面</w:t>
      </w: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 内置程序≥10,000个</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384模块：384孔</w:t>
      </w:r>
    </w:p>
    <w:p>
      <w:pPr>
        <w:widowControl/>
        <w:shd w:val="clear" w:color="auto" w:fill="FFFFFF"/>
        <w:spacing w:line="360" w:lineRule="auto"/>
        <w:rPr>
          <w:rFonts w:ascii="宋体" w:hAnsi="宋体" w:cs="宋体"/>
          <w:b/>
          <w:bCs/>
          <w:kern w:val="0"/>
          <w:sz w:val="24"/>
          <w:u w:val="single"/>
        </w:rPr>
      </w:pPr>
    </w:p>
    <w:p>
      <w:pPr>
        <w:widowControl/>
        <w:shd w:val="clear" w:color="auto" w:fill="FFFFFF"/>
        <w:spacing w:line="360" w:lineRule="auto"/>
        <w:rPr>
          <w:rFonts w:ascii="宋体" w:hAnsi="宋体" w:cs="宋体"/>
          <w:kern w:val="0"/>
          <w:sz w:val="24"/>
        </w:rPr>
      </w:pPr>
      <w:r>
        <w:rPr>
          <w:rFonts w:hint="eastAsia" w:ascii="宋体" w:hAnsi="宋体" w:cs="宋体"/>
          <w:b/>
          <w:bCs/>
          <w:kern w:val="0"/>
          <w:sz w:val="24"/>
        </w:rPr>
        <w:t xml:space="preserve">温度功能 </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样品台温度范围：0℃～105℃</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 xml:space="preserve">最大变温速度：5℃/秒 </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 xml:space="preserve">样品台温度均匀性：≤±0.2℃   </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 xml:space="preserve">样品台温度准确性：≤±0.1℃ </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 xml:space="preserve">温度显示分辨率：0.1℃ </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控温方式：模拟管+样平台模式</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变温速度可调： 0.1~4.0℃</w:t>
      </w:r>
    </w:p>
    <w:p>
      <w:pPr>
        <w:widowControl/>
        <w:shd w:val="clear" w:color="auto" w:fill="FFFFFF"/>
        <w:spacing w:line="360" w:lineRule="auto"/>
        <w:jc w:val="left"/>
        <w:rPr>
          <w:rFonts w:ascii="宋体" w:hAnsi="宋体" w:cs="宋体"/>
          <w:kern w:val="0"/>
          <w:sz w:val="24"/>
        </w:rPr>
      </w:pPr>
      <w:r>
        <w:rPr>
          <w:rFonts w:hint="eastAsia" w:ascii="宋体" w:hAnsi="宋体" w:cs="宋体"/>
          <w:b/>
          <w:bCs/>
          <w:kern w:val="0"/>
          <w:sz w:val="24"/>
        </w:rPr>
        <w:t> </w:t>
      </w:r>
    </w:p>
    <w:p>
      <w:pPr>
        <w:widowControl/>
        <w:shd w:val="clear" w:color="auto" w:fill="FFFFFF"/>
        <w:spacing w:line="360" w:lineRule="auto"/>
        <w:jc w:val="left"/>
        <w:rPr>
          <w:rFonts w:ascii="宋体" w:hAnsi="宋体" w:cs="宋体"/>
          <w:kern w:val="0"/>
          <w:sz w:val="24"/>
        </w:rPr>
      </w:pPr>
      <w:r>
        <w:rPr>
          <w:rFonts w:hint="eastAsia" w:ascii="宋体" w:hAnsi="宋体" w:cs="宋体"/>
          <w:b/>
          <w:bCs/>
          <w:kern w:val="0"/>
          <w:sz w:val="24"/>
        </w:rPr>
        <w:t xml:space="preserve">梯度功能 </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梯度温度准确性：≤±0.1℃</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梯度温度均匀性：≤±0.2℃</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梯度范围：30℃~99.9℃</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温差范围：最大30℃</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梯度温度点分布：12列</w:t>
      </w:r>
    </w:p>
    <w:p>
      <w:pPr>
        <w:widowControl/>
        <w:shd w:val="clear" w:color="auto" w:fill="FFFFFF"/>
        <w:spacing w:line="360" w:lineRule="auto"/>
        <w:jc w:val="left"/>
        <w:rPr>
          <w:rFonts w:ascii="宋体" w:hAnsi="宋体" w:cs="宋体"/>
          <w:b/>
          <w:bCs/>
          <w:kern w:val="0"/>
          <w:sz w:val="24"/>
          <w:u w:val="single"/>
        </w:rPr>
      </w:pPr>
    </w:p>
    <w:p>
      <w:pPr>
        <w:widowControl/>
        <w:shd w:val="clear" w:color="auto" w:fill="FFFFFF"/>
        <w:spacing w:line="360" w:lineRule="auto"/>
        <w:jc w:val="left"/>
        <w:rPr>
          <w:rFonts w:ascii="宋体" w:hAnsi="宋体" w:cs="宋体"/>
          <w:kern w:val="0"/>
          <w:sz w:val="24"/>
        </w:rPr>
      </w:pPr>
      <w:r>
        <w:rPr>
          <w:rFonts w:hint="eastAsia" w:ascii="宋体" w:hAnsi="宋体" w:cs="宋体"/>
          <w:b/>
          <w:bCs/>
          <w:kern w:val="0"/>
          <w:sz w:val="24"/>
        </w:rPr>
        <w:t xml:space="preserve">热盖功能  </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xml:space="preserve">全新开盖方式,将开盖和提盖合二为一 </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xml:space="preserve">热盖自动关闭功能 </w:t>
      </w:r>
    </w:p>
    <w:p>
      <w:pPr>
        <w:widowControl/>
        <w:shd w:val="clear" w:color="auto" w:fill="FFFFFF"/>
        <w:spacing w:line="360" w:lineRule="auto"/>
        <w:ind w:left="240" w:hanging="240" w:hangingChars="100"/>
        <w:jc w:val="left"/>
        <w:rPr>
          <w:rFonts w:ascii="宋体" w:hAnsi="宋体" w:cs="宋体"/>
          <w:kern w:val="0"/>
          <w:sz w:val="24"/>
        </w:rPr>
      </w:pPr>
      <w:r>
        <w:rPr>
          <w:rFonts w:hint="eastAsia" w:ascii="宋体" w:hAnsi="宋体" w:cs="宋体"/>
          <w:kern w:val="0"/>
          <w:sz w:val="24"/>
        </w:rPr>
        <w:t>无级可微调热盖，适合各类管材和板材 </w:t>
      </w:r>
    </w:p>
    <w:p>
      <w:pPr>
        <w:widowControl/>
        <w:shd w:val="clear" w:color="auto" w:fill="FFFFFF"/>
        <w:spacing w:line="360" w:lineRule="auto"/>
        <w:jc w:val="left"/>
        <w:rPr>
          <w:rFonts w:ascii="宋体" w:hAnsi="宋体" w:cs="宋体"/>
          <w:kern w:val="0"/>
          <w:sz w:val="24"/>
        </w:rPr>
      </w:pPr>
      <w:r>
        <w:rPr>
          <w:rFonts w:hint="eastAsia" w:ascii="宋体" w:hAnsi="宋体" w:cs="宋体"/>
          <w:b/>
          <w:bCs/>
          <w:kern w:val="0"/>
          <w:sz w:val="24"/>
        </w:rPr>
        <w:t xml:space="preserve">软件功能 </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最大步骤30个，可做多重嵌套循环</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xml:space="preserve">标准循环100个,嵌套循环下可达10000个 </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时间及温度递增/递减功能，可实现Touchdown PCR 和Long PCR</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xml:space="preserve">自动暂停及断电保护功能 </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提供全面的程序运行报告，详细记录程序运行的全过程</w:t>
      </w:r>
    </w:p>
    <w:p>
      <w:pPr>
        <w:widowControl/>
        <w:shd w:val="clear" w:color="auto" w:fill="FFFFFF"/>
        <w:spacing w:line="360" w:lineRule="auto"/>
        <w:jc w:val="left"/>
        <w:rPr>
          <w:rFonts w:ascii="Cambria" w:hAnsi="Cambria"/>
          <w:b/>
          <w:bCs/>
          <w:sz w:val="28"/>
          <w:szCs w:val="28"/>
        </w:rPr>
      </w:pPr>
    </w:p>
    <w:p>
      <w:pPr>
        <w:widowControl/>
        <w:shd w:val="clear" w:color="auto" w:fill="FFFFFF"/>
        <w:spacing w:line="360" w:lineRule="auto"/>
        <w:jc w:val="left"/>
        <w:rPr>
          <w:rFonts w:ascii="Cambria" w:hAnsi="Cambria"/>
          <w:b/>
          <w:bCs/>
          <w:sz w:val="28"/>
          <w:szCs w:val="28"/>
        </w:rPr>
      </w:pPr>
    </w:p>
    <w:p>
      <w:pPr>
        <w:pStyle w:val="5"/>
        <w:jc w:val="center"/>
      </w:pPr>
      <w:r>
        <w:fldChar w:fldCharType="begin"/>
      </w:r>
      <w:r>
        <w:instrText xml:space="preserve"> HYPERLINK \l "_Toc97553800" </w:instrText>
      </w:r>
      <w:r>
        <w:fldChar w:fldCharType="separate"/>
      </w:r>
      <w:r>
        <w:rPr>
          <w:rFonts w:hint="eastAsia"/>
        </w:rPr>
        <w:t>飞行时间核酸质谱分析系统招标参数（实验室辅助设备）</w:t>
      </w:r>
      <w:r>
        <w:rPr>
          <w:rFonts w:hint="eastAsia"/>
        </w:rPr>
        <w:tab/>
      </w:r>
      <w:r>
        <w:rPr>
          <w:rFonts w:hint="eastAsia"/>
        </w:rPr>
        <w:fldChar w:fldCharType="end"/>
      </w:r>
    </w:p>
    <w:p>
      <w:pPr>
        <w:pStyle w:val="6"/>
        <w:jc w:val="center"/>
      </w:pPr>
      <w:r>
        <w:rPr>
          <w:rFonts w:hint="eastAsia"/>
        </w:rPr>
        <w:t>超净工作台（1台）</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数显式控制界面, 轻触键操作, 可实现三档调速。</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可设置紫外灯预约开启和关闭, 可显示风机、紫外灯、过滤器累计运行时间。</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工作台面采用一体成型的优质不锈钢, 耐腐蚀, 易清洁。</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采用了独特技术的任意定位移门系统。</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外箱体采用优质冷轧钢板配以象牙白的静电粉末喷涂, 抗腐蚀能力强, 能有效地抑制柜体表面细菌滋生。</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流线型的豪华整机造型, 使作业区气流受扰动最少。</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带刹车装置的万向转动优质脚轮,移动灵活,固定方便可靠。</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人性化的预过滤器快速更换与清洗设计使客户更感便捷。</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照明和杀菌系统互锁功能，带备用插座设计，可断电保护功能，使用安全方便。</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具有单、双面操作功能，单、双人操作可供选择。</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每一台洁净工作台都按照行业标准进行了产品性能的工厂测试,符合各项医疗器械设备安全要求。</w:t>
      </w: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技术参数：</w:t>
      </w:r>
    </w:p>
    <w:tbl>
      <w:tblPr>
        <w:tblStyle w:val="41"/>
        <w:tblW w:w="496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185"/>
        <w:gridCol w:w="59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06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空气洁净度</w:t>
            </w:r>
          </w:p>
        </w:tc>
        <w:tc>
          <w:tcPr>
            <w:tcW w:w="29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ISO 5级, 100级（美联邦209E）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06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平均风速(m/s)</w:t>
            </w:r>
          </w:p>
        </w:tc>
        <w:tc>
          <w:tcPr>
            <w:tcW w:w="29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≥0.3(可调)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06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噪声(dB(A))</w:t>
            </w:r>
          </w:p>
        </w:tc>
        <w:tc>
          <w:tcPr>
            <w:tcW w:w="29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≤62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06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照度(Lx)</w:t>
            </w:r>
          </w:p>
        </w:tc>
        <w:tc>
          <w:tcPr>
            <w:tcW w:w="29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06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电源</w:t>
            </w:r>
          </w:p>
        </w:tc>
        <w:tc>
          <w:tcPr>
            <w:tcW w:w="29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AC220V, 1φ, 50Hz</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06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额定功率(W)</w:t>
            </w:r>
          </w:p>
        </w:tc>
        <w:tc>
          <w:tcPr>
            <w:tcW w:w="29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250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06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重量(Kg)</w:t>
            </w:r>
          </w:p>
        </w:tc>
        <w:tc>
          <w:tcPr>
            <w:tcW w:w="2937" w:type="pct"/>
            <w:tcBorders>
              <w:top w:val="outset" w:color="auto" w:sz="6" w:space="0"/>
              <w:left w:val="outset" w:color="auto" w:sz="6" w:space="0"/>
              <w:bottom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06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工作区尺寸(W1XD1XH1)(mm)</w:t>
            </w:r>
          </w:p>
        </w:tc>
        <w:tc>
          <w:tcPr>
            <w:tcW w:w="2937" w:type="pct"/>
            <w:tcBorders>
              <w:top w:val="outset" w:color="auto" w:sz="6" w:space="0"/>
              <w:left w:val="outset" w:color="auto" w:sz="6" w:space="0"/>
              <w:bottom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870X690X520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063" w:type="pct"/>
            <w:tcBorders>
              <w:top w:val="outset" w:color="auto" w:sz="6" w:space="0"/>
              <w:left w:val="single" w:color="auto" w:sz="6" w:space="0"/>
              <w:bottom w:val="single"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外形尺寸(WXDXH)(mm)</w:t>
            </w:r>
          </w:p>
        </w:tc>
        <w:tc>
          <w:tcPr>
            <w:tcW w:w="2937" w:type="pct"/>
            <w:tcBorders>
              <w:top w:val="outset" w:color="auto" w:sz="6" w:space="0"/>
              <w:left w:val="outset" w:color="auto" w:sz="6" w:space="0"/>
              <w:bottom w:val="single"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1010X730X1600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063" w:type="pct"/>
            <w:tcBorders>
              <w:top w:val="single" w:color="auto" w:sz="6" w:space="0"/>
              <w:left w:val="single" w:color="auto" w:sz="6" w:space="0"/>
              <w:bottom w:val="single" w:color="auto" w:sz="6" w:space="0"/>
              <w:right w:val="outset" w:color="F1F1F1"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高效过滤器规格及数量</w:t>
            </w:r>
          </w:p>
        </w:tc>
        <w:tc>
          <w:tcPr>
            <w:tcW w:w="2937" w:type="pct"/>
            <w:tcBorders>
              <w:top w:val="single" w:color="auto" w:sz="6" w:space="0"/>
              <w:left w:val="outset" w:color="auto" w:sz="6" w:space="0"/>
              <w:bottom w:val="single"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820X600X50X①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063" w:type="pct"/>
            <w:tcBorders>
              <w:top w:val="single" w:color="auto" w:sz="6" w:space="0"/>
              <w:left w:val="single" w:color="auto" w:sz="6" w:space="0"/>
              <w:bottom w:val="single" w:color="auto" w:sz="6" w:space="0"/>
              <w:right w:val="outset" w:color="F1F1F1"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荧光灯/紫外灯规格及数量</w:t>
            </w:r>
          </w:p>
        </w:tc>
        <w:tc>
          <w:tcPr>
            <w:tcW w:w="2937" w:type="pct"/>
            <w:tcBorders>
              <w:top w:val="single" w:color="auto" w:sz="6" w:space="0"/>
              <w:left w:val="outset" w:color="auto" w:sz="6" w:space="0"/>
              <w:bottom w:val="single"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14w×①/8w×①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063" w:type="pct"/>
            <w:tcBorders>
              <w:top w:val="single"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沉降菌浓度</w:t>
            </w:r>
          </w:p>
        </w:tc>
        <w:tc>
          <w:tcPr>
            <w:tcW w:w="2937" w:type="pct"/>
            <w:tcBorders>
              <w:top w:val="single"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≤0.5cfu/皿·0.5h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06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适用人数</w:t>
            </w:r>
          </w:p>
        </w:tc>
        <w:tc>
          <w:tcPr>
            <w:tcW w:w="29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单人单面</w:t>
            </w:r>
          </w:p>
        </w:tc>
      </w:tr>
    </w:tbl>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br w:type="page"/>
      </w:r>
    </w:p>
    <w:p>
      <w:pPr>
        <w:pStyle w:val="6"/>
        <w:jc w:val="center"/>
      </w:pPr>
      <w:bookmarkStart w:id="228" w:name="_Toc97553863"/>
      <w:r>
        <w:rPr>
          <w:rFonts w:hint="eastAsia"/>
        </w:rPr>
        <w:t>A2级别生物安全柜（1台）</w:t>
      </w:r>
      <w:bookmarkEnd w:id="228"/>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1.友好的人机对话界面</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彩色高清LCD人机对话界面，实时显示监控风机、过滤器等运行状态并提供报警功能，过滤器寿命显示等。</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2. 高效节能的直流无刷恒风量风机</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同比节能40%以上，同时恒风量风机的运用，风量智能补偿系统确保在高效过滤器阻力增加50%的情况下，风量变化小于10%，使用更安全。</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3.人性化结构设计</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前窗玻璃可内外全幅清洁，彻底解决内部无法清洁难题，不留卫生死角。</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移动式操作台面，配置不锈钢提升拉手和支撑架，清洁维护更方便。</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工作区内壁两侧配置防溅安全插座，左右两侧各配置水、气阀门接管通道各两个，使用更灵活。</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无外露螺纹的调整脚</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4.独有的值机和断电记忆功能</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当实验过程需暂停时无需关机，关闭前窗即自动进入低速节能运行状态，维持操作区的洁净度。一旦打开前窗即刻进入正常运行状态，有效提高操作效率。如意外断电，可在恢复电源后自行回到断电前运行状态，充分保护人员安全。</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5.优质的ULPA过滤器</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采用美国HV公司的高效率、低压降、高强度和低硼含量的空气滤芯，在减少压降的同时延长了过滤器的使用寿命。</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ULPA过滤器对于大于0.12微米直径的固体颗粒截留效率达到99.9995%垂直层流负压机型。70%的◆ 空气经过过滤后循环使用，30%的空气经过滤后可向室内排出或接到排风系统。</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在送风和排风系统都设置“零泄露”专利技术的优质HEPA或ULPA过滤器，确保达到洁净度ISO5级（100级）或ISO4级（10级）。</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6、负压环绕的双层箱体，确保无污染泄露。工作区采用一体成型的优质亚光不锈钢304，圆弧角内胆一次成型增加自洁功能；配置大于4升的SS304全不锈钢集液槽；滑动前窗采用日本进口的悬挂升降系统，使用大于5mm厚的安全玻璃能任意升降定位、性能可靠、免维护。关闭密封后便于灭菌处理。玻璃可全幅清洁；前吸入口采用无阻碍回风。</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7、严格的柜体防泄露检测，确保柜体在500Pa的条件下无任何泄露；严格的HEPA/ULPA过滤器防泄露检测，确保可扫描过滤器漏过率≤0.01%，不可扫描过滤器漏过率≤0.005%</w:t>
      </w: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技术参数：</w:t>
      </w:r>
    </w:p>
    <w:tbl>
      <w:tblPr>
        <w:tblStyle w:val="41"/>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96"/>
        <w:gridCol w:w="57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过滤效率</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≥99.9995%, @0.12μm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送风和排风过滤器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ULPA过滤器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空气洁净度</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ISO 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产品执行标准</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YY0569(GB 4793.1、GB/T 18268.1)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下降风速(m/s)</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流入风速(m/s)</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噪声(dB(A))</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58~65 dB(A)</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振动（μm）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台面中心位置≤5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电源</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AC220V,1φ,50Hz</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移门开启高度（mm）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人员防护</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A. 撞击式采样器的菌落总数≤10CFU./次</w:t>
            </w: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B. 狭缝式采样器的菌落总数≤5CFU./次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受试产品防护</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菌落总数≤5CFU./次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交叉感染防护</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菌落总数≤2CFU./次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最大功率（含备用插座）（kVA）</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1.65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额定功率(不含备用插座)(kVA)</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0.33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产品净重(Kg)</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260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内部尺寸(宽X深X高)(mm)</w:t>
            </w:r>
          </w:p>
        </w:tc>
        <w:tc>
          <w:tcPr>
            <w:tcW w:w="0" w:type="auto"/>
            <w:tcBorders>
              <w:top w:val="outset" w:color="auto" w:sz="6" w:space="0"/>
              <w:left w:val="outset" w:color="auto" w:sz="6" w:space="0"/>
              <w:bottom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1004*630*630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外部尺寸(宽X深X高)(mm)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1200*795*2050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照明灯规格(W)和数量</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LED 24.5*①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紫外灯规格(W)和数量</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25*①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照度(Lx)</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≥900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外箱结构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优质冷轧钢板静电粉末喷涂（象牙白）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工作区结构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优质304不锈钢一次成型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0" w:type="auto"/>
            <w:tcBorders>
              <w:top w:val="outset" w:color="auto" w:sz="6" w:space="0"/>
              <w:left w:val="outset" w:color="auto" w:sz="6" w:space="0"/>
              <w:bottom w:val="single" w:color="auto" w:sz="4"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排风方向</w:t>
            </w:r>
          </w:p>
        </w:tc>
        <w:tc>
          <w:tcPr>
            <w:tcW w:w="0" w:type="auto"/>
            <w:tcBorders>
              <w:top w:val="outset" w:color="auto" w:sz="6" w:space="0"/>
              <w:left w:val="outset" w:color="auto" w:sz="6" w:space="0"/>
              <w:bottom w:val="single" w:color="auto" w:sz="4" w:space="0"/>
              <w:right w:val="outset" w:color="auto" w:sz="6" w:space="0"/>
            </w:tcBorders>
            <w:shd w:val="clear" w:color="auto" w:fill="auto"/>
            <w:vAlign w:val="center"/>
          </w:tcPr>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顶出</w:t>
            </w:r>
          </w:p>
        </w:tc>
      </w:tr>
    </w:tbl>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br w:type="page"/>
      </w:r>
    </w:p>
    <w:p>
      <w:pPr>
        <w:pStyle w:val="6"/>
        <w:jc w:val="center"/>
      </w:pPr>
      <w:bookmarkStart w:id="229" w:name="_Toc97553864"/>
      <w:r>
        <w:rPr>
          <w:rFonts w:hint="eastAsia"/>
        </w:rPr>
        <w:t>核酸提取系统（1台）</w:t>
      </w:r>
      <w:bookmarkEnd w:id="229"/>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基于磁珠吸附分离的自动化提取方法，采用磁性微球做载体进行核酸分离纯化。</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标本类型：动、植物组织、血液、体液、细胞培养等样品，适用于大批量标本的核酸提取，提取产物可用于PCR、Real-time PCR\DNA sequencing、DNA microarray、SNP studying等临床诊断项目或科研</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样本通量：1-32</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处理体积：30-1000μl</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磁珠残留量：≤1%</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加热温度：裂解加热温度：室温～105℃  洗脱加热温度：室温～105℃</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振荡混合：多模式多档可调</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试剂种类：磁珠法提取试剂</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操作界面：中/英文操作系统，彩色液晶屏触控操作</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实验存储：可存储＞500组程序</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程序管理：可灵活新建、编辑、应用及删除相应程序</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二维码扫描：可外接扫码枪、扫描后自动识别应用程序，一键运行</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污染控制：排气过滤模块，紫外消毒模块</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断电保护：意外断电再供电时，可自由选择是否继续运行实验</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计算机接口：USB接口</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网络通讯：可扩展以太网远程控制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重量：37kg</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产品外形尺寸：400mm×420mm×470mm（W×D×H）</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电源电压：AC 220V,50Hz</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环境温度：10℃～30℃</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相对湿度：≦80%</w:t>
      </w: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br w:type="page"/>
      </w:r>
    </w:p>
    <w:p>
      <w:pPr>
        <w:pStyle w:val="6"/>
        <w:jc w:val="center"/>
      </w:pPr>
      <w:bookmarkStart w:id="230" w:name="_Toc97553865"/>
      <w:r>
        <w:rPr>
          <w:rFonts w:hint="eastAsia"/>
        </w:rPr>
        <w:t>冰箱（4台）</w:t>
      </w:r>
      <w:bookmarkEnd w:id="230"/>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1、总容积：≥282L,外形尺寸≥735*660*1810mm</w:t>
      </w: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2、触摸按键，大屏幕LED显示，可同时显示冷藏、冷冻室温度。</w:t>
      </w: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3、报警功能齐全，超高低温报警、传感器故障报警、环温超标报警、电池电量低报警、断电报警、远程报警。两种报警方式（声音蜂鸣报警、闪烁报警）。</w:t>
      </w: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4、冷藏、冷冻独立制冷系统，可单独控制或停用；</w:t>
      </w: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5、采用知名品牌压缩机，无氟制冷剂，制冷速度快；</w:t>
      </w: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6、采用EBM 风机，冷藏温度更均匀。</w:t>
      </w: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7、不锈钢内胆材质，易清洁，不易滋生细菌；</w:t>
      </w: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8、冷藏、冷冻双功能。冷藏温度2～8℃可调冷藏室尺寸（mm）605*510*720， 185L大冷藏室，配置LED照明灯。冷冻温度-20~-40 ℃冷冻室尺寸（mm）515*465*440，97L</w:t>
      </w: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9、上下门分别配备独立门锁扣，可配备双挂锁。</w:t>
      </w: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10、标配USB插口，可自动保存箱内一个月温度数据，方便追溯查询；</w:t>
      </w: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11、带有2个测试孔，方便监控室内温度变化；</w:t>
      </w: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t>12、冷藏室3个不锈钢搁板，1个不锈钢抽屉，冷冻2个PS塑料抽屉</w:t>
      </w: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p>
    <w:p>
      <w:pPr>
        <w:widowControl/>
        <w:pBdr>
          <w:top w:val="none" w:color="auto" w:sz="0" w:space="1"/>
          <w:left w:val="none" w:color="auto" w:sz="0" w:space="4"/>
          <w:bottom w:val="none" w:color="auto" w:sz="0" w:space="1"/>
          <w:right w:val="none" w:color="auto" w:sz="0" w:space="4"/>
        </w:pBdr>
        <w:shd w:val="clear" w:color="auto" w:fill="FFFFFF"/>
        <w:spacing w:line="360" w:lineRule="auto"/>
        <w:jc w:val="left"/>
        <w:rPr>
          <w:rFonts w:ascii="宋体" w:hAnsi="宋体" w:cs="宋体"/>
          <w:kern w:val="0"/>
          <w:sz w:val="24"/>
        </w:rPr>
      </w:pPr>
      <w:r>
        <w:rPr>
          <w:rFonts w:hint="eastAsia" w:ascii="宋体" w:hAnsi="宋体" w:cs="宋体"/>
          <w:kern w:val="0"/>
          <w:sz w:val="24"/>
        </w:rPr>
        <w:br w:type="page"/>
      </w:r>
    </w:p>
    <w:p>
      <w:pPr>
        <w:pStyle w:val="6"/>
        <w:jc w:val="center"/>
      </w:pPr>
      <w:bookmarkStart w:id="231" w:name="_Toc97553866"/>
      <w:r>
        <w:rPr>
          <w:rFonts w:hint="eastAsia"/>
        </w:rPr>
        <w:t>高速离心机（1台）</w:t>
      </w:r>
      <w:bookmarkEnd w:id="231"/>
    </w:p>
    <w:p>
      <w:pPr>
        <w:spacing w:line="360" w:lineRule="auto"/>
        <w:rPr>
          <w:rFonts w:ascii="宋体" w:hAnsi="宋体" w:cs="宋体"/>
          <w:kern w:val="0"/>
          <w:sz w:val="24"/>
        </w:rPr>
      </w:pPr>
      <w:r>
        <w:rPr>
          <w:rFonts w:hint="eastAsia" w:ascii="宋体" w:hAnsi="宋体" w:cs="宋体"/>
          <w:kern w:val="0"/>
          <w:sz w:val="24"/>
        </w:rPr>
        <w:t>技术参数</w:t>
      </w:r>
    </w:p>
    <w:p>
      <w:pPr>
        <w:spacing w:line="360" w:lineRule="auto"/>
        <w:ind w:firstLine="424" w:firstLineChars="177"/>
        <w:rPr>
          <w:rFonts w:ascii="宋体" w:hAnsi="宋体" w:cs="宋体"/>
          <w:kern w:val="0"/>
          <w:sz w:val="24"/>
        </w:rPr>
      </w:pPr>
      <w:r>
        <w:rPr>
          <w:rFonts w:hint="eastAsia" w:ascii="宋体" w:hAnsi="宋体" w:cs="宋体"/>
          <w:kern w:val="0"/>
          <w:sz w:val="24"/>
        </w:rPr>
        <w:t>微机控制、触摸面板，液晶显示</w:t>
      </w:r>
    </w:p>
    <w:p>
      <w:pPr>
        <w:spacing w:line="360" w:lineRule="auto"/>
        <w:ind w:firstLine="424" w:firstLineChars="177"/>
        <w:rPr>
          <w:rFonts w:ascii="宋体" w:hAnsi="宋体" w:cs="宋体"/>
          <w:kern w:val="0"/>
          <w:sz w:val="24"/>
        </w:rPr>
      </w:pPr>
      <w:r>
        <w:rPr>
          <w:rFonts w:hint="eastAsia" w:ascii="宋体" w:hAnsi="宋体" w:cs="宋体"/>
          <w:kern w:val="0"/>
          <w:sz w:val="24"/>
        </w:rPr>
        <w:t>电子门锁，不锈钢内腔。</w:t>
      </w:r>
    </w:p>
    <w:p>
      <w:pPr>
        <w:spacing w:line="360" w:lineRule="auto"/>
        <w:ind w:firstLine="424" w:firstLineChars="177"/>
        <w:rPr>
          <w:rFonts w:ascii="宋体" w:hAnsi="宋体" w:cs="宋体"/>
          <w:kern w:val="0"/>
          <w:sz w:val="24"/>
        </w:rPr>
      </w:pPr>
      <w:r>
        <w:rPr>
          <w:rFonts w:hint="eastAsia" w:ascii="宋体" w:hAnsi="宋体" w:cs="宋体"/>
          <w:kern w:val="0"/>
          <w:sz w:val="24"/>
        </w:rPr>
        <w:t>具有多款转子、适配器可供选择，满足客户的多样化需求。</w:t>
      </w:r>
    </w:p>
    <w:p>
      <w:pPr>
        <w:spacing w:line="360" w:lineRule="auto"/>
        <w:ind w:left="424" w:leftChars="202"/>
        <w:rPr>
          <w:rFonts w:ascii="宋体" w:hAnsi="宋体" w:cs="宋体"/>
          <w:kern w:val="0"/>
          <w:sz w:val="24"/>
        </w:rPr>
      </w:pPr>
      <w:r>
        <w:rPr>
          <w:rFonts w:hint="eastAsia" w:ascii="宋体" w:hAnsi="宋体" w:cs="宋体"/>
          <w:kern w:val="0"/>
          <w:sz w:val="24"/>
        </w:rPr>
        <w:t>离心机结构紧凑、轻便，拥有可靠的安全性。</w:t>
      </w:r>
    </w:p>
    <w:p>
      <w:pPr>
        <w:spacing w:line="360" w:lineRule="auto"/>
        <w:ind w:firstLine="240"/>
        <w:rPr>
          <w:rFonts w:ascii="宋体" w:hAnsi="宋体" w:cs="宋体"/>
          <w:kern w:val="0"/>
          <w:sz w:val="24"/>
        </w:rPr>
      </w:pPr>
      <w:r>
        <w:rPr>
          <w:rFonts w:hint="eastAsia" w:ascii="宋体" w:hAnsi="宋体" w:cs="宋体"/>
          <w:kern w:val="0"/>
          <w:sz w:val="24"/>
        </w:rPr>
        <w:t>产品符合SGS ISO9001：2015及ISO13485：2016质量管理体系认证要求。</w:t>
      </w:r>
    </w:p>
    <w:p>
      <w:pPr>
        <w:spacing w:line="360" w:lineRule="auto"/>
        <w:ind w:firstLine="424" w:firstLineChars="177"/>
        <w:rPr>
          <w:rFonts w:ascii="宋体" w:hAnsi="宋体" w:cs="宋体"/>
          <w:kern w:val="0"/>
          <w:sz w:val="24"/>
        </w:rPr>
      </w:pPr>
      <w:r>
        <w:rPr>
          <w:rFonts w:hint="eastAsia" w:ascii="宋体" w:hAnsi="宋体" w:cs="宋体"/>
          <w:kern w:val="0"/>
          <w:sz w:val="24"/>
        </w:rPr>
        <w:t>最高转速：       16500r/min</w:t>
      </w:r>
    </w:p>
    <w:p>
      <w:pPr>
        <w:spacing w:line="360" w:lineRule="auto"/>
        <w:ind w:firstLine="424" w:firstLineChars="177"/>
        <w:rPr>
          <w:rFonts w:ascii="宋体" w:hAnsi="宋体" w:cs="宋体"/>
          <w:kern w:val="0"/>
          <w:sz w:val="24"/>
        </w:rPr>
      </w:pPr>
      <w:r>
        <w:rPr>
          <w:rFonts w:hint="eastAsia" w:ascii="宋体" w:hAnsi="宋体" w:cs="宋体"/>
          <w:kern w:val="0"/>
          <w:sz w:val="24"/>
        </w:rPr>
        <w:t>最大相对离心力： 26054xg</w:t>
      </w:r>
    </w:p>
    <w:p>
      <w:pPr>
        <w:spacing w:line="360" w:lineRule="auto"/>
        <w:ind w:firstLine="424" w:firstLineChars="177"/>
        <w:rPr>
          <w:rFonts w:ascii="宋体" w:hAnsi="宋体" w:cs="宋体"/>
          <w:kern w:val="0"/>
          <w:sz w:val="24"/>
        </w:rPr>
      </w:pPr>
      <w:r>
        <w:rPr>
          <w:rFonts w:hint="eastAsia" w:ascii="宋体" w:hAnsi="宋体" w:cs="宋体"/>
          <w:kern w:val="0"/>
          <w:sz w:val="24"/>
        </w:rPr>
        <w:t>最大容量：        6×50ml</w:t>
      </w:r>
    </w:p>
    <w:p>
      <w:pPr>
        <w:spacing w:line="360" w:lineRule="auto"/>
        <w:ind w:firstLine="424" w:firstLineChars="177"/>
        <w:rPr>
          <w:rFonts w:ascii="宋体" w:hAnsi="宋体" w:cs="宋体"/>
          <w:kern w:val="0"/>
          <w:sz w:val="24"/>
        </w:rPr>
      </w:pPr>
      <w:r>
        <w:rPr>
          <w:rFonts w:hint="eastAsia" w:ascii="宋体" w:hAnsi="宋体" w:cs="宋体"/>
          <w:kern w:val="0"/>
          <w:sz w:val="24"/>
        </w:rPr>
        <w:t>转速精度：        ±30r/min</w:t>
      </w:r>
    </w:p>
    <w:p>
      <w:pPr>
        <w:spacing w:line="360" w:lineRule="auto"/>
        <w:ind w:firstLine="424" w:firstLineChars="177"/>
        <w:rPr>
          <w:rFonts w:ascii="宋体" w:hAnsi="宋体" w:cs="宋体"/>
          <w:kern w:val="0"/>
          <w:sz w:val="24"/>
        </w:rPr>
      </w:pPr>
      <w:r>
        <w:rPr>
          <w:rFonts w:hint="eastAsia" w:ascii="宋体" w:hAnsi="宋体" w:cs="宋体"/>
          <w:kern w:val="0"/>
          <w:sz w:val="24"/>
        </w:rPr>
        <w:t xml:space="preserve">定时范围：        1min～99min59sec </w:t>
      </w:r>
    </w:p>
    <w:p>
      <w:pPr>
        <w:spacing w:line="360" w:lineRule="auto"/>
        <w:ind w:firstLine="424" w:firstLineChars="177"/>
        <w:rPr>
          <w:rFonts w:ascii="宋体" w:hAnsi="宋体" w:cs="宋体"/>
          <w:kern w:val="0"/>
          <w:sz w:val="24"/>
        </w:rPr>
      </w:pPr>
      <w:r>
        <w:rPr>
          <w:rFonts w:hint="eastAsia" w:ascii="宋体" w:hAnsi="宋体" w:cs="宋体"/>
          <w:kern w:val="0"/>
          <w:sz w:val="24"/>
        </w:rPr>
        <w:t>整机噪声：        ≦65dB(A)</w:t>
      </w:r>
    </w:p>
    <w:p>
      <w:pPr>
        <w:spacing w:line="360" w:lineRule="auto"/>
        <w:ind w:firstLine="424" w:firstLineChars="177"/>
        <w:rPr>
          <w:rFonts w:ascii="宋体" w:hAnsi="宋体" w:cs="宋体"/>
          <w:kern w:val="0"/>
          <w:sz w:val="24"/>
        </w:rPr>
      </w:pPr>
      <w:r>
        <w:rPr>
          <w:rFonts w:hint="eastAsia" w:ascii="宋体" w:hAnsi="宋体" w:cs="宋体"/>
          <w:kern w:val="0"/>
          <w:sz w:val="24"/>
        </w:rPr>
        <w:t>电    源：        AC220V±22V 50/60Hz 5A</w:t>
      </w:r>
    </w:p>
    <w:p>
      <w:pPr>
        <w:spacing w:line="360" w:lineRule="auto"/>
        <w:ind w:firstLine="424" w:firstLineChars="177"/>
        <w:rPr>
          <w:rFonts w:ascii="宋体" w:hAnsi="宋体" w:cs="宋体"/>
          <w:kern w:val="0"/>
          <w:sz w:val="24"/>
        </w:rPr>
      </w:pPr>
      <w:r>
        <w:rPr>
          <w:rFonts w:hint="eastAsia" w:ascii="宋体" w:hAnsi="宋体" w:cs="宋体"/>
          <w:kern w:val="0"/>
          <w:sz w:val="24"/>
        </w:rPr>
        <w:t>整机功率：        400W</w:t>
      </w:r>
    </w:p>
    <w:p>
      <w:pPr>
        <w:spacing w:line="360" w:lineRule="auto"/>
        <w:ind w:firstLine="424" w:firstLineChars="177"/>
        <w:rPr>
          <w:rFonts w:ascii="宋体" w:hAnsi="宋体" w:cs="宋体"/>
          <w:kern w:val="0"/>
          <w:sz w:val="24"/>
        </w:rPr>
      </w:pPr>
      <w:r>
        <w:rPr>
          <w:rFonts w:hint="eastAsia" w:ascii="宋体" w:hAnsi="宋体" w:cs="宋体"/>
          <w:kern w:val="0"/>
          <w:sz w:val="24"/>
        </w:rPr>
        <w:t>配   置：24×1.5ml角转子（转速16500r/min，离心力26054xg）</w:t>
      </w:r>
    </w:p>
    <w:p>
      <w:pPr>
        <w:spacing w:line="360" w:lineRule="auto"/>
        <w:rPr>
          <w:rFonts w:ascii="宋体" w:hAnsi="宋体" w:cs="宋体"/>
          <w:kern w:val="0"/>
          <w:sz w:val="24"/>
        </w:rPr>
      </w:pPr>
    </w:p>
    <w:p>
      <w:pPr>
        <w:spacing w:line="360" w:lineRule="auto"/>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br w:type="page"/>
      </w:r>
    </w:p>
    <w:p>
      <w:pPr>
        <w:pStyle w:val="6"/>
        <w:jc w:val="center"/>
      </w:pPr>
      <w:bookmarkStart w:id="232" w:name="_Toc97553867"/>
      <w:r>
        <w:rPr>
          <w:rFonts w:hint="eastAsia"/>
        </w:rPr>
        <w:t>微孔板离心机（3台）</w:t>
      </w:r>
      <w:bookmarkEnd w:id="232"/>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微孔板离心机是专门为微孔板设计的瞬时离心机，方便离下挂壁液。适用于96孔或384及小容量微孔板, 同样适用带裙边、不带裙边及各种标准PCR微孔板。</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本产品需满足</w:t>
      </w:r>
    </w:p>
    <w:p>
      <w:pPr>
        <w:widowControl/>
        <w:shd w:val="clear" w:color="auto" w:fill="FFFFFF"/>
        <w:spacing w:line="360" w:lineRule="auto"/>
        <w:ind w:left="-718" w:leftChars="-342" w:firstLine="718"/>
        <w:jc w:val="left"/>
        <w:rPr>
          <w:rFonts w:ascii="宋体" w:hAnsi="宋体" w:cs="宋体"/>
          <w:kern w:val="0"/>
          <w:sz w:val="24"/>
        </w:rPr>
      </w:pPr>
      <w:bookmarkStart w:id="233" w:name="_Toc424548476"/>
      <w:bookmarkStart w:id="234" w:name="_Toc373325789"/>
      <w:bookmarkStart w:id="235" w:name="_Toc373324565"/>
      <w:r>
        <w:rPr>
          <w:rFonts w:hint="eastAsia" w:ascii="宋体" w:hAnsi="宋体" w:cs="宋体"/>
          <w:kern w:val="0"/>
          <w:sz w:val="24"/>
        </w:rPr>
        <w:t>1.简单易用的人机操作界面，实时显示全部运行信息和设置信息，方便用户观察设备运行状态。</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2.采用直流无刷电机，噪音低、干扰小、免维护。</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3.支持开盖自动停机功能。</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4.支持点动运行功能。</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5.加速快，从完全静止到高转速只需10秒。</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6.刹车时间短，从高速到完全静止只需4秒。</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正常工作条件</w:t>
      </w:r>
      <w:bookmarkEnd w:id="233"/>
      <w:bookmarkEnd w:id="234"/>
      <w:bookmarkEnd w:id="235"/>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使用环境温度：0</w:t>
      </w:r>
      <w:r>
        <w:rPr>
          <w:rFonts w:hint="eastAsia" w:ascii="宋体" w:hAnsi="宋体" w:cs="宋体"/>
          <w:kern w:val="0"/>
          <w:sz w:val="24"/>
        </w:rPr>
        <w:sym w:font="Symbol" w:char="00B0"/>
      </w:r>
      <w:r>
        <w:rPr>
          <w:rFonts w:hint="eastAsia" w:ascii="宋体" w:hAnsi="宋体" w:cs="宋体"/>
          <w:kern w:val="0"/>
          <w:sz w:val="24"/>
        </w:rPr>
        <w:t xml:space="preserve">C </w:t>
      </w:r>
      <w:r>
        <w:rPr>
          <w:rFonts w:hint="eastAsia" w:ascii="宋体" w:hAnsi="宋体" w:cs="宋体"/>
          <w:kern w:val="0"/>
          <w:sz w:val="24"/>
        </w:rPr>
        <w:sym w:font="Symbol" w:char="007E"/>
      </w:r>
      <w:r>
        <w:rPr>
          <w:rFonts w:hint="eastAsia" w:ascii="宋体" w:hAnsi="宋体" w:cs="宋体"/>
          <w:kern w:val="0"/>
          <w:sz w:val="24"/>
        </w:rPr>
        <w:t xml:space="preserve"> 35</w:t>
      </w:r>
      <w:r>
        <w:rPr>
          <w:rFonts w:hint="eastAsia" w:ascii="宋体" w:hAnsi="宋体" w:cs="宋体"/>
          <w:kern w:val="0"/>
          <w:sz w:val="24"/>
        </w:rPr>
        <w:sym w:font="Symbol" w:char="00B0"/>
      </w:r>
      <w:r>
        <w:rPr>
          <w:rFonts w:hint="eastAsia" w:ascii="宋体" w:hAnsi="宋体" w:cs="宋体"/>
          <w:kern w:val="0"/>
          <w:sz w:val="24"/>
        </w:rPr>
        <w:t>C</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相对湿度：≤70%</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使用电源：AC110~220V/50-60HZ</w:t>
      </w:r>
      <w:bookmarkStart w:id="236" w:name="_Toc373325790"/>
      <w:bookmarkStart w:id="237" w:name="_Toc424548477"/>
      <w:bookmarkStart w:id="238" w:name="_Toc373324566"/>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基本参数和性能</w:t>
      </w:r>
      <w:bookmarkEnd w:id="236"/>
      <w:bookmarkEnd w:id="237"/>
      <w:bookmarkEnd w:id="238"/>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 xml:space="preserve">转速设置范围：          2200~2800Rpm         </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时间设置：           15秒 ~1分钟59秒</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 xml:space="preserve">相对离心力：           550g               </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加速时间：           ≤10秒（0至2800Rpm）</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 xml:space="preserve">刹车时间：           ≤4秒（2800至0Rpm）    </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开盖停机：                支持</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 xml:space="preserve">短 运 行：                支持               </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容    量：           2块标准PCR微孔板</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 xml:space="preserve">输入功率：                45W               </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电    压：           AC110~220V/50-60HZ</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 xml:space="preserve">熔 断 器：           250V/3A  Ф5×20        </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color w:val="FF0000"/>
          <w:kern w:val="0"/>
          <w:sz w:val="24"/>
        </w:rPr>
        <w:t xml:space="preserve">      </w:t>
      </w:r>
      <w:r>
        <w:rPr>
          <w:rFonts w:hint="eastAsia" w:ascii="宋体" w:hAnsi="宋体" w:cs="宋体"/>
          <w:kern w:val="0"/>
          <w:sz w:val="24"/>
        </w:rPr>
        <w:t xml:space="preserve"> </w:t>
      </w:r>
    </w:p>
    <w:p>
      <w:pPr>
        <w:pStyle w:val="6"/>
        <w:jc w:val="center"/>
      </w:pPr>
      <w:bookmarkStart w:id="239" w:name="_Toc97553868"/>
      <w:r>
        <w:rPr>
          <w:rFonts w:hint="eastAsia"/>
        </w:rPr>
        <w:t>恒温金属浴（1台）</w:t>
      </w:r>
      <w:bookmarkEnd w:id="239"/>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新型恒温金属浴是采用先进的微电脑控制和热电制冷技术制造的一款多功能、多用途的产品，一台主机可配置多种模块，满足不同试管、不同孔数的试验要求，模块更换需简单便捷，金属模块可使样品免受污染。可广泛应用于样品的保存、各种酶的保存和反应、核酸和蛋白质的变性处理、PCR反应、电泳的预变性和血清凝固等。</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需大屏幕彩色VFD显示，设置内容有形象的标识提示，不同的参数由不同颜色显示，界面清晰，操作简单，不易出错。设定温度、即时温度、设定时间和运行时间显示，单点程序运行与多点程序运行有标识提示，设置参数和工作状态一目了然。</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软件功能根据实际功能需求而精心设计，操作简单而功能实用，常用温度点和恒温时间可以设置后保存，需要时调用即可。强大的可编程功能可实行多点温度点的控制，最多可达5个温度点的温度和恒温时间的设置及连续运行，运行时其温度和恒温时间实时动态显示。</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软性按键，按键经久耐用。</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采用先进的热电制冷技术，升、降温反应快，PID控制能够在达到目标温度后快速的保持稳定，可节省等待时间，专用的制冷片使用寿命更长，产品设计紧凑而严密，占用的空间范围小，带来更多自由和方便。</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内置超温保护装置并通过CE认证，使用更可靠安全。</w:t>
      </w:r>
    </w:p>
    <w:p>
      <w:pPr>
        <w:widowControl/>
        <w:shd w:val="clear" w:color="auto" w:fill="FFFFFF"/>
        <w:spacing w:line="360" w:lineRule="auto"/>
        <w:ind w:left="-718" w:leftChars="-342" w:firstLine="718"/>
        <w:jc w:val="left"/>
        <w:rPr>
          <w:rFonts w:ascii="宋体" w:hAnsi="宋体" w:cs="宋体"/>
          <w:kern w:val="0"/>
          <w:sz w:val="24"/>
        </w:rPr>
      </w:pPr>
      <w:r>
        <w:rPr>
          <w:rFonts w:hint="eastAsia" w:ascii="宋体" w:hAnsi="宋体" w:cs="宋体"/>
          <w:kern w:val="0"/>
          <w:sz w:val="24"/>
        </w:rPr>
        <w:t>具有温度校准功能，更多的满足使用要求。</w:t>
      </w:r>
    </w:p>
    <w:tbl>
      <w:tblPr>
        <w:tblStyle w:val="41"/>
        <w:tblpPr w:leftFromText="36" w:rightFromText="36" w:vertAnchor="text"/>
        <w:tblW w:w="9594" w:type="dxa"/>
        <w:tblCellSpacing w:w="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2" w:type="dxa"/>
          <w:left w:w="12" w:type="dxa"/>
          <w:bottom w:w="12" w:type="dxa"/>
          <w:right w:w="12" w:type="dxa"/>
        </w:tblCellMar>
      </w:tblPr>
      <w:tblGrid>
        <w:gridCol w:w="3367"/>
        <w:gridCol w:w="6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 w:type="dxa"/>
            <w:left w:w="12" w:type="dxa"/>
            <w:bottom w:w="12" w:type="dxa"/>
            <w:right w:w="12" w:type="dxa"/>
          </w:tblCellMar>
        </w:tblPrEx>
        <w:trPr>
          <w:trHeight w:val="601" w:hRule="atLeast"/>
          <w:tblCellSpacing w:w="6" w:type="dxa"/>
        </w:trPr>
        <w:tc>
          <w:tcPr>
            <w:tcW w:w="334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温度设置范围</w:t>
            </w:r>
          </w:p>
        </w:tc>
        <w:tc>
          <w:tcPr>
            <w:tcW w:w="620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10℃-105℃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2" w:type="dxa"/>
            <w:left w:w="12" w:type="dxa"/>
            <w:bottom w:w="12" w:type="dxa"/>
            <w:right w:w="12" w:type="dxa"/>
          </w:tblCellMar>
        </w:tblPrEx>
        <w:trPr>
          <w:trHeight w:val="591" w:hRule="atLeast"/>
          <w:tblCellSpacing w:w="6" w:type="dxa"/>
        </w:trPr>
        <w:tc>
          <w:tcPr>
            <w:tcW w:w="334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温控范围</w:t>
            </w:r>
          </w:p>
        </w:tc>
        <w:tc>
          <w:tcPr>
            <w:tcW w:w="620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(室温+5℃)~105℃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2" w:type="dxa"/>
            <w:left w:w="12" w:type="dxa"/>
            <w:bottom w:w="12" w:type="dxa"/>
            <w:right w:w="12" w:type="dxa"/>
          </w:tblCellMar>
        </w:tblPrEx>
        <w:trPr>
          <w:trHeight w:val="90" w:hRule="atLeast"/>
          <w:tblCellSpacing w:w="6" w:type="dxa"/>
        </w:trPr>
        <w:tc>
          <w:tcPr>
            <w:tcW w:w="334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时间设置范围</w:t>
            </w:r>
          </w:p>
        </w:tc>
        <w:tc>
          <w:tcPr>
            <w:tcW w:w="620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1min-99h59min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2" w:type="dxa"/>
            <w:left w:w="12" w:type="dxa"/>
            <w:bottom w:w="12" w:type="dxa"/>
            <w:right w:w="12" w:type="dxa"/>
          </w:tblCellMar>
        </w:tblPrEx>
        <w:trPr>
          <w:trHeight w:val="465" w:hRule="atLeast"/>
          <w:tblCellSpacing w:w="6" w:type="dxa"/>
        </w:trPr>
        <w:tc>
          <w:tcPr>
            <w:tcW w:w="334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温度波动度</w:t>
            </w:r>
          </w:p>
        </w:tc>
        <w:tc>
          <w:tcPr>
            <w:tcW w:w="620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2" w:type="dxa"/>
            <w:left w:w="12" w:type="dxa"/>
            <w:bottom w:w="12" w:type="dxa"/>
            <w:right w:w="12" w:type="dxa"/>
          </w:tblCellMar>
        </w:tblPrEx>
        <w:trPr>
          <w:trHeight w:val="455" w:hRule="atLeast"/>
          <w:tblCellSpacing w:w="6" w:type="dxa"/>
        </w:trPr>
        <w:tc>
          <w:tcPr>
            <w:tcW w:w="334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温控精度</w:t>
            </w:r>
          </w:p>
        </w:tc>
        <w:tc>
          <w:tcPr>
            <w:tcW w:w="620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2" w:type="dxa"/>
            <w:left w:w="12" w:type="dxa"/>
            <w:bottom w:w="12" w:type="dxa"/>
            <w:right w:w="12" w:type="dxa"/>
          </w:tblCellMar>
        </w:tblPrEx>
        <w:trPr>
          <w:trHeight w:val="455" w:hRule="atLeast"/>
          <w:tblCellSpacing w:w="6" w:type="dxa"/>
        </w:trPr>
        <w:tc>
          <w:tcPr>
            <w:tcW w:w="334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模块温度均匀性</w:t>
            </w:r>
          </w:p>
        </w:tc>
        <w:tc>
          <w:tcPr>
            <w:tcW w:w="620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2" w:type="dxa"/>
            <w:left w:w="12" w:type="dxa"/>
            <w:bottom w:w="12" w:type="dxa"/>
            <w:right w:w="12" w:type="dxa"/>
          </w:tblCellMar>
        </w:tblPrEx>
        <w:trPr>
          <w:trHeight w:val="601" w:hRule="atLeast"/>
          <w:tblCellSpacing w:w="6" w:type="dxa"/>
        </w:trPr>
        <w:tc>
          <w:tcPr>
            <w:tcW w:w="334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加热时间</w:t>
            </w:r>
          </w:p>
        </w:tc>
        <w:tc>
          <w:tcPr>
            <w:tcW w:w="620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≤12min（20℃至100℃）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2" w:type="dxa"/>
            <w:left w:w="12" w:type="dxa"/>
            <w:bottom w:w="12" w:type="dxa"/>
            <w:right w:w="12" w:type="dxa"/>
          </w:tblCellMar>
        </w:tblPrEx>
        <w:trPr>
          <w:trHeight w:val="455" w:hRule="atLeast"/>
          <w:tblCellSpacing w:w="6" w:type="dxa"/>
        </w:trPr>
        <w:tc>
          <w:tcPr>
            <w:tcW w:w="334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制冷时间</w:t>
            </w:r>
          </w:p>
        </w:tc>
        <w:tc>
          <w:tcPr>
            <w:tcW w:w="620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2" w:type="dxa"/>
            <w:left w:w="12" w:type="dxa"/>
            <w:bottom w:w="12" w:type="dxa"/>
            <w:right w:w="12" w:type="dxa"/>
          </w:tblCellMar>
        </w:tblPrEx>
        <w:trPr>
          <w:trHeight w:val="391" w:hRule="atLeast"/>
          <w:tblCellSpacing w:w="6" w:type="dxa"/>
        </w:trPr>
        <w:tc>
          <w:tcPr>
            <w:tcW w:w="334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标准模块</w:t>
            </w:r>
          </w:p>
        </w:tc>
        <w:tc>
          <w:tcPr>
            <w:tcW w:w="620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A:40*1.5ml;  B:54*0.5ml;  C:96*0.2ml;  D:24*φ15mm;  H:40*2.0ml</w:t>
            </w:r>
            <w:r>
              <w:rPr>
                <w:rFonts w:hint="eastAsia" w:ascii="宋体" w:hAnsi="宋体" w:cs="宋体"/>
                <w:kern w:val="0"/>
                <w:sz w:val="24"/>
              </w:rPr>
              <w:br w:type="textWrapping"/>
            </w:r>
            <w:r>
              <w:rPr>
                <w:rFonts w:hint="eastAsia" w:ascii="宋体" w:hAnsi="宋体" w:cs="宋体"/>
                <w:kern w:val="0"/>
                <w:sz w:val="24"/>
              </w:rPr>
              <w:t>G:26*0.5ml+24*1.5ml;  J:96孔酶标板水槽模块  E:115mm*73mm*38mm(L*W*H)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2" w:type="dxa"/>
            <w:left w:w="12" w:type="dxa"/>
            <w:bottom w:w="12" w:type="dxa"/>
            <w:right w:w="12" w:type="dxa"/>
          </w:tblCellMar>
        </w:tblPrEx>
        <w:trPr>
          <w:trHeight w:val="455" w:hRule="atLeast"/>
          <w:tblCellSpacing w:w="6" w:type="dxa"/>
        </w:trPr>
        <w:tc>
          <w:tcPr>
            <w:tcW w:w="334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加热</w:t>
            </w:r>
          </w:p>
        </w:tc>
        <w:tc>
          <w:tcPr>
            <w:tcW w:w="620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加热管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2" w:type="dxa"/>
            <w:left w:w="12" w:type="dxa"/>
            <w:bottom w:w="12" w:type="dxa"/>
            <w:right w:w="12" w:type="dxa"/>
          </w:tblCellMar>
        </w:tblPrEx>
        <w:trPr>
          <w:trHeight w:val="455" w:hRule="atLeast"/>
          <w:tblCellSpacing w:w="6" w:type="dxa"/>
        </w:trPr>
        <w:tc>
          <w:tcPr>
            <w:tcW w:w="334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制冷</w:t>
            </w:r>
          </w:p>
        </w:tc>
        <w:tc>
          <w:tcPr>
            <w:tcW w:w="620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2" w:type="dxa"/>
            <w:left w:w="12" w:type="dxa"/>
            <w:bottom w:w="12" w:type="dxa"/>
            <w:right w:w="12" w:type="dxa"/>
          </w:tblCellMar>
        </w:tblPrEx>
        <w:trPr>
          <w:trHeight w:val="465" w:hRule="atLeast"/>
          <w:tblCellSpacing w:w="6" w:type="dxa"/>
        </w:trPr>
        <w:tc>
          <w:tcPr>
            <w:tcW w:w="334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外形尺寸（mm）</w:t>
            </w:r>
          </w:p>
        </w:tc>
        <w:tc>
          <w:tcPr>
            <w:tcW w:w="620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300*200*160（L*W*H）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2" w:type="dxa"/>
            <w:left w:w="12" w:type="dxa"/>
            <w:bottom w:w="12" w:type="dxa"/>
            <w:right w:w="12" w:type="dxa"/>
          </w:tblCellMar>
        </w:tblPrEx>
        <w:trPr>
          <w:trHeight w:val="455" w:hRule="atLeast"/>
          <w:tblCellSpacing w:w="6" w:type="dxa"/>
        </w:trPr>
        <w:tc>
          <w:tcPr>
            <w:tcW w:w="334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净重</w:t>
            </w:r>
          </w:p>
        </w:tc>
        <w:tc>
          <w:tcPr>
            <w:tcW w:w="620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2.8kg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 w:type="dxa"/>
            <w:left w:w="12" w:type="dxa"/>
            <w:bottom w:w="12" w:type="dxa"/>
            <w:right w:w="12" w:type="dxa"/>
          </w:tblCellMar>
        </w:tblPrEx>
        <w:trPr>
          <w:trHeight w:val="455" w:hRule="atLeast"/>
          <w:tblCellSpacing w:w="6" w:type="dxa"/>
        </w:trPr>
        <w:tc>
          <w:tcPr>
            <w:tcW w:w="334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电源</w:t>
            </w:r>
          </w:p>
        </w:tc>
        <w:tc>
          <w:tcPr>
            <w:tcW w:w="620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220V~  50Hz  120W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2" w:type="dxa"/>
            <w:left w:w="12" w:type="dxa"/>
            <w:bottom w:w="12" w:type="dxa"/>
            <w:right w:w="12" w:type="dxa"/>
          </w:tblCellMar>
        </w:tblPrEx>
        <w:trPr>
          <w:trHeight w:val="465" w:hRule="atLeast"/>
          <w:tblCellSpacing w:w="6" w:type="dxa"/>
        </w:trPr>
        <w:tc>
          <w:tcPr>
            <w:tcW w:w="334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认证</w:t>
            </w:r>
          </w:p>
        </w:tc>
        <w:tc>
          <w:tcPr>
            <w:tcW w:w="6209" w:type="dxa"/>
            <w:shd w:val="clear" w:color="auto" w:fill="FFFFFF"/>
            <w:tcMar>
              <w:top w:w="0" w:type="dxa"/>
              <w:left w:w="0" w:type="dxa"/>
              <w:bottom w:w="0" w:type="dxa"/>
              <w:right w:w="0" w:type="dxa"/>
            </w:tcMar>
            <w:vAlign w:val="center"/>
          </w:tcPr>
          <w:p>
            <w:pPr>
              <w:widowControl/>
              <w:shd w:val="clear" w:color="auto" w:fill="FFFFFF"/>
              <w:spacing w:line="360" w:lineRule="auto"/>
              <w:ind w:left="-718" w:leftChars="-342" w:firstLine="718"/>
              <w:jc w:val="center"/>
              <w:rPr>
                <w:rFonts w:ascii="宋体" w:hAnsi="宋体" w:cs="宋体"/>
                <w:kern w:val="0"/>
                <w:sz w:val="24"/>
              </w:rPr>
            </w:pPr>
            <w:r>
              <w:rPr>
                <w:rFonts w:hint="eastAsia" w:ascii="宋体" w:hAnsi="宋体" w:cs="宋体"/>
                <w:kern w:val="0"/>
                <w:sz w:val="24"/>
              </w:rPr>
              <w:t>CE/EMC/RoHS/PICC产品质量责</w:t>
            </w:r>
          </w:p>
        </w:tc>
      </w:tr>
    </w:tbl>
    <w:p>
      <w:pPr>
        <w:widowControl/>
        <w:shd w:val="clear" w:color="auto" w:fill="FFFFFF"/>
        <w:spacing w:line="360" w:lineRule="auto"/>
        <w:ind w:left="-718" w:leftChars="-342" w:firstLine="718"/>
        <w:jc w:val="left"/>
        <w:rPr>
          <w:rFonts w:ascii="宋体" w:hAnsi="宋体" w:cs="宋体"/>
          <w:kern w:val="0"/>
          <w:sz w:val="24"/>
        </w:rPr>
      </w:pPr>
    </w:p>
    <w:p>
      <w:pPr>
        <w:widowControl/>
        <w:spacing w:line="360" w:lineRule="auto"/>
        <w:jc w:val="left"/>
        <w:rPr>
          <w:rFonts w:ascii="微软雅黑" w:hAnsi="微软雅黑" w:eastAsia="微软雅黑"/>
          <w:sz w:val="18"/>
          <w:szCs w:val="18"/>
        </w:rPr>
      </w:pPr>
      <w:r>
        <w:rPr>
          <w:rFonts w:ascii="微软雅黑" w:hAnsi="微软雅黑" w:eastAsia="微软雅黑"/>
          <w:sz w:val="18"/>
          <w:szCs w:val="18"/>
        </w:rPr>
        <w:br w:type="page"/>
      </w:r>
    </w:p>
    <w:p>
      <w:pPr>
        <w:pStyle w:val="6"/>
        <w:jc w:val="center"/>
      </w:pPr>
      <w:bookmarkStart w:id="240" w:name="_Toc97553869"/>
      <w:r>
        <w:rPr>
          <w:rFonts w:hint="eastAsia"/>
        </w:rPr>
        <w:t>掌上离心机（4台）</w:t>
      </w:r>
      <w:bookmarkEnd w:id="240"/>
    </w:p>
    <w:p>
      <w:pPr>
        <w:pStyle w:val="38"/>
        <w:shd w:val="clear" w:color="auto" w:fill="FFFFFF"/>
        <w:spacing w:beforeAutospacing="0" w:afterAutospacing="0" w:line="360" w:lineRule="auto"/>
        <w:ind w:firstLine="480" w:firstLineChars="200"/>
        <w:rPr>
          <w:rFonts w:ascii="宋体" w:hAnsi="宋体" w:cs="宋体"/>
        </w:rPr>
      </w:pPr>
      <w:r>
        <w:rPr>
          <w:rFonts w:hint="eastAsia" w:ascii="宋体" w:hAnsi="宋体" w:cs="宋体"/>
        </w:rPr>
        <w:t>本产品标配两个转头：8×1.5ml转头最多可容纳8个1.5ml或者2.0ml离心管,如果使用随机配备的0.2ml或0.5ml试管套,还可在此机上使用0.2ml或0.5ml试管：4×8×0.2ml转头可供4排8孔×0.2ml的PCR专用试管使用,两种转头均可用于需微量离心、细胞分离和迅速与试管壁分离等试验中。 </w:t>
      </w:r>
    </w:p>
    <w:p>
      <w:pPr>
        <w:pStyle w:val="38"/>
        <w:shd w:val="clear" w:color="auto" w:fill="FFFFFF"/>
        <w:spacing w:beforeAutospacing="0" w:afterAutospacing="0" w:line="360" w:lineRule="auto"/>
        <w:rPr>
          <w:rFonts w:ascii="宋体" w:hAnsi="宋体" w:cs="宋体"/>
        </w:rPr>
      </w:pPr>
      <w:r>
        <w:rPr>
          <w:rFonts w:hint="eastAsia" w:ascii="宋体" w:hAnsi="宋体" w:cs="宋体"/>
        </w:rPr>
        <w:t>产品特点：</w:t>
      </w:r>
    </w:p>
    <w:p>
      <w:pPr>
        <w:pStyle w:val="38"/>
        <w:shd w:val="clear" w:color="auto" w:fill="FFFFFF"/>
        <w:spacing w:beforeAutospacing="0" w:after="240" w:afterAutospacing="0" w:line="360" w:lineRule="auto"/>
        <w:rPr>
          <w:rFonts w:ascii="宋体" w:hAnsi="宋体" w:cs="宋体"/>
        </w:rPr>
      </w:pPr>
      <w:r>
        <w:rPr>
          <w:rFonts w:hint="eastAsia" w:ascii="宋体" w:hAnsi="宋体" w:cs="宋体"/>
        </w:rPr>
        <w:t>1.体积小，重量轻；</w:t>
      </w:r>
    </w:p>
    <w:p>
      <w:pPr>
        <w:pStyle w:val="38"/>
        <w:shd w:val="clear" w:color="auto" w:fill="FFFFFF"/>
        <w:spacing w:beforeAutospacing="0" w:after="240" w:afterAutospacing="0" w:line="360" w:lineRule="auto"/>
        <w:rPr>
          <w:rFonts w:ascii="宋体" w:hAnsi="宋体" w:cs="宋体"/>
        </w:rPr>
      </w:pPr>
      <w:r>
        <w:rPr>
          <w:rFonts w:hint="eastAsia" w:ascii="宋体" w:hAnsi="宋体" w:cs="宋体"/>
        </w:rPr>
        <w:t>2.1.5ml转子可容纳8个1.5/2.0/0.5/0.2ml离心管样品；</w:t>
      </w:r>
    </w:p>
    <w:p>
      <w:pPr>
        <w:pStyle w:val="38"/>
        <w:shd w:val="clear" w:color="auto" w:fill="FFFFFF"/>
        <w:spacing w:beforeAutospacing="0" w:after="240" w:afterAutospacing="0" w:line="360" w:lineRule="auto"/>
        <w:rPr>
          <w:rFonts w:ascii="宋体" w:hAnsi="宋体" w:cs="宋体"/>
        </w:rPr>
      </w:pPr>
      <w:r>
        <w:rPr>
          <w:rFonts w:hint="eastAsia" w:ascii="宋体" w:hAnsi="宋体" w:cs="宋体"/>
        </w:rPr>
        <w:t>3.8联排转子可容纳32个0.2ml离心管样品；</w:t>
      </w:r>
    </w:p>
    <w:p>
      <w:pPr>
        <w:pStyle w:val="38"/>
        <w:shd w:val="clear" w:color="auto" w:fill="FFFFFF"/>
        <w:spacing w:beforeAutospacing="0" w:after="240" w:afterAutospacing="0" w:line="360" w:lineRule="auto"/>
        <w:rPr>
          <w:rFonts w:ascii="宋体" w:hAnsi="宋体" w:cs="宋体"/>
        </w:rPr>
      </w:pPr>
      <w:r>
        <w:rPr>
          <w:rFonts w:hint="eastAsia" w:ascii="宋体" w:hAnsi="宋体" w:cs="宋体"/>
        </w:rPr>
        <w:t>4.采用翻盖开关功能，开盖即自动停止，外盖采用复合材料，不易破碎 </w:t>
      </w:r>
    </w:p>
    <w:p>
      <w:pPr>
        <w:widowControl/>
        <w:spacing w:line="360" w:lineRule="auto"/>
        <w:jc w:val="left"/>
        <w:rPr>
          <w:rFonts w:ascii="微软雅黑" w:hAnsi="微软雅黑" w:eastAsia="微软雅黑"/>
          <w:sz w:val="18"/>
          <w:szCs w:val="18"/>
        </w:rPr>
      </w:pPr>
      <w:r>
        <w:rPr>
          <w:rFonts w:ascii="微软雅黑" w:hAnsi="微软雅黑" w:eastAsia="微软雅黑"/>
          <w:sz w:val="18"/>
          <w:szCs w:val="18"/>
        </w:rPr>
        <w:br w:type="page"/>
      </w:r>
    </w:p>
    <w:p>
      <w:pPr>
        <w:pStyle w:val="6"/>
        <w:jc w:val="center"/>
        <w:rPr>
          <w:rFonts w:ascii="微软雅黑" w:hAnsi="微软雅黑" w:eastAsia="微软雅黑"/>
          <w:sz w:val="18"/>
          <w:szCs w:val="18"/>
        </w:rPr>
      </w:pPr>
      <w:bookmarkStart w:id="241" w:name="_Toc97553870"/>
      <w:r>
        <w:rPr>
          <w:rFonts w:hint="eastAsia"/>
        </w:rPr>
        <w:t>移液枪（各4套）</w:t>
      </w:r>
      <w:bookmarkEnd w:id="241"/>
    </w:p>
    <w:tbl>
      <w:tblPr>
        <w:tblStyle w:val="42"/>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956"/>
        <w:gridCol w:w="1134"/>
        <w:gridCol w:w="1134"/>
        <w:gridCol w:w="1559"/>
        <w:gridCol w:w="1276"/>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4"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型号</w:t>
            </w:r>
          </w:p>
        </w:tc>
        <w:tc>
          <w:tcPr>
            <w:tcW w:w="956"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量程</w:t>
            </w:r>
          </w:p>
          <w:p>
            <w:pPr>
              <w:spacing w:line="360" w:lineRule="auto"/>
              <w:jc w:val="center"/>
              <w:rPr>
                <w:rFonts w:ascii="宋体" w:hAnsi="宋体" w:cs="宋体"/>
                <w:kern w:val="0"/>
                <w:sz w:val="24"/>
              </w:rPr>
            </w:pPr>
            <w:r>
              <w:rPr>
                <w:rStyle w:val="443"/>
                <w:rFonts w:hint="eastAsia" w:ascii="宋体" w:hAnsi="宋体" w:cs="宋体"/>
                <w:color w:val="auto"/>
                <w:kern w:val="0"/>
                <w:sz w:val="24"/>
              </w:rPr>
              <w:t>μL</w:t>
            </w:r>
          </w:p>
        </w:tc>
        <w:tc>
          <w:tcPr>
            <w:tcW w:w="1134"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步进量</w:t>
            </w:r>
          </w:p>
          <w:p>
            <w:pPr>
              <w:spacing w:line="360" w:lineRule="auto"/>
              <w:jc w:val="center"/>
              <w:rPr>
                <w:rFonts w:ascii="宋体" w:hAnsi="宋体" w:cs="宋体"/>
                <w:kern w:val="0"/>
                <w:sz w:val="24"/>
              </w:rPr>
            </w:pPr>
            <w:r>
              <w:rPr>
                <w:rStyle w:val="443"/>
                <w:rFonts w:hint="eastAsia" w:ascii="宋体" w:hAnsi="宋体" w:cs="宋体"/>
                <w:color w:val="auto"/>
                <w:kern w:val="0"/>
                <w:sz w:val="24"/>
              </w:rPr>
              <w:t>μL</w:t>
            </w:r>
          </w:p>
        </w:tc>
        <w:tc>
          <w:tcPr>
            <w:tcW w:w="2693"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准确性</w:t>
            </w:r>
          </w:p>
        </w:tc>
        <w:tc>
          <w:tcPr>
            <w:tcW w:w="3091"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4" w:type="dxa"/>
            <w:vMerge w:val="continue"/>
            <w:vAlign w:val="center"/>
          </w:tcPr>
          <w:p>
            <w:pPr>
              <w:widowControl/>
              <w:spacing w:line="360" w:lineRule="auto"/>
              <w:jc w:val="center"/>
              <w:rPr>
                <w:rFonts w:ascii="宋体" w:hAnsi="宋体" w:cs="宋体"/>
                <w:kern w:val="0"/>
                <w:sz w:val="24"/>
              </w:rPr>
            </w:pPr>
          </w:p>
        </w:tc>
        <w:tc>
          <w:tcPr>
            <w:tcW w:w="956" w:type="dxa"/>
            <w:vMerge w:val="continue"/>
            <w:vAlign w:val="center"/>
          </w:tcPr>
          <w:p>
            <w:pPr>
              <w:widowControl/>
              <w:spacing w:line="360" w:lineRule="auto"/>
              <w:jc w:val="center"/>
              <w:rPr>
                <w:rFonts w:ascii="宋体" w:hAnsi="宋体" w:cs="宋体"/>
                <w:kern w:val="0"/>
                <w:sz w:val="24"/>
              </w:rPr>
            </w:pPr>
          </w:p>
        </w:tc>
        <w:tc>
          <w:tcPr>
            <w:tcW w:w="1134" w:type="dxa"/>
            <w:vMerge w:val="continue"/>
            <w:vAlign w:val="center"/>
          </w:tcPr>
          <w:p>
            <w:pPr>
              <w:widowControl/>
              <w:spacing w:line="360" w:lineRule="auto"/>
              <w:jc w:val="center"/>
              <w:rPr>
                <w:rFonts w:ascii="宋体" w:hAnsi="宋体" w:cs="宋体"/>
                <w:kern w:val="0"/>
                <w:sz w:val="24"/>
              </w:rPr>
            </w:pPr>
          </w:p>
        </w:tc>
        <w:tc>
          <w:tcPr>
            <w:tcW w:w="1134" w:type="dxa"/>
            <w:vAlign w:val="center"/>
          </w:tcPr>
          <w:p>
            <w:pPr>
              <w:widowControl/>
              <w:spacing w:line="360" w:lineRule="auto"/>
              <w:jc w:val="center"/>
              <w:rPr>
                <w:rFonts w:ascii="宋体" w:hAnsi="宋体" w:cs="宋体"/>
                <w:kern w:val="0"/>
                <w:sz w:val="24"/>
              </w:rPr>
            </w:pPr>
            <w:r>
              <w:rPr>
                <w:rStyle w:val="443"/>
                <w:rFonts w:hint="eastAsia" w:ascii="宋体" w:hAnsi="宋体" w:cs="宋体"/>
                <w:color w:val="auto"/>
                <w:kern w:val="0"/>
                <w:sz w:val="24"/>
              </w:rPr>
              <w:t>%</w:t>
            </w:r>
          </w:p>
        </w:tc>
        <w:tc>
          <w:tcPr>
            <w:tcW w:w="1559" w:type="dxa"/>
            <w:vAlign w:val="center"/>
          </w:tcPr>
          <w:p>
            <w:pPr>
              <w:widowControl/>
              <w:spacing w:line="360" w:lineRule="auto"/>
              <w:jc w:val="center"/>
              <w:rPr>
                <w:rFonts w:ascii="宋体" w:hAnsi="宋体" w:cs="宋体"/>
                <w:kern w:val="0"/>
                <w:sz w:val="24"/>
              </w:rPr>
            </w:pPr>
            <w:r>
              <w:rPr>
                <w:rStyle w:val="443"/>
                <w:rFonts w:hint="eastAsia" w:ascii="宋体" w:hAnsi="宋体" w:cs="宋体"/>
                <w:color w:val="auto"/>
                <w:kern w:val="0"/>
                <w:sz w:val="24"/>
              </w:rPr>
              <w:t>μL (±)</w:t>
            </w:r>
          </w:p>
        </w:tc>
        <w:tc>
          <w:tcPr>
            <w:tcW w:w="1276" w:type="dxa"/>
            <w:vAlign w:val="center"/>
          </w:tcPr>
          <w:p>
            <w:pPr>
              <w:widowControl/>
              <w:spacing w:line="360" w:lineRule="auto"/>
              <w:jc w:val="center"/>
              <w:rPr>
                <w:rFonts w:ascii="宋体" w:hAnsi="宋体" w:cs="宋体"/>
                <w:kern w:val="0"/>
                <w:sz w:val="24"/>
              </w:rPr>
            </w:pPr>
            <w:r>
              <w:rPr>
                <w:rStyle w:val="443"/>
                <w:rFonts w:hint="eastAsia" w:ascii="宋体" w:hAnsi="宋体" w:cs="宋体"/>
                <w:color w:val="auto"/>
                <w:kern w:val="0"/>
                <w:sz w:val="24"/>
              </w:rPr>
              <w:t>%</w:t>
            </w:r>
          </w:p>
        </w:tc>
        <w:tc>
          <w:tcPr>
            <w:tcW w:w="1815" w:type="dxa"/>
            <w:vAlign w:val="center"/>
          </w:tcPr>
          <w:p>
            <w:pPr>
              <w:widowControl/>
              <w:spacing w:line="360" w:lineRule="auto"/>
              <w:jc w:val="center"/>
              <w:rPr>
                <w:rFonts w:ascii="宋体" w:hAnsi="宋体" w:cs="宋体"/>
                <w:kern w:val="0"/>
                <w:sz w:val="24"/>
              </w:rPr>
            </w:pPr>
            <w:r>
              <w:rPr>
                <w:rStyle w:val="443"/>
                <w:rFonts w:hint="eastAsia" w:ascii="宋体" w:hAnsi="宋体" w:cs="宋体"/>
                <w:color w:val="auto"/>
                <w:kern w:val="0"/>
                <w:sz w:val="24"/>
              </w:rPr>
              <w:t>μL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024"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10μL</w:t>
            </w:r>
          </w:p>
        </w:tc>
        <w:tc>
          <w:tcPr>
            <w:tcW w:w="956" w:type="dxa"/>
            <w:vAlign w:val="center"/>
          </w:tcPr>
          <w:p>
            <w:pPr>
              <w:widowControl/>
              <w:spacing w:line="360" w:lineRule="auto"/>
              <w:jc w:val="center"/>
              <w:rPr>
                <w:rFonts w:ascii="宋体" w:hAnsi="宋体" w:cs="宋体"/>
                <w:kern w:val="0"/>
                <w:sz w:val="24"/>
              </w:rPr>
            </w:pPr>
            <w:r>
              <w:rPr>
                <w:rStyle w:val="443"/>
                <w:rFonts w:hint="eastAsia" w:ascii="宋体" w:hAnsi="宋体" w:cs="宋体"/>
                <w:color w:val="auto"/>
                <w:kern w:val="0"/>
                <w:sz w:val="24"/>
              </w:rPr>
              <w:t>1.0</w:t>
            </w:r>
          </w:p>
        </w:tc>
        <w:tc>
          <w:tcPr>
            <w:tcW w:w="1134" w:type="dxa"/>
            <w:vMerge w:val="restart"/>
            <w:vAlign w:val="center"/>
          </w:tcPr>
          <w:p>
            <w:pPr>
              <w:widowControl/>
              <w:spacing w:line="360" w:lineRule="auto"/>
              <w:jc w:val="center"/>
              <w:rPr>
                <w:rFonts w:ascii="宋体" w:hAnsi="宋体" w:cs="宋体"/>
                <w:kern w:val="0"/>
                <w:sz w:val="24"/>
              </w:rPr>
            </w:pPr>
            <w:r>
              <w:rPr>
                <w:rStyle w:val="443"/>
                <w:rFonts w:hint="eastAsia" w:ascii="宋体" w:hAnsi="宋体" w:cs="宋体"/>
                <w:color w:val="auto"/>
                <w:kern w:val="0"/>
                <w:sz w:val="24"/>
              </w:rPr>
              <w:t>0.02</w:t>
            </w:r>
          </w:p>
        </w:tc>
        <w:tc>
          <w:tcPr>
            <w:tcW w:w="113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2.5 / (4)</w:t>
            </w:r>
            <w:r>
              <w:rPr>
                <w:rFonts w:hint="eastAsia" w:ascii="宋体" w:hAnsi="宋体" w:cs="宋体"/>
                <w:kern w:val="0"/>
                <w:sz w:val="24"/>
                <w:vertAlign w:val="superscript"/>
              </w:rPr>
              <w:t>1</w:t>
            </w:r>
          </w:p>
        </w:tc>
        <w:tc>
          <w:tcPr>
            <w:tcW w:w="155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0.025 / (0.04)</w:t>
            </w:r>
            <w:r>
              <w:rPr>
                <w:rFonts w:hint="eastAsia" w:ascii="宋体" w:hAnsi="宋体" w:cs="宋体"/>
                <w:kern w:val="0"/>
                <w:sz w:val="24"/>
                <w:vertAlign w:val="superscript"/>
              </w:rPr>
              <w:t xml:space="preserve"> 1</w:t>
            </w:r>
          </w:p>
        </w:tc>
        <w:tc>
          <w:tcPr>
            <w:tcW w:w="127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1.2 / (3)</w:t>
            </w:r>
            <w:r>
              <w:rPr>
                <w:rFonts w:hint="eastAsia" w:ascii="宋体" w:hAnsi="宋体" w:cs="宋体"/>
                <w:kern w:val="0"/>
                <w:sz w:val="24"/>
                <w:vertAlign w:val="superscript"/>
              </w:rPr>
              <w:t xml:space="preserve"> 1</w:t>
            </w:r>
          </w:p>
        </w:tc>
        <w:tc>
          <w:tcPr>
            <w:tcW w:w="1815"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0.012 / (0.03)</w:t>
            </w:r>
            <w:r>
              <w:rPr>
                <w:rFonts w:hint="eastAsia" w:ascii="宋体" w:hAnsi="宋体" w:cs="宋体"/>
                <w:kern w:val="0"/>
                <w:sz w:val="24"/>
                <w:vertAlign w:val="superscript"/>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024" w:type="dxa"/>
            <w:vMerge w:val="continue"/>
            <w:vAlign w:val="center"/>
          </w:tcPr>
          <w:p>
            <w:pPr>
              <w:widowControl/>
              <w:spacing w:line="360" w:lineRule="auto"/>
              <w:jc w:val="center"/>
              <w:rPr>
                <w:rFonts w:ascii="宋体" w:hAnsi="宋体" w:cs="宋体"/>
                <w:kern w:val="0"/>
                <w:sz w:val="24"/>
              </w:rPr>
            </w:pPr>
          </w:p>
        </w:tc>
        <w:tc>
          <w:tcPr>
            <w:tcW w:w="956" w:type="dxa"/>
            <w:vAlign w:val="center"/>
          </w:tcPr>
          <w:p>
            <w:pPr>
              <w:widowControl/>
              <w:spacing w:line="360" w:lineRule="auto"/>
              <w:jc w:val="center"/>
              <w:rPr>
                <w:rStyle w:val="443"/>
                <w:rFonts w:ascii="宋体" w:hAnsi="宋体" w:cs="宋体"/>
                <w:color w:val="auto"/>
                <w:kern w:val="0"/>
                <w:sz w:val="24"/>
              </w:rPr>
            </w:pPr>
            <w:r>
              <w:rPr>
                <w:rFonts w:hint="eastAsia" w:ascii="宋体" w:hAnsi="宋体" w:cs="宋体"/>
                <w:kern w:val="0"/>
                <w:sz w:val="24"/>
              </w:rPr>
              <w:t>5.0</w:t>
            </w:r>
          </w:p>
        </w:tc>
        <w:tc>
          <w:tcPr>
            <w:tcW w:w="1134" w:type="dxa"/>
            <w:vMerge w:val="continue"/>
            <w:vAlign w:val="center"/>
          </w:tcPr>
          <w:p>
            <w:pPr>
              <w:widowControl/>
              <w:spacing w:line="360" w:lineRule="auto"/>
              <w:jc w:val="center"/>
              <w:rPr>
                <w:rStyle w:val="443"/>
                <w:rFonts w:ascii="宋体" w:hAnsi="宋体" w:cs="宋体"/>
                <w:color w:val="auto"/>
                <w:kern w:val="0"/>
                <w:sz w:val="24"/>
              </w:rPr>
            </w:pPr>
          </w:p>
        </w:tc>
        <w:tc>
          <w:tcPr>
            <w:tcW w:w="1134" w:type="dxa"/>
            <w:vAlign w:val="center"/>
          </w:tcPr>
          <w:p>
            <w:pPr>
              <w:widowControl/>
              <w:spacing w:line="360" w:lineRule="auto"/>
              <w:jc w:val="center"/>
              <w:rPr>
                <w:rFonts w:ascii="宋体" w:hAnsi="宋体" w:cs="宋体"/>
                <w:kern w:val="0"/>
                <w:sz w:val="24"/>
              </w:rPr>
            </w:pPr>
            <w:r>
              <w:rPr>
                <w:rStyle w:val="443"/>
                <w:rFonts w:hint="eastAsia" w:ascii="宋体" w:hAnsi="宋体" w:cs="宋体"/>
                <w:color w:val="auto"/>
                <w:kern w:val="0"/>
                <w:sz w:val="24"/>
              </w:rPr>
              <w:t>1.5</w:t>
            </w:r>
          </w:p>
        </w:tc>
        <w:tc>
          <w:tcPr>
            <w:tcW w:w="1559" w:type="dxa"/>
            <w:vAlign w:val="center"/>
          </w:tcPr>
          <w:p>
            <w:pPr>
              <w:widowControl/>
              <w:spacing w:line="360" w:lineRule="auto"/>
              <w:jc w:val="center"/>
              <w:rPr>
                <w:rFonts w:ascii="宋体" w:hAnsi="宋体" w:cs="宋体"/>
                <w:kern w:val="0"/>
                <w:sz w:val="24"/>
              </w:rPr>
            </w:pPr>
            <w:r>
              <w:rPr>
                <w:rStyle w:val="443"/>
                <w:rFonts w:hint="eastAsia" w:ascii="宋体" w:hAnsi="宋体" w:cs="宋体"/>
                <w:color w:val="auto"/>
                <w:kern w:val="0"/>
                <w:sz w:val="24"/>
              </w:rPr>
              <w:t>0.075</w:t>
            </w:r>
          </w:p>
        </w:tc>
        <w:tc>
          <w:tcPr>
            <w:tcW w:w="1276" w:type="dxa"/>
            <w:vAlign w:val="center"/>
          </w:tcPr>
          <w:p>
            <w:pPr>
              <w:widowControl/>
              <w:spacing w:line="360" w:lineRule="auto"/>
              <w:jc w:val="center"/>
              <w:rPr>
                <w:rFonts w:ascii="宋体" w:hAnsi="宋体" w:cs="宋体"/>
                <w:kern w:val="0"/>
                <w:sz w:val="24"/>
              </w:rPr>
            </w:pPr>
            <w:r>
              <w:rPr>
                <w:rStyle w:val="443"/>
                <w:rFonts w:hint="eastAsia" w:ascii="宋体" w:hAnsi="宋体" w:cs="宋体"/>
                <w:color w:val="auto"/>
                <w:kern w:val="0"/>
                <w:sz w:val="24"/>
              </w:rPr>
              <w:t>0.6</w:t>
            </w:r>
          </w:p>
        </w:tc>
        <w:tc>
          <w:tcPr>
            <w:tcW w:w="1815" w:type="dxa"/>
            <w:vAlign w:val="center"/>
          </w:tcPr>
          <w:p>
            <w:pPr>
              <w:widowControl/>
              <w:spacing w:line="360" w:lineRule="auto"/>
              <w:jc w:val="center"/>
              <w:rPr>
                <w:rFonts w:ascii="宋体" w:hAnsi="宋体" w:cs="宋体"/>
                <w:kern w:val="0"/>
                <w:sz w:val="24"/>
              </w:rPr>
            </w:pPr>
            <w:r>
              <w:rPr>
                <w:rStyle w:val="443"/>
                <w:rFonts w:hint="eastAsia" w:ascii="宋体" w:hAnsi="宋体" w:cs="宋体"/>
                <w:color w:val="auto"/>
                <w:kern w:val="0"/>
                <w:sz w:val="24"/>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4" w:type="dxa"/>
            <w:vMerge w:val="continue"/>
            <w:vAlign w:val="center"/>
          </w:tcPr>
          <w:p>
            <w:pPr>
              <w:widowControl/>
              <w:spacing w:line="360" w:lineRule="auto"/>
              <w:jc w:val="center"/>
              <w:rPr>
                <w:rFonts w:ascii="宋体" w:hAnsi="宋体" w:cs="宋体"/>
                <w:kern w:val="0"/>
                <w:sz w:val="24"/>
              </w:rPr>
            </w:pPr>
          </w:p>
        </w:tc>
        <w:tc>
          <w:tcPr>
            <w:tcW w:w="956" w:type="dxa"/>
            <w:vAlign w:val="center"/>
          </w:tcPr>
          <w:p>
            <w:pPr>
              <w:widowControl/>
              <w:spacing w:line="360" w:lineRule="auto"/>
              <w:jc w:val="center"/>
              <w:rPr>
                <w:rStyle w:val="443"/>
                <w:rFonts w:ascii="宋体" w:hAnsi="宋体" w:cs="宋体"/>
                <w:color w:val="auto"/>
                <w:kern w:val="0"/>
                <w:sz w:val="24"/>
              </w:rPr>
            </w:pPr>
            <w:r>
              <w:rPr>
                <w:rFonts w:hint="eastAsia" w:ascii="宋体" w:hAnsi="宋体" w:cs="宋体"/>
                <w:kern w:val="0"/>
                <w:sz w:val="24"/>
              </w:rPr>
              <w:t>10.0</w:t>
            </w:r>
          </w:p>
        </w:tc>
        <w:tc>
          <w:tcPr>
            <w:tcW w:w="1134" w:type="dxa"/>
            <w:vMerge w:val="continue"/>
            <w:vAlign w:val="center"/>
          </w:tcPr>
          <w:p>
            <w:pPr>
              <w:widowControl/>
              <w:spacing w:line="360" w:lineRule="auto"/>
              <w:jc w:val="center"/>
              <w:rPr>
                <w:rStyle w:val="443"/>
                <w:rFonts w:ascii="宋体" w:hAnsi="宋体" w:cs="宋体"/>
                <w:color w:val="auto"/>
                <w:kern w:val="0"/>
                <w:sz w:val="24"/>
              </w:rPr>
            </w:pPr>
          </w:p>
        </w:tc>
        <w:tc>
          <w:tcPr>
            <w:tcW w:w="1134" w:type="dxa"/>
            <w:vAlign w:val="center"/>
          </w:tcPr>
          <w:p>
            <w:pPr>
              <w:widowControl/>
              <w:spacing w:line="360" w:lineRule="auto"/>
              <w:jc w:val="center"/>
              <w:rPr>
                <w:rFonts w:ascii="宋体" w:hAnsi="宋体" w:cs="宋体"/>
                <w:kern w:val="0"/>
                <w:sz w:val="24"/>
              </w:rPr>
            </w:pPr>
            <w:r>
              <w:rPr>
                <w:rStyle w:val="443"/>
                <w:rFonts w:hint="eastAsia" w:ascii="宋体" w:hAnsi="宋体" w:cs="宋体"/>
                <w:color w:val="auto"/>
                <w:kern w:val="0"/>
                <w:sz w:val="24"/>
              </w:rPr>
              <w:t>1.0</w:t>
            </w:r>
          </w:p>
        </w:tc>
        <w:tc>
          <w:tcPr>
            <w:tcW w:w="1559" w:type="dxa"/>
            <w:vAlign w:val="center"/>
          </w:tcPr>
          <w:p>
            <w:pPr>
              <w:widowControl/>
              <w:spacing w:line="360" w:lineRule="auto"/>
              <w:jc w:val="center"/>
              <w:rPr>
                <w:rFonts w:ascii="宋体" w:hAnsi="宋体" w:cs="宋体"/>
                <w:kern w:val="0"/>
                <w:sz w:val="24"/>
              </w:rPr>
            </w:pPr>
            <w:r>
              <w:rPr>
                <w:rStyle w:val="443"/>
                <w:rFonts w:hint="eastAsia" w:ascii="宋体" w:hAnsi="宋体" w:cs="宋体"/>
                <w:color w:val="auto"/>
                <w:kern w:val="0"/>
                <w:sz w:val="24"/>
              </w:rPr>
              <w:t>0.1</w:t>
            </w:r>
          </w:p>
        </w:tc>
        <w:tc>
          <w:tcPr>
            <w:tcW w:w="1276" w:type="dxa"/>
            <w:vAlign w:val="center"/>
          </w:tcPr>
          <w:p>
            <w:pPr>
              <w:widowControl/>
              <w:spacing w:line="360" w:lineRule="auto"/>
              <w:jc w:val="center"/>
              <w:rPr>
                <w:rFonts w:ascii="宋体" w:hAnsi="宋体" w:cs="宋体"/>
                <w:kern w:val="0"/>
                <w:sz w:val="24"/>
              </w:rPr>
            </w:pPr>
            <w:r>
              <w:rPr>
                <w:rStyle w:val="443"/>
                <w:rFonts w:hint="eastAsia" w:ascii="宋体" w:hAnsi="宋体" w:cs="宋体"/>
                <w:color w:val="auto"/>
                <w:kern w:val="0"/>
                <w:sz w:val="24"/>
              </w:rPr>
              <w:t>0.4</w:t>
            </w:r>
          </w:p>
        </w:tc>
        <w:tc>
          <w:tcPr>
            <w:tcW w:w="1815" w:type="dxa"/>
            <w:vAlign w:val="center"/>
          </w:tcPr>
          <w:p>
            <w:pPr>
              <w:widowControl/>
              <w:spacing w:line="360" w:lineRule="auto"/>
              <w:jc w:val="center"/>
              <w:rPr>
                <w:rFonts w:ascii="宋体" w:hAnsi="宋体" w:cs="宋体"/>
                <w:kern w:val="0"/>
                <w:sz w:val="24"/>
              </w:rPr>
            </w:pPr>
            <w:r>
              <w:rPr>
                <w:rStyle w:val="443"/>
                <w:rFonts w:hint="eastAsia" w:ascii="宋体" w:hAnsi="宋体" w:cs="宋体"/>
                <w:color w:val="auto"/>
                <w:kern w:val="0"/>
                <w:sz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4"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100μL</w:t>
            </w:r>
          </w:p>
        </w:tc>
        <w:tc>
          <w:tcPr>
            <w:tcW w:w="95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w:t>
            </w:r>
          </w:p>
        </w:tc>
        <w:tc>
          <w:tcPr>
            <w:tcW w:w="1134" w:type="dxa"/>
            <w:vMerge w:val="restart"/>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0.2</w:t>
            </w:r>
          </w:p>
        </w:tc>
        <w:tc>
          <w:tcPr>
            <w:tcW w:w="1134"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3.5</w:t>
            </w:r>
          </w:p>
        </w:tc>
        <w:tc>
          <w:tcPr>
            <w:tcW w:w="1559"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0.35</w:t>
            </w:r>
          </w:p>
        </w:tc>
        <w:tc>
          <w:tcPr>
            <w:tcW w:w="1276"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1.0</w:t>
            </w:r>
          </w:p>
        </w:tc>
        <w:tc>
          <w:tcPr>
            <w:tcW w:w="1815"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24" w:type="dxa"/>
            <w:vMerge w:val="continue"/>
            <w:vAlign w:val="center"/>
          </w:tcPr>
          <w:p>
            <w:pPr>
              <w:widowControl/>
              <w:spacing w:line="360" w:lineRule="auto"/>
              <w:jc w:val="center"/>
              <w:rPr>
                <w:rFonts w:ascii="宋体" w:hAnsi="宋体" w:cs="宋体"/>
                <w:kern w:val="0"/>
                <w:sz w:val="24"/>
              </w:rPr>
            </w:pPr>
          </w:p>
        </w:tc>
        <w:tc>
          <w:tcPr>
            <w:tcW w:w="95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w:t>
            </w:r>
          </w:p>
        </w:tc>
        <w:tc>
          <w:tcPr>
            <w:tcW w:w="1134" w:type="dxa"/>
            <w:vMerge w:val="continue"/>
            <w:vAlign w:val="center"/>
          </w:tcPr>
          <w:p>
            <w:pPr>
              <w:widowControl/>
              <w:spacing w:line="360" w:lineRule="auto"/>
              <w:jc w:val="center"/>
              <w:rPr>
                <w:rStyle w:val="443"/>
                <w:rFonts w:ascii="宋体" w:hAnsi="宋体" w:cs="宋体"/>
                <w:color w:val="auto"/>
                <w:kern w:val="0"/>
                <w:sz w:val="24"/>
              </w:rPr>
            </w:pPr>
          </w:p>
        </w:tc>
        <w:tc>
          <w:tcPr>
            <w:tcW w:w="1134"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0.8</w:t>
            </w:r>
          </w:p>
        </w:tc>
        <w:tc>
          <w:tcPr>
            <w:tcW w:w="1559"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0.4</w:t>
            </w:r>
          </w:p>
        </w:tc>
        <w:tc>
          <w:tcPr>
            <w:tcW w:w="1276"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0.24</w:t>
            </w:r>
          </w:p>
        </w:tc>
        <w:tc>
          <w:tcPr>
            <w:tcW w:w="1815"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24" w:type="dxa"/>
            <w:vMerge w:val="continue"/>
            <w:vAlign w:val="center"/>
          </w:tcPr>
          <w:p>
            <w:pPr>
              <w:widowControl/>
              <w:spacing w:line="360" w:lineRule="auto"/>
              <w:jc w:val="center"/>
              <w:rPr>
                <w:rFonts w:ascii="宋体" w:hAnsi="宋体" w:cs="宋体"/>
                <w:kern w:val="0"/>
                <w:sz w:val="24"/>
              </w:rPr>
            </w:pPr>
          </w:p>
        </w:tc>
        <w:tc>
          <w:tcPr>
            <w:tcW w:w="95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w:t>
            </w:r>
          </w:p>
        </w:tc>
        <w:tc>
          <w:tcPr>
            <w:tcW w:w="1134" w:type="dxa"/>
            <w:vMerge w:val="continue"/>
            <w:vAlign w:val="center"/>
          </w:tcPr>
          <w:p>
            <w:pPr>
              <w:widowControl/>
              <w:spacing w:line="360" w:lineRule="auto"/>
              <w:jc w:val="center"/>
              <w:rPr>
                <w:rStyle w:val="443"/>
                <w:rFonts w:ascii="宋体" w:hAnsi="宋体" w:cs="宋体"/>
                <w:color w:val="auto"/>
                <w:kern w:val="0"/>
                <w:sz w:val="24"/>
              </w:rPr>
            </w:pPr>
          </w:p>
        </w:tc>
        <w:tc>
          <w:tcPr>
            <w:tcW w:w="1134"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0.8</w:t>
            </w:r>
          </w:p>
        </w:tc>
        <w:tc>
          <w:tcPr>
            <w:tcW w:w="1559"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0.8</w:t>
            </w:r>
          </w:p>
        </w:tc>
        <w:tc>
          <w:tcPr>
            <w:tcW w:w="1276"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0.15</w:t>
            </w:r>
          </w:p>
        </w:tc>
        <w:tc>
          <w:tcPr>
            <w:tcW w:w="1815"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24"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200μL</w:t>
            </w:r>
          </w:p>
        </w:tc>
        <w:tc>
          <w:tcPr>
            <w:tcW w:w="956" w:type="dxa"/>
            <w:vAlign w:val="center"/>
          </w:tcPr>
          <w:p>
            <w:pPr>
              <w:widowControl/>
              <w:spacing w:line="360" w:lineRule="auto"/>
              <w:jc w:val="center"/>
              <w:rPr>
                <w:rFonts w:ascii="宋体" w:hAnsi="宋体" w:cs="宋体"/>
                <w:kern w:val="0"/>
                <w:sz w:val="24"/>
              </w:rPr>
            </w:pPr>
            <w:r>
              <w:rPr>
                <w:rStyle w:val="443"/>
                <w:rFonts w:hint="eastAsia" w:ascii="宋体" w:hAnsi="宋体" w:cs="宋体"/>
                <w:color w:val="auto"/>
                <w:kern w:val="0"/>
                <w:sz w:val="24"/>
              </w:rPr>
              <w:t>20</w:t>
            </w:r>
          </w:p>
        </w:tc>
        <w:tc>
          <w:tcPr>
            <w:tcW w:w="1134" w:type="dxa"/>
            <w:vMerge w:val="restart"/>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0.2</w:t>
            </w:r>
          </w:p>
        </w:tc>
        <w:tc>
          <w:tcPr>
            <w:tcW w:w="1134"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2.5</w:t>
            </w:r>
          </w:p>
        </w:tc>
        <w:tc>
          <w:tcPr>
            <w:tcW w:w="1559"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0.5</w:t>
            </w:r>
          </w:p>
        </w:tc>
        <w:tc>
          <w:tcPr>
            <w:tcW w:w="1276"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1.0</w:t>
            </w:r>
          </w:p>
        </w:tc>
        <w:tc>
          <w:tcPr>
            <w:tcW w:w="1815"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24" w:type="dxa"/>
            <w:vMerge w:val="continue"/>
            <w:vAlign w:val="center"/>
          </w:tcPr>
          <w:p>
            <w:pPr>
              <w:widowControl/>
              <w:spacing w:line="360" w:lineRule="auto"/>
              <w:jc w:val="center"/>
              <w:rPr>
                <w:rFonts w:ascii="宋体" w:hAnsi="宋体" w:cs="宋体"/>
                <w:kern w:val="0"/>
                <w:sz w:val="24"/>
              </w:rPr>
            </w:pPr>
          </w:p>
        </w:tc>
        <w:tc>
          <w:tcPr>
            <w:tcW w:w="95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w:t>
            </w:r>
          </w:p>
        </w:tc>
        <w:tc>
          <w:tcPr>
            <w:tcW w:w="1134" w:type="dxa"/>
            <w:vMerge w:val="continue"/>
            <w:vAlign w:val="center"/>
          </w:tcPr>
          <w:p>
            <w:pPr>
              <w:widowControl/>
              <w:spacing w:line="360" w:lineRule="auto"/>
              <w:jc w:val="center"/>
              <w:rPr>
                <w:rStyle w:val="443"/>
                <w:rFonts w:ascii="宋体" w:hAnsi="宋体" w:cs="宋体"/>
                <w:color w:val="auto"/>
                <w:kern w:val="0"/>
                <w:sz w:val="24"/>
              </w:rPr>
            </w:pPr>
          </w:p>
        </w:tc>
        <w:tc>
          <w:tcPr>
            <w:tcW w:w="1134"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0.8</w:t>
            </w:r>
          </w:p>
        </w:tc>
        <w:tc>
          <w:tcPr>
            <w:tcW w:w="1559"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0.8</w:t>
            </w:r>
          </w:p>
        </w:tc>
        <w:tc>
          <w:tcPr>
            <w:tcW w:w="1276"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0.25</w:t>
            </w:r>
          </w:p>
        </w:tc>
        <w:tc>
          <w:tcPr>
            <w:tcW w:w="1815"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24" w:type="dxa"/>
            <w:vMerge w:val="continue"/>
            <w:vAlign w:val="center"/>
          </w:tcPr>
          <w:p>
            <w:pPr>
              <w:widowControl/>
              <w:spacing w:line="360" w:lineRule="auto"/>
              <w:jc w:val="center"/>
              <w:rPr>
                <w:rFonts w:ascii="宋体" w:hAnsi="宋体" w:cs="宋体"/>
                <w:kern w:val="0"/>
                <w:sz w:val="24"/>
              </w:rPr>
            </w:pPr>
          </w:p>
        </w:tc>
        <w:tc>
          <w:tcPr>
            <w:tcW w:w="95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w:t>
            </w:r>
          </w:p>
        </w:tc>
        <w:tc>
          <w:tcPr>
            <w:tcW w:w="1134" w:type="dxa"/>
            <w:vMerge w:val="continue"/>
            <w:vAlign w:val="center"/>
          </w:tcPr>
          <w:p>
            <w:pPr>
              <w:widowControl/>
              <w:spacing w:line="360" w:lineRule="auto"/>
              <w:jc w:val="center"/>
              <w:rPr>
                <w:rStyle w:val="443"/>
                <w:rFonts w:ascii="宋体" w:hAnsi="宋体" w:cs="宋体"/>
                <w:color w:val="auto"/>
                <w:kern w:val="0"/>
                <w:sz w:val="24"/>
              </w:rPr>
            </w:pPr>
          </w:p>
        </w:tc>
        <w:tc>
          <w:tcPr>
            <w:tcW w:w="1134"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0.8</w:t>
            </w:r>
          </w:p>
        </w:tc>
        <w:tc>
          <w:tcPr>
            <w:tcW w:w="1559"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1.6</w:t>
            </w:r>
          </w:p>
        </w:tc>
        <w:tc>
          <w:tcPr>
            <w:tcW w:w="1276"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0.15</w:t>
            </w:r>
          </w:p>
        </w:tc>
        <w:tc>
          <w:tcPr>
            <w:tcW w:w="1815"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4"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1000 μL</w:t>
            </w:r>
          </w:p>
        </w:tc>
        <w:tc>
          <w:tcPr>
            <w:tcW w:w="95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w:t>
            </w:r>
          </w:p>
        </w:tc>
        <w:tc>
          <w:tcPr>
            <w:tcW w:w="1134" w:type="dxa"/>
            <w:vMerge w:val="restart"/>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2</w:t>
            </w:r>
          </w:p>
        </w:tc>
        <w:tc>
          <w:tcPr>
            <w:tcW w:w="1134"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3.0</w:t>
            </w:r>
          </w:p>
        </w:tc>
        <w:tc>
          <w:tcPr>
            <w:tcW w:w="1559"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3.0</w:t>
            </w:r>
          </w:p>
        </w:tc>
        <w:tc>
          <w:tcPr>
            <w:tcW w:w="1276"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0.6</w:t>
            </w:r>
          </w:p>
        </w:tc>
        <w:tc>
          <w:tcPr>
            <w:tcW w:w="1815"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4" w:type="dxa"/>
            <w:vMerge w:val="continue"/>
            <w:vAlign w:val="center"/>
          </w:tcPr>
          <w:p>
            <w:pPr>
              <w:widowControl/>
              <w:spacing w:line="360" w:lineRule="auto"/>
              <w:jc w:val="center"/>
              <w:rPr>
                <w:rFonts w:ascii="宋体" w:hAnsi="宋体" w:cs="宋体"/>
                <w:kern w:val="0"/>
                <w:sz w:val="24"/>
              </w:rPr>
            </w:pPr>
          </w:p>
        </w:tc>
        <w:tc>
          <w:tcPr>
            <w:tcW w:w="95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w:t>
            </w:r>
          </w:p>
        </w:tc>
        <w:tc>
          <w:tcPr>
            <w:tcW w:w="1134" w:type="dxa"/>
            <w:vMerge w:val="continue"/>
            <w:vAlign w:val="center"/>
          </w:tcPr>
          <w:p>
            <w:pPr>
              <w:widowControl/>
              <w:spacing w:line="360" w:lineRule="auto"/>
              <w:jc w:val="center"/>
              <w:rPr>
                <w:rStyle w:val="443"/>
                <w:rFonts w:ascii="宋体" w:hAnsi="宋体" w:cs="宋体"/>
                <w:color w:val="auto"/>
                <w:kern w:val="0"/>
                <w:sz w:val="24"/>
              </w:rPr>
            </w:pPr>
          </w:p>
        </w:tc>
        <w:tc>
          <w:tcPr>
            <w:tcW w:w="1134"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0.8</w:t>
            </w:r>
          </w:p>
        </w:tc>
        <w:tc>
          <w:tcPr>
            <w:tcW w:w="1559"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4.0</w:t>
            </w:r>
          </w:p>
        </w:tc>
        <w:tc>
          <w:tcPr>
            <w:tcW w:w="1276"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0.2</w:t>
            </w:r>
          </w:p>
        </w:tc>
        <w:tc>
          <w:tcPr>
            <w:tcW w:w="1815"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4" w:type="dxa"/>
            <w:vMerge w:val="continue"/>
            <w:vAlign w:val="center"/>
          </w:tcPr>
          <w:p>
            <w:pPr>
              <w:widowControl/>
              <w:spacing w:line="360" w:lineRule="auto"/>
              <w:jc w:val="center"/>
              <w:rPr>
                <w:rFonts w:ascii="宋体" w:hAnsi="宋体" w:cs="宋体"/>
                <w:kern w:val="0"/>
                <w:sz w:val="24"/>
              </w:rPr>
            </w:pPr>
          </w:p>
        </w:tc>
        <w:tc>
          <w:tcPr>
            <w:tcW w:w="95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w:t>
            </w:r>
          </w:p>
        </w:tc>
        <w:tc>
          <w:tcPr>
            <w:tcW w:w="1134" w:type="dxa"/>
            <w:vMerge w:val="continue"/>
            <w:vAlign w:val="center"/>
          </w:tcPr>
          <w:p>
            <w:pPr>
              <w:widowControl/>
              <w:spacing w:line="360" w:lineRule="auto"/>
              <w:jc w:val="center"/>
              <w:rPr>
                <w:rStyle w:val="443"/>
                <w:rFonts w:ascii="宋体" w:hAnsi="宋体" w:cs="宋体"/>
                <w:color w:val="auto"/>
                <w:kern w:val="0"/>
                <w:sz w:val="24"/>
              </w:rPr>
            </w:pPr>
          </w:p>
        </w:tc>
        <w:tc>
          <w:tcPr>
            <w:tcW w:w="1134"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0.8</w:t>
            </w:r>
          </w:p>
        </w:tc>
        <w:tc>
          <w:tcPr>
            <w:tcW w:w="1559"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8.0</w:t>
            </w:r>
          </w:p>
        </w:tc>
        <w:tc>
          <w:tcPr>
            <w:tcW w:w="1276"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0.15</w:t>
            </w:r>
          </w:p>
        </w:tc>
        <w:tc>
          <w:tcPr>
            <w:tcW w:w="1815" w:type="dxa"/>
            <w:vAlign w:val="center"/>
          </w:tcPr>
          <w:p>
            <w:pPr>
              <w:widowControl/>
              <w:spacing w:line="360" w:lineRule="auto"/>
              <w:jc w:val="center"/>
              <w:rPr>
                <w:rStyle w:val="443"/>
                <w:rFonts w:ascii="宋体" w:hAnsi="宋体" w:cs="宋体"/>
                <w:color w:val="auto"/>
                <w:kern w:val="0"/>
                <w:sz w:val="24"/>
              </w:rPr>
            </w:pPr>
            <w:r>
              <w:rPr>
                <w:rStyle w:val="443"/>
                <w:rFonts w:hint="eastAsia" w:ascii="宋体" w:hAnsi="宋体" w:cs="宋体"/>
                <w:color w:val="auto"/>
                <w:kern w:val="0"/>
                <w:sz w:val="24"/>
              </w:rPr>
              <w:t>1.5</w:t>
            </w:r>
          </w:p>
        </w:tc>
      </w:tr>
    </w:tbl>
    <w:p>
      <w:pPr>
        <w:widowControl/>
        <w:spacing w:line="360" w:lineRule="auto"/>
        <w:jc w:val="left"/>
        <w:rPr>
          <w:rFonts w:ascii="微软雅黑" w:hAnsi="微软雅黑" w:eastAsia="微软雅黑"/>
          <w:sz w:val="18"/>
          <w:szCs w:val="18"/>
        </w:rPr>
      </w:pPr>
    </w:p>
    <w:p>
      <w:pPr>
        <w:widowControl/>
        <w:spacing w:line="360" w:lineRule="auto"/>
        <w:jc w:val="left"/>
        <w:rPr>
          <w:rFonts w:ascii="微软雅黑" w:hAnsi="微软雅黑" w:eastAsia="微软雅黑"/>
          <w:sz w:val="18"/>
          <w:szCs w:val="18"/>
        </w:rPr>
      </w:pPr>
      <w:r>
        <w:rPr>
          <w:rFonts w:ascii="微软雅黑" w:hAnsi="微软雅黑" w:eastAsia="微软雅黑"/>
          <w:sz w:val="18"/>
          <w:szCs w:val="18"/>
        </w:rPr>
        <w:br w:type="page"/>
      </w:r>
    </w:p>
    <w:p>
      <w:pPr>
        <w:widowControl/>
        <w:spacing w:line="360" w:lineRule="auto"/>
        <w:jc w:val="left"/>
        <w:rPr>
          <w:rFonts w:ascii="微软雅黑" w:hAnsi="微软雅黑" w:eastAsia="微软雅黑"/>
          <w:sz w:val="18"/>
          <w:szCs w:val="18"/>
        </w:rPr>
      </w:pPr>
      <w:r>
        <w:rPr>
          <w:rFonts w:hint="eastAsia" w:ascii="微软雅黑" w:hAnsi="微软雅黑" w:eastAsia="微软雅黑"/>
          <w:sz w:val="18"/>
          <w:szCs w:val="18"/>
        </w:rPr>
        <w:t xml:space="preserve"> </w:t>
      </w:r>
      <w:r>
        <w:rPr>
          <w:rFonts w:ascii="微软雅黑" w:hAnsi="微软雅黑" w:eastAsia="微软雅黑"/>
          <w:sz w:val="18"/>
          <w:szCs w:val="18"/>
        </w:rPr>
        <w:t xml:space="preserve">     </w:t>
      </w:r>
    </w:p>
    <w:p>
      <w:pPr>
        <w:pStyle w:val="6"/>
        <w:jc w:val="center"/>
      </w:pPr>
      <w:bookmarkStart w:id="242" w:name="_Toc97553871"/>
      <w:r>
        <w:rPr>
          <w:rFonts w:hint="eastAsia"/>
        </w:rPr>
        <w:t>多道移液枪（排枪）</w:t>
      </w:r>
      <w:bookmarkEnd w:id="242"/>
    </w:p>
    <w:p>
      <w:pPr>
        <w:widowControl/>
        <w:spacing w:line="360" w:lineRule="auto"/>
        <w:rPr>
          <w:rFonts w:ascii="宋体" w:hAnsi="宋体" w:cs="宋体"/>
          <w:kern w:val="0"/>
          <w:sz w:val="24"/>
        </w:rPr>
      </w:pPr>
      <w:r>
        <w:rPr>
          <w:rFonts w:hint="eastAsia" w:ascii="宋体" w:hAnsi="宋体" w:cs="宋体"/>
          <w:kern w:val="0"/>
          <w:sz w:val="24"/>
        </w:rPr>
        <w:t>4把0.5-10ul</w:t>
      </w:r>
    </w:p>
    <w:p>
      <w:pPr>
        <w:widowControl/>
        <w:spacing w:line="360" w:lineRule="auto"/>
        <w:rPr>
          <w:rFonts w:ascii="宋体" w:hAnsi="宋体" w:cs="宋体"/>
          <w:kern w:val="0"/>
          <w:sz w:val="24"/>
        </w:rPr>
      </w:pPr>
      <w:r>
        <w:rPr>
          <w:rFonts w:hint="eastAsia" w:ascii="宋体" w:hAnsi="宋体" w:cs="宋体"/>
          <w:kern w:val="0"/>
          <w:sz w:val="24"/>
        </w:rPr>
        <w:t xml:space="preserve">规格：0.5-10uL   </w:t>
      </w:r>
    </w:p>
    <w:p>
      <w:pPr>
        <w:widowControl/>
        <w:spacing w:line="360" w:lineRule="auto"/>
        <w:rPr>
          <w:rFonts w:ascii="宋体" w:hAnsi="宋体" w:cs="宋体"/>
          <w:kern w:val="0"/>
          <w:sz w:val="24"/>
        </w:rPr>
      </w:pPr>
      <w:r>
        <w:rPr>
          <w:rFonts w:hint="eastAsia" w:ascii="宋体" w:hAnsi="宋体" w:cs="宋体"/>
          <w:kern w:val="0"/>
          <w:sz w:val="24"/>
        </w:rPr>
        <w:t>增量：0.01uL</w:t>
      </w:r>
    </w:p>
    <w:p>
      <w:pPr>
        <w:widowControl/>
        <w:spacing w:line="360" w:lineRule="auto"/>
        <w:rPr>
          <w:rFonts w:ascii="宋体" w:hAnsi="宋体" w:cs="宋体"/>
          <w:kern w:val="0"/>
          <w:sz w:val="24"/>
        </w:rPr>
      </w:pPr>
      <w:r>
        <w:rPr>
          <w:rFonts w:hint="eastAsia" w:ascii="宋体" w:hAnsi="宋体" w:cs="宋体"/>
          <w:kern w:val="0"/>
          <w:sz w:val="24"/>
        </w:rPr>
        <w:t>8道</w:t>
      </w:r>
    </w:p>
    <w:p>
      <w:pPr>
        <w:widowControl/>
        <w:spacing w:line="360" w:lineRule="auto"/>
        <w:rPr>
          <w:rFonts w:ascii="宋体" w:hAnsi="宋体" w:cs="宋体"/>
          <w:kern w:val="0"/>
          <w:sz w:val="24"/>
        </w:rPr>
      </w:pPr>
      <w:r>
        <w:rPr>
          <w:rFonts w:hint="eastAsia" w:ascii="宋体" w:hAnsi="宋体" w:cs="宋体"/>
          <w:kern w:val="0"/>
          <w:sz w:val="24"/>
        </w:rPr>
        <w:t>检测体积：0.5uL  系统误差±12% ±0.06uL  随机误差 ±8% ±0.04uL</w:t>
      </w:r>
    </w:p>
    <w:p>
      <w:pPr>
        <w:widowControl/>
        <w:spacing w:line="360" w:lineRule="auto"/>
        <w:rPr>
          <w:rFonts w:ascii="宋体" w:hAnsi="宋体" w:cs="宋体"/>
          <w:kern w:val="0"/>
          <w:sz w:val="24"/>
        </w:rPr>
      </w:pPr>
      <w:r>
        <w:rPr>
          <w:rFonts w:hint="eastAsia" w:ascii="宋体" w:hAnsi="宋体" w:cs="宋体"/>
          <w:kern w:val="0"/>
          <w:sz w:val="24"/>
        </w:rPr>
        <w:t xml:space="preserve">          1uL    系统误差±8% ±0.08uL  随机误差 ±5% ±0.05uL</w:t>
      </w:r>
    </w:p>
    <w:p>
      <w:pPr>
        <w:widowControl/>
        <w:spacing w:line="360" w:lineRule="auto"/>
        <w:rPr>
          <w:rFonts w:ascii="宋体" w:hAnsi="宋体" w:cs="宋体"/>
          <w:kern w:val="0"/>
          <w:sz w:val="24"/>
        </w:rPr>
      </w:pPr>
      <w:r>
        <w:rPr>
          <w:rFonts w:hint="eastAsia" w:ascii="宋体" w:hAnsi="宋体" w:cs="宋体"/>
          <w:kern w:val="0"/>
          <w:sz w:val="24"/>
        </w:rPr>
        <w:t xml:space="preserve">          5uL    系统误差±4% ±0.2uL  随机误差 ±2% ±0.1uL</w:t>
      </w:r>
    </w:p>
    <w:p>
      <w:pPr>
        <w:widowControl/>
        <w:spacing w:line="360" w:lineRule="auto"/>
        <w:ind w:firstLine="1200" w:firstLineChars="500"/>
        <w:rPr>
          <w:rFonts w:ascii="宋体" w:hAnsi="宋体" w:cs="宋体"/>
          <w:kern w:val="0"/>
          <w:sz w:val="24"/>
        </w:rPr>
      </w:pPr>
      <w:r>
        <w:rPr>
          <w:rFonts w:hint="eastAsia" w:ascii="宋体" w:hAnsi="宋体" w:cs="宋体"/>
          <w:kern w:val="0"/>
          <w:sz w:val="24"/>
        </w:rPr>
        <w:t>10uL   系统误差±2% ±0.2uL  随机误差 ±1% ±0.1uL</w:t>
      </w:r>
    </w:p>
    <w:p>
      <w:pPr>
        <w:widowControl/>
        <w:spacing w:line="360" w:lineRule="auto"/>
        <w:jc w:val="left"/>
        <w:rPr>
          <w:rFonts w:ascii="宋体" w:hAnsi="宋体" w:cs="宋体"/>
          <w:kern w:val="0"/>
          <w:sz w:val="24"/>
        </w:rPr>
      </w:pPr>
    </w:p>
    <w:p>
      <w:pPr>
        <w:widowControl/>
        <w:spacing w:line="360" w:lineRule="auto"/>
        <w:rPr>
          <w:rFonts w:ascii="宋体" w:hAnsi="宋体" w:cs="宋体"/>
          <w:kern w:val="0"/>
          <w:sz w:val="24"/>
        </w:rPr>
      </w:pPr>
      <w:r>
        <w:rPr>
          <w:rFonts w:hint="eastAsia" w:ascii="宋体" w:hAnsi="宋体" w:cs="宋体"/>
          <w:kern w:val="0"/>
          <w:sz w:val="24"/>
        </w:rPr>
        <w:t>4把10-100ul</w:t>
      </w:r>
    </w:p>
    <w:p>
      <w:pPr>
        <w:widowControl/>
        <w:spacing w:line="360" w:lineRule="auto"/>
        <w:jc w:val="left"/>
        <w:rPr>
          <w:rFonts w:ascii="宋体" w:hAnsi="宋体" w:cs="宋体"/>
          <w:kern w:val="0"/>
          <w:sz w:val="24"/>
        </w:rPr>
      </w:pPr>
      <w:r>
        <w:rPr>
          <w:rFonts w:hint="eastAsia" w:ascii="宋体" w:hAnsi="宋体" w:cs="宋体"/>
          <w:kern w:val="0"/>
          <w:sz w:val="24"/>
        </w:rPr>
        <w:t xml:space="preserve">规格：10-100ul   </w:t>
      </w:r>
    </w:p>
    <w:p>
      <w:pPr>
        <w:widowControl/>
        <w:spacing w:line="360" w:lineRule="auto"/>
        <w:jc w:val="left"/>
        <w:rPr>
          <w:rFonts w:ascii="宋体" w:hAnsi="宋体" w:cs="宋体"/>
          <w:kern w:val="0"/>
          <w:sz w:val="24"/>
        </w:rPr>
      </w:pPr>
      <w:r>
        <w:rPr>
          <w:rFonts w:hint="eastAsia" w:ascii="宋体" w:hAnsi="宋体" w:cs="宋体"/>
          <w:kern w:val="0"/>
          <w:sz w:val="24"/>
        </w:rPr>
        <w:t>8道</w:t>
      </w:r>
    </w:p>
    <w:p>
      <w:pPr>
        <w:widowControl/>
        <w:spacing w:line="360" w:lineRule="auto"/>
        <w:jc w:val="left"/>
        <w:rPr>
          <w:rFonts w:ascii="宋体" w:hAnsi="宋体" w:cs="宋体"/>
          <w:kern w:val="0"/>
          <w:sz w:val="24"/>
        </w:rPr>
      </w:pPr>
      <w:r>
        <w:rPr>
          <w:rFonts w:hint="eastAsia" w:ascii="宋体" w:hAnsi="宋体" w:cs="宋体"/>
          <w:kern w:val="0"/>
          <w:sz w:val="24"/>
        </w:rPr>
        <w:t>增量：0.1ul</w:t>
      </w:r>
    </w:p>
    <w:p>
      <w:pPr>
        <w:widowControl/>
        <w:spacing w:line="360" w:lineRule="auto"/>
        <w:jc w:val="left"/>
        <w:rPr>
          <w:rFonts w:ascii="宋体" w:hAnsi="宋体" w:cs="宋体"/>
          <w:kern w:val="0"/>
          <w:sz w:val="24"/>
        </w:rPr>
      </w:pPr>
      <w:r>
        <w:rPr>
          <w:rFonts w:hint="eastAsia" w:ascii="宋体" w:hAnsi="宋体" w:cs="宋体"/>
          <w:kern w:val="0"/>
          <w:sz w:val="24"/>
        </w:rPr>
        <w:t>检测体积：10uL  系统误差±3% ±0.3uL  随机误差 ±2% ±0.2uL</w:t>
      </w:r>
    </w:p>
    <w:p>
      <w:pPr>
        <w:widowControl/>
        <w:spacing w:line="360" w:lineRule="auto"/>
        <w:jc w:val="left"/>
        <w:rPr>
          <w:rFonts w:ascii="宋体" w:hAnsi="宋体" w:cs="宋体"/>
          <w:kern w:val="0"/>
          <w:sz w:val="24"/>
        </w:rPr>
      </w:pPr>
      <w:r>
        <w:rPr>
          <w:rFonts w:hint="eastAsia" w:ascii="宋体" w:hAnsi="宋体" w:cs="宋体"/>
          <w:kern w:val="0"/>
          <w:sz w:val="24"/>
        </w:rPr>
        <w:t xml:space="preserve">          50uL    系统误差±1% ±0.5uL  随机误差 ±0.8% ±0.4uL</w:t>
      </w:r>
    </w:p>
    <w:p>
      <w:pPr>
        <w:widowControl/>
        <w:spacing w:line="360" w:lineRule="auto"/>
        <w:jc w:val="left"/>
        <w:rPr>
          <w:rFonts w:ascii="宋体" w:hAnsi="宋体" w:cs="宋体"/>
          <w:kern w:val="0"/>
          <w:sz w:val="24"/>
        </w:rPr>
      </w:pPr>
      <w:r>
        <w:rPr>
          <w:rFonts w:hint="eastAsia" w:ascii="宋体" w:hAnsi="宋体" w:cs="宋体"/>
          <w:kern w:val="0"/>
          <w:sz w:val="24"/>
        </w:rPr>
        <w:t xml:space="preserve">          100uL    系统误差±0.8% ±0.8uL  随机误差 ±0.3% ±0.3uL</w:t>
      </w:r>
    </w:p>
    <w:p>
      <w:pPr>
        <w:widowControl/>
        <w:spacing w:line="360" w:lineRule="auto"/>
        <w:jc w:val="left"/>
        <w:rPr>
          <w:rFonts w:ascii="微软雅黑" w:hAnsi="微软雅黑" w:eastAsia="微软雅黑" w:cs="Arial"/>
          <w:kern w:val="0"/>
          <w:sz w:val="18"/>
          <w:szCs w:val="18"/>
        </w:rPr>
      </w:pPr>
    </w:p>
    <w:p>
      <w:pPr>
        <w:widowControl/>
        <w:spacing w:line="360" w:lineRule="auto"/>
        <w:jc w:val="left"/>
        <w:rPr>
          <w:rFonts w:ascii="微软雅黑" w:hAnsi="微软雅黑" w:eastAsia="微软雅黑"/>
          <w:sz w:val="18"/>
          <w:szCs w:val="18"/>
        </w:rPr>
      </w:pPr>
    </w:p>
    <w:p>
      <w:pPr>
        <w:widowControl/>
        <w:spacing w:line="360" w:lineRule="auto"/>
        <w:jc w:val="left"/>
        <w:rPr>
          <w:rFonts w:ascii="微软雅黑" w:hAnsi="微软雅黑" w:eastAsia="微软雅黑"/>
          <w:sz w:val="18"/>
          <w:szCs w:val="18"/>
        </w:rPr>
      </w:pPr>
      <w:r>
        <w:rPr>
          <w:rFonts w:ascii="微软雅黑" w:hAnsi="微软雅黑" w:eastAsia="微软雅黑"/>
          <w:sz w:val="18"/>
          <w:szCs w:val="18"/>
        </w:rPr>
        <w:br w:type="page"/>
      </w:r>
    </w:p>
    <w:p>
      <w:pPr>
        <w:pStyle w:val="6"/>
        <w:jc w:val="center"/>
      </w:pPr>
      <w:bookmarkStart w:id="243" w:name="_Toc97553872"/>
      <w:r>
        <w:rPr>
          <w:rFonts w:hint="eastAsia"/>
        </w:rPr>
        <w:t>涡旋混匀仪（4台）</w:t>
      </w:r>
      <w:bookmarkEnd w:id="243"/>
    </w:p>
    <w:p>
      <w:pPr>
        <w:numPr>
          <w:ilvl w:val="0"/>
          <w:numId w:val="13"/>
        </w:numPr>
        <w:spacing w:line="360" w:lineRule="auto"/>
        <w:jc w:val="left"/>
        <w:rPr>
          <w:rFonts w:ascii="宋体" w:hAnsi="宋体" w:cs="宋体"/>
          <w:sz w:val="24"/>
        </w:rPr>
      </w:pPr>
      <w:r>
        <w:rPr>
          <w:rFonts w:hint="eastAsia" w:ascii="宋体" w:hAnsi="宋体" w:cs="宋体"/>
          <w:sz w:val="24"/>
        </w:rPr>
        <w:t>采用先进可靠的PI高频全范围宽幅电源控制方案，符合世界各地电网电源AC100-250V/50/60Hz；</w:t>
      </w:r>
    </w:p>
    <w:p>
      <w:pPr>
        <w:numPr>
          <w:ilvl w:val="0"/>
          <w:numId w:val="13"/>
        </w:numPr>
        <w:spacing w:line="360" w:lineRule="auto"/>
        <w:jc w:val="left"/>
        <w:rPr>
          <w:rFonts w:ascii="宋体" w:hAnsi="宋体" w:cs="宋体"/>
          <w:sz w:val="24"/>
        </w:rPr>
      </w:pPr>
      <w:r>
        <w:rPr>
          <w:rFonts w:hint="eastAsia" w:ascii="宋体" w:hAnsi="宋体" w:cs="宋体"/>
          <w:sz w:val="24"/>
        </w:rPr>
        <w:t>两种安全操作模式“点动”、“连续”，切换方便简单， 时间功能具备正计时及倒计时让实验更方便准确无误；</w:t>
      </w:r>
    </w:p>
    <w:p>
      <w:pPr>
        <w:numPr>
          <w:ilvl w:val="0"/>
          <w:numId w:val="13"/>
        </w:numPr>
        <w:spacing w:line="360" w:lineRule="auto"/>
        <w:jc w:val="left"/>
        <w:rPr>
          <w:rFonts w:ascii="宋体" w:hAnsi="宋体" w:cs="宋体"/>
          <w:sz w:val="24"/>
        </w:rPr>
      </w:pPr>
      <w:r>
        <w:rPr>
          <w:rFonts w:hint="eastAsia" w:ascii="宋体" w:hAnsi="宋体" w:cs="宋体"/>
          <w:sz w:val="24"/>
        </w:rPr>
        <w:t>ST智能分析处理平台能够灵敏反应各种模式工作要求，全面搭载快速处理芯片组及电子传感技术，实现对转速，时间及工作模式的智能控制；</w:t>
      </w:r>
    </w:p>
    <w:p>
      <w:pPr>
        <w:numPr>
          <w:ilvl w:val="0"/>
          <w:numId w:val="13"/>
        </w:numPr>
        <w:spacing w:line="360" w:lineRule="auto"/>
        <w:jc w:val="left"/>
        <w:rPr>
          <w:rFonts w:ascii="宋体" w:hAnsi="宋体" w:cs="宋体"/>
          <w:sz w:val="24"/>
        </w:rPr>
      </w:pPr>
      <w:r>
        <w:rPr>
          <w:rFonts w:hint="eastAsia" w:ascii="宋体" w:hAnsi="宋体" w:cs="宋体"/>
          <w:sz w:val="24"/>
        </w:rPr>
        <w:t>不接触，通过红外线感应可以实现震荡；</w:t>
      </w:r>
    </w:p>
    <w:p>
      <w:pPr>
        <w:numPr>
          <w:ilvl w:val="0"/>
          <w:numId w:val="13"/>
        </w:numPr>
        <w:spacing w:line="360" w:lineRule="auto"/>
        <w:jc w:val="left"/>
        <w:rPr>
          <w:rFonts w:ascii="宋体" w:hAnsi="宋体" w:cs="宋体"/>
          <w:sz w:val="24"/>
        </w:rPr>
      </w:pPr>
      <w:r>
        <w:rPr>
          <w:rFonts w:hint="eastAsia" w:ascii="宋体" w:hAnsi="宋体" w:cs="宋体"/>
          <w:sz w:val="24"/>
        </w:rPr>
        <w:t>标配三种夹具（放置试管及直径不超过50mm小容器、用于放置直径不超过85mm烧瓶容器类或多试管一同混合、圆孔直径10mm，14孔数量的试管）</w:t>
      </w:r>
    </w:p>
    <w:p>
      <w:pPr>
        <w:numPr>
          <w:ilvl w:val="0"/>
          <w:numId w:val="13"/>
        </w:numPr>
        <w:spacing w:line="360" w:lineRule="auto"/>
        <w:jc w:val="left"/>
        <w:rPr>
          <w:rFonts w:ascii="宋体" w:hAnsi="宋体" w:cs="宋体"/>
          <w:sz w:val="24"/>
        </w:rPr>
      </w:pPr>
      <w:r>
        <w:rPr>
          <w:rFonts w:hint="eastAsia" w:ascii="宋体" w:hAnsi="宋体" w:cs="宋体"/>
          <w:sz w:val="24"/>
        </w:rPr>
        <w:t>控制方式 PWM无级变频调速，驱动方式/马达，DC24V永磁马达/直驱；</w:t>
      </w:r>
    </w:p>
    <w:p>
      <w:pPr>
        <w:numPr>
          <w:ilvl w:val="0"/>
          <w:numId w:val="13"/>
        </w:numPr>
        <w:spacing w:line="360" w:lineRule="auto"/>
        <w:jc w:val="left"/>
        <w:rPr>
          <w:rFonts w:ascii="宋体" w:hAnsi="宋体" w:cs="宋体"/>
          <w:sz w:val="24"/>
        </w:rPr>
      </w:pPr>
      <w:r>
        <w:rPr>
          <w:rFonts w:hint="eastAsia" w:ascii="宋体" w:hAnsi="宋体" w:cs="宋体"/>
          <w:sz w:val="24"/>
        </w:rPr>
        <w:t>最高转速下噪音，≤48dB(A)；</w:t>
      </w:r>
    </w:p>
    <w:p>
      <w:pPr>
        <w:numPr>
          <w:ilvl w:val="0"/>
          <w:numId w:val="13"/>
        </w:numPr>
        <w:spacing w:line="360" w:lineRule="auto"/>
        <w:jc w:val="left"/>
        <w:rPr>
          <w:rFonts w:ascii="宋体" w:hAnsi="宋体" w:cs="宋体"/>
          <w:sz w:val="24"/>
        </w:rPr>
      </w:pPr>
      <w:r>
        <w:rPr>
          <w:rFonts w:hint="eastAsia" w:ascii="宋体" w:hAnsi="宋体" w:cs="宋体"/>
          <w:sz w:val="24"/>
        </w:rPr>
        <w:t>最快加减速&lt;3s；</w:t>
      </w:r>
    </w:p>
    <w:p>
      <w:pPr>
        <w:numPr>
          <w:ilvl w:val="0"/>
          <w:numId w:val="13"/>
        </w:numPr>
        <w:spacing w:line="360" w:lineRule="auto"/>
        <w:jc w:val="left"/>
        <w:rPr>
          <w:rFonts w:ascii="宋体" w:hAnsi="宋体" w:cs="宋体"/>
          <w:sz w:val="24"/>
        </w:rPr>
      </w:pPr>
      <w:r>
        <w:rPr>
          <w:rFonts w:hint="eastAsia" w:ascii="宋体" w:hAnsi="宋体" w:cs="宋体"/>
          <w:sz w:val="24"/>
        </w:rPr>
        <w:t>最大负载&lt;1kg；</w:t>
      </w:r>
    </w:p>
    <w:p>
      <w:pPr>
        <w:numPr>
          <w:ilvl w:val="0"/>
          <w:numId w:val="13"/>
        </w:numPr>
        <w:spacing w:line="360" w:lineRule="auto"/>
        <w:jc w:val="left"/>
        <w:rPr>
          <w:rFonts w:ascii="宋体" w:hAnsi="宋体" w:cs="宋体"/>
          <w:sz w:val="24"/>
        </w:rPr>
      </w:pPr>
      <w:r>
        <w:rPr>
          <w:rFonts w:hint="eastAsia" w:ascii="宋体" w:hAnsi="宋体" w:cs="宋体"/>
          <w:sz w:val="24"/>
        </w:rPr>
        <w:t>转速范围200-3,000r/min.±5%，震荡方式圆周，圆周直径4.5mm；</w:t>
      </w:r>
    </w:p>
    <w:p>
      <w:pPr>
        <w:numPr>
          <w:ilvl w:val="0"/>
          <w:numId w:val="13"/>
        </w:numPr>
        <w:spacing w:line="360" w:lineRule="auto"/>
        <w:jc w:val="left"/>
        <w:rPr>
          <w:rFonts w:ascii="宋体" w:hAnsi="宋体" w:cs="宋体"/>
          <w:sz w:val="24"/>
        </w:rPr>
      </w:pPr>
      <w:r>
        <w:rPr>
          <w:rFonts w:hint="eastAsia" w:ascii="宋体" w:hAnsi="宋体" w:cs="宋体"/>
          <w:sz w:val="24"/>
        </w:rPr>
        <w:t>时间功能 / 显示:数字定时1S-999min.倒计时,点动正计时/高亮LCD液晶全数段量子；</w:t>
      </w:r>
    </w:p>
    <w:p>
      <w:pPr>
        <w:numPr>
          <w:ilvl w:val="0"/>
          <w:numId w:val="13"/>
        </w:numPr>
        <w:spacing w:line="360" w:lineRule="auto"/>
        <w:jc w:val="left"/>
        <w:rPr>
          <w:rFonts w:ascii="宋体" w:hAnsi="宋体" w:cs="宋体"/>
          <w:sz w:val="24"/>
        </w:rPr>
      </w:pPr>
      <w:r>
        <w:rPr>
          <w:rFonts w:hint="eastAsia" w:ascii="宋体" w:hAnsi="宋体" w:cs="宋体"/>
          <w:sz w:val="24"/>
        </w:rPr>
        <w:t>允许环境温度/ 相对湿度5-40℃/80%</w:t>
      </w:r>
    </w:p>
    <w:p>
      <w:pPr>
        <w:numPr>
          <w:ilvl w:val="0"/>
          <w:numId w:val="13"/>
        </w:numPr>
        <w:spacing w:line="360" w:lineRule="auto"/>
        <w:jc w:val="left"/>
        <w:rPr>
          <w:rFonts w:ascii="宋体" w:hAnsi="宋体" w:cs="宋体"/>
          <w:sz w:val="24"/>
        </w:rPr>
      </w:pPr>
      <w:r>
        <w:rPr>
          <w:rFonts w:hint="eastAsia" w:ascii="宋体" w:hAnsi="宋体" w:cs="宋体"/>
          <w:sz w:val="24"/>
        </w:rPr>
        <w:t>防护等级IP20，允许环境温度/相对湿度5-40℃/80%；</w:t>
      </w: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p>
    <w:p>
      <w:pPr>
        <w:widowControl/>
        <w:spacing w:line="360" w:lineRule="auto"/>
        <w:jc w:val="left"/>
        <w:rPr>
          <w:rFonts w:ascii="微软雅黑" w:hAnsi="微软雅黑" w:eastAsia="微软雅黑"/>
          <w:sz w:val="18"/>
          <w:szCs w:val="18"/>
        </w:rPr>
      </w:pPr>
    </w:p>
    <w:p>
      <w:pPr>
        <w:widowControl/>
        <w:spacing w:line="360" w:lineRule="auto"/>
        <w:jc w:val="left"/>
        <w:rPr>
          <w:rFonts w:ascii="微软雅黑" w:hAnsi="微软雅黑" w:eastAsia="微软雅黑"/>
          <w:sz w:val="18"/>
          <w:szCs w:val="18"/>
        </w:rPr>
      </w:pPr>
    </w:p>
    <w:p>
      <w:pPr>
        <w:widowControl/>
        <w:spacing w:line="360" w:lineRule="auto"/>
        <w:jc w:val="left"/>
        <w:rPr>
          <w:rFonts w:ascii="微软雅黑" w:hAnsi="微软雅黑" w:eastAsia="微软雅黑"/>
          <w:sz w:val="18"/>
          <w:szCs w:val="18"/>
        </w:rPr>
      </w:pPr>
    </w:p>
    <w:p>
      <w:pPr>
        <w:widowControl/>
        <w:spacing w:line="360" w:lineRule="auto"/>
        <w:jc w:val="left"/>
        <w:rPr>
          <w:rFonts w:ascii="微软雅黑" w:hAnsi="微软雅黑" w:eastAsia="微软雅黑"/>
          <w:sz w:val="18"/>
          <w:szCs w:val="18"/>
        </w:rPr>
      </w:pPr>
    </w:p>
    <w:p>
      <w:pPr>
        <w:widowControl/>
        <w:spacing w:line="360" w:lineRule="auto"/>
        <w:jc w:val="left"/>
        <w:rPr>
          <w:rFonts w:ascii="微软雅黑" w:hAnsi="微软雅黑" w:eastAsia="微软雅黑"/>
          <w:sz w:val="18"/>
          <w:szCs w:val="18"/>
        </w:rPr>
      </w:pPr>
    </w:p>
    <w:p>
      <w:pPr>
        <w:widowControl/>
        <w:spacing w:line="360" w:lineRule="auto"/>
        <w:jc w:val="left"/>
        <w:rPr>
          <w:rFonts w:ascii="微软雅黑" w:hAnsi="微软雅黑" w:eastAsia="微软雅黑"/>
          <w:sz w:val="18"/>
          <w:szCs w:val="18"/>
        </w:rPr>
      </w:pPr>
    </w:p>
    <w:p>
      <w:pPr>
        <w:widowControl/>
        <w:spacing w:line="360" w:lineRule="auto"/>
        <w:jc w:val="center"/>
        <w:rPr>
          <w:rFonts w:ascii="微软雅黑" w:hAnsi="微软雅黑" w:eastAsia="微软雅黑"/>
          <w:sz w:val="18"/>
          <w:szCs w:val="18"/>
        </w:rPr>
      </w:pPr>
      <w:r>
        <w:rPr>
          <w:rFonts w:ascii="微软雅黑" w:hAnsi="微软雅黑" w:eastAsia="微软雅黑"/>
          <w:sz w:val="18"/>
          <w:szCs w:val="18"/>
        </w:rPr>
        <w:br w:type="page"/>
      </w:r>
    </w:p>
    <w:p>
      <w:pPr>
        <w:pStyle w:val="6"/>
        <w:jc w:val="center"/>
      </w:pPr>
      <w:bookmarkStart w:id="244" w:name="_Toc97553873"/>
      <w:r>
        <w:t>其他</w:t>
      </w:r>
      <w:bookmarkEnd w:id="244"/>
    </w:p>
    <w:p>
      <w:pPr>
        <w:pStyle w:val="6"/>
        <w:jc w:val="center"/>
      </w:pPr>
      <w:r>
        <w:rPr>
          <w:rFonts w:hint="eastAsia"/>
        </w:rPr>
        <w:t>UPS不间断电源（1台）</w:t>
      </w:r>
    </w:p>
    <w:p>
      <w:pPr>
        <w:rPr>
          <w:rFonts w:ascii="宋体" w:hAnsi="宋体" w:cs="宋体"/>
          <w:sz w:val="24"/>
        </w:rPr>
      </w:pPr>
      <w:bookmarkStart w:id="245" w:name="_Toc97552439"/>
      <w:bookmarkStart w:id="246" w:name="_Toc97552215"/>
      <w:bookmarkStart w:id="247" w:name="_Toc459111723"/>
      <w:bookmarkStart w:id="248" w:name="_Toc97553874"/>
      <w:r>
        <w:rPr>
          <w:rFonts w:hint="eastAsia" w:ascii="宋体" w:hAnsi="宋体" w:cs="宋体"/>
          <w:sz w:val="24"/>
        </w:rPr>
        <w:t>针对10KVA容量的UPS要求：</w:t>
      </w:r>
      <w:bookmarkEnd w:id="245"/>
      <w:bookmarkEnd w:id="246"/>
      <w:bookmarkEnd w:id="247"/>
      <w:bookmarkEnd w:id="248"/>
    </w:p>
    <w:p>
      <w:pPr>
        <w:numPr>
          <w:ilvl w:val="0"/>
          <w:numId w:val="14"/>
        </w:numPr>
        <w:spacing w:line="360" w:lineRule="auto"/>
        <w:rPr>
          <w:rFonts w:ascii="宋体" w:hAnsi="宋体" w:cs="宋体"/>
          <w:sz w:val="24"/>
        </w:rPr>
      </w:pPr>
      <w:r>
        <w:rPr>
          <w:rFonts w:hint="eastAsia" w:ascii="宋体" w:hAnsi="宋体" w:cs="宋体"/>
          <w:sz w:val="24"/>
        </w:rPr>
        <w:t>容量：10KVA，单进单出，高频在线双转换塔式UPS ；</w:t>
      </w:r>
    </w:p>
    <w:p>
      <w:pPr>
        <w:numPr>
          <w:ilvl w:val="0"/>
          <w:numId w:val="14"/>
        </w:numPr>
        <w:spacing w:line="360" w:lineRule="auto"/>
        <w:rPr>
          <w:rFonts w:ascii="宋体" w:hAnsi="宋体" w:cs="宋体"/>
          <w:sz w:val="24"/>
        </w:rPr>
      </w:pPr>
      <w:r>
        <w:rPr>
          <w:rFonts w:hint="eastAsia" w:ascii="宋体" w:hAnsi="宋体" w:cs="宋体"/>
          <w:sz w:val="24"/>
        </w:rPr>
        <w:t>UPS电源要求采用LCD大屏液晶+LED指示灯双显示操作面板，能够同时提供图形显示和数字显示，适合使用者查看状态、数据和进行操作控制。</w:t>
      </w:r>
    </w:p>
    <w:p>
      <w:pPr>
        <w:numPr>
          <w:ilvl w:val="0"/>
          <w:numId w:val="14"/>
        </w:numPr>
        <w:spacing w:line="360" w:lineRule="auto"/>
        <w:rPr>
          <w:rFonts w:ascii="宋体" w:hAnsi="宋体" w:cs="宋体"/>
          <w:sz w:val="24"/>
        </w:rPr>
      </w:pPr>
      <w:r>
        <w:rPr>
          <w:rFonts w:hint="eastAsia" w:ascii="宋体" w:hAnsi="宋体" w:cs="宋体"/>
          <w:sz w:val="24"/>
        </w:rPr>
        <w:t>转换时间必须为0中断：当市电中断或市电恢复时，UPS在市电与电池之间的切换必须是完全没有中断时间。</w:t>
      </w:r>
    </w:p>
    <w:p>
      <w:pPr>
        <w:numPr>
          <w:ilvl w:val="0"/>
          <w:numId w:val="14"/>
        </w:numPr>
        <w:spacing w:line="360" w:lineRule="auto"/>
        <w:rPr>
          <w:rFonts w:ascii="宋体" w:hAnsi="宋体" w:cs="宋体"/>
          <w:sz w:val="24"/>
        </w:rPr>
      </w:pPr>
      <w:r>
        <w:rPr>
          <w:rFonts w:hint="eastAsia" w:ascii="宋体" w:hAnsi="宋体" w:cs="宋体"/>
          <w:sz w:val="24"/>
        </w:rPr>
        <w:t>UPS应具备自动旁路功能：即当UPS设备本身发生故障或异常时，能够自动切换至旁路电源输出，以确保在有市电的情况下，可以通过旁路输出继续给负载设备供电。</w:t>
      </w:r>
    </w:p>
    <w:p>
      <w:pPr>
        <w:numPr>
          <w:ilvl w:val="0"/>
          <w:numId w:val="14"/>
        </w:numPr>
        <w:spacing w:line="360" w:lineRule="auto"/>
        <w:rPr>
          <w:rFonts w:ascii="宋体" w:hAnsi="宋体" w:cs="宋体"/>
          <w:sz w:val="24"/>
        </w:rPr>
      </w:pPr>
      <w:r>
        <w:rPr>
          <w:rFonts w:hint="eastAsia" w:ascii="宋体" w:hAnsi="宋体" w:cs="宋体"/>
          <w:sz w:val="24"/>
        </w:rPr>
        <w:t>UPS应具备DSP数字控制技术：为了提高UPS设备中控制系统的精密度、准确度与稳定度，要求UPS是采用DSP中央控制器结合CPU的控制系统。利用DSP高效能的运算能力，进行信号处理，再提供给CPU做为系统控制，达到让UPS设备的机器性能、保护性能、可靠度与工作稳定度都更加完备目的。</w:t>
      </w:r>
    </w:p>
    <w:p>
      <w:pPr>
        <w:numPr>
          <w:ilvl w:val="0"/>
          <w:numId w:val="14"/>
        </w:numPr>
        <w:spacing w:line="360" w:lineRule="auto"/>
        <w:rPr>
          <w:rFonts w:ascii="宋体" w:hAnsi="宋体" w:cs="宋体"/>
          <w:sz w:val="24"/>
        </w:rPr>
      </w:pPr>
      <w:r>
        <w:rPr>
          <w:rFonts w:hint="eastAsia" w:ascii="宋体" w:hAnsi="宋体" w:cs="宋体"/>
          <w:snapToGrid w:val="0"/>
          <w:kern w:val="0"/>
          <w:sz w:val="24"/>
        </w:rPr>
        <w:t>10KVA输入功因＞0.99，</w:t>
      </w:r>
      <w:r>
        <w:rPr>
          <w:rFonts w:hint="eastAsia" w:ascii="宋体" w:hAnsi="宋体" w:cs="宋体"/>
          <w:sz w:val="24"/>
        </w:rPr>
        <w:t>满足绿色节能的需要。</w:t>
      </w:r>
    </w:p>
    <w:p>
      <w:pPr>
        <w:numPr>
          <w:ilvl w:val="0"/>
          <w:numId w:val="14"/>
        </w:numPr>
        <w:spacing w:line="360" w:lineRule="auto"/>
        <w:rPr>
          <w:rFonts w:ascii="宋体" w:hAnsi="宋体" w:cs="宋体"/>
          <w:sz w:val="24"/>
        </w:rPr>
      </w:pPr>
      <w:r>
        <w:rPr>
          <w:rFonts w:hint="eastAsia" w:ascii="宋体" w:hAnsi="宋体" w:cs="宋体"/>
          <w:snapToGrid w:val="0"/>
          <w:kern w:val="0"/>
          <w:sz w:val="24"/>
        </w:rPr>
        <w:t>10KVA</w:t>
      </w:r>
      <w:r>
        <w:rPr>
          <w:rFonts w:hint="eastAsia" w:ascii="宋体" w:hAnsi="宋体" w:cs="宋体"/>
          <w:sz w:val="24"/>
        </w:rPr>
        <w:t>输入电流谐波＜3%线性负载，输入电流谐波＜5%非线性负载</w:t>
      </w:r>
      <w:r>
        <w:rPr>
          <w:rFonts w:hint="eastAsia" w:ascii="宋体" w:hAnsi="宋体" w:cs="宋体"/>
          <w:snapToGrid w:val="0"/>
          <w:kern w:val="0"/>
          <w:sz w:val="24"/>
        </w:rPr>
        <w:t xml:space="preserve"> </w:t>
      </w:r>
      <w:r>
        <w:rPr>
          <w:rFonts w:hint="eastAsia" w:ascii="宋体" w:hAnsi="宋体" w:cs="宋体"/>
          <w:sz w:val="24"/>
        </w:rPr>
        <w:t>，减少了UPS对电网的污染。（若无法满足此指标的， 必须额外配置“有源滤波器”设备，并纳入设备配置及价格清单中）</w:t>
      </w:r>
    </w:p>
    <w:p>
      <w:pPr>
        <w:numPr>
          <w:ilvl w:val="0"/>
          <w:numId w:val="14"/>
        </w:numPr>
        <w:spacing w:line="360" w:lineRule="auto"/>
        <w:rPr>
          <w:rFonts w:ascii="宋体" w:hAnsi="宋体" w:cs="宋体"/>
          <w:bCs/>
          <w:sz w:val="24"/>
        </w:rPr>
      </w:pPr>
      <w:r>
        <w:rPr>
          <w:rFonts w:hint="eastAsia" w:ascii="宋体" w:hAnsi="宋体" w:cs="宋体"/>
          <w:sz w:val="24"/>
        </w:rPr>
        <w:t xml:space="preserve">整机效率最高可达94%，经济模式下整机效率≥98%。 </w:t>
      </w:r>
    </w:p>
    <w:p>
      <w:pPr>
        <w:numPr>
          <w:ilvl w:val="0"/>
          <w:numId w:val="14"/>
        </w:numPr>
        <w:spacing w:line="360" w:lineRule="auto"/>
        <w:rPr>
          <w:rFonts w:ascii="宋体" w:hAnsi="宋体" w:cs="宋体"/>
          <w:bCs/>
          <w:sz w:val="24"/>
        </w:rPr>
      </w:pPr>
      <w:r>
        <w:rPr>
          <w:rFonts w:hint="eastAsia" w:ascii="宋体" w:hAnsi="宋体" w:cs="宋体"/>
          <w:bCs/>
          <w:sz w:val="24"/>
        </w:rPr>
        <w:t>具备</w:t>
      </w:r>
      <w:r>
        <w:rPr>
          <w:rFonts w:hint="eastAsia" w:ascii="宋体" w:hAnsi="宋体" w:cs="宋体"/>
          <w:snapToGrid w:val="0"/>
          <w:kern w:val="0"/>
          <w:sz w:val="24"/>
        </w:rPr>
        <w:t>超宽输入电压范围：120-275V,以便</w:t>
      </w:r>
      <w:r>
        <w:rPr>
          <w:rFonts w:hint="eastAsia" w:ascii="宋体" w:hAnsi="宋体" w:cs="宋体"/>
          <w:sz w:val="24"/>
          <w:lang w:val="de-DE"/>
        </w:rPr>
        <w:t>能轻松应对较为常见的市电电压过高或过低的异常市电环境，避免UPS轻易因电压不稳定而转旁路运行的风险。</w:t>
      </w:r>
    </w:p>
    <w:p>
      <w:pPr>
        <w:numPr>
          <w:ilvl w:val="0"/>
          <w:numId w:val="14"/>
        </w:numPr>
        <w:spacing w:line="360" w:lineRule="auto"/>
        <w:rPr>
          <w:rFonts w:ascii="宋体" w:hAnsi="宋体" w:cs="宋体"/>
          <w:sz w:val="24"/>
          <w:lang w:val="de-DE"/>
        </w:rPr>
      </w:pPr>
      <w:r>
        <w:rPr>
          <w:rFonts w:hint="eastAsia" w:ascii="宋体" w:hAnsi="宋体" w:cs="宋体"/>
          <w:bCs/>
          <w:sz w:val="24"/>
        </w:rPr>
        <w:t>具备</w:t>
      </w:r>
      <w:r>
        <w:rPr>
          <w:rFonts w:hint="eastAsia" w:ascii="宋体" w:hAnsi="宋体" w:cs="宋体"/>
          <w:snapToGrid w:val="0"/>
          <w:kern w:val="0"/>
          <w:sz w:val="24"/>
        </w:rPr>
        <w:t>超宽输入频率范围：40-70HZ</w:t>
      </w:r>
      <w:r>
        <w:rPr>
          <w:rFonts w:hint="eastAsia" w:ascii="宋体" w:hAnsi="宋体" w:cs="宋体"/>
          <w:sz w:val="24"/>
          <w:lang w:val="de-DE"/>
        </w:rPr>
        <w:t>，能轻松应对频率过高或过低的异常市电环境（特别是发电机供电时）</w:t>
      </w:r>
      <w:r>
        <w:rPr>
          <w:rFonts w:hint="eastAsia" w:ascii="宋体" w:hAnsi="宋体" w:cs="宋体"/>
          <w:sz w:val="24"/>
        </w:rPr>
        <w:t>。</w:t>
      </w:r>
    </w:p>
    <w:p>
      <w:pPr>
        <w:numPr>
          <w:ilvl w:val="0"/>
          <w:numId w:val="14"/>
        </w:numPr>
        <w:spacing w:line="360" w:lineRule="auto"/>
        <w:rPr>
          <w:rFonts w:ascii="宋体" w:hAnsi="宋体" w:cs="宋体"/>
          <w:sz w:val="24"/>
        </w:rPr>
      </w:pPr>
      <w:r>
        <w:rPr>
          <w:rFonts w:hint="eastAsia" w:ascii="宋体" w:hAnsi="宋体" w:cs="宋体"/>
          <w:sz w:val="24"/>
        </w:rPr>
        <w:t>输出功率因数：0.9.</w:t>
      </w:r>
    </w:p>
    <w:p>
      <w:pPr>
        <w:numPr>
          <w:ilvl w:val="0"/>
          <w:numId w:val="14"/>
        </w:numPr>
        <w:spacing w:line="360" w:lineRule="auto"/>
        <w:rPr>
          <w:rFonts w:ascii="宋体" w:hAnsi="宋体" w:cs="宋体"/>
          <w:sz w:val="24"/>
        </w:rPr>
      </w:pPr>
      <w:r>
        <w:rPr>
          <w:rFonts w:hint="eastAsia" w:ascii="宋体" w:hAnsi="宋体" w:cs="宋体"/>
          <w:sz w:val="24"/>
        </w:rPr>
        <w:t>输出电压稳定精度</w:t>
      </w:r>
      <w:r>
        <w:rPr>
          <w:rStyle w:val="47"/>
          <w:rFonts w:hint="eastAsia" w:ascii="宋体" w:hAnsi="宋体" w:cs="宋体"/>
          <w:i w:val="0"/>
          <w:sz w:val="24"/>
        </w:rPr>
        <w:t>≤</w:t>
      </w:r>
      <w:r>
        <w:rPr>
          <w:rFonts w:hint="eastAsia" w:ascii="宋体" w:hAnsi="宋体" w:cs="宋体"/>
          <w:sz w:val="24"/>
        </w:rPr>
        <w:t>±2%。</w:t>
      </w:r>
    </w:p>
    <w:p>
      <w:pPr>
        <w:numPr>
          <w:ilvl w:val="0"/>
          <w:numId w:val="14"/>
        </w:numPr>
        <w:spacing w:line="360" w:lineRule="auto"/>
        <w:rPr>
          <w:rFonts w:ascii="宋体" w:hAnsi="宋体" w:cs="宋体"/>
          <w:bCs/>
          <w:sz w:val="24"/>
        </w:rPr>
      </w:pPr>
      <w:r>
        <w:rPr>
          <w:rFonts w:hint="eastAsia" w:ascii="宋体" w:hAnsi="宋体" w:cs="宋体"/>
          <w:sz w:val="24"/>
        </w:rPr>
        <w:t>旁路逆变切换时间0ms：输入电压为额定值时，UPS由正常工作方式转旁路，或旁路转正常工作方式的相互切换时间为0ms</w:t>
      </w:r>
      <w:r>
        <w:rPr>
          <w:rFonts w:hint="eastAsia" w:ascii="宋体" w:hAnsi="宋体" w:cs="宋体"/>
          <w:snapToGrid w:val="0"/>
          <w:kern w:val="0"/>
          <w:sz w:val="24"/>
        </w:rPr>
        <w:t>。</w:t>
      </w:r>
    </w:p>
    <w:p>
      <w:pPr>
        <w:numPr>
          <w:ilvl w:val="0"/>
          <w:numId w:val="14"/>
        </w:numPr>
        <w:spacing w:line="360" w:lineRule="auto"/>
        <w:rPr>
          <w:rFonts w:ascii="宋体" w:hAnsi="宋体" w:cs="宋体"/>
          <w:bCs/>
          <w:sz w:val="24"/>
        </w:rPr>
      </w:pPr>
      <w:r>
        <w:rPr>
          <w:rFonts w:hint="eastAsia" w:ascii="宋体" w:hAnsi="宋体" w:cs="宋体"/>
          <w:sz w:val="24"/>
        </w:rPr>
        <w:t>过载能力强 ：105%~125%的负载可以过载1分钟；125%~150%的负载可以过载30秒；大于150%的负载可以过载0.5S</w:t>
      </w:r>
      <w:r>
        <w:rPr>
          <w:rFonts w:hint="eastAsia" w:ascii="宋体" w:hAnsi="宋体" w:cs="宋体"/>
          <w:snapToGrid w:val="0"/>
          <w:kern w:val="0"/>
          <w:sz w:val="24"/>
        </w:rPr>
        <w:t>。</w:t>
      </w:r>
    </w:p>
    <w:p>
      <w:pPr>
        <w:numPr>
          <w:ilvl w:val="0"/>
          <w:numId w:val="14"/>
        </w:numPr>
        <w:spacing w:line="360" w:lineRule="auto"/>
        <w:rPr>
          <w:rFonts w:ascii="宋体" w:hAnsi="宋体" w:cs="宋体"/>
          <w:bCs/>
          <w:sz w:val="24"/>
        </w:rPr>
      </w:pPr>
      <w:r>
        <w:rPr>
          <w:rFonts w:hint="eastAsia" w:ascii="宋体" w:hAnsi="宋体" w:cs="宋体"/>
          <w:sz w:val="24"/>
        </w:rPr>
        <w:t>具有EPO功能（选配），可在遇到紧急状态下，远程关断UPS，以满足消防安全的需要。</w:t>
      </w:r>
    </w:p>
    <w:p>
      <w:pPr>
        <w:numPr>
          <w:ilvl w:val="0"/>
          <w:numId w:val="14"/>
        </w:numPr>
        <w:spacing w:line="360" w:lineRule="auto"/>
        <w:rPr>
          <w:rFonts w:ascii="宋体" w:hAnsi="宋体" w:cs="宋体"/>
          <w:sz w:val="24"/>
        </w:rPr>
      </w:pPr>
      <w:r>
        <w:rPr>
          <w:rFonts w:hint="eastAsia" w:ascii="宋体" w:hAnsi="宋体" w:cs="宋体"/>
          <w:sz w:val="24"/>
        </w:rPr>
        <w:t>要求风扇为自动温控风扇：风扇可以根据带载量的高低、UPS机内温度的高低，自动调节风扇的转速。</w:t>
      </w:r>
    </w:p>
    <w:p>
      <w:pPr>
        <w:numPr>
          <w:ilvl w:val="0"/>
          <w:numId w:val="14"/>
        </w:numPr>
        <w:spacing w:line="360" w:lineRule="auto"/>
        <w:rPr>
          <w:rFonts w:ascii="宋体" w:hAnsi="宋体" w:cs="宋体"/>
          <w:sz w:val="24"/>
        </w:rPr>
      </w:pPr>
      <w:r>
        <w:rPr>
          <w:rFonts w:hint="eastAsia" w:ascii="宋体" w:hAnsi="宋体" w:cs="宋体"/>
          <w:sz w:val="24"/>
        </w:rPr>
        <w:t>UPS主机需具备内置的静态旁路，以满足当UPS发生故障后，能自动转换由UPS内部的旁路供电（安装验收时将测试此项功能）。</w:t>
      </w:r>
    </w:p>
    <w:p>
      <w:pPr>
        <w:numPr>
          <w:ilvl w:val="0"/>
          <w:numId w:val="14"/>
        </w:numPr>
        <w:spacing w:line="360" w:lineRule="auto"/>
        <w:rPr>
          <w:rFonts w:ascii="宋体" w:hAnsi="宋体" w:cs="宋体"/>
          <w:bCs/>
          <w:sz w:val="24"/>
        </w:rPr>
      </w:pPr>
      <w:r>
        <w:rPr>
          <w:rFonts w:hint="eastAsia" w:ascii="宋体" w:hAnsi="宋体" w:cs="宋体"/>
          <w:sz w:val="24"/>
        </w:rPr>
        <w:t>UPS主机机柜内需具备手动维修旁路开关（选配），以满足在维修UPS或更换蓄电池组、增减蓄电池组时，能以手动方式将UPS从逆变状态切换到旁路状态（若无法满足此结构的， 必须额外配置“维修旁路柜”设备，并纳入设备配置及价格清单中）。</w:t>
      </w:r>
    </w:p>
    <w:p>
      <w:pPr>
        <w:numPr>
          <w:ilvl w:val="0"/>
          <w:numId w:val="14"/>
        </w:numPr>
        <w:spacing w:line="360" w:lineRule="auto"/>
        <w:rPr>
          <w:rFonts w:ascii="宋体" w:hAnsi="宋体" w:cs="宋体"/>
          <w:sz w:val="24"/>
        </w:rPr>
      </w:pPr>
      <w:r>
        <w:rPr>
          <w:rFonts w:hint="eastAsia" w:ascii="宋体" w:hAnsi="宋体" w:cs="宋体"/>
          <w:bCs/>
          <w:sz w:val="24"/>
        </w:rPr>
        <w:t>直流开机：</w:t>
      </w:r>
      <w:r>
        <w:rPr>
          <w:rFonts w:hint="eastAsia" w:ascii="宋体" w:hAnsi="宋体" w:cs="宋体"/>
          <w:sz w:val="24"/>
        </w:rPr>
        <w:t>UPS在没有市电时，可通过所连接的蓄电池组实现直流开机启动（安装验收时将测试此项功能）。</w:t>
      </w:r>
    </w:p>
    <w:p>
      <w:pPr>
        <w:numPr>
          <w:ilvl w:val="0"/>
          <w:numId w:val="14"/>
        </w:numPr>
        <w:spacing w:line="360" w:lineRule="auto"/>
        <w:rPr>
          <w:rFonts w:ascii="宋体" w:hAnsi="宋体" w:cs="宋体"/>
          <w:bCs/>
          <w:sz w:val="24"/>
        </w:rPr>
      </w:pPr>
      <w:r>
        <w:rPr>
          <w:rFonts w:hint="eastAsia" w:ascii="宋体" w:hAnsi="宋体" w:cs="宋体"/>
          <w:bCs/>
          <w:sz w:val="24"/>
        </w:rPr>
        <w:t>要求UPS的充电方式为：</w:t>
      </w:r>
      <w:r>
        <w:rPr>
          <w:rFonts w:hint="eastAsia" w:ascii="宋体" w:hAnsi="宋体" w:cs="宋体"/>
          <w:sz w:val="24"/>
        </w:rPr>
        <w:t>三段式充电方式，兼顾快速充电与延长电池使用寿命的目标。</w:t>
      </w:r>
    </w:p>
    <w:p>
      <w:pPr>
        <w:numPr>
          <w:ilvl w:val="0"/>
          <w:numId w:val="14"/>
        </w:numPr>
        <w:spacing w:line="360" w:lineRule="auto"/>
        <w:rPr>
          <w:rFonts w:ascii="宋体" w:hAnsi="宋体" w:cs="宋体"/>
          <w:bCs/>
          <w:sz w:val="24"/>
        </w:rPr>
      </w:pPr>
      <w:r>
        <w:rPr>
          <w:rFonts w:hint="eastAsia" w:ascii="宋体" w:hAnsi="宋体" w:cs="宋体"/>
          <w:bCs/>
          <w:sz w:val="24"/>
        </w:rPr>
        <w:t>UPS需具备充电温度补偿功能。</w:t>
      </w:r>
    </w:p>
    <w:p>
      <w:pPr>
        <w:numPr>
          <w:ilvl w:val="0"/>
          <w:numId w:val="14"/>
        </w:numPr>
        <w:spacing w:line="360" w:lineRule="auto"/>
        <w:rPr>
          <w:rFonts w:ascii="宋体" w:hAnsi="宋体" w:cs="宋体"/>
          <w:bCs/>
          <w:sz w:val="24"/>
        </w:rPr>
      </w:pPr>
      <w:r>
        <w:rPr>
          <w:rFonts w:hint="eastAsia" w:ascii="宋体" w:hAnsi="宋体" w:cs="宋体"/>
          <w:bCs/>
          <w:sz w:val="24"/>
        </w:rPr>
        <w:t>UPS需具备N+X并联冗余功能，</w:t>
      </w:r>
      <w:r>
        <w:rPr>
          <w:rFonts w:hint="eastAsia" w:ascii="宋体" w:hAnsi="宋体" w:cs="宋体"/>
          <w:sz w:val="24"/>
        </w:rPr>
        <w:t>可实现不低于3台并联。</w:t>
      </w:r>
    </w:p>
    <w:p>
      <w:pPr>
        <w:numPr>
          <w:ilvl w:val="0"/>
          <w:numId w:val="14"/>
        </w:numPr>
        <w:spacing w:line="360" w:lineRule="auto"/>
        <w:rPr>
          <w:rFonts w:ascii="宋体" w:hAnsi="宋体" w:cs="宋体"/>
          <w:sz w:val="24"/>
        </w:rPr>
      </w:pPr>
      <w:r>
        <w:rPr>
          <w:rFonts w:hint="eastAsia" w:ascii="宋体" w:hAnsi="宋体" w:cs="宋体"/>
          <w:sz w:val="24"/>
        </w:rPr>
        <w:t>UPS具有电池耗尽自动关机功能，并且在市电恢复后，UPS能够自动开机（即自启动）。</w:t>
      </w:r>
    </w:p>
    <w:p>
      <w:pPr>
        <w:numPr>
          <w:ilvl w:val="0"/>
          <w:numId w:val="14"/>
        </w:numPr>
        <w:spacing w:line="360" w:lineRule="auto"/>
        <w:rPr>
          <w:rFonts w:ascii="宋体" w:hAnsi="宋体" w:cs="宋体"/>
          <w:sz w:val="24"/>
        </w:rPr>
      </w:pPr>
      <w:r>
        <w:rPr>
          <w:rFonts w:hint="eastAsia" w:ascii="宋体" w:hAnsi="宋体" w:cs="宋体"/>
          <w:sz w:val="24"/>
        </w:rPr>
        <w:t>考虑到UPS设备的安全性、以及对短路保护的需要，要求UPS具备输出短路保护功能；</w:t>
      </w:r>
    </w:p>
    <w:p>
      <w:pPr>
        <w:numPr>
          <w:ilvl w:val="0"/>
          <w:numId w:val="14"/>
        </w:numPr>
        <w:spacing w:line="360" w:lineRule="auto"/>
        <w:rPr>
          <w:rFonts w:ascii="宋体" w:hAnsi="宋体" w:cs="宋体"/>
          <w:sz w:val="24"/>
        </w:rPr>
      </w:pPr>
      <w:r>
        <w:rPr>
          <w:rFonts w:hint="eastAsia" w:ascii="宋体" w:hAnsi="宋体" w:cs="宋体"/>
          <w:sz w:val="24"/>
        </w:rPr>
        <w:t>UPS需具备电池检控管理功能，可以通过LCD液晶显示面版查看蓄电池的剩余电量（百分率） 和 后备供电时间（分钟）等信息；可以更加直观和精确的掌握蓄电池的延时时间及剩余时间。（安装验收时将测试此项功能）。</w:t>
      </w:r>
    </w:p>
    <w:p>
      <w:pPr>
        <w:numPr>
          <w:ilvl w:val="0"/>
          <w:numId w:val="14"/>
        </w:numPr>
        <w:spacing w:line="360" w:lineRule="auto"/>
        <w:rPr>
          <w:rFonts w:ascii="宋体" w:hAnsi="宋体" w:cs="宋体"/>
          <w:sz w:val="24"/>
        </w:rPr>
      </w:pPr>
      <w:r>
        <w:rPr>
          <w:rFonts w:hint="eastAsia" w:ascii="宋体" w:hAnsi="宋体" w:cs="宋体"/>
          <w:sz w:val="24"/>
        </w:rPr>
        <w:t>具备ECO节能工作模式，即UPS逆变工作模式和UPS旁路工作模式的自动转换，以满足节能环保的需要；可根据实际需要，通过手动设置开启或关闭UPS的ECO工作模式。</w:t>
      </w:r>
    </w:p>
    <w:p>
      <w:pPr>
        <w:numPr>
          <w:ilvl w:val="0"/>
          <w:numId w:val="14"/>
        </w:numPr>
        <w:spacing w:line="360" w:lineRule="auto"/>
        <w:rPr>
          <w:rFonts w:ascii="宋体" w:hAnsi="宋体" w:cs="宋体"/>
          <w:sz w:val="24"/>
        </w:rPr>
      </w:pPr>
      <w:r>
        <w:rPr>
          <w:rFonts w:hint="eastAsia" w:ascii="宋体" w:hAnsi="宋体" w:cs="宋体"/>
          <w:sz w:val="24"/>
        </w:rPr>
        <w:t>因现场摆放空间有限，要求UPS的底面积≤0.4平方米。</w:t>
      </w:r>
    </w:p>
    <w:p>
      <w:pPr>
        <w:numPr>
          <w:ilvl w:val="0"/>
          <w:numId w:val="14"/>
        </w:numPr>
        <w:spacing w:line="360" w:lineRule="auto"/>
        <w:rPr>
          <w:rFonts w:ascii="宋体" w:hAnsi="宋体" w:cs="宋体"/>
          <w:sz w:val="24"/>
        </w:rPr>
      </w:pPr>
      <w:r>
        <w:rPr>
          <w:rFonts w:hint="eastAsia" w:ascii="宋体" w:hAnsi="宋体" w:cs="宋体"/>
          <w:sz w:val="24"/>
        </w:rPr>
        <w:t xml:space="preserve">UPS主机需标配智能卡槽，应具备优异的智能扩展功能, 所具备的智能插槽能实现连接和安装：NMC网卡（远程监控及管理）、CMC卡、USB卡、AS400卡。  </w:t>
      </w:r>
    </w:p>
    <w:p>
      <w:pPr>
        <w:numPr>
          <w:ilvl w:val="0"/>
          <w:numId w:val="14"/>
        </w:numPr>
        <w:spacing w:line="360" w:lineRule="auto"/>
        <w:rPr>
          <w:rFonts w:ascii="宋体" w:hAnsi="宋体" w:cs="宋体"/>
          <w:sz w:val="24"/>
        </w:rPr>
      </w:pPr>
      <w:r>
        <w:rPr>
          <w:rFonts w:hint="eastAsia" w:ascii="宋体" w:hAnsi="宋体" w:cs="宋体"/>
          <w:sz w:val="24"/>
        </w:rPr>
        <w:t xml:space="preserve">UPS需支持手机远程实时监控功能，通过手机APP可实时掌握UPS的运行状态及告警信息。 </w:t>
      </w:r>
    </w:p>
    <w:p>
      <w:pPr>
        <w:numPr>
          <w:ilvl w:val="0"/>
          <w:numId w:val="14"/>
        </w:numPr>
        <w:spacing w:line="360" w:lineRule="auto"/>
        <w:rPr>
          <w:rFonts w:ascii="宋体" w:hAnsi="宋体" w:cs="宋体"/>
          <w:sz w:val="24"/>
        </w:rPr>
      </w:pPr>
      <w:r>
        <w:rPr>
          <w:rFonts w:hint="eastAsia" w:ascii="宋体" w:hAnsi="宋体" w:cs="宋体"/>
          <w:kern w:val="0"/>
          <w:sz w:val="24"/>
        </w:rPr>
        <w:t>提供可远程监控管理1000个UPS节点的监控管理软件，支持虚拟化技术，UPS关机前可以配置服务器安全关机;</w:t>
      </w:r>
    </w:p>
    <w:p>
      <w:pPr>
        <w:numPr>
          <w:ilvl w:val="0"/>
          <w:numId w:val="15"/>
        </w:numPr>
        <w:spacing w:line="360" w:lineRule="auto"/>
        <w:rPr>
          <w:rFonts w:ascii="宋体" w:hAnsi="宋体" w:cs="宋体"/>
          <w:kern w:val="0"/>
          <w:sz w:val="24"/>
        </w:rPr>
      </w:pPr>
      <w:r>
        <w:rPr>
          <w:rFonts w:hint="eastAsia" w:ascii="宋体" w:hAnsi="宋体" w:cs="宋体"/>
          <w:kern w:val="0"/>
          <w:sz w:val="24"/>
        </w:rPr>
        <w:t>UPS符合以下标准：</w:t>
      </w:r>
    </w:p>
    <w:tbl>
      <w:tblPr>
        <w:tblStyle w:val="41"/>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2234"/>
        <w:gridCol w:w="2519"/>
        <w:gridCol w:w="3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p>
        </w:tc>
        <w:tc>
          <w:tcPr>
            <w:tcW w:w="214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Item</w:t>
            </w:r>
          </w:p>
        </w:tc>
        <w:tc>
          <w:tcPr>
            <w:tcW w:w="2537"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Value</w:t>
            </w:r>
          </w:p>
        </w:tc>
        <w:tc>
          <w:tcPr>
            <w:tcW w:w="3859"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EMC</w:t>
            </w:r>
          </w:p>
          <w:p>
            <w:pPr>
              <w:spacing w:line="360" w:lineRule="auto"/>
              <w:ind w:right="338" w:rightChars="161"/>
              <w:jc w:val="center"/>
              <w:rPr>
                <w:rFonts w:ascii="宋体" w:hAnsi="宋体" w:cs="宋体"/>
                <w:snapToGrid w:val="0"/>
                <w:sz w:val="24"/>
              </w:rPr>
            </w:pPr>
            <w:r>
              <w:rPr>
                <w:rFonts w:hint="eastAsia" w:ascii="宋体" w:hAnsi="宋体" w:cs="宋体"/>
                <w:snapToGrid w:val="0"/>
                <w:sz w:val="24"/>
              </w:rPr>
              <w:t>-EMS</w:t>
            </w:r>
          </w:p>
        </w:tc>
        <w:tc>
          <w:tcPr>
            <w:tcW w:w="2140"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ESD</w:t>
            </w:r>
          </w:p>
        </w:tc>
        <w:tc>
          <w:tcPr>
            <w:tcW w:w="2537"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IEC61000-4-2</w:t>
            </w:r>
          </w:p>
        </w:tc>
        <w:tc>
          <w:tcPr>
            <w:tcW w:w="3859"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Level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napToGrid w:val="0"/>
                <w:sz w:val="24"/>
              </w:rPr>
            </w:pPr>
          </w:p>
        </w:tc>
        <w:tc>
          <w:tcPr>
            <w:tcW w:w="2140"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RS</w:t>
            </w:r>
          </w:p>
        </w:tc>
        <w:tc>
          <w:tcPr>
            <w:tcW w:w="2537"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IEC61000-4-3</w:t>
            </w:r>
          </w:p>
        </w:tc>
        <w:tc>
          <w:tcPr>
            <w:tcW w:w="3859"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Level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napToGrid w:val="0"/>
                <w:sz w:val="24"/>
              </w:rPr>
            </w:pPr>
          </w:p>
        </w:tc>
        <w:tc>
          <w:tcPr>
            <w:tcW w:w="2140"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EFT</w:t>
            </w:r>
          </w:p>
        </w:tc>
        <w:tc>
          <w:tcPr>
            <w:tcW w:w="2537"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IEC61000-4-4</w:t>
            </w:r>
          </w:p>
        </w:tc>
        <w:tc>
          <w:tcPr>
            <w:tcW w:w="3859"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Level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napToGrid w:val="0"/>
                <w:sz w:val="24"/>
              </w:rPr>
            </w:pPr>
          </w:p>
        </w:tc>
        <w:tc>
          <w:tcPr>
            <w:tcW w:w="2140"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SURGE</w:t>
            </w:r>
          </w:p>
        </w:tc>
        <w:tc>
          <w:tcPr>
            <w:tcW w:w="2537"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IEC61000-4-5</w:t>
            </w:r>
          </w:p>
        </w:tc>
        <w:tc>
          <w:tcPr>
            <w:tcW w:w="3859"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Level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napToGrid w:val="0"/>
                <w:sz w:val="24"/>
              </w:rPr>
            </w:pPr>
          </w:p>
        </w:tc>
        <w:tc>
          <w:tcPr>
            <w:tcW w:w="2140"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低频传导骚扰</w:t>
            </w:r>
          </w:p>
        </w:tc>
        <w:tc>
          <w:tcPr>
            <w:tcW w:w="2537"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IEC61000-2-2</w:t>
            </w:r>
          </w:p>
        </w:tc>
        <w:tc>
          <w:tcPr>
            <w:tcW w:w="3859"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EMC</w:t>
            </w:r>
          </w:p>
          <w:p>
            <w:pPr>
              <w:spacing w:line="360" w:lineRule="auto"/>
              <w:ind w:right="338" w:rightChars="161"/>
              <w:jc w:val="center"/>
              <w:rPr>
                <w:rFonts w:ascii="宋体" w:hAnsi="宋体" w:cs="宋体"/>
                <w:snapToGrid w:val="0"/>
                <w:sz w:val="24"/>
              </w:rPr>
            </w:pPr>
            <w:r>
              <w:rPr>
                <w:rFonts w:hint="eastAsia" w:ascii="宋体" w:hAnsi="宋体" w:cs="宋体"/>
                <w:snapToGrid w:val="0"/>
                <w:sz w:val="24"/>
              </w:rPr>
              <w:t>-EMI</w:t>
            </w:r>
          </w:p>
        </w:tc>
        <w:tc>
          <w:tcPr>
            <w:tcW w:w="2140"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Conduction</w:t>
            </w:r>
          </w:p>
        </w:tc>
        <w:tc>
          <w:tcPr>
            <w:tcW w:w="2537"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IEC62040 C3</w:t>
            </w:r>
          </w:p>
        </w:tc>
        <w:tc>
          <w:tcPr>
            <w:tcW w:w="3859"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napToGrid w:val="0"/>
                <w:sz w:val="24"/>
              </w:rPr>
            </w:pPr>
          </w:p>
        </w:tc>
        <w:tc>
          <w:tcPr>
            <w:tcW w:w="2140"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Radiation</w:t>
            </w:r>
          </w:p>
        </w:tc>
        <w:tc>
          <w:tcPr>
            <w:tcW w:w="2537"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IEC62040 C3</w:t>
            </w:r>
          </w:p>
        </w:tc>
        <w:tc>
          <w:tcPr>
            <w:tcW w:w="3859"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napToGrid w:val="0"/>
                <w:sz w:val="24"/>
              </w:rPr>
            </w:pPr>
            <w:r>
              <w:rPr>
                <w:rFonts w:hint="eastAsia" w:ascii="宋体" w:hAnsi="宋体" w:cs="宋体"/>
                <w:snapToGrid w:val="0"/>
                <w:sz w:val="24"/>
              </w:rPr>
              <w:t>Transport</w:t>
            </w:r>
          </w:p>
        </w:tc>
        <w:tc>
          <w:tcPr>
            <w:tcW w:w="2140"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z w:val="24"/>
              </w:rPr>
            </w:pPr>
            <w:r>
              <w:rPr>
                <w:rFonts w:hint="eastAsia" w:ascii="宋体" w:hAnsi="宋体" w:cs="宋体"/>
                <w:sz w:val="24"/>
              </w:rPr>
              <w:t>Drop Test</w:t>
            </w:r>
          </w:p>
        </w:tc>
        <w:tc>
          <w:tcPr>
            <w:tcW w:w="2537"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z w:val="24"/>
              </w:rPr>
            </w:pPr>
            <w:r>
              <w:rPr>
                <w:rFonts w:hint="eastAsia" w:ascii="宋体" w:hAnsi="宋体" w:cs="宋体"/>
                <w:sz w:val="24"/>
              </w:rPr>
              <w:t>GB/T14715-93</w:t>
            </w:r>
          </w:p>
        </w:tc>
        <w:tc>
          <w:tcPr>
            <w:tcW w:w="3859"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z w:val="24"/>
              </w:rPr>
            </w:pPr>
            <w:r>
              <w:rPr>
                <w:rFonts w:hint="eastAsia" w:ascii="宋体" w:hAnsi="宋体" w:cs="宋体"/>
                <w:sz w:val="24"/>
              </w:rPr>
              <w:t>Based on B-RDW-009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napToGrid w:val="0"/>
                <w:sz w:val="24"/>
              </w:rPr>
            </w:pPr>
          </w:p>
        </w:tc>
        <w:tc>
          <w:tcPr>
            <w:tcW w:w="2140"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z w:val="24"/>
              </w:rPr>
            </w:pPr>
            <w:r>
              <w:rPr>
                <w:rFonts w:hint="eastAsia" w:ascii="宋体" w:hAnsi="宋体" w:cs="宋体"/>
                <w:sz w:val="24"/>
              </w:rPr>
              <w:t>Vibration Test</w:t>
            </w:r>
          </w:p>
        </w:tc>
        <w:tc>
          <w:tcPr>
            <w:tcW w:w="2537"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z w:val="24"/>
              </w:rPr>
            </w:pPr>
            <w:r>
              <w:rPr>
                <w:rFonts w:hint="eastAsia" w:ascii="宋体" w:hAnsi="宋体" w:cs="宋体"/>
                <w:sz w:val="24"/>
              </w:rPr>
              <w:t>GB/T14715-93</w:t>
            </w:r>
          </w:p>
        </w:tc>
        <w:tc>
          <w:tcPr>
            <w:tcW w:w="3859"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z w:val="24"/>
              </w:rPr>
            </w:pPr>
            <w:r>
              <w:rPr>
                <w:rFonts w:hint="eastAsia" w:ascii="宋体" w:hAnsi="宋体" w:cs="宋体"/>
                <w:sz w:val="24"/>
              </w:rPr>
              <w:t>Based on B-RDW-011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napToGrid w:val="0"/>
                <w:sz w:val="24"/>
              </w:rPr>
            </w:pPr>
          </w:p>
        </w:tc>
        <w:tc>
          <w:tcPr>
            <w:tcW w:w="2140"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z w:val="24"/>
              </w:rPr>
            </w:pPr>
            <w:r>
              <w:rPr>
                <w:rFonts w:hint="eastAsia" w:ascii="宋体" w:hAnsi="宋体" w:cs="宋体"/>
                <w:sz w:val="24"/>
              </w:rPr>
              <w:t>Transportation</w:t>
            </w:r>
          </w:p>
        </w:tc>
        <w:tc>
          <w:tcPr>
            <w:tcW w:w="2537"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z w:val="24"/>
              </w:rPr>
            </w:pPr>
            <w:r>
              <w:rPr>
                <w:rFonts w:hint="eastAsia" w:ascii="宋体" w:hAnsi="宋体" w:cs="宋体"/>
                <w:sz w:val="24"/>
              </w:rPr>
              <w:t>支持空运，陆运</w:t>
            </w:r>
          </w:p>
        </w:tc>
        <w:tc>
          <w:tcPr>
            <w:tcW w:w="3859" w:type="dxa"/>
            <w:tcBorders>
              <w:top w:val="single" w:color="auto" w:sz="4" w:space="0"/>
              <w:left w:val="single" w:color="auto" w:sz="4" w:space="0"/>
              <w:bottom w:val="single" w:color="auto" w:sz="4" w:space="0"/>
              <w:right w:val="single" w:color="auto" w:sz="4" w:space="0"/>
            </w:tcBorders>
            <w:vAlign w:val="center"/>
          </w:tcPr>
          <w:p>
            <w:pPr>
              <w:spacing w:line="360" w:lineRule="auto"/>
              <w:ind w:right="338" w:rightChars="161"/>
              <w:jc w:val="center"/>
              <w:rPr>
                <w:rFonts w:ascii="宋体" w:hAnsi="宋体" w:cs="宋体"/>
                <w:sz w:val="24"/>
              </w:rPr>
            </w:pPr>
          </w:p>
        </w:tc>
      </w:tr>
    </w:tbl>
    <w:p>
      <w:pPr>
        <w:widowControl/>
        <w:spacing w:line="360" w:lineRule="auto"/>
        <w:rPr>
          <w:rFonts w:ascii="宋体" w:hAnsi="宋体" w:cs="宋体"/>
          <w:kern w:val="0"/>
          <w:sz w:val="24"/>
        </w:rPr>
      </w:pPr>
    </w:p>
    <w:p>
      <w:pPr>
        <w:spacing w:line="360" w:lineRule="auto"/>
        <w:rPr>
          <w:rFonts w:ascii="宋体" w:hAnsi="宋体" w:cs="宋体"/>
          <w:sz w:val="24"/>
        </w:rPr>
      </w:pPr>
      <w:bookmarkStart w:id="249" w:name="_Toc97552440"/>
      <w:bookmarkStart w:id="250" w:name="_Toc459111724"/>
      <w:bookmarkStart w:id="251" w:name="_Toc97553875"/>
      <w:bookmarkStart w:id="252" w:name="_Toc97552216"/>
      <w:r>
        <w:rPr>
          <w:rFonts w:hint="eastAsia" w:ascii="宋体" w:hAnsi="宋体" w:cs="宋体"/>
          <w:sz w:val="24"/>
        </w:rPr>
        <w:t>2. 电池要求</w:t>
      </w:r>
      <w:bookmarkEnd w:id="249"/>
      <w:bookmarkEnd w:id="250"/>
      <w:bookmarkEnd w:id="251"/>
      <w:bookmarkEnd w:id="252"/>
    </w:p>
    <w:p>
      <w:pPr>
        <w:spacing w:line="360" w:lineRule="auto"/>
        <w:ind w:firstLine="480" w:firstLineChars="200"/>
        <w:rPr>
          <w:rFonts w:ascii="宋体" w:hAnsi="宋体" w:cs="宋体"/>
          <w:sz w:val="24"/>
        </w:rPr>
      </w:pPr>
      <w:r>
        <w:rPr>
          <w:rFonts w:hint="eastAsia" w:ascii="宋体" w:hAnsi="宋体" w:cs="宋体"/>
          <w:sz w:val="24"/>
        </w:rPr>
        <w:t>蓄电池与主机同一品牌，在产品设计上侧重与UPS的兼容匹配，从而降低故障和维护的次数，同时蓄电池需采用先进的板栅制造工艺，电池设计浮充寿命25℃下10年以上，工作温度-20℃-55℃；</w:t>
      </w:r>
    </w:p>
    <w:p>
      <w:pPr>
        <w:spacing w:line="360" w:lineRule="auto"/>
        <w:ind w:firstLine="480" w:firstLineChars="200"/>
        <w:rPr>
          <w:rFonts w:ascii="宋体" w:hAnsi="宋体" w:cs="宋体"/>
          <w:sz w:val="24"/>
        </w:rPr>
      </w:pPr>
      <w:r>
        <w:rPr>
          <w:rFonts w:hint="eastAsia" w:ascii="宋体" w:hAnsi="宋体" w:cs="宋体"/>
          <w:sz w:val="24"/>
        </w:rPr>
        <w:t>蓄电池必须采用前沿的板栅生产工艺，如冲网技术或拉网技术，极板耐腐蚀性高，环境更友好。</w:t>
      </w:r>
    </w:p>
    <w:p>
      <w:pPr>
        <w:spacing w:line="360" w:lineRule="auto"/>
        <w:ind w:firstLine="480" w:firstLineChars="200"/>
        <w:rPr>
          <w:rFonts w:ascii="宋体" w:hAnsi="宋体" w:cs="宋体"/>
          <w:sz w:val="24"/>
        </w:rPr>
      </w:pPr>
      <w:r>
        <w:rPr>
          <w:rFonts w:hint="eastAsia" w:ascii="宋体" w:hAnsi="宋体" w:cs="宋体"/>
          <w:sz w:val="24"/>
        </w:rPr>
        <w:t>蓄电池采用符合UL 94-V0 的阻燃材质电池壳体、盖体设计</w:t>
      </w:r>
    </w:p>
    <w:p>
      <w:pPr>
        <w:spacing w:line="360" w:lineRule="auto"/>
        <w:ind w:firstLine="480" w:firstLineChars="200"/>
        <w:rPr>
          <w:rFonts w:ascii="宋体" w:hAnsi="宋体" w:cs="宋体"/>
          <w:sz w:val="24"/>
        </w:rPr>
      </w:pPr>
      <w:r>
        <w:rPr>
          <w:rFonts w:hint="eastAsia" w:ascii="宋体" w:hAnsi="宋体" w:cs="宋体"/>
          <w:sz w:val="24"/>
        </w:rPr>
        <w:t>蓄电池在20℃室温下，蓄电池月平均自放电率小于2%</w:t>
      </w:r>
    </w:p>
    <w:p>
      <w:pPr>
        <w:spacing w:line="360" w:lineRule="auto"/>
        <w:ind w:firstLine="480" w:firstLineChars="200"/>
        <w:rPr>
          <w:rFonts w:ascii="宋体" w:hAnsi="宋体" w:cs="宋体"/>
          <w:sz w:val="24"/>
        </w:rPr>
      </w:pPr>
      <w:r>
        <w:rPr>
          <w:rFonts w:hint="eastAsia" w:ascii="宋体" w:hAnsi="宋体" w:cs="宋体"/>
          <w:sz w:val="24"/>
        </w:rPr>
        <w:t>蓄电池采用统一的嵌入式端子设计，保证在电池过大电流时性能更加稳定，安装维护简单方便。</w:t>
      </w:r>
    </w:p>
    <w:p>
      <w:pPr>
        <w:spacing w:line="360" w:lineRule="auto"/>
        <w:rPr>
          <w:rFonts w:ascii="宋体" w:hAnsi="宋体" w:cs="宋体"/>
          <w:sz w:val="24"/>
        </w:rPr>
      </w:pPr>
      <w:bookmarkStart w:id="253" w:name="_Toc97552441"/>
      <w:bookmarkStart w:id="254" w:name="_Toc97552217"/>
      <w:bookmarkStart w:id="255" w:name="_Toc97553876"/>
      <w:bookmarkStart w:id="256" w:name="_Toc459111725"/>
      <w:r>
        <w:rPr>
          <w:rFonts w:hint="eastAsia" w:ascii="宋体" w:hAnsi="宋体" w:cs="宋体"/>
          <w:sz w:val="24"/>
        </w:rPr>
        <w:t>3. 标准技术参数响应</w:t>
      </w:r>
      <w:bookmarkEnd w:id="253"/>
      <w:bookmarkEnd w:id="254"/>
      <w:bookmarkEnd w:id="255"/>
      <w:bookmarkEnd w:id="256"/>
    </w:p>
    <w:p>
      <w:pPr>
        <w:pStyle w:val="444"/>
        <w:spacing w:line="360" w:lineRule="auto"/>
        <w:rPr>
          <w:rFonts w:ascii="宋体" w:hAnsi="宋体" w:eastAsia="宋体" w:cs="宋体"/>
          <w:sz w:val="24"/>
          <w:szCs w:val="24"/>
        </w:rPr>
      </w:pPr>
      <w:r>
        <w:rPr>
          <w:rFonts w:hint="eastAsia" w:ascii="宋体" w:hAnsi="宋体" w:eastAsia="宋体" w:cs="宋体"/>
          <w:sz w:val="24"/>
          <w:szCs w:val="24"/>
        </w:rPr>
        <w:t>UPS（不间断电源）技术参数表</w:t>
      </w:r>
    </w:p>
    <w:tbl>
      <w:tblPr>
        <w:tblStyle w:val="41"/>
        <w:tblW w:w="8370" w:type="dxa"/>
        <w:jc w:val="center"/>
        <w:tblLayout w:type="autofit"/>
        <w:tblCellMar>
          <w:top w:w="0" w:type="dxa"/>
          <w:left w:w="108" w:type="dxa"/>
          <w:bottom w:w="0" w:type="dxa"/>
          <w:right w:w="108" w:type="dxa"/>
        </w:tblCellMar>
      </w:tblPr>
      <w:tblGrid>
        <w:gridCol w:w="1343"/>
        <w:gridCol w:w="1199"/>
        <w:gridCol w:w="898"/>
        <w:gridCol w:w="3926"/>
        <w:gridCol w:w="1004"/>
      </w:tblGrid>
      <w:tr>
        <w:tblPrEx>
          <w:tblCellMar>
            <w:top w:w="0" w:type="dxa"/>
            <w:left w:w="108" w:type="dxa"/>
            <w:bottom w:w="0" w:type="dxa"/>
            <w:right w:w="108" w:type="dxa"/>
          </w:tblCellMar>
        </w:tblPrEx>
        <w:trPr>
          <w:trHeight w:val="300" w:hRule="atLeast"/>
          <w:jc w:val="center"/>
        </w:trPr>
        <w:tc>
          <w:tcPr>
            <w:tcW w:w="13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容量</w:t>
            </w:r>
          </w:p>
        </w:tc>
        <w:tc>
          <w:tcPr>
            <w:tcW w:w="20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VA/W</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5400W/6000VA</w:t>
            </w:r>
          </w:p>
        </w:tc>
      </w:tr>
      <w:tr>
        <w:tblPrEx>
          <w:tblCellMar>
            <w:top w:w="0" w:type="dxa"/>
            <w:left w:w="108" w:type="dxa"/>
            <w:bottom w:w="0" w:type="dxa"/>
            <w:right w:w="108" w:type="dxa"/>
          </w:tblCellMar>
        </w:tblPrEx>
        <w:trPr>
          <w:trHeight w:val="300" w:hRule="atLeast"/>
          <w:jc w:val="center"/>
        </w:trPr>
        <w:tc>
          <w:tcPr>
            <w:tcW w:w="13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输入</w:t>
            </w:r>
          </w:p>
        </w:tc>
        <w:tc>
          <w:tcPr>
            <w:tcW w:w="20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电压范围</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120~275VAC </w:t>
            </w:r>
          </w:p>
        </w:tc>
      </w:tr>
      <w:tr>
        <w:tblPrEx>
          <w:tblCellMar>
            <w:top w:w="0" w:type="dxa"/>
            <w:left w:w="108" w:type="dxa"/>
            <w:bottom w:w="0" w:type="dxa"/>
            <w:right w:w="108" w:type="dxa"/>
          </w:tblCellMar>
        </w:tblPrEx>
        <w:trPr>
          <w:trHeight w:val="300" w:hRule="atLeast"/>
          <w:jc w:val="center"/>
        </w:trPr>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频率范围</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40Hz-70Hz</w:t>
            </w:r>
          </w:p>
        </w:tc>
      </w:tr>
      <w:tr>
        <w:tblPrEx>
          <w:tblCellMar>
            <w:top w:w="0" w:type="dxa"/>
            <w:left w:w="108" w:type="dxa"/>
            <w:bottom w:w="0" w:type="dxa"/>
            <w:right w:w="108" w:type="dxa"/>
          </w:tblCellMar>
        </w:tblPrEx>
        <w:trPr>
          <w:trHeight w:val="300" w:hRule="atLeast"/>
          <w:jc w:val="center"/>
        </w:trPr>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连接</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单相二线+接地</w:t>
            </w:r>
          </w:p>
        </w:tc>
      </w:tr>
      <w:tr>
        <w:tblPrEx>
          <w:tblCellMar>
            <w:top w:w="0" w:type="dxa"/>
            <w:left w:w="108" w:type="dxa"/>
            <w:bottom w:w="0" w:type="dxa"/>
            <w:right w:w="108" w:type="dxa"/>
          </w:tblCellMar>
        </w:tblPrEx>
        <w:trPr>
          <w:trHeight w:val="300" w:hRule="atLeast"/>
          <w:jc w:val="center"/>
        </w:trPr>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THDI/输入谐波失真</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sz w:val="24"/>
              </w:rPr>
              <w:t>＜3%线性负载，</w:t>
            </w:r>
            <w:r>
              <w:rPr>
                <w:rFonts w:hint="eastAsia" w:ascii="宋体" w:hAnsi="宋体" w:cs="宋体"/>
                <w:kern w:val="0"/>
                <w:sz w:val="24"/>
              </w:rPr>
              <w:t>&lt; 5% 非线性满载</w:t>
            </w:r>
          </w:p>
        </w:tc>
      </w:tr>
      <w:tr>
        <w:tblPrEx>
          <w:tblCellMar>
            <w:top w:w="0" w:type="dxa"/>
            <w:left w:w="108" w:type="dxa"/>
            <w:bottom w:w="0" w:type="dxa"/>
            <w:right w:w="108" w:type="dxa"/>
          </w:tblCellMar>
        </w:tblPrEx>
        <w:trPr>
          <w:trHeight w:val="312" w:hRule="atLeast"/>
          <w:jc w:val="center"/>
        </w:trPr>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输入功率因数</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≥0.99</w:t>
            </w:r>
          </w:p>
        </w:tc>
      </w:tr>
      <w:tr>
        <w:tblPrEx>
          <w:tblCellMar>
            <w:top w:w="0" w:type="dxa"/>
            <w:left w:w="108" w:type="dxa"/>
            <w:bottom w:w="0" w:type="dxa"/>
            <w:right w:w="108" w:type="dxa"/>
          </w:tblCellMar>
        </w:tblPrEx>
        <w:trPr>
          <w:trHeight w:val="300" w:hRule="atLeast"/>
          <w:jc w:val="center"/>
        </w:trPr>
        <w:tc>
          <w:tcPr>
            <w:tcW w:w="13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输出</w:t>
            </w:r>
          </w:p>
        </w:tc>
        <w:tc>
          <w:tcPr>
            <w:tcW w:w="209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输出电压</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220VAC</w:t>
            </w:r>
          </w:p>
        </w:tc>
      </w:tr>
      <w:tr>
        <w:tblPrEx>
          <w:tblCellMar>
            <w:top w:w="0" w:type="dxa"/>
            <w:left w:w="108" w:type="dxa"/>
            <w:bottom w:w="0" w:type="dxa"/>
            <w:right w:w="108" w:type="dxa"/>
          </w:tblCellMar>
        </w:tblPrEx>
        <w:trPr>
          <w:trHeight w:val="300" w:hRule="atLeast"/>
          <w:jc w:val="center"/>
        </w:trPr>
        <w:tc>
          <w:tcPr>
            <w:tcW w:w="13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p>
        </w:tc>
        <w:tc>
          <w:tcPr>
            <w:tcW w:w="209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输出功率因数</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0.9</w:t>
            </w:r>
          </w:p>
        </w:tc>
      </w:tr>
      <w:tr>
        <w:tblPrEx>
          <w:tblCellMar>
            <w:top w:w="0" w:type="dxa"/>
            <w:left w:w="108" w:type="dxa"/>
            <w:bottom w:w="0" w:type="dxa"/>
            <w:right w:w="108" w:type="dxa"/>
          </w:tblCellMar>
        </w:tblPrEx>
        <w:trPr>
          <w:trHeight w:val="300"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输出精度</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300"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连接</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单相二线+接地</w:t>
            </w:r>
          </w:p>
        </w:tc>
      </w:tr>
      <w:tr>
        <w:tblPrEx>
          <w:tblCellMar>
            <w:top w:w="0" w:type="dxa"/>
            <w:left w:w="108" w:type="dxa"/>
            <w:bottom w:w="0" w:type="dxa"/>
            <w:right w:w="108" w:type="dxa"/>
          </w:tblCellMar>
        </w:tblPrEx>
        <w:trPr>
          <w:trHeight w:val="300"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输出频率</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50/60Hz±0.2Hz</w:t>
            </w:r>
          </w:p>
        </w:tc>
      </w:tr>
      <w:tr>
        <w:tblPrEx>
          <w:tblCellMar>
            <w:top w:w="0" w:type="dxa"/>
            <w:left w:w="108" w:type="dxa"/>
            <w:bottom w:w="0" w:type="dxa"/>
            <w:right w:w="108" w:type="dxa"/>
          </w:tblCellMar>
        </w:tblPrEx>
        <w:trPr>
          <w:trHeight w:val="300"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输出谐波失真</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&lt;2% THD 线性负载</w:t>
            </w:r>
          </w:p>
        </w:tc>
      </w:tr>
      <w:tr>
        <w:tblPrEx>
          <w:tblCellMar>
            <w:top w:w="0" w:type="dxa"/>
            <w:left w:w="108" w:type="dxa"/>
            <w:bottom w:w="0" w:type="dxa"/>
            <w:right w:w="108" w:type="dxa"/>
          </w:tblCellMar>
        </w:tblPrEx>
        <w:trPr>
          <w:trHeight w:val="300"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&lt;4% THD 非线性负载</w:t>
            </w:r>
          </w:p>
        </w:tc>
      </w:tr>
      <w:tr>
        <w:tblPrEx>
          <w:tblCellMar>
            <w:top w:w="0" w:type="dxa"/>
            <w:left w:w="108" w:type="dxa"/>
            <w:bottom w:w="0" w:type="dxa"/>
            <w:right w:w="108" w:type="dxa"/>
          </w:tblCellMar>
        </w:tblPrEx>
        <w:trPr>
          <w:trHeight w:val="300"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输出波形</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纯净正弦输出</w:t>
            </w:r>
          </w:p>
        </w:tc>
      </w:tr>
      <w:tr>
        <w:tblPrEx>
          <w:tblCellMar>
            <w:top w:w="0" w:type="dxa"/>
            <w:left w:w="108" w:type="dxa"/>
            <w:bottom w:w="0" w:type="dxa"/>
            <w:right w:w="108" w:type="dxa"/>
          </w:tblCellMar>
        </w:tblPrEx>
        <w:trPr>
          <w:trHeight w:val="600"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1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过载能力</w:t>
            </w:r>
          </w:p>
        </w:tc>
        <w:tc>
          <w:tcPr>
            <w:tcW w:w="89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市电模式</w:t>
            </w:r>
          </w:p>
        </w:tc>
        <w:tc>
          <w:tcPr>
            <w:tcW w:w="493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left"/>
              <w:rPr>
                <w:rFonts w:ascii="宋体" w:hAnsi="宋体" w:cs="宋体"/>
                <w:kern w:val="0"/>
                <w:sz w:val="24"/>
              </w:rPr>
            </w:pPr>
            <w:r>
              <w:rPr>
                <w:rFonts w:hint="eastAsia" w:ascii="宋体" w:hAnsi="宋体" w:cs="宋体"/>
                <w:kern w:val="0"/>
                <w:sz w:val="24"/>
              </w:rPr>
              <w:t>1min @105%-125% 负载</w:t>
            </w:r>
            <w:r>
              <w:rPr>
                <w:rFonts w:hint="eastAsia" w:ascii="宋体" w:hAnsi="宋体" w:cs="宋体"/>
                <w:kern w:val="0"/>
                <w:sz w:val="24"/>
              </w:rPr>
              <w:br w:type="textWrapping"/>
            </w:r>
            <w:r>
              <w:rPr>
                <w:rFonts w:hint="eastAsia" w:ascii="宋体" w:hAnsi="宋体" w:cs="宋体"/>
                <w:kern w:val="0"/>
                <w:sz w:val="24"/>
              </w:rPr>
              <w:t>30s @125%-150% 负载</w:t>
            </w:r>
            <w:r>
              <w:rPr>
                <w:rFonts w:hint="eastAsia" w:ascii="宋体" w:hAnsi="宋体" w:cs="宋体"/>
                <w:kern w:val="0"/>
                <w:sz w:val="24"/>
              </w:rPr>
              <w:br w:type="textWrapping"/>
            </w:r>
            <w:r>
              <w:rPr>
                <w:rFonts w:hint="eastAsia" w:ascii="宋体" w:hAnsi="宋体" w:cs="宋体"/>
                <w:kern w:val="0"/>
                <w:sz w:val="24"/>
              </w:rPr>
              <w:t>0.5s @&gt;150% 负载</w:t>
            </w:r>
          </w:p>
        </w:tc>
      </w:tr>
      <w:tr>
        <w:tblPrEx>
          <w:tblCellMar>
            <w:top w:w="0" w:type="dxa"/>
            <w:left w:w="108" w:type="dxa"/>
            <w:bottom w:w="0" w:type="dxa"/>
            <w:right w:w="108" w:type="dxa"/>
          </w:tblCellMar>
        </w:tblPrEx>
        <w:trPr>
          <w:trHeight w:val="600"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1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89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电池模式</w:t>
            </w:r>
          </w:p>
        </w:tc>
        <w:tc>
          <w:tcPr>
            <w:tcW w:w="4930" w:type="dxa"/>
            <w:gridSpan w:val="2"/>
            <w:vMerge w:val="continue"/>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300" w:hRule="atLeast"/>
          <w:jc w:val="center"/>
        </w:trPr>
        <w:tc>
          <w:tcPr>
            <w:tcW w:w="13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效率</w:t>
            </w:r>
          </w:p>
        </w:tc>
        <w:tc>
          <w:tcPr>
            <w:tcW w:w="209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市电模式</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Up to 94%</w:t>
            </w:r>
          </w:p>
        </w:tc>
      </w:tr>
      <w:tr>
        <w:tblPrEx>
          <w:tblCellMar>
            <w:top w:w="0" w:type="dxa"/>
            <w:left w:w="108" w:type="dxa"/>
            <w:bottom w:w="0" w:type="dxa"/>
            <w:right w:w="108" w:type="dxa"/>
          </w:tblCellMar>
        </w:tblPrEx>
        <w:trPr>
          <w:trHeight w:val="300"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ECO高效模式</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Up to 98%</w:t>
            </w:r>
          </w:p>
        </w:tc>
      </w:tr>
      <w:tr>
        <w:tblPrEx>
          <w:tblCellMar>
            <w:top w:w="0" w:type="dxa"/>
            <w:left w:w="108" w:type="dxa"/>
            <w:bottom w:w="0" w:type="dxa"/>
            <w:right w:w="108" w:type="dxa"/>
          </w:tblCellMar>
        </w:tblPrEx>
        <w:trPr>
          <w:trHeight w:val="300" w:hRule="atLeast"/>
          <w:jc w:val="center"/>
        </w:trPr>
        <w:tc>
          <w:tcPr>
            <w:tcW w:w="13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电池及充电参数</w:t>
            </w:r>
          </w:p>
        </w:tc>
        <w:tc>
          <w:tcPr>
            <w:tcW w:w="209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电池节数</w:t>
            </w:r>
          </w:p>
        </w:tc>
        <w:tc>
          <w:tcPr>
            <w:tcW w:w="4930" w:type="dxa"/>
            <w:gridSpan w:val="2"/>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15PCS</w:t>
            </w:r>
          </w:p>
        </w:tc>
      </w:tr>
      <w:tr>
        <w:tblPrEx>
          <w:tblCellMar>
            <w:top w:w="0" w:type="dxa"/>
            <w:left w:w="108" w:type="dxa"/>
            <w:bottom w:w="0" w:type="dxa"/>
            <w:right w:w="108" w:type="dxa"/>
          </w:tblCellMar>
        </w:tblPrEx>
        <w:trPr>
          <w:trHeight w:val="300"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电池类型</w:t>
            </w:r>
          </w:p>
        </w:tc>
        <w:tc>
          <w:tcPr>
            <w:tcW w:w="392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12V/7Ah</w:t>
            </w:r>
          </w:p>
        </w:tc>
        <w:tc>
          <w:tcPr>
            <w:tcW w:w="100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300"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回充时间</w:t>
            </w:r>
          </w:p>
        </w:tc>
        <w:tc>
          <w:tcPr>
            <w:tcW w:w="4930" w:type="dxa"/>
            <w:gridSpan w:val="2"/>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5小时回充90%</w:t>
            </w:r>
          </w:p>
        </w:tc>
      </w:tr>
      <w:tr>
        <w:tblPrEx>
          <w:tblCellMar>
            <w:top w:w="0" w:type="dxa"/>
            <w:left w:w="108" w:type="dxa"/>
            <w:bottom w:w="0" w:type="dxa"/>
            <w:right w:w="108" w:type="dxa"/>
          </w:tblCellMar>
        </w:tblPrEx>
        <w:trPr>
          <w:trHeight w:val="300" w:hRule="atLeast"/>
          <w:jc w:val="center"/>
        </w:trPr>
        <w:tc>
          <w:tcPr>
            <w:tcW w:w="13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显示</w:t>
            </w:r>
          </w:p>
        </w:tc>
        <w:tc>
          <w:tcPr>
            <w:tcW w:w="209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LED</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负载/电量/输入/输出/运行模式</w:t>
            </w:r>
          </w:p>
        </w:tc>
      </w:tr>
      <w:tr>
        <w:tblPrEx>
          <w:tblCellMar>
            <w:top w:w="0" w:type="dxa"/>
            <w:left w:w="108" w:type="dxa"/>
            <w:bottom w:w="0" w:type="dxa"/>
            <w:right w:w="108" w:type="dxa"/>
          </w:tblCellMar>
        </w:tblPrEx>
        <w:trPr>
          <w:trHeight w:val="312" w:hRule="atLeast"/>
          <w:jc w:val="center"/>
        </w:trPr>
        <w:tc>
          <w:tcPr>
            <w:tcW w:w="13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环境参数</w:t>
            </w:r>
          </w:p>
        </w:tc>
        <w:tc>
          <w:tcPr>
            <w:tcW w:w="209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运行环境温度</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0-40℃</w:t>
            </w:r>
          </w:p>
        </w:tc>
      </w:tr>
      <w:tr>
        <w:tblPrEx>
          <w:tblCellMar>
            <w:top w:w="0" w:type="dxa"/>
            <w:left w:w="108" w:type="dxa"/>
            <w:bottom w:w="0" w:type="dxa"/>
            <w:right w:w="108" w:type="dxa"/>
          </w:tblCellMar>
        </w:tblPrEx>
        <w:trPr>
          <w:trHeight w:val="312"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运行环境湿度</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20-90%（无凝露）</w:t>
            </w:r>
          </w:p>
        </w:tc>
      </w:tr>
      <w:tr>
        <w:tblPrEx>
          <w:tblCellMar>
            <w:top w:w="0" w:type="dxa"/>
            <w:left w:w="108" w:type="dxa"/>
            <w:bottom w:w="0" w:type="dxa"/>
            <w:right w:w="108" w:type="dxa"/>
          </w:tblCellMar>
        </w:tblPrEx>
        <w:trPr>
          <w:trHeight w:val="300"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噪声</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&lt;50dB @ 距离1米</w:t>
            </w:r>
          </w:p>
        </w:tc>
      </w:tr>
      <w:tr>
        <w:tblPrEx>
          <w:tblCellMar>
            <w:top w:w="0" w:type="dxa"/>
            <w:left w:w="108" w:type="dxa"/>
            <w:bottom w:w="0" w:type="dxa"/>
            <w:right w:w="108" w:type="dxa"/>
          </w:tblCellMar>
        </w:tblPrEx>
        <w:trPr>
          <w:trHeight w:val="300" w:hRule="atLeast"/>
          <w:jc w:val="center"/>
        </w:trPr>
        <w:tc>
          <w:tcPr>
            <w:tcW w:w="13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标准和认证</w:t>
            </w:r>
          </w:p>
        </w:tc>
        <w:tc>
          <w:tcPr>
            <w:tcW w:w="702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IEC61000, IEC62040, GB7260,GB4943</w:t>
            </w:r>
            <w:r>
              <w:rPr>
                <w:rFonts w:hint="eastAsia" w:ascii="宋体" w:hAnsi="宋体" w:cs="宋体"/>
                <w:kern w:val="0"/>
                <w:sz w:val="24"/>
              </w:rPr>
              <w:br w:type="textWrapping"/>
            </w:r>
            <w:r>
              <w:rPr>
                <w:rFonts w:hint="eastAsia" w:ascii="宋体" w:hAnsi="宋体" w:cs="宋体"/>
                <w:kern w:val="0"/>
                <w:sz w:val="24"/>
              </w:rPr>
              <w:t xml:space="preserve">TLC/节能认证/ </w:t>
            </w:r>
          </w:p>
        </w:tc>
      </w:tr>
      <w:tr>
        <w:tblPrEx>
          <w:tblCellMar>
            <w:top w:w="0" w:type="dxa"/>
            <w:left w:w="108" w:type="dxa"/>
            <w:bottom w:w="0" w:type="dxa"/>
            <w:right w:w="108" w:type="dxa"/>
          </w:tblCellMar>
        </w:tblPrEx>
        <w:trPr>
          <w:trHeight w:val="624" w:hRule="atLeast"/>
          <w:jc w:val="center"/>
        </w:trPr>
        <w:tc>
          <w:tcPr>
            <w:tcW w:w="13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通讯接口和软件</w:t>
            </w:r>
          </w:p>
        </w:tc>
        <w:tc>
          <w:tcPr>
            <w:tcW w:w="209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RS232</w:t>
            </w:r>
          </w:p>
        </w:tc>
        <w:tc>
          <w:tcPr>
            <w:tcW w:w="493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标配</w:t>
            </w:r>
          </w:p>
        </w:tc>
      </w:tr>
      <w:tr>
        <w:tblPrEx>
          <w:tblCellMar>
            <w:top w:w="0" w:type="dxa"/>
            <w:left w:w="108" w:type="dxa"/>
            <w:bottom w:w="0" w:type="dxa"/>
            <w:right w:w="108" w:type="dxa"/>
          </w:tblCellMar>
        </w:tblPrEx>
        <w:trPr>
          <w:trHeight w:val="467"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49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300"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扩展插槽（选配）</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可选择NMC卡, CMC卡, AS400卡或 USB卡.</w:t>
            </w:r>
          </w:p>
        </w:tc>
      </w:tr>
      <w:tr>
        <w:tblPrEx>
          <w:tblCellMar>
            <w:top w:w="0" w:type="dxa"/>
            <w:left w:w="108" w:type="dxa"/>
            <w:bottom w:w="0" w:type="dxa"/>
            <w:right w:w="108" w:type="dxa"/>
          </w:tblCellMar>
        </w:tblPrEx>
        <w:trPr>
          <w:trHeight w:val="300"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EPO（选配）</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紧急关断</w:t>
            </w:r>
          </w:p>
        </w:tc>
      </w:tr>
      <w:tr>
        <w:tblPrEx>
          <w:tblCellMar>
            <w:top w:w="0" w:type="dxa"/>
            <w:left w:w="108" w:type="dxa"/>
            <w:bottom w:w="0" w:type="dxa"/>
            <w:right w:w="108" w:type="dxa"/>
          </w:tblCellMar>
        </w:tblPrEx>
        <w:trPr>
          <w:trHeight w:val="300"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sz w:val="24"/>
              </w:rPr>
            </w:pPr>
            <w:r>
              <w:rPr>
                <w:rFonts w:hint="eastAsia" w:ascii="宋体" w:hAnsi="宋体" w:cs="宋体"/>
                <w:sz w:val="24"/>
              </w:rPr>
              <w:t>维护旁路（选配）</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kern w:val="0"/>
                <w:sz w:val="24"/>
              </w:rPr>
            </w:pPr>
            <w:r>
              <w:rPr>
                <w:rFonts w:hint="eastAsia" w:ascii="宋体" w:hAnsi="宋体" w:cs="宋体"/>
                <w:kern w:val="0"/>
                <w:sz w:val="24"/>
              </w:rPr>
              <w:t>维护旁路开关</w:t>
            </w:r>
          </w:p>
        </w:tc>
      </w:tr>
      <w:tr>
        <w:tblPrEx>
          <w:tblCellMar>
            <w:top w:w="0" w:type="dxa"/>
            <w:left w:w="108" w:type="dxa"/>
            <w:bottom w:w="0" w:type="dxa"/>
            <w:right w:w="108" w:type="dxa"/>
          </w:tblCellMar>
        </w:tblPrEx>
        <w:trPr>
          <w:trHeight w:val="300"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sz w:val="24"/>
              </w:rPr>
            </w:pPr>
            <w:r>
              <w:rPr>
                <w:rFonts w:hint="eastAsia" w:ascii="宋体" w:hAnsi="宋体" w:cs="宋体"/>
                <w:sz w:val="24"/>
              </w:rPr>
              <w:t>并机组件（选配）</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kern w:val="0"/>
                <w:sz w:val="24"/>
              </w:rPr>
            </w:pPr>
            <w:r>
              <w:rPr>
                <w:rFonts w:hint="eastAsia" w:ascii="宋体" w:hAnsi="宋体" w:cs="宋体"/>
                <w:kern w:val="0"/>
                <w:sz w:val="24"/>
              </w:rPr>
              <w:t>并机</w:t>
            </w:r>
          </w:p>
        </w:tc>
      </w:tr>
      <w:tr>
        <w:tblPrEx>
          <w:tblCellMar>
            <w:top w:w="0" w:type="dxa"/>
            <w:left w:w="108" w:type="dxa"/>
            <w:bottom w:w="0" w:type="dxa"/>
            <w:right w:w="108" w:type="dxa"/>
          </w:tblCellMar>
        </w:tblPrEx>
        <w:trPr>
          <w:trHeight w:val="300" w:hRule="atLeast"/>
          <w:jc w:val="center"/>
        </w:trPr>
        <w:tc>
          <w:tcPr>
            <w:tcW w:w="134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9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管理软件</w:t>
            </w:r>
          </w:p>
        </w:tc>
        <w:tc>
          <w:tcPr>
            <w:tcW w:w="49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具备</w:t>
            </w:r>
          </w:p>
        </w:tc>
      </w:tr>
    </w:tbl>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p>
    <w:p>
      <w:pPr>
        <w:widowControl/>
        <w:spacing w:line="360" w:lineRule="auto"/>
        <w:jc w:val="left"/>
        <w:rPr>
          <w:rFonts w:ascii="宋体" w:hAnsi="宋体" w:cs="宋体"/>
          <w:sz w:val="24"/>
        </w:rPr>
      </w:pPr>
    </w:p>
    <w:p>
      <w:pPr>
        <w:spacing w:line="360" w:lineRule="auto"/>
        <w:jc w:val="center"/>
        <w:rPr>
          <w:rFonts w:ascii="微软雅黑" w:hAnsi="微软雅黑" w:eastAsia="微软雅黑"/>
          <w:sz w:val="18"/>
          <w:szCs w:val="18"/>
        </w:rPr>
      </w:pPr>
      <w:r>
        <w:rPr>
          <w:rFonts w:ascii="微软雅黑" w:hAnsi="微软雅黑" w:eastAsia="微软雅黑" w:cs="宋体"/>
          <w:sz w:val="18"/>
          <w:szCs w:val="18"/>
        </w:rPr>
        <w:br w:type="page"/>
      </w:r>
    </w:p>
    <w:p>
      <w:pPr>
        <w:pStyle w:val="6"/>
        <w:jc w:val="center"/>
      </w:pPr>
      <w:r>
        <w:rPr>
          <w:rFonts w:hint="eastAsia"/>
        </w:rPr>
        <w:t>工作电脑（4台）</w:t>
      </w:r>
    </w:p>
    <w:tbl>
      <w:tblPr>
        <w:tblStyle w:val="41"/>
        <w:tblW w:w="9397" w:type="dxa"/>
        <w:tblInd w:w="0" w:type="dxa"/>
        <w:tblLayout w:type="fixed"/>
        <w:tblCellMar>
          <w:top w:w="0" w:type="dxa"/>
          <w:left w:w="108" w:type="dxa"/>
          <w:bottom w:w="0" w:type="dxa"/>
          <w:right w:w="108" w:type="dxa"/>
        </w:tblCellMar>
      </w:tblPr>
      <w:tblGrid>
        <w:gridCol w:w="1168"/>
        <w:gridCol w:w="555"/>
        <w:gridCol w:w="7674"/>
      </w:tblGrid>
      <w:tr>
        <w:tblPrEx>
          <w:tblCellMar>
            <w:top w:w="0" w:type="dxa"/>
            <w:left w:w="108" w:type="dxa"/>
            <w:bottom w:w="0" w:type="dxa"/>
            <w:right w:w="108" w:type="dxa"/>
          </w:tblCellMar>
        </w:tblPrEx>
        <w:trPr>
          <w:trHeight w:val="847" w:hRule="atLeast"/>
        </w:trPr>
        <w:tc>
          <w:tcPr>
            <w:tcW w:w="11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CPU</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p>
        </w:tc>
        <w:tc>
          <w:tcPr>
            <w:tcW w:w="7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第十代智能 英特尔酷睿 i5-10500 (6-核, 12MB 缓存, 3.1GHz 至 4.5GHz, 65W)</w:t>
            </w:r>
          </w:p>
        </w:tc>
      </w:tr>
      <w:tr>
        <w:tblPrEx>
          <w:tblCellMar>
            <w:top w:w="0" w:type="dxa"/>
            <w:left w:w="108" w:type="dxa"/>
            <w:bottom w:w="0" w:type="dxa"/>
            <w:right w:w="108" w:type="dxa"/>
          </w:tblCellMar>
        </w:tblPrEx>
        <w:trPr>
          <w:trHeight w:val="365" w:hRule="atLeast"/>
        </w:trPr>
        <w:tc>
          <w:tcPr>
            <w:tcW w:w="11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内存</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p>
        </w:tc>
        <w:tc>
          <w:tcPr>
            <w:tcW w:w="7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8GB (1x8GB) DDR4 非 ECC 内存</w:t>
            </w:r>
          </w:p>
        </w:tc>
      </w:tr>
      <w:tr>
        <w:tblPrEx>
          <w:tblCellMar>
            <w:top w:w="0" w:type="dxa"/>
            <w:left w:w="108" w:type="dxa"/>
            <w:bottom w:w="0" w:type="dxa"/>
            <w:right w:w="108" w:type="dxa"/>
          </w:tblCellMar>
        </w:tblPrEx>
        <w:trPr>
          <w:trHeight w:val="482" w:hRule="atLeast"/>
        </w:trPr>
        <w:tc>
          <w:tcPr>
            <w:tcW w:w="11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硬盘</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p>
        </w:tc>
        <w:tc>
          <w:tcPr>
            <w:tcW w:w="7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M.2 512GB PCIe NVMe Class 35固态硬盘</w:t>
            </w:r>
          </w:p>
        </w:tc>
      </w:tr>
      <w:tr>
        <w:tblPrEx>
          <w:tblCellMar>
            <w:top w:w="0" w:type="dxa"/>
            <w:left w:w="108" w:type="dxa"/>
            <w:bottom w:w="0" w:type="dxa"/>
            <w:right w:w="108" w:type="dxa"/>
          </w:tblCellMar>
        </w:tblPrEx>
        <w:trPr>
          <w:trHeight w:val="304" w:hRule="atLeast"/>
        </w:trPr>
        <w:tc>
          <w:tcPr>
            <w:tcW w:w="11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系统</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p>
        </w:tc>
        <w:tc>
          <w:tcPr>
            <w:tcW w:w="76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Windows 10 家庭版 64位 简体中文</w:t>
            </w:r>
          </w:p>
        </w:tc>
      </w:tr>
      <w:tr>
        <w:tblPrEx>
          <w:tblCellMar>
            <w:top w:w="0" w:type="dxa"/>
            <w:left w:w="108" w:type="dxa"/>
            <w:bottom w:w="0" w:type="dxa"/>
            <w:right w:w="108" w:type="dxa"/>
          </w:tblCellMar>
        </w:tblPrEx>
        <w:trPr>
          <w:trHeight w:val="304" w:hRule="atLeast"/>
        </w:trPr>
        <w:tc>
          <w:tcPr>
            <w:tcW w:w="11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配件</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p>
        </w:tc>
        <w:tc>
          <w:tcPr>
            <w:tcW w:w="76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键盘+鼠标</w:t>
            </w:r>
          </w:p>
        </w:tc>
      </w:tr>
      <w:tr>
        <w:tblPrEx>
          <w:tblCellMar>
            <w:top w:w="0" w:type="dxa"/>
            <w:left w:w="108" w:type="dxa"/>
            <w:bottom w:w="0" w:type="dxa"/>
            <w:right w:w="108" w:type="dxa"/>
          </w:tblCellMar>
        </w:tblPrEx>
        <w:trPr>
          <w:trHeight w:val="272" w:hRule="atLeast"/>
        </w:trPr>
        <w:tc>
          <w:tcPr>
            <w:tcW w:w="11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保修</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p>
        </w:tc>
        <w:tc>
          <w:tcPr>
            <w:tcW w:w="7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3年下一个工作日上门  3年硬盘保留</w:t>
            </w:r>
          </w:p>
        </w:tc>
      </w:tr>
      <w:tr>
        <w:tblPrEx>
          <w:tblCellMar>
            <w:top w:w="0" w:type="dxa"/>
            <w:left w:w="108" w:type="dxa"/>
            <w:bottom w:w="0" w:type="dxa"/>
            <w:right w:w="108" w:type="dxa"/>
          </w:tblCellMar>
        </w:tblPrEx>
        <w:trPr>
          <w:trHeight w:val="243" w:hRule="atLeast"/>
        </w:trPr>
        <w:tc>
          <w:tcPr>
            <w:tcW w:w="11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显示器</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p>
        </w:tc>
        <w:tc>
          <w:tcPr>
            <w:tcW w:w="76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   21.5 寸    DP接口</w:t>
            </w:r>
          </w:p>
        </w:tc>
      </w:tr>
    </w:tbl>
    <w:p>
      <w:pPr>
        <w:spacing w:line="360" w:lineRule="auto"/>
        <w:jc w:val="center"/>
        <w:rPr>
          <w:rFonts w:ascii="宋体" w:hAnsi="宋体" w:cs="宋体"/>
          <w:kern w:val="0"/>
          <w:sz w:val="24"/>
        </w:rPr>
      </w:pPr>
    </w:p>
    <w:p>
      <w:pPr>
        <w:pStyle w:val="6"/>
        <w:jc w:val="center"/>
      </w:pPr>
      <w:r>
        <w:rPr>
          <w:rFonts w:hint="eastAsia"/>
        </w:rPr>
        <w:t>药物基因组学分析软件</w:t>
      </w:r>
    </w:p>
    <w:p>
      <w:pPr>
        <w:spacing w:line="360" w:lineRule="auto"/>
        <w:rPr>
          <w:rFonts w:ascii="宋体" w:hAnsi="宋体" w:cs="宋体"/>
          <w:sz w:val="24"/>
        </w:rPr>
      </w:pPr>
      <w:r>
        <w:rPr>
          <w:rFonts w:hint="eastAsia" w:ascii="宋体" w:hAnsi="宋体" w:cs="宋体"/>
          <w:sz w:val="24"/>
        </w:rPr>
        <w:t>软件用途：在满足医院日常</w:t>
      </w:r>
      <w:r>
        <w:rPr>
          <w:rFonts w:hint="eastAsia" w:ascii="宋体" w:hAnsi="宋体" w:cs="宋体"/>
          <w:b/>
          <w:bCs/>
          <w:sz w:val="24"/>
        </w:rPr>
        <w:t>临床</w:t>
      </w:r>
      <w:r>
        <w:rPr>
          <w:rFonts w:hint="eastAsia" w:ascii="宋体" w:hAnsi="宋体" w:cs="宋体"/>
          <w:sz w:val="24"/>
        </w:rPr>
        <w:t>自动化数据报告的同时，利用相关研究数据训练AI模型，达到个体化精准用药模型产生的</w:t>
      </w:r>
      <w:r>
        <w:rPr>
          <w:rFonts w:hint="eastAsia" w:ascii="宋体" w:hAnsi="宋体" w:cs="宋体"/>
          <w:b/>
          <w:bCs/>
          <w:sz w:val="24"/>
        </w:rPr>
        <w:t>科研</w:t>
      </w:r>
      <w:r>
        <w:rPr>
          <w:rFonts w:hint="eastAsia" w:ascii="宋体" w:hAnsi="宋体" w:cs="宋体"/>
          <w:sz w:val="24"/>
        </w:rPr>
        <w:t>目的。应用包括：</w:t>
      </w:r>
    </w:p>
    <w:p>
      <w:pPr>
        <w:spacing w:line="360" w:lineRule="auto"/>
        <w:rPr>
          <w:rFonts w:ascii="宋体" w:hAnsi="宋体" w:cs="宋体"/>
          <w:sz w:val="24"/>
        </w:rPr>
      </w:pPr>
      <w:r>
        <w:rPr>
          <w:rFonts w:hint="eastAsia" w:ascii="宋体" w:hAnsi="宋体" w:cs="宋体"/>
          <w:sz w:val="24"/>
        </w:rPr>
        <w:t>1、PGX自动报告模块</w:t>
      </w:r>
    </w:p>
    <w:p>
      <w:pPr>
        <w:spacing w:line="360" w:lineRule="auto"/>
        <w:rPr>
          <w:rFonts w:ascii="宋体" w:hAnsi="宋体" w:cs="宋体"/>
          <w:sz w:val="24"/>
        </w:rPr>
      </w:pPr>
      <w:r>
        <w:rPr>
          <w:rFonts w:hint="eastAsia" w:ascii="宋体" w:hAnsi="宋体" w:cs="宋体"/>
          <w:sz w:val="24"/>
        </w:rPr>
        <w:t>2、血药浓度检测模块</w:t>
      </w:r>
    </w:p>
    <w:p>
      <w:pPr>
        <w:spacing w:line="360" w:lineRule="auto"/>
        <w:rPr>
          <w:rFonts w:ascii="宋体" w:hAnsi="宋体" w:cs="宋体"/>
          <w:sz w:val="24"/>
        </w:rPr>
      </w:pPr>
      <w:r>
        <w:rPr>
          <w:rFonts w:hint="eastAsia" w:ascii="宋体" w:hAnsi="宋体" w:cs="宋体"/>
          <w:sz w:val="24"/>
        </w:rPr>
        <w:t>3、结合药物基因信息进行的真实世界研究信息收集模块</w:t>
      </w:r>
    </w:p>
    <w:p>
      <w:pPr>
        <w:spacing w:line="360" w:lineRule="auto"/>
        <w:rPr>
          <w:rFonts w:ascii="宋体" w:hAnsi="宋体" w:cs="宋体"/>
          <w:sz w:val="24"/>
        </w:rPr>
      </w:pPr>
      <w:r>
        <w:rPr>
          <w:rFonts w:hint="eastAsia" w:ascii="宋体" w:hAnsi="宋体" w:cs="宋体"/>
          <w:sz w:val="24"/>
        </w:rPr>
        <w:t>系统概述：系统能够通过对权威数据库信息的整合，实现对人体诊查数据的分析，辅助医生完成检测数据所获得信息的理解和分析。</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一、软件功能规格</w:t>
      </w:r>
    </w:p>
    <w:p>
      <w:pPr>
        <w:spacing w:line="360" w:lineRule="auto"/>
        <w:rPr>
          <w:rFonts w:ascii="宋体" w:hAnsi="宋体" w:cs="宋体"/>
          <w:b/>
          <w:sz w:val="24"/>
        </w:rPr>
      </w:pPr>
      <w:r>
        <w:rPr>
          <w:rFonts w:hint="eastAsia" w:ascii="宋体" w:hAnsi="宋体" w:cs="宋体"/>
          <w:b/>
          <w:sz w:val="24"/>
        </w:rPr>
        <w:t>1、药物基因组模块：</w:t>
      </w:r>
    </w:p>
    <w:p>
      <w:pPr>
        <w:spacing w:line="360" w:lineRule="auto"/>
        <w:rPr>
          <w:rFonts w:ascii="宋体" w:hAnsi="宋体" w:cs="宋体"/>
          <w:sz w:val="24"/>
        </w:rPr>
      </w:pPr>
      <w:r>
        <w:rPr>
          <w:rFonts w:hint="eastAsia" w:ascii="宋体" w:hAnsi="宋体" w:cs="宋体"/>
          <w:sz w:val="24"/>
        </w:rPr>
        <w:t>1.1具备将基因结果信息处理成基因型代谢型的生物信息分析能力</w:t>
      </w:r>
    </w:p>
    <w:p>
      <w:pPr>
        <w:spacing w:line="360" w:lineRule="auto"/>
        <w:rPr>
          <w:rFonts w:ascii="宋体" w:hAnsi="宋体" w:cs="宋体"/>
          <w:sz w:val="24"/>
        </w:rPr>
      </w:pPr>
      <w:r>
        <w:rPr>
          <w:rFonts w:hint="eastAsia" w:ascii="宋体" w:hAnsi="宋体" w:cs="宋体"/>
          <w:sz w:val="24"/>
        </w:rPr>
        <w:t>1.2具备将分析好的基因代谢型匹配药物，进行药物相关建议的功能</w:t>
      </w:r>
    </w:p>
    <w:p>
      <w:pPr>
        <w:spacing w:line="360" w:lineRule="auto"/>
        <w:rPr>
          <w:rFonts w:ascii="宋体" w:hAnsi="宋体" w:cs="宋体"/>
          <w:sz w:val="24"/>
        </w:rPr>
      </w:pPr>
      <w:r>
        <w:rPr>
          <w:rFonts w:hint="eastAsia" w:ascii="宋体" w:hAnsi="宋体" w:cs="宋体"/>
          <w:sz w:val="24"/>
        </w:rPr>
        <w:t>1.3可自动出具药物基因组报告单，并发送至HIS</w:t>
      </w:r>
    </w:p>
    <w:p>
      <w:pPr>
        <w:spacing w:line="360" w:lineRule="auto"/>
        <w:rPr>
          <w:rFonts w:ascii="宋体" w:hAnsi="宋体" w:cs="宋体"/>
          <w:sz w:val="24"/>
        </w:rPr>
      </w:pPr>
      <w:r>
        <w:rPr>
          <w:rFonts w:hint="eastAsia" w:ascii="宋体" w:hAnsi="宋体" w:cs="宋体"/>
          <w:sz w:val="24"/>
        </w:rPr>
        <w:t>1.4历史报告可进行取消审核，修正信息后重新生成</w:t>
      </w:r>
    </w:p>
    <w:p>
      <w:pPr>
        <w:spacing w:line="360" w:lineRule="auto"/>
        <w:rPr>
          <w:rFonts w:ascii="宋体" w:hAnsi="宋体" w:cs="宋体"/>
          <w:sz w:val="24"/>
        </w:rPr>
      </w:pPr>
      <w:r>
        <w:rPr>
          <w:rFonts w:hint="eastAsia" w:ascii="宋体" w:hAnsi="宋体" w:cs="宋体"/>
          <w:sz w:val="24"/>
        </w:rPr>
        <w:t>1.5支持历史报告查询和统计</w:t>
      </w:r>
    </w:p>
    <w:p>
      <w:pPr>
        <w:spacing w:line="360" w:lineRule="auto"/>
        <w:rPr>
          <w:rFonts w:ascii="宋体" w:hAnsi="宋体" w:cs="宋体"/>
          <w:sz w:val="24"/>
        </w:rPr>
      </w:pPr>
      <w:r>
        <w:rPr>
          <w:rFonts w:hint="eastAsia" w:ascii="宋体" w:hAnsi="宋体" w:cs="宋体"/>
          <w:sz w:val="24"/>
        </w:rPr>
        <w:t>*1.6具备药物基因组下机数据导入功能</w:t>
      </w:r>
    </w:p>
    <w:p>
      <w:pPr>
        <w:spacing w:line="360" w:lineRule="auto"/>
        <w:rPr>
          <w:rFonts w:ascii="宋体" w:hAnsi="宋体" w:cs="宋体"/>
          <w:sz w:val="24"/>
        </w:rPr>
      </w:pPr>
      <w:r>
        <w:rPr>
          <w:rFonts w:hint="eastAsia" w:ascii="宋体" w:hAnsi="宋体" w:cs="宋体"/>
          <w:sz w:val="24"/>
        </w:rPr>
        <w:t>1.7具备检测Panel随时调整的功能</w:t>
      </w:r>
    </w:p>
    <w:p>
      <w:pPr>
        <w:spacing w:line="360" w:lineRule="auto"/>
        <w:rPr>
          <w:rFonts w:ascii="宋体" w:hAnsi="宋体" w:cs="宋体"/>
          <w:sz w:val="24"/>
        </w:rPr>
      </w:pPr>
      <w:r>
        <w:rPr>
          <w:rFonts w:hint="eastAsia" w:ascii="宋体" w:hAnsi="宋体" w:cs="宋体"/>
          <w:sz w:val="24"/>
        </w:rPr>
        <w:t>1.8具备二类医疗器械证</w:t>
      </w:r>
    </w:p>
    <w:p>
      <w:pPr>
        <w:spacing w:line="360" w:lineRule="auto"/>
        <w:rPr>
          <w:rFonts w:ascii="宋体" w:hAnsi="宋体" w:cs="宋体"/>
          <w:b/>
          <w:sz w:val="24"/>
        </w:rPr>
      </w:pPr>
      <w:r>
        <w:rPr>
          <w:rFonts w:hint="eastAsia" w:ascii="宋体" w:hAnsi="宋体" w:cs="宋体"/>
          <w:b/>
          <w:sz w:val="24"/>
        </w:rPr>
        <w:t>2、药物浓度监测模块：</w:t>
      </w:r>
    </w:p>
    <w:p>
      <w:pPr>
        <w:spacing w:line="360" w:lineRule="auto"/>
        <w:rPr>
          <w:rFonts w:ascii="宋体" w:hAnsi="宋体" w:cs="宋体"/>
          <w:sz w:val="24"/>
        </w:rPr>
      </w:pPr>
      <w:r>
        <w:rPr>
          <w:rFonts w:hint="eastAsia" w:ascii="宋体" w:hAnsi="宋体" w:cs="宋体"/>
          <w:sz w:val="24"/>
        </w:rPr>
        <w:t>2.1具备血药浓度异常原因分析功能并给出给药建议功能</w:t>
      </w:r>
    </w:p>
    <w:p>
      <w:pPr>
        <w:spacing w:line="360" w:lineRule="auto"/>
        <w:rPr>
          <w:rFonts w:ascii="宋体" w:hAnsi="宋体" w:cs="宋体"/>
          <w:sz w:val="24"/>
        </w:rPr>
      </w:pPr>
      <w:r>
        <w:rPr>
          <w:rFonts w:hint="eastAsia" w:ascii="宋体" w:hAnsi="宋体" w:cs="宋体"/>
          <w:sz w:val="24"/>
        </w:rPr>
        <w:t>2.2具备患者历次血药浓度结果折线图及曲下面积计算功能</w:t>
      </w:r>
    </w:p>
    <w:p>
      <w:pPr>
        <w:spacing w:line="360" w:lineRule="auto"/>
        <w:rPr>
          <w:rFonts w:ascii="宋体" w:hAnsi="宋体" w:cs="宋体"/>
          <w:sz w:val="24"/>
        </w:rPr>
      </w:pPr>
      <w:r>
        <w:rPr>
          <w:rFonts w:hint="eastAsia" w:ascii="宋体" w:hAnsi="宋体" w:cs="宋体"/>
          <w:sz w:val="24"/>
        </w:rPr>
        <w:t>2.3具备利用真实世界数据进行机器学习的功能</w:t>
      </w:r>
    </w:p>
    <w:p>
      <w:pPr>
        <w:spacing w:line="360" w:lineRule="auto"/>
        <w:rPr>
          <w:rFonts w:ascii="宋体" w:hAnsi="宋体" w:cs="宋体"/>
          <w:sz w:val="24"/>
        </w:rPr>
      </w:pPr>
      <w:r>
        <w:rPr>
          <w:rFonts w:hint="eastAsia" w:ascii="宋体" w:hAnsi="宋体" w:cs="宋体"/>
          <w:sz w:val="24"/>
        </w:rPr>
        <w:t>2.4可自动出具血药浓度结果报告单，并发送至HIS</w:t>
      </w:r>
    </w:p>
    <w:p>
      <w:pPr>
        <w:spacing w:line="360" w:lineRule="auto"/>
        <w:rPr>
          <w:rFonts w:ascii="宋体" w:hAnsi="宋体" w:cs="宋体"/>
          <w:sz w:val="24"/>
        </w:rPr>
      </w:pPr>
      <w:r>
        <w:rPr>
          <w:rFonts w:hint="eastAsia" w:ascii="宋体" w:hAnsi="宋体" w:cs="宋体"/>
          <w:sz w:val="24"/>
        </w:rPr>
        <w:t>2.5历史报告可进行取消审核，修正信息后重新生成</w:t>
      </w:r>
    </w:p>
    <w:p>
      <w:pPr>
        <w:spacing w:line="360" w:lineRule="auto"/>
        <w:rPr>
          <w:rFonts w:ascii="宋体" w:hAnsi="宋体" w:cs="宋体"/>
          <w:sz w:val="24"/>
        </w:rPr>
      </w:pPr>
      <w:r>
        <w:rPr>
          <w:rFonts w:hint="eastAsia" w:ascii="宋体" w:hAnsi="宋体" w:cs="宋体"/>
          <w:sz w:val="24"/>
        </w:rPr>
        <w:t>2.6支持历史报告查询和统计</w:t>
      </w:r>
    </w:p>
    <w:p>
      <w:pPr>
        <w:spacing w:line="360" w:lineRule="auto"/>
        <w:rPr>
          <w:rFonts w:ascii="宋体" w:hAnsi="宋体" w:cs="宋体"/>
          <w:sz w:val="24"/>
        </w:rPr>
      </w:pPr>
      <w:r>
        <w:rPr>
          <w:rFonts w:hint="eastAsia" w:ascii="宋体" w:hAnsi="宋体" w:cs="宋体"/>
          <w:sz w:val="24"/>
        </w:rPr>
        <w:t>2.7具备患者信息重整功能，记录患者治疗方案及其他查体情况</w:t>
      </w:r>
    </w:p>
    <w:p>
      <w:pPr>
        <w:spacing w:line="360" w:lineRule="auto"/>
        <w:rPr>
          <w:rFonts w:ascii="宋体" w:hAnsi="宋体" w:cs="宋体"/>
          <w:sz w:val="24"/>
        </w:rPr>
      </w:pPr>
      <w:r>
        <w:rPr>
          <w:rFonts w:hint="eastAsia" w:ascii="宋体" w:hAnsi="宋体" w:cs="宋体"/>
          <w:sz w:val="24"/>
        </w:rPr>
        <w:t>2.8具备药物数据库，整合药物相关信息，形成药物知识库</w:t>
      </w:r>
    </w:p>
    <w:p>
      <w:pPr>
        <w:spacing w:line="360" w:lineRule="auto"/>
        <w:rPr>
          <w:rFonts w:ascii="宋体" w:hAnsi="宋体" w:cs="宋体"/>
          <w:sz w:val="24"/>
        </w:rPr>
      </w:pPr>
      <w:r>
        <w:rPr>
          <w:rFonts w:hint="eastAsia" w:ascii="宋体" w:hAnsi="宋体" w:cs="宋体"/>
          <w:sz w:val="24"/>
        </w:rPr>
        <w:t>2.9具备药物统计功能</w:t>
      </w:r>
    </w:p>
    <w:p>
      <w:pPr>
        <w:spacing w:line="360" w:lineRule="auto"/>
        <w:rPr>
          <w:rFonts w:ascii="宋体" w:hAnsi="宋体" w:cs="宋体"/>
          <w:sz w:val="24"/>
        </w:rPr>
      </w:pPr>
      <w:r>
        <w:rPr>
          <w:rFonts w:hint="eastAsia" w:ascii="宋体" w:hAnsi="宋体" w:cs="宋体"/>
          <w:sz w:val="24"/>
        </w:rPr>
        <w:t>2.10可以提供药动学公式或者药代动力学模型</w:t>
      </w:r>
    </w:p>
    <w:p>
      <w:pPr>
        <w:spacing w:line="360" w:lineRule="auto"/>
        <w:rPr>
          <w:rFonts w:ascii="宋体" w:hAnsi="宋体" w:cs="宋体"/>
          <w:b/>
          <w:sz w:val="24"/>
        </w:rPr>
      </w:pPr>
      <w:r>
        <w:rPr>
          <w:rFonts w:hint="eastAsia" w:ascii="宋体" w:hAnsi="宋体" w:cs="宋体"/>
          <w:b/>
          <w:sz w:val="24"/>
        </w:rPr>
        <w:t>3、真实世界研究模块：</w:t>
      </w:r>
    </w:p>
    <w:p>
      <w:pPr>
        <w:spacing w:line="360" w:lineRule="auto"/>
        <w:rPr>
          <w:rFonts w:ascii="宋体" w:hAnsi="宋体" w:cs="宋体"/>
          <w:sz w:val="24"/>
        </w:rPr>
      </w:pPr>
      <w:r>
        <w:rPr>
          <w:rFonts w:hint="eastAsia" w:ascii="宋体" w:hAnsi="宋体" w:cs="宋体"/>
          <w:sz w:val="24"/>
        </w:rPr>
        <w:t>3.1可进行多中心多研究方案落入，并进行数据权限区分</w:t>
      </w:r>
    </w:p>
    <w:p>
      <w:pPr>
        <w:spacing w:line="360" w:lineRule="auto"/>
        <w:rPr>
          <w:rFonts w:ascii="宋体" w:hAnsi="宋体" w:cs="宋体"/>
          <w:sz w:val="24"/>
        </w:rPr>
      </w:pPr>
      <w:r>
        <w:rPr>
          <w:rFonts w:hint="eastAsia" w:ascii="宋体" w:hAnsi="宋体" w:cs="宋体"/>
          <w:sz w:val="24"/>
        </w:rPr>
        <w:t>3.2可进行方案进度追踪和收集数据质量监控</w:t>
      </w:r>
    </w:p>
    <w:p>
      <w:pPr>
        <w:spacing w:line="360" w:lineRule="auto"/>
        <w:rPr>
          <w:rFonts w:ascii="宋体" w:hAnsi="宋体" w:cs="宋体"/>
          <w:sz w:val="24"/>
        </w:rPr>
      </w:pPr>
      <w:r>
        <w:rPr>
          <w:rFonts w:hint="eastAsia" w:ascii="宋体" w:hAnsi="宋体" w:cs="宋体"/>
          <w:sz w:val="24"/>
        </w:rPr>
        <w:t>3.3研究方案可以进行配置，并在各方式阶段进行用药调整提示</w:t>
      </w:r>
    </w:p>
    <w:p>
      <w:pPr>
        <w:spacing w:line="360" w:lineRule="auto"/>
        <w:rPr>
          <w:rFonts w:ascii="宋体" w:hAnsi="宋体" w:cs="宋体"/>
          <w:sz w:val="24"/>
        </w:rPr>
      </w:pPr>
      <w:r>
        <w:rPr>
          <w:rFonts w:hint="eastAsia" w:ascii="宋体" w:hAnsi="宋体" w:cs="宋体"/>
          <w:sz w:val="24"/>
        </w:rPr>
        <w:t>3.4可进行患者随访信息录入，并进行随访提示</w:t>
      </w:r>
    </w:p>
    <w:p>
      <w:pPr>
        <w:spacing w:line="360" w:lineRule="auto"/>
        <w:rPr>
          <w:rFonts w:ascii="宋体" w:hAnsi="宋体" w:cs="宋体"/>
          <w:b/>
          <w:sz w:val="24"/>
        </w:rPr>
      </w:pPr>
      <w:r>
        <w:rPr>
          <w:rFonts w:hint="eastAsia" w:ascii="宋体" w:hAnsi="宋体" w:cs="宋体"/>
          <w:b/>
          <w:sz w:val="24"/>
        </w:rPr>
        <w:t>4、AI模块：</w:t>
      </w:r>
    </w:p>
    <w:p>
      <w:pPr>
        <w:spacing w:line="360" w:lineRule="auto"/>
        <w:rPr>
          <w:rFonts w:ascii="宋体" w:hAnsi="宋体" w:cs="宋体"/>
          <w:sz w:val="24"/>
        </w:rPr>
      </w:pPr>
      <w:r>
        <w:rPr>
          <w:rFonts w:hint="eastAsia" w:ascii="宋体" w:hAnsi="宋体" w:cs="宋体"/>
          <w:sz w:val="24"/>
        </w:rPr>
        <w:t>4.1 提取显著相关变量：利用LASSO/SVM-REF等方法进行特征选取</w:t>
      </w:r>
    </w:p>
    <w:p>
      <w:pPr>
        <w:spacing w:line="360" w:lineRule="auto"/>
        <w:rPr>
          <w:rFonts w:ascii="宋体" w:hAnsi="宋体" w:cs="宋体"/>
          <w:sz w:val="24"/>
        </w:rPr>
      </w:pPr>
      <w:r>
        <w:rPr>
          <w:rFonts w:hint="eastAsia" w:ascii="宋体" w:hAnsi="宋体" w:cs="宋体"/>
          <w:sz w:val="24"/>
        </w:rPr>
        <w:t>4.2模型结果验证与不断优化：采用与建模数据独立的真实世界数据进行验证，观察其在外部独立数据上的表现；根据其在验证数据上的表现，对模型进行调整</w:t>
      </w: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二、服务器要求及配置</w:t>
      </w:r>
    </w:p>
    <w:tbl>
      <w:tblPr>
        <w:tblStyle w:val="42"/>
        <w:tblpPr w:leftFromText="180" w:rightFromText="180" w:vertAnchor="text" w:horzAnchor="margin" w:tblpXSpec="center" w:tblpY="656"/>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1635"/>
        <w:gridCol w:w="2537"/>
        <w:gridCol w:w="851"/>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635" w:type="dxa"/>
            <w:noWrap/>
            <w:vAlign w:val="center"/>
          </w:tcPr>
          <w:p>
            <w:pPr>
              <w:jc w:val="center"/>
              <w:rPr>
                <w:rFonts w:ascii="宋体" w:hAnsi="宋体" w:cs="宋体"/>
                <w:b/>
                <w:kern w:val="0"/>
                <w:sz w:val="24"/>
              </w:rPr>
            </w:pPr>
            <w:r>
              <w:rPr>
                <w:rFonts w:hint="eastAsia" w:ascii="宋体" w:hAnsi="宋体" w:cs="宋体"/>
                <w:b/>
                <w:kern w:val="0"/>
                <w:sz w:val="24"/>
              </w:rPr>
              <w:t>内容</w:t>
            </w:r>
          </w:p>
        </w:tc>
        <w:tc>
          <w:tcPr>
            <w:tcW w:w="1635" w:type="dxa"/>
            <w:noWrap/>
            <w:vAlign w:val="center"/>
          </w:tcPr>
          <w:p>
            <w:pPr>
              <w:jc w:val="center"/>
              <w:rPr>
                <w:rFonts w:ascii="宋体" w:hAnsi="宋体" w:cs="宋体"/>
                <w:b/>
                <w:kern w:val="0"/>
                <w:sz w:val="24"/>
              </w:rPr>
            </w:pPr>
            <w:r>
              <w:rPr>
                <w:rFonts w:hint="eastAsia" w:ascii="宋体" w:hAnsi="宋体" w:cs="宋体"/>
                <w:b/>
                <w:kern w:val="0"/>
                <w:sz w:val="24"/>
              </w:rPr>
              <w:t>品牌</w:t>
            </w:r>
          </w:p>
        </w:tc>
        <w:tc>
          <w:tcPr>
            <w:tcW w:w="2537" w:type="dxa"/>
            <w:noWrap/>
            <w:vAlign w:val="center"/>
          </w:tcPr>
          <w:p>
            <w:pPr>
              <w:jc w:val="center"/>
              <w:rPr>
                <w:rFonts w:ascii="宋体" w:hAnsi="宋体" w:cs="宋体"/>
                <w:b/>
                <w:kern w:val="0"/>
                <w:sz w:val="24"/>
              </w:rPr>
            </w:pPr>
            <w:r>
              <w:rPr>
                <w:rFonts w:hint="eastAsia" w:ascii="宋体" w:hAnsi="宋体" w:cs="宋体"/>
                <w:b/>
                <w:kern w:val="0"/>
                <w:sz w:val="24"/>
              </w:rPr>
              <w:t>配置</w:t>
            </w:r>
          </w:p>
        </w:tc>
        <w:tc>
          <w:tcPr>
            <w:tcW w:w="851" w:type="dxa"/>
            <w:vAlign w:val="center"/>
          </w:tcPr>
          <w:p>
            <w:pPr>
              <w:jc w:val="center"/>
              <w:rPr>
                <w:rFonts w:ascii="宋体" w:hAnsi="宋体" w:cs="宋体"/>
                <w:b/>
                <w:kern w:val="0"/>
                <w:sz w:val="24"/>
              </w:rPr>
            </w:pPr>
            <w:r>
              <w:rPr>
                <w:rFonts w:hint="eastAsia" w:ascii="宋体" w:hAnsi="宋体" w:cs="宋体"/>
                <w:b/>
                <w:kern w:val="0"/>
                <w:sz w:val="24"/>
              </w:rPr>
              <w:t>数量</w:t>
            </w:r>
          </w:p>
        </w:tc>
        <w:tc>
          <w:tcPr>
            <w:tcW w:w="2981" w:type="dxa"/>
            <w:noWrap/>
            <w:vAlign w:val="center"/>
          </w:tcPr>
          <w:p>
            <w:pPr>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635" w:type="dxa"/>
            <w:noWrap/>
            <w:vAlign w:val="center"/>
          </w:tcPr>
          <w:p>
            <w:pPr>
              <w:jc w:val="center"/>
              <w:rPr>
                <w:rFonts w:ascii="宋体" w:hAnsi="宋体" w:cs="宋体"/>
                <w:kern w:val="0"/>
                <w:sz w:val="24"/>
              </w:rPr>
            </w:pPr>
            <w:r>
              <w:rPr>
                <w:rFonts w:hint="eastAsia" w:ascii="宋体" w:hAnsi="宋体" w:cs="宋体"/>
                <w:kern w:val="0"/>
                <w:sz w:val="24"/>
              </w:rPr>
              <w:t>服务器</w:t>
            </w:r>
          </w:p>
        </w:tc>
        <w:tc>
          <w:tcPr>
            <w:tcW w:w="1635" w:type="dxa"/>
            <w:noWrap/>
            <w:vAlign w:val="center"/>
          </w:tcPr>
          <w:p>
            <w:pPr>
              <w:jc w:val="center"/>
              <w:rPr>
                <w:rFonts w:ascii="宋体" w:hAnsi="宋体" w:cs="宋体"/>
                <w:kern w:val="0"/>
                <w:sz w:val="24"/>
              </w:rPr>
            </w:pPr>
            <w:r>
              <w:rPr>
                <w:rFonts w:hint="eastAsia" w:ascii="宋体" w:hAnsi="宋体" w:cs="宋体"/>
                <w:kern w:val="0"/>
                <w:sz w:val="24"/>
              </w:rPr>
              <w:t>/</w:t>
            </w:r>
          </w:p>
        </w:tc>
        <w:tc>
          <w:tcPr>
            <w:tcW w:w="2537" w:type="dxa"/>
            <w:noWrap/>
            <w:vAlign w:val="center"/>
          </w:tcPr>
          <w:p>
            <w:pPr>
              <w:jc w:val="center"/>
              <w:rPr>
                <w:rFonts w:ascii="宋体" w:hAnsi="宋体" w:cs="宋体"/>
                <w:kern w:val="0"/>
                <w:sz w:val="24"/>
              </w:rPr>
            </w:pPr>
            <w:r>
              <w:rPr>
                <w:rFonts w:hint="eastAsia" w:ascii="宋体" w:hAnsi="宋体" w:cs="宋体"/>
                <w:kern w:val="0"/>
                <w:sz w:val="24"/>
              </w:rPr>
              <w:t>内存32G，硬盘空间1T（至少分两个盘符）,CPU双核处理器及以上</w:t>
            </w:r>
          </w:p>
        </w:tc>
        <w:tc>
          <w:tcPr>
            <w:tcW w:w="851" w:type="dxa"/>
            <w:vAlign w:val="center"/>
          </w:tcPr>
          <w:p>
            <w:pPr>
              <w:jc w:val="center"/>
              <w:rPr>
                <w:rFonts w:ascii="宋体" w:hAnsi="宋体" w:cs="宋体"/>
                <w:kern w:val="0"/>
                <w:sz w:val="24"/>
              </w:rPr>
            </w:pPr>
            <w:r>
              <w:rPr>
                <w:rFonts w:hint="eastAsia" w:ascii="宋体" w:hAnsi="宋体" w:cs="宋体"/>
                <w:kern w:val="0"/>
                <w:sz w:val="24"/>
              </w:rPr>
              <w:t>3</w:t>
            </w:r>
          </w:p>
        </w:tc>
        <w:tc>
          <w:tcPr>
            <w:tcW w:w="2981" w:type="dxa"/>
            <w:noWrap/>
            <w:vAlign w:val="center"/>
          </w:tcPr>
          <w:p>
            <w:pPr>
              <w:jc w:val="center"/>
              <w:rPr>
                <w:rFonts w:ascii="宋体" w:hAnsi="宋体" w:cs="宋体"/>
                <w:kern w:val="0"/>
                <w:sz w:val="24"/>
              </w:rPr>
            </w:pPr>
            <w:r>
              <w:rPr>
                <w:rFonts w:hint="eastAsia" w:ascii="宋体" w:hAnsi="宋体" w:cs="宋体"/>
                <w:kern w:val="0"/>
                <w:sz w:val="24"/>
              </w:rPr>
              <w:t>系统应用服务器：1台</w:t>
            </w:r>
          </w:p>
          <w:p>
            <w:pPr>
              <w:jc w:val="center"/>
              <w:rPr>
                <w:rFonts w:ascii="宋体" w:hAnsi="宋体" w:cs="宋体"/>
                <w:kern w:val="0"/>
                <w:sz w:val="24"/>
              </w:rPr>
            </w:pPr>
            <w:r>
              <w:rPr>
                <w:rFonts w:hint="eastAsia" w:ascii="宋体" w:hAnsi="宋体" w:cs="宋体"/>
                <w:kern w:val="0"/>
                <w:sz w:val="24"/>
              </w:rPr>
              <w:t>系统数据库服务器：1台</w:t>
            </w:r>
          </w:p>
          <w:p>
            <w:pPr>
              <w:jc w:val="center"/>
              <w:rPr>
                <w:rFonts w:ascii="宋体" w:hAnsi="宋体" w:cs="宋体"/>
                <w:kern w:val="0"/>
                <w:sz w:val="24"/>
              </w:rPr>
            </w:pPr>
            <w:r>
              <w:rPr>
                <w:rFonts w:hint="eastAsia" w:ascii="宋体" w:hAnsi="宋体" w:cs="宋体"/>
                <w:kern w:val="0"/>
                <w:sz w:val="24"/>
              </w:rPr>
              <w:t>报告单生成服务器：1台</w:t>
            </w:r>
          </w:p>
          <w:p>
            <w:pPr>
              <w:jc w:val="center"/>
              <w:rPr>
                <w:rFonts w:ascii="宋体" w:hAnsi="宋体" w:cs="宋体"/>
                <w:kern w:val="0"/>
                <w:sz w:val="24"/>
              </w:rPr>
            </w:pPr>
            <w:r>
              <w:rPr>
                <w:rFonts w:hint="eastAsia" w:ascii="宋体" w:hAnsi="宋体" w:cs="宋体"/>
                <w:kern w:val="0"/>
                <w:sz w:val="24"/>
              </w:rPr>
              <w:t>（推荐存储于软件程序分开服务器）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635" w:type="dxa"/>
            <w:noWrap/>
            <w:vAlign w:val="center"/>
          </w:tcPr>
          <w:p>
            <w:pPr>
              <w:jc w:val="center"/>
              <w:rPr>
                <w:rFonts w:ascii="宋体" w:hAnsi="宋体" w:cs="宋体"/>
                <w:kern w:val="0"/>
                <w:sz w:val="24"/>
              </w:rPr>
            </w:pPr>
            <w:r>
              <w:rPr>
                <w:rFonts w:hint="eastAsia" w:ascii="宋体" w:hAnsi="宋体" w:cs="宋体"/>
                <w:kern w:val="0"/>
                <w:sz w:val="24"/>
              </w:rPr>
              <w:t>数据库软件</w:t>
            </w:r>
          </w:p>
        </w:tc>
        <w:tc>
          <w:tcPr>
            <w:tcW w:w="1635" w:type="dxa"/>
            <w:noWrap/>
            <w:vAlign w:val="center"/>
          </w:tcPr>
          <w:p>
            <w:pPr>
              <w:jc w:val="center"/>
              <w:rPr>
                <w:rFonts w:ascii="宋体" w:hAnsi="宋体" w:cs="宋体"/>
                <w:kern w:val="0"/>
                <w:sz w:val="24"/>
              </w:rPr>
            </w:pPr>
            <w:r>
              <w:rPr>
                <w:rFonts w:hint="eastAsia" w:ascii="宋体" w:hAnsi="宋体" w:cs="宋体"/>
                <w:kern w:val="0"/>
                <w:sz w:val="24"/>
              </w:rPr>
              <w:t>微软SQL</w:t>
            </w:r>
          </w:p>
        </w:tc>
        <w:tc>
          <w:tcPr>
            <w:tcW w:w="2537" w:type="dxa"/>
            <w:noWrap/>
            <w:vAlign w:val="center"/>
          </w:tcPr>
          <w:p>
            <w:pPr>
              <w:jc w:val="center"/>
              <w:rPr>
                <w:rFonts w:ascii="宋体" w:hAnsi="宋体" w:cs="宋体"/>
                <w:kern w:val="0"/>
                <w:sz w:val="24"/>
              </w:rPr>
            </w:pPr>
            <w:r>
              <w:rPr>
                <w:rFonts w:hint="eastAsia" w:ascii="宋体" w:hAnsi="宋体" w:cs="宋体"/>
                <w:kern w:val="0"/>
                <w:sz w:val="24"/>
              </w:rPr>
              <w:t>SQL Server 2012</w:t>
            </w:r>
          </w:p>
          <w:p>
            <w:pPr>
              <w:jc w:val="center"/>
              <w:rPr>
                <w:rFonts w:ascii="宋体" w:hAnsi="宋体" w:cs="宋体"/>
                <w:kern w:val="0"/>
                <w:sz w:val="24"/>
              </w:rPr>
            </w:pPr>
            <w:r>
              <w:rPr>
                <w:rFonts w:hint="eastAsia" w:ascii="宋体" w:hAnsi="宋体" w:cs="宋体"/>
                <w:kern w:val="0"/>
                <w:sz w:val="24"/>
              </w:rPr>
              <w:t>MYSQL 8.0.25</w:t>
            </w:r>
          </w:p>
        </w:tc>
        <w:tc>
          <w:tcPr>
            <w:tcW w:w="851" w:type="dxa"/>
            <w:vAlign w:val="center"/>
          </w:tcPr>
          <w:p>
            <w:pPr>
              <w:jc w:val="center"/>
              <w:rPr>
                <w:rFonts w:ascii="宋体" w:hAnsi="宋体" w:cs="宋体"/>
                <w:kern w:val="0"/>
                <w:sz w:val="24"/>
              </w:rPr>
            </w:pPr>
            <w:r>
              <w:rPr>
                <w:rFonts w:hint="eastAsia" w:ascii="宋体" w:hAnsi="宋体" w:cs="宋体"/>
                <w:kern w:val="0"/>
                <w:sz w:val="24"/>
              </w:rPr>
              <w:t>2</w:t>
            </w:r>
          </w:p>
        </w:tc>
        <w:tc>
          <w:tcPr>
            <w:tcW w:w="2981" w:type="dxa"/>
            <w:noWrap/>
            <w:vAlign w:val="center"/>
          </w:tcPr>
          <w:p>
            <w:pPr>
              <w:jc w:val="center"/>
              <w:rPr>
                <w:rFonts w:ascii="宋体" w:hAnsi="宋体" w:cs="宋体"/>
                <w:kern w:val="0"/>
                <w:sz w:val="24"/>
              </w:rPr>
            </w:pPr>
            <w:r>
              <w:rPr>
                <w:rFonts w:hint="eastAsia" w:ascii="宋体" w:hAnsi="宋体" w:cs="宋体"/>
                <w:kern w:val="0"/>
                <w:sz w:val="24"/>
              </w:rPr>
              <w:t>推荐具有正版licenses的软件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635" w:type="dxa"/>
            <w:noWrap/>
            <w:vAlign w:val="center"/>
          </w:tcPr>
          <w:p>
            <w:pPr>
              <w:jc w:val="center"/>
              <w:rPr>
                <w:rFonts w:ascii="宋体" w:hAnsi="宋体" w:cs="宋体"/>
                <w:kern w:val="0"/>
                <w:sz w:val="24"/>
              </w:rPr>
            </w:pPr>
            <w:r>
              <w:rPr>
                <w:rFonts w:hint="eastAsia" w:ascii="宋体" w:hAnsi="宋体" w:cs="宋体"/>
                <w:kern w:val="0"/>
                <w:sz w:val="24"/>
              </w:rPr>
              <w:t>操作系统</w:t>
            </w:r>
          </w:p>
        </w:tc>
        <w:tc>
          <w:tcPr>
            <w:tcW w:w="1635" w:type="dxa"/>
            <w:noWrap/>
            <w:vAlign w:val="center"/>
          </w:tcPr>
          <w:p>
            <w:pPr>
              <w:jc w:val="center"/>
              <w:rPr>
                <w:rFonts w:ascii="宋体" w:hAnsi="宋体" w:cs="宋体"/>
                <w:kern w:val="0"/>
                <w:sz w:val="24"/>
              </w:rPr>
            </w:pPr>
            <w:r>
              <w:rPr>
                <w:rFonts w:hint="eastAsia" w:ascii="宋体" w:hAnsi="宋体" w:cs="宋体"/>
                <w:kern w:val="0"/>
                <w:sz w:val="24"/>
              </w:rPr>
              <w:t>微软</w:t>
            </w:r>
          </w:p>
        </w:tc>
        <w:tc>
          <w:tcPr>
            <w:tcW w:w="2537" w:type="dxa"/>
            <w:noWrap/>
            <w:vAlign w:val="center"/>
          </w:tcPr>
          <w:p>
            <w:pPr>
              <w:jc w:val="center"/>
              <w:rPr>
                <w:rFonts w:ascii="宋体" w:hAnsi="宋体" w:cs="宋体"/>
                <w:kern w:val="0"/>
                <w:sz w:val="24"/>
              </w:rPr>
            </w:pPr>
            <w:r>
              <w:rPr>
                <w:rFonts w:hint="eastAsia" w:ascii="宋体" w:hAnsi="宋体" w:cs="宋体"/>
                <w:kern w:val="0"/>
                <w:sz w:val="24"/>
              </w:rPr>
              <w:t>Windows2012 R2</w:t>
            </w:r>
          </w:p>
          <w:p>
            <w:pPr>
              <w:jc w:val="center"/>
              <w:rPr>
                <w:rFonts w:ascii="宋体" w:hAnsi="宋体" w:cs="宋体"/>
                <w:kern w:val="0"/>
                <w:sz w:val="24"/>
              </w:rPr>
            </w:pPr>
            <w:r>
              <w:rPr>
                <w:rFonts w:hint="eastAsia" w:ascii="宋体" w:hAnsi="宋体" w:cs="宋体"/>
                <w:kern w:val="0"/>
                <w:sz w:val="24"/>
              </w:rPr>
              <w:t>Linux CentOS 7</w:t>
            </w:r>
          </w:p>
        </w:tc>
        <w:tc>
          <w:tcPr>
            <w:tcW w:w="851" w:type="dxa"/>
            <w:vAlign w:val="center"/>
          </w:tcPr>
          <w:p>
            <w:pPr>
              <w:jc w:val="center"/>
              <w:rPr>
                <w:rFonts w:ascii="宋体" w:hAnsi="宋体" w:cs="宋体"/>
                <w:kern w:val="0"/>
                <w:sz w:val="24"/>
              </w:rPr>
            </w:pPr>
            <w:r>
              <w:rPr>
                <w:rFonts w:hint="eastAsia" w:ascii="宋体" w:hAnsi="宋体" w:cs="宋体"/>
                <w:kern w:val="0"/>
                <w:sz w:val="24"/>
              </w:rPr>
              <w:t>2</w:t>
            </w:r>
          </w:p>
        </w:tc>
        <w:tc>
          <w:tcPr>
            <w:tcW w:w="2981" w:type="dxa"/>
            <w:noWrap/>
            <w:vAlign w:val="center"/>
          </w:tcPr>
          <w:p>
            <w:pPr>
              <w:jc w:val="center"/>
              <w:rPr>
                <w:rFonts w:ascii="宋体" w:hAnsi="宋体" w:cs="宋体"/>
                <w:kern w:val="0"/>
                <w:sz w:val="24"/>
              </w:rPr>
            </w:pPr>
            <w:r>
              <w:rPr>
                <w:rFonts w:hint="eastAsia" w:ascii="宋体" w:hAnsi="宋体" w:cs="宋体"/>
                <w:kern w:val="0"/>
                <w:sz w:val="24"/>
              </w:rPr>
              <w:t>推荐具有正版licenses的系统，并配置相应的杀毒软件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635" w:type="dxa"/>
            <w:noWrap/>
            <w:vAlign w:val="center"/>
          </w:tcPr>
          <w:p>
            <w:pPr>
              <w:jc w:val="center"/>
              <w:rPr>
                <w:rFonts w:ascii="宋体" w:hAnsi="宋体" w:cs="宋体"/>
                <w:kern w:val="0"/>
                <w:sz w:val="24"/>
              </w:rPr>
            </w:pPr>
            <w:r>
              <w:rPr>
                <w:rFonts w:hint="eastAsia" w:ascii="宋体" w:hAnsi="宋体" w:cs="宋体"/>
                <w:kern w:val="0"/>
                <w:sz w:val="24"/>
              </w:rPr>
              <w:t>PdfFactory</w:t>
            </w:r>
          </w:p>
        </w:tc>
        <w:tc>
          <w:tcPr>
            <w:tcW w:w="1635" w:type="dxa"/>
            <w:noWrap/>
            <w:vAlign w:val="center"/>
          </w:tcPr>
          <w:p>
            <w:pPr>
              <w:jc w:val="center"/>
              <w:rPr>
                <w:rFonts w:ascii="宋体" w:hAnsi="宋体" w:cs="宋体"/>
                <w:kern w:val="0"/>
                <w:sz w:val="24"/>
              </w:rPr>
            </w:pPr>
            <w:r>
              <w:rPr>
                <w:rFonts w:hint="eastAsia" w:ascii="宋体" w:hAnsi="宋体" w:cs="宋体"/>
                <w:kern w:val="0"/>
                <w:sz w:val="24"/>
              </w:rPr>
              <w:t>PdfFactory</w:t>
            </w:r>
          </w:p>
        </w:tc>
        <w:tc>
          <w:tcPr>
            <w:tcW w:w="2537" w:type="dxa"/>
            <w:noWrap/>
            <w:vAlign w:val="center"/>
          </w:tcPr>
          <w:p>
            <w:pPr>
              <w:jc w:val="center"/>
              <w:rPr>
                <w:rFonts w:ascii="宋体" w:hAnsi="宋体" w:cs="宋体"/>
                <w:kern w:val="0"/>
                <w:sz w:val="24"/>
              </w:rPr>
            </w:pPr>
            <w:r>
              <w:rPr>
                <w:rFonts w:hint="eastAsia" w:ascii="宋体" w:hAnsi="宋体" w:cs="宋体"/>
                <w:kern w:val="0"/>
                <w:sz w:val="24"/>
              </w:rPr>
              <w:t>版本：7.0</w:t>
            </w:r>
          </w:p>
        </w:tc>
        <w:tc>
          <w:tcPr>
            <w:tcW w:w="851" w:type="dxa"/>
            <w:vAlign w:val="center"/>
          </w:tcPr>
          <w:p>
            <w:pPr>
              <w:jc w:val="center"/>
              <w:rPr>
                <w:rFonts w:ascii="宋体" w:hAnsi="宋体" w:cs="宋体"/>
                <w:kern w:val="0"/>
                <w:sz w:val="24"/>
              </w:rPr>
            </w:pPr>
            <w:r>
              <w:rPr>
                <w:rFonts w:hint="eastAsia" w:ascii="宋体" w:hAnsi="宋体" w:cs="宋体"/>
                <w:kern w:val="0"/>
                <w:sz w:val="24"/>
              </w:rPr>
              <w:t>1</w:t>
            </w:r>
          </w:p>
        </w:tc>
        <w:tc>
          <w:tcPr>
            <w:tcW w:w="2981" w:type="dxa"/>
            <w:noWrap/>
            <w:vAlign w:val="center"/>
          </w:tcPr>
          <w:p>
            <w:pPr>
              <w:jc w:val="center"/>
              <w:rPr>
                <w:rFonts w:ascii="宋体" w:hAnsi="宋体" w:cs="宋体"/>
                <w:kern w:val="0"/>
                <w:sz w:val="24"/>
              </w:rPr>
            </w:pPr>
            <w:r>
              <w:rPr>
                <w:rFonts w:hint="eastAsia" w:ascii="宋体" w:hAnsi="宋体" w:cs="宋体"/>
                <w:kern w:val="0"/>
                <w:sz w:val="24"/>
              </w:rPr>
              <w:t>PDF报告单生成服务</w:t>
            </w:r>
          </w:p>
        </w:tc>
      </w:tr>
    </w:tbl>
    <w:p>
      <w:pPr>
        <w:rPr>
          <w:rFonts w:ascii="宋体" w:hAnsi="宋体" w:cs="宋体"/>
          <w:sz w:val="24"/>
        </w:rPr>
      </w:pPr>
    </w:p>
    <w:p>
      <w:pPr>
        <w:pStyle w:val="2"/>
        <w:spacing w:before="0" w:after="0" w:line="360" w:lineRule="auto"/>
        <w:rPr>
          <w:sz w:val="24"/>
          <w:szCs w:val="24"/>
        </w:rPr>
        <w:sectPr>
          <w:pgSz w:w="11910" w:h="16840"/>
          <w:pgMar w:top="1460" w:right="640" w:bottom="280" w:left="1060" w:header="720" w:footer="720" w:gutter="0"/>
          <w:pgNumType w:fmt="decimal"/>
          <w:cols w:space="720" w:num="1"/>
        </w:sectPr>
      </w:pPr>
    </w:p>
    <w:p>
      <w:pPr>
        <w:pStyle w:val="2"/>
        <w:spacing w:before="0" w:after="0" w:line="360" w:lineRule="auto"/>
        <w:rPr>
          <w:sz w:val="24"/>
          <w:szCs w:val="24"/>
        </w:rPr>
      </w:pPr>
      <w:bookmarkStart w:id="257" w:name="_Toc22435"/>
      <w:r>
        <w:rPr>
          <w:sz w:val="24"/>
          <w:szCs w:val="24"/>
        </w:rPr>
        <w:t>标项</w:t>
      </w:r>
      <w:r>
        <w:rPr>
          <w:rFonts w:hint="eastAsia"/>
          <w:sz w:val="24"/>
          <w:szCs w:val="24"/>
        </w:rPr>
        <w:t>二</w:t>
      </w:r>
      <w:bookmarkEnd w:id="257"/>
    </w:p>
    <w:p>
      <w:pPr>
        <w:pStyle w:val="38"/>
        <w:widowControl/>
        <w:spacing w:beforeAutospacing="0" w:afterAutospacing="0" w:line="360" w:lineRule="auto"/>
        <w:ind w:firstLine="480" w:firstLineChars="200"/>
        <w:jc w:val="both"/>
        <w:rPr>
          <w:rFonts w:hint="eastAsia" w:eastAsia="宋体"/>
          <w:color w:val="333333"/>
          <w:shd w:val="clear" w:color="auto" w:fill="FFFFFF"/>
          <w:lang w:eastAsia="zh-CN"/>
        </w:rPr>
      </w:pPr>
      <w:r>
        <w:rPr>
          <w:color w:val="333333"/>
          <w:shd w:val="clear" w:color="auto" w:fill="FFFFFF"/>
        </w:rPr>
        <w:t>标项名称：</w:t>
      </w:r>
      <w:r>
        <w:rPr>
          <w:rFonts w:hint="eastAsia"/>
          <w:color w:val="333333"/>
          <w:shd w:val="clear" w:color="auto" w:fill="FFFFFF"/>
          <w:lang w:eastAsia="zh-CN"/>
        </w:rPr>
        <w:t>骨科手术导航系统（机器人）</w:t>
      </w:r>
    </w:p>
    <w:p>
      <w:pPr>
        <w:pStyle w:val="5"/>
        <w:jc w:val="center"/>
      </w:pPr>
      <w:r>
        <w:rPr>
          <w:rFonts w:hint="eastAsia"/>
        </w:rPr>
        <w:t>髋关节置换手术导航系统技术参数</w:t>
      </w:r>
    </w:p>
    <w:p>
      <w:pPr>
        <w:pStyle w:val="19"/>
        <w:spacing w:before="4"/>
      </w:pPr>
    </w:p>
    <w:tbl>
      <w:tblPr>
        <w:tblStyle w:val="41"/>
        <w:tblW w:w="1019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2"/>
        <w:gridCol w:w="3995"/>
        <w:gridCol w:w="4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1392" w:type="dxa"/>
          </w:tcPr>
          <w:p>
            <w:pPr>
              <w:pStyle w:val="445"/>
              <w:spacing w:before="88"/>
              <w:ind w:left="462"/>
              <w:jc w:val="center"/>
              <w:rPr>
                <w:rFonts w:ascii="宋体" w:hAnsi="宋体" w:eastAsia="宋体" w:cs="宋体"/>
                <w:b/>
                <w:bCs/>
                <w:sz w:val="24"/>
              </w:rPr>
            </w:pPr>
            <w:r>
              <w:rPr>
                <w:rFonts w:hint="eastAsia" w:ascii="宋体" w:hAnsi="宋体" w:eastAsia="宋体" w:cs="宋体"/>
                <w:b/>
                <w:bCs/>
                <w:sz w:val="24"/>
              </w:rPr>
              <w:t>序号</w:t>
            </w:r>
          </w:p>
        </w:tc>
        <w:tc>
          <w:tcPr>
            <w:tcW w:w="3995" w:type="dxa"/>
          </w:tcPr>
          <w:p>
            <w:pPr>
              <w:pStyle w:val="445"/>
              <w:spacing w:before="88"/>
              <w:ind w:right="-8"/>
              <w:jc w:val="center"/>
              <w:rPr>
                <w:rFonts w:ascii="宋体" w:hAnsi="宋体" w:eastAsia="宋体" w:cs="宋体"/>
                <w:b/>
                <w:bCs/>
                <w:sz w:val="24"/>
              </w:rPr>
            </w:pPr>
            <w:r>
              <w:rPr>
                <w:rFonts w:hint="eastAsia" w:ascii="宋体" w:hAnsi="宋体" w:eastAsia="宋体" w:cs="宋体"/>
                <w:b/>
                <w:bCs/>
                <w:sz w:val="24"/>
              </w:rPr>
              <w:t>技术参数</w:t>
            </w:r>
          </w:p>
        </w:tc>
        <w:tc>
          <w:tcPr>
            <w:tcW w:w="4806" w:type="dxa"/>
          </w:tcPr>
          <w:p>
            <w:pPr>
              <w:pStyle w:val="445"/>
              <w:spacing w:before="88"/>
              <w:ind w:left="944" w:right="-44" w:hanging="944" w:hangingChars="392"/>
              <w:jc w:val="center"/>
              <w:rPr>
                <w:rFonts w:ascii="宋体" w:hAnsi="宋体" w:eastAsia="宋体" w:cs="宋体"/>
                <w:b/>
                <w:bCs/>
                <w:sz w:val="24"/>
              </w:rPr>
            </w:pPr>
            <w:r>
              <w:rPr>
                <w:rFonts w:hint="eastAsia" w:ascii="宋体" w:hAnsi="宋体" w:eastAsia="宋体" w:cs="宋体"/>
                <w:b/>
                <w:bCs/>
                <w:sz w:val="24"/>
              </w:rPr>
              <w:t>招标要求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193" w:type="dxa"/>
            <w:gridSpan w:val="3"/>
          </w:tcPr>
          <w:p>
            <w:pPr>
              <w:pStyle w:val="445"/>
              <w:spacing w:before="88"/>
              <w:rPr>
                <w:rFonts w:ascii="宋体" w:hAnsi="宋体" w:eastAsia="宋体" w:cs="宋体"/>
                <w:sz w:val="24"/>
              </w:rPr>
            </w:pPr>
            <w:r>
              <w:rPr>
                <w:rFonts w:hint="eastAsia" w:ascii="宋体" w:hAnsi="宋体" w:eastAsia="宋体" w:cs="宋体"/>
                <w:sz w:val="24"/>
              </w:rPr>
              <w:t>1.总体要求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ind w:left="0"/>
              <w:rPr>
                <w:rFonts w:ascii="宋体" w:hAnsi="宋体" w:eastAsia="宋体" w:cs="宋体"/>
                <w:sz w:val="24"/>
              </w:rPr>
            </w:pPr>
          </w:p>
          <w:p>
            <w:pPr>
              <w:pStyle w:val="445"/>
              <w:ind w:left="0"/>
              <w:rPr>
                <w:rFonts w:ascii="宋体" w:hAnsi="宋体" w:eastAsia="宋体" w:cs="宋体"/>
                <w:sz w:val="24"/>
              </w:rPr>
            </w:pPr>
          </w:p>
          <w:p>
            <w:pPr>
              <w:pStyle w:val="445"/>
              <w:spacing w:before="11"/>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1.1</w:t>
            </w:r>
          </w:p>
        </w:tc>
        <w:tc>
          <w:tcPr>
            <w:tcW w:w="3995" w:type="dxa"/>
          </w:tcPr>
          <w:p>
            <w:pPr>
              <w:pStyle w:val="445"/>
              <w:ind w:left="0"/>
              <w:rPr>
                <w:rFonts w:ascii="宋体" w:hAnsi="宋体" w:eastAsia="宋体" w:cs="宋体"/>
                <w:sz w:val="24"/>
              </w:rPr>
            </w:pPr>
          </w:p>
          <w:p>
            <w:pPr>
              <w:pStyle w:val="445"/>
              <w:ind w:left="0"/>
              <w:rPr>
                <w:rFonts w:ascii="宋体" w:hAnsi="宋体" w:eastAsia="宋体" w:cs="宋体"/>
                <w:sz w:val="24"/>
              </w:rPr>
            </w:pPr>
          </w:p>
          <w:p>
            <w:pPr>
              <w:pStyle w:val="445"/>
              <w:spacing w:before="11"/>
              <w:ind w:left="0"/>
              <w:rPr>
                <w:rFonts w:ascii="宋体" w:hAnsi="宋体" w:eastAsia="宋体" w:cs="宋体"/>
                <w:sz w:val="24"/>
              </w:rPr>
            </w:pPr>
          </w:p>
          <w:p>
            <w:pPr>
              <w:pStyle w:val="445"/>
              <w:ind w:left="89"/>
              <w:rPr>
                <w:rFonts w:ascii="宋体" w:hAnsi="宋体" w:eastAsia="宋体" w:cs="宋体"/>
                <w:sz w:val="24"/>
              </w:rPr>
            </w:pPr>
            <w:r>
              <w:rPr>
                <w:rFonts w:hint="eastAsia" w:ascii="宋体" w:hAnsi="宋体" w:eastAsia="宋体" w:cs="宋体"/>
                <w:sz w:val="24"/>
              </w:rPr>
              <w:t>产品用途</w:t>
            </w:r>
          </w:p>
        </w:tc>
        <w:tc>
          <w:tcPr>
            <w:tcW w:w="4806" w:type="dxa"/>
          </w:tcPr>
          <w:p>
            <w:pPr>
              <w:pStyle w:val="445"/>
              <w:spacing w:before="88"/>
              <w:ind w:right="156"/>
              <w:rPr>
                <w:rFonts w:ascii="宋体" w:hAnsi="宋体" w:eastAsia="宋体" w:cs="宋体"/>
                <w:sz w:val="24"/>
              </w:rPr>
            </w:pPr>
            <w:r>
              <w:rPr>
                <w:rFonts w:hint="eastAsia" w:ascii="宋体" w:hAnsi="宋体" w:eastAsia="宋体" w:cs="宋体"/>
                <w:spacing w:val="-2"/>
                <w:sz w:val="24"/>
              </w:rPr>
              <w:t xml:space="preserve">系统根据病人的 </w:t>
            </w:r>
            <w:r>
              <w:rPr>
                <w:rFonts w:hint="eastAsia" w:ascii="宋体" w:hAnsi="宋体" w:eastAsia="宋体" w:cs="宋体"/>
                <w:sz w:val="24"/>
              </w:rPr>
              <w:t>CT</w:t>
            </w:r>
            <w:r>
              <w:rPr>
                <w:rFonts w:hint="eastAsia" w:ascii="宋体" w:hAnsi="宋体" w:eastAsia="宋体" w:cs="宋体"/>
                <w:spacing w:val="-5"/>
                <w:sz w:val="24"/>
              </w:rPr>
              <w:t xml:space="preserve"> 影像重建三维模型以帮助</w:t>
            </w:r>
            <w:r>
              <w:rPr>
                <w:rFonts w:hint="eastAsia" w:ascii="宋体" w:hAnsi="宋体" w:eastAsia="宋体" w:cs="宋体"/>
                <w:sz w:val="24"/>
              </w:rPr>
              <w:t>医生在术前明确假体尺寸、型号、安装位</w:t>
            </w:r>
          </w:p>
          <w:p>
            <w:pPr>
              <w:pStyle w:val="445"/>
              <w:ind w:right="329"/>
              <w:rPr>
                <w:rFonts w:ascii="宋体" w:hAnsi="宋体" w:eastAsia="宋体" w:cs="宋体"/>
                <w:sz w:val="24"/>
              </w:rPr>
            </w:pPr>
            <w:r>
              <w:rPr>
                <w:rFonts w:hint="eastAsia" w:ascii="宋体" w:hAnsi="宋体" w:eastAsia="宋体" w:cs="宋体"/>
                <w:sz w:val="24"/>
              </w:rPr>
              <w:t>置，并进行手术结果的预演。术中通过为医生提供虚拟引导界面、参数信息、机械臂及智能综合切割系统，实现在规划范围内的手术精确磨骨以及假体安装，并可进行手术结果的评估。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ind w:left="0"/>
              <w:rPr>
                <w:rFonts w:ascii="宋体" w:hAnsi="宋体" w:eastAsia="宋体" w:cs="宋体"/>
                <w:sz w:val="24"/>
              </w:rPr>
            </w:pPr>
          </w:p>
          <w:p>
            <w:pPr>
              <w:pStyle w:val="445"/>
              <w:ind w:left="0"/>
              <w:rPr>
                <w:rFonts w:ascii="宋体" w:hAnsi="宋体" w:eastAsia="宋体" w:cs="宋体"/>
                <w:sz w:val="24"/>
              </w:rPr>
            </w:pPr>
          </w:p>
          <w:p>
            <w:pPr>
              <w:pStyle w:val="445"/>
              <w:spacing w:before="11"/>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1.2</w:t>
            </w:r>
          </w:p>
        </w:tc>
        <w:tc>
          <w:tcPr>
            <w:tcW w:w="3995" w:type="dxa"/>
          </w:tcPr>
          <w:p>
            <w:pPr>
              <w:pStyle w:val="445"/>
              <w:ind w:left="0"/>
              <w:rPr>
                <w:rFonts w:ascii="宋体" w:hAnsi="宋体" w:eastAsia="宋体" w:cs="宋体"/>
                <w:sz w:val="24"/>
              </w:rPr>
            </w:pPr>
          </w:p>
          <w:p>
            <w:pPr>
              <w:pStyle w:val="445"/>
              <w:ind w:left="0"/>
              <w:rPr>
                <w:rFonts w:ascii="宋体" w:hAnsi="宋体" w:eastAsia="宋体" w:cs="宋体"/>
                <w:sz w:val="24"/>
              </w:rPr>
            </w:pPr>
          </w:p>
          <w:p>
            <w:pPr>
              <w:pStyle w:val="445"/>
              <w:spacing w:before="11"/>
              <w:ind w:left="0"/>
              <w:rPr>
                <w:rFonts w:ascii="宋体" w:hAnsi="宋体" w:eastAsia="宋体" w:cs="宋体"/>
                <w:sz w:val="24"/>
              </w:rPr>
            </w:pPr>
          </w:p>
          <w:p>
            <w:pPr>
              <w:pStyle w:val="445"/>
              <w:ind w:left="88"/>
              <w:rPr>
                <w:rFonts w:ascii="宋体" w:hAnsi="宋体" w:eastAsia="宋体" w:cs="宋体"/>
                <w:sz w:val="24"/>
              </w:rPr>
            </w:pPr>
            <w:r>
              <w:rPr>
                <w:rFonts w:hint="eastAsia" w:ascii="宋体" w:hAnsi="宋体" w:eastAsia="宋体" w:cs="宋体"/>
                <w:sz w:val="24"/>
              </w:rPr>
              <w:t>适用范围</w:t>
            </w:r>
          </w:p>
        </w:tc>
        <w:tc>
          <w:tcPr>
            <w:tcW w:w="4806" w:type="dxa"/>
          </w:tcPr>
          <w:p>
            <w:pPr>
              <w:pStyle w:val="445"/>
              <w:spacing w:before="90"/>
              <w:ind w:right="89"/>
              <w:rPr>
                <w:rFonts w:ascii="宋体" w:hAnsi="宋体" w:eastAsia="宋体" w:cs="宋体"/>
                <w:sz w:val="24"/>
              </w:rPr>
            </w:pPr>
            <w:r>
              <w:rPr>
                <w:rFonts w:hint="eastAsia" w:ascii="宋体" w:hAnsi="宋体" w:eastAsia="宋体" w:cs="宋体"/>
                <w:sz w:val="24"/>
              </w:rPr>
              <w:t>适用于由股骨头（颈）骨折、股骨头缺血性坏死、原发性或继发性髋关节骨关节炎、类风湿性关节炎累及髋关节、强直性脊柱炎累及髋关节、髋部创伤骨折的老龄患者、骨关节肿瘤、血友病性关节炎等造成的需要进行髋关节置换手术的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1"/>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1.3</w:t>
            </w:r>
          </w:p>
        </w:tc>
        <w:tc>
          <w:tcPr>
            <w:tcW w:w="3995" w:type="dxa"/>
          </w:tcPr>
          <w:p>
            <w:pPr>
              <w:pStyle w:val="445"/>
              <w:spacing w:before="1"/>
              <w:ind w:left="0"/>
              <w:rPr>
                <w:rFonts w:ascii="宋体" w:hAnsi="宋体" w:eastAsia="宋体" w:cs="宋体"/>
                <w:sz w:val="24"/>
              </w:rPr>
            </w:pPr>
          </w:p>
          <w:p>
            <w:pPr>
              <w:pStyle w:val="445"/>
              <w:ind w:left="122"/>
              <w:rPr>
                <w:rFonts w:ascii="宋体" w:hAnsi="宋体" w:eastAsia="宋体" w:cs="宋体"/>
                <w:sz w:val="24"/>
              </w:rPr>
            </w:pPr>
            <w:r>
              <w:rPr>
                <w:rFonts w:hint="eastAsia" w:ascii="宋体" w:hAnsi="宋体" w:eastAsia="宋体" w:cs="宋体"/>
                <w:sz w:val="24"/>
              </w:rPr>
              <w:t>产品升级模块</w:t>
            </w:r>
          </w:p>
        </w:tc>
        <w:tc>
          <w:tcPr>
            <w:tcW w:w="4806" w:type="dxa"/>
          </w:tcPr>
          <w:p>
            <w:pPr>
              <w:pStyle w:val="445"/>
              <w:spacing w:before="88"/>
              <w:ind w:left="108" w:right="52"/>
              <w:rPr>
                <w:rFonts w:ascii="宋体" w:hAnsi="宋体" w:eastAsia="宋体" w:cs="宋体"/>
                <w:sz w:val="24"/>
              </w:rPr>
            </w:pPr>
            <w:r>
              <w:rPr>
                <w:rFonts w:hint="eastAsia" w:ascii="宋体" w:hAnsi="宋体" w:eastAsia="宋体" w:cs="宋体"/>
                <w:sz w:val="24"/>
              </w:rPr>
              <w:t>可升级为髋膝兼容手术机器人平台，兼容膝关节手术应用。（需提供国家药品监督管理局受</w:t>
            </w:r>
          </w:p>
          <w:p>
            <w:pPr>
              <w:pStyle w:val="445"/>
              <w:ind w:left="108"/>
              <w:rPr>
                <w:rFonts w:ascii="宋体" w:hAnsi="宋体" w:eastAsia="宋体" w:cs="宋体"/>
                <w:sz w:val="24"/>
              </w:rPr>
            </w:pPr>
            <w:r>
              <w:rPr>
                <w:rFonts w:hint="eastAsia" w:ascii="宋体" w:hAnsi="宋体" w:eastAsia="宋体" w:cs="宋体"/>
                <w:sz w:val="24"/>
              </w:rPr>
              <w:t>理通知书或注册证）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1"/>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1.4</w:t>
            </w:r>
          </w:p>
        </w:tc>
        <w:tc>
          <w:tcPr>
            <w:tcW w:w="3995" w:type="dxa"/>
          </w:tcPr>
          <w:p>
            <w:pPr>
              <w:pStyle w:val="445"/>
              <w:spacing w:before="1"/>
              <w:ind w:left="0"/>
              <w:rPr>
                <w:rFonts w:ascii="宋体" w:hAnsi="宋体" w:eastAsia="宋体" w:cs="宋体"/>
                <w:sz w:val="24"/>
              </w:rPr>
            </w:pPr>
          </w:p>
          <w:p>
            <w:pPr>
              <w:pStyle w:val="445"/>
              <w:ind w:left="123"/>
              <w:rPr>
                <w:rFonts w:ascii="宋体" w:hAnsi="宋体" w:eastAsia="宋体" w:cs="宋体"/>
                <w:sz w:val="24"/>
              </w:rPr>
            </w:pPr>
            <w:r>
              <w:rPr>
                <w:rFonts w:hint="eastAsia" w:ascii="宋体" w:hAnsi="宋体" w:eastAsia="宋体" w:cs="宋体"/>
                <w:sz w:val="24"/>
              </w:rPr>
              <w:t>产品组成</w:t>
            </w:r>
          </w:p>
        </w:tc>
        <w:tc>
          <w:tcPr>
            <w:tcW w:w="4806" w:type="dxa"/>
          </w:tcPr>
          <w:p>
            <w:pPr>
              <w:pStyle w:val="445"/>
              <w:spacing w:before="88"/>
              <w:ind w:left="108" w:right="327"/>
              <w:rPr>
                <w:rFonts w:ascii="宋体" w:hAnsi="宋体" w:eastAsia="宋体" w:cs="宋体"/>
                <w:sz w:val="24"/>
              </w:rPr>
            </w:pPr>
            <w:r>
              <w:rPr>
                <w:rFonts w:hint="eastAsia" w:ascii="宋体" w:hAnsi="宋体" w:eastAsia="宋体" w:cs="宋体"/>
                <w:sz w:val="24"/>
              </w:rPr>
              <w:t>由机械臂及智能综合切割系统、光学定位系统、导航控制系统、术中导航软件、术前规</w:t>
            </w:r>
          </w:p>
          <w:p>
            <w:pPr>
              <w:pStyle w:val="445"/>
              <w:ind w:left="108"/>
              <w:rPr>
                <w:rFonts w:ascii="宋体" w:hAnsi="宋体" w:eastAsia="宋体" w:cs="宋体"/>
                <w:sz w:val="24"/>
              </w:rPr>
            </w:pPr>
            <w:r>
              <w:rPr>
                <w:rFonts w:hint="eastAsia" w:ascii="宋体" w:hAnsi="宋体" w:eastAsia="宋体" w:cs="宋体"/>
                <w:sz w:val="24"/>
              </w:rPr>
              <w:t>划软件和附件工具包。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1.5</w:t>
            </w:r>
          </w:p>
        </w:tc>
        <w:tc>
          <w:tcPr>
            <w:tcW w:w="3995" w:type="dxa"/>
          </w:tcPr>
          <w:p>
            <w:pPr>
              <w:pStyle w:val="445"/>
              <w:spacing w:before="88"/>
              <w:ind w:left="122"/>
              <w:rPr>
                <w:rFonts w:ascii="宋体" w:hAnsi="宋体" w:eastAsia="宋体" w:cs="宋体"/>
                <w:sz w:val="24"/>
              </w:rPr>
            </w:pPr>
            <w:r>
              <w:rPr>
                <w:rFonts w:hint="eastAsia" w:ascii="宋体" w:hAnsi="宋体" w:eastAsia="宋体" w:cs="宋体"/>
                <w:sz w:val="24"/>
              </w:rPr>
              <w:t>产品适配性</w:t>
            </w:r>
          </w:p>
        </w:tc>
        <w:tc>
          <w:tcPr>
            <w:tcW w:w="4806" w:type="dxa"/>
          </w:tcPr>
          <w:p>
            <w:pPr>
              <w:pStyle w:val="445"/>
              <w:spacing w:before="88"/>
              <w:ind w:left="108"/>
              <w:rPr>
                <w:rFonts w:ascii="宋体" w:hAnsi="宋体" w:eastAsia="宋体" w:cs="宋体"/>
                <w:sz w:val="24"/>
              </w:rPr>
            </w:pPr>
            <w:r>
              <w:rPr>
                <w:rFonts w:hint="eastAsia" w:ascii="宋体" w:hAnsi="宋体" w:eastAsia="宋体" w:cs="宋体"/>
                <w:sz w:val="24"/>
              </w:rPr>
              <w:t>可以适配的假体植入物厂家≥3 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90"/>
              <w:rPr>
                <w:rFonts w:ascii="宋体" w:hAnsi="宋体" w:eastAsia="宋体" w:cs="宋体"/>
                <w:sz w:val="24"/>
              </w:rPr>
            </w:pPr>
            <w:r>
              <w:rPr>
                <w:rFonts w:hint="eastAsia" w:ascii="宋体" w:hAnsi="宋体" w:eastAsia="宋体" w:cs="宋体"/>
                <w:sz w:val="24"/>
              </w:rPr>
              <w:t>1.6</w:t>
            </w:r>
          </w:p>
        </w:tc>
        <w:tc>
          <w:tcPr>
            <w:tcW w:w="3995" w:type="dxa"/>
          </w:tcPr>
          <w:p>
            <w:pPr>
              <w:pStyle w:val="445"/>
              <w:spacing w:before="90"/>
              <w:ind w:left="122"/>
              <w:rPr>
                <w:rFonts w:ascii="宋体" w:hAnsi="宋体" w:eastAsia="宋体" w:cs="宋体"/>
                <w:sz w:val="24"/>
              </w:rPr>
            </w:pPr>
            <w:r>
              <w:rPr>
                <w:rFonts w:hint="eastAsia" w:ascii="宋体" w:hAnsi="宋体" w:eastAsia="宋体" w:cs="宋体"/>
                <w:sz w:val="24"/>
              </w:rPr>
              <w:t>设备系统精度</w:t>
            </w:r>
          </w:p>
        </w:tc>
        <w:tc>
          <w:tcPr>
            <w:tcW w:w="4806" w:type="dxa"/>
          </w:tcPr>
          <w:p>
            <w:pPr>
              <w:pStyle w:val="445"/>
              <w:spacing w:before="90"/>
              <w:ind w:left="108"/>
              <w:rPr>
                <w:rFonts w:ascii="宋体" w:hAnsi="宋体" w:eastAsia="宋体" w:cs="宋体"/>
                <w:sz w:val="24"/>
              </w:rPr>
            </w:pPr>
            <w:r>
              <w:rPr>
                <w:rFonts w:hint="eastAsia" w:ascii="宋体" w:hAnsi="宋体" w:eastAsia="宋体" w:cs="宋体"/>
                <w:sz w:val="24"/>
              </w:rPr>
              <w:t>≤1MM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1.7</w:t>
            </w:r>
          </w:p>
        </w:tc>
        <w:tc>
          <w:tcPr>
            <w:tcW w:w="3995" w:type="dxa"/>
          </w:tcPr>
          <w:p>
            <w:pPr>
              <w:pStyle w:val="445"/>
              <w:spacing w:before="88"/>
              <w:ind w:left="122"/>
              <w:rPr>
                <w:rFonts w:ascii="宋体" w:hAnsi="宋体" w:eastAsia="宋体" w:cs="宋体"/>
                <w:sz w:val="24"/>
              </w:rPr>
            </w:pPr>
            <w:r>
              <w:rPr>
                <w:rFonts w:hint="eastAsia" w:ascii="宋体" w:hAnsi="宋体" w:eastAsia="宋体" w:cs="宋体"/>
                <w:sz w:val="24"/>
              </w:rPr>
              <w:t>设备末端工具重复性精度</w:t>
            </w:r>
          </w:p>
        </w:tc>
        <w:tc>
          <w:tcPr>
            <w:tcW w:w="4806" w:type="dxa"/>
          </w:tcPr>
          <w:p>
            <w:pPr>
              <w:pStyle w:val="445"/>
              <w:spacing w:before="88"/>
              <w:ind w:left="108"/>
              <w:rPr>
                <w:rFonts w:ascii="宋体" w:hAnsi="宋体" w:eastAsia="宋体" w:cs="宋体"/>
                <w:sz w:val="24"/>
              </w:rPr>
            </w:pPr>
            <w:r>
              <w:rPr>
                <w:rFonts w:hint="eastAsia" w:ascii="宋体" w:hAnsi="宋体" w:eastAsia="宋体" w:cs="宋体"/>
                <w:sz w:val="24"/>
              </w:rPr>
              <w:t>≤1MM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1.8</w:t>
            </w:r>
          </w:p>
        </w:tc>
        <w:tc>
          <w:tcPr>
            <w:tcW w:w="3995" w:type="dxa"/>
          </w:tcPr>
          <w:p>
            <w:pPr>
              <w:pStyle w:val="445"/>
              <w:spacing w:before="88"/>
              <w:ind w:left="122"/>
              <w:rPr>
                <w:rFonts w:ascii="宋体" w:hAnsi="宋体" w:eastAsia="宋体" w:cs="宋体"/>
                <w:sz w:val="24"/>
              </w:rPr>
            </w:pPr>
            <w:r>
              <w:rPr>
                <w:rFonts w:hint="eastAsia" w:ascii="宋体" w:hAnsi="宋体" w:eastAsia="宋体" w:cs="宋体"/>
                <w:sz w:val="24"/>
              </w:rPr>
              <w:t>设备末端工具姿态角度精度</w:t>
            </w:r>
          </w:p>
        </w:tc>
        <w:tc>
          <w:tcPr>
            <w:tcW w:w="4806" w:type="dxa"/>
          </w:tcPr>
          <w:p>
            <w:pPr>
              <w:pStyle w:val="445"/>
              <w:spacing w:before="88"/>
              <w:ind w:left="108"/>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1.9</w:t>
            </w:r>
          </w:p>
        </w:tc>
        <w:tc>
          <w:tcPr>
            <w:tcW w:w="3995" w:type="dxa"/>
          </w:tcPr>
          <w:p>
            <w:pPr>
              <w:pStyle w:val="445"/>
              <w:spacing w:before="88"/>
              <w:ind w:left="122"/>
              <w:rPr>
                <w:rFonts w:ascii="宋体" w:hAnsi="宋体" w:eastAsia="宋体" w:cs="宋体"/>
                <w:sz w:val="24"/>
              </w:rPr>
            </w:pPr>
            <w:r>
              <w:rPr>
                <w:rFonts w:hint="eastAsia" w:ascii="宋体" w:hAnsi="宋体" w:eastAsia="宋体" w:cs="宋体"/>
                <w:sz w:val="24"/>
              </w:rPr>
              <w:t>设备末端工具重复性角度精度</w:t>
            </w:r>
          </w:p>
        </w:tc>
        <w:tc>
          <w:tcPr>
            <w:tcW w:w="4806" w:type="dxa"/>
          </w:tcPr>
          <w:p>
            <w:pPr>
              <w:pStyle w:val="445"/>
              <w:spacing w:before="88"/>
              <w:ind w:left="108"/>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0193" w:type="dxa"/>
            <w:gridSpan w:val="3"/>
          </w:tcPr>
          <w:p>
            <w:pPr>
              <w:pStyle w:val="445"/>
              <w:ind w:left="108"/>
              <w:rPr>
                <w:rFonts w:ascii="宋体" w:hAnsi="宋体" w:eastAsia="宋体" w:cs="宋体"/>
                <w:sz w:val="24"/>
              </w:rPr>
            </w:pPr>
            <w:r>
              <w:rPr>
                <w:rFonts w:hint="eastAsia" w:ascii="宋体" w:hAnsi="宋体" w:eastAsia="宋体" w:cs="宋体"/>
                <w:sz w:val="24"/>
              </w:rPr>
              <w:t>2.机械臂及智能综合切割系统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3"/>
              <w:ind w:left="0"/>
              <w:rPr>
                <w:rFonts w:ascii="宋体" w:hAnsi="宋体" w:eastAsia="宋体" w:cs="宋体"/>
                <w:sz w:val="24"/>
              </w:rPr>
            </w:pPr>
          </w:p>
          <w:p>
            <w:pPr>
              <w:pStyle w:val="445"/>
              <w:spacing w:before="1"/>
              <w:rPr>
                <w:rFonts w:ascii="宋体" w:hAnsi="宋体" w:eastAsia="宋体" w:cs="宋体"/>
                <w:sz w:val="24"/>
              </w:rPr>
            </w:pPr>
            <w:r>
              <w:rPr>
                <w:rFonts w:hint="eastAsia" w:ascii="宋体" w:hAnsi="宋体" w:eastAsia="宋体" w:cs="宋体"/>
                <w:sz w:val="24"/>
              </w:rPr>
              <w:t>2.1</w:t>
            </w:r>
          </w:p>
        </w:tc>
        <w:tc>
          <w:tcPr>
            <w:tcW w:w="3995" w:type="dxa"/>
          </w:tcPr>
          <w:p>
            <w:pPr>
              <w:pStyle w:val="445"/>
              <w:spacing w:before="5"/>
              <w:ind w:left="0"/>
              <w:rPr>
                <w:rFonts w:ascii="宋体" w:hAnsi="宋体" w:eastAsia="宋体" w:cs="宋体"/>
                <w:sz w:val="24"/>
              </w:rPr>
            </w:pPr>
          </w:p>
          <w:p>
            <w:pPr>
              <w:pStyle w:val="445"/>
              <w:ind w:left="93"/>
              <w:rPr>
                <w:rFonts w:ascii="宋体" w:hAnsi="宋体" w:eastAsia="宋体" w:cs="宋体"/>
                <w:sz w:val="24"/>
              </w:rPr>
            </w:pPr>
            <w:r>
              <w:rPr>
                <w:rFonts w:hint="eastAsia" w:ascii="宋体" w:hAnsi="宋体" w:eastAsia="宋体" w:cs="宋体"/>
                <w:sz w:val="24"/>
              </w:rPr>
              <w:t>机械臂类型</w:t>
            </w:r>
          </w:p>
        </w:tc>
        <w:tc>
          <w:tcPr>
            <w:tcW w:w="4806" w:type="dxa"/>
          </w:tcPr>
          <w:p>
            <w:pPr>
              <w:pStyle w:val="445"/>
              <w:spacing w:before="3"/>
              <w:ind w:left="0"/>
              <w:rPr>
                <w:rFonts w:ascii="宋体" w:hAnsi="宋体" w:eastAsia="宋体" w:cs="宋体"/>
                <w:sz w:val="24"/>
              </w:rPr>
            </w:pPr>
          </w:p>
          <w:p>
            <w:pPr>
              <w:pStyle w:val="445"/>
              <w:spacing w:before="1"/>
              <w:ind w:left="108"/>
              <w:rPr>
                <w:rFonts w:ascii="宋体" w:hAnsi="宋体" w:eastAsia="宋体" w:cs="宋体"/>
                <w:sz w:val="24"/>
              </w:rPr>
            </w:pPr>
            <w:r>
              <w:rPr>
                <w:rFonts w:hint="eastAsia" w:ascii="宋体" w:hAnsi="宋体" w:eastAsia="宋体" w:cs="宋体"/>
                <w:sz w:val="24"/>
              </w:rPr>
              <w:t>医用机械臂，需提供技术佐证文件。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2.2</w:t>
            </w:r>
          </w:p>
        </w:tc>
        <w:tc>
          <w:tcPr>
            <w:tcW w:w="3995" w:type="dxa"/>
          </w:tcPr>
          <w:p>
            <w:pPr>
              <w:pStyle w:val="445"/>
              <w:spacing w:before="88"/>
              <w:ind w:left="94"/>
              <w:rPr>
                <w:rFonts w:ascii="宋体" w:hAnsi="宋体" w:eastAsia="宋体" w:cs="宋体"/>
                <w:sz w:val="24"/>
              </w:rPr>
            </w:pPr>
            <w:r>
              <w:rPr>
                <w:rFonts w:hint="eastAsia" w:ascii="宋体" w:hAnsi="宋体" w:eastAsia="宋体" w:cs="宋体"/>
                <w:sz w:val="24"/>
              </w:rPr>
              <w:t>机械臂自由度</w:t>
            </w:r>
          </w:p>
        </w:tc>
        <w:tc>
          <w:tcPr>
            <w:tcW w:w="4806" w:type="dxa"/>
          </w:tcPr>
          <w:p>
            <w:pPr>
              <w:pStyle w:val="445"/>
              <w:spacing w:before="88"/>
              <w:ind w:left="109"/>
              <w:rPr>
                <w:rFonts w:ascii="宋体" w:hAnsi="宋体" w:eastAsia="宋体" w:cs="宋体"/>
                <w:sz w:val="24"/>
              </w:rPr>
            </w:pPr>
            <w:r>
              <w:rPr>
                <w:rFonts w:hint="eastAsia" w:ascii="宋体" w:hAnsi="宋体" w:eastAsia="宋体" w:cs="宋体"/>
                <w:sz w:val="24"/>
              </w:rPr>
              <w:t>≥ 7 个自由度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2.3</w:t>
            </w:r>
          </w:p>
        </w:tc>
        <w:tc>
          <w:tcPr>
            <w:tcW w:w="3995" w:type="dxa"/>
          </w:tcPr>
          <w:p>
            <w:pPr>
              <w:pStyle w:val="445"/>
              <w:spacing w:before="88"/>
              <w:ind w:left="92"/>
              <w:rPr>
                <w:rFonts w:ascii="宋体" w:hAnsi="宋体" w:eastAsia="宋体" w:cs="宋体"/>
                <w:sz w:val="24"/>
              </w:rPr>
            </w:pPr>
            <w:r>
              <w:rPr>
                <w:rFonts w:hint="eastAsia" w:ascii="宋体" w:hAnsi="宋体" w:eastAsia="宋体" w:cs="宋体"/>
                <w:sz w:val="24"/>
              </w:rPr>
              <w:t>机械臂最大工作距离</w:t>
            </w:r>
          </w:p>
        </w:tc>
        <w:tc>
          <w:tcPr>
            <w:tcW w:w="4806" w:type="dxa"/>
          </w:tcPr>
          <w:p>
            <w:pPr>
              <w:pStyle w:val="445"/>
              <w:spacing w:before="88"/>
              <w:ind w:left="108"/>
              <w:rPr>
                <w:rFonts w:ascii="宋体" w:hAnsi="宋体" w:eastAsia="宋体" w:cs="宋体"/>
                <w:sz w:val="24"/>
              </w:rPr>
            </w:pPr>
            <w:r>
              <w:rPr>
                <w:rFonts w:hint="eastAsia" w:ascii="宋体" w:hAnsi="宋体" w:eastAsia="宋体" w:cs="宋体"/>
                <w:sz w:val="24"/>
              </w:rPr>
              <w:t>≥ 940mm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2.4</w:t>
            </w:r>
          </w:p>
        </w:tc>
        <w:tc>
          <w:tcPr>
            <w:tcW w:w="3995" w:type="dxa"/>
          </w:tcPr>
          <w:p>
            <w:pPr>
              <w:pStyle w:val="445"/>
              <w:spacing w:before="88"/>
              <w:ind w:left="93"/>
              <w:rPr>
                <w:rFonts w:ascii="宋体" w:hAnsi="宋体" w:eastAsia="宋体" w:cs="宋体"/>
                <w:sz w:val="24"/>
              </w:rPr>
            </w:pPr>
            <w:r>
              <w:rPr>
                <w:rFonts w:hint="eastAsia" w:ascii="宋体" w:hAnsi="宋体" w:eastAsia="宋体" w:cs="宋体"/>
                <w:sz w:val="24"/>
              </w:rPr>
              <w:t>机械臂有效工作空间</w:t>
            </w:r>
          </w:p>
        </w:tc>
        <w:tc>
          <w:tcPr>
            <w:tcW w:w="4806" w:type="dxa"/>
          </w:tcPr>
          <w:p>
            <w:pPr>
              <w:pStyle w:val="445"/>
              <w:spacing w:before="88"/>
              <w:ind w:left="108"/>
              <w:rPr>
                <w:rFonts w:ascii="宋体" w:hAnsi="宋体" w:eastAsia="宋体" w:cs="宋体"/>
                <w:sz w:val="24"/>
              </w:rPr>
            </w:pPr>
            <w:r>
              <w:rPr>
                <w:rFonts w:hint="eastAsia" w:ascii="宋体" w:hAnsi="宋体" w:eastAsia="宋体" w:cs="宋体"/>
                <w:sz w:val="24"/>
              </w:rPr>
              <w:t>≥ ±100mm x ±100mm x ±100mm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90"/>
              <w:rPr>
                <w:rFonts w:ascii="宋体" w:hAnsi="宋体" w:eastAsia="宋体" w:cs="宋体"/>
                <w:sz w:val="24"/>
              </w:rPr>
            </w:pPr>
            <w:r>
              <w:rPr>
                <w:rFonts w:hint="eastAsia" w:ascii="宋体" w:hAnsi="宋体" w:eastAsia="宋体" w:cs="宋体"/>
                <w:sz w:val="24"/>
              </w:rPr>
              <w:t>2.5</w:t>
            </w:r>
          </w:p>
        </w:tc>
        <w:tc>
          <w:tcPr>
            <w:tcW w:w="3995" w:type="dxa"/>
          </w:tcPr>
          <w:p>
            <w:pPr>
              <w:pStyle w:val="445"/>
              <w:spacing w:before="90"/>
              <w:ind w:left="92"/>
              <w:rPr>
                <w:rFonts w:ascii="宋体" w:hAnsi="宋体" w:eastAsia="宋体" w:cs="宋体"/>
                <w:sz w:val="24"/>
              </w:rPr>
            </w:pPr>
            <w:r>
              <w:rPr>
                <w:rFonts w:hint="eastAsia" w:ascii="宋体" w:hAnsi="宋体" w:eastAsia="宋体" w:cs="宋体"/>
                <w:sz w:val="24"/>
              </w:rPr>
              <w:t>机械臂各关节运转范围</w:t>
            </w:r>
          </w:p>
        </w:tc>
        <w:tc>
          <w:tcPr>
            <w:tcW w:w="4806" w:type="dxa"/>
          </w:tcPr>
          <w:p>
            <w:pPr>
              <w:pStyle w:val="445"/>
              <w:spacing w:before="90"/>
              <w:ind w:left="108"/>
              <w:rPr>
                <w:rFonts w:ascii="宋体" w:hAnsi="宋体" w:eastAsia="宋体" w:cs="宋体"/>
                <w:sz w:val="24"/>
              </w:rPr>
            </w:pPr>
            <w:r>
              <w:rPr>
                <w:rFonts w:hint="eastAsia" w:ascii="宋体" w:hAnsi="宋体" w:eastAsia="宋体" w:cs="宋体"/>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2.6</w:t>
            </w:r>
          </w:p>
        </w:tc>
        <w:tc>
          <w:tcPr>
            <w:tcW w:w="3995" w:type="dxa"/>
          </w:tcPr>
          <w:p>
            <w:pPr>
              <w:pStyle w:val="445"/>
              <w:spacing w:before="88"/>
              <w:ind w:left="93" w:right="92" w:hanging="1"/>
              <w:rPr>
                <w:rFonts w:ascii="宋体" w:hAnsi="宋体" w:eastAsia="宋体" w:cs="宋体"/>
                <w:sz w:val="24"/>
              </w:rPr>
            </w:pPr>
            <w:r>
              <w:rPr>
                <w:rFonts w:hint="eastAsia" w:ascii="宋体" w:hAnsi="宋体" w:eastAsia="宋体" w:cs="宋体"/>
                <w:sz w:val="24"/>
              </w:rPr>
              <w:t>机械臂具备电驱自升降稳定支撑系统，可通过转动开关操控升降稳定</w:t>
            </w:r>
          </w:p>
          <w:p>
            <w:pPr>
              <w:pStyle w:val="445"/>
              <w:ind w:left="93"/>
              <w:rPr>
                <w:rFonts w:ascii="宋体" w:hAnsi="宋体" w:eastAsia="宋体" w:cs="宋体"/>
                <w:sz w:val="24"/>
              </w:rPr>
            </w:pPr>
            <w:r>
              <w:rPr>
                <w:rFonts w:hint="eastAsia" w:ascii="宋体" w:hAnsi="宋体" w:eastAsia="宋体" w:cs="宋体"/>
                <w:sz w:val="24"/>
              </w:rPr>
              <w:t>支撑系统</w:t>
            </w:r>
          </w:p>
        </w:tc>
        <w:tc>
          <w:tcPr>
            <w:tcW w:w="4806" w:type="dxa"/>
          </w:tcPr>
          <w:p>
            <w:pPr>
              <w:pStyle w:val="445"/>
              <w:spacing w:before="88"/>
              <w:ind w:left="108"/>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2.7</w:t>
            </w:r>
          </w:p>
        </w:tc>
        <w:tc>
          <w:tcPr>
            <w:tcW w:w="3995" w:type="dxa"/>
          </w:tcPr>
          <w:p>
            <w:pPr>
              <w:pStyle w:val="445"/>
              <w:spacing w:before="88"/>
              <w:ind w:left="72"/>
              <w:rPr>
                <w:rFonts w:ascii="宋体" w:hAnsi="宋体" w:eastAsia="宋体" w:cs="宋体"/>
                <w:sz w:val="24"/>
              </w:rPr>
            </w:pPr>
            <w:r>
              <w:rPr>
                <w:rFonts w:hint="eastAsia" w:ascii="宋体" w:hAnsi="宋体" w:eastAsia="宋体" w:cs="宋体"/>
                <w:sz w:val="24"/>
              </w:rPr>
              <w:t>系统在术中可以提供主动及被动两种不同的操控模式</w:t>
            </w:r>
          </w:p>
        </w:tc>
        <w:tc>
          <w:tcPr>
            <w:tcW w:w="4806" w:type="dxa"/>
          </w:tcPr>
          <w:p>
            <w:pPr>
              <w:pStyle w:val="445"/>
              <w:spacing w:before="88"/>
              <w:ind w:left="106"/>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2.8</w:t>
            </w:r>
          </w:p>
        </w:tc>
        <w:tc>
          <w:tcPr>
            <w:tcW w:w="3995" w:type="dxa"/>
          </w:tcPr>
          <w:p>
            <w:pPr>
              <w:pStyle w:val="445"/>
              <w:spacing w:before="88"/>
              <w:ind w:left="72"/>
              <w:rPr>
                <w:rFonts w:ascii="宋体" w:hAnsi="宋体" w:eastAsia="宋体" w:cs="宋体"/>
                <w:sz w:val="24"/>
              </w:rPr>
            </w:pPr>
            <w:r>
              <w:rPr>
                <w:rFonts w:hint="eastAsia" w:ascii="宋体" w:hAnsi="宋体" w:eastAsia="宋体" w:cs="宋体"/>
                <w:sz w:val="24"/>
              </w:rPr>
              <w:t>机械臂具备自由操控按键</w:t>
            </w:r>
          </w:p>
        </w:tc>
        <w:tc>
          <w:tcPr>
            <w:tcW w:w="4806" w:type="dxa"/>
          </w:tcPr>
          <w:p>
            <w:pPr>
              <w:pStyle w:val="445"/>
              <w:spacing w:before="88"/>
              <w:ind w:left="106"/>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2.9</w:t>
            </w:r>
          </w:p>
        </w:tc>
        <w:tc>
          <w:tcPr>
            <w:tcW w:w="3995" w:type="dxa"/>
          </w:tcPr>
          <w:p>
            <w:pPr>
              <w:pStyle w:val="445"/>
              <w:spacing w:before="88"/>
              <w:ind w:left="72"/>
              <w:rPr>
                <w:rFonts w:ascii="宋体" w:hAnsi="宋体" w:eastAsia="宋体" w:cs="宋体"/>
                <w:sz w:val="24"/>
              </w:rPr>
            </w:pPr>
            <w:r>
              <w:rPr>
                <w:rFonts w:hint="eastAsia" w:ascii="宋体" w:hAnsi="宋体" w:eastAsia="宋体" w:cs="宋体"/>
                <w:sz w:val="24"/>
              </w:rPr>
              <w:t>系统可通过人为主动拖控机械臂自由运动的功能</w:t>
            </w:r>
          </w:p>
        </w:tc>
        <w:tc>
          <w:tcPr>
            <w:tcW w:w="4806" w:type="dxa"/>
          </w:tcPr>
          <w:p>
            <w:pPr>
              <w:pStyle w:val="445"/>
              <w:spacing w:before="88"/>
              <w:ind w:left="106"/>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90"/>
              <w:rPr>
                <w:rFonts w:ascii="宋体" w:hAnsi="宋体" w:eastAsia="宋体" w:cs="宋体"/>
                <w:sz w:val="24"/>
              </w:rPr>
            </w:pPr>
            <w:r>
              <w:rPr>
                <w:rFonts w:hint="eastAsia" w:ascii="宋体" w:hAnsi="宋体" w:eastAsia="宋体" w:cs="宋体"/>
                <w:sz w:val="24"/>
                <w:lang w:val="en-US"/>
              </w:rPr>
              <w:t>2</w:t>
            </w:r>
            <w:r>
              <w:rPr>
                <w:rFonts w:hint="eastAsia" w:ascii="宋体" w:hAnsi="宋体" w:eastAsia="宋体" w:cs="宋体"/>
                <w:sz w:val="24"/>
              </w:rPr>
              <w:t>.10</w:t>
            </w:r>
          </w:p>
        </w:tc>
        <w:tc>
          <w:tcPr>
            <w:tcW w:w="3995" w:type="dxa"/>
          </w:tcPr>
          <w:p>
            <w:pPr>
              <w:pStyle w:val="445"/>
              <w:spacing w:before="90"/>
              <w:ind w:left="73"/>
              <w:rPr>
                <w:rFonts w:ascii="宋体" w:hAnsi="宋体" w:eastAsia="宋体" w:cs="宋体"/>
                <w:sz w:val="24"/>
              </w:rPr>
            </w:pPr>
            <w:r>
              <w:rPr>
                <w:rFonts w:hint="eastAsia" w:ascii="宋体" w:hAnsi="宋体" w:eastAsia="宋体" w:cs="宋体"/>
                <w:sz w:val="24"/>
              </w:rPr>
              <w:t>系统可以提供至少三种磨削模式，方便医生高效手术</w:t>
            </w:r>
          </w:p>
        </w:tc>
        <w:tc>
          <w:tcPr>
            <w:tcW w:w="4806" w:type="dxa"/>
          </w:tcPr>
          <w:p>
            <w:pPr>
              <w:pStyle w:val="445"/>
              <w:spacing w:before="90"/>
              <w:ind w:left="106"/>
              <w:rPr>
                <w:rFonts w:ascii="宋体" w:hAnsi="宋体" w:eastAsia="宋体" w:cs="宋体"/>
                <w:sz w:val="24"/>
              </w:rPr>
            </w:pPr>
            <w:r>
              <w:rPr>
                <w:rFonts w:hint="eastAsia" w:ascii="宋体" w:hAnsi="宋体" w:eastAsia="宋体" w:cs="宋体"/>
                <w:sz w:val="24"/>
              </w:rPr>
              <w:t>自由模式、定点模式、定线模式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ind w:left="0"/>
              <w:rPr>
                <w:rFonts w:ascii="宋体" w:hAnsi="宋体" w:eastAsia="宋体" w:cs="宋体"/>
                <w:sz w:val="24"/>
              </w:rPr>
            </w:pPr>
          </w:p>
          <w:p>
            <w:pPr>
              <w:pStyle w:val="445"/>
              <w:spacing w:before="4"/>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2.11</w:t>
            </w:r>
          </w:p>
        </w:tc>
        <w:tc>
          <w:tcPr>
            <w:tcW w:w="3995" w:type="dxa"/>
          </w:tcPr>
          <w:p>
            <w:pPr>
              <w:pStyle w:val="445"/>
              <w:spacing w:before="88" w:line="343" w:lineRule="auto"/>
              <w:ind w:left="73" w:right="121"/>
              <w:rPr>
                <w:rFonts w:ascii="宋体" w:hAnsi="宋体" w:eastAsia="宋体" w:cs="宋体"/>
                <w:sz w:val="24"/>
              </w:rPr>
            </w:pPr>
            <w:r>
              <w:rPr>
                <w:rFonts w:hint="eastAsia" w:ascii="宋体" w:hAnsi="宋体" w:eastAsia="宋体" w:cs="宋体"/>
                <w:sz w:val="24"/>
              </w:rPr>
              <w:t>主动安全防护功能：机械臂在主动运动的过程中，当臂身遇到障碍物受力超过 50N 时自动停止，以确保医生和患者的安全</w:t>
            </w:r>
          </w:p>
        </w:tc>
        <w:tc>
          <w:tcPr>
            <w:tcW w:w="4806" w:type="dxa"/>
          </w:tcPr>
          <w:p>
            <w:pPr>
              <w:pStyle w:val="445"/>
              <w:spacing w:before="88"/>
              <w:ind w:left="106"/>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17"/>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2.12</w:t>
            </w:r>
          </w:p>
        </w:tc>
        <w:tc>
          <w:tcPr>
            <w:tcW w:w="3995" w:type="dxa"/>
          </w:tcPr>
          <w:p>
            <w:pPr>
              <w:pStyle w:val="445"/>
              <w:spacing w:before="88"/>
              <w:ind w:left="73"/>
              <w:rPr>
                <w:rFonts w:ascii="宋体" w:hAnsi="宋体" w:eastAsia="宋体" w:cs="宋体"/>
                <w:sz w:val="24"/>
              </w:rPr>
            </w:pPr>
            <w:r>
              <w:rPr>
                <w:rFonts w:hint="eastAsia" w:ascii="宋体" w:hAnsi="宋体" w:eastAsia="宋体" w:cs="宋体"/>
                <w:sz w:val="24"/>
              </w:rPr>
              <w:t>机械臂系统内置不间断电源，防止</w:t>
            </w:r>
          </w:p>
          <w:p>
            <w:pPr>
              <w:pStyle w:val="445"/>
              <w:spacing w:before="187"/>
              <w:ind w:left="73"/>
              <w:rPr>
                <w:rFonts w:ascii="宋体" w:hAnsi="宋体" w:eastAsia="宋体" w:cs="宋体"/>
                <w:sz w:val="24"/>
              </w:rPr>
            </w:pPr>
            <w:r>
              <w:rPr>
                <w:rFonts w:hint="eastAsia" w:ascii="宋体" w:hAnsi="宋体" w:eastAsia="宋体" w:cs="宋体"/>
                <w:sz w:val="24"/>
              </w:rPr>
              <w:t>因断电而产生的意外关机</w:t>
            </w:r>
          </w:p>
        </w:tc>
        <w:tc>
          <w:tcPr>
            <w:tcW w:w="4806" w:type="dxa"/>
          </w:tcPr>
          <w:p>
            <w:pPr>
              <w:pStyle w:val="445"/>
              <w:spacing w:before="88"/>
              <w:ind w:left="106"/>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2.13</w:t>
            </w:r>
          </w:p>
        </w:tc>
        <w:tc>
          <w:tcPr>
            <w:tcW w:w="3995" w:type="dxa"/>
          </w:tcPr>
          <w:p>
            <w:pPr>
              <w:pStyle w:val="445"/>
              <w:spacing w:before="88"/>
              <w:ind w:left="72"/>
              <w:rPr>
                <w:rFonts w:ascii="宋体" w:hAnsi="宋体" w:eastAsia="宋体" w:cs="宋体"/>
                <w:sz w:val="24"/>
              </w:rPr>
            </w:pPr>
            <w:r>
              <w:rPr>
                <w:rFonts w:hint="eastAsia" w:ascii="宋体" w:hAnsi="宋体" w:eastAsia="宋体" w:cs="宋体"/>
                <w:sz w:val="24"/>
              </w:rPr>
              <w:t>机械臂重复定位精度</w:t>
            </w:r>
          </w:p>
        </w:tc>
        <w:tc>
          <w:tcPr>
            <w:tcW w:w="4806" w:type="dxa"/>
          </w:tcPr>
          <w:p>
            <w:pPr>
              <w:pStyle w:val="445"/>
              <w:spacing w:before="88"/>
              <w:ind w:left="106"/>
              <w:rPr>
                <w:rFonts w:ascii="宋体" w:hAnsi="宋体" w:eastAsia="宋体" w:cs="宋体"/>
                <w:sz w:val="24"/>
              </w:rPr>
            </w:pPr>
            <w:r>
              <w:rPr>
                <w:rFonts w:hint="eastAsia" w:ascii="宋体" w:hAnsi="宋体" w:eastAsia="宋体" w:cs="宋体"/>
                <w:sz w:val="24"/>
              </w:rPr>
              <w:t>≤±0.15mm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1"/>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2.14</w:t>
            </w:r>
          </w:p>
        </w:tc>
        <w:tc>
          <w:tcPr>
            <w:tcW w:w="3995" w:type="dxa"/>
          </w:tcPr>
          <w:p>
            <w:pPr>
              <w:pStyle w:val="445"/>
              <w:spacing w:before="88" w:line="343" w:lineRule="auto"/>
              <w:ind w:left="73" w:right="94"/>
              <w:rPr>
                <w:rFonts w:ascii="宋体" w:hAnsi="宋体" w:eastAsia="宋体" w:cs="宋体"/>
                <w:sz w:val="24"/>
              </w:rPr>
            </w:pPr>
            <w:r>
              <w:rPr>
                <w:rFonts w:hint="eastAsia" w:ascii="宋体" w:hAnsi="宋体" w:eastAsia="宋体" w:cs="宋体"/>
                <w:sz w:val="24"/>
              </w:rPr>
              <w:t>具备股骨侧的机械臂辅助截骨功能，保证手术执行与手术规划的一</w:t>
            </w:r>
          </w:p>
          <w:p>
            <w:pPr>
              <w:pStyle w:val="445"/>
              <w:spacing w:line="435" w:lineRule="exact"/>
              <w:ind w:left="73"/>
              <w:rPr>
                <w:rFonts w:ascii="宋体" w:hAnsi="宋体" w:eastAsia="宋体" w:cs="宋体"/>
                <w:sz w:val="24"/>
              </w:rPr>
            </w:pPr>
            <w:r>
              <w:rPr>
                <w:rFonts w:hint="eastAsia" w:ascii="宋体" w:hAnsi="宋体" w:eastAsia="宋体" w:cs="宋体"/>
                <w:sz w:val="24"/>
              </w:rPr>
              <w:t>致性</w:t>
            </w:r>
          </w:p>
        </w:tc>
        <w:tc>
          <w:tcPr>
            <w:tcW w:w="4806" w:type="dxa"/>
          </w:tcPr>
          <w:p>
            <w:pPr>
              <w:pStyle w:val="445"/>
              <w:spacing w:before="88"/>
              <w:ind w:left="106"/>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17"/>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2.15</w:t>
            </w:r>
          </w:p>
        </w:tc>
        <w:tc>
          <w:tcPr>
            <w:tcW w:w="3995" w:type="dxa"/>
          </w:tcPr>
          <w:p>
            <w:pPr>
              <w:pStyle w:val="445"/>
              <w:spacing w:before="88"/>
              <w:ind w:left="73"/>
              <w:rPr>
                <w:rFonts w:ascii="宋体" w:hAnsi="宋体" w:eastAsia="宋体" w:cs="宋体"/>
                <w:sz w:val="24"/>
              </w:rPr>
            </w:pPr>
            <w:r>
              <w:rPr>
                <w:rFonts w:hint="eastAsia" w:ascii="宋体" w:hAnsi="宋体" w:eastAsia="宋体" w:cs="宋体"/>
                <w:sz w:val="24"/>
              </w:rPr>
              <w:t>机械臂可一键自动校准机械臂，不</w:t>
            </w:r>
          </w:p>
          <w:p>
            <w:pPr>
              <w:pStyle w:val="445"/>
              <w:spacing w:before="187"/>
              <w:ind w:left="73"/>
              <w:rPr>
                <w:rFonts w:ascii="宋体" w:hAnsi="宋体" w:eastAsia="宋体" w:cs="宋体"/>
                <w:sz w:val="24"/>
              </w:rPr>
            </w:pPr>
            <w:r>
              <w:rPr>
                <w:rFonts w:hint="eastAsia" w:ascii="宋体" w:hAnsi="宋体" w:eastAsia="宋体" w:cs="宋体"/>
                <w:sz w:val="24"/>
              </w:rPr>
              <w:t>需要人为拖控机械臂完成校验。</w:t>
            </w:r>
          </w:p>
        </w:tc>
        <w:tc>
          <w:tcPr>
            <w:tcW w:w="4806" w:type="dxa"/>
          </w:tcPr>
          <w:p>
            <w:pPr>
              <w:pStyle w:val="445"/>
              <w:spacing w:before="88"/>
              <w:ind w:left="106"/>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193" w:type="dxa"/>
            <w:gridSpan w:val="3"/>
          </w:tcPr>
          <w:p>
            <w:pPr>
              <w:pStyle w:val="445"/>
              <w:ind w:left="108"/>
              <w:rPr>
                <w:rFonts w:ascii="宋体" w:hAnsi="宋体" w:eastAsia="宋体" w:cs="宋体"/>
                <w:sz w:val="24"/>
              </w:rPr>
            </w:pPr>
            <w:r>
              <w:rPr>
                <w:rFonts w:hint="eastAsia" w:ascii="宋体" w:hAnsi="宋体" w:eastAsia="宋体" w:cs="宋体"/>
                <w:sz w:val="24"/>
              </w:rPr>
              <w:t>3.光学定位系统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3.1</w:t>
            </w:r>
          </w:p>
        </w:tc>
        <w:tc>
          <w:tcPr>
            <w:tcW w:w="3995" w:type="dxa"/>
          </w:tcPr>
          <w:p>
            <w:pPr>
              <w:pStyle w:val="445"/>
              <w:spacing w:before="88"/>
              <w:ind w:left="141"/>
              <w:rPr>
                <w:rFonts w:ascii="宋体" w:hAnsi="宋体" w:eastAsia="宋体" w:cs="宋体"/>
                <w:sz w:val="24"/>
              </w:rPr>
            </w:pPr>
            <w:r>
              <w:rPr>
                <w:rFonts w:hint="eastAsia" w:ascii="宋体" w:hAnsi="宋体" w:eastAsia="宋体" w:cs="宋体"/>
                <w:sz w:val="24"/>
              </w:rPr>
              <w:t>精度</w:t>
            </w:r>
          </w:p>
        </w:tc>
        <w:tc>
          <w:tcPr>
            <w:tcW w:w="4806" w:type="dxa"/>
          </w:tcPr>
          <w:p>
            <w:pPr>
              <w:pStyle w:val="445"/>
              <w:spacing w:before="88"/>
              <w:rPr>
                <w:rFonts w:ascii="宋体" w:hAnsi="宋体" w:eastAsia="宋体" w:cs="宋体"/>
                <w:sz w:val="24"/>
              </w:rPr>
            </w:pPr>
            <w:r>
              <w:rPr>
                <w:rFonts w:hint="eastAsia" w:ascii="宋体" w:hAnsi="宋体" w:eastAsia="宋体" w:cs="宋体"/>
                <w:sz w:val="24"/>
              </w:rPr>
              <w:t>≤0.5mm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392" w:type="dxa"/>
          </w:tcPr>
          <w:p>
            <w:pPr>
              <w:pStyle w:val="445"/>
              <w:spacing w:before="88"/>
              <w:rPr>
                <w:rFonts w:ascii="宋体" w:hAnsi="宋体" w:eastAsia="宋体" w:cs="宋体"/>
                <w:sz w:val="24"/>
              </w:rPr>
            </w:pPr>
            <w:r>
              <w:rPr>
                <w:rFonts w:hint="eastAsia" w:ascii="宋体" w:hAnsi="宋体" w:eastAsia="宋体" w:cs="宋体"/>
                <w:sz w:val="24"/>
              </w:rPr>
              <w:t>3.2</w:t>
            </w:r>
          </w:p>
        </w:tc>
        <w:tc>
          <w:tcPr>
            <w:tcW w:w="3995" w:type="dxa"/>
          </w:tcPr>
          <w:p>
            <w:pPr>
              <w:pStyle w:val="445"/>
              <w:spacing w:before="88"/>
              <w:ind w:left="140"/>
              <w:rPr>
                <w:rFonts w:ascii="宋体" w:hAnsi="宋体" w:eastAsia="宋体" w:cs="宋体"/>
                <w:sz w:val="24"/>
              </w:rPr>
            </w:pPr>
            <w:r>
              <w:rPr>
                <w:rFonts w:hint="eastAsia" w:ascii="宋体" w:hAnsi="宋体" w:eastAsia="宋体" w:cs="宋体"/>
                <w:sz w:val="24"/>
              </w:rPr>
              <w:t>最大刷新频率</w:t>
            </w:r>
          </w:p>
        </w:tc>
        <w:tc>
          <w:tcPr>
            <w:tcW w:w="4806" w:type="dxa"/>
          </w:tcPr>
          <w:p>
            <w:pPr>
              <w:pStyle w:val="445"/>
              <w:spacing w:before="88"/>
              <w:ind w:left="106"/>
              <w:rPr>
                <w:rFonts w:ascii="宋体" w:hAnsi="宋体" w:eastAsia="宋体" w:cs="宋体"/>
                <w:sz w:val="24"/>
              </w:rPr>
            </w:pPr>
            <w:r>
              <w:rPr>
                <w:rFonts w:hint="eastAsia" w:ascii="宋体" w:hAnsi="宋体" w:eastAsia="宋体" w:cs="宋体"/>
                <w:sz w:val="24"/>
              </w:rPr>
              <w:t>60 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3.3</w:t>
            </w:r>
          </w:p>
        </w:tc>
        <w:tc>
          <w:tcPr>
            <w:tcW w:w="3995" w:type="dxa"/>
          </w:tcPr>
          <w:p>
            <w:pPr>
              <w:pStyle w:val="445"/>
              <w:spacing w:before="88"/>
              <w:rPr>
                <w:rFonts w:ascii="宋体" w:hAnsi="宋体" w:eastAsia="宋体" w:cs="宋体"/>
                <w:sz w:val="24"/>
              </w:rPr>
            </w:pPr>
            <w:r>
              <w:rPr>
                <w:rFonts w:hint="eastAsia" w:ascii="宋体" w:hAnsi="宋体" w:eastAsia="宋体" w:cs="宋体"/>
                <w:sz w:val="24"/>
              </w:rPr>
              <w:t>定位激光功率</w:t>
            </w:r>
          </w:p>
        </w:tc>
        <w:tc>
          <w:tcPr>
            <w:tcW w:w="4806" w:type="dxa"/>
          </w:tcPr>
          <w:p>
            <w:pPr>
              <w:pStyle w:val="445"/>
              <w:spacing w:before="88"/>
              <w:rPr>
                <w:rFonts w:ascii="宋体" w:hAnsi="宋体" w:eastAsia="宋体" w:cs="宋体"/>
                <w:sz w:val="24"/>
              </w:rPr>
            </w:pPr>
            <w:r>
              <w:rPr>
                <w:rFonts w:hint="eastAsia" w:ascii="宋体" w:hAnsi="宋体" w:eastAsia="宋体" w:cs="宋体"/>
                <w:sz w:val="24"/>
              </w:rPr>
              <w:t>≤1mW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3.4</w:t>
            </w:r>
          </w:p>
        </w:tc>
        <w:tc>
          <w:tcPr>
            <w:tcW w:w="3995" w:type="dxa"/>
          </w:tcPr>
          <w:p>
            <w:pPr>
              <w:pStyle w:val="445"/>
              <w:spacing w:before="88"/>
              <w:rPr>
                <w:rFonts w:ascii="宋体" w:hAnsi="宋体" w:eastAsia="宋体" w:cs="宋体"/>
                <w:sz w:val="24"/>
              </w:rPr>
            </w:pPr>
            <w:r>
              <w:rPr>
                <w:rFonts w:hint="eastAsia" w:ascii="宋体" w:hAnsi="宋体" w:eastAsia="宋体" w:cs="宋体"/>
                <w:sz w:val="24"/>
              </w:rPr>
              <w:t>光学双目定位相机尺寸</w:t>
            </w:r>
          </w:p>
        </w:tc>
        <w:tc>
          <w:tcPr>
            <w:tcW w:w="4806" w:type="dxa"/>
          </w:tcPr>
          <w:p>
            <w:pPr>
              <w:pStyle w:val="445"/>
              <w:spacing w:before="88"/>
              <w:rPr>
                <w:rFonts w:ascii="宋体" w:hAnsi="宋体" w:eastAsia="宋体" w:cs="宋体"/>
                <w:sz w:val="24"/>
              </w:rPr>
            </w:pPr>
            <w:r>
              <w:rPr>
                <w:rFonts w:hint="eastAsia" w:ascii="宋体" w:hAnsi="宋体" w:eastAsia="宋体" w:cs="宋体"/>
                <w:sz w:val="24"/>
              </w:rPr>
              <w:t>≤ 600mm×103mm× 108mm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3.5</w:t>
            </w:r>
          </w:p>
        </w:tc>
        <w:tc>
          <w:tcPr>
            <w:tcW w:w="3995" w:type="dxa"/>
          </w:tcPr>
          <w:p>
            <w:pPr>
              <w:pStyle w:val="445"/>
              <w:spacing w:before="88"/>
              <w:rPr>
                <w:rFonts w:ascii="宋体" w:hAnsi="宋体" w:eastAsia="宋体" w:cs="宋体"/>
                <w:sz w:val="24"/>
              </w:rPr>
            </w:pPr>
            <w:r>
              <w:rPr>
                <w:rFonts w:hint="eastAsia" w:ascii="宋体" w:hAnsi="宋体" w:eastAsia="宋体" w:cs="宋体"/>
                <w:sz w:val="24"/>
              </w:rPr>
              <w:t>光学双目定位相机重量</w:t>
            </w:r>
          </w:p>
        </w:tc>
        <w:tc>
          <w:tcPr>
            <w:tcW w:w="4806" w:type="dxa"/>
          </w:tcPr>
          <w:p>
            <w:pPr>
              <w:pStyle w:val="445"/>
              <w:spacing w:before="88"/>
              <w:rPr>
                <w:rFonts w:ascii="宋体" w:hAnsi="宋体" w:eastAsia="宋体" w:cs="宋体"/>
                <w:sz w:val="24"/>
              </w:rPr>
            </w:pPr>
            <w:r>
              <w:rPr>
                <w:rFonts w:hint="eastAsia" w:ascii="宋体" w:hAnsi="宋体" w:eastAsia="宋体" w:cs="宋体"/>
                <w:sz w:val="24"/>
              </w:rPr>
              <w:t>≤1.7kg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90"/>
              <w:rPr>
                <w:rFonts w:ascii="宋体" w:hAnsi="宋体" w:eastAsia="宋体" w:cs="宋体"/>
                <w:sz w:val="24"/>
              </w:rPr>
            </w:pPr>
            <w:r>
              <w:rPr>
                <w:rFonts w:hint="eastAsia" w:ascii="宋体" w:hAnsi="宋体" w:eastAsia="宋体" w:cs="宋体"/>
                <w:sz w:val="24"/>
              </w:rPr>
              <w:t>3.6</w:t>
            </w:r>
          </w:p>
        </w:tc>
        <w:tc>
          <w:tcPr>
            <w:tcW w:w="3995" w:type="dxa"/>
          </w:tcPr>
          <w:p>
            <w:pPr>
              <w:pStyle w:val="445"/>
              <w:spacing w:before="90"/>
              <w:rPr>
                <w:rFonts w:ascii="宋体" w:hAnsi="宋体" w:eastAsia="宋体" w:cs="宋体"/>
                <w:sz w:val="24"/>
              </w:rPr>
            </w:pPr>
            <w:r>
              <w:rPr>
                <w:rFonts w:hint="eastAsia" w:ascii="宋体" w:hAnsi="宋体" w:eastAsia="宋体" w:cs="宋体"/>
                <w:sz w:val="24"/>
              </w:rPr>
              <w:t>最大追踪范围</w:t>
            </w:r>
          </w:p>
        </w:tc>
        <w:tc>
          <w:tcPr>
            <w:tcW w:w="4806" w:type="dxa"/>
          </w:tcPr>
          <w:p>
            <w:pPr>
              <w:pStyle w:val="445"/>
              <w:spacing w:before="90"/>
              <w:rPr>
                <w:rFonts w:ascii="宋体" w:hAnsi="宋体" w:eastAsia="宋体" w:cs="宋体"/>
                <w:sz w:val="24"/>
              </w:rPr>
            </w:pPr>
            <w:r>
              <w:rPr>
                <w:rFonts w:hint="eastAsia" w:ascii="宋体" w:hAnsi="宋体" w:eastAsia="宋体" w:cs="宋体"/>
                <w:sz w:val="24"/>
              </w:rPr>
              <w:t>≥3000mm×1800mm ×1400mm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1"/>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3.7</w:t>
            </w:r>
          </w:p>
        </w:tc>
        <w:tc>
          <w:tcPr>
            <w:tcW w:w="3995" w:type="dxa"/>
          </w:tcPr>
          <w:p>
            <w:pPr>
              <w:pStyle w:val="445"/>
              <w:spacing w:before="88" w:line="343" w:lineRule="auto"/>
              <w:ind w:left="108" w:right="172"/>
              <w:rPr>
                <w:rFonts w:ascii="宋体" w:hAnsi="宋体" w:eastAsia="宋体" w:cs="宋体"/>
                <w:sz w:val="24"/>
              </w:rPr>
            </w:pPr>
            <w:r>
              <w:rPr>
                <w:rFonts w:hint="eastAsia" w:ascii="宋体" w:hAnsi="宋体" w:eastAsia="宋体" w:cs="宋体"/>
                <w:sz w:val="24"/>
              </w:rPr>
              <w:t>光学定位系统具备监视器，且可</w:t>
            </w:r>
            <w:r>
              <w:rPr>
                <w:rFonts w:hint="eastAsia" w:ascii="宋体" w:hAnsi="宋体" w:eastAsia="宋体" w:cs="宋体"/>
                <w:spacing w:val="7"/>
                <w:sz w:val="24"/>
              </w:rPr>
              <w:t xml:space="preserve">平移和转动 </w:t>
            </w:r>
            <w:r>
              <w:rPr>
                <w:rFonts w:hint="eastAsia" w:ascii="宋体" w:hAnsi="宋体" w:eastAsia="宋体" w:cs="宋体"/>
                <w:sz w:val="24"/>
              </w:rPr>
              <w:t>（</w:t>
            </w:r>
            <w:r>
              <w:rPr>
                <w:rFonts w:hint="eastAsia" w:ascii="宋体" w:hAnsi="宋体" w:eastAsia="宋体" w:cs="宋体"/>
                <w:spacing w:val="-3"/>
                <w:sz w:val="24"/>
              </w:rPr>
              <w:t>并且可以进行水平</w:t>
            </w:r>
          </w:p>
          <w:p>
            <w:pPr>
              <w:pStyle w:val="445"/>
              <w:spacing w:line="435" w:lineRule="exact"/>
              <w:ind w:left="108"/>
              <w:rPr>
                <w:rFonts w:ascii="宋体" w:hAnsi="宋体" w:eastAsia="宋体" w:cs="宋体"/>
                <w:sz w:val="24"/>
              </w:rPr>
            </w:pPr>
            <w:r>
              <w:rPr>
                <w:rFonts w:hint="eastAsia" w:ascii="宋体" w:hAnsi="宋体" w:eastAsia="宋体" w:cs="宋体"/>
                <w:sz w:val="24"/>
              </w:rPr>
              <w:t>调节、垂直调节、俯仰角调节）</w:t>
            </w:r>
          </w:p>
        </w:tc>
        <w:tc>
          <w:tcPr>
            <w:tcW w:w="4806" w:type="dxa"/>
          </w:tcPr>
          <w:p>
            <w:pPr>
              <w:pStyle w:val="445"/>
              <w:spacing w:before="1"/>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3.8</w:t>
            </w:r>
          </w:p>
        </w:tc>
        <w:tc>
          <w:tcPr>
            <w:tcW w:w="3995" w:type="dxa"/>
          </w:tcPr>
          <w:p>
            <w:pPr>
              <w:pStyle w:val="445"/>
              <w:spacing w:before="88"/>
              <w:rPr>
                <w:rFonts w:ascii="宋体" w:hAnsi="宋体" w:eastAsia="宋体" w:cs="宋体"/>
                <w:sz w:val="24"/>
              </w:rPr>
            </w:pPr>
            <w:r>
              <w:rPr>
                <w:rFonts w:hint="eastAsia" w:ascii="宋体" w:hAnsi="宋体" w:eastAsia="宋体" w:cs="宋体"/>
                <w:sz w:val="24"/>
              </w:rPr>
              <w:t>监视器尺寸</w:t>
            </w:r>
          </w:p>
        </w:tc>
        <w:tc>
          <w:tcPr>
            <w:tcW w:w="4806" w:type="dxa"/>
          </w:tcPr>
          <w:p>
            <w:pPr>
              <w:pStyle w:val="445"/>
              <w:spacing w:before="88"/>
              <w:rPr>
                <w:rFonts w:ascii="宋体" w:hAnsi="宋体" w:eastAsia="宋体" w:cs="宋体"/>
                <w:sz w:val="24"/>
              </w:rPr>
            </w:pPr>
            <w:r>
              <w:rPr>
                <w:rFonts w:hint="eastAsia" w:ascii="宋体" w:hAnsi="宋体" w:eastAsia="宋体" w:cs="宋体"/>
                <w:sz w:val="24"/>
              </w:rPr>
              <w:t>≥27 英寸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17"/>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3.9</w:t>
            </w:r>
          </w:p>
        </w:tc>
        <w:tc>
          <w:tcPr>
            <w:tcW w:w="3995" w:type="dxa"/>
          </w:tcPr>
          <w:p>
            <w:pPr>
              <w:pStyle w:val="445"/>
              <w:spacing w:before="88"/>
              <w:ind w:left="108"/>
              <w:rPr>
                <w:rFonts w:ascii="宋体" w:hAnsi="宋体" w:eastAsia="宋体" w:cs="宋体"/>
                <w:sz w:val="24"/>
              </w:rPr>
            </w:pPr>
            <w:r>
              <w:rPr>
                <w:rFonts w:hint="eastAsia" w:ascii="宋体" w:hAnsi="宋体" w:eastAsia="宋体" w:cs="宋体"/>
                <w:sz w:val="24"/>
              </w:rPr>
              <w:t>具备光学定位系统台车，可任意</w:t>
            </w:r>
          </w:p>
          <w:p>
            <w:pPr>
              <w:pStyle w:val="445"/>
              <w:spacing w:before="187"/>
              <w:ind w:left="108"/>
              <w:rPr>
                <w:rFonts w:ascii="宋体" w:hAnsi="宋体" w:eastAsia="宋体" w:cs="宋体"/>
                <w:sz w:val="24"/>
              </w:rPr>
            </w:pPr>
            <w:r>
              <w:rPr>
                <w:rFonts w:hint="eastAsia" w:ascii="宋体" w:hAnsi="宋体" w:eastAsia="宋体" w:cs="宋体"/>
                <w:sz w:val="24"/>
              </w:rPr>
              <w:t>调整光学定位系统的位置。</w:t>
            </w:r>
          </w:p>
        </w:tc>
        <w:tc>
          <w:tcPr>
            <w:tcW w:w="4806" w:type="dxa"/>
          </w:tcPr>
          <w:p>
            <w:pPr>
              <w:pStyle w:val="445"/>
              <w:spacing w:before="17"/>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17"/>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3.10</w:t>
            </w:r>
          </w:p>
        </w:tc>
        <w:tc>
          <w:tcPr>
            <w:tcW w:w="3995" w:type="dxa"/>
          </w:tcPr>
          <w:p>
            <w:pPr>
              <w:pStyle w:val="445"/>
              <w:spacing w:before="88"/>
              <w:ind w:left="108"/>
              <w:rPr>
                <w:rFonts w:ascii="宋体" w:hAnsi="宋体" w:eastAsia="宋体" w:cs="宋体"/>
                <w:sz w:val="24"/>
              </w:rPr>
            </w:pPr>
            <w:r>
              <w:rPr>
                <w:rFonts w:hint="eastAsia" w:ascii="宋体" w:hAnsi="宋体" w:eastAsia="宋体" w:cs="宋体"/>
                <w:sz w:val="24"/>
              </w:rPr>
              <w:t>具备双目位置传感器发射的红外</w:t>
            </w:r>
          </w:p>
          <w:p>
            <w:pPr>
              <w:pStyle w:val="445"/>
              <w:spacing w:before="187"/>
              <w:ind w:left="108"/>
              <w:rPr>
                <w:rFonts w:ascii="宋体" w:hAnsi="宋体" w:eastAsia="宋体" w:cs="宋体"/>
                <w:sz w:val="24"/>
              </w:rPr>
            </w:pPr>
            <w:r>
              <w:rPr>
                <w:rFonts w:hint="eastAsia" w:ascii="宋体" w:hAnsi="宋体" w:eastAsia="宋体" w:cs="宋体"/>
                <w:sz w:val="24"/>
              </w:rPr>
              <w:t>光系统</w:t>
            </w:r>
          </w:p>
        </w:tc>
        <w:tc>
          <w:tcPr>
            <w:tcW w:w="4806" w:type="dxa"/>
          </w:tcPr>
          <w:p>
            <w:pPr>
              <w:pStyle w:val="445"/>
              <w:spacing w:before="17"/>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193" w:type="dxa"/>
            <w:gridSpan w:val="3"/>
          </w:tcPr>
          <w:p>
            <w:pPr>
              <w:pStyle w:val="445"/>
              <w:ind w:left="108"/>
              <w:rPr>
                <w:rFonts w:ascii="宋体" w:hAnsi="宋体" w:eastAsia="宋体" w:cs="宋体"/>
                <w:sz w:val="24"/>
              </w:rPr>
            </w:pPr>
            <w:r>
              <w:rPr>
                <w:rFonts w:hint="eastAsia" w:ascii="宋体" w:hAnsi="宋体" w:eastAsia="宋体" w:cs="宋体"/>
                <w:sz w:val="24"/>
              </w:rPr>
              <w:t>4. 导航控制系统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90"/>
              <w:rPr>
                <w:rFonts w:ascii="宋体" w:hAnsi="宋体" w:eastAsia="宋体" w:cs="宋体"/>
                <w:sz w:val="24"/>
              </w:rPr>
            </w:pPr>
            <w:r>
              <w:rPr>
                <w:rFonts w:hint="eastAsia" w:ascii="宋体" w:hAnsi="宋体" w:eastAsia="宋体" w:cs="宋体"/>
                <w:sz w:val="24"/>
              </w:rPr>
              <w:t>4.1</w:t>
            </w:r>
          </w:p>
        </w:tc>
        <w:tc>
          <w:tcPr>
            <w:tcW w:w="3995" w:type="dxa"/>
          </w:tcPr>
          <w:p>
            <w:pPr>
              <w:pStyle w:val="445"/>
              <w:spacing w:before="90"/>
              <w:ind w:left="108"/>
              <w:rPr>
                <w:rFonts w:ascii="宋体" w:hAnsi="宋体" w:eastAsia="宋体" w:cs="宋体"/>
                <w:sz w:val="24"/>
              </w:rPr>
            </w:pPr>
            <w:r>
              <w:rPr>
                <w:rFonts w:hint="eastAsia" w:ascii="宋体" w:hAnsi="宋体" w:eastAsia="宋体" w:cs="宋体"/>
                <w:sz w:val="24"/>
              </w:rPr>
              <w:t>计算机 CPU 主频</w:t>
            </w:r>
          </w:p>
        </w:tc>
        <w:tc>
          <w:tcPr>
            <w:tcW w:w="4806" w:type="dxa"/>
          </w:tcPr>
          <w:p>
            <w:pPr>
              <w:pStyle w:val="445"/>
              <w:spacing w:before="90"/>
              <w:ind w:left="108"/>
              <w:rPr>
                <w:rFonts w:ascii="宋体" w:hAnsi="宋体" w:eastAsia="宋体" w:cs="宋体"/>
                <w:sz w:val="24"/>
              </w:rPr>
            </w:pPr>
            <w:r>
              <w:rPr>
                <w:rFonts w:hint="eastAsia" w:ascii="宋体" w:hAnsi="宋体" w:eastAsia="宋体" w:cs="宋体"/>
                <w:sz w:val="24"/>
              </w:rPr>
              <w:t>≥2.5GHz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4.2</w:t>
            </w:r>
          </w:p>
        </w:tc>
        <w:tc>
          <w:tcPr>
            <w:tcW w:w="3995" w:type="dxa"/>
          </w:tcPr>
          <w:p>
            <w:pPr>
              <w:pStyle w:val="445"/>
              <w:spacing w:before="88"/>
              <w:rPr>
                <w:rFonts w:ascii="宋体" w:hAnsi="宋体" w:eastAsia="宋体" w:cs="宋体"/>
                <w:sz w:val="24"/>
              </w:rPr>
            </w:pPr>
            <w:r>
              <w:rPr>
                <w:rFonts w:hint="eastAsia" w:ascii="宋体" w:hAnsi="宋体" w:eastAsia="宋体" w:cs="宋体"/>
                <w:sz w:val="24"/>
              </w:rPr>
              <w:t>计算机内存容量</w:t>
            </w:r>
          </w:p>
        </w:tc>
        <w:tc>
          <w:tcPr>
            <w:tcW w:w="4806" w:type="dxa"/>
          </w:tcPr>
          <w:p>
            <w:pPr>
              <w:pStyle w:val="445"/>
              <w:spacing w:before="88"/>
              <w:rPr>
                <w:rFonts w:ascii="宋体" w:hAnsi="宋体" w:eastAsia="宋体" w:cs="宋体"/>
                <w:sz w:val="24"/>
              </w:rPr>
            </w:pPr>
            <w:r>
              <w:rPr>
                <w:rFonts w:hint="eastAsia" w:ascii="宋体" w:hAnsi="宋体" w:eastAsia="宋体" w:cs="宋体"/>
                <w:sz w:val="24"/>
              </w:rPr>
              <w:t>≥16G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4.3</w:t>
            </w:r>
          </w:p>
        </w:tc>
        <w:tc>
          <w:tcPr>
            <w:tcW w:w="3995" w:type="dxa"/>
          </w:tcPr>
          <w:p>
            <w:pPr>
              <w:pStyle w:val="445"/>
              <w:spacing w:before="88"/>
              <w:rPr>
                <w:rFonts w:ascii="宋体" w:hAnsi="宋体" w:eastAsia="宋体" w:cs="宋体"/>
                <w:sz w:val="24"/>
              </w:rPr>
            </w:pPr>
            <w:r>
              <w:rPr>
                <w:rFonts w:hint="eastAsia" w:ascii="宋体" w:hAnsi="宋体" w:eastAsia="宋体" w:cs="宋体"/>
                <w:sz w:val="24"/>
              </w:rPr>
              <w:t>计算机硬盘容量</w:t>
            </w:r>
          </w:p>
        </w:tc>
        <w:tc>
          <w:tcPr>
            <w:tcW w:w="4806" w:type="dxa"/>
          </w:tcPr>
          <w:p>
            <w:pPr>
              <w:pStyle w:val="445"/>
              <w:spacing w:before="88"/>
              <w:rPr>
                <w:rFonts w:ascii="宋体" w:hAnsi="宋体" w:eastAsia="宋体" w:cs="宋体"/>
                <w:sz w:val="24"/>
              </w:rPr>
            </w:pPr>
            <w:r>
              <w:rPr>
                <w:rFonts w:hint="eastAsia" w:ascii="宋体" w:hAnsi="宋体" w:eastAsia="宋体" w:cs="宋体"/>
                <w:sz w:val="24"/>
              </w:rPr>
              <w:t>≥1000GB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4.4</w:t>
            </w:r>
          </w:p>
        </w:tc>
        <w:tc>
          <w:tcPr>
            <w:tcW w:w="3995" w:type="dxa"/>
          </w:tcPr>
          <w:p>
            <w:pPr>
              <w:pStyle w:val="445"/>
              <w:spacing w:before="88"/>
              <w:ind w:left="108"/>
              <w:rPr>
                <w:rFonts w:ascii="宋体" w:hAnsi="宋体" w:eastAsia="宋体" w:cs="宋体"/>
                <w:sz w:val="24"/>
              </w:rPr>
            </w:pPr>
            <w:r>
              <w:rPr>
                <w:rFonts w:hint="eastAsia" w:ascii="宋体" w:hAnsi="宋体" w:eastAsia="宋体" w:cs="宋体"/>
                <w:sz w:val="24"/>
              </w:rPr>
              <w:t>显示器的分辨率</w:t>
            </w:r>
          </w:p>
        </w:tc>
        <w:tc>
          <w:tcPr>
            <w:tcW w:w="4806" w:type="dxa"/>
          </w:tcPr>
          <w:p>
            <w:pPr>
              <w:pStyle w:val="445"/>
              <w:spacing w:before="88"/>
              <w:ind w:left="108"/>
              <w:rPr>
                <w:rFonts w:ascii="宋体" w:hAnsi="宋体" w:eastAsia="宋体" w:cs="宋体"/>
                <w:sz w:val="24"/>
              </w:rPr>
            </w:pPr>
            <w:r>
              <w:rPr>
                <w:rFonts w:hint="eastAsia" w:ascii="宋体" w:hAnsi="宋体" w:eastAsia="宋体" w:cs="宋体"/>
                <w:sz w:val="24"/>
              </w:rPr>
              <w:t>≥3840*2160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4.5</w:t>
            </w:r>
          </w:p>
        </w:tc>
        <w:tc>
          <w:tcPr>
            <w:tcW w:w="3995" w:type="dxa"/>
          </w:tcPr>
          <w:p>
            <w:pPr>
              <w:pStyle w:val="445"/>
              <w:spacing w:before="88"/>
              <w:rPr>
                <w:rFonts w:ascii="宋体" w:hAnsi="宋体" w:eastAsia="宋体" w:cs="宋体"/>
                <w:sz w:val="24"/>
              </w:rPr>
            </w:pPr>
            <w:r>
              <w:rPr>
                <w:rFonts w:hint="eastAsia" w:ascii="宋体" w:hAnsi="宋体" w:eastAsia="宋体" w:cs="宋体"/>
                <w:sz w:val="24"/>
              </w:rPr>
              <w:t>导航控制系统总尺寸</w:t>
            </w:r>
          </w:p>
        </w:tc>
        <w:tc>
          <w:tcPr>
            <w:tcW w:w="4806" w:type="dxa"/>
          </w:tcPr>
          <w:p>
            <w:pPr>
              <w:pStyle w:val="445"/>
              <w:spacing w:before="88"/>
              <w:rPr>
                <w:rFonts w:ascii="宋体" w:hAnsi="宋体" w:eastAsia="宋体" w:cs="宋体"/>
                <w:sz w:val="24"/>
              </w:rPr>
            </w:pPr>
            <w:r>
              <w:rPr>
                <w:rFonts w:hint="eastAsia" w:ascii="宋体" w:hAnsi="宋体" w:eastAsia="宋体" w:cs="宋体"/>
                <w:sz w:val="24"/>
              </w:rPr>
              <w:t>≤550mm×653mm×1800mm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4.6</w:t>
            </w:r>
          </w:p>
        </w:tc>
        <w:tc>
          <w:tcPr>
            <w:tcW w:w="3995" w:type="dxa"/>
          </w:tcPr>
          <w:p>
            <w:pPr>
              <w:pStyle w:val="445"/>
              <w:spacing w:before="88"/>
              <w:rPr>
                <w:rFonts w:ascii="宋体" w:hAnsi="宋体" w:eastAsia="宋体" w:cs="宋体"/>
                <w:sz w:val="24"/>
              </w:rPr>
            </w:pPr>
            <w:r>
              <w:rPr>
                <w:rFonts w:hint="eastAsia" w:ascii="宋体" w:hAnsi="宋体" w:eastAsia="宋体" w:cs="宋体"/>
                <w:sz w:val="24"/>
              </w:rPr>
              <w:t>导航控制系统总重量</w:t>
            </w:r>
          </w:p>
        </w:tc>
        <w:tc>
          <w:tcPr>
            <w:tcW w:w="4806" w:type="dxa"/>
          </w:tcPr>
          <w:p>
            <w:pPr>
              <w:pStyle w:val="445"/>
              <w:spacing w:before="88"/>
              <w:rPr>
                <w:rFonts w:ascii="宋体" w:hAnsi="宋体" w:eastAsia="宋体" w:cs="宋体"/>
                <w:sz w:val="24"/>
              </w:rPr>
            </w:pPr>
            <w:r>
              <w:rPr>
                <w:rFonts w:hint="eastAsia" w:ascii="宋体" w:hAnsi="宋体" w:eastAsia="宋体" w:cs="宋体"/>
                <w:sz w:val="24"/>
              </w:rPr>
              <w:t>≤51kg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90"/>
              <w:rPr>
                <w:rFonts w:ascii="宋体" w:hAnsi="宋体" w:eastAsia="宋体" w:cs="宋体"/>
                <w:sz w:val="24"/>
              </w:rPr>
            </w:pPr>
            <w:r>
              <w:rPr>
                <w:rFonts w:hint="eastAsia" w:ascii="宋体" w:hAnsi="宋体" w:eastAsia="宋体" w:cs="宋体"/>
                <w:sz w:val="24"/>
              </w:rPr>
              <w:t>4.7</w:t>
            </w:r>
          </w:p>
        </w:tc>
        <w:tc>
          <w:tcPr>
            <w:tcW w:w="3995" w:type="dxa"/>
          </w:tcPr>
          <w:p>
            <w:pPr>
              <w:pStyle w:val="445"/>
              <w:spacing w:before="90"/>
              <w:ind w:left="108"/>
              <w:rPr>
                <w:rFonts w:ascii="宋体" w:hAnsi="宋体" w:eastAsia="宋体" w:cs="宋体"/>
                <w:sz w:val="24"/>
              </w:rPr>
            </w:pPr>
            <w:r>
              <w:rPr>
                <w:rFonts w:hint="eastAsia" w:ascii="宋体" w:hAnsi="宋体" w:eastAsia="宋体" w:cs="宋体"/>
                <w:sz w:val="24"/>
              </w:rPr>
              <w:t>具备监视器，且可平移和转动</w:t>
            </w:r>
          </w:p>
        </w:tc>
        <w:tc>
          <w:tcPr>
            <w:tcW w:w="4806" w:type="dxa"/>
          </w:tcPr>
          <w:p>
            <w:pPr>
              <w:pStyle w:val="445"/>
              <w:spacing w:before="90"/>
              <w:ind w:left="108"/>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4.8</w:t>
            </w:r>
          </w:p>
        </w:tc>
        <w:tc>
          <w:tcPr>
            <w:tcW w:w="3995" w:type="dxa"/>
          </w:tcPr>
          <w:p>
            <w:pPr>
              <w:pStyle w:val="445"/>
              <w:spacing w:before="88"/>
              <w:rPr>
                <w:rFonts w:ascii="宋体" w:hAnsi="宋体" w:eastAsia="宋体" w:cs="宋体"/>
                <w:sz w:val="24"/>
              </w:rPr>
            </w:pPr>
            <w:r>
              <w:rPr>
                <w:rFonts w:hint="eastAsia" w:ascii="宋体" w:hAnsi="宋体" w:eastAsia="宋体" w:cs="宋体"/>
                <w:sz w:val="24"/>
              </w:rPr>
              <w:t>监视器尺寸</w:t>
            </w:r>
          </w:p>
        </w:tc>
        <w:tc>
          <w:tcPr>
            <w:tcW w:w="4806" w:type="dxa"/>
          </w:tcPr>
          <w:p>
            <w:pPr>
              <w:pStyle w:val="445"/>
              <w:spacing w:before="88"/>
              <w:rPr>
                <w:rFonts w:ascii="宋体" w:hAnsi="宋体" w:eastAsia="宋体" w:cs="宋体"/>
                <w:sz w:val="24"/>
              </w:rPr>
            </w:pPr>
            <w:r>
              <w:rPr>
                <w:rFonts w:hint="eastAsia" w:ascii="宋体" w:hAnsi="宋体" w:eastAsia="宋体" w:cs="宋体"/>
                <w:sz w:val="24"/>
              </w:rPr>
              <w:t>≥27 英寸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4.9</w:t>
            </w:r>
          </w:p>
        </w:tc>
        <w:tc>
          <w:tcPr>
            <w:tcW w:w="3995" w:type="dxa"/>
          </w:tcPr>
          <w:p>
            <w:pPr>
              <w:pStyle w:val="445"/>
              <w:spacing w:line="412" w:lineRule="exact"/>
              <w:ind w:left="108"/>
              <w:rPr>
                <w:rFonts w:ascii="宋体" w:hAnsi="宋体" w:eastAsia="宋体" w:cs="宋体"/>
                <w:sz w:val="24"/>
              </w:rPr>
            </w:pPr>
            <w:r>
              <w:rPr>
                <w:rFonts w:hint="eastAsia" w:ascii="宋体" w:hAnsi="宋体" w:eastAsia="宋体" w:cs="宋体"/>
                <w:sz w:val="24"/>
              </w:rPr>
              <w:t>支持硬件加密技术，提高设备使用的安全性</w:t>
            </w:r>
          </w:p>
        </w:tc>
        <w:tc>
          <w:tcPr>
            <w:tcW w:w="4806" w:type="dxa"/>
          </w:tcPr>
          <w:p>
            <w:pPr>
              <w:pStyle w:val="445"/>
              <w:spacing w:before="88"/>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1"/>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4.10</w:t>
            </w:r>
          </w:p>
        </w:tc>
        <w:tc>
          <w:tcPr>
            <w:tcW w:w="3995" w:type="dxa"/>
          </w:tcPr>
          <w:p>
            <w:pPr>
              <w:pStyle w:val="445"/>
              <w:spacing w:before="1"/>
              <w:ind w:left="0"/>
              <w:rPr>
                <w:rFonts w:ascii="宋体" w:hAnsi="宋体" w:eastAsia="宋体" w:cs="宋体"/>
                <w:sz w:val="24"/>
              </w:rPr>
            </w:pPr>
          </w:p>
          <w:p>
            <w:pPr>
              <w:pStyle w:val="445"/>
              <w:ind w:left="108"/>
              <w:rPr>
                <w:rFonts w:ascii="宋体" w:hAnsi="宋体" w:eastAsia="宋体" w:cs="宋体"/>
                <w:sz w:val="24"/>
              </w:rPr>
            </w:pPr>
            <w:r>
              <w:rPr>
                <w:rFonts w:hint="eastAsia" w:ascii="宋体" w:hAnsi="宋体" w:eastAsia="宋体" w:cs="宋体"/>
                <w:sz w:val="24"/>
              </w:rPr>
              <w:t>系统运行软件</w:t>
            </w:r>
          </w:p>
        </w:tc>
        <w:tc>
          <w:tcPr>
            <w:tcW w:w="4806" w:type="dxa"/>
          </w:tcPr>
          <w:p>
            <w:pPr>
              <w:pStyle w:val="445"/>
              <w:spacing w:before="90"/>
              <w:rPr>
                <w:rFonts w:ascii="宋体" w:hAnsi="宋体" w:eastAsia="宋体" w:cs="宋体"/>
                <w:sz w:val="24"/>
              </w:rPr>
            </w:pPr>
            <w:r>
              <w:rPr>
                <w:rFonts w:hint="eastAsia" w:ascii="宋体" w:hAnsi="宋体" w:eastAsia="宋体" w:cs="宋体"/>
                <w:sz w:val="24"/>
              </w:rPr>
              <w:t>Linux 系统，相较于 Windows 系统，更加安</w:t>
            </w:r>
          </w:p>
          <w:p>
            <w:pPr>
              <w:pStyle w:val="445"/>
              <w:spacing w:before="187"/>
              <w:rPr>
                <w:rFonts w:ascii="宋体" w:hAnsi="宋体" w:eastAsia="宋体" w:cs="宋体"/>
                <w:sz w:val="24"/>
              </w:rPr>
            </w:pPr>
            <w:r>
              <w:rPr>
                <w:rFonts w:hint="eastAsia" w:ascii="宋体" w:hAnsi="宋体" w:eastAsia="宋体" w:cs="宋体"/>
                <w:sz w:val="24"/>
              </w:rPr>
              <w:t>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193" w:type="dxa"/>
            <w:gridSpan w:val="3"/>
          </w:tcPr>
          <w:p>
            <w:pPr>
              <w:pStyle w:val="445"/>
              <w:ind w:left="108"/>
              <w:rPr>
                <w:rFonts w:ascii="宋体" w:hAnsi="宋体" w:eastAsia="宋体" w:cs="宋体"/>
                <w:sz w:val="24"/>
              </w:rPr>
            </w:pPr>
            <w:r>
              <w:rPr>
                <w:rFonts w:hint="eastAsia" w:ascii="宋体" w:hAnsi="宋体" w:eastAsia="宋体" w:cs="宋体"/>
                <w:sz w:val="24"/>
              </w:rPr>
              <w:t>5.术中导航软件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5.1</w:t>
            </w:r>
          </w:p>
        </w:tc>
        <w:tc>
          <w:tcPr>
            <w:tcW w:w="3995" w:type="dxa"/>
          </w:tcPr>
          <w:p>
            <w:pPr>
              <w:pStyle w:val="445"/>
              <w:spacing w:before="88"/>
              <w:ind w:left="108"/>
              <w:rPr>
                <w:rFonts w:ascii="宋体" w:hAnsi="宋体" w:eastAsia="宋体" w:cs="宋体"/>
                <w:sz w:val="24"/>
              </w:rPr>
            </w:pPr>
            <w:r>
              <w:rPr>
                <w:rFonts w:hint="eastAsia" w:ascii="宋体" w:hAnsi="宋体" w:eastAsia="宋体" w:cs="宋体"/>
                <w:sz w:val="24"/>
              </w:rPr>
              <w:t>具备全中文操控界面</w:t>
            </w:r>
          </w:p>
        </w:tc>
        <w:tc>
          <w:tcPr>
            <w:tcW w:w="4806" w:type="dxa"/>
          </w:tcPr>
          <w:p>
            <w:pPr>
              <w:pStyle w:val="445"/>
              <w:spacing w:before="88"/>
              <w:ind w:left="108"/>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88"/>
              <w:rPr>
                <w:rFonts w:ascii="宋体" w:hAnsi="宋体" w:eastAsia="宋体" w:cs="宋体"/>
                <w:sz w:val="24"/>
              </w:rPr>
            </w:pPr>
            <w:r>
              <w:rPr>
                <w:rFonts w:hint="eastAsia" w:ascii="宋体" w:hAnsi="宋体" w:eastAsia="宋体" w:cs="宋体"/>
                <w:sz w:val="24"/>
              </w:rPr>
              <w:t>5.2</w:t>
            </w:r>
          </w:p>
        </w:tc>
        <w:tc>
          <w:tcPr>
            <w:tcW w:w="3995" w:type="dxa"/>
          </w:tcPr>
          <w:p>
            <w:pPr>
              <w:pStyle w:val="445"/>
              <w:spacing w:before="88"/>
              <w:rPr>
                <w:rFonts w:ascii="宋体" w:hAnsi="宋体" w:eastAsia="宋体" w:cs="宋体"/>
                <w:sz w:val="24"/>
              </w:rPr>
            </w:pPr>
            <w:r>
              <w:rPr>
                <w:rFonts w:hint="eastAsia" w:ascii="宋体" w:hAnsi="宋体" w:eastAsia="宋体" w:cs="宋体"/>
                <w:sz w:val="24"/>
              </w:rPr>
              <w:t>具备系统的用户登录设置与管理</w:t>
            </w:r>
          </w:p>
        </w:tc>
        <w:tc>
          <w:tcPr>
            <w:tcW w:w="4806" w:type="dxa"/>
          </w:tcPr>
          <w:p>
            <w:pPr>
              <w:pStyle w:val="445"/>
              <w:spacing w:before="88"/>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rPr>
                <w:rFonts w:ascii="宋体" w:hAnsi="宋体" w:eastAsia="宋体" w:cs="宋体"/>
                <w:sz w:val="24"/>
              </w:rPr>
            </w:pPr>
            <w:r>
              <w:rPr>
                <w:rFonts w:hint="eastAsia" w:ascii="宋体" w:hAnsi="宋体" w:eastAsia="宋体" w:cs="宋体"/>
                <w:sz w:val="24"/>
              </w:rPr>
              <w:t>5.3</w:t>
            </w:r>
          </w:p>
        </w:tc>
        <w:tc>
          <w:tcPr>
            <w:tcW w:w="3995" w:type="dxa"/>
          </w:tcPr>
          <w:p>
            <w:pPr>
              <w:pStyle w:val="445"/>
              <w:spacing w:before="88"/>
              <w:ind w:left="108"/>
              <w:rPr>
                <w:rFonts w:ascii="宋体" w:hAnsi="宋体" w:eastAsia="宋体" w:cs="宋体"/>
                <w:sz w:val="24"/>
              </w:rPr>
            </w:pPr>
            <w:r>
              <w:rPr>
                <w:rFonts w:hint="eastAsia" w:ascii="宋体" w:hAnsi="宋体" w:eastAsia="宋体" w:cs="宋体"/>
                <w:sz w:val="24"/>
              </w:rPr>
              <w:t>具备手术方案管理，可以添加与删除手术规划</w:t>
            </w:r>
          </w:p>
        </w:tc>
        <w:tc>
          <w:tcPr>
            <w:tcW w:w="4806" w:type="dxa"/>
          </w:tcPr>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90"/>
              <w:rPr>
                <w:rFonts w:ascii="宋体" w:hAnsi="宋体" w:eastAsia="宋体" w:cs="宋体"/>
                <w:sz w:val="24"/>
              </w:rPr>
            </w:pPr>
            <w:r>
              <w:rPr>
                <w:rFonts w:hint="eastAsia" w:ascii="宋体" w:hAnsi="宋体" w:eastAsia="宋体" w:cs="宋体"/>
                <w:sz w:val="24"/>
              </w:rPr>
              <w:t>5.4</w:t>
            </w:r>
          </w:p>
        </w:tc>
        <w:tc>
          <w:tcPr>
            <w:tcW w:w="3995" w:type="dxa"/>
          </w:tcPr>
          <w:p>
            <w:pPr>
              <w:pStyle w:val="445"/>
              <w:spacing w:before="90"/>
              <w:rPr>
                <w:rFonts w:ascii="宋体" w:hAnsi="宋体" w:eastAsia="宋体" w:cs="宋体"/>
                <w:sz w:val="24"/>
              </w:rPr>
            </w:pPr>
            <w:r>
              <w:rPr>
                <w:rFonts w:hint="eastAsia" w:ascii="宋体" w:hAnsi="宋体" w:eastAsia="宋体" w:cs="宋体"/>
                <w:sz w:val="24"/>
              </w:rPr>
              <w:t>可以支持手术预览功能</w:t>
            </w:r>
          </w:p>
        </w:tc>
        <w:tc>
          <w:tcPr>
            <w:tcW w:w="4806" w:type="dxa"/>
          </w:tcPr>
          <w:p>
            <w:pPr>
              <w:pStyle w:val="445"/>
              <w:spacing w:before="90"/>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rPr>
                <w:rFonts w:ascii="宋体" w:hAnsi="宋体" w:eastAsia="宋体" w:cs="宋体"/>
                <w:sz w:val="24"/>
              </w:rPr>
            </w:pPr>
            <w:r>
              <w:rPr>
                <w:rFonts w:hint="eastAsia" w:ascii="宋体" w:hAnsi="宋体" w:eastAsia="宋体" w:cs="宋体"/>
                <w:sz w:val="24"/>
              </w:rPr>
              <w:t>5.4.1</w:t>
            </w:r>
          </w:p>
        </w:tc>
        <w:tc>
          <w:tcPr>
            <w:tcW w:w="3995" w:type="dxa"/>
          </w:tcPr>
          <w:p>
            <w:pPr>
              <w:pStyle w:val="445"/>
              <w:spacing w:before="88"/>
              <w:ind w:left="108" w:right="52"/>
              <w:rPr>
                <w:rFonts w:ascii="宋体" w:hAnsi="宋体" w:eastAsia="宋体" w:cs="宋体"/>
                <w:sz w:val="24"/>
              </w:rPr>
            </w:pPr>
            <w:r>
              <w:rPr>
                <w:rFonts w:hint="eastAsia" w:ascii="宋体" w:hAnsi="宋体" w:eastAsia="宋体" w:cs="宋体"/>
                <w:sz w:val="24"/>
              </w:rPr>
              <w:t>具备预览患者髋骨、股骨三维模型和假体安装效果，支持显示/隐藏髋骨、左右股骨、髋臼杯、内衬、球头和股骨柄模型。</w:t>
            </w:r>
          </w:p>
        </w:tc>
        <w:tc>
          <w:tcPr>
            <w:tcW w:w="4806" w:type="dxa"/>
          </w:tcPr>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rPr>
                <w:rFonts w:ascii="宋体" w:hAnsi="宋体" w:eastAsia="宋体" w:cs="宋体"/>
                <w:sz w:val="24"/>
              </w:rPr>
            </w:pPr>
            <w:r>
              <w:rPr>
                <w:rFonts w:hint="eastAsia" w:ascii="宋体" w:hAnsi="宋体" w:eastAsia="宋体" w:cs="宋体"/>
                <w:sz w:val="24"/>
              </w:rPr>
              <w:t>5.4.2</w:t>
            </w:r>
          </w:p>
        </w:tc>
        <w:tc>
          <w:tcPr>
            <w:tcW w:w="3995" w:type="dxa"/>
          </w:tcPr>
          <w:p>
            <w:pPr>
              <w:pStyle w:val="445"/>
              <w:spacing w:before="88"/>
              <w:ind w:left="108"/>
              <w:rPr>
                <w:rFonts w:ascii="宋体" w:hAnsi="宋体" w:eastAsia="宋体" w:cs="宋体"/>
                <w:sz w:val="24"/>
              </w:rPr>
            </w:pPr>
            <w:r>
              <w:rPr>
                <w:rFonts w:hint="eastAsia" w:ascii="宋体" w:hAnsi="宋体" w:eastAsia="宋体" w:cs="宋体"/>
                <w:sz w:val="24"/>
              </w:rPr>
              <w:t>具备调整假体的角度、尺寸以及深度数值。</w:t>
            </w:r>
          </w:p>
        </w:tc>
        <w:tc>
          <w:tcPr>
            <w:tcW w:w="4806" w:type="dxa"/>
          </w:tcPr>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rPr>
                <w:rFonts w:ascii="宋体" w:hAnsi="宋体" w:eastAsia="宋体" w:cs="宋体"/>
                <w:sz w:val="24"/>
              </w:rPr>
            </w:pPr>
            <w:r>
              <w:rPr>
                <w:rFonts w:hint="eastAsia" w:ascii="宋体" w:hAnsi="宋体" w:eastAsia="宋体" w:cs="宋体"/>
                <w:sz w:val="24"/>
              </w:rPr>
              <w:t>5.4.3</w:t>
            </w:r>
          </w:p>
        </w:tc>
        <w:tc>
          <w:tcPr>
            <w:tcW w:w="3995" w:type="dxa"/>
          </w:tcPr>
          <w:p>
            <w:pPr>
              <w:pStyle w:val="445"/>
              <w:spacing w:before="88"/>
              <w:ind w:left="108"/>
              <w:rPr>
                <w:rFonts w:ascii="宋体" w:hAnsi="宋体" w:eastAsia="宋体" w:cs="宋体"/>
                <w:sz w:val="24"/>
              </w:rPr>
            </w:pPr>
            <w:r>
              <w:rPr>
                <w:rFonts w:hint="eastAsia" w:ascii="宋体" w:hAnsi="宋体" w:eastAsia="宋体" w:cs="宋体"/>
                <w:sz w:val="24"/>
              </w:rPr>
              <w:t>具备二维影像与三维影像融合显示模式</w:t>
            </w:r>
          </w:p>
        </w:tc>
        <w:tc>
          <w:tcPr>
            <w:tcW w:w="4806" w:type="dxa"/>
          </w:tcPr>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2" w:type="dxa"/>
          </w:tcPr>
          <w:p>
            <w:pPr>
              <w:pStyle w:val="445"/>
              <w:spacing w:before="88"/>
              <w:rPr>
                <w:rFonts w:ascii="宋体" w:hAnsi="宋体" w:eastAsia="宋体" w:cs="宋体"/>
                <w:sz w:val="24"/>
              </w:rPr>
            </w:pPr>
            <w:r>
              <w:rPr>
                <w:rFonts w:hint="eastAsia" w:ascii="宋体" w:hAnsi="宋体" w:eastAsia="宋体" w:cs="宋体"/>
                <w:sz w:val="24"/>
              </w:rPr>
              <w:t>5.4.4</w:t>
            </w:r>
          </w:p>
        </w:tc>
        <w:tc>
          <w:tcPr>
            <w:tcW w:w="3995" w:type="dxa"/>
          </w:tcPr>
          <w:p>
            <w:pPr>
              <w:pStyle w:val="445"/>
              <w:spacing w:before="88"/>
              <w:ind w:left="108"/>
              <w:rPr>
                <w:rFonts w:ascii="宋体" w:hAnsi="宋体" w:eastAsia="宋体" w:cs="宋体"/>
                <w:sz w:val="24"/>
              </w:rPr>
            </w:pPr>
            <w:r>
              <w:rPr>
                <w:rFonts w:hint="eastAsia" w:ascii="宋体" w:hAnsi="宋体" w:eastAsia="宋体" w:cs="宋体"/>
                <w:sz w:val="24"/>
              </w:rPr>
              <w:t>具备三维影像的二维模拟显示</w:t>
            </w:r>
          </w:p>
        </w:tc>
        <w:tc>
          <w:tcPr>
            <w:tcW w:w="4806" w:type="dxa"/>
          </w:tcPr>
          <w:p>
            <w:pPr>
              <w:pStyle w:val="445"/>
              <w:spacing w:before="88"/>
              <w:ind w:left="108"/>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17"/>
              <w:ind w:left="0"/>
              <w:rPr>
                <w:rFonts w:ascii="宋体" w:hAnsi="宋体" w:eastAsia="宋体" w:cs="宋体"/>
                <w:sz w:val="24"/>
              </w:rPr>
            </w:pPr>
            <w:r>
              <w:rPr>
                <w:rFonts w:hint="eastAsia" w:ascii="宋体" w:hAnsi="宋体" w:eastAsia="宋体" w:cs="宋体"/>
                <w:sz w:val="24"/>
              </w:rPr>
              <w:t>5.5</w:t>
            </w:r>
          </w:p>
          <w:p>
            <w:pPr>
              <w:pStyle w:val="445"/>
              <w:rPr>
                <w:rFonts w:ascii="宋体" w:hAnsi="宋体" w:eastAsia="宋体" w:cs="宋体"/>
                <w:sz w:val="24"/>
              </w:rPr>
            </w:pPr>
          </w:p>
        </w:tc>
        <w:tc>
          <w:tcPr>
            <w:tcW w:w="3995" w:type="dxa"/>
          </w:tcPr>
          <w:p>
            <w:pPr>
              <w:pStyle w:val="445"/>
              <w:spacing w:before="88"/>
              <w:ind w:left="108"/>
              <w:rPr>
                <w:rFonts w:ascii="宋体" w:hAnsi="宋体" w:eastAsia="宋体" w:cs="宋体"/>
                <w:sz w:val="24"/>
              </w:rPr>
            </w:pPr>
            <w:r>
              <w:rPr>
                <w:rFonts w:hint="eastAsia" w:ascii="宋体" w:hAnsi="宋体" w:eastAsia="宋体" w:cs="宋体"/>
                <w:sz w:val="24"/>
              </w:rPr>
              <w:t>具备机械臂状态显示模块，实时提示操作者机械臂状态</w:t>
            </w:r>
          </w:p>
        </w:tc>
        <w:tc>
          <w:tcPr>
            <w:tcW w:w="4806" w:type="dxa"/>
          </w:tcPr>
          <w:p>
            <w:pPr>
              <w:pStyle w:val="445"/>
              <w:spacing w:before="17"/>
              <w:ind w:left="0"/>
              <w:rPr>
                <w:rFonts w:ascii="宋体" w:hAnsi="宋体" w:eastAsia="宋体" w:cs="宋体"/>
                <w:sz w:val="24"/>
              </w:rPr>
            </w:pPr>
            <w:r>
              <w:rPr>
                <w:rFonts w:hint="eastAsia" w:ascii="宋体" w:hAnsi="宋体" w:eastAsia="宋体" w:cs="宋体"/>
                <w:sz w:val="24"/>
              </w:rPr>
              <w:t>具备</w:t>
            </w:r>
          </w:p>
          <w:p>
            <w:pPr>
              <w:pStyle w:val="445"/>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1"/>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5.6</w:t>
            </w:r>
          </w:p>
        </w:tc>
        <w:tc>
          <w:tcPr>
            <w:tcW w:w="3995" w:type="dxa"/>
          </w:tcPr>
          <w:p>
            <w:pPr>
              <w:pStyle w:val="445"/>
              <w:spacing w:before="88"/>
              <w:ind w:left="108" w:right="292"/>
              <w:rPr>
                <w:rFonts w:ascii="宋体" w:hAnsi="宋体" w:eastAsia="宋体" w:cs="宋体"/>
                <w:sz w:val="24"/>
              </w:rPr>
            </w:pPr>
            <w:r>
              <w:rPr>
                <w:rFonts w:hint="eastAsia" w:ascii="宋体" w:hAnsi="宋体" w:eastAsia="宋体" w:cs="宋体"/>
                <w:sz w:val="24"/>
              </w:rPr>
              <w:t>具备智能遥操控功能模块，通过相应按钮切换手术机械臂的不同</w:t>
            </w:r>
          </w:p>
          <w:p>
            <w:pPr>
              <w:pStyle w:val="445"/>
              <w:ind w:left="108"/>
              <w:rPr>
                <w:rFonts w:ascii="宋体" w:hAnsi="宋体" w:eastAsia="宋体" w:cs="宋体"/>
                <w:sz w:val="24"/>
              </w:rPr>
            </w:pPr>
            <w:r>
              <w:rPr>
                <w:rFonts w:hint="eastAsia" w:ascii="宋体" w:hAnsi="宋体" w:eastAsia="宋体" w:cs="宋体"/>
                <w:sz w:val="24"/>
              </w:rPr>
              <w:t>运动模式</w:t>
            </w:r>
          </w:p>
        </w:tc>
        <w:tc>
          <w:tcPr>
            <w:tcW w:w="4806" w:type="dxa"/>
          </w:tcPr>
          <w:p>
            <w:pPr>
              <w:pStyle w:val="445"/>
              <w:spacing w:before="1"/>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1"/>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5.7</w:t>
            </w:r>
          </w:p>
        </w:tc>
        <w:tc>
          <w:tcPr>
            <w:tcW w:w="3995" w:type="dxa"/>
          </w:tcPr>
          <w:p>
            <w:pPr>
              <w:pStyle w:val="445"/>
              <w:spacing w:before="88"/>
              <w:ind w:left="108" w:right="292"/>
              <w:rPr>
                <w:rFonts w:ascii="宋体" w:hAnsi="宋体" w:eastAsia="宋体" w:cs="宋体"/>
                <w:sz w:val="24"/>
              </w:rPr>
            </w:pPr>
            <w:r>
              <w:rPr>
                <w:rFonts w:hint="eastAsia" w:ascii="宋体" w:hAnsi="宋体" w:eastAsia="宋体" w:cs="宋体"/>
                <w:sz w:val="24"/>
              </w:rPr>
              <w:t>具备重力补偿算法，通过对外部环境施力参数分析，实时补偿重</w:t>
            </w:r>
          </w:p>
          <w:p>
            <w:pPr>
              <w:pStyle w:val="445"/>
              <w:ind w:left="108"/>
              <w:rPr>
                <w:rFonts w:ascii="宋体" w:hAnsi="宋体" w:eastAsia="宋体" w:cs="宋体"/>
                <w:sz w:val="24"/>
              </w:rPr>
            </w:pPr>
            <w:r>
              <w:rPr>
                <w:rFonts w:hint="eastAsia" w:ascii="宋体" w:hAnsi="宋体" w:eastAsia="宋体" w:cs="宋体"/>
                <w:sz w:val="24"/>
              </w:rPr>
              <w:t>力。</w:t>
            </w:r>
          </w:p>
        </w:tc>
        <w:tc>
          <w:tcPr>
            <w:tcW w:w="4806" w:type="dxa"/>
          </w:tcPr>
          <w:p>
            <w:pPr>
              <w:pStyle w:val="445"/>
              <w:spacing w:before="1"/>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ind w:left="0"/>
              <w:rPr>
                <w:rFonts w:ascii="宋体" w:hAnsi="宋体" w:eastAsia="宋体" w:cs="宋体"/>
                <w:sz w:val="24"/>
              </w:rPr>
            </w:pPr>
          </w:p>
          <w:p>
            <w:pPr>
              <w:pStyle w:val="445"/>
              <w:spacing w:before="6"/>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5.8</w:t>
            </w:r>
          </w:p>
        </w:tc>
        <w:tc>
          <w:tcPr>
            <w:tcW w:w="3995" w:type="dxa"/>
          </w:tcPr>
          <w:p>
            <w:pPr>
              <w:pStyle w:val="445"/>
              <w:spacing w:before="88"/>
              <w:ind w:left="108" w:right="292"/>
              <w:rPr>
                <w:rFonts w:ascii="宋体" w:hAnsi="宋体" w:eastAsia="宋体" w:cs="宋体"/>
                <w:sz w:val="24"/>
              </w:rPr>
            </w:pPr>
            <w:r>
              <w:rPr>
                <w:rFonts w:hint="eastAsia" w:ascii="宋体" w:hAnsi="宋体" w:eastAsia="宋体" w:cs="宋体"/>
                <w:sz w:val="24"/>
              </w:rPr>
              <w:t>高速并行渲染模块，实时显示手术进程，实现可视化反馈。待打磨区显示为绿色、打磨完成区域显示为白色、过度打磨区域显示</w:t>
            </w:r>
          </w:p>
          <w:p>
            <w:pPr>
              <w:pStyle w:val="445"/>
              <w:ind w:left="108"/>
              <w:rPr>
                <w:rFonts w:ascii="宋体" w:hAnsi="宋体" w:eastAsia="宋体" w:cs="宋体"/>
                <w:sz w:val="24"/>
              </w:rPr>
            </w:pPr>
            <w:r>
              <w:rPr>
                <w:rFonts w:hint="eastAsia" w:ascii="宋体" w:hAnsi="宋体" w:eastAsia="宋体" w:cs="宋体"/>
                <w:sz w:val="24"/>
              </w:rPr>
              <w:t>为红色。</w:t>
            </w:r>
          </w:p>
        </w:tc>
        <w:tc>
          <w:tcPr>
            <w:tcW w:w="4806" w:type="dxa"/>
          </w:tcPr>
          <w:p>
            <w:pPr>
              <w:pStyle w:val="445"/>
              <w:ind w:left="0"/>
              <w:rPr>
                <w:rFonts w:ascii="宋体" w:hAnsi="宋体" w:eastAsia="宋体" w:cs="宋体"/>
                <w:sz w:val="24"/>
              </w:rPr>
            </w:pPr>
          </w:p>
          <w:p>
            <w:pPr>
              <w:pStyle w:val="445"/>
              <w:spacing w:before="6"/>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4"/>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5.9</w:t>
            </w:r>
          </w:p>
        </w:tc>
        <w:tc>
          <w:tcPr>
            <w:tcW w:w="3995" w:type="dxa"/>
          </w:tcPr>
          <w:p>
            <w:pPr>
              <w:pStyle w:val="445"/>
              <w:spacing w:before="90"/>
              <w:ind w:left="108" w:right="292"/>
              <w:rPr>
                <w:rFonts w:ascii="宋体" w:hAnsi="宋体" w:eastAsia="宋体" w:cs="宋体"/>
                <w:sz w:val="24"/>
              </w:rPr>
            </w:pPr>
            <w:r>
              <w:rPr>
                <w:rFonts w:hint="eastAsia" w:ascii="宋体" w:hAnsi="宋体" w:eastAsia="宋体" w:cs="宋体"/>
                <w:sz w:val="24"/>
              </w:rPr>
              <w:t>具备手术工具选择提示界面，能够根据手术部位列出相应手术工</w:t>
            </w:r>
          </w:p>
          <w:p>
            <w:pPr>
              <w:pStyle w:val="445"/>
              <w:ind w:left="108"/>
              <w:rPr>
                <w:rFonts w:ascii="宋体" w:hAnsi="宋体" w:eastAsia="宋体" w:cs="宋体"/>
                <w:sz w:val="24"/>
              </w:rPr>
            </w:pPr>
            <w:r>
              <w:rPr>
                <w:rFonts w:hint="eastAsia" w:ascii="宋体" w:hAnsi="宋体" w:eastAsia="宋体" w:cs="宋体"/>
                <w:sz w:val="24"/>
              </w:rPr>
              <w:t>具。</w:t>
            </w:r>
          </w:p>
        </w:tc>
        <w:tc>
          <w:tcPr>
            <w:tcW w:w="4806" w:type="dxa"/>
          </w:tcPr>
          <w:p>
            <w:pPr>
              <w:pStyle w:val="445"/>
              <w:spacing w:before="4"/>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ind w:left="0"/>
              <w:rPr>
                <w:rFonts w:ascii="宋体" w:hAnsi="宋体" w:eastAsia="宋体" w:cs="宋体"/>
                <w:sz w:val="24"/>
              </w:rPr>
            </w:pPr>
          </w:p>
          <w:p>
            <w:pPr>
              <w:pStyle w:val="445"/>
              <w:spacing w:before="4"/>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5.10</w:t>
            </w:r>
          </w:p>
        </w:tc>
        <w:tc>
          <w:tcPr>
            <w:tcW w:w="3995" w:type="dxa"/>
          </w:tcPr>
          <w:p>
            <w:pPr>
              <w:pStyle w:val="445"/>
              <w:spacing w:before="88"/>
              <w:ind w:left="108" w:right="292"/>
              <w:rPr>
                <w:rFonts w:ascii="宋体" w:hAnsi="宋体" w:eastAsia="宋体" w:cs="宋体"/>
                <w:sz w:val="24"/>
              </w:rPr>
            </w:pPr>
            <w:r>
              <w:rPr>
                <w:rFonts w:hint="eastAsia" w:ascii="宋体" w:hAnsi="宋体" w:eastAsia="宋体" w:cs="宋体"/>
                <w:sz w:val="24"/>
              </w:rPr>
              <w:t xml:space="preserve">具备虚拟墙功能，设置安全边 </w:t>
            </w:r>
            <w:r>
              <w:rPr>
                <w:rFonts w:hint="eastAsia" w:ascii="宋体" w:hAnsi="宋体" w:eastAsia="宋体" w:cs="宋体"/>
                <w:spacing w:val="-2"/>
                <w:sz w:val="24"/>
              </w:rPr>
              <w:t>界，将手术截骨控制在安全范围内。如到达预设的安全边界，机</w:t>
            </w:r>
          </w:p>
          <w:p>
            <w:pPr>
              <w:pStyle w:val="445"/>
              <w:ind w:left="108"/>
              <w:rPr>
                <w:rFonts w:ascii="宋体" w:hAnsi="宋体" w:eastAsia="宋体" w:cs="宋体"/>
                <w:sz w:val="24"/>
              </w:rPr>
            </w:pPr>
            <w:r>
              <w:rPr>
                <w:rFonts w:hint="eastAsia" w:ascii="宋体" w:hAnsi="宋体" w:eastAsia="宋体" w:cs="宋体"/>
                <w:sz w:val="24"/>
              </w:rPr>
              <w:t>械臂将制动。</w:t>
            </w:r>
          </w:p>
        </w:tc>
        <w:tc>
          <w:tcPr>
            <w:tcW w:w="4806" w:type="dxa"/>
          </w:tcPr>
          <w:p>
            <w:pPr>
              <w:pStyle w:val="445"/>
              <w:ind w:left="0"/>
              <w:rPr>
                <w:rFonts w:ascii="宋体" w:hAnsi="宋体" w:eastAsia="宋体" w:cs="宋体"/>
                <w:sz w:val="24"/>
              </w:rPr>
            </w:pPr>
          </w:p>
          <w:p>
            <w:pPr>
              <w:pStyle w:val="445"/>
              <w:spacing w:before="4"/>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1"/>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5.11</w:t>
            </w:r>
          </w:p>
        </w:tc>
        <w:tc>
          <w:tcPr>
            <w:tcW w:w="3995" w:type="dxa"/>
          </w:tcPr>
          <w:p>
            <w:pPr>
              <w:pStyle w:val="445"/>
              <w:spacing w:before="88"/>
              <w:ind w:left="108"/>
              <w:rPr>
                <w:rFonts w:ascii="宋体" w:hAnsi="宋体" w:eastAsia="宋体" w:cs="宋体"/>
                <w:sz w:val="24"/>
              </w:rPr>
            </w:pPr>
            <w:r>
              <w:rPr>
                <w:rFonts w:hint="eastAsia" w:ascii="宋体" w:hAnsi="宋体" w:eastAsia="宋体" w:cs="宋体"/>
                <w:sz w:val="24"/>
              </w:rPr>
              <w:t>打磨界面具备髋臼磨锉位置的实时显示功能，并具备三个窗口，分别显示它的矢状面的空间位置、冠状面的空间位置以及横截</w:t>
            </w:r>
          </w:p>
          <w:p>
            <w:pPr>
              <w:pStyle w:val="445"/>
              <w:spacing w:before="4"/>
              <w:ind w:left="108" w:right="292"/>
              <w:rPr>
                <w:rFonts w:ascii="宋体" w:hAnsi="宋体" w:eastAsia="宋体" w:cs="宋体"/>
                <w:sz w:val="24"/>
              </w:rPr>
            </w:pPr>
            <w:r>
              <w:rPr>
                <w:rFonts w:hint="eastAsia" w:ascii="宋体" w:hAnsi="宋体" w:eastAsia="宋体" w:cs="宋体"/>
                <w:sz w:val="24"/>
              </w:rPr>
              <w:t>面的空间位置。</w:t>
            </w:r>
          </w:p>
        </w:tc>
        <w:tc>
          <w:tcPr>
            <w:tcW w:w="4806" w:type="dxa"/>
          </w:tcPr>
          <w:p>
            <w:pPr>
              <w:pStyle w:val="445"/>
              <w:spacing w:before="1"/>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ind w:left="0"/>
              <w:rPr>
                <w:rFonts w:ascii="宋体" w:hAnsi="宋体" w:eastAsia="宋体" w:cs="宋体"/>
                <w:sz w:val="24"/>
              </w:rPr>
            </w:pPr>
          </w:p>
          <w:p>
            <w:pPr>
              <w:pStyle w:val="445"/>
              <w:spacing w:before="6"/>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5.12</w:t>
            </w:r>
          </w:p>
        </w:tc>
        <w:tc>
          <w:tcPr>
            <w:tcW w:w="3995" w:type="dxa"/>
          </w:tcPr>
          <w:p>
            <w:pPr>
              <w:pStyle w:val="445"/>
              <w:spacing w:before="88"/>
              <w:ind w:left="108" w:right="292"/>
              <w:rPr>
                <w:rFonts w:ascii="宋体" w:hAnsi="宋体" w:eastAsia="宋体" w:cs="宋体"/>
                <w:sz w:val="24"/>
              </w:rPr>
            </w:pPr>
            <w:r>
              <w:rPr>
                <w:rFonts w:hint="eastAsia" w:ascii="宋体" w:hAnsi="宋体" w:eastAsia="宋体" w:cs="宋体"/>
                <w:sz w:val="24"/>
              </w:rPr>
              <w:t>髋臼杯安装界面具备髋臼杯位置的实时显示功能，并具备三个窗口，分别显示它的矢状面的空间位置、冠状面的空间位置以及横</w:t>
            </w:r>
          </w:p>
          <w:p>
            <w:pPr>
              <w:pStyle w:val="445"/>
              <w:ind w:left="108"/>
              <w:rPr>
                <w:rFonts w:ascii="宋体" w:hAnsi="宋体" w:eastAsia="宋体" w:cs="宋体"/>
                <w:sz w:val="24"/>
              </w:rPr>
            </w:pPr>
            <w:r>
              <w:rPr>
                <w:rFonts w:hint="eastAsia" w:ascii="宋体" w:hAnsi="宋体" w:eastAsia="宋体" w:cs="宋体"/>
                <w:sz w:val="24"/>
              </w:rPr>
              <w:t>截面的空间位置。</w:t>
            </w:r>
          </w:p>
        </w:tc>
        <w:tc>
          <w:tcPr>
            <w:tcW w:w="4806" w:type="dxa"/>
          </w:tcPr>
          <w:p>
            <w:pPr>
              <w:pStyle w:val="445"/>
              <w:ind w:left="0"/>
              <w:rPr>
                <w:rFonts w:ascii="宋体" w:hAnsi="宋体" w:eastAsia="宋体" w:cs="宋体"/>
                <w:sz w:val="24"/>
              </w:rPr>
            </w:pPr>
          </w:p>
          <w:p>
            <w:pPr>
              <w:pStyle w:val="445"/>
              <w:spacing w:before="6"/>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193" w:type="dxa"/>
            <w:gridSpan w:val="3"/>
          </w:tcPr>
          <w:p>
            <w:pPr>
              <w:pStyle w:val="445"/>
              <w:ind w:left="108"/>
              <w:rPr>
                <w:rFonts w:ascii="宋体" w:hAnsi="宋体" w:eastAsia="宋体" w:cs="宋体"/>
                <w:sz w:val="24"/>
              </w:rPr>
            </w:pPr>
            <w:r>
              <w:rPr>
                <w:rFonts w:hint="eastAsia" w:ascii="宋体" w:hAnsi="宋体" w:eastAsia="宋体" w:cs="宋体"/>
                <w:sz w:val="24"/>
              </w:rPr>
              <w:t>6.术前规划软件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1"/>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6.1</w:t>
            </w:r>
          </w:p>
        </w:tc>
        <w:tc>
          <w:tcPr>
            <w:tcW w:w="3995" w:type="dxa"/>
          </w:tcPr>
          <w:p>
            <w:pPr>
              <w:pStyle w:val="445"/>
              <w:spacing w:before="90"/>
              <w:ind w:left="108"/>
              <w:rPr>
                <w:rFonts w:ascii="宋体" w:hAnsi="宋体" w:eastAsia="宋体" w:cs="宋体"/>
                <w:sz w:val="24"/>
              </w:rPr>
            </w:pPr>
            <w:r>
              <w:rPr>
                <w:rFonts w:hint="eastAsia" w:ascii="宋体" w:hAnsi="宋体" w:eastAsia="宋体" w:cs="宋体"/>
                <w:sz w:val="24"/>
              </w:rPr>
              <w:t>具备导入与管理病人手术前 CT</w:t>
            </w:r>
          </w:p>
          <w:p>
            <w:pPr>
              <w:pStyle w:val="445"/>
              <w:spacing w:before="187"/>
              <w:ind w:left="108"/>
              <w:rPr>
                <w:rFonts w:ascii="宋体" w:hAnsi="宋体" w:eastAsia="宋体" w:cs="宋体"/>
                <w:sz w:val="24"/>
              </w:rPr>
            </w:pPr>
            <w:r>
              <w:rPr>
                <w:rFonts w:hint="eastAsia" w:ascii="宋体" w:hAnsi="宋体" w:eastAsia="宋体" w:cs="宋体"/>
                <w:sz w:val="24"/>
              </w:rPr>
              <w:t>DICOM 数据</w:t>
            </w:r>
          </w:p>
        </w:tc>
        <w:tc>
          <w:tcPr>
            <w:tcW w:w="4806" w:type="dxa"/>
          </w:tcPr>
          <w:p>
            <w:pPr>
              <w:pStyle w:val="445"/>
              <w:spacing w:before="1"/>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17"/>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6.2</w:t>
            </w:r>
          </w:p>
        </w:tc>
        <w:tc>
          <w:tcPr>
            <w:tcW w:w="3995" w:type="dxa"/>
          </w:tcPr>
          <w:p>
            <w:pPr>
              <w:pStyle w:val="445"/>
              <w:spacing w:before="88"/>
              <w:ind w:left="108"/>
              <w:rPr>
                <w:rFonts w:ascii="宋体" w:hAnsi="宋体" w:eastAsia="宋体" w:cs="宋体"/>
                <w:sz w:val="24"/>
              </w:rPr>
            </w:pPr>
            <w:r>
              <w:rPr>
                <w:rFonts w:hint="eastAsia" w:ascii="宋体" w:hAnsi="宋体" w:eastAsia="宋体" w:cs="宋体"/>
                <w:sz w:val="24"/>
              </w:rPr>
              <w:t>具备识别病人 DICOM 影像数据</w:t>
            </w:r>
          </w:p>
          <w:p>
            <w:pPr>
              <w:pStyle w:val="445"/>
              <w:spacing w:before="187"/>
              <w:ind w:left="108"/>
              <w:rPr>
                <w:rFonts w:ascii="宋体" w:hAnsi="宋体" w:eastAsia="宋体" w:cs="宋体"/>
                <w:sz w:val="24"/>
              </w:rPr>
            </w:pPr>
            <w:r>
              <w:rPr>
                <w:rFonts w:hint="eastAsia" w:ascii="宋体" w:hAnsi="宋体" w:eastAsia="宋体" w:cs="宋体"/>
                <w:sz w:val="24"/>
              </w:rPr>
              <w:t>的分割及病人关节的三维重建</w:t>
            </w:r>
          </w:p>
        </w:tc>
        <w:tc>
          <w:tcPr>
            <w:tcW w:w="4806" w:type="dxa"/>
          </w:tcPr>
          <w:p>
            <w:pPr>
              <w:pStyle w:val="445"/>
              <w:spacing w:before="17"/>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17"/>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6.3</w:t>
            </w:r>
          </w:p>
        </w:tc>
        <w:tc>
          <w:tcPr>
            <w:tcW w:w="3995" w:type="dxa"/>
          </w:tcPr>
          <w:p>
            <w:pPr>
              <w:pStyle w:val="445"/>
              <w:spacing w:before="88"/>
              <w:ind w:left="108"/>
              <w:rPr>
                <w:rFonts w:ascii="宋体" w:hAnsi="宋体" w:eastAsia="宋体" w:cs="宋体"/>
                <w:sz w:val="24"/>
              </w:rPr>
            </w:pPr>
            <w:r>
              <w:rPr>
                <w:rFonts w:hint="eastAsia" w:ascii="宋体" w:hAnsi="宋体" w:eastAsia="宋体" w:cs="宋体"/>
                <w:sz w:val="24"/>
              </w:rPr>
              <w:t>具备在三维重建模型上点选病人</w:t>
            </w:r>
          </w:p>
          <w:p>
            <w:pPr>
              <w:pStyle w:val="445"/>
              <w:spacing w:before="187"/>
              <w:ind w:left="108"/>
              <w:rPr>
                <w:rFonts w:ascii="宋体" w:hAnsi="宋体" w:eastAsia="宋体" w:cs="宋体"/>
                <w:sz w:val="24"/>
              </w:rPr>
            </w:pPr>
            <w:r>
              <w:rPr>
                <w:rFonts w:hint="eastAsia" w:ascii="宋体" w:hAnsi="宋体" w:eastAsia="宋体" w:cs="宋体"/>
                <w:sz w:val="24"/>
              </w:rPr>
              <w:t>特征点</w:t>
            </w:r>
          </w:p>
        </w:tc>
        <w:tc>
          <w:tcPr>
            <w:tcW w:w="4806" w:type="dxa"/>
          </w:tcPr>
          <w:p>
            <w:pPr>
              <w:pStyle w:val="445"/>
              <w:spacing w:before="17"/>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ind w:left="0"/>
              <w:rPr>
                <w:rFonts w:ascii="宋体" w:hAnsi="宋体" w:eastAsia="宋体" w:cs="宋体"/>
                <w:sz w:val="24"/>
              </w:rPr>
            </w:pPr>
          </w:p>
          <w:p>
            <w:pPr>
              <w:pStyle w:val="445"/>
              <w:spacing w:before="6"/>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6.4</w:t>
            </w:r>
          </w:p>
        </w:tc>
        <w:tc>
          <w:tcPr>
            <w:tcW w:w="3995" w:type="dxa"/>
          </w:tcPr>
          <w:p>
            <w:pPr>
              <w:pStyle w:val="445"/>
              <w:spacing w:before="88"/>
              <w:ind w:left="108" w:right="292"/>
              <w:rPr>
                <w:rFonts w:ascii="宋体" w:hAnsi="宋体" w:eastAsia="宋体" w:cs="宋体"/>
                <w:sz w:val="24"/>
              </w:rPr>
            </w:pPr>
            <w:r>
              <w:rPr>
                <w:rFonts w:hint="eastAsia" w:ascii="宋体" w:hAnsi="宋体" w:eastAsia="宋体" w:cs="宋体"/>
                <w:sz w:val="24"/>
              </w:rPr>
              <w:t>选定调整假体型号包括：髋臼 杯、内衬、球头 和股骨柄的型</w:t>
            </w:r>
            <w:r>
              <w:rPr>
                <w:rFonts w:hint="eastAsia" w:ascii="宋体" w:hAnsi="宋体" w:eastAsia="宋体" w:cs="宋体"/>
                <w:spacing w:val="-2"/>
                <w:sz w:val="24"/>
              </w:rPr>
              <w:t>号，同时用户可以直接在页面上查看假体安装效果，并实现对假</w:t>
            </w:r>
            <w:r>
              <w:rPr>
                <w:rFonts w:hint="eastAsia" w:ascii="宋体" w:hAnsi="宋体" w:eastAsia="宋体" w:cs="宋体"/>
                <w:sz w:val="24"/>
              </w:rPr>
              <w:t>体位姿的调整。</w:t>
            </w:r>
          </w:p>
        </w:tc>
        <w:tc>
          <w:tcPr>
            <w:tcW w:w="4806" w:type="dxa"/>
          </w:tcPr>
          <w:p>
            <w:pPr>
              <w:pStyle w:val="445"/>
              <w:ind w:left="0"/>
              <w:rPr>
                <w:rFonts w:ascii="宋体" w:hAnsi="宋体" w:eastAsia="宋体" w:cs="宋体"/>
                <w:sz w:val="24"/>
              </w:rPr>
            </w:pPr>
          </w:p>
          <w:p>
            <w:pPr>
              <w:pStyle w:val="445"/>
              <w:spacing w:before="6"/>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tcPr>
          <w:p>
            <w:pPr>
              <w:pStyle w:val="445"/>
              <w:spacing w:before="17"/>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6.5</w:t>
            </w:r>
          </w:p>
        </w:tc>
        <w:tc>
          <w:tcPr>
            <w:tcW w:w="3995" w:type="dxa"/>
          </w:tcPr>
          <w:p>
            <w:pPr>
              <w:pStyle w:val="445"/>
              <w:spacing w:before="88"/>
              <w:ind w:left="108"/>
              <w:rPr>
                <w:rFonts w:ascii="宋体" w:hAnsi="宋体" w:eastAsia="宋体" w:cs="宋体"/>
                <w:sz w:val="24"/>
              </w:rPr>
            </w:pPr>
            <w:r>
              <w:rPr>
                <w:rFonts w:hint="eastAsia" w:ascii="宋体" w:hAnsi="宋体" w:eastAsia="宋体" w:cs="宋体"/>
                <w:sz w:val="24"/>
              </w:rPr>
              <w:t>具备在系统内选择相应的髋关节手术入路方式≥3 种</w:t>
            </w:r>
          </w:p>
        </w:tc>
        <w:tc>
          <w:tcPr>
            <w:tcW w:w="4806" w:type="dxa"/>
          </w:tcPr>
          <w:p>
            <w:pPr>
              <w:pStyle w:val="445"/>
              <w:spacing w:before="17"/>
              <w:ind w:left="0"/>
              <w:rPr>
                <w:rFonts w:ascii="宋体" w:hAnsi="宋体" w:eastAsia="宋体" w:cs="宋体"/>
                <w:sz w:val="24"/>
              </w:rPr>
            </w:pPr>
          </w:p>
          <w:p>
            <w:pPr>
              <w:pStyle w:val="445"/>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193" w:type="dxa"/>
            <w:gridSpan w:val="3"/>
          </w:tcPr>
          <w:p>
            <w:pPr>
              <w:pStyle w:val="445"/>
              <w:ind w:left="108"/>
              <w:rPr>
                <w:rFonts w:ascii="宋体" w:hAnsi="宋体" w:eastAsia="宋体" w:cs="宋体"/>
                <w:sz w:val="24"/>
              </w:rPr>
            </w:pPr>
            <w:r>
              <w:rPr>
                <w:rFonts w:hint="eastAsia" w:ascii="宋体" w:hAnsi="宋体" w:eastAsia="宋体" w:cs="宋体"/>
                <w:sz w:val="24"/>
              </w:rPr>
              <w:t>7.附件工具包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vAlign w:val="center"/>
          </w:tcPr>
          <w:p>
            <w:pPr>
              <w:pStyle w:val="445"/>
              <w:ind w:left="0"/>
              <w:jc w:val="left"/>
              <w:rPr>
                <w:rFonts w:ascii="宋体" w:hAnsi="宋体" w:eastAsia="宋体" w:cs="宋体"/>
                <w:sz w:val="24"/>
              </w:rPr>
            </w:pPr>
            <w:r>
              <w:rPr>
                <w:rFonts w:hint="eastAsia" w:ascii="宋体" w:hAnsi="宋体" w:eastAsia="宋体" w:cs="宋体"/>
                <w:sz w:val="24"/>
              </w:rPr>
              <w:t>7.1</w:t>
            </w:r>
          </w:p>
        </w:tc>
        <w:tc>
          <w:tcPr>
            <w:tcW w:w="3995" w:type="dxa"/>
            <w:vAlign w:val="center"/>
          </w:tcPr>
          <w:p>
            <w:pPr>
              <w:pStyle w:val="445"/>
              <w:spacing w:before="88"/>
              <w:ind w:left="108"/>
              <w:jc w:val="left"/>
              <w:rPr>
                <w:rFonts w:ascii="宋体" w:hAnsi="宋体" w:eastAsia="宋体" w:cs="宋体"/>
                <w:sz w:val="24"/>
              </w:rPr>
            </w:pPr>
            <w:r>
              <w:rPr>
                <w:rFonts w:hint="eastAsia" w:ascii="宋体" w:hAnsi="宋体" w:eastAsia="宋体" w:cs="宋体"/>
                <w:sz w:val="24"/>
              </w:rPr>
              <w:t>具备快速安装组件，可迅速定位导向组件/执行器</w:t>
            </w:r>
          </w:p>
        </w:tc>
        <w:tc>
          <w:tcPr>
            <w:tcW w:w="4806" w:type="dxa"/>
            <w:vAlign w:val="center"/>
          </w:tcPr>
          <w:p>
            <w:pPr>
              <w:pStyle w:val="445"/>
              <w:spacing w:before="88"/>
              <w:jc w:val="left"/>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vAlign w:val="center"/>
          </w:tcPr>
          <w:p>
            <w:pPr>
              <w:pStyle w:val="445"/>
              <w:ind w:left="0"/>
              <w:jc w:val="left"/>
              <w:rPr>
                <w:rFonts w:ascii="宋体" w:hAnsi="宋体" w:eastAsia="宋体" w:cs="宋体"/>
                <w:sz w:val="24"/>
              </w:rPr>
            </w:pPr>
            <w:r>
              <w:rPr>
                <w:rFonts w:hint="eastAsia" w:ascii="宋体" w:hAnsi="宋体" w:eastAsia="宋体" w:cs="宋体"/>
                <w:sz w:val="24"/>
              </w:rPr>
              <w:t>7.2</w:t>
            </w:r>
          </w:p>
        </w:tc>
        <w:tc>
          <w:tcPr>
            <w:tcW w:w="3995" w:type="dxa"/>
            <w:vAlign w:val="center"/>
          </w:tcPr>
          <w:p>
            <w:pPr>
              <w:pStyle w:val="445"/>
              <w:spacing w:before="88"/>
              <w:ind w:left="108"/>
              <w:jc w:val="left"/>
              <w:rPr>
                <w:rFonts w:ascii="宋体" w:hAnsi="宋体" w:eastAsia="宋体" w:cs="宋体"/>
                <w:sz w:val="24"/>
              </w:rPr>
            </w:pPr>
            <w:r>
              <w:rPr>
                <w:rFonts w:hint="eastAsia" w:ascii="宋体" w:hAnsi="宋体" w:eastAsia="宋体" w:cs="宋体"/>
                <w:sz w:val="24"/>
              </w:rPr>
              <w:t>具备硬件锁功能，确保设备的安全使用</w:t>
            </w:r>
          </w:p>
        </w:tc>
        <w:tc>
          <w:tcPr>
            <w:tcW w:w="4806" w:type="dxa"/>
            <w:vAlign w:val="center"/>
          </w:tcPr>
          <w:p>
            <w:pPr>
              <w:pStyle w:val="445"/>
              <w:spacing w:before="88"/>
              <w:jc w:val="left"/>
              <w:rPr>
                <w:rFonts w:ascii="宋体" w:hAnsi="宋体" w:eastAsia="宋体" w:cs="宋体"/>
                <w:sz w:val="24"/>
              </w:rPr>
            </w:pPr>
            <w:r>
              <w:rPr>
                <w:rFonts w:hint="eastAsia" w:ascii="宋体" w:hAnsi="宋体" w:eastAsia="宋体"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vAlign w:val="center"/>
          </w:tcPr>
          <w:p>
            <w:pPr>
              <w:pStyle w:val="445"/>
              <w:spacing w:before="88"/>
              <w:ind w:left="0"/>
              <w:jc w:val="left"/>
              <w:rPr>
                <w:rFonts w:ascii="宋体" w:hAnsi="宋体" w:eastAsia="宋体" w:cs="宋体"/>
                <w:sz w:val="24"/>
              </w:rPr>
            </w:pPr>
            <w:r>
              <w:rPr>
                <w:rFonts w:hint="eastAsia" w:ascii="宋体" w:hAnsi="宋体" w:eastAsia="宋体" w:cs="宋体"/>
                <w:sz w:val="24"/>
              </w:rPr>
              <w:t>7.3</w:t>
            </w:r>
          </w:p>
        </w:tc>
        <w:tc>
          <w:tcPr>
            <w:tcW w:w="3995" w:type="dxa"/>
            <w:vAlign w:val="center"/>
          </w:tcPr>
          <w:p>
            <w:pPr>
              <w:pStyle w:val="445"/>
              <w:spacing w:before="115"/>
              <w:ind w:left="108"/>
              <w:jc w:val="left"/>
              <w:rPr>
                <w:rFonts w:ascii="宋体" w:hAnsi="宋体" w:eastAsia="宋体" w:cs="宋体"/>
                <w:sz w:val="24"/>
              </w:rPr>
            </w:pPr>
            <w:r>
              <w:rPr>
                <w:rFonts w:hint="eastAsia" w:ascii="宋体" w:hAnsi="宋体" w:eastAsia="宋体" w:cs="宋体"/>
                <w:sz w:val="24"/>
              </w:rPr>
              <w:t>脚踏开关防护等级</w:t>
            </w:r>
          </w:p>
        </w:tc>
        <w:tc>
          <w:tcPr>
            <w:tcW w:w="4806" w:type="dxa"/>
            <w:vAlign w:val="center"/>
          </w:tcPr>
          <w:p>
            <w:pPr>
              <w:pStyle w:val="445"/>
              <w:spacing w:before="115"/>
              <w:jc w:val="left"/>
              <w:rPr>
                <w:rFonts w:ascii="宋体" w:hAnsi="宋体" w:eastAsia="宋体" w:cs="宋体"/>
                <w:sz w:val="24"/>
              </w:rPr>
            </w:pPr>
            <w:r>
              <w:rPr>
                <w:rFonts w:hint="eastAsia" w:ascii="宋体" w:hAnsi="宋体" w:eastAsia="宋体" w:cs="宋体"/>
                <w:sz w:val="24"/>
              </w:rPr>
              <w:t>≥IP68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92" w:type="dxa"/>
            <w:vAlign w:val="center"/>
          </w:tcPr>
          <w:p>
            <w:pPr>
              <w:pStyle w:val="445"/>
              <w:ind w:left="0"/>
              <w:jc w:val="left"/>
              <w:rPr>
                <w:rFonts w:ascii="宋体" w:hAnsi="宋体" w:eastAsia="宋体" w:cs="宋体"/>
                <w:sz w:val="24"/>
              </w:rPr>
            </w:pPr>
            <w:r>
              <w:rPr>
                <w:rFonts w:hint="eastAsia" w:ascii="宋体" w:hAnsi="宋体" w:eastAsia="宋体" w:cs="宋体"/>
                <w:sz w:val="24"/>
              </w:rPr>
              <w:t>7.4</w:t>
            </w:r>
          </w:p>
        </w:tc>
        <w:tc>
          <w:tcPr>
            <w:tcW w:w="3995" w:type="dxa"/>
            <w:vAlign w:val="center"/>
          </w:tcPr>
          <w:p>
            <w:pPr>
              <w:pStyle w:val="445"/>
              <w:spacing w:before="90"/>
              <w:ind w:left="108"/>
              <w:jc w:val="left"/>
              <w:rPr>
                <w:rFonts w:ascii="宋体" w:hAnsi="宋体" w:eastAsia="宋体" w:cs="宋体"/>
                <w:sz w:val="24"/>
              </w:rPr>
            </w:pPr>
            <w:r>
              <w:rPr>
                <w:rFonts w:hint="eastAsia" w:ascii="宋体" w:hAnsi="宋体" w:eastAsia="宋体" w:cs="宋体"/>
                <w:sz w:val="24"/>
              </w:rPr>
              <w:t>脚踏开关的气动力不小于 10N，且不大于 50N</w:t>
            </w:r>
          </w:p>
        </w:tc>
        <w:tc>
          <w:tcPr>
            <w:tcW w:w="4806" w:type="dxa"/>
            <w:vAlign w:val="center"/>
          </w:tcPr>
          <w:p>
            <w:pPr>
              <w:pStyle w:val="445"/>
              <w:spacing w:before="1"/>
              <w:ind w:left="0"/>
              <w:jc w:val="left"/>
              <w:rPr>
                <w:rFonts w:ascii="宋体" w:hAnsi="宋体" w:eastAsia="宋体" w:cs="宋体"/>
                <w:sz w:val="24"/>
              </w:rPr>
            </w:pPr>
          </w:p>
          <w:p>
            <w:pPr>
              <w:pStyle w:val="445"/>
              <w:jc w:val="left"/>
              <w:rPr>
                <w:rFonts w:ascii="宋体" w:hAnsi="宋体" w:eastAsia="宋体" w:cs="宋体"/>
                <w:sz w:val="24"/>
              </w:rPr>
            </w:pPr>
            <w:r>
              <w:rPr>
                <w:rFonts w:hint="eastAsia" w:ascii="宋体" w:hAnsi="宋体" w:eastAsia="宋体" w:cs="宋体"/>
                <w:sz w:val="24"/>
              </w:rPr>
              <w:t>具备</w:t>
            </w:r>
          </w:p>
        </w:tc>
      </w:tr>
    </w:tbl>
    <w:p>
      <w:pPr>
        <w:spacing w:line="432" w:lineRule="exact"/>
        <w:rPr>
          <w:sz w:val="24"/>
        </w:rPr>
        <w:sectPr>
          <w:pgSz w:w="11910" w:h="16840"/>
          <w:pgMar w:top="1460" w:right="640" w:bottom="280" w:left="1060" w:header="720" w:footer="720" w:gutter="0"/>
          <w:pgNumType w:fmt="decimal"/>
          <w:cols w:space="720" w:num="1"/>
        </w:sectPr>
      </w:pPr>
    </w:p>
    <w:p>
      <w:pPr>
        <w:pStyle w:val="4"/>
        <w:adjustRightInd w:val="0"/>
        <w:snapToGrid w:val="0"/>
        <w:spacing w:before="20" w:after="20" w:line="360" w:lineRule="auto"/>
      </w:pPr>
      <w:bookmarkStart w:id="258" w:name="_Toc30134"/>
      <w:r>
        <w:rPr>
          <w:rFonts w:hint="eastAsia"/>
        </w:rPr>
        <w:t>三、</w:t>
      </w:r>
      <w:r>
        <w:t>采购目录</w:t>
      </w:r>
      <w:bookmarkEnd w:id="258"/>
    </w:p>
    <w:tbl>
      <w:tblPr>
        <w:tblStyle w:val="41"/>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
        <w:gridCol w:w="915"/>
        <w:gridCol w:w="832"/>
        <w:gridCol w:w="3577"/>
        <w:gridCol w:w="888"/>
        <w:gridCol w:w="1463"/>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53" w:type="dxa"/>
            <w:vAlign w:val="center"/>
          </w:tcPr>
          <w:p>
            <w:pPr>
              <w:widowControl/>
              <w:adjustRightInd w:val="0"/>
              <w:snapToGrid w:val="0"/>
              <w:jc w:val="center"/>
              <w:rPr>
                <w:rFonts w:ascii="宋体" w:hAnsi="宋体" w:cs="宋体"/>
                <w:b/>
                <w:bCs/>
                <w:kern w:val="0"/>
                <w:sz w:val="24"/>
              </w:rPr>
            </w:pPr>
            <w:bookmarkStart w:id="259" w:name="_Hlk104461129"/>
            <w:bookmarkStart w:id="260" w:name="_Toc10452"/>
            <w:r>
              <w:rPr>
                <w:rFonts w:hint="eastAsia" w:ascii="宋体" w:hAnsi="宋体" w:cs="宋体"/>
                <w:b/>
                <w:bCs/>
                <w:kern w:val="0"/>
                <w:sz w:val="24"/>
              </w:rPr>
              <w:t>标项</w:t>
            </w:r>
          </w:p>
        </w:tc>
        <w:tc>
          <w:tcPr>
            <w:tcW w:w="915" w:type="dxa"/>
            <w:shd w:val="clear" w:color="auto" w:fill="auto"/>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申请科室</w:t>
            </w:r>
          </w:p>
        </w:tc>
        <w:tc>
          <w:tcPr>
            <w:tcW w:w="832" w:type="dxa"/>
            <w:shd w:val="clear" w:color="auto" w:fill="auto"/>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序号</w:t>
            </w:r>
          </w:p>
        </w:tc>
        <w:tc>
          <w:tcPr>
            <w:tcW w:w="3577" w:type="dxa"/>
            <w:shd w:val="clear" w:color="auto" w:fill="auto"/>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设备名称</w:t>
            </w:r>
          </w:p>
        </w:tc>
        <w:tc>
          <w:tcPr>
            <w:tcW w:w="888" w:type="dxa"/>
            <w:shd w:val="clear" w:color="auto" w:fill="auto"/>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数量/单位</w:t>
            </w:r>
          </w:p>
        </w:tc>
        <w:tc>
          <w:tcPr>
            <w:tcW w:w="1463" w:type="dxa"/>
            <w:shd w:val="clear" w:color="auto" w:fill="auto"/>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标项最高限价（万元）</w:t>
            </w:r>
          </w:p>
        </w:tc>
        <w:tc>
          <w:tcPr>
            <w:tcW w:w="722" w:type="dxa"/>
            <w:shd w:val="clear" w:color="auto" w:fill="auto"/>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53" w:type="dxa"/>
            <w:vMerge w:val="restart"/>
            <w:vAlign w:val="center"/>
          </w:tcPr>
          <w:p>
            <w:pPr>
              <w:widowControl/>
              <w:adjustRightInd w:val="0"/>
              <w:snapToGrid w:val="0"/>
              <w:jc w:val="center"/>
              <w:rPr>
                <w:rFonts w:ascii="宋体" w:hAnsi="宋体" w:cs="宋体"/>
                <w:sz w:val="24"/>
              </w:rPr>
            </w:pPr>
            <w:r>
              <w:rPr>
                <w:rFonts w:hint="eastAsia" w:ascii="宋体" w:hAnsi="宋体" w:cs="宋体"/>
                <w:sz w:val="24"/>
              </w:rPr>
              <w:t>标项1</w:t>
            </w:r>
          </w:p>
        </w:tc>
        <w:tc>
          <w:tcPr>
            <w:tcW w:w="915" w:type="dxa"/>
            <w:vMerge w:val="restart"/>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药学部</w:t>
            </w: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一</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lang w:eastAsia="zh-CN"/>
              </w:rPr>
              <w:t>飞行时间质谱检测系统</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1套</w:t>
            </w:r>
          </w:p>
        </w:tc>
        <w:tc>
          <w:tcPr>
            <w:tcW w:w="1463" w:type="dxa"/>
            <w:vMerge w:val="restart"/>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400.00</w:t>
            </w:r>
          </w:p>
        </w:tc>
        <w:tc>
          <w:tcPr>
            <w:tcW w:w="722" w:type="dxa"/>
            <w:vMerge w:val="restart"/>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（一）</w:t>
            </w:r>
          </w:p>
        </w:tc>
        <w:tc>
          <w:tcPr>
            <w:tcW w:w="4465" w:type="dxa"/>
            <w:gridSpan w:val="2"/>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主要设备</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飞行时间核酸质谱分析系统</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1台</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2</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生物分析仪</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1台</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3</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荧光定量PCR 技术参数</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1台</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4</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超微量分光光度计</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1台</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5</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96孔核酸扩增仪</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1台</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6</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384孔核酸扩增仪</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2台</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（二）</w:t>
            </w:r>
          </w:p>
        </w:tc>
        <w:tc>
          <w:tcPr>
            <w:tcW w:w="4465" w:type="dxa"/>
            <w:gridSpan w:val="2"/>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辅助设备</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超净工作台</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1台</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2</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A2级别生物安全柜</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1台</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3</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核酸提取系统</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1台</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4</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冰箱</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4台</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5</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高速离心机</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1台</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6</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微孔板离心机</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3台</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7</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恒温金属浴</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1台</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8</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掌上离心机</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4台</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9</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移液枪</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各4套</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10</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多道移液枪（排枪）</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11</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涡旋混匀仪</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4台</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12</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UPS不间断电源</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1台</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13</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工作电脑</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4台</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Merge w:val="continue"/>
            <w:vAlign w:val="center"/>
          </w:tcPr>
          <w:p>
            <w:pPr>
              <w:widowControl/>
              <w:adjustRightInd w:val="0"/>
              <w:snapToGrid w:val="0"/>
              <w:jc w:val="center"/>
              <w:rPr>
                <w:rFonts w:ascii="宋体" w:hAnsi="宋体" w:cs="宋体"/>
                <w:sz w:val="24"/>
              </w:rPr>
            </w:pPr>
          </w:p>
        </w:tc>
        <w:tc>
          <w:tcPr>
            <w:tcW w:w="915" w:type="dxa"/>
            <w:vMerge w:val="continue"/>
            <w:shd w:val="clear" w:color="auto" w:fill="auto"/>
            <w:vAlign w:val="center"/>
          </w:tcPr>
          <w:p>
            <w:pPr>
              <w:widowControl/>
              <w:adjustRightInd w:val="0"/>
              <w:snapToGrid w:val="0"/>
              <w:jc w:val="center"/>
              <w:rPr>
                <w:rFonts w:ascii="宋体" w:hAnsi="宋体" w:cs="宋体"/>
                <w:sz w:val="24"/>
              </w:rPr>
            </w:pP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14</w:t>
            </w:r>
          </w:p>
        </w:tc>
        <w:tc>
          <w:tcPr>
            <w:tcW w:w="3577" w:type="dxa"/>
            <w:shd w:val="clear" w:color="auto" w:fill="auto"/>
            <w:vAlign w:val="center"/>
          </w:tcPr>
          <w:p>
            <w:pPr>
              <w:widowControl/>
              <w:adjustRightInd w:val="0"/>
              <w:snapToGrid w:val="0"/>
              <w:jc w:val="left"/>
              <w:rPr>
                <w:rFonts w:ascii="宋体" w:hAnsi="宋体" w:cs="宋体"/>
                <w:sz w:val="24"/>
              </w:rPr>
            </w:pPr>
            <w:r>
              <w:rPr>
                <w:rFonts w:hint="eastAsia" w:ascii="宋体" w:hAnsi="宋体" w:cs="宋体"/>
                <w:sz w:val="24"/>
              </w:rPr>
              <w:t>药物基因组学分析软件</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w:t>
            </w:r>
          </w:p>
        </w:tc>
        <w:tc>
          <w:tcPr>
            <w:tcW w:w="1463" w:type="dxa"/>
            <w:vMerge w:val="continue"/>
            <w:shd w:val="clear" w:color="auto" w:fill="auto"/>
            <w:vAlign w:val="center"/>
          </w:tcPr>
          <w:p>
            <w:pPr>
              <w:widowControl/>
              <w:adjustRightInd w:val="0"/>
              <w:snapToGrid w:val="0"/>
              <w:jc w:val="center"/>
              <w:rPr>
                <w:rFonts w:ascii="宋体" w:hAnsi="宋体" w:cs="宋体"/>
                <w:sz w:val="24"/>
              </w:rPr>
            </w:pPr>
          </w:p>
        </w:tc>
        <w:tc>
          <w:tcPr>
            <w:tcW w:w="722" w:type="dxa"/>
            <w:vMerge w:val="continue"/>
            <w:shd w:val="clear" w:color="auto" w:fill="auto"/>
            <w:vAlign w:val="center"/>
          </w:tcPr>
          <w:p>
            <w:pPr>
              <w:widowControl/>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vAlign w:val="center"/>
          </w:tcPr>
          <w:p>
            <w:pPr>
              <w:widowControl/>
              <w:adjustRightInd w:val="0"/>
              <w:snapToGrid w:val="0"/>
              <w:jc w:val="center"/>
              <w:rPr>
                <w:rFonts w:ascii="宋体" w:hAnsi="宋体" w:cs="宋体"/>
                <w:sz w:val="24"/>
              </w:rPr>
            </w:pPr>
            <w:r>
              <w:rPr>
                <w:rFonts w:hint="eastAsia" w:ascii="宋体" w:hAnsi="宋体" w:cs="宋体"/>
                <w:sz w:val="24"/>
              </w:rPr>
              <w:t>标项2</w:t>
            </w:r>
          </w:p>
        </w:tc>
        <w:tc>
          <w:tcPr>
            <w:tcW w:w="915"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骨科中心</w:t>
            </w:r>
          </w:p>
        </w:tc>
        <w:tc>
          <w:tcPr>
            <w:tcW w:w="83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二</w:t>
            </w:r>
          </w:p>
        </w:tc>
        <w:tc>
          <w:tcPr>
            <w:tcW w:w="3577" w:type="dxa"/>
            <w:shd w:val="clear" w:color="auto" w:fill="auto"/>
            <w:vAlign w:val="center"/>
          </w:tcPr>
          <w:p>
            <w:pPr>
              <w:widowControl/>
              <w:adjustRightInd w:val="0"/>
              <w:snapToGrid w:val="0"/>
              <w:rPr>
                <w:rFonts w:hint="eastAsia" w:ascii="宋体" w:hAnsi="宋体" w:eastAsia="宋体" w:cs="宋体"/>
                <w:sz w:val="24"/>
                <w:lang w:eastAsia="zh-CN"/>
              </w:rPr>
            </w:pPr>
            <w:r>
              <w:rPr>
                <w:rFonts w:hint="eastAsia" w:ascii="宋体" w:hAnsi="宋体" w:cs="宋体"/>
                <w:sz w:val="24"/>
                <w:lang w:eastAsia="zh-CN"/>
              </w:rPr>
              <w:t>骨科手术导航系统（机器人）</w:t>
            </w:r>
          </w:p>
        </w:tc>
        <w:tc>
          <w:tcPr>
            <w:tcW w:w="888"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1套</w:t>
            </w:r>
          </w:p>
        </w:tc>
        <w:tc>
          <w:tcPr>
            <w:tcW w:w="1463"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800.00</w:t>
            </w:r>
          </w:p>
        </w:tc>
        <w:tc>
          <w:tcPr>
            <w:tcW w:w="722" w:type="dxa"/>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gridSpan w:val="5"/>
            <w:vAlign w:val="center"/>
          </w:tcPr>
          <w:p>
            <w:pPr>
              <w:widowControl/>
              <w:adjustRightInd w:val="0"/>
              <w:snapToGrid w:val="0"/>
              <w:jc w:val="center"/>
              <w:rPr>
                <w:rFonts w:ascii="宋体" w:hAnsi="宋体" w:cs="宋体"/>
                <w:sz w:val="24"/>
              </w:rPr>
            </w:pPr>
            <w:r>
              <w:rPr>
                <w:rFonts w:hint="eastAsia" w:ascii="宋体" w:hAnsi="宋体" w:cs="宋体"/>
                <w:sz w:val="24"/>
              </w:rPr>
              <w:t>合计金额</w:t>
            </w:r>
          </w:p>
        </w:tc>
        <w:tc>
          <w:tcPr>
            <w:tcW w:w="2185" w:type="dxa"/>
            <w:gridSpan w:val="2"/>
            <w:shd w:val="clear" w:color="auto" w:fill="auto"/>
            <w:vAlign w:val="center"/>
          </w:tcPr>
          <w:p>
            <w:pPr>
              <w:widowControl/>
              <w:adjustRightInd w:val="0"/>
              <w:snapToGrid w:val="0"/>
              <w:jc w:val="center"/>
              <w:rPr>
                <w:rFonts w:ascii="宋体" w:hAnsi="宋体" w:cs="宋体"/>
                <w:sz w:val="24"/>
              </w:rPr>
            </w:pPr>
            <w:r>
              <w:rPr>
                <w:rFonts w:hint="eastAsia" w:ascii="宋体" w:hAnsi="宋体" w:cs="宋体"/>
                <w:sz w:val="24"/>
              </w:rPr>
              <w:t>1200.00</w:t>
            </w:r>
          </w:p>
        </w:tc>
      </w:tr>
      <w:bookmarkEnd w:id="259"/>
    </w:tbl>
    <w:p>
      <w:pPr>
        <w:snapToGrid w:val="0"/>
        <w:spacing w:after="120" w:afterLines="50"/>
        <w:jc w:val="center"/>
        <w:rPr>
          <w:sz w:val="32"/>
          <w:szCs w:val="32"/>
        </w:rPr>
      </w:pPr>
    </w:p>
    <w:p>
      <w:pPr>
        <w:snapToGrid w:val="0"/>
        <w:spacing w:after="120" w:afterLines="50"/>
        <w:jc w:val="center"/>
        <w:rPr>
          <w:sz w:val="32"/>
          <w:szCs w:val="32"/>
        </w:rPr>
      </w:pPr>
    </w:p>
    <w:p>
      <w:pPr>
        <w:snapToGrid w:val="0"/>
        <w:spacing w:after="120" w:afterLines="50"/>
        <w:jc w:val="center"/>
        <w:rPr>
          <w:sz w:val="32"/>
          <w:szCs w:val="32"/>
        </w:rPr>
      </w:pPr>
    </w:p>
    <w:p>
      <w:pPr>
        <w:snapToGrid w:val="0"/>
        <w:spacing w:after="120" w:afterLines="50"/>
        <w:jc w:val="center"/>
        <w:rPr>
          <w:sz w:val="32"/>
          <w:szCs w:val="32"/>
        </w:rPr>
      </w:pPr>
    </w:p>
    <w:p>
      <w:pPr>
        <w:snapToGrid w:val="0"/>
        <w:spacing w:after="120" w:afterLines="50"/>
        <w:jc w:val="center"/>
        <w:rPr>
          <w:sz w:val="32"/>
          <w:szCs w:val="32"/>
        </w:rPr>
      </w:pPr>
    </w:p>
    <w:p>
      <w:pPr>
        <w:snapToGrid w:val="0"/>
        <w:spacing w:after="120" w:afterLines="50"/>
        <w:jc w:val="center"/>
        <w:rPr>
          <w:sz w:val="32"/>
          <w:szCs w:val="32"/>
        </w:rPr>
      </w:pPr>
    </w:p>
    <w:p>
      <w:pPr>
        <w:rPr>
          <w:rFonts w:eastAsia="黑体"/>
          <w:kern w:val="0"/>
          <w:sz w:val="32"/>
          <w:szCs w:val="32"/>
        </w:rPr>
      </w:pPr>
    </w:p>
    <w:p>
      <w:pPr>
        <w:autoSpaceDE w:val="0"/>
        <w:autoSpaceDN w:val="0"/>
        <w:adjustRightInd w:val="0"/>
        <w:snapToGrid w:val="0"/>
        <w:spacing w:after="120" w:afterLines="50"/>
        <w:jc w:val="center"/>
        <w:outlineLvl w:val="0"/>
        <w:rPr>
          <w:rFonts w:eastAsia="黑体"/>
          <w:kern w:val="0"/>
          <w:sz w:val="32"/>
          <w:szCs w:val="32"/>
        </w:rPr>
      </w:pPr>
      <w:bookmarkStart w:id="261" w:name="_Toc25701"/>
      <w:r>
        <w:rPr>
          <w:rFonts w:hint="eastAsia" w:eastAsia="黑体"/>
          <w:kern w:val="0"/>
          <w:sz w:val="32"/>
          <w:szCs w:val="32"/>
        </w:rPr>
        <w:t xml:space="preserve">第六章 </w:t>
      </w:r>
      <w:r>
        <w:rPr>
          <w:rFonts w:eastAsia="黑体"/>
          <w:kern w:val="0"/>
          <w:sz w:val="32"/>
          <w:szCs w:val="32"/>
        </w:rPr>
        <w:t>投标文件格式</w:t>
      </w:r>
      <w:bookmarkEnd w:id="213"/>
      <w:bookmarkEnd w:id="260"/>
      <w:bookmarkEnd w:id="261"/>
    </w:p>
    <w:p>
      <w:pPr>
        <w:jc w:val="center"/>
        <w:rPr>
          <w:i/>
          <w:iCs/>
        </w:rPr>
        <w:sectPr>
          <w:pgSz w:w="11906" w:h="16838"/>
          <w:pgMar w:top="1440" w:right="1440" w:bottom="1440" w:left="1797" w:header="851" w:footer="992" w:gutter="0"/>
          <w:pgNumType w:fmt="decimal"/>
          <w:cols w:space="720" w:num="1"/>
          <w:docGrid w:linePitch="312" w:charSpace="0"/>
        </w:sectPr>
      </w:pPr>
      <w:r>
        <w:rPr>
          <w:rFonts w:hint="eastAsia"/>
          <w:i/>
          <w:iCs/>
        </w:rPr>
        <w:t>注：供应商可根据项目实际情况编制投标文件。</w:t>
      </w:r>
    </w:p>
    <w:p>
      <w:pPr>
        <w:rPr>
          <w:b/>
          <w:bCs/>
          <w:sz w:val="28"/>
          <w:szCs w:val="28"/>
        </w:rPr>
      </w:pPr>
      <w:r>
        <w:rPr>
          <w:b/>
          <w:bCs/>
          <w:sz w:val="28"/>
          <w:szCs w:val="28"/>
        </w:rPr>
        <w:t>封面</w:t>
      </w:r>
    </w:p>
    <w:p>
      <w:pPr>
        <w:jc w:val="center"/>
        <w:rPr>
          <w:sz w:val="44"/>
          <w:szCs w:val="44"/>
        </w:rPr>
      </w:pPr>
      <w:r>
        <w:rPr>
          <w:b/>
          <w:bCs/>
          <w:sz w:val="28"/>
          <w:szCs w:val="28"/>
        </w:rPr>
        <w:t xml:space="preserve">            </w:t>
      </w:r>
      <w:r>
        <w:t xml:space="preserve">       </w:t>
      </w:r>
    </w:p>
    <w:p>
      <w:pPr>
        <w:jc w:val="center"/>
        <w:rPr>
          <w:sz w:val="44"/>
          <w:szCs w:val="44"/>
        </w:rPr>
      </w:pPr>
      <w:r>
        <w:rPr>
          <w:sz w:val="44"/>
          <w:szCs w:val="44"/>
        </w:rPr>
        <w:t xml:space="preserve">                             </w:t>
      </w:r>
      <w:r>
        <w:rPr>
          <w:sz w:val="44"/>
          <w:szCs w:val="44"/>
          <w:bdr w:val="single" w:color="000000" w:sz="12" w:space="0"/>
        </w:rPr>
        <w:t>正本/副本</w:t>
      </w:r>
    </w:p>
    <w:p>
      <w:pPr>
        <w:jc w:val="center"/>
        <w:rPr>
          <w:kern w:val="0"/>
          <w:szCs w:val="21"/>
          <w:u w:val="single"/>
        </w:rPr>
      </w:pPr>
    </w:p>
    <w:p>
      <w:pPr>
        <w:jc w:val="center"/>
        <w:rPr>
          <w:kern w:val="0"/>
          <w:szCs w:val="21"/>
          <w:u w:val="single"/>
        </w:rPr>
      </w:pPr>
    </w:p>
    <w:p>
      <w:pPr>
        <w:jc w:val="center"/>
        <w:rPr>
          <w:kern w:val="0"/>
          <w:szCs w:val="21"/>
          <w:u w:val="single"/>
        </w:rPr>
      </w:pPr>
    </w:p>
    <w:p>
      <w:pPr>
        <w:jc w:val="center"/>
        <w:rPr>
          <w:kern w:val="0"/>
          <w:szCs w:val="21"/>
          <w:u w:val="single"/>
        </w:rPr>
      </w:pPr>
    </w:p>
    <w:p>
      <w:pPr>
        <w:jc w:val="center"/>
        <w:rPr>
          <w:kern w:val="0"/>
          <w:szCs w:val="21"/>
          <w:u w:val="single"/>
        </w:rPr>
      </w:pPr>
    </w:p>
    <w:p>
      <w:pPr>
        <w:jc w:val="center"/>
        <w:rPr>
          <w:sz w:val="28"/>
          <w:u w:val="single"/>
        </w:rPr>
      </w:pPr>
      <w:r>
        <w:rPr>
          <w:kern w:val="0"/>
          <w:szCs w:val="21"/>
          <w:u w:val="single"/>
        </w:rPr>
        <w:t xml:space="preserve">                   </w:t>
      </w:r>
      <w:r>
        <w:rPr>
          <w:sz w:val="28"/>
          <w:u w:val="single"/>
        </w:rPr>
        <w:t>（项目名称）</w:t>
      </w:r>
    </w:p>
    <w:p>
      <w:pPr>
        <w:rPr>
          <w:u w:val="single"/>
        </w:rPr>
      </w:pPr>
    </w:p>
    <w:p>
      <w:pPr>
        <w:jc w:val="center"/>
        <w:rPr>
          <w:sz w:val="32"/>
          <w:szCs w:val="32"/>
          <w:u w:val="single"/>
        </w:rPr>
      </w:pPr>
      <w:r>
        <w:rPr>
          <w:kern w:val="0"/>
          <w:szCs w:val="21"/>
          <w:u w:val="single"/>
        </w:rPr>
        <w:t xml:space="preserve">                   </w:t>
      </w:r>
      <w:r>
        <w:rPr>
          <w:sz w:val="32"/>
          <w:szCs w:val="32"/>
          <w:u w:val="single"/>
        </w:rPr>
        <w:t>（</w:t>
      </w:r>
      <w:r>
        <w:rPr>
          <w:sz w:val="28"/>
          <w:u w:val="single"/>
        </w:rPr>
        <w:t>项目编号</w:t>
      </w:r>
      <w:r>
        <w:rPr>
          <w:sz w:val="32"/>
          <w:szCs w:val="32"/>
          <w:u w:val="single"/>
        </w:rPr>
        <w:t>）</w:t>
      </w:r>
    </w:p>
    <w:p>
      <w:pPr>
        <w:rPr>
          <w:u w:val="single"/>
        </w:rPr>
      </w:pPr>
    </w:p>
    <w:p>
      <w:pPr>
        <w:jc w:val="center"/>
        <w:rPr>
          <w:sz w:val="28"/>
          <w:u w:val="single"/>
        </w:rPr>
      </w:pPr>
      <w:r>
        <w:rPr>
          <w:kern w:val="0"/>
          <w:szCs w:val="21"/>
          <w:u w:val="single"/>
        </w:rPr>
        <w:t xml:space="preserve">                   </w:t>
      </w:r>
      <w:r>
        <w:rPr>
          <w:sz w:val="28"/>
          <w:u w:val="single"/>
        </w:rPr>
        <w:t>（标项名称）</w:t>
      </w:r>
    </w:p>
    <w:p>
      <w:pPr>
        <w:rPr>
          <w:u w:val="single"/>
        </w:rPr>
      </w:pPr>
    </w:p>
    <w:p>
      <w:pPr>
        <w:ind w:firstLine="2409" w:firstLineChars="753"/>
        <w:rPr>
          <w:sz w:val="32"/>
          <w:szCs w:val="32"/>
          <w:u w:val="single"/>
        </w:rPr>
      </w:pPr>
      <w:r>
        <w:rPr>
          <w:sz w:val="32"/>
          <w:szCs w:val="32"/>
          <w:u w:val="single"/>
        </w:rPr>
        <w:t>标项</w:t>
      </w:r>
      <w:r>
        <w:rPr>
          <w:kern w:val="0"/>
          <w:szCs w:val="21"/>
          <w:u w:val="single"/>
        </w:rPr>
        <w:t xml:space="preserve">     </w:t>
      </w:r>
      <w:r>
        <w:rPr>
          <w:sz w:val="32"/>
          <w:szCs w:val="32"/>
          <w:u w:val="single"/>
        </w:rPr>
        <w:t>一</w:t>
      </w:r>
      <w:r>
        <w:rPr>
          <w:kern w:val="0"/>
          <w:szCs w:val="21"/>
          <w:u w:val="single"/>
        </w:rPr>
        <w:t xml:space="preserve">     </w:t>
      </w:r>
      <w:r>
        <w:rPr>
          <w:sz w:val="32"/>
          <w:szCs w:val="32"/>
          <w:u w:val="single"/>
        </w:rPr>
        <w:t>（</w:t>
      </w:r>
      <w:r>
        <w:rPr>
          <w:sz w:val="28"/>
          <w:u w:val="single"/>
        </w:rPr>
        <w:t>标项号</w:t>
      </w:r>
      <w:r>
        <w:rPr>
          <w:sz w:val="32"/>
          <w:szCs w:val="32"/>
          <w:u w:val="single"/>
        </w:rPr>
        <w:t>）</w:t>
      </w:r>
    </w:p>
    <w:p/>
    <w:p>
      <w:pPr>
        <w:jc w:val="center"/>
        <w:rPr>
          <w:sz w:val="72"/>
          <w:szCs w:val="72"/>
        </w:rPr>
      </w:pPr>
    </w:p>
    <w:p>
      <w:pPr>
        <w:jc w:val="center"/>
        <w:rPr>
          <w:b/>
          <w:bCs/>
          <w:sz w:val="72"/>
          <w:szCs w:val="72"/>
        </w:rPr>
      </w:pPr>
      <w:r>
        <w:rPr>
          <w:b/>
          <w:bCs/>
          <w:sz w:val="72"/>
          <w:szCs w:val="72"/>
        </w:rPr>
        <w:t>投   标  文  件</w:t>
      </w:r>
    </w:p>
    <w:p/>
    <w:p/>
    <w:p>
      <w:pPr>
        <w:jc w:val="center"/>
        <w:rPr>
          <w:b/>
          <w:bCs/>
          <w:sz w:val="36"/>
          <w:szCs w:val="44"/>
        </w:rPr>
      </w:pPr>
      <w:r>
        <w:rPr>
          <w:b/>
          <w:bCs/>
          <w:sz w:val="36"/>
          <w:szCs w:val="44"/>
        </w:rPr>
        <w:t>（商务部分/报价部分/技术部分）</w:t>
      </w:r>
    </w:p>
    <w:p/>
    <w:p/>
    <w:p/>
    <w:p/>
    <w:p/>
    <w:p/>
    <w:p/>
    <w:p/>
    <w:p/>
    <w:p/>
    <w:p/>
    <w:p>
      <w:pPr>
        <w:spacing w:line="360" w:lineRule="auto"/>
        <w:ind w:firstLine="960" w:firstLineChars="300"/>
        <w:jc w:val="left"/>
        <w:rPr>
          <w:sz w:val="32"/>
          <w:szCs w:val="32"/>
        </w:rPr>
      </w:pPr>
      <w:r>
        <w:rPr>
          <w:sz w:val="32"/>
          <w:szCs w:val="32"/>
        </w:rPr>
        <w:t>投  标  人：</w:t>
      </w:r>
      <w:r>
        <w:rPr>
          <w:sz w:val="32"/>
          <w:szCs w:val="32"/>
          <w:u w:val="single"/>
        </w:rPr>
        <w:t xml:space="preserve">                      </w:t>
      </w:r>
      <w:r>
        <w:rPr>
          <w:sz w:val="32"/>
          <w:szCs w:val="32"/>
        </w:rPr>
        <w:t>（盖单位章）</w:t>
      </w:r>
    </w:p>
    <w:p>
      <w:pPr>
        <w:spacing w:line="360" w:lineRule="auto"/>
        <w:ind w:firstLine="960" w:firstLineChars="300"/>
        <w:jc w:val="left"/>
        <w:rPr>
          <w:sz w:val="32"/>
          <w:szCs w:val="32"/>
        </w:rPr>
      </w:pPr>
      <w:r>
        <w:rPr>
          <w:sz w:val="32"/>
          <w:szCs w:val="32"/>
        </w:rPr>
        <w:t>法定代表人或其委托代理人：</w:t>
      </w:r>
      <w:r>
        <w:rPr>
          <w:sz w:val="32"/>
          <w:szCs w:val="32"/>
          <w:u w:val="single"/>
        </w:rPr>
        <w:t xml:space="preserve">            </w:t>
      </w:r>
      <w:r>
        <w:rPr>
          <w:sz w:val="32"/>
          <w:szCs w:val="32"/>
        </w:rPr>
        <w:t>（签字）</w:t>
      </w:r>
    </w:p>
    <w:p>
      <w:pPr>
        <w:spacing w:line="360" w:lineRule="auto"/>
        <w:ind w:firstLine="960" w:firstLineChars="300"/>
        <w:rPr>
          <w:sz w:val="32"/>
          <w:szCs w:val="32"/>
        </w:rPr>
      </w:pPr>
      <w:r>
        <w:rPr>
          <w:sz w:val="32"/>
          <w:szCs w:val="32"/>
        </w:rPr>
        <w:t>日      期：</w:t>
      </w:r>
      <w:r>
        <w:rPr>
          <w:sz w:val="32"/>
          <w:szCs w:val="32"/>
          <w:u w:val="single"/>
        </w:rPr>
        <w:t xml:space="preserve">        </w:t>
      </w:r>
      <w:r>
        <w:rPr>
          <w:sz w:val="32"/>
          <w:szCs w:val="32"/>
        </w:rPr>
        <w:t>年</w:t>
      </w:r>
      <w:r>
        <w:rPr>
          <w:sz w:val="32"/>
          <w:szCs w:val="32"/>
          <w:u w:val="single"/>
        </w:rPr>
        <w:t xml:space="preserve">      </w:t>
      </w:r>
      <w:r>
        <w:rPr>
          <w:sz w:val="32"/>
          <w:szCs w:val="32"/>
        </w:rPr>
        <w:t>月</w:t>
      </w:r>
      <w:r>
        <w:rPr>
          <w:sz w:val="32"/>
          <w:szCs w:val="32"/>
          <w:u w:val="single"/>
        </w:rPr>
        <w:t xml:space="preserve">      </w:t>
      </w:r>
      <w:r>
        <w:rPr>
          <w:sz w:val="32"/>
          <w:szCs w:val="32"/>
        </w:rPr>
        <w:t>日</w:t>
      </w:r>
    </w:p>
    <w:p>
      <w:pPr>
        <w:pStyle w:val="432"/>
        <w:rPr>
          <w:rFonts w:ascii="Times New Roman" w:hAnsi="Times New Roman" w:cs="Times New Roman"/>
        </w:rPr>
        <w:sectPr>
          <w:pgSz w:w="11906" w:h="16838"/>
          <w:pgMar w:top="1440" w:right="1440" w:bottom="1440" w:left="1797" w:header="851" w:footer="992" w:gutter="0"/>
          <w:pgNumType w:fmt="decimal"/>
          <w:cols w:space="720" w:num="1"/>
          <w:docGrid w:linePitch="312" w:charSpace="0"/>
        </w:sectPr>
      </w:pPr>
    </w:p>
    <w:p>
      <w:pPr>
        <w:jc w:val="center"/>
        <w:rPr>
          <w:rFonts w:eastAsia="黑体"/>
          <w:b/>
          <w:bCs/>
          <w:sz w:val="30"/>
          <w:szCs w:val="30"/>
        </w:rPr>
      </w:pPr>
      <w:bookmarkStart w:id="262" w:name="_Toc350418253"/>
      <w:bookmarkStart w:id="263" w:name="_Toc298434671"/>
      <w:bookmarkStart w:id="264" w:name="_Toc410631171"/>
      <w:bookmarkStart w:id="265" w:name="_Toc414445763"/>
      <w:bookmarkStart w:id="266" w:name="_Toc298745568"/>
      <w:bookmarkStart w:id="267" w:name="_Toc327276295"/>
      <w:bookmarkStart w:id="268" w:name="_Toc2190"/>
      <w:bookmarkStart w:id="269" w:name="_Toc298745650"/>
      <w:bookmarkStart w:id="270" w:name="_Toc416103813"/>
      <w:bookmarkStart w:id="271" w:name="_Toc298434528"/>
      <w:bookmarkStart w:id="272" w:name="_Toc9978"/>
      <w:bookmarkStart w:id="273" w:name="_Toc332094984"/>
      <w:bookmarkStart w:id="274" w:name="_Toc23024"/>
      <w:bookmarkStart w:id="275" w:name="_Toc22735"/>
      <w:bookmarkStart w:id="276" w:name="_Toc298458725"/>
      <w:bookmarkStart w:id="277" w:name="_Toc4228"/>
      <w:bookmarkStart w:id="278" w:name="_Toc9860"/>
      <w:r>
        <w:rPr>
          <w:rFonts w:eastAsia="黑体"/>
          <w:b/>
          <w:bCs/>
          <w:sz w:val="30"/>
          <w:szCs w:val="30"/>
        </w:rPr>
        <w:t>评标索引</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Pr>
          <w:rFonts w:hint="eastAsia" w:eastAsia="黑体"/>
          <w:b/>
          <w:bCs/>
          <w:sz w:val="30"/>
          <w:szCs w:val="30"/>
        </w:rPr>
        <w:t>（资格审查、符合性审查）</w:t>
      </w:r>
    </w:p>
    <w:p/>
    <w:tbl>
      <w:tblPr>
        <w:tblStyle w:val="41"/>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886"/>
        <w:gridCol w:w="437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765" w:type="dxa"/>
            <w:vAlign w:val="center"/>
          </w:tcPr>
          <w:p>
            <w:pPr>
              <w:snapToGrid w:val="0"/>
              <w:jc w:val="center"/>
              <w:rPr>
                <w:rFonts w:eastAsia="仿宋"/>
                <w:b/>
                <w:bCs/>
                <w:szCs w:val="21"/>
              </w:rPr>
            </w:pPr>
            <w:r>
              <w:rPr>
                <w:b/>
                <w:bCs/>
                <w:szCs w:val="21"/>
              </w:rPr>
              <w:t>序号</w:t>
            </w:r>
          </w:p>
        </w:tc>
        <w:tc>
          <w:tcPr>
            <w:tcW w:w="1886" w:type="dxa"/>
            <w:vAlign w:val="center"/>
          </w:tcPr>
          <w:p>
            <w:pPr>
              <w:snapToGrid w:val="0"/>
              <w:jc w:val="center"/>
              <w:rPr>
                <w:rFonts w:eastAsia="仿宋"/>
                <w:b/>
                <w:bCs/>
                <w:szCs w:val="21"/>
              </w:rPr>
            </w:pPr>
            <w:r>
              <w:rPr>
                <w:b/>
                <w:bCs/>
                <w:szCs w:val="21"/>
              </w:rPr>
              <w:t>评标办法审查内容</w:t>
            </w:r>
          </w:p>
        </w:tc>
        <w:tc>
          <w:tcPr>
            <w:tcW w:w="4372" w:type="dxa"/>
            <w:vAlign w:val="center"/>
          </w:tcPr>
          <w:p>
            <w:pPr>
              <w:snapToGrid w:val="0"/>
              <w:jc w:val="center"/>
              <w:rPr>
                <w:rFonts w:eastAsia="仿宋"/>
                <w:b/>
                <w:bCs/>
                <w:szCs w:val="21"/>
              </w:rPr>
            </w:pPr>
            <w:r>
              <w:rPr>
                <w:b/>
                <w:bCs/>
                <w:szCs w:val="21"/>
              </w:rPr>
              <w:t>评标办法审查标准</w:t>
            </w:r>
          </w:p>
        </w:tc>
        <w:tc>
          <w:tcPr>
            <w:tcW w:w="1843" w:type="dxa"/>
            <w:vAlign w:val="center"/>
          </w:tcPr>
          <w:p>
            <w:pPr>
              <w:snapToGrid w:val="0"/>
              <w:jc w:val="center"/>
              <w:rPr>
                <w:b/>
                <w:bCs/>
                <w:szCs w:val="21"/>
              </w:rPr>
            </w:pPr>
            <w:r>
              <w:rPr>
                <w:b/>
                <w:bCs/>
                <w:szCs w:val="21"/>
              </w:rPr>
              <w:t>投标文件对应内容的册及页码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866" w:type="dxa"/>
            <w:gridSpan w:val="4"/>
            <w:vAlign w:val="center"/>
          </w:tcPr>
          <w:p>
            <w:pPr>
              <w:snapToGrid w:val="0"/>
              <w:ind w:firstLine="480"/>
              <w:jc w:val="center"/>
              <w:rPr>
                <w:b/>
                <w:bCs/>
                <w:sz w:val="24"/>
              </w:rPr>
            </w:pPr>
            <w:r>
              <w:rPr>
                <w:rFonts w:hint="eastAsia"/>
                <w:b/>
                <w:bCs/>
                <w:sz w:val="24"/>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eastAsia="仿宋"/>
                <w:szCs w:val="21"/>
              </w:rPr>
            </w:pPr>
            <w:r>
              <w:rPr>
                <w:szCs w:val="21"/>
              </w:rPr>
              <w:t>1</w:t>
            </w:r>
          </w:p>
        </w:tc>
        <w:tc>
          <w:tcPr>
            <w:tcW w:w="1886" w:type="dxa"/>
            <w:vAlign w:val="center"/>
          </w:tcPr>
          <w:p>
            <w:pPr>
              <w:snapToGrid w:val="0"/>
              <w:jc w:val="left"/>
              <w:rPr>
                <w:rFonts w:eastAsia="仿宋"/>
                <w:szCs w:val="21"/>
              </w:rPr>
            </w:pPr>
            <w:r>
              <w:t>具有独立承担民事责任的能力</w:t>
            </w:r>
          </w:p>
        </w:tc>
        <w:tc>
          <w:tcPr>
            <w:tcW w:w="4372" w:type="dxa"/>
            <w:vAlign w:val="center"/>
          </w:tcPr>
          <w:p>
            <w:pPr>
              <w:snapToGrid w:val="0"/>
              <w:jc w:val="left"/>
              <w:rPr>
                <w:rFonts w:eastAsia="仿宋"/>
                <w:szCs w:val="21"/>
              </w:rPr>
            </w:pPr>
            <w:r>
              <w:t>法人或者其他组织的营业执照等证明文件；自然人需提供身份证明；</w:t>
            </w:r>
          </w:p>
        </w:tc>
        <w:tc>
          <w:tcPr>
            <w:tcW w:w="1843" w:type="dxa"/>
            <w:vAlign w:val="center"/>
          </w:tcPr>
          <w:p>
            <w:pPr>
              <w:snapToGrid w:val="0"/>
              <w:jc w:val="center"/>
              <w:rPr>
                <w:i/>
                <w:iCs/>
                <w:szCs w:val="21"/>
              </w:rPr>
            </w:pPr>
            <w:r>
              <w:rPr>
                <w:i/>
                <w:iCs/>
                <w:szCs w:val="21"/>
              </w:rPr>
              <w:t>第1页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eastAsia="仿宋"/>
                <w:szCs w:val="21"/>
              </w:rPr>
            </w:pPr>
            <w:r>
              <w:rPr>
                <w:szCs w:val="21"/>
              </w:rPr>
              <w:t>2</w:t>
            </w:r>
          </w:p>
        </w:tc>
        <w:tc>
          <w:tcPr>
            <w:tcW w:w="1886" w:type="dxa"/>
            <w:vAlign w:val="center"/>
          </w:tcPr>
          <w:p>
            <w:pPr>
              <w:snapToGrid w:val="0"/>
              <w:jc w:val="left"/>
              <w:rPr>
                <w:rFonts w:eastAsia="仿宋"/>
                <w:szCs w:val="21"/>
              </w:rPr>
            </w:pPr>
          </w:p>
        </w:tc>
        <w:tc>
          <w:tcPr>
            <w:tcW w:w="4372" w:type="dxa"/>
            <w:vAlign w:val="center"/>
          </w:tcPr>
          <w:p>
            <w:pPr>
              <w:snapToGrid w:val="0"/>
              <w:jc w:val="left"/>
              <w:rPr>
                <w:rFonts w:eastAsia="仿宋"/>
                <w:szCs w:val="21"/>
              </w:rPr>
            </w:pPr>
          </w:p>
        </w:tc>
        <w:tc>
          <w:tcPr>
            <w:tcW w:w="1843" w:type="dxa"/>
            <w:vAlign w:val="center"/>
          </w:tcPr>
          <w:p>
            <w:pPr>
              <w:snapToGrid w:val="0"/>
              <w:jc w:val="center"/>
              <w:rPr>
                <w:i/>
                <w:iCs/>
                <w:szCs w:val="21"/>
              </w:rPr>
            </w:pPr>
            <w:r>
              <w:rPr>
                <w:i/>
                <w:iCs/>
                <w:szCs w:val="21"/>
              </w:rPr>
              <w:t>第2-3页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eastAsia="仿宋"/>
                <w:szCs w:val="21"/>
              </w:rPr>
            </w:pPr>
            <w:r>
              <w:rPr>
                <w:szCs w:val="21"/>
              </w:rPr>
              <w:t>3</w:t>
            </w:r>
          </w:p>
        </w:tc>
        <w:tc>
          <w:tcPr>
            <w:tcW w:w="1886" w:type="dxa"/>
            <w:vAlign w:val="center"/>
          </w:tcPr>
          <w:p>
            <w:pPr>
              <w:snapToGrid w:val="0"/>
              <w:jc w:val="left"/>
              <w:rPr>
                <w:rFonts w:eastAsia="仿宋"/>
                <w:szCs w:val="21"/>
              </w:rPr>
            </w:pPr>
          </w:p>
        </w:tc>
        <w:tc>
          <w:tcPr>
            <w:tcW w:w="4372" w:type="dxa"/>
            <w:vAlign w:val="center"/>
          </w:tcPr>
          <w:p>
            <w:pPr>
              <w:snapToGrid w:val="0"/>
              <w:jc w:val="left"/>
              <w:rPr>
                <w:rFonts w:eastAsia="仿宋"/>
                <w:szCs w:val="21"/>
              </w:rPr>
            </w:pPr>
          </w:p>
        </w:tc>
        <w:tc>
          <w:tcPr>
            <w:tcW w:w="1843" w:type="dxa"/>
            <w:vAlign w:val="center"/>
          </w:tcPr>
          <w:p>
            <w:pPr>
              <w:snapToGrid w:val="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eastAsia="仿宋"/>
                <w:szCs w:val="21"/>
              </w:rPr>
            </w:pPr>
            <w:r>
              <w:rPr>
                <w:szCs w:val="21"/>
              </w:rPr>
              <w:t>4</w:t>
            </w:r>
          </w:p>
        </w:tc>
        <w:tc>
          <w:tcPr>
            <w:tcW w:w="1886" w:type="dxa"/>
            <w:vAlign w:val="center"/>
          </w:tcPr>
          <w:p>
            <w:pPr>
              <w:snapToGrid w:val="0"/>
              <w:jc w:val="left"/>
              <w:rPr>
                <w:rFonts w:eastAsia="仿宋"/>
                <w:szCs w:val="21"/>
              </w:rPr>
            </w:pPr>
          </w:p>
        </w:tc>
        <w:tc>
          <w:tcPr>
            <w:tcW w:w="4372" w:type="dxa"/>
            <w:vAlign w:val="center"/>
          </w:tcPr>
          <w:p>
            <w:pPr>
              <w:snapToGrid w:val="0"/>
              <w:jc w:val="left"/>
              <w:rPr>
                <w:rFonts w:eastAsia="仿宋"/>
                <w:szCs w:val="21"/>
              </w:rPr>
            </w:pPr>
          </w:p>
        </w:tc>
        <w:tc>
          <w:tcPr>
            <w:tcW w:w="1843" w:type="dxa"/>
            <w:vAlign w:val="center"/>
          </w:tcPr>
          <w:p>
            <w:pPr>
              <w:snapToGrid w:val="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eastAsia="仿宋"/>
                <w:szCs w:val="21"/>
              </w:rPr>
            </w:pPr>
            <w:r>
              <w:rPr>
                <w:szCs w:val="21"/>
              </w:rPr>
              <w:t>5</w:t>
            </w:r>
          </w:p>
        </w:tc>
        <w:tc>
          <w:tcPr>
            <w:tcW w:w="1886" w:type="dxa"/>
            <w:vAlign w:val="center"/>
          </w:tcPr>
          <w:p>
            <w:pPr>
              <w:snapToGrid w:val="0"/>
              <w:jc w:val="left"/>
              <w:rPr>
                <w:rFonts w:eastAsia="仿宋"/>
                <w:szCs w:val="21"/>
              </w:rPr>
            </w:pPr>
          </w:p>
        </w:tc>
        <w:tc>
          <w:tcPr>
            <w:tcW w:w="4372" w:type="dxa"/>
            <w:vAlign w:val="center"/>
          </w:tcPr>
          <w:p>
            <w:pPr>
              <w:snapToGrid w:val="0"/>
              <w:jc w:val="left"/>
              <w:rPr>
                <w:rFonts w:eastAsia="仿宋"/>
                <w:szCs w:val="21"/>
              </w:rPr>
            </w:pPr>
          </w:p>
        </w:tc>
        <w:tc>
          <w:tcPr>
            <w:tcW w:w="1843" w:type="dxa"/>
            <w:vAlign w:val="center"/>
          </w:tcPr>
          <w:p>
            <w:pPr>
              <w:snapToGrid w:val="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eastAsia="仿宋"/>
                <w:szCs w:val="21"/>
              </w:rPr>
            </w:pPr>
            <w:r>
              <w:rPr>
                <w:szCs w:val="21"/>
              </w:rPr>
              <w:t>6</w:t>
            </w:r>
          </w:p>
        </w:tc>
        <w:tc>
          <w:tcPr>
            <w:tcW w:w="1886" w:type="dxa"/>
            <w:vAlign w:val="center"/>
          </w:tcPr>
          <w:p>
            <w:pPr>
              <w:snapToGrid w:val="0"/>
              <w:jc w:val="left"/>
              <w:rPr>
                <w:rFonts w:eastAsia="仿宋"/>
                <w:szCs w:val="21"/>
              </w:rPr>
            </w:pPr>
          </w:p>
        </w:tc>
        <w:tc>
          <w:tcPr>
            <w:tcW w:w="4372" w:type="dxa"/>
            <w:vAlign w:val="center"/>
          </w:tcPr>
          <w:p>
            <w:pPr>
              <w:snapToGrid w:val="0"/>
              <w:jc w:val="left"/>
              <w:rPr>
                <w:rFonts w:eastAsia="仿宋"/>
                <w:szCs w:val="21"/>
              </w:rPr>
            </w:pPr>
          </w:p>
        </w:tc>
        <w:tc>
          <w:tcPr>
            <w:tcW w:w="1843" w:type="dxa"/>
            <w:vAlign w:val="center"/>
          </w:tcPr>
          <w:p>
            <w:pPr>
              <w:snapToGrid w:val="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eastAsia="仿宋"/>
                <w:szCs w:val="21"/>
              </w:rPr>
            </w:pPr>
            <w:r>
              <w:rPr>
                <w:szCs w:val="21"/>
              </w:rPr>
              <w:t>7</w:t>
            </w:r>
          </w:p>
        </w:tc>
        <w:tc>
          <w:tcPr>
            <w:tcW w:w="1886" w:type="dxa"/>
            <w:vAlign w:val="center"/>
          </w:tcPr>
          <w:p>
            <w:pPr>
              <w:snapToGrid w:val="0"/>
              <w:jc w:val="left"/>
              <w:rPr>
                <w:rFonts w:eastAsia="仿宋"/>
                <w:szCs w:val="21"/>
              </w:rPr>
            </w:pPr>
          </w:p>
        </w:tc>
        <w:tc>
          <w:tcPr>
            <w:tcW w:w="4372" w:type="dxa"/>
            <w:vAlign w:val="center"/>
          </w:tcPr>
          <w:p>
            <w:pPr>
              <w:snapToGrid w:val="0"/>
              <w:jc w:val="left"/>
              <w:rPr>
                <w:rFonts w:eastAsia="仿宋"/>
                <w:szCs w:val="21"/>
              </w:rPr>
            </w:pPr>
          </w:p>
        </w:tc>
        <w:tc>
          <w:tcPr>
            <w:tcW w:w="1843" w:type="dxa"/>
            <w:vAlign w:val="center"/>
          </w:tcPr>
          <w:p>
            <w:pPr>
              <w:snapToGrid w:val="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eastAsia="仿宋"/>
                <w:szCs w:val="21"/>
              </w:rPr>
            </w:pPr>
            <w:r>
              <w:rPr>
                <w:szCs w:val="21"/>
              </w:rPr>
              <w:t>8</w:t>
            </w:r>
          </w:p>
        </w:tc>
        <w:tc>
          <w:tcPr>
            <w:tcW w:w="1886" w:type="dxa"/>
            <w:vAlign w:val="center"/>
          </w:tcPr>
          <w:p>
            <w:pPr>
              <w:snapToGrid w:val="0"/>
              <w:jc w:val="left"/>
              <w:rPr>
                <w:rFonts w:eastAsia="仿宋"/>
                <w:szCs w:val="21"/>
              </w:rPr>
            </w:pPr>
          </w:p>
        </w:tc>
        <w:tc>
          <w:tcPr>
            <w:tcW w:w="4372" w:type="dxa"/>
            <w:vAlign w:val="center"/>
          </w:tcPr>
          <w:p>
            <w:pPr>
              <w:snapToGrid w:val="0"/>
              <w:jc w:val="left"/>
              <w:rPr>
                <w:rFonts w:eastAsia="仿宋"/>
                <w:szCs w:val="21"/>
              </w:rPr>
            </w:pPr>
          </w:p>
        </w:tc>
        <w:tc>
          <w:tcPr>
            <w:tcW w:w="1843" w:type="dxa"/>
            <w:vAlign w:val="center"/>
          </w:tcPr>
          <w:p>
            <w:pPr>
              <w:snapToGrid w:val="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eastAsia="仿宋"/>
                <w:szCs w:val="21"/>
              </w:rPr>
            </w:pPr>
            <w:r>
              <w:rPr>
                <w:szCs w:val="21"/>
              </w:rPr>
              <w:t>9</w:t>
            </w:r>
          </w:p>
        </w:tc>
        <w:tc>
          <w:tcPr>
            <w:tcW w:w="1886" w:type="dxa"/>
            <w:vAlign w:val="center"/>
          </w:tcPr>
          <w:p>
            <w:pPr>
              <w:snapToGrid w:val="0"/>
              <w:jc w:val="left"/>
              <w:rPr>
                <w:rFonts w:eastAsia="仿宋"/>
                <w:szCs w:val="21"/>
              </w:rPr>
            </w:pPr>
          </w:p>
        </w:tc>
        <w:tc>
          <w:tcPr>
            <w:tcW w:w="4372" w:type="dxa"/>
            <w:vAlign w:val="center"/>
          </w:tcPr>
          <w:p>
            <w:pPr>
              <w:snapToGrid w:val="0"/>
              <w:jc w:val="left"/>
              <w:rPr>
                <w:rFonts w:eastAsia="仿宋"/>
                <w:szCs w:val="21"/>
              </w:rPr>
            </w:pPr>
          </w:p>
        </w:tc>
        <w:tc>
          <w:tcPr>
            <w:tcW w:w="1843" w:type="dxa"/>
            <w:vAlign w:val="center"/>
          </w:tcPr>
          <w:p>
            <w:pPr>
              <w:snapToGrid w:val="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eastAsia="仿宋"/>
                <w:szCs w:val="21"/>
              </w:rPr>
            </w:pPr>
            <w:r>
              <w:rPr>
                <w:szCs w:val="21"/>
              </w:rPr>
              <w:t>10</w:t>
            </w:r>
          </w:p>
        </w:tc>
        <w:tc>
          <w:tcPr>
            <w:tcW w:w="1886" w:type="dxa"/>
            <w:vAlign w:val="center"/>
          </w:tcPr>
          <w:p>
            <w:pPr>
              <w:snapToGrid w:val="0"/>
              <w:jc w:val="left"/>
              <w:rPr>
                <w:rFonts w:eastAsia="仿宋"/>
                <w:szCs w:val="21"/>
              </w:rPr>
            </w:pPr>
          </w:p>
        </w:tc>
        <w:tc>
          <w:tcPr>
            <w:tcW w:w="4372" w:type="dxa"/>
            <w:vAlign w:val="center"/>
          </w:tcPr>
          <w:p>
            <w:pPr>
              <w:snapToGrid w:val="0"/>
              <w:jc w:val="left"/>
              <w:rPr>
                <w:rFonts w:eastAsia="仿宋"/>
                <w:szCs w:val="21"/>
              </w:rPr>
            </w:pPr>
          </w:p>
        </w:tc>
        <w:tc>
          <w:tcPr>
            <w:tcW w:w="1843" w:type="dxa"/>
            <w:vAlign w:val="center"/>
          </w:tcPr>
          <w:p>
            <w:pPr>
              <w:snapToGrid w:val="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w:t>
            </w:r>
          </w:p>
        </w:tc>
        <w:tc>
          <w:tcPr>
            <w:tcW w:w="43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w:t>
            </w:r>
          </w:p>
        </w:tc>
        <w:tc>
          <w:tcPr>
            <w:tcW w:w="43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866"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b/>
                <w:bCs/>
                <w:szCs w:val="21"/>
              </w:rPr>
            </w:pPr>
            <w:r>
              <w:rPr>
                <w:rFonts w:hint="eastAsia"/>
                <w:b/>
                <w:bCs/>
                <w:sz w:val="24"/>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1</w:t>
            </w: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w:t>
            </w:r>
          </w:p>
        </w:tc>
        <w:tc>
          <w:tcPr>
            <w:tcW w:w="4372" w:type="dxa"/>
            <w:tcBorders>
              <w:top w:val="single" w:color="auto" w:sz="4" w:space="0"/>
              <w:left w:val="single" w:color="auto" w:sz="4" w:space="0"/>
              <w:bottom w:val="single" w:color="auto" w:sz="4" w:space="0"/>
              <w:right w:val="single" w:color="auto" w:sz="4" w:space="0"/>
            </w:tcBorders>
          </w:tcPr>
          <w:p>
            <w:pPr>
              <w:snapToGrid w:val="0"/>
              <w:jc w:val="left"/>
              <w:rPr>
                <w:rFonts w:eastAsia="仿宋"/>
                <w:szCs w:val="21"/>
              </w:rPr>
            </w:pPr>
            <w:r>
              <w:t>报价函是否有投标人盖章及法定代表人或法定代表人授权的代理人签字或盖章的；</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2</w:t>
            </w: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4372" w:type="dxa"/>
            <w:tcBorders>
              <w:top w:val="single" w:color="auto" w:sz="4" w:space="0"/>
              <w:left w:val="single" w:color="auto" w:sz="4" w:space="0"/>
              <w:bottom w:val="single" w:color="auto" w:sz="4" w:space="0"/>
              <w:right w:val="single" w:color="auto" w:sz="4" w:space="0"/>
            </w:tcBorders>
          </w:tcPr>
          <w:p>
            <w:pPr>
              <w:snapToGrid w:val="0"/>
              <w:jc w:val="left"/>
              <w:rPr>
                <w:rFonts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3</w:t>
            </w: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4372" w:type="dxa"/>
            <w:tcBorders>
              <w:top w:val="single" w:color="auto" w:sz="4" w:space="0"/>
              <w:left w:val="single" w:color="auto" w:sz="4" w:space="0"/>
              <w:bottom w:val="single" w:color="auto" w:sz="4" w:space="0"/>
              <w:right w:val="single" w:color="auto" w:sz="4" w:space="0"/>
            </w:tcBorders>
          </w:tcPr>
          <w:p>
            <w:pPr>
              <w:snapToGrid w:val="0"/>
              <w:jc w:val="left"/>
              <w:rPr>
                <w:rFonts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4</w:t>
            </w: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4372" w:type="dxa"/>
            <w:tcBorders>
              <w:top w:val="single" w:color="auto" w:sz="4" w:space="0"/>
              <w:left w:val="single" w:color="auto" w:sz="4" w:space="0"/>
              <w:bottom w:val="single" w:color="auto" w:sz="4" w:space="0"/>
              <w:right w:val="single" w:color="auto" w:sz="4" w:space="0"/>
            </w:tcBorders>
          </w:tcPr>
          <w:p>
            <w:pPr>
              <w:snapToGrid w:val="0"/>
              <w:jc w:val="left"/>
              <w:rPr>
                <w:rFonts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5</w:t>
            </w: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4372" w:type="dxa"/>
            <w:tcBorders>
              <w:top w:val="single" w:color="auto" w:sz="4" w:space="0"/>
              <w:left w:val="single" w:color="auto" w:sz="4" w:space="0"/>
              <w:bottom w:val="single" w:color="auto" w:sz="4" w:space="0"/>
              <w:right w:val="single" w:color="auto" w:sz="4" w:space="0"/>
            </w:tcBorders>
          </w:tcPr>
          <w:p>
            <w:pPr>
              <w:snapToGrid w:val="0"/>
              <w:jc w:val="left"/>
              <w:rPr>
                <w:rFonts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6</w:t>
            </w: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4372" w:type="dxa"/>
            <w:tcBorders>
              <w:top w:val="single" w:color="auto" w:sz="4" w:space="0"/>
              <w:left w:val="single" w:color="auto" w:sz="4" w:space="0"/>
              <w:bottom w:val="single" w:color="auto" w:sz="4" w:space="0"/>
              <w:right w:val="single" w:color="auto" w:sz="4" w:space="0"/>
            </w:tcBorders>
          </w:tcPr>
          <w:p>
            <w:pPr>
              <w:snapToGrid w:val="0"/>
              <w:jc w:val="left"/>
              <w:rPr>
                <w:rFonts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7</w:t>
            </w: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4372" w:type="dxa"/>
            <w:tcBorders>
              <w:top w:val="single" w:color="auto" w:sz="4" w:space="0"/>
              <w:left w:val="single" w:color="auto" w:sz="4" w:space="0"/>
              <w:bottom w:val="single" w:color="auto" w:sz="4" w:space="0"/>
              <w:right w:val="single" w:color="auto" w:sz="4" w:space="0"/>
            </w:tcBorders>
          </w:tcPr>
          <w:p>
            <w:pPr>
              <w:snapToGrid w:val="0"/>
              <w:jc w:val="left"/>
              <w:rPr>
                <w:rFonts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8</w:t>
            </w: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4372" w:type="dxa"/>
            <w:tcBorders>
              <w:top w:val="single" w:color="auto" w:sz="4" w:space="0"/>
              <w:left w:val="single" w:color="auto" w:sz="4" w:space="0"/>
              <w:bottom w:val="single" w:color="auto" w:sz="4" w:space="0"/>
              <w:right w:val="single" w:color="auto" w:sz="4" w:space="0"/>
            </w:tcBorders>
          </w:tcPr>
          <w:p>
            <w:pPr>
              <w:snapToGrid w:val="0"/>
              <w:jc w:val="left"/>
              <w:rPr>
                <w:rFonts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9</w:t>
            </w: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4372" w:type="dxa"/>
            <w:tcBorders>
              <w:top w:val="single" w:color="auto" w:sz="4" w:space="0"/>
              <w:left w:val="single" w:color="auto" w:sz="4" w:space="0"/>
              <w:bottom w:val="single" w:color="auto" w:sz="4" w:space="0"/>
              <w:right w:val="single" w:color="auto" w:sz="4" w:space="0"/>
            </w:tcBorders>
          </w:tcPr>
          <w:p>
            <w:pPr>
              <w:snapToGrid w:val="0"/>
              <w:jc w:val="left"/>
              <w:rPr>
                <w:rFonts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w:t>
            </w:r>
          </w:p>
        </w:tc>
        <w:tc>
          <w:tcPr>
            <w:tcW w:w="43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w:t>
            </w:r>
          </w:p>
        </w:tc>
        <w:tc>
          <w:tcPr>
            <w:tcW w:w="43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p>
        </w:tc>
      </w:tr>
    </w:tbl>
    <w:p>
      <w:pPr>
        <w:spacing w:line="360" w:lineRule="auto"/>
        <w:ind w:firstLine="480"/>
        <w:jc w:val="left"/>
        <w:rPr>
          <w:szCs w:val="21"/>
        </w:rPr>
      </w:pPr>
    </w:p>
    <w:p>
      <w:bookmarkStart w:id="279" w:name="_Toc16472"/>
      <w:r>
        <w:t>注：该评标索引表格放在投标文件目录后，正文的第一页。</w:t>
      </w:r>
      <w:bookmarkEnd w:id="279"/>
      <w:bookmarkStart w:id="280" w:name="_Toc16276"/>
      <w:bookmarkStart w:id="281" w:name="_Toc15152"/>
      <w:bookmarkStart w:id="282" w:name="_Toc8278"/>
      <w:bookmarkStart w:id="283" w:name="_Toc19769"/>
      <w:bookmarkStart w:id="284" w:name="_Toc24075"/>
      <w:bookmarkStart w:id="285" w:name="_Toc8800"/>
      <w:bookmarkStart w:id="286" w:name="_Toc31746"/>
    </w:p>
    <w:p>
      <w:pPr>
        <w:jc w:val="center"/>
        <w:rPr>
          <w:szCs w:val="21"/>
        </w:rPr>
      </w:pPr>
    </w:p>
    <w:p>
      <w:pPr>
        <w:jc w:val="center"/>
        <w:rPr>
          <w:rFonts w:eastAsia="黑体"/>
          <w:b/>
          <w:bCs/>
          <w:sz w:val="30"/>
          <w:szCs w:val="30"/>
        </w:rPr>
      </w:pPr>
      <w:r>
        <w:rPr>
          <w:rFonts w:eastAsia="黑体"/>
          <w:b/>
          <w:bCs/>
          <w:sz w:val="30"/>
          <w:szCs w:val="30"/>
        </w:rPr>
        <w:t>评标索引</w:t>
      </w:r>
    </w:p>
    <w:p>
      <w:pPr>
        <w:jc w:val="center"/>
        <w:rPr>
          <w:rFonts w:eastAsia="黑体"/>
          <w:b/>
          <w:bCs/>
          <w:sz w:val="30"/>
          <w:szCs w:val="30"/>
        </w:rPr>
      </w:pPr>
      <w:r>
        <w:rPr>
          <w:rFonts w:hint="eastAsia" w:eastAsia="黑体"/>
          <w:b/>
          <w:bCs/>
          <w:sz w:val="30"/>
          <w:szCs w:val="30"/>
        </w:rPr>
        <w:t>（商务技术部分评审）</w:t>
      </w:r>
    </w:p>
    <w:p/>
    <w:tbl>
      <w:tblPr>
        <w:tblStyle w:val="41"/>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418"/>
        <w:gridCol w:w="1418"/>
        <w:gridCol w:w="4000"/>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765" w:type="dxa"/>
            <w:vAlign w:val="center"/>
          </w:tcPr>
          <w:p>
            <w:pPr>
              <w:snapToGrid w:val="0"/>
              <w:jc w:val="center"/>
              <w:rPr>
                <w:rFonts w:eastAsia="仿宋"/>
                <w:b/>
                <w:bCs/>
                <w:szCs w:val="21"/>
              </w:rPr>
            </w:pPr>
            <w:r>
              <w:rPr>
                <w:b/>
                <w:bCs/>
                <w:szCs w:val="21"/>
              </w:rPr>
              <w:t>序号</w:t>
            </w:r>
          </w:p>
        </w:tc>
        <w:tc>
          <w:tcPr>
            <w:tcW w:w="2836" w:type="dxa"/>
            <w:gridSpan w:val="2"/>
            <w:vAlign w:val="center"/>
          </w:tcPr>
          <w:p>
            <w:pPr>
              <w:snapToGrid w:val="0"/>
              <w:jc w:val="center"/>
              <w:rPr>
                <w:b/>
                <w:bCs/>
                <w:szCs w:val="21"/>
              </w:rPr>
            </w:pPr>
            <w:r>
              <w:rPr>
                <w:b/>
                <w:bCs/>
                <w:szCs w:val="21"/>
              </w:rPr>
              <w:t>评标办法审查内容</w:t>
            </w:r>
          </w:p>
        </w:tc>
        <w:tc>
          <w:tcPr>
            <w:tcW w:w="4000" w:type="dxa"/>
            <w:vAlign w:val="center"/>
          </w:tcPr>
          <w:p>
            <w:pPr>
              <w:snapToGrid w:val="0"/>
              <w:jc w:val="center"/>
              <w:rPr>
                <w:rFonts w:eastAsia="仿宋"/>
                <w:b/>
                <w:bCs/>
                <w:szCs w:val="21"/>
              </w:rPr>
            </w:pPr>
            <w:r>
              <w:rPr>
                <w:b/>
                <w:bCs/>
                <w:szCs w:val="21"/>
              </w:rPr>
              <w:t>评标办法审查标准</w:t>
            </w:r>
          </w:p>
        </w:tc>
        <w:tc>
          <w:tcPr>
            <w:tcW w:w="1528" w:type="dxa"/>
            <w:vAlign w:val="center"/>
          </w:tcPr>
          <w:p>
            <w:pPr>
              <w:snapToGrid w:val="0"/>
              <w:jc w:val="center"/>
              <w:rPr>
                <w:b/>
                <w:bCs/>
                <w:szCs w:val="21"/>
              </w:rPr>
            </w:pPr>
            <w:r>
              <w:rPr>
                <w:b/>
                <w:bCs/>
                <w:szCs w:val="21"/>
              </w:rPr>
              <w:t>投标文件对应内容的册及页码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jc w:val="left"/>
              <w:rPr>
                <w:rFonts w:eastAsia="仿宋"/>
                <w:szCs w:val="21"/>
              </w:rPr>
            </w:pPr>
          </w:p>
        </w:tc>
        <w:tc>
          <w:tcPr>
            <w:tcW w:w="4000" w:type="dxa"/>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jc w:val="left"/>
              <w:rPr>
                <w:rFonts w:eastAsia="仿宋"/>
                <w:szCs w:val="21"/>
              </w:rPr>
            </w:pPr>
          </w:p>
        </w:tc>
        <w:tc>
          <w:tcPr>
            <w:tcW w:w="4000" w:type="dxa"/>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3</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jc w:val="left"/>
              <w:rPr>
                <w:rFonts w:eastAsia="仿宋"/>
                <w:szCs w:val="21"/>
              </w:rPr>
            </w:pPr>
          </w:p>
        </w:tc>
        <w:tc>
          <w:tcPr>
            <w:tcW w:w="4000" w:type="dxa"/>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4</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jc w:val="left"/>
              <w:rPr>
                <w:rFonts w:eastAsia="仿宋"/>
                <w:szCs w:val="21"/>
              </w:rPr>
            </w:pPr>
          </w:p>
        </w:tc>
        <w:tc>
          <w:tcPr>
            <w:tcW w:w="4000" w:type="dxa"/>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5</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jc w:val="left"/>
              <w:rPr>
                <w:rFonts w:eastAsia="仿宋"/>
                <w:szCs w:val="21"/>
              </w:rPr>
            </w:pPr>
          </w:p>
        </w:tc>
        <w:tc>
          <w:tcPr>
            <w:tcW w:w="4000" w:type="dxa"/>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6</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jc w:val="left"/>
              <w:rPr>
                <w:rFonts w:eastAsia="仿宋"/>
                <w:szCs w:val="21"/>
              </w:rPr>
            </w:pPr>
          </w:p>
        </w:tc>
        <w:tc>
          <w:tcPr>
            <w:tcW w:w="4000" w:type="dxa"/>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r>
              <w:rPr>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w:t>
            </w:r>
          </w:p>
        </w:tc>
        <w:tc>
          <w:tcPr>
            <w:tcW w:w="1418" w:type="dxa"/>
            <w:tcBorders>
              <w:top w:val="single" w:color="auto" w:sz="4" w:space="0"/>
              <w:left w:val="single" w:color="auto" w:sz="4" w:space="0"/>
              <w:bottom w:val="single" w:color="auto" w:sz="4" w:space="0"/>
              <w:right w:val="single" w:color="auto" w:sz="4" w:space="0"/>
            </w:tcBorders>
          </w:tcPr>
          <w:p>
            <w:pPr>
              <w:snapToGrid w:val="0"/>
              <w:jc w:val="center"/>
              <w:rPr>
                <w:rFonts w:eastAsia="仿宋"/>
                <w:szCs w:val="21"/>
              </w:rPr>
            </w:pPr>
          </w:p>
        </w:tc>
        <w:tc>
          <w:tcPr>
            <w:tcW w:w="40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w:t>
            </w:r>
          </w:p>
        </w:tc>
        <w:tc>
          <w:tcPr>
            <w:tcW w:w="1418" w:type="dxa"/>
            <w:tcBorders>
              <w:top w:val="single" w:color="auto" w:sz="4" w:space="0"/>
              <w:left w:val="single" w:color="auto" w:sz="4" w:space="0"/>
              <w:bottom w:val="single" w:color="auto" w:sz="4" w:space="0"/>
              <w:right w:val="single" w:color="auto" w:sz="4" w:space="0"/>
            </w:tcBorders>
          </w:tcPr>
          <w:p>
            <w:pPr>
              <w:snapToGrid w:val="0"/>
              <w:jc w:val="center"/>
              <w:rPr>
                <w:rFonts w:eastAsia="仿宋"/>
                <w:szCs w:val="21"/>
              </w:rPr>
            </w:pPr>
          </w:p>
        </w:tc>
        <w:tc>
          <w:tcPr>
            <w:tcW w:w="40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szCs w:val="21"/>
              </w:rPr>
            </w:pPr>
          </w:p>
        </w:tc>
      </w:tr>
    </w:tbl>
    <w:p>
      <w:pPr>
        <w:jc w:val="center"/>
        <w:rPr>
          <w:szCs w:val="21"/>
        </w:rPr>
      </w:pPr>
    </w:p>
    <w:p>
      <w:r>
        <w:rPr>
          <w:szCs w:val="21"/>
        </w:rPr>
        <w:tab/>
      </w:r>
      <w:r>
        <w:t>注：该评标索引表格放在投标文件目录后，正文的第一页。</w:t>
      </w:r>
    </w:p>
    <w:p>
      <w:pPr>
        <w:tabs>
          <w:tab w:val="left" w:pos="360"/>
          <w:tab w:val="center" w:pos="4334"/>
        </w:tabs>
        <w:jc w:val="left"/>
        <w:rPr>
          <w:szCs w:val="21"/>
        </w:rPr>
      </w:pPr>
      <w:r>
        <w:rPr>
          <w:szCs w:val="21"/>
        </w:rPr>
        <w:tab/>
      </w:r>
    </w:p>
    <w:p>
      <w:pPr>
        <w:jc w:val="center"/>
        <w:rPr>
          <w:rFonts w:eastAsia="黑体"/>
          <w:b/>
          <w:bCs/>
          <w:sz w:val="30"/>
          <w:szCs w:val="30"/>
        </w:rPr>
        <w:sectPr>
          <w:footerReference r:id="rId6" w:type="default"/>
          <w:pgSz w:w="11906" w:h="16838"/>
          <w:pgMar w:top="1440" w:right="1440" w:bottom="1440" w:left="1797" w:header="851" w:footer="992" w:gutter="0"/>
          <w:pgNumType w:fmt="decimal"/>
          <w:cols w:space="720" w:num="1"/>
          <w:docGrid w:linePitch="312" w:charSpace="0"/>
        </w:sectPr>
      </w:pPr>
    </w:p>
    <w:bookmarkEnd w:id="280"/>
    <w:bookmarkEnd w:id="281"/>
    <w:bookmarkEnd w:id="282"/>
    <w:bookmarkEnd w:id="283"/>
    <w:bookmarkEnd w:id="284"/>
    <w:bookmarkEnd w:id="285"/>
    <w:bookmarkEnd w:id="286"/>
    <w:p>
      <w:pPr>
        <w:pStyle w:val="4"/>
        <w:spacing w:before="0" w:after="0" w:line="240" w:lineRule="auto"/>
        <w:rPr>
          <w:rFonts w:ascii="Times New Roman" w:hAnsi="Times New Roman"/>
          <w:sz w:val="28"/>
          <w:szCs w:val="28"/>
        </w:rPr>
      </w:pPr>
      <w:bookmarkStart w:id="287" w:name="_Toc13908"/>
      <w:bookmarkStart w:id="288" w:name="_Toc103677755"/>
      <w:r>
        <w:rPr>
          <w:rFonts w:hint="eastAsia" w:ascii="Times New Roman" w:hAnsi="Times New Roman"/>
          <w:sz w:val="28"/>
          <w:szCs w:val="28"/>
        </w:rPr>
        <w:t xml:space="preserve">第一部分 </w:t>
      </w:r>
      <w:r>
        <w:rPr>
          <w:rFonts w:ascii="Times New Roman" w:hAnsi="Times New Roman"/>
          <w:sz w:val="28"/>
          <w:szCs w:val="28"/>
        </w:rPr>
        <w:t xml:space="preserve"> 商务部分</w:t>
      </w:r>
      <w:bookmarkEnd w:id="287"/>
      <w:bookmarkEnd w:id="288"/>
    </w:p>
    <w:p>
      <w:pPr>
        <w:pStyle w:val="2"/>
        <w:spacing w:before="0" w:after="0" w:line="240" w:lineRule="auto"/>
        <w:rPr>
          <w:rFonts w:eastAsia="黑体"/>
          <w:sz w:val="28"/>
          <w:szCs w:val="28"/>
        </w:rPr>
      </w:pPr>
      <w:bookmarkStart w:id="289" w:name="_Toc103677756"/>
      <w:bookmarkStart w:id="290" w:name="_Toc15491"/>
      <w:r>
        <w:rPr>
          <w:rFonts w:hint="eastAsia" w:eastAsia="黑体"/>
          <w:sz w:val="28"/>
          <w:szCs w:val="28"/>
        </w:rPr>
        <w:t>一、</w:t>
      </w:r>
      <w:r>
        <w:rPr>
          <w:rFonts w:eastAsia="黑体"/>
          <w:sz w:val="28"/>
          <w:szCs w:val="28"/>
        </w:rPr>
        <w:t>投标函</w:t>
      </w:r>
      <w:bookmarkEnd w:id="289"/>
      <w:bookmarkEnd w:id="290"/>
    </w:p>
    <w:p>
      <w:pPr>
        <w:autoSpaceDE w:val="0"/>
        <w:autoSpaceDN w:val="0"/>
        <w:adjustRightInd w:val="0"/>
        <w:spacing w:line="360" w:lineRule="auto"/>
        <w:jc w:val="center"/>
        <w:rPr>
          <w:rFonts w:eastAsia="黑体"/>
          <w:b/>
          <w:bCs/>
          <w:kern w:val="0"/>
          <w:sz w:val="36"/>
          <w:szCs w:val="36"/>
        </w:rPr>
      </w:pPr>
      <w:r>
        <w:rPr>
          <w:rFonts w:eastAsia="黑体"/>
          <w:b/>
          <w:bCs/>
          <w:kern w:val="0"/>
          <w:sz w:val="36"/>
          <w:szCs w:val="36"/>
        </w:rPr>
        <w:t>投标函</w:t>
      </w:r>
    </w:p>
    <w:p>
      <w:pPr>
        <w:autoSpaceDE w:val="0"/>
        <w:autoSpaceDN w:val="0"/>
        <w:adjustRightInd w:val="0"/>
        <w:snapToGrid w:val="0"/>
        <w:spacing w:line="360" w:lineRule="auto"/>
        <w:jc w:val="left"/>
        <w:rPr>
          <w:b/>
          <w:bCs/>
          <w:kern w:val="0"/>
          <w:sz w:val="24"/>
        </w:rPr>
      </w:pPr>
      <w:r>
        <w:rPr>
          <w:b/>
          <w:bCs/>
          <w:kern w:val="0"/>
          <w:sz w:val="24"/>
          <w:u w:val="single"/>
        </w:rPr>
        <w:t>新疆维吾尔自治区人民医院</w:t>
      </w:r>
      <w:r>
        <w:rPr>
          <w:b/>
          <w:bCs/>
          <w:kern w:val="0"/>
          <w:sz w:val="24"/>
        </w:rPr>
        <w:t>（采购人名称）：</w:t>
      </w:r>
    </w:p>
    <w:p>
      <w:pPr>
        <w:autoSpaceDE w:val="0"/>
        <w:autoSpaceDN w:val="0"/>
        <w:adjustRightInd w:val="0"/>
        <w:snapToGrid w:val="0"/>
        <w:spacing w:line="360" w:lineRule="auto"/>
        <w:ind w:firstLine="480" w:firstLineChars="200"/>
        <w:jc w:val="left"/>
        <w:rPr>
          <w:kern w:val="0"/>
          <w:sz w:val="24"/>
        </w:rPr>
      </w:pPr>
      <w:r>
        <w:rPr>
          <w:kern w:val="0"/>
          <w:sz w:val="24"/>
        </w:rPr>
        <w:t>1.我方已仔细研究了</w:t>
      </w:r>
      <w:r>
        <w:rPr>
          <w:kern w:val="0"/>
          <w:sz w:val="24"/>
          <w:u w:val="single"/>
        </w:rPr>
        <w:t xml:space="preserve">     （项目名称）    标项一（标项号）</w:t>
      </w:r>
      <w:r>
        <w:rPr>
          <w:rFonts w:hint="eastAsia"/>
          <w:kern w:val="0"/>
          <w:sz w:val="24"/>
          <w:u w:val="single"/>
        </w:rPr>
        <w:t xml:space="preserve"> </w:t>
      </w:r>
      <w:r>
        <w:rPr>
          <w:kern w:val="0"/>
          <w:sz w:val="24"/>
          <w:u w:val="single"/>
        </w:rPr>
        <w:t xml:space="preserve">   </w:t>
      </w:r>
      <w:r>
        <w:rPr>
          <w:kern w:val="0"/>
          <w:sz w:val="24"/>
        </w:rPr>
        <w:t>招标文件（包括修改、澄清文件）的全部内容，且对招标文件无任何异议，并愿意以“开标一览表”所填写的投标报价、交货期及交货地点，向你方</w:t>
      </w:r>
      <w:r>
        <w:rPr>
          <w:sz w:val="24"/>
        </w:rPr>
        <w:t>提供招标文件要求的货物和服务</w:t>
      </w:r>
      <w:r>
        <w:rPr>
          <w:kern w:val="0"/>
          <w:sz w:val="24"/>
        </w:rPr>
        <w:t>。</w:t>
      </w:r>
    </w:p>
    <w:p>
      <w:pPr>
        <w:autoSpaceDE w:val="0"/>
        <w:autoSpaceDN w:val="0"/>
        <w:adjustRightInd w:val="0"/>
        <w:snapToGrid w:val="0"/>
        <w:spacing w:line="360" w:lineRule="auto"/>
        <w:ind w:firstLine="480" w:firstLineChars="200"/>
        <w:jc w:val="left"/>
        <w:rPr>
          <w:kern w:val="0"/>
          <w:sz w:val="24"/>
        </w:rPr>
      </w:pPr>
      <w:r>
        <w:rPr>
          <w:kern w:val="0"/>
          <w:sz w:val="24"/>
        </w:rPr>
        <w:t>2.我方承诺在投标有效期内不修改或撤销投标文件。否则，你方可不予退还我方的投标保证金。</w:t>
      </w:r>
    </w:p>
    <w:p>
      <w:pPr>
        <w:autoSpaceDE w:val="0"/>
        <w:autoSpaceDN w:val="0"/>
        <w:adjustRightInd w:val="0"/>
        <w:snapToGrid w:val="0"/>
        <w:spacing w:line="360" w:lineRule="auto"/>
        <w:ind w:firstLine="480" w:firstLineChars="200"/>
        <w:jc w:val="left"/>
        <w:rPr>
          <w:kern w:val="0"/>
          <w:sz w:val="24"/>
        </w:rPr>
      </w:pPr>
      <w:r>
        <w:rPr>
          <w:kern w:val="0"/>
          <w:sz w:val="24"/>
        </w:rPr>
        <w:t>3.随同本投标函提交投标保证金一份，金额见“开标一览表”。</w:t>
      </w:r>
    </w:p>
    <w:p>
      <w:pPr>
        <w:autoSpaceDE w:val="0"/>
        <w:autoSpaceDN w:val="0"/>
        <w:adjustRightInd w:val="0"/>
        <w:snapToGrid w:val="0"/>
        <w:spacing w:line="360" w:lineRule="auto"/>
        <w:ind w:firstLine="480" w:firstLineChars="200"/>
        <w:jc w:val="left"/>
        <w:rPr>
          <w:kern w:val="0"/>
          <w:sz w:val="24"/>
        </w:rPr>
      </w:pPr>
      <w:r>
        <w:rPr>
          <w:kern w:val="0"/>
          <w:sz w:val="24"/>
        </w:rPr>
        <w:t>4.本投标的投标有效期为自投标截止之日起</w:t>
      </w:r>
      <w:r>
        <w:rPr>
          <w:kern w:val="0"/>
          <w:sz w:val="24"/>
          <w:u w:val="single"/>
        </w:rPr>
        <w:t xml:space="preserve"> 90 </w:t>
      </w:r>
      <w:r>
        <w:rPr>
          <w:kern w:val="0"/>
          <w:sz w:val="24"/>
        </w:rPr>
        <w:t>个日历天。</w:t>
      </w:r>
    </w:p>
    <w:p>
      <w:pPr>
        <w:autoSpaceDE w:val="0"/>
        <w:autoSpaceDN w:val="0"/>
        <w:adjustRightInd w:val="0"/>
        <w:snapToGrid w:val="0"/>
        <w:spacing w:line="360" w:lineRule="auto"/>
        <w:ind w:firstLine="480" w:firstLineChars="200"/>
        <w:jc w:val="left"/>
        <w:rPr>
          <w:kern w:val="0"/>
          <w:sz w:val="24"/>
        </w:rPr>
      </w:pPr>
      <w:r>
        <w:rPr>
          <w:kern w:val="0"/>
          <w:sz w:val="24"/>
        </w:rPr>
        <w:t>5.我方承诺所提交的投标文件及有关资料是完整的、真实的和准确的，否则，我方承担由此造成的任何损失及引起的任何后果。若我方已经收到中标通知书，我方将无条件的承认该中标通知书无效，对采购人不具有任何法律约束力。</w:t>
      </w:r>
    </w:p>
    <w:p>
      <w:pPr>
        <w:autoSpaceDE w:val="0"/>
        <w:autoSpaceDN w:val="0"/>
        <w:adjustRightInd w:val="0"/>
        <w:snapToGrid w:val="0"/>
        <w:spacing w:line="360" w:lineRule="auto"/>
        <w:ind w:firstLine="480" w:firstLineChars="200"/>
        <w:jc w:val="left"/>
        <w:rPr>
          <w:kern w:val="0"/>
          <w:sz w:val="24"/>
        </w:rPr>
      </w:pPr>
      <w:r>
        <w:rPr>
          <w:kern w:val="0"/>
          <w:sz w:val="24"/>
        </w:rPr>
        <w:t>6．如我方中标：</w:t>
      </w:r>
    </w:p>
    <w:p>
      <w:pPr>
        <w:autoSpaceDE w:val="0"/>
        <w:autoSpaceDN w:val="0"/>
        <w:adjustRightInd w:val="0"/>
        <w:snapToGrid w:val="0"/>
        <w:spacing w:line="360" w:lineRule="auto"/>
        <w:ind w:left="359" w:leftChars="171"/>
        <w:jc w:val="left"/>
        <w:rPr>
          <w:kern w:val="0"/>
          <w:sz w:val="24"/>
        </w:rPr>
      </w:pPr>
      <w:r>
        <w:rPr>
          <w:kern w:val="0"/>
          <w:sz w:val="24"/>
        </w:rPr>
        <w:t>（1）我方承诺在收到中标通知书后，在中标通知书规定的期限内与你方签订合同。</w:t>
      </w:r>
    </w:p>
    <w:p>
      <w:pPr>
        <w:autoSpaceDE w:val="0"/>
        <w:autoSpaceDN w:val="0"/>
        <w:adjustRightInd w:val="0"/>
        <w:snapToGrid w:val="0"/>
        <w:spacing w:line="360" w:lineRule="auto"/>
        <w:ind w:left="359" w:leftChars="171"/>
        <w:jc w:val="left"/>
        <w:rPr>
          <w:kern w:val="0"/>
          <w:sz w:val="24"/>
        </w:rPr>
      </w:pPr>
      <w:r>
        <w:rPr>
          <w:kern w:val="0"/>
          <w:sz w:val="24"/>
        </w:rPr>
        <w:t>（2）我方承诺按照招标文件规定向你方递交履约保证金。</w:t>
      </w:r>
    </w:p>
    <w:p>
      <w:pPr>
        <w:autoSpaceDE w:val="0"/>
        <w:autoSpaceDN w:val="0"/>
        <w:adjustRightInd w:val="0"/>
        <w:snapToGrid w:val="0"/>
        <w:spacing w:line="360" w:lineRule="auto"/>
        <w:ind w:left="359" w:leftChars="171"/>
        <w:jc w:val="left"/>
        <w:rPr>
          <w:kern w:val="0"/>
          <w:sz w:val="24"/>
        </w:rPr>
      </w:pPr>
      <w:r>
        <w:rPr>
          <w:kern w:val="0"/>
          <w:sz w:val="24"/>
        </w:rPr>
        <w:t>（3）我方承诺按合同约定的期限和地点，提供符合招标文件要求的全部的招标货物（/或服务）。</w:t>
      </w:r>
    </w:p>
    <w:p>
      <w:pPr>
        <w:autoSpaceDE w:val="0"/>
        <w:autoSpaceDN w:val="0"/>
        <w:adjustRightInd w:val="0"/>
        <w:snapToGrid w:val="0"/>
        <w:spacing w:line="360" w:lineRule="auto"/>
        <w:ind w:left="359" w:leftChars="171"/>
        <w:jc w:val="left"/>
        <w:rPr>
          <w:kern w:val="0"/>
          <w:sz w:val="24"/>
        </w:rPr>
      </w:pPr>
      <w:r>
        <w:rPr>
          <w:kern w:val="0"/>
          <w:sz w:val="24"/>
        </w:rPr>
        <w:t>（4）我方将按招标文件规定提交履约保证金，作为履行合同的担保。</w:t>
      </w:r>
    </w:p>
    <w:p>
      <w:pPr>
        <w:autoSpaceDE w:val="0"/>
        <w:autoSpaceDN w:val="0"/>
        <w:adjustRightInd w:val="0"/>
        <w:snapToGrid w:val="0"/>
        <w:spacing w:line="360" w:lineRule="auto"/>
        <w:ind w:left="359" w:leftChars="171"/>
        <w:jc w:val="left"/>
        <w:rPr>
          <w:kern w:val="0"/>
          <w:sz w:val="24"/>
        </w:rPr>
      </w:pPr>
      <w:r>
        <w:rPr>
          <w:kern w:val="0"/>
          <w:sz w:val="24"/>
        </w:rPr>
        <w:t>（5）我方保证在收到中标通知书后五个工作日内按要求支付招标服务费。</w:t>
      </w:r>
    </w:p>
    <w:p>
      <w:pPr>
        <w:autoSpaceDE w:val="0"/>
        <w:autoSpaceDN w:val="0"/>
        <w:adjustRightInd w:val="0"/>
        <w:snapToGrid w:val="0"/>
        <w:spacing w:line="360" w:lineRule="auto"/>
        <w:ind w:firstLine="480" w:firstLineChars="200"/>
        <w:jc w:val="left"/>
        <w:rPr>
          <w:kern w:val="0"/>
          <w:sz w:val="24"/>
        </w:rPr>
      </w:pPr>
      <w:r>
        <w:rPr>
          <w:kern w:val="0"/>
          <w:sz w:val="24"/>
        </w:rPr>
        <w:t>7．</w:t>
      </w:r>
      <w:r>
        <w:rPr>
          <w:kern w:val="0"/>
          <w:sz w:val="24"/>
          <w:u w:val="single"/>
        </w:rPr>
        <w:t xml:space="preserve">                </w:t>
      </w:r>
      <w:r>
        <w:rPr>
          <w:kern w:val="0"/>
          <w:sz w:val="24"/>
        </w:rPr>
        <w:t>（其他补充说明）。</w:t>
      </w:r>
    </w:p>
    <w:p>
      <w:pPr>
        <w:autoSpaceDE w:val="0"/>
        <w:autoSpaceDN w:val="0"/>
        <w:adjustRightInd w:val="0"/>
        <w:snapToGrid w:val="0"/>
        <w:spacing w:line="360" w:lineRule="auto"/>
        <w:ind w:firstLine="3120" w:firstLineChars="1300"/>
        <w:jc w:val="left"/>
        <w:rPr>
          <w:kern w:val="0"/>
          <w:sz w:val="24"/>
        </w:rPr>
      </w:pPr>
      <w:r>
        <w:rPr>
          <w:kern w:val="0"/>
          <w:sz w:val="24"/>
        </w:rPr>
        <w:t>投 标 人： （盖单位章）</w:t>
      </w:r>
    </w:p>
    <w:p>
      <w:pPr>
        <w:autoSpaceDE w:val="0"/>
        <w:autoSpaceDN w:val="0"/>
        <w:adjustRightInd w:val="0"/>
        <w:snapToGrid w:val="0"/>
        <w:spacing w:line="360" w:lineRule="auto"/>
        <w:ind w:firstLine="3120" w:firstLineChars="1300"/>
        <w:jc w:val="left"/>
        <w:rPr>
          <w:kern w:val="0"/>
          <w:sz w:val="24"/>
        </w:rPr>
      </w:pPr>
      <w:r>
        <w:rPr>
          <w:kern w:val="0"/>
          <w:sz w:val="24"/>
        </w:rPr>
        <w:t>法定代表人或其委托代理人：（签字或加盖人名章）</w:t>
      </w:r>
    </w:p>
    <w:p>
      <w:pPr>
        <w:autoSpaceDE w:val="0"/>
        <w:autoSpaceDN w:val="0"/>
        <w:adjustRightInd w:val="0"/>
        <w:snapToGrid w:val="0"/>
        <w:spacing w:line="360" w:lineRule="auto"/>
        <w:ind w:firstLine="3120" w:firstLineChars="1300"/>
        <w:jc w:val="left"/>
        <w:rPr>
          <w:kern w:val="0"/>
          <w:sz w:val="24"/>
        </w:rPr>
      </w:pPr>
      <w:r>
        <w:rPr>
          <w:kern w:val="0"/>
          <w:sz w:val="24"/>
        </w:rPr>
        <w:t>地址：</w:t>
      </w:r>
    </w:p>
    <w:p>
      <w:pPr>
        <w:autoSpaceDE w:val="0"/>
        <w:autoSpaceDN w:val="0"/>
        <w:adjustRightInd w:val="0"/>
        <w:snapToGrid w:val="0"/>
        <w:spacing w:line="360" w:lineRule="auto"/>
        <w:ind w:firstLine="3120" w:firstLineChars="1300"/>
        <w:jc w:val="left"/>
        <w:rPr>
          <w:kern w:val="0"/>
          <w:sz w:val="24"/>
        </w:rPr>
      </w:pPr>
      <w:r>
        <w:rPr>
          <w:kern w:val="0"/>
          <w:sz w:val="24"/>
        </w:rPr>
        <w:t>电话：</w:t>
      </w:r>
    </w:p>
    <w:p>
      <w:pPr>
        <w:autoSpaceDE w:val="0"/>
        <w:autoSpaceDN w:val="0"/>
        <w:adjustRightInd w:val="0"/>
        <w:snapToGrid w:val="0"/>
        <w:spacing w:line="360" w:lineRule="auto"/>
        <w:ind w:firstLine="3120" w:firstLineChars="1300"/>
        <w:rPr>
          <w:kern w:val="0"/>
          <w:sz w:val="24"/>
        </w:rPr>
      </w:pPr>
      <w:r>
        <w:rPr>
          <w:kern w:val="0"/>
          <w:sz w:val="24"/>
        </w:rPr>
        <w:t>传真：</w:t>
      </w:r>
    </w:p>
    <w:p>
      <w:pPr>
        <w:autoSpaceDE w:val="0"/>
        <w:autoSpaceDN w:val="0"/>
        <w:adjustRightInd w:val="0"/>
        <w:snapToGrid w:val="0"/>
        <w:spacing w:line="360" w:lineRule="auto"/>
        <w:ind w:left="5939" w:leftChars="2828"/>
        <w:jc w:val="left"/>
      </w:pPr>
      <w:r>
        <w:rPr>
          <w:kern w:val="0"/>
          <w:sz w:val="24"/>
        </w:rPr>
        <w:t>年  月   日</w:t>
      </w:r>
      <w:r>
        <w:br w:type="page"/>
      </w:r>
      <w:bookmarkStart w:id="291" w:name="_Toc31123"/>
      <w:bookmarkStart w:id="292" w:name="_Toc18628"/>
    </w:p>
    <w:p>
      <w:pPr>
        <w:pStyle w:val="2"/>
        <w:sectPr>
          <w:pgSz w:w="11906" w:h="16838"/>
          <w:pgMar w:top="1440" w:right="1440" w:bottom="1440" w:left="1797" w:header="851" w:footer="992" w:gutter="0"/>
          <w:pgNumType w:fmt="decimal"/>
          <w:cols w:space="720" w:num="1"/>
          <w:docGrid w:linePitch="312" w:charSpace="0"/>
        </w:sectPr>
      </w:pPr>
    </w:p>
    <w:p>
      <w:pPr>
        <w:pStyle w:val="2"/>
        <w:spacing w:before="0" w:after="0" w:line="240" w:lineRule="auto"/>
        <w:rPr>
          <w:rFonts w:eastAsia="黑体"/>
          <w:sz w:val="28"/>
          <w:szCs w:val="28"/>
        </w:rPr>
      </w:pPr>
      <w:bookmarkStart w:id="293" w:name="_Toc23334"/>
      <w:bookmarkStart w:id="294" w:name="_Toc15546"/>
      <w:bookmarkStart w:id="295" w:name="_Toc29752"/>
      <w:bookmarkStart w:id="296" w:name="_Toc103677757"/>
      <w:r>
        <w:rPr>
          <w:rFonts w:hint="eastAsia" w:eastAsia="黑体"/>
          <w:sz w:val="28"/>
          <w:szCs w:val="28"/>
        </w:rPr>
        <w:t>二、</w:t>
      </w:r>
      <w:bookmarkEnd w:id="293"/>
      <w:bookmarkEnd w:id="294"/>
      <w:r>
        <w:rPr>
          <w:rFonts w:hint="eastAsia" w:eastAsia="黑体"/>
          <w:sz w:val="28"/>
          <w:szCs w:val="28"/>
        </w:rPr>
        <w:t>《法定代表人资格证明书》或《法定代表人授权委托书》；</w:t>
      </w:r>
      <w:bookmarkEnd w:id="295"/>
    </w:p>
    <w:p>
      <w:pPr>
        <w:pStyle w:val="6"/>
        <w:spacing w:line="240" w:lineRule="auto"/>
        <w:jc w:val="center"/>
        <w:rPr>
          <w:rFonts w:eastAsia="黑体"/>
          <w:sz w:val="36"/>
          <w:szCs w:val="36"/>
        </w:rPr>
      </w:pPr>
      <w:r>
        <w:rPr>
          <w:rFonts w:eastAsia="黑体"/>
          <w:sz w:val="36"/>
          <w:szCs w:val="36"/>
        </w:rPr>
        <w:t>（1）法定代表人</w:t>
      </w:r>
      <w:r>
        <w:rPr>
          <w:rFonts w:hint="eastAsia" w:eastAsia="黑体"/>
          <w:sz w:val="36"/>
          <w:szCs w:val="36"/>
        </w:rPr>
        <w:t>资格</w:t>
      </w:r>
      <w:r>
        <w:rPr>
          <w:rFonts w:eastAsia="黑体"/>
          <w:sz w:val="36"/>
          <w:szCs w:val="36"/>
        </w:rPr>
        <w:t>证明</w:t>
      </w:r>
      <w:r>
        <w:rPr>
          <w:rFonts w:hint="eastAsia" w:eastAsia="黑体"/>
          <w:sz w:val="36"/>
          <w:szCs w:val="36"/>
        </w:rPr>
        <w:t>书</w:t>
      </w:r>
    </w:p>
    <w:p>
      <w:pPr>
        <w:autoSpaceDE w:val="0"/>
        <w:autoSpaceDN w:val="0"/>
        <w:adjustRightInd w:val="0"/>
        <w:spacing w:before="240" w:beforeLines="100" w:after="240" w:afterLines="100"/>
        <w:jc w:val="center"/>
        <w:rPr>
          <w:rFonts w:eastAsia="黑体"/>
          <w:b/>
          <w:bCs/>
          <w:i/>
          <w:iCs/>
          <w:kern w:val="0"/>
          <w:sz w:val="28"/>
          <w:szCs w:val="28"/>
        </w:rPr>
      </w:pPr>
      <w:r>
        <w:rPr>
          <w:rFonts w:eastAsia="黑体"/>
          <w:b/>
          <w:bCs/>
          <w:i/>
          <w:iCs/>
          <w:kern w:val="0"/>
          <w:sz w:val="28"/>
          <w:szCs w:val="28"/>
        </w:rPr>
        <w:t>（适用于法定代表人参加投标）</w:t>
      </w:r>
    </w:p>
    <w:p>
      <w:pPr>
        <w:autoSpaceDE w:val="0"/>
        <w:autoSpaceDN w:val="0"/>
        <w:adjustRightInd w:val="0"/>
        <w:spacing w:line="360" w:lineRule="auto"/>
        <w:jc w:val="left"/>
        <w:rPr>
          <w:kern w:val="0"/>
          <w:sz w:val="24"/>
        </w:rPr>
      </w:pPr>
      <w:r>
        <w:rPr>
          <w:kern w:val="0"/>
          <w:sz w:val="24"/>
        </w:rPr>
        <w:t>投标人名称：</w:t>
      </w:r>
      <w:r>
        <w:rPr>
          <w:kern w:val="0"/>
          <w:sz w:val="24"/>
          <w:u w:val="single"/>
        </w:rPr>
        <w:t xml:space="preserve">                     </w:t>
      </w:r>
      <w:r>
        <w:rPr>
          <w:kern w:val="0"/>
          <w:sz w:val="24"/>
        </w:rPr>
        <w:t xml:space="preserve"> </w:t>
      </w:r>
    </w:p>
    <w:p>
      <w:pPr>
        <w:autoSpaceDE w:val="0"/>
        <w:autoSpaceDN w:val="0"/>
        <w:adjustRightInd w:val="0"/>
        <w:spacing w:line="360" w:lineRule="auto"/>
        <w:jc w:val="left"/>
        <w:rPr>
          <w:kern w:val="0"/>
          <w:sz w:val="24"/>
        </w:rPr>
      </w:pPr>
      <w:r>
        <w:rPr>
          <w:kern w:val="0"/>
          <w:sz w:val="24"/>
        </w:rPr>
        <w:t xml:space="preserve">单位性质： </w:t>
      </w:r>
      <w:r>
        <w:rPr>
          <w:kern w:val="0"/>
          <w:sz w:val="24"/>
          <w:u w:val="single"/>
        </w:rPr>
        <w:t xml:space="preserve">                      </w:t>
      </w:r>
      <w:r>
        <w:rPr>
          <w:kern w:val="0"/>
          <w:sz w:val="24"/>
        </w:rPr>
        <w:t xml:space="preserve"> </w:t>
      </w:r>
    </w:p>
    <w:p>
      <w:pPr>
        <w:autoSpaceDE w:val="0"/>
        <w:autoSpaceDN w:val="0"/>
        <w:adjustRightInd w:val="0"/>
        <w:spacing w:line="360" w:lineRule="auto"/>
        <w:jc w:val="left"/>
        <w:rPr>
          <w:kern w:val="0"/>
          <w:sz w:val="24"/>
        </w:rPr>
      </w:pPr>
      <w:r>
        <w:rPr>
          <w:kern w:val="0"/>
          <w:sz w:val="24"/>
        </w:rPr>
        <w:t xml:space="preserve">地    址： </w:t>
      </w:r>
      <w:r>
        <w:rPr>
          <w:kern w:val="0"/>
          <w:sz w:val="24"/>
          <w:u w:val="single"/>
        </w:rPr>
        <w:t xml:space="preserve">                       </w:t>
      </w:r>
    </w:p>
    <w:p>
      <w:pPr>
        <w:autoSpaceDE w:val="0"/>
        <w:autoSpaceDN w:val="0"/>
        <w:adjustRightInd w:val="0"/>
        <w:spacing w:line="360" w:lineRule="auto"/>
        <w:jc w:val="left"/>
        <w:rPr>
          <w:kern w:val="0"/>
          <w:sz w:val="24"/>
        </w:rPr>
      </w:pPr>
      <w:r>
        <w:rPr>
          <w:kern w:val="0"/>
          <w:sz w:val="24"/>
        </w:rPr>
        <w:t>成立时间：</w:t>
      </w:r>
      <w:r>
        <w:rPr>
          <w:kern w:val="0"/>
          <w:sz w:val="24"/>
          <w:u w:val="single"/>
        </w:rPr>
        <w:t xml:space="preserve">     </w:t>
      </w:r>
      <w:r>
        <w:rPr>
          <w:kern w:val="0"/>
          <w:sz w:val="24"/>
        </w:rPr>
        <w:t xml:space="preserve"> 年</w:t>
      </w:r>
      <w:r>
        <w:rPr>
          <w:kern w:val="0"/>
          <w:sz w:val="24"/>
          <w:u w:val="single"/>
        </w:rPr>
        <w:t xml:space="preserve">  </w:t>
      </w:r>
      <w:r>
        <w:rPr>
          <w:kern w:val="0"/>
          <w:sz w:val="24"/>
        </w:rPr>
        <w:t>月</w:t>
      </w:r>
      <w:r>
        <w:rPr>
          <w:kern w:val="0"/>
          <w:sz w:val="24"/>
          <w:u w:val="single"/>
        </w:rPr>
        <w:t xml:space="preserve">   </w:t>
      </w:r>
      <w:r>
        <w:rPr>
          <w:kern w:val="0"/>
          <w:sz w:val="24"/>
        </w:rPr>
        <w:t>日</w:t>
      </w:r>
    </w:p>
    <w:p>
      <w:pPr>
        <w:autoSpaceDE w:val="0"/>
        <w:autoSpaceDN w:val="0"/>
        <w:adjustRightInd w:val="0"/>
        <w:spacing w:line="360" w:lineRule="auto"/>
        <w:jc w:val="left"/>
        <w:rPr>
          <w:kern w:val="0"/>
          <w:sz w:val="24"/>
        </w:rPr>
      </w:pPr>
      <w:r>
        <w:rPr>
          <w:kern w:val="0"/>
          <w:sz w:val="24"/>
        </w:rPr>
        <w:t>经营期限：</w:t>
      </w: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r>
        <w:rPr>
          <w:kern w:val="0"/>
          <w:sz w:val="24"/>
        </w:rPr>
        <w:t>姓名：</w:t>
      </w:r>
      <w:r>
        <w:rPr>
          <w:kern w:val="0"/>
          <w:sz w:val="24"/>
          <w:u w:val="single"/>
        </w:rPr>
        <w:t xml:space="preserve">    </w:t>
      </w:r>
      <w:r>
        <w:rPr>
          <w:kern w:val="0"/>
          <w:sz w:val="24"/>
        </w:rPr>
        <w:t>性别：</w:t>
      </w:r>
      <w:r>
        <w:rPr>
          <w:kern w:val="0"/>
          <w:sz w:val="24"/>
          <w:u w:val="single"/>
        </w:rPr>
        <w:t xml:space="preserve">    </w:t>
      </w:r>
      <w:r>
        <w:rPr>
          <w:kern w:val="0"/>
          <w:sz w:val="24"/>
        </w:rPr>
        <w:t>年龄：</w:t>
      </w:r>
      <w:r>
        <w:rPr>
          <w:kern w:val="0"/>
          <w:sz w:val="24"/>
          <w:u w:val="single"/>
        </w:rPr>
        <w:t xml:space="preserve">   </w:t>
      </w:r>
      <w:r>
        <w:rPr>
          <w:kern w:val="0"/>
          <w:sz w:val="24"/>
        </w:rPr>
        <w:t xml:space="preserve"> 职务：</w:t>
      </w:r>
      <w:r>
        <w:rPr>
          <w:kern w:val="0"/>
          <w:sz w:val="24"/>
          <w:u w:val="single"/>
        </w:rPr>
        <w:t xml:space="preserve">     </w:t>
      </w:r>
      <w:r>
        <w:rPr>
          <w:kern w:val="0"/>
          <w:sz w:val="24"/>
        </w:rPr>
        <w:t>系</w:t>
      </w:r>
      <w:r>
        <w:rPr>
          <w:kern w:val="0"/>
          <w:sz w:val="24"/>
          <w:u w:val="single"/>
        </w:rPr>
        <w:t xml:space="preserve">             </w:t>
      </w:r>
      <w:r>
        <w:rPr>
          <w:kern w:val="0"/>
          <w:sz w:val="24"/>
        </w:rPr>
        <w:t>（投标人名称）的法定代表人。</w:t>
      </w:r>
    </w:p>
    <w:p>
      <w:pPr>
        <w:autoSpaceDE w:val="0"/>
        <w:autoSpaceDN w:val="0"/>
        <w:adjustRightInd w:val="0"/>
        <w:spacing w:line="360" w:lineRule="auto"/>
        <w:jc w:val="left"/>
        <w:rPr>
          <w:kern w:val="0"/>
          <w:sz w:val="24"/>
        </w:rPr>
      </w:pPr>
      <w:r>
        <w:rPr>
          <w:kern w:val="0"/>
          <w:sz w:val="24"/>
        </w:rPr>
        <w:t>特此证明。</w:t>
      </w: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right"/>
        <w:rPr>
          <w:kern w:val="0"/>
          <w:sz w:val="24"/>
        </w:rPr>
      </w:pPr>
      <w:r>
        <w:rPr>
          <w:kern w:val="0"/>
          <w:sz w:val="24"/>
        </w:rPr>
        <w:t>投标人：</w:t>
      </w:r>
      <w:r>
        <w:rPr>
          <w:kern w:val="0"/>
          <w:sz w:val="24"/>
          <w:u w:val="single"/>
        </w:rPr>
        <w:t xml:space="preserve">           </w:t>
      </w:r>
      <w:r>
        <w:rPr>
          <w:kern w:val="0"/>
          <w:sz w:val="24"/>
        </w:rPr>
        <w:t>（盖投标人公章）</w:t>
      </w:r>
    </w:p>
    <w:p>
      <w:pPr>
        <w:autoSpaceDE w:val="0"/>
        <w:autoSpaceDN w:val="0"/>
        <w:adjustRightInd w:val="0"/>
        <w:spacing w:line="360" w:lineRule="auto"/>
        <w:ind w:left="5399" w:leftChars="2571"/>
        <w:jc w:val="left"/>
        <w:rPr>
          <w:kern w:val="0"/>
          <w:sz w:val="24"/>
        </w:rPr>
      </w:pPr>
    </w:p>
    <w:p>
      <w:pPr>
        <w:autoSpaceDE w:val="0"/>
        <w:autoSpaceDN w:val="0"/>
        <w:adjustRightInd w:val="0"/>
        <w:spacing w:line="360" w:lineRule="auto"/>
        <w:ind w:left="6659" w:leftChars="3171"/>
        <w:jc w:val="left"/>
        <w:rPr>
          <w:kern w:val="0"/>
          <w:sz w:val="24"/>
        </w:rPr>
      </w:pPr>
      <w:r>
        <w:rPr>
          <w:kern w:val="0"/>
          <w:sz w:val="24"/>
        </w:rPr>
        <w:t>年  月  日</w:t>
      </w:r>
    </w:p>
    <w:p>
      <w:pPr>
        <w:pStyle w:val="6"/>
        <w:rPr>
          <w:rFonts w:eastAsia="黑体"/>
          <w:sz w:val="36"/>
          <w:szCs w:val="36"/>
        </w:rPr>
      </w:pPr>
      <w:r>
        <w:rPr>
          <w:kern w:val="0"/>
          <w:sz w:val="18"/>
          <w:szCs w:val="18"/>
        </w:rPr>
        <w:br w:type="page"/>
      </w:r>
      <w:bookmarkStart w:id="297" w:name="_Toc195922058"/>
      <w:r>
        <w:rPr>
          <w:rFonts w:eastAsia="黑体"/>
          <w:sz w:val="36"/>
          <w:szCs w:val="36"/>
        </w:rPr>
        <w:t>（2</w:t>
      </w:r>
      <w:r>
        <w:rPr>
          <w:rFonts w:hint="eastAsia" w:eastAsia="黑体"/>
          <w:sz w:val="36"/>
          <w:szCs w:val="36"/>
        </w:rPr>
        <w:t>）法定代表人</w:t>
      </w:r>
      <w:r>
        <w:rPr>
          <w:rFonts w:eastAsia="黑体"/>
          <w:sz w:val="36"/>
          <w:szCs w:val="36"/>
        </w:rPr>
        <w:t>授权委托书</w:t>
      </w:r>
      <w:bookmarkEnd w:id="297"/>
    </w:p>
    <w:p>
      <w:pPr>
        <w:autoSpaceDE w:val="0"/>
        <w:autoSpaceDN w:val="0"/>
        <w:adjustRightInd w:val="0"/>
        <w:jc w:val="left"/>
        <w:rPr>
          <w:kern w:val="0"/>
          <w:szCs w:val="21"/>
        </w:rPr>
      </w:pPr>
    </w:p>
    <w:p>
      <w:pPr>
        <w:autoSpaceDE w:val="0"/>
        <w:autoSpaceDN w:val="0"/>
        <w:adjustRightInd w:val="0"/>
        <w:spacing w:line="360" w:lineRule="auto"/>
        <w:ind w:firstLine="480" w:firstLineChars="200"/>
        <w:jc w:val="left"/>
        <w:rPr>
          <w:kern w:val="0"/>
          <w:sz w:val="24"/>
        </w:rPr>
      </w:pPr>
      <w:r>
        <w:rPr>
          <w:kern w:val="0"/>
          <w:sz w:val="24"/>
        </w:rPr>
        <w:t>本人</w:t>
      </w:r>
      <w:r>
        <w:rPr>
          <w:kern w:val="0"/>
          <w:sz w:val="24"/>
          <w:u w:val="single"/>
        </w:rPr>
        <w:t xml:space="preserve">      </w:t>
      </w:r>
      <w:r>
        <w:rPr>
          <w:kern w:val="0"/>
          <w:sz w:val="24"/>
        </w:rPr>
        <w:t>（姓名）系</w:t>
      </w:r>
      <w:r>
        <w:rPr>
          <w:kern w:val="0"/>
          <w:sz w:val="24"/>
          <w:u w:val="single"/>
        </w:rPr>
        <w:t xml:space="preserve">        </w:t>
      </w:r>
      <w:r>
        <w:rPr>
          <w:kern w:val="0"/>
          <w:sz w:val="24"/>
        </w:rPr>
        <w:t>（投标人名称）的法定代表人，现委托</w:t>
      </w:r>
      <w:r>
        <w:rPr>
          <w:kern w:val="0"/>
          <w:sz w:val="24"/>
          <w:u w:val="single"/>
        </w:rPr>
        <w:t xml:space="preserve">      </w:t>
      </w:r>
      <w:r>
        <w:rPr>
          <w:kern w:val="0"/>
          <w:sz w:val="24"/>
        </w:rPr>
        <w:t>（姓名）为我方代理人。代理人根据授权，以我方名义签署、澄清、说明、补正、递交、撤回、修改</w:t>
      </w:r>
      <w:r>
        <w:rPr>
          <w:kern w:val="0"/>
          <w:sz w:val="24"/>
          <w:u w:val="single"/>
        </w:rPr>
        <w:t xml:space="preserve">            </w:t>
      </w:r>
      <w:r>
        <w:rPr>
          <w:kern w:val="0"/>
          <w:sz w:val="24"/>
        </w:rPr>
        <w:t>（项目名称）投标文件、签订合同和处理有关事宜，其法律后果由我方承担。</w:t>
      </w:r>
    </w:p>
    <w:p>
      <w:pPr>
        <w:autoSpaceDE w:val="0"/>
        <w:autoSpaceDN w:val="0"/>
        <w:adjustRightInd w:val="0"/>
        <w:spacing w:line="360" w:lineRule="auto"/>
        <w:jc w:val="left"/>
        <w:rPr>
          <w:kern w:val="0"/>
          <w:sz w:val="24"/>
        </w:rPr>
      </w:pPr>
      <w:r>
        <w:rPr>
          <w:kern w:val="0"/>
          <w:sz w:val="24"/>
        </w:rPr>
        <w:t>委托期限：</w:t>
      </w:r>
      <w:r>
        <w:rPr>
          <w:kern w:val="0"/>
          <w:sz w:val="24"/>
          <w:u w:val="single"/>
        </w:rPr>
        <w:t xml:space="preserve">             </w:t>
      </w:r>
      <w:r>
        <w:rPr>
          <w:kern w:val="0"/>
          <w:sz w:val="24"/>
        </w:rPr>
        <w:t xml:space="preserve"> 。</w:t>
      </w: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r>
        <w:rPr>
          <w:kern w:val="0"/>
          <w:sz w:val="24"/>
        </w:rPr>
        <w:t>代理人无转委托权。</w:t>
      </w: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r>
        <w:rPr>
          <w:kern w:val="0"/>
          <w:sz w:val="24"/>
        </w:rPr>
        <w:t>附：法定代表人身份证明</w:t>
      </w:r>
    </w:p>
    <w:p>
      <w:pPr>
        <w:autoSpaceDE w:val="0"/>
        <w:autoSpaceDN w:val="0"/>
        <w:adjustRightInd w:val="0"/>
        <w:spacing w:line="360" w:lineRule="auto"/>
        <w:ind w:firstLine="480"/>
        <w:jc w:val="left"/>
        <w:rPr>
          <w:kern w:val="0"/>
          <w:sz w:val="24"/>
        </w:rPr>
      </w:pPr>
      <w:r>
        <w:rPr>
          <w:kern w:val="0"/>
          <w:sz w:val="24"/>
        </w:rPr>
        <w:t>委托代理人身份证复印件</w:t>
      </w: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ind w:left="3958" w:leftChars="1885"/>
        <w:jc w:val="left"/>
        <w:rPr>
          <w:kern w:val="0"/>
          <w:sz w:val="24"/>
        </w:rPr>
      </w:pPr>
      <w:r>
        <w:rPr>
          <w:kern w:val="0"/>
          <w:sz w:val="24"/>
        </w:rPr>
        <w:t>投标人：            （盖单位章）</w:t>
      </w:r>
    </w:p>
    <w:p>
      <w:pPr>
        <w:autoSpaceDE w:val="0"/>
        <w:autoSpaceDN w:val="0"/>
        <w:adjustRightInd w:val="0"/>
        <w:spacing w:line="360" w:lineRule="auto"/>
        <w:ind w:left="3958" w:leftChars="1885"/>
        <w:jc w:val="left"/>
        <w:rPr>
          <w:kern w:val="0"/>
          <w:sz w:val="24"/>
        </w:rPr>
      </w:pPr>
      <w:r>
        <w:rPr>
          <w:kern w:val="0"/>
          <w:sz w:val="24"/>
        </w:rPr>
        <w:t>法定代表人：             （签字或加盖人名章）</w:t>
      </w:r>
    </w:p>
    <w:p>
      <w:pPr>
        <w:autoSpaceDE w:val="0"/>
        <w:autoSpaceDN w:val="0"/>
        <w:adjustRightInd w:val="0"/>
        <w:spacing w:line="360" w:lineRule="auto"/>
        <w:ind w:left="3958" w:leftChars="1885"/>
        <w:jc w:val="left"/>
        <w:rPr>
          <w:kern w:val="0"/>
          <w:sz w:val="24"/>
        </w:rPr>
      </w:pPr>
      <w:r>
        <w:rPr>
          <w:kern w:val="0"/>
          <w:sz w:val="24"/>
        </w:rPr>
        <w:t>身份证号码：</w:t>
      </w:r>
    </w:p>
    <w:p>
      <w:pPr>
        <w:autoSpaceDE w:val="0"/>
        <w:autoSpaceDN w:val="0"/>
        <w:adjustRightInd w:val="0"/>
        <w:spacing w:line="360" w:lineRule="auto"/>
        <w:ind w:left="3958" w:leftChars="1885"/>
        <w:jc w:val="left"/>
        <w:rPr>
          <w:kern w:val="0"/>
          <w:sz w:val="24"/>
        </w:rPr>
      </w:pPr>
      <w:r>
        <w:rPr>
          <w:kern w:val="0"/>
          <w:sz w:val="24"/>
        </w:rPr>
        <w:t>委托代理人：              （签字或加盖人名章）</w:t>
      </w:r>
    </w:p>
    <w:p>
      <w:pPr>
        <w:autoSpaceDE w:val="0"/>
        <w:autoSpaceDN w:val="0"/>
        <w:adjustRightInd w:val="0"/>
        <w:spacing w:line="360" w:lineRule="auto"/>
        <w:ind w:left="3958" w:leftChars="1885"/>
        <w:jc w:val="left"/>
        <w:rPr>
          <w:kern w:val="0"/>
          <w:sz w:val="24"/>
        </w:rPr>
      </w:pPr>
      <w:r>
        <w:rPr>
          <w:kern w:val="0"/>
          <w:sz w:val="24"/>
        </w:rPr>
        <w:t>身份证号码：</w:t>
      </w:r>
    </w:p>
    <w:p>
      <w:pPr>
        <w:autoSpaceDE w:val="0"/>
        <w:autoSpaceDN w:val="0"/>
        <w:adjustRightInd w:val="0"/>
        <w:spacing w:line="360" w:lineRule="auto"/>
        <w:ind w:left="3958" w:leftChars="1885"/>
        <w:jc w:val="left"/>
        <w:rPr>
          <w:kern w:val="0"/>
          <w:sz w:val="24"/>
        </w:rPr>
      </w:pPr>
      <w:r>
        <w:rPr>
          <w:kern w:val="0"/>
          <w:sz w:val="24"/>
        </w:rPr>
        <w:t>年 月 日</w:t>
      </w:r>
    </w:p>
    <w:p/>
    <w:p/>
    <w:p/>
    <w:p>
      <w:pPr>
        <w:spacing w:line="360" w:lineRule="auto"/>
        <w:outlineLvl w:val="1"/>
        <w:rPr>
          <w:b/>
          <w:sz w:val="24"/>
        </w:rPr>
        <w:sectPr>
          <w:pgSz w:w="11906" w:h="16838"/>
          <w:pgMar w:top="1440" w:right="1440" w:bottom="1440" w:left="1797" w:header="851" w:footer="992" w:gutter="0"/>
          <w:pgNumType w:fmt="decimal"/>
          <w:cols w:space="720" w:num="1"/>
          <w:docGrid w:linePitch="312" w:charSpace="0"/>
        </w:sectPr>
      </w:pPr>
    </w:p>
    <w:p>
      <w:pPr>
        <w:pStyle w:val="6"/>
        <w:spacing w:line="240" w:lineRule="auto"/>
        <w:jc w:val="center"/>
        <w:rPr>
          <w:rFonts w:eastAsia="黑体"/>
          <w:sz w:val="36"/>
          <w:szCs w:val="36"/>
        </w:rPr>
      </w:pPr>
      <w:r>
        <w:rPr>
          <w:rFonts w:eastAsia="黑体"/>
          <w:sz w:val="36"/>
          <w:szCs w:val="36"/>
        </w:rPr>
        <w:t>（3）授权委托书</w:t>
      </w:r>
    </w:p>
    <w:p>
      <w:pPr>
        <w:autoSpaceDE w:val="0"/>
        <w:autoSpaceDN w:val="0"/>
        <w:adjustRightInd w:val="0"/>
        <w:spacing w:before="240" w:beforeLines="100" w:after="240" w:afterLines="100"/>
        <w:jc w:val="center"/>
        <w:rPr>
          <w:b/>
          <w:bCs/>
          <w:i/>
          <w:iCs/>
          <w:kern w:val="0"/>
          <w:sz w:val="32"/>
          <w:szCs w:val="32"/>
        </w:rPr>
      </w:pPr>
      <w:r>
        <w:rPr>
          <w:b/>
          <w:bCs/>
          <w:i/>
          <w:iCs/>
          <w:kern w:val="0"/>
          <w:sz w:val="32"/>
          <w:szCs w:val="32"/>
        </w:rPr>
        <w:t xml:space="preserve"> （适用于自然人授权代理人投标）</w:t>
      </w:r>
    </w:p>
    <w:p>
      <w:pPr>
        <w:autoSpaceDE w:val="0"/>
        <w:autoSpaceDN w:val="0"/>
        <w:adjustRightInd w:val="0"/>
        <w:spacing w:line="360" w:lineRule="auto"/>
        <w:rPr>
          <w:kern w:val="0"/>
          <w:sz w:val="24"/>
        </w:rPr>
      </w:pPr>
      <w:r>
        <w:rPr>
          <w:kern w:val="0"/>
          <w:sz w:val="24"/>
        </w:rPr>
        <w:t>致：____________(采购人)</w:t>
      </w:r>
    </w:p>
    <w:p>
      <w:pPr>
        <w:autoSpaceDE w:val="0"/>
        <w:autoSpaceDN w:val="0"/>
        <w:adjustRightInd w:val="0"/>
        <w:spacing w:line="360" w:lineRule="auto"/>
        <w:ind w:firstLine="480" w:firstLineChars="200"/>
        <w:jc w:val="left"/>
        <w:rPr>
          <w:kern w:val="0"/>
          <w:sz w:val="24"/>
        </w:rPr>
      </w:pPr>
      <w:r>
        <w:rPr>
          <w:kern w:val="0"/>
          <w:sz w:val="24"/>
        </w:rPr>
        <w:t>我________(姓名)系自然人，现授权委托____________(姓名)以本人名义参加____________(项目名称) ，项目编号为（          ）的投标活动，并代表本人全权办理针对上述项目的投标、签约等具体事务和签署相关文件。</w:t>
      </w:r>
    </w:p>
    <w:p>
      <w:pPr>
        <w:autoSpaceDE w:val="0"/>
        <w:autoSpaceDN w:val="0"/>
        <w:adjustRightInd w:val="0"/>
        <w:spacing w:line="360" w:lineRule="auto"/>
        <w:ind w:firstLine="480" w:firstLineChars="200"/>
        <w:jc w:val="left"/>
        <w:rPr>
          <w:kern w:val="0"/>
          <w:sz w:val="24"/>
        </w:rPr>
      </w:pPr>
      <w:r>
        <w:rPr>
          <w:kern w:val="0"/>
          <w:sz w:val="24"/>
        </w:rPr>
        <w:t>本人对授权代表的签字事项负全部责任。</w:t>
      </w:r>
    </w:p>
    <w:p>
      <w:pPr>
        <w:autoSpaceDE w:val="0"/>
        <w:autoSpaceDN w:val="0"/>
        <w:adjustRightInd w:val="0"/>
        <w:spacing w:line="360" w:lineRule="auto"/>
        <w:ind w:firstLine="480" w:firstLineChars="200"/>
        <w:jc w:val="left"/>
        <w:rPr>
          <w:kern w:val="0"/>
          <w:sz w:val="24"/>
        </w:rPr>
      </w:pPr>
      <w:r>
        <w:rPr>
          <w:kern w:val="0"/>
          <w:sz w:val="24"/>
        </w:rPr>
        <w:t>授权委托代理期限：从　　　年　　月　　日起至　　　年　　月　　日止。</w:t>
      </w:r>
    </w:p>
    <w:p>
      <w:pPr>
        <w:autoSpaceDE w:val="0"/>
        <w:autoSpaceDN w:val="0"/>
        <w:adjustRightInd w:val="0"/>
        <w:spacing w:line="360" w:lineRule="auto"/>
        <w:ind w:firstLine="480" w:firstLineChars="200"/>
        <w:jc w:val="left"/>
        <w:rPr>
          <w:kern w:val="0"/>
          <w:sz w:val="24"/>
        </w:rPr>
      </w:pPr>
    </w:p>
    <w:p>
      <w:pPr>
        <w:autoSpaceDE w:val="0"/>
        <w:autoSpaceDN w:val="0"/>
        <w:adjustRightInd w:val="0"/>
        <w:spacing w:line="360" w:lineRule="auto"/>
        <w:ind w:firstLine="480" w:firstLineChars="200"/>
        <w:jc w:val="left"/>
        <w:rPr>
          <w:kern w:val="0"/>
          <w:sz w:val="24"/>
        </w:rPr>
      </w:pPr>
      <w:r>
        <w:rPr>
          <w:kern w:val="0"/>
          <w:sz w:val="24"/>
        </w:rPr>
        <w:t>代理人无转委托权，特此委托。</w:t>
      </w:r>
    </w:p>
    <w:p>
      <w:pPr>
        <w:autoSpaceDE w:val="0"/>
        <w:autoSpaceDN w:val="0"/>
        <w:adjustRightInd w:val="0"/>
        <w:spacing w:line="360" w:lineRule="auto"/>
        <w:ind w:firstLine="480" w:firstLineChars="200"/>
        <w:jc w:val="left"/>
        <w:rPr>
          <w:kern w:val="0"/>
          <w:sz w:val="24"/>
        </w:rPr>
      </w:pPr>
    </w:p>
    <w:p>
      <w:pPr>
        <w:autoSpaceDE w:val="0"/>
        <w:autoSpaceDN w:val="0"/>
        <w:adjustRightInd w:val="0"/>
        <w:spacing w:line="360" w:lineRule="auto"/>
        <w:ind w:firstLine="480" w:firstLineChars="200"/>
        <w:jc w:val="left"/>
        <w:rPr>
          <w:kern w:val="0"/>
          <w:sz w:val="24"/>
        </w:rPr>
      </w:pPr>
      <w:r>
        <w:rPr>
          <w:kern w:val="0"/>
          <w:sz w:val="24"/>
        </w:rPr>
        <w:t>我已在下面签字，以资证明。</w:t>
      </w:r>
    </w:p>
    <w:p>
      <w:pPr>
        <w:autoSpaceDE w:val="0"/>
        <w:autoSpaceDN w:val="0"/>
        <w:adjustRightInd w:val="0"/>
        <w:spacing w:line="360" w:lineRule="auto"/>
        <w:ind w:firstLine="480" w:firstLineChars="200"/>
        <w:jc w:val="left"/>
        <w:rPr>
          <w:kern w:val="0"/>
          <w:sz w:val="24"/>
        </w:rPr>
      </w:pPr>
    </w:p>
    <w:p>
      <w:pPr>
        <w:autoSpaceDE w:val="0"/>
        <w:autoSpaceDN w:val="0"/>
        <w:adjustRightInd w:val="0"/>
        <w:spacing w:line="360" w:lineRule="auto"/>
        <w:ind w:firstLine="480" w:firstLineChars="200"/>
        <w:jc w:val="left"/>
        <w:rPr>
          <w:kern w:val="0"/>
          <w:sz w:val="24"/>
        </w:rPr>
      </w:pPr>
      <w:r>
        <w:rPr>
          <w:kern w:val="0"/>
          <w:sz w:val="24"/>
        </w:rPr>
        <w:t>自然人签字并在签名处加盖食指指印：　　　　年　　月　　日</w:t>
      </w:r>
    </w:p>
    <w:p>
      <w:pPr>
        <w:spacing w:before="120" w:beforeLines="50" w:after="120" w:afterLines="50" w:line="360" w:lineRule="auto"/>
        <w:ind w:left="546" w:leftChars="260"/>
      </w:pPr>
    </w:p>
    <w:p>
      <w:pPr>
        <w:sectPr>
          <w:footerReference r:id="rId7" w:type="default"/>
          <w:pgSz w:w="11906" w:h="16838"/>
          <w:pgMar w:top="1440" w:right="1440" w:bottom="1440" w:left="1797" w:header="851" w:footer="992" w:gutter="0"/>
          <w:pgNumType w:fmt="decimal"/>
          <w:cols w:space="720" w:num="1"/>
          <w:docGrid w:linePitch="312" w:charSpace="0"/>
        </w:sectPr>
      </w:pPr>
    </w:p>
    <w:p>
      <w:pPr>
        <w:pStyle w:val="2"/>
        <w:spacing w:before="0" w:after="0" w:line="240" w:lineRule="auto"/>
        <w:rPr>
          <w:rFonts w:eastAsia="黑体"/>
          <w:sz w:val="28"/>
          <w:szCs w:val="28"/>
        </w:rPr>
      </w:pPr>
      <w:bookmarkStart w:id="298" w:name="_Toc29632"/>
      <w:r>
        <w:rPr>
          <w:rFonts w:hint="eastAsia" w:eastAsia="黑体"/>
          <w:sz w:val="28"/>
          <w:szCs w:val="28"/>
        </w:rPr>
        <w:t>三、</w:t>
      </w:r>
      <w:r>
        <w:rPr>
          <w:rFonts w:eastAsia="黑体"/>
          <w:sz w:val="28"/>
          <w:szCs w:val="28"/>
        </w:rPr>
        <w:t>资格审查证明文件</w:t>
      </w:r>
      <w:bookmarkEnd w:id="291"/>
      <w:bookmarkEnd w:id="292"/>
      <w:bookmarkEnd w:id="296"/>
      <w:bookmarkEnd w:id="298"/>
    </w:p>
    <w:p>
      <w:pPr>
        <w:autoSpaceDE w:val="0"/>
        <w:autoSpaceDN w:val="0"/>
        <w:adjustRightInd w:val="0"/>
        <w:jc w:val="center"/>
        <w:rPr>
          <w:rFonts w:eastAsia="黑体"/>
          <w:b/>
          <w:bCs/>
          <w:kern w:val="0"/>
          <w:sz w:val="36"/>
          <w:szCs w:val="36"/>
        </w:rPr>
      </w:pPr>
    </w:p>
    <w:p>
      <w:pPr>
        <w:autoSpaceDE w:val="0"/>
        <w:autoSpaceDN w:val="0"/>
        <w:adjustRightInd w:val="0"/>
        <w:jc w:val="center"/>
        <w:rPr>
          <w:rFonts w:eastAsia="黑体"/>
          <w:b/>
          <w:bCs/>
          <w:kern w:val="0"/>
          <w:sz w:val="36"/>
          <w:szCs w:val="36"/>
        </w:rPr>
      </w:pPr>
      <w:r>
        <w:rPr>
          <w:rFonts w:eastAsia="黑体"/>
          <w:b/>
          <w:bCs/>
          <w:kern w:val="0"/>
          <w:sz w:val="36"/>
          <w:szCs w:val="36"/>
        </w:rPr>
        <w:t>资格审查证明文件</w:t>
      </w:r>
    </w:p>
    <w:p/>
    <w:p>
      <w:pPr>
        <w:spacing w:line="360" w:lineRule="auto"/>
        <w:ind w:firstLine="480" w:firstLineChars="200"/>
        <w:rPr>
          <w:snapToGrid w:val="0"/>
          <w:kern w:val="0"/>
          <w:sz w:val="24"/>
        </w:rPr>
      </w:pPr>
      <w:r>
        <w:rPr>
          <w:snapToGrid w:val="0"/>
          <w:kern w:val="0"/>
          <w:sz w:val="24"/>
        </w:rPr>
        <w:t>1、供应商在国家或地方有关登记管理机关登记注册的有效证明材料复印件（如营业执照、事业单位法人证书、自然人身份证明等）（格式见3-1）</w:t>
      </w:r>
    </w:p>
    <w:p>
      <w:pPr>
        <w:spacing w:line="360" w:lineRule="auto"/>
        <w:ind w:firstLine="480" w:firstLineChars="200"/>
        <w:rPr>
          <w:snapToGrid w:val="0"/>
          <w:kern w:val="0"/>
          <w:sz w:val="24"/>
        </w:rPr>
      </w:pPr>
      <w:r>
        <w:rPr>
          <w:snapToGrid w:val="0"/>
          <w:kern w:val="0"/>
          <w:sz w:val="24"/>
        </w:rPr>
        <w:t>2、提供上年度（2021年）财务审计报告或半年内任意一个月财务报表（财务报表应至少包括资产负债表、利润表、现金流量表或财务状况变动表，当月新成立公司不需提供）（格式见3-2）</w:t>
      </w:r>
    </w:p>
    <w:p>
      <w:pPr>
        <w:spacing w:line="360" w:lineRule="auto"/>
        <w:ind w:firstLine="480" w:firstLineChars="200"/>
        <w:rPr>
          <w:snapToGrid w:val="0"/>
          <w:kern w:val="0"/>
          <w:sz w:val="24"/>
        </w:rPr>
      </w:pPr>
      <w:r>
        <w:rPr>
          <w:snapToGrid w:val="0"/>
          <w:kern w:val="0"/>
          <w:sz w:val="24"/>
        </w:rPr>
        <w:t>3、提供的近半年内任意一月依法缴纳税收证明（当月新成立公司不需提供；无需纳税或免税的须提供相应证明材料。）（格式见3-3）</w:t>
      </w:r>
    </w:p>
    <w:p>
      <w:pPr>
        <w:spacing w:line="360" w:lineRule="auto"/>
        <w:ind w:firstLine="480" w:firstLineChars="200"/>
        <w:rPr>
          <w:snapToGrid w:val="0"/>
          <w:kern w:val="0"/>
          <w:sz w:val="24"/>
        </w:rPr>
      </w:pPr>
      <w:r>
        <w:rPr>
          <w:snapToGrid w:val="0"/>
          <w:kern w:val="0"/>
          <w:sz w:val="24"/>
        </w:rPr>
        <w:t>4、提供社保缴纳证明（近半年内任意一月社保缴纳证明，当月新成立公司不需提供）（格式见3-4）</w:t>
      </w:r>
    </w:p>
    <w:p>
      <w:pPr>
        <w:spacing w:line="360" w:lineRule="auto"/>
        <w:ind w:firstLine="480" w:firstLineChars="200"/>
        <w:rPr>
          <w:snapToGrid w:val="0"/>
          <w:kern w:val="0"/>
          <w:sz w:val="24"/>
        </w:rPr>
      </w:pPr>
      <w:r>
        <w:rPr>
          <w:snapToGrid w:val="0"/>
          <w:kern w:val="0"/>
          <w:sz w:val="24"/>
        </w:rPr>
        <w:t>5、具备履行合同所必需的设备和专业技术能力的</w:t>
      </w:r>
      <w:r>
        <w:rPr>
          <w:rFonts w:hint="eastAsia"/>
          <w:snapToGrid w:val="0"/>
          <w:kern w:val="0"/>
          <w:sz w:val="24"/>
        </w:rPr>
        <w:t>相关证明材料或声明函</w:t>
      </w:r>
      <w:r>
        <w:rPr>
          <w:snapToGrid w:val="0"/>
          <w:kern w:val="0"/>
          <w:sz w:val="24"/>
        </w:rPr>
        <w:t>（格式见3-5）；</w:t>
      </w:r>
    </w:p>
    <w:p>
      <w:pPr>
        <w:spacing w:line="360" w:lineRule="auto"/>
        <w:ind w:firstLine="480" w:firstLineChars="200"/>
        <w:rPr>
          <w:snapToGrid w:val="0"/>
          <w:kern w:val="0"/>
          <w:sz w:val="24"/>
        </w:rPr>
      </w:pPr>
      <w:r>
        <w:rPr>
          <w:snapToGrid w:val="0"/>
          <w:kern w:val="0"/>
          <w:sz w:val="24"/>
        </w:rPr>
        <w:t>6、供应商参加政府采购活动前3年内在经营活动中没有重大违法记录的书面声明（格式见3-6)</w:t>
      </w:r>
    </w:p>
    <w:p>
      <w:pPr>
        <w:spacing w:line="360" w:lineRule="auto"/>
        <w:ind w:firstLine="480" w:firstLineChars="200"/>
        <w:rPr>
          <w:snapToGrid w:val="0"/>
          <w:kern w:val="0"/>
          <w:sz w:val="24"/>
        </w:rPr>
      </w:pPr>
      <w:r>
        <w:rPr>
          <w:snapToGrid w:val="0"/>
          <w:kern w:val="0"/>
          <w:sz w:val="24"/>
        </w:rPr>
        <w:t xml:space="preserve">7、医疗器械经营备案凭证或医疗器械生产许可证或医疗器械经营许可证或其他医疗器械生产经营许可证明文件；医疗器械注册证。（根据所投内容提供）（格式见3-7)  </w:t>
      </w:r>
    </w:p>
    <w:p>
      <w:pPr>
        <w:spacing w:line="360" w:lineRule="auto"/>
        <w:ind w:firstLine="480" w:firstLineChars="200"/>
        <w:rPr>
          <w:snapToGrid w:val="0"/>
          <w:kern w:val="0"/>
          <w:sz w:val="24"/>
        </w:rPr>
      </w:pPr>
      <w:r>
        <w:rPr>
          <w:snapToGrid w:val="0"/>
          <w:kern w:val="0"/>
          <w:sz w:val="24"/>
        </w:rPr>
        <w:t>8</w:t>
      </w:r>
      <w:r>
        <w:rPr>
          <w:rFonts w:hint="eastAsia"/>
          <w:snapToGrid w:val="0"/>
          <w:kern w:val="0"/>
          <w:sz w:val="24"/>
        </w:rPr>
        <w:t>、落实政府采购政策的证明材料</w:t>
      </w:r>
      <w:r>
        <w:rPr>
          <w:snapToGrid w:val="0"/>
          <w:kern w:val="0"/>
          <w:sz w:val="24"/>
        </w:rPr>
        <w:t xml:space="preserve">（格式见3-8)  </w:t>
      </w:r>
    </w:p>
    <w:p>
      <w:pPr>
        <w:spacing w:line="360" w:lineRule="auto"/>
        <w:ind w:firstLine="480" w:firstLineChars="200"/>
        <w:rPr>
          <w:snapToGrid w:val="0"/>
          <w:kern w:val="0"/>
          <w:sz w:val="24"/>
        </w:rPr>
      </w:pPr>
      <w:r>
        <w:rPr>
          <w:snapToGrid w:val="0"/>
          <w:kern w:val="0"/>
          <w:sz w:val="24"/>
        </w:rPr>
        <w:t>9、不参与围标串标承诺书（格式见3-9）</w:t>
      </w:r>
    </w:p>
    <w:p>
      <w:pPr>
        <w:spacing w:line="360" w:lineRule="auto"/>
        <w:ind w:firstLine="480" w:firstLineChars="200"/>
        <w:rPr>
          <w:snapToGrid w:val="0"/>
          <w:kern w:val="0"/>
          <w:sz w:val="24"/>
        </w:rPr>
      </w:pPr>
      <w:r>
        <w:rPr>
          <w:snapToGrid w:val="0"/>
          <w:kern w:val="0"/>
          <w:sz w:val="24"/>
        </w:rPr>
        <w:t>10、投标保证金缴纳凭证复印件（收据、银行电汇凭证或其他支付形式的缴纳凭证等）（格式见3-10）</w:t>
      </w:r>
    </w:p>
    <w:p>
      <w:pPr>
        <w:spacing w:line="360" w:lineRule="auto"/>
        <w:ind w:firstLine="482" w:firstLineChars="200"/>
        <w:rPr>
          <w:b/>
          <w:bCs/>
          <w:snapToGrid w:val="0"/>
          <w:kern w:val="0"/>
          <w:sz w:val="24"/>
        </w:rPr>
      </w:pPr>
      <w:r>
        <w:rPr>
          <w:b/>
          <w:bCs/>
          <w:snapToGrid w:val="0"/>
          <w:kern w:val="0"/>
          <w:sz w:val="24"/>
        </w:rPr>
        <w:t>以上提供的原件、扫描件、复印件须加盖投标人公章。</w:t>
      </w:r>
    </w:p>
    <w:p>
      <w:pPr>
        <w:spacing w:line="360" w:lineRule="auto"/>
        <w:rPr>
          <w:snapToGrid w:val="0"/>
          <w:kern w:val="0"/>
          <w:sz w:val="24"/>
        </w:rPr>
      </w:pPr>
      <w:r>
        <w:rPr>
          <w:snapToGrid w:val="0"/>
          <w:kern w:val="0"/>
          <w:sz w:val="24"/>
        </w:rPr>
        <w:br w:type="page"/>
      </w:r>
      <w:bookmarkStart w:id="299" w:name="_Hlt520274121"/>
      <w:bookmarkEnd w:id="299"/>
    </w:p>
    <w:p>
      <w:pPr>
        <w:pStyle w:val="5"/>
        <w:spacing w:line="240" w:lineRule="auto"/>
        <w:rPr>
          <w:rFonts w:ascii="Times New Roman" w:hAnsi="Times New Roman" w:eastAsia="黑体"/>
        </w:rPr>
      </w:pPr>
      <w:r>
        <w:rPr>
          <w:rFonts w:ascii="Times New Roman" w:hAnsi="Times New Roman" w:eastAsia="黑体"/>
        </w:rPr>
        <w:t>3-1 投标人在国家或地方有关登记管理机关登记注册的有效证明材料复印件（如营业执照、事业单位法人证书、自然人身份证明等，加盖公章）</w:t>
      </w:r>
    </w:p>
    <w:p>
      <w:pPr>
        <w:snapToGrid w:val="0"/>
        <w:jc w:val="left"/>
        <w:textAlignment w:val="baseline"/>
        <w:rPr>
          <w:sz w:val="24"/>
        </w:rPr>
      </w:pPr>
    </w:p>
    <w:p>
      <w:pPr>
        <w:snapToGrid w:val="0"/>
        <w:spacing w:line="380" w:lineRule="exact"/>
        <w:textAlignment w:val="baseline"/>
        <w:rPr>
          <w:sz w:val="20"/>
        </w:rPr>
      </w:pPr>
      <w:r>
        <w:t>说明：</w:t>
      </w:r>
    </w:p>
    <w:p>
      <w:pPr>
        <w:snapToGrid w:val="0"/>
        <w:spacing w:line="380" w:lineRule="exact"/>
        <w:ind w:firstLine="420" w:firstLineChars="200"/>
        <w:textAlignment w:val="baseline"/>
        <w:rPr>
          <w:sz w:val="20"/>
        </w:rPr>
      </w:pPr>
      <w:r>
        <w:t>供应商是企业（包括合伙企业）的，应提供其在工商部门注册的有效“企业营业执照”复印件；</w:t>
      </w:r>
    </w:p>
    <w:p>
      <w:pPr>
        <w:snapToGrid w:val="0"/>
        <w:spacing w:line="380" w:lineRule="exact"/>
        <w:ind w:firstLine="420" w:firstLineChars="200"/>
        <w:textAlignment w:val="baseline"/>
        <w:rPr>
          <w:sz w:val="20"/>
        </w:rPr>
      </w:pPr>
      <w:r>
        <w:t>供应商是事业单位的，应提供其有效的</w:t>
      </w:r>
      <w:r>
        <w:rPr>
          <w:rFonts w:hint="eastAsia"/>
        </w:rPr>
        <w:t>“</w:t>
      </w:r>
      <w:r>
        <w:t>事业单位法人证书</w:t>
      </w:r>
      <w:r>
        <w:rPr>
          <w:rFonts w:hint="eastAsia"/>
        </w:rPr>
        <w:t>”</w:t>
      </w:r>
      <w:r>
        <w:t>复印件；</w:t>
      </w:r>
    </w:p>
    <w:p>
      <w:pPr>
        <w:snapToGrid w:val="0"/>
        <w:spacing w:line="380" w:lineRule="exact"/>
        <w:ind w:firstLine="420" w:firstLineChars="200"/>
        <w:textAlignment w:val="baseline"/>
        <w:rPr>
          <w:sz w:val="20"/>
        </w:rPr>
      </w:pPr>
      <w:r>
        <w:t>供应商是非企业专业服务机构的，应提供其有效的</w:t>
      </w:r>
      <w:r>
        <w:rPr>
          <w:rFonts w:hint="eastAsia"/>
        </w:rPr>
        <w:t>“</w:t>
      </w:r>
      <w:r>
        <w:t>执业许可证</w:t>
      </w:r>
      <w:r>
        <w:rPr>
          <w:rFonts w:hint="eastAsia"/>
        </w:rPr>
        <w:t>”</w:t>
      </w:r>
      <w:r>
        <w:t>复印件；</w:t>
      </w:r>
    </w:p>
    <w:p>
      <w:pPr>
        <w:snapToGrid w:val="0"/>
        <w:spacing w:line="380" w:lineRule="exact"/>
        <w:ind w:firstLine="420" w:firstLineChars="200"/>
        <w:textAlignment w:val="baseline"/>
        <w:rPr>
          <w:sz w:val="20"/>
        </w:rPr>
      </w:pPr>
      <w:r>
        <w:t>供应商是个体工商户的，应提供其有效的</w:t>
      </w:r>
      <w:r>
        <w:rPr>
          <w:rFonts w:hint="eastAsia"/>
        </w:rPr>
        <w:t>“</w:t>
      </w:r>
      <w:r>
        <w:t>个体工商户营业执照</w:t>
      </w:r>
      <w:r>
        <w:rPr>
          <w:rFonts w:hint="eastAsia"/>
        </w:rPr>
        <w:t>”</w:t>
      </w:r>
      <w:r>
        <w:t>复印件；</w:t>
      </w:r>
    </w:p>
    <w:p>
      <w:pPr>
        <w:snapToGrid w:val="0"/>
        <w:spacing w:line="380" w:lineRule="exact"/>
        <w:ind w:firstLine="420" w:firstLineChars="200"/>
        <w:textAlignment w:val="baseline"/>
        <w:rPr>
          <w:sz w:val="20"/>
        </w:rPr>
      </w:pPr>
      <w:r>
        <w:t>供应商是自然人的，应提供其有效的自然人身份证明复印件。</w:t>
      </w:r>
    </w:p>
    <w:p>
      <w:pPr>
        <w:snapToGrid w:val="0"/>
        <w:jc w:val="left"/>
        <w:textAlignment w:val="baseline"/>
        <w:rPr>
          <w:rFonts w:eastAsia="仿宋_GB2312"/>
          <w:sz w:val="24"/>
        </w:rPr>
      </w:pPr>
    </w:p>
    <w:p>
      <w:pPr>
        <w:snapToGrid w:val="0"/>
        <w:jc w:val="left"/>
        <w:textAlignment w:val="baseline"/>
        <w:rPr>
          <w:rFonts w:eastAsia="仿宋_GB2312"/>
          <w:sz w:val="24"/>
        </w:rPr>
      </w:pPr>
    </w:p>
    <w:p>
      <w:pPr>
        <w:snapToGrid w:val="0"/>
        <w:spacing w:line="360" w:lineRule="atLeast"/>
        <w:jc w:val="left"/>
        <w:textAlignment w:val="baseline"/>
        <w:rPr>
          <w:b/>
          <w:sz w:val="28"/>
        </w:rPr>
      </w:pPr>
      <w:r>
        <w:rPr>
          <w:b/>
        </w:rPr>
        <w:br w:type="textWrapping"/>
      </w:r>
    </w:p>
    <w:p>
      <w:pPr>
        <w:snapToGrid w:val="0"/>
        <w:spacing w:line="360" w:lineRule="atLeast"/>
        <w:jc w:val="left"/>
        <w:textAlignment w:val="baseline"/>
        <w:rPr>
          <w:b/>
          <w:sz w:val="28"/>
        </w:rPr>
      </w:pPr>
    </w:p>
    <w:p>
      <w:pPr>
        <w:snapToGrid w:val="0"/>
        <w:textAlignment w:val="baseline"/>
        <w:rPr>
          <w:b/>
          <w:sz w:val="24"/>
        </w:rPr>
      </w:pPr>
      <w:bookmarkStart w:id="300" w:name="_Toc16787"/>
      <w:bookmarkStart w:id="301" w:name="_Toc21548"/>
      <w:bookmarkStart w:id="302" w:name="_Toc16920"/>
      <w:bookmarkStart w:id="303" w:name="_Toc21701"/>
      <w:r>
        <w:rPr>
          <w:b/>
          <w:sz w:val="24"/>
        </w:rPr>
        <w:br w:type="page"/>
      </w:r>
    </w:p>
    <w:p>
      <w:pPr>
        <w:pStyle w:val="5"/>
        <w:spacing w:line="240" w:lineRule="auto"/>
        <w:rPr>
          <w:rFonts w:ascii="Times New Roman" w:hAnsi="Times New Roman" w:eastAsia="黑体"/>
        </w:rPr>
      </w:pPr>
      <w:r>
        <w:rPr>
          <w:rFonts w:ascii="Times New Roman" w:hAnsi="Times New Roman" w:eastAsia="黑体"/>
        </w:rPr>
        <w:t xml:space="preserve">3-2  </w:t>
      </w:r>
      <w:bookmarkEnd w:id="300"/>
      <w:bookmarkEnd w:id="301"/>
      <w:bookmarkEnd w:id="302"/>
      <w:bookmarkEnd w:id="303"/>
      <w:r>
        <w:rPr>
          <w:rFonts w:ascii="Times New Roman" w:hAnsi="Times New Roman" w:eastAsia="黑体"/>
        </w:rPr>
        <w:t>财务审计报告或财务报表</w:t>
      </w:r>
    </w:p>
    <w:p>
      <w:pPr>
        <w:snapToGrid w:val="0"/>
        <w:spacing w:line="380" w:lineRule="exact"/>
        <w:textAlignment w:val="baseline"/>
        <w:rPr>
          <w:sz w:val="20"/>
        </w:rPr>
      </w:pPr>
      <w:r>
        <w:t>说明：</w:t>
      </w:r>
    </w:p>
    <w:p>
      <w:pPr>
        <w:snapToGrid w:val="0"/>
        <w:spacing w:line="360" w:lineRule="auto"/>
        <w:ind w:right="155"/>
        <w:textAlignment w:val="baseline"/>
        <w:rPr>
          <w:sz w:val="20"/>
          <w:szCs w:val="21"/>
        </w:rPr>
      </w:pPr>
    </w:p>
    <w:p>
      <w:pPr>
        <w:snapToGrid w:val="0"/>
        <w:spacing w:line="380" w:lineRule="exact"/>
        <w:ind w:left="105" w:leftChars="50" w:firstLine="420" w:firstLineChars="200"/>
        <w:textAlignment w:val="baseline"/>
        <w:rPr>
          <w:sz w:val="20"/>
          <w:szCs w:val="21"/>
        </w:rPr>
      </w:pPr>
      <w:r>
        <w:rPr>
          <w:szCs w:val="21"/>
        </w:rPr>
        <w:t>提供上年度（2021年）财务审计报告或半年内任意一个月财务报表（财务报表应至少包括资产负债表、利润表、现金流量表或财务状况变动表，当月新成立公司不需提供）</w:t>
      </w:r>
      <w:r>
        <w:rPr>
          <w:rFonts w:hint="eastAsia"/>
          <w:szCs w:val="21"/>
        </w:rPr>
        <w:t>。</w:t>
      </w:r>
    </w:p>
    <w:p>
      <w:pPr>
        <w:snapToGrid w:val="0"/>
        <w:spacing w:line="360" w:lineRule="auto"/>
        <w:textAlignment w:val="baseline"/>
        <w:rPr>
          <w:sz w:val="20"/>
          <w:szCs w:val="21"/>
        </w:rPr>
      </w:pPr>
    </w:p>
    <w:p>
      <w:pPr>
        <w:snapToGrid w:val="0"/>
        <w:spacing w:before="156" w:line="440" w:lineRule="exact"/>
        <w:ind w:left="687" w:leftChars="327"/>
        <w:textAlignment w:val="baseline"/>
        <w:rPr>
          <w:rFonts w:eastAsia="仿宋_GB2312"/>
          <w:sz w:val="24"/>
        </w:rPr>
      </w:pPr>
    </w:p>
    <w:p>
      <w:pPr>
        <w:tabs>
          <w:tab w:val="left" w:pos="993"/>
          <w:tab w:val="left" w:pos="1030"/>
          <w:tab w:val="left" w:pos="8364"/>
        </w:tabs>
        <w:snapToGrid w:val="0"/>
        <w:spacing w:after="156"/>
        <w:ind w:left="420" w:right="-56"/>
        <w:jc w:val="left"/>
        <w:textAlignment w:val="baseline"/>
        <w:rPr>
          <w:b/>
          <w:sz w:val="24"/>
        </w:rPr>
      </w:pPr>
      <w:r>
        <w:rPr>
          <w:b/>
          <w:sz w:val="24"/>
        </w:rPr>
        <w:br w:type="textWrapping"/>
      </w:r>
    </w:p>
    <w:p>
      <w:pPr>
        <w:tabs>
          <w:tab w:val="left" w:pos="993"/>
          <w:tab w:val="left" w:pos="1030"/>
          <w:tab w:val="left" w:pos="8364"/>
        </w:tabs>
        <w:snapToGrid w:val="0"/>
        <w:spacing w:after="156"/>
        <w:ind w:left="420" w:right="-56"/>
        <w:jc w:val="left"/>
        <w:textAlignment w:val="baseline"/>
        <w:rPr>
          <w:b/>
          <w:sz w:val="24"/>
        </w:rPr>
      </w:pPr>
    </w:p>
    <w:p>
      <w:pPr>
        <w:snapToGrid w:val="0"/>
        <w:textAlignment w:val="baseline"/>
        <w:rPr>
          <w:b/>
          <w:sz w:val="24"/>
        </w:rPr>
      </w:pPr>
      <w:bookmarkStart w:id="304" w:name="_Toc24495"/>
      <w:bookmarkStart w:id="305" w:name="_Toc22558"/>
      <w:bookmarkStart w:id="306" w:name="_Toc11031"/>
      <w:bookmarkStart w:id="307" w:name="_Toc29140"/>
      <w:r>
        <w:rPr>
          <w:b/>
          <w:sz w:val="24"/>
        </w:rPr>
        <w:br w:type="page"/>
      </w:r>
    </w:p>
    <w:bookmarkEnd w:id="304"/>
    <w:bookmarkEnd w:id="305"/>
    <w:bookmarkEnd w:id="306"/>
    <w:bookmarkEnd w:id="307"/>
    <w:p>
      <w:pPr>
        <w:pStyle w:val="5"/>
        <w:spacing w:line="240" w:lineRule="auto"/>
        <w:rPr>
          <w:rFonts w:ascii="Times New Roman" w:hAnsi="Times New Roman" w:eastAsia="黑体"/>
        </w:rPr>
      </w:pPr>
      <w:bookmarkStart w:id="308" w:name="_Toc19881"/>
      <w:bookmarkStart w:id="309" w:name="_Toc11244"/>
      <w:bookmarkStart w:id="310" w:name="_Toc1233"/>
      <w:bookmarkStart w:id="311" w:name="_Toc10448"/>
      <w:r>
        <w:rPr>
          <w:rFonts w:ascii="Times New Roman" w:hAnsi="Times New Roman" w:eastAsia="黑体"/>
        </w:rPr>
        <w:t>3-3  依法缴纳税收的证明</w:t>
      </w:r>
      <w:bookmarkEnd w:id="308"/>
      <w:bookmarkEnd w:id="309"/>
      <w:bookmarkEnd w:id="310"/>
      <w:bookmarkEnd w:id="311"/>
    </w:p>
    <w:p>
      <w:pPr>
        <w:tabs>
          <w:tab w:val="left" w:pos="993"/>
          <w:tab w:val="left" w:pos="1030"/>
          <w:tab w:val="left" w:pos="8364"/>
        </w:tabs>
        <w:snapToGrid w:val="0"/>
        <w:spacing w:after="156"/>
        <w:ind w:right="-56"/>
        <w:jc w:val="left"/>
        <w:textAlignment w:val="baseline"/>
        <w:rPr>
          <w:sz w:val="24"/>
        </w:rPr>
      </w:pPr>
    </w:p>
    <w:p>
      <w:pPr>
        <w:tabs>
          <w:tab w:val="left" w:pos="993"/>
          <w:tab w:val="left" w:pos="1030"/>
          <w:tab w:val="left" w:pos="8364"/>
        </w:tabs>
        <w:snapToGrid w:val="0"/>
        <w:spacing w:after="156"/>
        <w:ind w:left="420" w:right="-56" w:firstLine="480" w:firstLineChars="200"/>
        <w:jc w:val="left"/>
        <w:textAlignment w:val="baseline"/>
        <w:rPr>
          <w:sz w:val="24"/>
        </w:rPr>
      </w:pPr>
    </w:p>
    <w:p>
      <w:pPr>
        <w:tabs>
          <w:tab w:val="left" w:pos="993"/>
          <w:tab w:val="left" w:pos="1030"/>
          <w:tab w:val="left" w:pos="8364"/>
        </w:tabs>
        <w:snapToGrid w:val="0"/>
        <w:spacing w:after="156"/>
        <w:ind w:right="-56"/>
        <w:jc w:val="left"/>
        <w:textAlignment w:val="baseline"/>
        <w:rPr>
          <w:sz w:val="24"/>
        </w:rPr>
      </w:pPr>
      <w:r>
        <w:rPr>
          <w:sz w:val="24"/>
        </w:rPr>
        <w:t>说明：</w:t>
      </w:r>
    </w:p>
    <w:p>
      <w:pPr>
        <w:tabs>
          <w:tab w:val="left" w:pos="993"/>
          <w:tab w:val="left" w:pos="1030"/>
          <w:tab w:val="left" w:pos="8364"/>
        </w:tabs>
        <w:snapToGrid w:val="0"/>
        <w:spacing w:after="156"/>
        <w:ind w:left="420" w:right="-56" w:firstLine="480" w:firstLineChars="200"/>
        <w:jc w:val="left"/>
        <w:textAlignment w:val="baseline"/>
        <w:rPr>
          <w:sz w:val="24"/>
        </w:rPr>
      </w:pPr>
      <w:r>
        <w:rPr>
          <w:sz w:val="24"/>
        </w:rPr>
        <w:t>缴纳税收提供的近半年内任意一月依法缴纳税收证明，当月新成立公司不需提供；无需纳税或免税的也需提供相应证明材料。</w:t>
      </w:r>
    </w:p>
    <w:p>
      <w:pPr>
        <w:tabs>
          <w:tab w:val="left" w:pos="993"/>
          <w:tab w:val="left" w:pos="1030"/>
          <w:tab w:val="left" w:pos="8364"/>
        </w:tabs>
        <w:snapToGrid w:val="0"/>
        <w:spacing w:after="156"/>
        <w:ind w:left="420" w:right="-56" w:firstLine="480" w:firstLineChars="200"/>
        <w:jc w:val="left"/>
        <w:textAlignment w:val="baseline"/>
        <w:rPr>
          <w:sz w:val="24"/>
        </w:rPr>
      </w:pPr>
    </w:p>
    <w:p>
      <w:pPr>
        <w:tabs>
          <w:tab w:val="left" w:pos="993"/>
          <w:tab w:val="left" w:pos="1030"/>
          <w:tab w:val="left" w:pos="8364"/>
        </w:tabs>
        <w:snapToGrid w:val="0"/>
        <w:spacing w:after="156"/>
        <w:ind w:left="420" w:right="-56" w:firstLine="480" w:firstLineChars="200"/>
        <w:jc w:val="left"/>
        <w:textAlignment w:val="baseline"/>
        <w:rPr>
          <w:sz w:val="24"/>
        </w:rPr>
      </w:pPr>
    </w:p>
    <w:p>
      <w:pPr>
        <w:tabs>
          <w:tab w:val="left" w:pos="993"/>
          <w:tab w:val="left" w:pos="1030"/>
          <w:tab w:val="left" w:pos="8364"/>
        </w:tabs>
        <w:snapToGrid w:val="0"/>
        <w:spacing w:after="156"/>
        <w:ind w:left="420" w:right="-56" w:firstLine="480" w:firstLineChars="200"/>
        <w:jc w:val="left"/>
        <w:textAlignment w:val="baseline"/>
        <w:rPr>
          <w:sz w:val="24"/>
        </w:rPr>
      </w:pPr>
    </w:p>
    <w:p>
      <w:pPr>
        <w:tabs>
          <w:tab w:val="left" w:pos="993"/>
          <w:tab w:val="left" w:pos="1030"/>
          <w:tab w:val="left" w:pos="8364"/>
        </w:tabs>
        <w:snapToGrid w:val="0"/>
        <w:spacing w:after="156"/>
        <w:ind w:right="-56"/>
        <w:jc w:val="left"/>
        <w:textAlignment w:val="baseline"/>
        <w:rPr>
          <w:b/>
          <w:sz w:val="24"/>
        </w:rPr>
      </w:pPr>
      <w:bookmarkStart w:id="312" w:name="_Toc22356"/>
      <w:bookmarkStart w:id="313" w:name="_Toc2794"/>
      <w:bookmarkStart w:id="314" w:name="_Toc29373"/>
      <w:bookmarkStart w:id="315" w:name="_Toc16271"/>
      <w:r>
        <w:rPr>
          <w:b/>
          <w:sz w:val="24"/>
        </w:rPr>
        <w:br w:type="page"/>
      </w:r>
    </w:p>
    <w:p>
      <w:pPr>
        <w:pStyle w:val="5"/>
        <w:spacing w:line="240" w:lineRule="auto"/>
        <w:rPr>
          <w:rFonts w:ascii="Times New Roman" w:hAnsi="Times New Roman" w:eastAsia="黑体"/>
        </w:rPr>
      </w:pPr>
      <w:r>
        <w:rPr>
          <w:rFonts w:ascii="Times New Roman" w:hAnsi="Times New Roman" w:eastAsia="黑体"/>
        </w:rPr>
        <w:t>3-4  社会保障资金缴纳记录</w:t>
      </w:r>
      <w:bookmarkEnd w:id="312"/>
      <w:bookmarkEnd w:id="313"/>
      <w:bookmarkEnd w:id="314"/>
      <w:bookmarkEnd w:id="315"/>
    </w:p>
    <w:p>
      <w:pPr>
        <w:tabs>
          <w:tab w:val="left" w:pos="993"/>
          <w:tab w:val="left" w:pos="1030"/>
          <w:tab w:val="left" w:pos="8364"/>
        </w:tabs>
        <w:snapToGrid w:val="0"/>
        <w:spacing w:after="156"/>
        <w:ind w:right="-56"/>
        <w:jc w:val="left"/>
        <w:textAlignment w:val="baseline"/>
        <w:rPr>
          <w:sz w:val="24"/>
        </w:rPr>
      </w:pPr>
      <w:r>
        <w:rPr>
          <w:sz w:val="24"/>
        </w:rPr>
        <w:t>说明：</w:t>
      </w:r>
    </w:p>
    <w:p>
      <w:pPr>
        <w:tabs>
          <w:tab w:val="left" w:pos="993"/>
          <w:tab w:val="left" w:pos="1030"/>
          <w:tab w:val="left" w:pos="8364"/>
        </w:tabs>
        <w:snapToGrid w:val="0"/>
        <w:spacing w:after="156"/>
        <w:ind w:left="420" w:right="-56" w:firstLine="480" w:firstLineChars="200"/>
        <w:jc w:val="left"/>
        <w:textAlignment w:val="baseline"/>
        <w:rPr>
          <w:sz w:val="24"/>
        </w:rPr>
      </w:pPr>
      <w:r>
        <w:rPr>
          <w:sz w:val="24"/>
        </w:rPr>
        <w:t>缴纳社会保障资金，提供国家或地方社会保险机构出具的社保缴纳记录或相关证明材料（近半年内任意一月社保缴纳证明，当月新成立公司不需提供）。</w:t>
      </w:r>
    </w:p>
    <w:p>
      <w:pPr>
        <w:tabs>
          <w:tab w:val="left" w:pos="993"/>
          <w:tab w:val="left" w:pos="1030"/>
          <w:tab w:val="left" w:pos="8364"/>
        </w:tabs>
        <w:snapToGrid w:val="0"/>
        <w:spacing w:after="156"/>
        <w:ind w:right="-56"/>
        <w:jc w:val="left"/>
        <w:textAlignment w:val="baseline"/>
        <w:rPr>
          <w:sz w:val="24"/>
        </w:rPr>
      </w:pPr>
    </w:p>
    <w:p>
      <w:pPr>
        <w:tabs>
          <w:tab w:val="left" w:pos="5580"/>
        </w:tabs>
        <w:snapToGrid w:val="0"/>
        <w:spacing w:before="120" w:line="360" w:lineRule="auto"/>
        <w:ind w:firstLine="480" w:firstLineChars="200"/>
        <w:textAlignment w:val="baseline"/>
        <w:rPr>
          <w:sz w:val="24"/>
        </w:rPr>
      </w:pPr>
      <w:r>
        <w:rPr>
          <w:sz w:val="24"/>
        </w:rPr>
        <w:br w:type="textWrapping"/>
      </w:r>
    </w:p>
    <w:p>
      <w:pPr>
        <w:tabs>
          <w:tab w:val="left" w:pos="993"/>
          <w:tab w:val="left" w:pos="1030"/>
          <w:tab w:val="left" w:pos="8364"/>
        </w:tabs>
        <w:snapToGrid w:val="0"/>
        <w:spacing w:after="156"/>
        <w:ind w:left="420" w:right="-56"/>
        <w:jc w:val="left"/>
        <w:textAlignment w:val="baseline"/>
        <w:rPr>
          <w:rFonts w:eastAsia="仿宋_GB2312"/>
          <w:sz w:val="24"/>
        </w:rPr>
      </w:pPr>
    </w:p>
    <w:p>
      <w:pPr>
        <w:snapToGrid w:val="0"/>
        <w:textAlignment w:val="baseline"/>
        <w:rPr>
          <w:b/>
          <w:sz w:val="24"/>
        </w:rPr>
      </w:pPr>
      <w:bookmarkStart w:id="316" w:name="_Toc14366"/>
      <w:bookmarkStart w:id="317" w:name="_Toc26453"/>
      <w:bookmarkStart w:id="318" w:name="_Toc17455"/>
      <w:bookmarkStart w:id="319" w:name="_Toc27325"/>
      <w:r>
        <w:rPr>
          <w:b/>
          <w:sz w:val="24"/>
        </w:rPr>
        <w:br w:type="page"/>
      </w:r>
    </w:p>
    <w:p>
      <w:pPr>
        <w:pStyle w:val="5"/>
        <w:spacing w:line="240" w:lineRule="auto"/>
        <w:rPr>
          <w:rFonts w:ascii="Times New Roman" w:hAnsi="Times New Roman" w:eastAsia="黑体"/>
        </w:rPr>
      </w:pPr>
      <w:r>
        <w:rPr>
          <w:rFonts w:ascii="Times New Roman" w:hAnsi="Times New Roman" w:eastAsia="黑体"/>
        </w:rPr>
        <w:t xml:space="preserve">3-5  </w:t>
      </w:r>
      <w:bookmarkEnd w:id="316"/>
      <w:bookmarkEnd w:id="317"/>
      <w:bookmarkEnd w:id="318"/>
      <w:bookmarkEnd w:id="319"/>
      <w:r>
        <w:rPr>
          <w:rFonts w:ascii="Times New Roman" w:hAnsi="Times New Roman" w:eastAsia="黑体"/>
        </w:rPr>
        <w:t>提供具有履行合同所必需的设备和专业技术能力相关证明材料或声明</w:t>
      </w:r>
      <w:r>
        <w:rPr>
          <w:rFonts w:hint="eastAsia" w:ascii="Times New Roman" w:hAnsi="Times New Roman" w:eastAsia="黑体"/>
        </w:rPr>
        <w:t>函</w:t>
      </w:r>
      <w:r>
        <w:rPr>
          <w:rFonts w:ascii="Times New Roman" w:hAnsi="Times New Roman" w:eastAsia="黑体"/>
        </w:rPr>
        <w:t>；</w:t>
      </w:r>
    </w:p>
    <w:p>
      <w:pPr>
        <w:snapToGrid w:val="0"/>
        <w:ind w:firstLine="480"/>
        <w:textAlignment w:val="baseline"/>
        <w:rPr>
          <w:kern w:val="0"/>
          <w:sz w:val="24"/>
        </w:rPr>
      </w:pPr>
    </w:p>
    <w:p>
      <w:pPr>
        <w:snapToGrid w:val="0"/>
        <w:spacing w:line="360" w:lineRule="auto"/>
        <w:jc w:val="left"/>
        <w:textAlignment w:val="baseline"/>
        <w:rPr>
          <w:kern w:val="0"/>
          <w:sz w:val="24"/>
        </w:rPr>
      </w:pPr>
      <w:r>
        <w:rPr>
          <w:kern w:val="0"/>
          <w:sz w:val="24"/>
        </w:rPr>
        <w:t>若提供声明函，参考格式如下：</w:t>
      </w:r>
    </w:p>
    <w:p>
      <w:pPr>
        <w:spacing w:line="360" w:lineRule="auto"/>
        <w:jc w:val="center"/>
        <w:rPr>
          <w:rFonts w:eastAsia="黑体"/>
          <w:b/>
          <w:bCs/>
          <w:sz w:val="28"/>
          <w:szCs w:val="36"/>
        </w:rPr>
      </w:pPr>
    </w:p>
    <w:p>
      <w:pPr>
        <w:spacing w:line="360" w:lineRule="auto"/>
        <w:jc w:val="center"/>
        <w:rPr>
          <w:rFonts w:eastAsia="黑体"/>
          <w:b/>
          <w:bCs/>
          <w:sz w:val="28"/>
          <w:szCs w:val="36"/>
        </w:rPr>
      </w:pPr>
      <w:r>
        <w:rPr>
          <w:rFonts w:eastAsia="黑体"/>
          <w:b/>
          <w:bCs/>
          <w:sz w:val="28"/>
          <w:szCs w:val="36"/>
        </w:rPr>
        <w:t>具有履行合同所必需的设备和专业技术能力的声明函</w:t>
      </w:r>
    </w:p>
    <w:p>
      <w:pPr>
        <w:snapToGrid w:val="0"/>
        <w:spacing w:line="360" w:lineRule="auto"/>
        <w:textAlignment w:val="baseline"/>
        <w:rPr>
          <w:kern w:val="0"/>
          <w:sz w:val="24"/>
          <w:u w:val="single" w:color="000000"/>
        </w:rPr>
      </w:pPr>
    </w:p>
    <w:p>
      <w:pPr>
        <w:snapToGrid w:val="0"/>
        <w:spacing w:line="360" w:lineRule="auto"/>
        <w:textAlignment w:val="baseline"/>
        <w:rPr>
          <w:kern w:val="0"/>
          <w:sz w:val="24"/>
          <w:u w:val="single" w:color="000000"/>
        </w:rPr>
      </w:pPr>
      <w:r>
        <w:rPr>
          <w:kern w:val="0"/>
          <w:sz w:val="24"/>
          <w:u w:val="single" w:color="000000"/>
        </w:rPr>
        <w:t>新疆维吾尔自治区人民医院(采购人名称) ：</w:t>
      </w:r>
    </w:p>
    <w:p>
      <w:pPr>
        <w:snapToGrid w:val="0"/>
        <w:spacing w:line="360" w:lineRule="auto"/>
        <w:ind w:firstLine="480"/>
        <w:textAlignment w:val="baseline"/>
        <w:rPr>
          <w:kern w:val="0"/>
          <w:sz w:val="24"/>
        </w:rPr>
      </w:pPr>
      <w:r>
        <w:rPr>
          <w:kern w:val="0"/>
          <w:sz w:val="24"/>
        </w:rPr>
        <w:t>我方承诺</w:t>
      </w:r>
      <w:r>
        <w:rPr>
          <w:sz w:val="24"/>
        </w:rPr>
        <w:t>具备履行合同所必需的设备和专业技术能力</w:t>
      </w:r>
      <w:r>
        <w:rPr>
          <w:kern w:val="0"/>
          <w:sz w:val="24"/>
        </w:rPr>
        <w:t>。</w:t>
      </w:r>
    </w:p>
    <w:p>
      <w:pPr>
        <w:snapToGrid w:val="0"/>
        <w:spacing w:line="360" w:lineRule="auto"/>
        <w:ind w:firstLine="480"/>
        <w:textAlignment w:val="baseline"/>
        <w:rPr>
          <w:kern w:val="0"/>
          <w:sz w:val="24"/>
        </w:rPr>
      </w:pPr>
      <w:r>
        <w:rPr>
          <w:kern w:val="0"/>
          <w:sz w:val="24"/>
        </w:rPr>
        <w:t>特此声明</w:t>
      </w:r>
    </w:p>
    <w:p>
      <w:pPr>
        <w:snapToGrid w:val="0"/>
        <w:spacing w:line="360" w:lineRule="auto"/>
        <w:ind w:firstLine="480"/>
        <w:textAlignment w:val="baseline"/>
        <w:rPr>
          <w:b/>
          <w:sz w:val="24"/>
        </w:rPr>
      </w:pPr>
    </w:p>
    <w:p>
      <w:pPr>
        <w:snapToGrid w:val="0"/>
        <w:ind w:firstLine="480"/>
        <w:textAlignment w:val="baseline"/>
        <w:rPr>
          <w:b/>
          <w:sz w:val="24"/>
        </w:rPr>
      </w:pPr>
    </w:p>
    <w:p>
      <w:pPr>
        <w:snapToGrid w:val="0"/>
        <w:ind w:firstLine="480"/>
        <w:textAlignment w:val="baseline"/>
        <w:rPr>
          <w:b/>
          <w:sz w:val="24"/>
        </w:rPr>
      </w:pPr>
    </w:p>
    <w:p>
      <w:pPr>
        <w:snapToGrid w:val="0"/>
        <w:spacing w:before="156" w:line="440" w:lineRule="exact"/>
        <w:ind w:left="-103" w:leftChars="-49" w:firstLine="616" w:firstLineChars="257"/>
        <w:textAlignment w:val="baseline"/>
        <w:rPr>
          <w:sz w:val="24"/>
        </w:rPr>
      </w:pPr>
      <w:r>
        <w:rPr>
          <w:sz w:val="24"/>
        </w:rPr>
        <w:t>投标人名称：</w:t>
      </w:r>
      <w:r>
        <w:rPr>
          <w:sz w:val="24"/>
          <w:u w:val="single"/>
        </w:rPr>
        <w:t xml:space="preserve">             </w:t>
      </w:r>
      <w:r>
        <w:rPr>
          <w:sz w:val="24"/>
        </w:rPr>
        <w:t>（公章）</w:t>
      </w:r>
    </w:p>
    <w:p>
      <w:pPr>
        <w:snapToGrid w:val="0"/>
        <w:spacing w:before="156" w:line="440" w:lineRule="exact"/>
        <w:ind w:left="460" w:leftChars="219"/>
        <w:textAlignment w:val="baseline"/>
        <w:rPr>
          <w:sz w:val="24"/>
        </w:rPr>
      </w:pPr>
      <w:r>
        <w:rPr>
          <w:sz w:val="24"/>
        </w:rPr>
        <w:t>法定代表人或其委托代理人：</w:t>
      </w:r>
      <w:r>
        <w:rPr>
          <w:sz w:val="24"/>
          <w:u w:val="single"/>
        </w:rPr>
        <w:t xml:space="preserve">           </w:t>
      </w:r>
      <w:r>
        <w:rPr>
          <w:sz w:val="24"/>
        </w:rPr>
        <w:t>（签字或加盖人名章）</w:t>
      </w:r>
    </w:p>
    <w:p>
      <w:pPr>
        <w:snapToGrid w:val="0"/>
        <w:spacing w:before="156" w:line="440" w:lineRule="exact"/>
        <w:ind w:left="460" w:leftChars="219"/>
        <w:textAlignment w:val="baseline"/>
        <w:rPr>
          <w:sz w:val="24"/>
          <w:u w:val="single"/>
        </w:rPr>
      </w:pPr>
      <w:r>
        <w:rPr>
          <w:sz w:val="24"/>
        </w:rPr>
        <w:t>日期：</w:t>
      </w:r>
      <w:r>
        <w:rPr>
          <w:sz w:val="24"/>
          <w:u w:val="single"/>
        </w:rPr>
        <w:t xml:space="preserve">           </w:t>
      </w:r>
    </w:p>
    <w:p>
      <w:pPr>
        <w:snapToGrid w:val="0"/>
        <w:ind w:right="280"/>
        <w:textAlignment w:val="baseline"/>
        <w:rPr>
          <w:sz w:val="24"/>
        </w:rPr>
      </w:pPr>
    </w:p>
    <w:p>
      <w:pPr>
        <w:tabs>
          <w:tab w:val="left" w:pos="5580"/>
        </w:tabs>
        <w:snapToGrid w:val="0"/>
        <w:spacing w:before="120" w:line="360" w:lineRule="auto"/>
        <w:textAlignment w:val="baseline"/>
        <w:rPr>
          <w:sz w:val="24"/>
        </w:rPr>
      </w:pPr>
    </w:p>
    <w:p>
      <w:pPr>
        <w:tabs>
          <w:tab w:val="left" w:pos="5580"/>
        </w:tabs>
        <w:snapToGrid w:val="0"/>
        <w:spacing w:before="120" w:line="360" w:lineRule="auto"/>
        <w:ind w:firstLine="480" w:firstLineChars="200"/>
        <w:textAlignment w:val="baseline"/>
        <w:rPr>
          <w:rFonts w:eastAsia="仿宋_GB2312"/>
          <w:sz w:val="24"/>
        </w:rPr>
      </w:pPr>
    </w:p>
    <w:p>
      <w:pPr>
        <w:tabs>
          <w:tab w:val="left" w:pos="5580"/>
        </w:tabs>
        <w:snapToGrid w:val="0"/>
        <w:spacing w:before="120" w:line="360" w:lineRule="auto"/>
        <w:ind w:firstLine="480" w:firstLineChars="200"/>
        <w:textAlignment w:val="baseline"/>
        <w:rPr>
          <w:rFonts w:eastAsia="仿宋_GB2312"/>
          <w:sz w:val="24"/>
        </w:rPr>
      </w:pPr>
    </w:p>
    <w:p>
      <w:pPr>
        <w:tabs>
          <w:tab w:val="left" w:pos="993"/>
          <w:tab w:val="left" w:pos="1030"/>
          <w:tab w:val="left" w:pos="8364"/>
        </w:tabs>
        <w:snapToGrid w:val="0"/>
        <w:spacing w:after="156"/>
        <w:ind w:left="420" w:right="-56" w:firstLine="480" w:firstLineChars="200"/>
        <w:jc w:val="left"/>
        <w:textAlignment w:val="baseline"/>
        <w:rPr>
          <w:rFonts w:eastAsia="仿宋_GB2312"/>
          <w:sz w:val="24"/>
        </w:rPr>
      </w:pPr>
    </w:p>
    <w:p>
      <w:pPr>
        <w:widowControl/>
        <w:snapToGrid w:val="0"/>
        <w:jc w:val="left"/>
        <w:textAlignment w:val="baseline"/>
        <w:rPr>
          <w:rFonts w:eastAsia="仿宋_GB2312"/>
          <w:b/>
          <w:sz w:val="24"/>
        </w:rPr>
      </w:pPr>
      <w:r>
        <w:rPr>
          <w:rFonts w:eastAsia="仿宋_GB2312"/>
          <w:b/>
          <w:sz w:val="24"/>
        </w:rPr>
        <w:br w:type="textWrapping"/>
      </w:r>
    </w:p>
    <w:p>
      <w:pPr>
        <w:tabs>
          <w:tab w:val="left" w:pos="993"/>
          <w:tab w:val="left" w:pos="1030"/>
          <w:tab w:val="left" w:pos="8364"/>
        </w:tabs>
        <w:snapToGrid w:val="0"/>
        <w:spacing w:after="156"/>
        <w:ind w:right="-56"/>
        <w:jc w:val="left"/>
        <w:textAlignment w:val="baseline"/>
        <w:rPr>
          <w:b/>
          <w:sz w:val="24"/>
        </w:rPr>
      </w:pPr>
      <w:bookmarkStart w:id="320" w:name="_Toc9381"/>
      <w:bookmarkStart w:id="321" w:name="_Toc12562"/>
      <w:bookmarkStart w:id="322" w:name="_Toc2139"/>
      <w:bookmarkStart w:id="323" w:name="_Toc11412"/>
      <w:r>
        <w:rPr>
          <w:b/>
          <w:sz w:val="24"/>
        </w:rPr>
        <w:br w:type="page"/>
      </w:r>
    </w:p>
    <w:p>
      <w:pPr>
        <w:pStyle w:val="5"/>
        <w:spacing w:line="240" w:lineRule="auto"/>
        <w:rPr>
          <w:rFonts w:ascii="Times New Roman" w:hAnsi="Times New Roman" w:eastAsia="黑体"/>
        </w:rPr>
      </w:pPr>
      <w:r>
        <w:rPr>
          <w:rFonts w:ascii="Times New Roman" w:hAnsi="Times New Roman" w:eastAsia="黑体"/>
        </w:rPr>
        <w:t>3-6  投标人参加政府采购活动前3年内在经营活动中没有重大违法记录的书面声明（格式）</w:t>
      </w:r>
      <w:bookmarkEnd w:id="320"/>
      <w:bookmarkEnd w:id="321"/>
      <w:bookmarkEnd w:id="322"/>
      <w:bookmarkEnd w:id="323"/>
    </w:p>
    <w:p>
      <w:pPr>
        <w:snapToGrid w:val="0"/>
        <w:jc w:val="center"/>
        <w:textAlignment w:val="baseline"/>
        <w:rPr>
          <w:sz w:val="24"/>
        </w:rPr>
      </w:pPr>
    </w:p>
    <w:p>
      <w:pPr>
        <w:spacing w:line="360" w:lineRule="auto"/>
        <w:jc w:val="center"/>
        <w:rPr>
          <w:rFonts w:eastAsia="黑体"/>
          <w:b/>
          <w:bCs/>
          <w:sz w:val="28"/>
          <w:szCs w:val="36"/>
        </w:rPr>
      </w:pPr>
      <w:r>
        <w:rPr>
          <w:rFonts w:eastAsia="黑体"/>
          <w:b/>
          <w:bCs/>
          <w:sz w:val="28"/>
          <w:szCs w:val="36"/>
        </w:rPr>
        <w:t>声明函</w:t>
      </w:r>
    </w:p>
    <w:p>
      <w:pPr>
        <w:snapToGrid w:val="0"/>
        <w:jc w:val="center"/>
        <w:textAlignment w:val="baseline"/>
        <w:rPr>
          <w:sz w:val="24"/>
        </w:rPr>
      </w:pPr>
    </w:p>
    <w:p>
      <w:pPr>
        <w:tabs>
          <w:tab w:val="left" w:pos="5580"/>
        </w:tabs>
        <w:snapToGrid w:val="0"/>
        <w:spacing w:before="120" w:line="360" w:lineRule="auto"/>
        <w:textAlignment w:val="baseline"/>
        <w:rPr>
          <w:sz w:val="24"/>
        </w:rPr>
      </w:pPr>
      <w:r>
        <w:rPr>
          <w:sz w:val="24"/>
        </w:rPr>
        <w:t>致：</w:t>
      </w:r>
      <w:r>
        <w:rPr>
          <w:sz w:val="24"/>
          <w:u w:val="single" w:color="000000"/>
        </w:rPr>
        <w:t xml:space="preserve">   （采购人）  </w:t>
      </w:r>
    </w:p>
    <w:p>
      <w:pPr>
        <w:tabs>
          <w:tab w:val="left" w:pos="5580"/>
        </w:tabs>
        <w:snapToGrid w:val="0"/>
        <w:spacing w:before="120" w:line="360" w:lineRule="auto"/>
        <w:ind w:firstLine="480" w:firstLineChars="200"/>
        <w:textAlignment w:val="baseline"/>
        <w:rPr>
          <w:sz w:val="24"/>
        </w:rPr>
      </w:pPr>
    </w:p>
    <w:p>
      <w:pPr>
        <w:tabs>
          <w:tab w:val="left" w:pos="5580"/>
        </w:tabs>
        <w:snapToGrid w:val="0"/>
        <w:spacing w:before="120" w:line="360" w:lineRule="auto"/>
        <w:ind w:firstLine="480" w:firstLineChars="200"/>
        <w:textAlignment w:val="baseline"/>
        <w:rPr>
          <w:sz w:val="24"/>
        </w:rPr>
      </w:pPr>
      <w:r>
        <w:rPr>
          <w:sz w:val="24"/>
        </w:rPr>
        <w:t>在本项目投标截止时间前，我方郑重承诺在参加本项目政府采购活动前三年内，在经营活动中无重大违法记录。我方未受到刑事处罚或责令停业、吊销许可证（或执照）、较大数额罚款等行政处罚；未处于财产被接管、冻结、破产状况。</w:t>
      </w:r>
    </w:p>
    <w:p>
      <w:pPr>
        <w:tabs>
          <w:tab w:val="left" w:pos="5580"/>
        </w:tabs>
        <w:snapToGrid w:val="0"/>
        <w:spacing w:before="120" w:line="360" w:lineRule="auto"/>
        <w:ind w:firstLine="480" w:firstLineChars="200"/>
        <w:textAlignment w:val="baseline"/>
        <w:rPr>
          <w:sz w:val="24"/>
        </w:rPr>
      </w:pPr>
      <w:r>
        <w:rPr>
          <w:sz w:val="24"/>
        </w:rPr>
        <w:t>如发现我方提供的声明函不实时，我方将按照《政府采购法》有关提供虚假材料的规定，接受处罚。</w:t>
      </w:r>
    </w:p>
    <w:p>
      <w:pPr>
        <w:tabs>
          <w:tab w:val="left" w:pos="5580"/>
        </w:tabs>
        <w:snapToGrid w:val="0"/>
        <w:spacing w:before="120" w:line="360" w:lineRule="auto"/>
        <w:ind w:firstLine="480" w:firstLineChars="200"/>
        <w:textAlignment w:val="baseline"/>
        <w:rPr>
          <w:sz w:val="24"/>
        </w:rPr>
      </w:pPr>
      <w:r>
        <w:rPr>
          <w:sz w:val="24"/>
        </w:rPr>
        <w:t>特此声明。</w:t>
      </w:r>
    </w:p>
    <w:p>
      <w:pPr>
        <w:tabs>
          <w:tab w:val="left" w:pos="5580"/>
        </w:tabs>
        <w:snapToGrid w:val="0"/>
        <w:spacing w:before="120" w:line="360" w:lineRule="auto"/>
        <w:ind w:firstLine="480" w:firstLineChars="200"/>
        <w:textAlignment w:val="baseline"/>
        <w:rPr>
          <w:sz w:val="24"/>
        </w:rPr>
      </w:pPr>
    </w:p>
    <w:p>
      <w:pPr>
        <w:tabs>
          <w:tab w:val="left" w:pos="5580"/>
        </w:tabs>
        <w:snapToGrid w:val="0"/>
        <w:spacing w:before="120" w:line="360" w:lineRule="auto"/>
        <w:ind w:firstLine="480" w:firstLineChars="200"/>
        <w:textAlignment w:val="baseline"/>
        <w:rPr>
          <w:sz w:val="24"/>
        </w:rPr>
      </w:pPr>
    </w:p>
    <w:p>
      <w:pPr>
        <w:tabs>
          <w:tab w:val="left" w:pos="5580"/>
        </w:tabs>
        <w:snapToGrid w:val="0"/>
        <w:spacing w:before="120" w:line="360" w:lineRule="auto"/>
        <w:ind w:firstLine="480" w:firstLineChars="200"/>
        <w:textAlignment w:val="baseline"/>
        <w:rPr>
          <w:sz w:val="24"/>
        </w:rPr>
      </w:pPr>
    </w:p>
    <w:p>
      <w:pPr>
        <w:pStyle w:val="80"/>
        <w:snapToGrid w:val="0"/>
        <w:spacing w:line="360" w:lineRule="auto"/>
        <w:textAlignment w:val="baseline"/>
        <w:rPr>
          <w:rFonts w:ascii="Times New Roman" w:hAnsi="Times New Roman" w:cs="Times New Roman"/>
          <w:sz w:val="24"/>
        </w:rPr>
      </w:pPr>
      <w:r>
        <w:rPr>
          <w:rFonts w:ascii="Times New Roman" w:hAnsi="Times New Roman" w:cs="Times New Roman"/>
          <w:sz w:val="24"/>
        </w:rPr>
        <w:t>法定代表人或其委托代理人（签字或加盖人名章</w:t>
      </w:r>
      <w:r>
        <w:rPr>
          <w:rFonts w:ascii="Times New Roman" w:hAnsi="Times New Roman" w:cs="Times New Roman"/>
        </w:rPr>
        <w:t>）</w:t>
      </w:r>
      <w:r>
        <w:rPr>
          <w:rFonts w:ascii="Times New Roman" w:hAnsi="Times New Roman" w:cs="Times New Roman"/>
          <w:sz w:val="24"/>
        </w:rPr>
        <w:t>：____________________________</w:t>
      </w:r>
    </w:p>
    <w:p>
      <w:pPr>
        <w:pStyle w:val="80"/>
        <w:snapToGrid w:val="0"/>
        <w:spacing w:line="360" w:lineRule="auto"/>
        <w:textAlignment w:val="baseline"/>
        <w:rPr>
          <w:rFonts w:ascii="Times New Roman" w:hAnsi="Times New Roman" w:cs="Times New Roman"/>
          <w:sz w:val="24"/>
          <w:u w:val="single" w:color="000000"/>
        </w:rPr>
      </w:pPr>
      <w:r>
        <w:rPr>
          <w:rFonts w:ascii="Times New Roman" w:hAnsi="Times New Roman" w:cs="Times New Roman"/>
          <w:sz w:val="24"/>
        </w:rPr>
        <w:t>投标人名称(盖章)：</w:t>
      </w:r>
      <w:r>
        <w:rPr>
          <w:rFonts w:ascii="Times New Roman" w:hAnsi="Times New Roman" w:cs="Times New Roman"/>
          <w:sz w:val="24"/>
          <w:u w:val="single" w:color="000000"/>
        </w:rPr>
        <w:t xml:space="preserve"> </w:t>
      </w:r>
      <w:r>
        <w:rPr>
          <w:rFonts w:ascii="Times New Roman" w:hAnsi="Times New Roman" w:cs="Times New Roman"/>
          <w:sz w:val="24"/>
          <w:u w:val="single" w:color="000000"/>
        </w:rPr>
        <w:tab/>
      </w:r>
      <w:r>
        <w:rPr>
          <w:rFonts w:ascii="Times New Roman" w:hAnsi="Times New Roman" w:cs="Times New Roman"/>
          <w:sz w:val="24"/>
          <w:u w:val="single" w:color="000000"/>
        </w:rPr>
        <w:t xml:space="preserve">                        </w:t>
      </w:r>
      <w:r>
        <w:rPr>
          <w:rFonts w:ascii="Times New Roman" w:hAnsi="Times New Roman" w:cs="Times New Roman"/>
          <w:sz w:val="24"/>
          <w:u w:val="single" w:color="000000"/>
        </w:rPr>
        <w:tab/>
      </w:r>
    </w:p>
    <w:p>
      <w:pPr>
        <w:pStyle w:val="80"/>
        <w:snapToGrid w:val="0"/>
        <w:spacing w:line="360" w:lineRule="auto"/>
        <w:textAlignment w:val="baseline"/>
        <w:rPr>
          <w:rFonts w:ascii="Times New Roman" w:hAnsi="Times New Roman" w:cs="Times New Roman"/>
          <w:sz w:val="24"/>
        </w:rPr>
      </w:pPr>
      <w:r>
        <w:rPr>
          <w:rFonts w:ascii="Times New Roman" w:hAnsi="Times New Roman" w:cs="Times New Roman"/>
          <w:sz w:val="24"/>
        </w:rPr>
        <w:t>日期：</w:t>
      </w:r>
      <w:r>
        <w:rPr>
          <w:rFonts w:ascii="Times New Roman" w:hAnsi="Times New Roman" w:cs="Times New Roman"/>
          <w:sz w:val="24"/>
          <w:u w:val="single"/>
        </w:rPr>
        <w:t xml:space="preserve">                                </w:t>
      </w:r>
      <w:r>
        <w:rPr>
          <w:rFonts w:ascii="Times New Roman" w:hAnsi="Times New Roman" w:cs="Times New Roman"/>
          <w:sz w:val="24"/>
        </w:rPr>
        <w:t xml:space="preserve">                             </w:t>
      </w:r>
    </w:p>
    <w:p>
      <w:pPr>
        <w:pStyle w:val="80"/>
        <w:snapToGrid w:val="0"/>
        <w:spacing w:line="360" w:lineRule="auto"/>
        <w:textAlignment w:val="baseline"/>
        <w:rPr>
          <w:rFonts w:ascii="Times New Roman" w:hAnsi="Times New Roman" w:cs="Times New Roman"/>
          <w:sz w:val="24"/>
          <w:u w:val="single"/>
        </w:rPr>
      </w:pPr>
      <w:r>
        <w:rPr>
          <w:rFonts w:ascii="Times New Roman" w:hAnsi="Times New Roman" w:cs="Times New Roman"/>
          <w:sz w:val="24"/>
          <w:u w:val="single"/>
        </w:rPr>
        <w:br w:type="textWrapping"/>
      </w:r>
    </w:p>
    <w:p>
      <w:pPr>
        <w:tabs>
          <w:tab w:val="left" w:pos="993"/>
          <w:tab w:val="left" w:pos="1030"/>
          <w:tab w:val="left" w:pos="8364"/>
        </w:tabs>
        <w:snapToGrid w:val="0"/>
        <w:spacing w:after="156"/>
        <w:ind w:right="-56"/>
        <w:jc w:val="left"/>
        <w:textAlignment w:val="baseline"/>
        <w:rPr>
          <w:b/>
          <w:sz w:val="24"/>
        </w:rPr>
      </w:pPr>
      <w:bookmarkStart w:id="324" w:name="_Toc20882"/>
      <w:bookmarkStart w:id="325" w:name="_Toc1047"/>
      <w:bookmarkStart w:id="326" w:name="_Toc15314"/>
      <w:bookmarkStart w:id="327" w:name="_Toc14660"/>
      <w:r>
        <w:rPr>
          <w:b/>
          <w:sz w:val="24"/>
        </w:rPr>
        <w:br w:type="page"/>
      </w:r>
    </w:p>
    <w:p>
      <w:pPr>
        <w:pStyle w:val="5"/>
        <w:spacing w:line="240" w:lineRule="auto"/>
        <w:rPr>
          <w:rFonts w:ascii="Times New Roman" w:hAnsi="Times New Roman" w:eastAsia="黑体"/>
        </w:rPr>
      </w:pPr>
      <w:r>
        <w:rPr>
          <w:rFonts w:ascii="Times New Roman" w:hAnsi="Times New Roman" w:eastAsia="黑体"/>
        </w:rPr>
        <w:t xml:space="preserve">3-7  </w:t>
      </w:r>
      <w:bookmarkEnd w:id="324"/>
      <w:bookmarkEnd w:id="325"/>
      <w:bookmarkEnd w:id="326"/>
      <w:bookmarkEnd w:id="327"/>
      <w:r>
        <w:rPr>
          <w:rFonts w:ascii="Times New Roman" w:hAnsi="Times New Roman" w:eastAsia="黑体"/>
        </w:rPr>
        <w:t>医疗器械经营备案凭证；或医疗器械生产许可证；或医疗器械经营许可证；或其他医疗器械生产、经营许可证明文件（根据所投内容提供）</w:t>
      </w:r>
    </w:p>
    <w:p>
      <w:pPr>
        <w:snapToGrid w:val="0"/>
        <w:ind w:firstLine="420"/>
        <w:textAlignment w:val="baseline"/>
        <w:rPr>
          <w:sz w:val="20"/>
          <w:szCs w:val="21"/>
        </w:rPr>
      </w:pPr>
    </w:p>
    <w:p>
      <w:pPr>
        <w:snapToGrid w:val="0"/>
        <w:ind w:firstLine="426"/>
        <w:textAlignment w:val="baseline"/>
        <w:rPr>
          <w:sz w:val="24"/>
        </w:rPr>
      </w:pPr>
    </w:p>
    <w:p>
      <w:pPr>
        <w:snapToGrid w:val="0"/>
        <w:ind w:firstLine="420" w:firstLineChars="200"/>
        <w:textAlignment w:val="baseline"/>
        <w:rPr>
          <w:sz w:val="20"/>
          <w:szCs w:val="21"/>
        </w:rPr>
        <w:sectPr>
          <w:pgSz w:w="11906" w:h="16838"/>
          <w:pgMar w:top="1440" w:right="1440" w:bottom="1440" w:left="1797" w:header="851" w:footer="992" w:gutter="0"/>
          <w:pgNumType w:fmt="decimal"/>
          <w:cols w:space="720" w:num="1"/>
          <w:docGrid w:linePitch="312" w:charSpace="0"/>
        </w:sectPr>
      </w:pPr>
      <w:r>
        <w:rPr>
          <w:szCs w:val="21"/>
        </w:rPr>
        <w:br w:type="textWrapping"/>
      </w:r>
    </w:p>
    <w:p>
      <w:pPr>
        <w:pStyle w:val="5"/>
        <w:spacing w:line="240" w:lineRule="auto"/>
        <w:rPr>
          <w:rFonts w:ascii="Times New Roman" w:hAnsi="Times New Roman" w:eastAsia="黑体"/>
        </w:rPr>
      </w:pPr>
      <w:bookmarkStart w:id="328" w:name="_Toc10509"/>
      <w:r>
        <w:rPr>
          <w:rFonts w:hint="eastAsia" w:ascii="Times New Roman" w:hAnsi="Times New Roman" w:eastAsia="黑体"/>
        </w:rPr>
        <w:t>3</w:t>
      </w:r>
      <w:r>
        <w:rPr>
          <w:rFonts w:ascii="Times New Roman" w:hAnsi="Times New Roman" w:eastAsia="黑体"/>
        </w:rPr>
        <w:t xml:space="preserve">-8 </w:t>
      </w:r>
      <w:r>
        <w:rPr>
          <w:rFonts w:hint="eastAsia" w:ascii="Times New Roman" w:hAnsi="Times New Roman" w:eastAsia="黑体"/>
        </w:rPr>
        <w:t>落实</w:t>
      </w:r>
      <w:r>
        <w:rPr>
          <w:rFonts w:ascii="Times New Roman" w:hAnsi="Times New Roman" w:eastAsia="黑体"/>
        </w:rPr>
        <w:t>政府采购政策的证明材料</w:t>
      </w:r>
    </w:p>
    <w:p>
      <w:pPr>
        <w:pStyle w:val="80"/>
        <w:snapToGrid w:val="0"/>
        <w:spacing w:before="120" w:beforeLines="50"/>
        <w:ind w:firstLine="480"/>
        <w:rPr>
          <w:rFonts w:ascii="Times New Roman" w:hAnsi="Times New Roman" w:cs="Times New Roman"/>
          <w:sz w:val="24"/>
          <w:szCs w:val="24"/>
        </w:rPr>
      </w:pPr>
    </w:p>
    <w:p>
      <w:pPr>
        <w:pStyle w:val="6"/>
        <w:spacing w:before="0" w:after="0" w:line="360" w:lineRule="auto"/>
        <w:ind w:left="0" w:firstLine="0"/>
        <w:jc w:val="center"/>
        <w:rPr>
          <w:rFonts w:eastAsia="黑体"/>
          <w:b w:val="0"/>
          <w:bCs w:val="0"/>
          <w:sz w:val="36"/>
          <w:szCs w:val="36"/>
        </w:rPr>
      </w:pPr>
      <w:bookmarkStart w:id="329" w:name="_Toc21598"/>
      <w:bookmarkStart w:id="330" w:name="_Toc25392"/>
      <w:bookmarkStart w:id="331" w:name="_Toc13843"/>
      <w:bookmarkStart w:id="332" w:name="_Toc21486"/>
      <w:r>
        <w:rPr>
          <w:rFonts w:eastAsia="黑体"/>
          <w:b w:val="0"/>
          <w:bCs w:val="0"/>
          <w:sz w:val="36"/>
          <w:szCs w:val="36"/>
        </w:rPr>
        <w:t>（</w:t>
      </w:r>
      <w:r>
        <w:rPr>
          <w:rFonts w:hint="eastAsia" w:eastAsia="黑体"/>
          <w:b w:val="0"/>
          <w:bCs w:val="0"/>
          <w:sz w:val="36"/>
          <w:szCs w:val="36"/>
        </w:rPr>
        <w:t>一</w:t>
      </w:r>
      <w:r>
        <w:rPr>
          <w:rFonts w:eastAsia="黑体"/>
          <w:b w:val="0"/>
          <w:bCs w:val="0"/>
          <w:sz w:val="36"/>
          <w:szCs w:val="36"/>
        </w:rPr>
        <w:t>）节能、环境标志产品优惠明细表</w:t>
      </w:r>
    </w:p>
    <w:p>
      <w:pPr>
        <w:spacing w:line="440" w:lineRule="exact"/>
        <w:jc w:val="center"/>
        <w:rPr>
          <w:b/>
        </w:rPr>
      </w:pPr>
      <w:r>
        <w:rPr>
          <w:b/>
        </w:rPr>
        <w:t>(若有，请如实填写)</w:t>
      </w:r>
    </w:p>
    <w:p>
      <w:pPr>
        <w:spacing w:line="440" w:lineRule="exact"/>
        <w:ind w:firstLine="105" w:firstLineChars="50"/>
        <w:rPr>
          <w:u w:val="single"/>
        </w:rPr>
      </w:pPr>
      <w:r>
        <w:t>投标人名称（公章）：</w:t>
      </w:r>
      <w:r>
        <w:rPr>
          <w:u w:val="single"/>
        </w:rPr>
        <w:t xml:space="preserve">　　　　　         </w:t>
      </w:r>
      <w:r>
        <w:t>项目编号：</w:t>
      </w:r>
      <w:r>
        <w:rPr>
          <w:u w:val="single"/>
        </w:rPr>
        <w:t xml:space="preserve">　　　　           </w:t>
      </w:r>
    </w:p>
    <w:p>
      <w:pPr>
        <w:spacing w:line="440" w:lineRule="exact"/>
        <w:ind w:firstLine="105" w:firstLineChars="50"/>
      </w:pPr>
      <w:r>
        <w:t>标项号：</w:t>
      </w:r>
      <w:r>
        <w:rPr>
          <w:u w:val="single"/>
        </w:rPr>
        <w:t xml:space="preserve">　　　　           </w:t>
      </w:r>
      <w:r>
        <w:t>　</w:t>
      </w:r>
    </w:p>
    <w:p>
      <w:pPr>
        <w:spacing w:line="440" w:lineRule="exact"/>
      </w:pPr>
      <w:r>
        <w:t>（1）节能产品明细清单                        报价货币种类</w:t>
      </w:r>
      <w:r>
        <w:rPr>
          <w:u w:val="single"/>
        </w:rPr>
        <w:t xml:space="preserve">      </w:t>
      </w:r>
      <w:r>
        <w:t>金额单位：元</w:t>
      </w:r>
    </w:p>
    <w:tbl>
      <w:tblPr>
        <w:tblStyle w:val="41"/>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586"/>
        <w:gridCol w:w="1843"/>
        <w:gridCol w:w="1215"/>
        <w:gridCol w:w="1905"/>
        <w:gridCol w:w="809"/>
        <w:gridCol w:w="700"/>
        <w:gridCol w:w="84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74" w:type="dxa"/>
            <w:vAlign w:val="center"/>
          </w:tcPr>
          <w:p>
            <w:pPr>
              <w:spacing w:line="440" w:lineRule="exact"/>
              <w:jc w:val="center"/>
            </w:pPr>
            <w:r>
              <w:t>制造商</w:t>
            </w:r>
          </w:p>
        </w:tc>
        <w:tc>
          <w:tcPr>
            <w:tcW w:w="586" w:type="dxa"/>
            <w:vAlign w:val="center"/>
          </w:tcPr>
          <w:p>
            <w:pPr>
              <w:spacing w:line="440" w:lineRule="exact"/>
              <w:jc w:val="center"/>
            </w:pPr>
            <w:r>
              <w:t>品牌</w:t>
            </w:r>
          </w:p>
        </w:tc>
        <w:tc>
          <w:tcPr>
            <w:tcW w:w="1843" w:type="dxa"/>
            <w:vAlign w:val="center"/>
          </w:tcPr>
          <w:p>
            <w:pPr>
              <w:spacing w:line="440" w:lineRule="exact"/>
              <w:jc w:val="center"/>
            </w:pPr>
            <w:r>
              <w:t>产品名称、规格型号</w:t>
            </w:r>
          </w:p>
        </w:tc>
        <w:tc>
          <w:tcPr>
            <w:tcW w:w="1215" w:type="dxa"/>
            <w:vAlign w:val="center"/>
          </w:tcPr>
          <w:p>
            <w:pPr>
              <w:spacing w:line="440" w:lineRule="exact"/>
              <w:jc w:val="center"/>
            </w:pPr>
            <w:r>
              <w:t>节字标志认证证书号</w:t>
            </w:r>
          </w:p>
        </w:tc>
        <w:tc>
          <w:tcPr>
            <w:tcW w:w="1905" w:type="dxa"/>
            <w:vAlign w:val="center"/>
          </w:tcPr>
          <w:p>
            <w:pPr>
              <w:spacing w:line="440" w:lineRule="exact"/>
              <w:jc w:val="center"/>
            </w:pPr>
            <w:r>
              <w:t>节能产品认证证书有效截止日期</w:t>
            </w:r>
          </w:p>
        </w:tc>
        <w:tc>
          <w:tcPr>
            <w:tcW w:w="809" w:type="dxa"/>
            <w:vAlign w:val="center"/>
          </w:tcPr>
          <w:p>
            <w:pPr>
              <w:spacing w:line="440" w:lineRule="exact"/>
              <w:jc w:val="center"/>
            </w:pPr>
            <w:r>
              <w:t>单位</w:t>
            </w:r>
          </w:p>
        </w:tc>
        <w:tc>
          <w:tcPr>
            <w:tcW w:w="700" w:type="dxa"/>
            <w:vAlign w:val="center"/>
          </w:tcPr>
          <w:p>
            <w:pPr>
              <w:spacing w:line="440" w:lineRule="exact"/>
              <w:jc w:val="center"/>
            </w:pPr>
            <w:r>
              <w:t>数量</w:t>
            </w:r>
          </w:p>
        </w:tc>
        <w:tc>
          <w:tcPr>
            <w:tcW w:w="853" w:type="dxa"/>
            <w:gridSpan w:val="2"/>
            <w:vAlign w:val="center"/>
          </w:tcPr>
          <w:p>
            <w:pPr>
              <w:spacing w:line="440" w:lineRule="exact"/>
              <w:jc w:val="center"/>
            </w:pPr>
            <w: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vAlign w:val="center"/>
          </w:tcPr>
          <w:p>
            <w:pPr>
              <w:spacing w:line="440" w:lineRule="exact"/>
              <w:jc w:val="center"/>
            </w:pPr>
          </w:p>
        </w:tc>
        <w:tc>
          <w:tcPr>
            <w:tcW w:w="586" w:type="dxa"/>
            <w:vAlign w:val="center"/>
          </w:tcPr>
          <w:p>
            <w:pPr>
              <w:spacing w:line="440" w:lineRule="exact"/>
              <w:jc w:val="center"/>
            </w:pPr>
          </w:p>
        </w:tc>
        <w:tc>
          <w:tcPr>
            <w:tcW w:w="1843" w:type="dxa"/>
            <w:vAlign w:val="center"/>
          </w:tcPr>
          <w:p>
            <w:pPr>
              <w:spacing w:line="440" w:lineRule="exact"/>
              <w:jc w:val="center"/>
            </w:pPr>
          </w:p>
        </w:tc>
        <w:tc>
          <w:tcPr>
            <w:tcW w:w="1215" w:type="dxa"/>
            <w:vAlign w:val="center"/>
          </w:tcPr>
          <w:p>
            <w:pPr>
              <w:spacing w:line="440" w:lineRule="exact"/>
              <w:jc w:val="center"/>
            </w:pPr>
          </w:p>
        </w:tc>
        <w:tc>
          <w:tcPr>
            <w:tcW w:w="1905" w:type="dxa"/>
            <w:vAlign w:val="center"/>
          </w:tcPr>
          <w:p>
            <w:pPr>
              <w:spacing w:line="440" w:lineRule="exact"/>
              <w:jc w:val="center"/>
            </w:pPr>
          </w:p>
        </w:tc>
        <w:tc>
          <w:tcPr>
            <w:tcW w:w="809" w:type="dxa"/>
            <w:vAlign w:val="center"/>
          </w:tcPr>
          <w:p>
            <w:pPr>
              <w:spacing w:line="440" w:lineRule="exact"/>
              <w:jc w:val="center"/>
            </w:pPr>
          </w:p>
        </w:tc>
        <w:tc>
          <w:tcPr>
            <w:tcW w:w="700" w:type="dxa"/>
            <w:vAlign w:val="center"/>
          </w:tcPr>
          <w:p>
            <w:pPr>
              <w:spacing w:line="440" w:lineRule="exact"/>
              <w:jc w:val="center"/>
            </w:pPr>
          </w:p>
        </w:tc>
        <w:tc>
          <w:tcPr>
            <w:tcW w:w="853"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vAlign w:val="center"/>
          </w:tcPr>
          <w:p>
            <w:pPr>
              <w:spacing w:line="440" w:lineRule="exact"/>
              <w:jc w:val="center"/>
            </w:pPr>
          </w:p>
        </w:tc>
        <w:tc>
          <w:tcPr>
            <w:tcW w:w="586" w:type="dxa"/>
            <w:vAlign w:val="center"/>
          </w:tcPr>
          <w:p>
            <w:pPr>
              <w:spacing w:line="440" w:lineRule="exact"/>
              <w:jc w:val="center"/>
            </w:pPr>
          </w:p>
        </w:tc>
        <w:tc>
          <w:tcPr>
            <w:tcW w:w="1843" w:type="dxa"/>
            <w:vAlign w:val="center"/>
          </w:tcPr>
          <w:p>
            <w:pPr>
              <w:spacing w:line="440" w:lineRule="exact"/>
              <w:jc w:val="center"/>
            </w:pPr>
          </w:p>
        </w:tc>
        <w:tc>
          <w:tcPr>
            <w:tcW w:w="1215" w:type="dxa"/>
            <w:vAlign w:val="center"/>
          </w:tcPr>
          <w:p>
            <w:pPr>
              <w:spacing w:line="440" w:lineRule="exact"/>
              <w:jc w:val="center"/>
            </w:pPr>
          </w:p>
        </w:tc>
        <w:tc>
          <w:tcPr>
            <w:tcW w:w="1905" w:type="dxa"/>
            <w:vAlign w:val="center"/>
          </w:tcPr>
          <w:p>
            <w:pPr>
              <w:spacing w:line="440" w:lineRule="exact"/>
              <w:jc w:val="center"/>
            </w:pPr>
          </w:p>
        </w:tc>
        <w:tc>
          <w:tcPr>
            <w:tcW w:w="809" w:type="dxa"/>
            <w:vAlign w:val="center"/>
          </w:tcPr>
          <w:p>
            <w:pPr>
              <w:spacing w:line="440" w:lineRule="exact"/>
              <w:jc w:val="center"/>
            </w:pPr>
          </w:p>
        </w:tc>
        <w:tc>
          <w:tcPr>
            <w:tcW w:w="700" w:type="dxa"/>
            <w:vAlign w:val="center"/>
          </w:tcPr>
          <w:p>
            <w:pPr>
              <w:spacing w:line="440" w:lineRule="exact"/>
              <w:jc w:val="center"/>
            </w:pPr>
          </w:p>
        </w:tc>
        <w:tc>
          <w:tcPr>
            <w:tcW w:w="853"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6523" w:type="dxa"/>
            <w:gridSpan w:val="5"/>
            <w:vAlign w:val="center"/>
          </w:tcPr>
          <w:p>
            <w:pPr>
              <w:spacing w:line="440" w:lineRule="exact"/>
            </w:pPr>
            <w:r>
              <w:t>合计金额</w:t>
            </w:r>
          </w:p>
        </w:tc>
        <w:tc>
          <w:tcPr>
            <w:tcW w:w="2355" w:type="dxa"/>
            <w:gridSpan w:val="3"/>
            <w:vAlign w:val="center"/>
          </w:tcPr>
          <w:p>
            <w:pPr>
              <w:spacing w:line="440" w:lineRule="exact"/>
            </w:pPr>
          </w:p>
        </w:tc>
      </w:tr>
    </w:tbl>
    <w:p>
      <w:pPr>
        <w:spacing w:line="440" w:lineRule="exact"/>
      </w:pPr>
    </w:p>
    <w:p>
      <w:pPr>
        <w:spacing w:line="440" w:lineRule="exact"/>
      </w:pPr>
      <w:r>
        <w:t>（2）环保产品明细清单                    报价货币种类</w:t>
      </w:r>
      <w:r>
        <w:rPr>
          <w:u w:val="single"/>
        </w:rPr>
        <w:t xml:space="preserve">      </w:t>
      </w:r>
      <w:r>
        <w:t>金额单位：元</w:t>
      </w:r>
    </w:p>
    <w:tbl>
      <w:tblPr>
        <w:tblStyle w:val="41"/>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54"/>
        <w:gridCol w:w="1292"/>
        <w:gridCol w:w="1669"/>
        <w:gridCol w:w="1670"/>
        <w:gridCol w:w="675"/>
        <w:gridCol w:w="757"/>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55" w:type="dxa"/>
            <w:vAlign w:val="center"/>
          </w:tcPr>
          <w:p>
            <w:pPr>
              <w:spacing w:line="440" w:lineRule="exact"/>
              <w:jc w:val="center"/>
            </w:pPr>
            <w:r>
              <w:t>制造商</w:t>
            </w:r>
          </w:p>
        </w:tc>
        <w:tc>
          <w:tcPr>
            <w:tcW w:w="954" w:type="dxa"/>
            <w:vAlign w:val="center"/>
          </w:tcPr>
          <w:p>
            <w:pPr>
              <w:spacing w:line="440" w:lineRule="exact"/>
              <w:jc w:val="center"/>
            </w:pPr>
            <w:r>
              <w:t>品牌</w:t>
            </w:r>
          </w:p>
        </w:tc>
        <w:tc>
          <w:tcPr>
            <w:tcW w:w="1292" w:type="dxa"/>
            <w:vAlign w:val="center"/>
          </w:tcPr>
          <w:p>
            <w:pPr>
              <w:spacing w:line="440" w:lineRule="exact"/>
              <w:jc w:val="center"/>
            </w:pPr>
            <w:r>
              <w:t>产品名称、规格型号</w:t>
            </w:r>
          </w:p>
        </w:tc>
        <w:tc>
          <w:tcPr>
            <w:tcW w:w="1669" w:type="dxa"/>
            <w:vAlign w:val="center"/>
          </w:tcPr>
          <w:p>
            <w:pPr>
              <w:spacing w:line="440" w:lineRule="exact"/>
              <w:jc w:val="center"/>
            </w:pPr>
            <w:r>
              <w:t>中国环境标志认证证书编号</w:t>
            </w:r>
          </w:p>
        </w:tc>
        <w:tc>
          <w:tcPr>
            <w:tcW w:w="1670" w:type="dxa"/>
            <w:vAlign w:val="center"/>
          </w:tcPr>
          <w:p>
            <w:pPr>
              <w:spacing w:line="440" w:lineRule="exact"/>
              <w:jc w:val="center"/>
            </w:pPr>
            <w:r>
              <w:t>认证证书有效截止日期</w:t>
            </w:r>
          </w:p>
        </w:tc>
        <w:tc>
          <w:tcPr>
            <w:tcW w:w="675" w:type="dxa"/>
            <w:vAlign w:val="center"/>
          </w:tcPr>
          <w:p>
            <w:pPr>
              <w:spacing w:line="440" w:lineRule="exact"/>
              <w:jc w:val="center"/>
            </w:pPr>
            <w:r>
              <w:t>单位</w:t>
            </w:r>
          </w:p>
        </w:tc>
        <w:tc>
          <w:tcPr>
            <w:tcW w:w="757" w:type="dxa"/>
            <w:vAlign w:val="center"/>
          </w:tcPr>
          <w:p>
            <w:pPr>
              <w:spacing w:line="440" w:lineRule="exact"/>
              <w:jc w:val="center"/>
            </w:pPr>
            <w:r>
              <w:t>数量</w:t>
            </w:r>
          </w:p>
        </w:tc>
        <w:tc>
          <w:tcPr>
            <w:tcW w:w="913" w:type="dxa"/>
            <w:vAlign w:val="center"/>
          </w:tcPr>
          <w:p>
            <w:pPr>
              <w:spacing w:line="440" w:lineRule="exact"/>
              <w:jc w:val="center"/>
            </w:pPr>
            <w: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 w:type="dxa"/>
            <w:vAlign w:val="center"/>
          </w:tcPr>
          <w:p>
            <w:pPr>
              <w:spacing w:line="440" w:lineRule="exact"/>
              <w:jc w:val="center"/>
            </w:pPr>
          </w:p>
        </w:tc>
        <w:tc>
          <w:tcPr>
            <w:tcW w:w="954" w:type="dxa"/>
            <w:vAlign w:val="center"/>
          </w:tcPr>
          <w:p>
            <w:pPr>
              <w:spacing w:line="440" w:lineRule="exact"/>
              <w:jc w:val="center"/>
            </w:pPr>
          </w:p>
        </w:tc>
        <w:tc>
          <w:tcPr>
            <w:tcW w:w="1292" w:type="dxa"/>
            <w:vAlign w:val="center"/>
          </w:tcPr>
          <w:p>
            <w:pPr>
              <w:spacing w:line="440" w:lineRule="exact"/>
              <w:jc w:val="center"/>
            </w:pPr>
          </w:p>
        </w:tc>
        <w:tc>
          <w:tcPr>
            <w:tcW w:w="1669" w:type="dxa"/>
            <w:vAlign w:val="center"/>
          </w:tcPr>
          <w:p>
            <w:pPr>
              <w:spacing w:line="440" w:lineRule="exact"/>
              <w:jc w:val="center"/>
            </w:pPr>
          </w:p>
        </w:tc>
        <w:tc>
          <w:tcPr>
            <w:tcW w:w="1670" w:type="dxa"/>
            <w:vAlign w:val="center"/>
          </w:tcPr>
          <w:p>
            <w:pPr>
              <w:spacing w:line="440" w:lineRule="exact"/>
              <w:jc w:val="center"/>
            </w:pPr>
          </w:p>
        </w:tc>
        <w:tc>
          <w:tcPr>
            <w:tcW w:w="675" w:type="dxa"/>
            <w:vAlign w:val="center"/>
          </w:tcPr>
          <w:p>
            <w:pPr>
              <w:spacing w:line="440" w:lineRule="exact"/>
              <w:jc w:val="center"/>
            </w:pPr>
          </w:p>
        </w:tc>
        <w:tc>
          <w:tcPr>
            <w:tcW w:w="757" w:type="dxa"/>
            <w:vAlign w:val="center"/>
          </w:tcPr>
          <w:p>
            <w:pPr>
              <w:spacing w:line="440" w:lineRule="exact"/>
              <w:jc w:val="center"/>
            </w:pPr>
          </w:p>
        </w:tc>
        <w:tc>
          <w:tcPr>
            <w:tcW w:w="913"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 w:type="dxa"/>
            <w:vAlign w:val="center"/>
          </w:tcPr>
          <w:p>
            <w:pPr>
              <w:spacing w:line="440" w:lineRule="exact"/>
              <w:jc w:val="center"/>
            </w:pPr>
          </w:p>
        </w:tc>
        <w:tc>
          <w:tcPr>
            <w:tcW w:w="954" w:type="dxa"/>
            <w:vAlign w:val="center"/>
          </w:tcPr>
          <w:p>
            <w:pPr>
              <w:spacing w:line="440" w:lineRule="exact"/>
              <w:jc w:val="center"/>
            </w:pPr>
          </w:p>
        </w:tc>
        <w:tc>
          <w:tcPr>
            <w:tcW w:w="1292" w:type="dxa"/>
            <w:vAlign w:val="center"/>
          </w:tcPr>
          <w:p>
            <w:pPr>
              <w:spacing w:line="440" w:lineRule="exact"/>
              <w:jc w:val="center"/>
            </w:pPr>
          </w:p>
        </w:tc>
        <w:tc>
          <w:tcPr>
            <w:tcW w:w="1669" w:type="dxa"/>
            <w:vAlign w:val="center"/>
          </w:tcPr>
          <w:p>
            <w:pPr>
              <w:spacing w:line="440" w:lineRule="exact"/>
              <w:jc w:val="center"/>
            </w:pPr>
          </w:p>
        </w:tc>
        <w:tc>
          <w:tcPr>
            <w:tcW w:w="1670" w:type="dxa"/>
            <w:vAlign w:val="center"/>
          </w:tcPr>
          <w:p>
            <w:pPr>
              <w:spacing w:line="440" w:lineRule="exact"/>
              <w:jc w:val="center"/>
            </w:pPr>
          </w:p>
        </w:tc>
        <w:tc>
          <w:tcPr>
            <w:tcW w:w="675" w:type="dxa"/>
            <w:vAlign w:val="center"/>
          </w:tcPr>
          <w:p>
            <w:pPr>
              <w:spacing w:line="440" w:lineRule="exact"/>
              <w:jc w:val="center"/>
            </w:pPr>
          </w:p>
        </w:tc>
        <w:tc>
          <w:tcPr>
            <w:tcW w:w="757" w:type="dxa"/>
            <w:vAlign w:val="center"/>
          </w:tcPr>
          <w:p>
            <w:pPr>
              <w:spacing w:line="440" w:lineRule="exact"/>
              <w:jc w:val="center"/>
            </w:pPr>
          </w:p>
        </w:tc>
        <w:tc>
          <w:tcPr>
            <w:tcW w:w="913"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40" w:type="dxa"/>
            <w:gridSpan w:val="5"/>
            <w:vAlign w:val="center"/>
          </w:tcPr>
          <w:p>
            <w:pPr>
              <w:spacing w:line="440" w:lineRule="exact"/>
            </w:pPr>
            <w:r>
              <w:t>合计金额</w:t>
            </w:r>
          </w:p>
        </w:tc>
        <w:tc>
          <w:tcPr>
            <w:tcW w:w="2345" w:type="dxa"/>
            <w:gridSpan w:val="3"/>
            <w:vAlign w:val="center"/>
          </w:tcPr>
          <w:p>
            <w:pPr>
              <w:spacing w:line="440" w:lineRule="exact"/>
            </w:pPr>
          </w:p>
        </w:tc>
      </w:tr>
    </w:tbl>
    <w:p>
      <w:pPr>
        <w:tabs>
          <w:tab w:val="left" w:pos="13000"/>
        </w:tabs>
        <w:spacing w:line="440" w:lineRule="exact"/>
      </w:pPr>
      <w:r>
        <w:t>注：</w:t>
      </w:r>
    </w:p>
    <w:p>
      <w:pPr>
        <w:tabs>
          <w:tab w:val="left" w:pos="13000"/>
        </w:tabs>
        <w:spacing w:line="440" w:lineRule="exact"/>
        <w:rPr>
          <w:b/>
        </w:rPr>
      </w:pPr>
      <w:r>
        <w:rPr>
          <w:b/>
        </w:rPr>
        <w:t>若无货物属于优先采购节能、环境标志产品的，则不填写此表。</w:t>
      </w:r>
    </w:p>
    <w:p>
      <w:pPr>
        <w:adjustRightInd w:val="0"/>
        <w:snapToGrid w:val="0"/>
        <w:spacing w:line="440" w:lineRule="exact"/>
      </w:pPr>
    </w:p>
    <w:p>
      <w:pPr>
        <w:adjustRightInd w:val="0"/>
        <w:snapToGrid w:val="0"/>
        <w:spacing w:line="440" w:lineRule="exact"/>
      </w:pPr>
      <w:r>
        <w:t>投标人（加盖公章）：</w:t>
      </w:r>
    </w:p>
    <w:p>
      <w:pPr>
        <w:adjustRightInd w:val="0"/>
        <w:snapToGrid w:val="0"/>
        <w:spacing w:line="440" w:lineRule="exact"/>
      </w:pPr>
      <w:r>
        <w:t>法定代表人或其授权代表签字：</w:t>
      </w:r>
      <w:r>
        <w:rPr>
          <w:u w:val="single"/>
        </w:rPr>
        <w:t xml:space="preserve">       </w:t>
      </w:r>
    </w:p>
    <w:p>
      <w:pPr>
        <w:spacing w:line="440" w:lineRule="exact"/>
      </w:pPr>
      <w:r>
        <w:t>日期：</w:t>
      </w:r>
      <w:r>
        <w:rPr>
          <w:u w:val="single"/>
        </w:rPr>
        <w:t xml:space="preserve">         </w:t>
      </w:r>
      <w:r>
        <w:t>年</w:t>
      </w:r>
      <w:r>
        <w:rPr>
          <w:u w:val="single"/>
        </w:rPr>
        <w:t xml:space="preserve">    </w:t>
      </w:r>
      <w:r>
        <w:t>月</w:t>
      </w:r>
      <w:r>
        <w:rPr>
          <w:u w:val="single"/>
        </w:rPr>
        <w:t xml:space="preserve">   </w:t>
      </w:r>
      <w:r>
        <w:t>日</w:t>
      </w:r>
    </w:p>
    <w:p/>
    <w:p/>
    <w:p>
      <w:pPr>
        <w:adjustRightInd w:val="0"/>
        <w:snapToGrid w:val="0"/>
        <w:spacing w:line="440" w:lineRule="exact"/>
        <w:ind w:right="24"/>
        <w:jc w:val="center"/>
        <w:rPr>
          <w:b/>
          <w:sz w:val="30"/>
          <w:szCs w:val="30"/>
        </w:rPr>
      </w:pPr>
      <w:r>
        <w:rPr>
          <w:b/>
          <w:sz w:val="30"/>
          <w:szCs w:val="30"/>
        </w:rPr>
        <w:br w:type="page"/>
      </w:r>
    </w:p>
    <w:p>
      <w:pPr>
        <w:pStyle w:val="6"/>
        <w:spacing w:before="0" w:after="0" w:line="360" w:lineRule="auto"/>
        <w:ind w:left="0" w:firstLine="0"/>
        <w:jc w:val="center"/>
        <w:rPr>
          <w:rFonts w:eastAsia="黑体"/>
          <w:b w:val="0"/>
          <w:bCs w:val="0"/>
          <w:sz w:val="36"/>
          <w:szCs w:val="36"/>
        </w:rPr>
      </w:pPr>
      <w:r>
        <w:rPr>
          <w:rFonts w:eastAsia="黑体"/>
          <w:b w:val="0"/>
          <w:bCs w:val="0"/>
          <w:sz w:val="36"/>
          <w:szCs w:val="36"/>
        </w:rPr>
        <w:t>（</w:t>
      </w:r>
      <w:r>
        <w:rPr>
          <w:rFonts w:hint="eastAsia" w:eastAsia="黑体"/>
          <w:b w:val="0"/>
          <w:bCs w:val="0"/>
          <w:sz w:val="36"/>
          <w:szCs w:val="36"/>
        </w:rPr>
        <w:t>二</w:t>
      </w:r>
      <w:r>
        <w:rPr>
          <w:rFonts w:eastAsia="黑体"/>
          <w:b w:val="0"/>
          <w:bCs w:val="0"/>
          <w:sz w:val="36"/>
          <w:szCs w:val="36"/>
        </w:rPr>
        <w:t>）节能、环境标志产品证明材料</w:t>
      </w:r>
    </w:p>
    <w:p>
      <w:pPr>
        <w:adjustRightInd w:val="0"/>
        <w:snapToGrid w:val="0"/>
        <w:spacing w:line="440" w:lineRule="exact"/>
        <w:ind w:right="24"/>
        <w:rPr>
          <w:bCs/>
        </w:rPr>
      </w:pPr>
    </w:p>
    <w:p>
      <w:pPr>
        <w:spacing w:line="360" w:lineRule="auto"/>
        <w:ind w:firstLine="480" w:firstLineChars="200"/>
        <w:rPr>
          <w:sz w:val="24"/>
        </w:rPr>
      </w:pPr>
      <w:r>
        <w:rPr>
          <w:sz w:val="24"/>
        </w:rPr>
        <w:t>1.节能产品：应在</w:t>
      </w:r>
    </w:p>
    <w:p>
      <w:pPr>
        <w:spacing w:line="360" w:lineRule="auto"/>
        <w:ind w:firstLine="480" w:firstLineChars="200"/>
        <w:rPr>
          <w:sz w:val="24"/>
        </w:rPr>
      </w:pPr>
      <w:r>
        <w:rPr>
          <w:sz w:val="24"/>
        </w:rPr>
        <w:t>中国政府采购网（ http://www.ccgp.gov.cn ）</w:t>
      </w:r>
    </w:p>
    <w:p>
      <w:pPr>
        <w:spacing w:line="360" w:lineRule="auto"/>
        <w:ind w:firstLine="480" w:firstLineChars="200"/>
        <w:rPr>
          <w:sz w:val="24"/>
        </w:rPr>
      </w:pPr>
      <w:r>
        <w:rPr>
          <w:sz w:val="24"/>
        </w:rPr>
        <w:t>2.环境标志产品：应在</w:t>
      </w:r>
    </w:p>
    <w:p>
      <w:pPr>
        <w:spacing w:line="360" w:lineRule="auto"/>
        <w:ind w:firstLine="480" w:firstLineChars="200"/>
        <w:rPr>
          <w:sz w:val="24"/>
        </w:rPr>
      </w:pPr>
      <w:r>
        <w:rPr>
          <w:sz w:val="24"/>
        </w:rPr>
        <w:t>中国政府采购网（ http://www.ccgp.gov.cn ）</w:t>
      </w:r>
    </w:p>
    <w:p>
      <w:pPr>
        <w:spacing w:line="360" w:lineRule="auto"/>
        <w:ind w:firstLine="480" w:firstLineChars="200"/>
        <w:rPr>
          <w:sz w:val="24"/>
        </w:rPr>
      </w:pPr>
      <w:r>
        <w:rPr>
          <w:sz w:val="24"/>
        </w:rPr>
        <w:t>3.属优先采购节能、环境标志产品须从以上权威媒体网站上查询并打印结果。</w:t>
      </w:r>
    </w:p>
    <w:p>
      <w:pPr>
        <w:spacing w:line="360" w:lineRule="auto"/>
        <w:ind w:firstLine="480" w:firstLineChars="200"/>
        <w:rPr>
          <w:sz w:val="24"/>
        </w:rPr>
      </w:pPr>
      <w:r>
        <w:rPr>
          <w:sz w:val="24"/>
        </w:rPr>
        <w:t>4.证明材料加盖投标人公章。</w:t>
      </w:r>
    </w:p>
    <w:p/>
    <w:p/>
    <w:p/>
    <w:p/>
    <w:p/>
    <w:p/>
    <w:p/>
    <w:p/>
    <w:p/>
    <w:p/>
    <w:p/>
    <w:p/>
    <w:p/>
    <w:p/>
    <w:p/>
    <w:p/>
    <w:p>
      <w:pPr>
        <w:jc w:val="center"/>
        <w:outlineLvl w:val="2"/>
        <w:rPr>
          <w:sz w:val="32"/>
          <w:szCs w:val="32"/>
        </w:rPr>
        <w:sectPr>
          <w:pgSz w:w="11906" w:h="16838"/>
          <w:pgMar w:top="1440" w:right="1440" w:bottom="1440" w:left="1797" w:header="851" w:footer="992" w:gutter="0"/>
          <w:pgNumType w:fmt="decimal"/>
          <w:cols w:space="425" w:num="1"/>
          <w:docGrid w:linePitch="312" w:charSpace="0"/>
        </w:sectPr>
      </w:pPr>
    </w:p>
    <w:p>
      <w:pPr>
        <w:jc w:val="center"/>
        <w:rPr>
          <w:rFonts w:eastAsia="黑体"/>
          <w:b/>
          <w:bCs/>
          <w:color w:val="0000FF"/>
          <w:sz w:val="36"/>
          <w:szCs w:val="44"/>
          <w:lang w:val="zh-CN"/>
        </w:rPr>
      </w:pPr>
      <w:r>
        <w:rPr>
          <w:rFonts w:hint="eastAsia" w:eastAsia="黑体"/>
          <w:b/>
          <w:bCs/>
          <w:color w:val="0000FF"/>
          <w:sz w:val="36"/>
          <w:szCs w:val="44"/>
          <w:lang w:val="zh-CN"/>
        </w:rPr>
        <w:t>特别提示</w:t>
      </w:r>
    </w:p>
    <w:p>
      <w:pPr>
        <w:spacing w:before="240" w:beforeLines="100" w:after="240" w:afterLines="100" w:line="276" w:lineRule="auto"/>
        <w:jc w:val="center"/>
        <w:rPr>
          <w:rFonts w:eastAsia="黑体"/>
          <w:b/>
          <w:bCs/>
          <w:color w:val="0000FF"/>
          <w:sz w:val="28"/>
          <w:szCs w:val="36"/>
          <w:lang w:val="zh-CN"/>
        </w:rPr>
      </w:pPr>
      <w:r>
        <w:rPr>
          <w:rFonts w:hint="eastAsia" w:eastAsia="黑体"/>
          <w:b/>
          <w:bCs/>
          <w:color w:val="0000FF"/>
          <w:sz w:val="28"/>
          <w:szCs w:val="36"/>
          <w:lang w:val="zh-CN"/>
        </w:rPr>
        <w:t>（请在编制投标文件时，删去本段蓝色字体 “特别提示”）</w:t>
      </w:r>
    </w:p>
    <w:p>
      <w:pPr>
        <w:ind w:firstLine="482" w:firstLineChars="200"/>
        <w:rPr>
          <w:b/>
          <w:bCs/>
          <w:color w:val="0000FF"/>
          <w:sz w:val="24"/>
          <w:szCs w:val="32"/>
          <w:lang w:val="zh-CN"/>
        </w:rPr>
      </w:pPr>
      <w:r>
        <w:rPr>
          <w:rFonts w:hint="eastAsia"/>
          <w:b/>
          <w:bCs/>
          <w:color w:val="0000FF"/>
          <w:sz w:val="24"/>
          <w:szCs w:val="32"/>
          <w:lang w:val="zh-CN"/>
        </w:rPr>
        <w:t>当投标人为制造商（或生产厂家）时，须投标人出具其自身为中小企业的《中小企业声明函》（由投标人加盖公章），格式如下；</w:t>
      </w:r>
    </w:p>
    <w:p>
      <w:pPr>
        <w:ind w:firstLine="482" w:firstLineChars="200"/>
        <w:rPr>
          <w:b/>
          <w:bCs/>
          <w:color w:val="0000FF"/>
          <w:sz w:val="24"/>
          <w:szCs w:val="32"/>
          <w:lang w:val="zh-CN"/>
        </w:rPr>
      </w:pPr>
      <w:r>
        <w:rPr>
          <w:rFonts w:hint="eastAsia"/>
          <w:b/>
          <w:bCs/>
          <w:color w:val="0000FF"/>
          <w:sz w:val="24"/>
          <w:szCs w:val="32"/>
          <w:lang w:val="zh-CN"/>
        </w:rPr>
        <w:t>当投标人为代理商（或经销商）时，须投标人出具其所投产品的制造商（或生产厂家）为中小企业的《中小企业声明函》（由投标人加盖公章），格式如下：</w:t>
      </w:r>
    </w:p>
    <w:p/>
    <w:p>
      <w:pPr>
        <w:pStyle w:val="6"/>
        <w:spacing w:before="0" w:after="0" w:line="360" w:lineRule="auto"/>
        <w:ind w:left="0" w:firstLine="0"/>
        <w:jc w:val="center"/>
        <w:rPr>
          <w:rFonts w:eastAsia="黑体"/>
          <w:b w:val="0"/>
          <w:bCs w:val="0"/>
          <w:sz w:val="36"/>
          <w:szCs w:val="36"/>
        </w:rPr>
      </w:pPr>
      <w:r>
        <w:rPr>
          <w:rFonts w:eastAsia="黑体"/>
          <w:b w:val="0"/>
          <w:bCs w:val="0"/>
          <w:sz w:val="36"/>
          <w:szCs w:val="36"/>
        </w:rPr>
        <w:t>（</w:t>
      </w:r>
      <w:r>
        <w:rPr>
          <w:rFonts w:hint="eastAsia" w:eastAsia="黑体"/>
          <w:b w:val="0"/>
          <w:bCs w:val="0"/>
          <w:sz w:val="36"/>
          <w:szCs w:val="36"/>
        </w:rPr>
        <w:t>三</w:t>
      </w:r>
      <w:r>
        <w:rPr>
          <w:rFonts w:eastAsia="黑体"/>
          <w:b w:val="0"/>
          <w:bCs w:val="0"/>
          <w:sz w:val="36"/>
          <w:szCs w:val="36"/>
        </w:rPr>
        <w:t>）中小企业声明函</w:t>
      </w:r>
      <w:bookmarkEnd w:id="329"/>
      <w:bookmarkEnd w:id="330"/>
      <w:bookmarkEnd w:id="331"/>
      <w:r>
        <w:rPr>
          <w:rFonts w:eastAsia="黑体"/>
          <w:b w:val="0"/>
          <w:bCs w:val="0"/>
          <w:sz w:val="36"/>
          <w:szCs w:val="36"/>
        </w:rPr>
        <w:t>（货物）</w:t>
      </w:r>
      <w:bookmarkEnd w:id="332"/>
    </w:p>
    <w:p>
      <w:pPr>
        <w:jc w:val="center"/>
        <w:rPr>
          <w:sz w:val="24"/>
        </w:rPr>
      </w:pPr>
      <w:r>
        <w:rPr>
          <w:sz w:val="24"/>
        </w:rPr>
        <w:t>（注：符合中小企业划型标准的企业请提供本函，不符合的不提供本函）</w:t>
      </w:r>
    </w:p>
    <w:p>
      <w:pPr>
        <w:spacing w:line="360" w:lineRule="auto"/>
        <w:ind w:firstLine="480" w:firstLineChars="200"/>
        <w:rPr>
          <w:sz w:val="24"/>
        </w:rPr>
      </w:pPr>
    </w:p>
    <w:p>
      <w:pPr>
        <w:spacing w:line="360" w:lineRule="auto"/>
        <w:ind w:firstLine="480" w:firstLineChars="200"/>
        <w:rPr>
          <w:sz w:val="24"/>
        </w:rPr>
      </w:pPr>
      <w:r>
        <w:rPr>
          <w:sz w:val="24"/>
        </w:rPr>
        <w:t>本公司（联合体）郑重声明，根据《政府采购促进中小企业发展管理办法》（财库﹝2020﹞46 号）</w:t>
      </w:r>
      <w:r>
        <w:rPr>
          <w:rFonts w:hint="eastAsia"/>
          <w:kern w:val="0"/>
          <w:sz w:val="24"/>
        </w:rPr>
        <w:t>及《关于进一步加大政府采购支持中小企业力度的通知》（财库〔2022〕19号）</w:t>
      </w:r>
      <w:r>
        <w:rPr>
          <w:sz w:val="24"/>
        </w:rPr>
        <w:t>的规定，本公司（联合体）参加</w:t>
      </w:r>
      <w:r>
        <w:rPr>
          <w:sz w:val="24"/>
          <w:u w:val="single"/>
        </w:rPr>
        <w:t xml:space="preserve"> </w:t>
      </w:r>
      <w:r>
        <w:rPr>
          <w:i/>
          <w:iCs/>
          <w:sz w:val="24"/>
          <w:u w:val="single"/>
        </w:rPr>
        <w:t>（ 单位名称 ）</w:t>
      </w:r>
      <w:r>
        <w:rPr>
          <w:sz w:val="24"/>
          <w:u w:val="single"/>
        </w:rPr>
        <w:t xml:space="preserve"> </w:t>
      </w:r>
      <w:r>
        <w:rPr>
          <w:sz w:val="24"/>
        </w:rPr>
        <w:t>的</w:t>
      </w:r>
      <w:r>
        <w:rPr>
          <w:sz w:val="24"/>
          <w:u w:val="single"/>
        </w:rPr>
        <w:t xml:space="preserve"> </w:t>
      </w:r>
      <w:r>
        <w:rPr>
          <w:i/>
          <w:iCs/>
          <w:sz w:val="24"/>
          <w:u w:val="single"/>
        </w:rPr>
        <w:t>（ 项目名称 ）</w:t>
      </w:r>
      <w:r>
        <w:rPr>
          <w:sz w:val="24"/>
          <w:u w:val="single"/>
        </w:rPr>
        <w:t xml:space="preserve"> </w:t>
      </w:r>
      <w:r>
        <w:rPr>
          <w:sz w:val="24"/>
        </w:rPr>
        <w:t>采购活动，提供的货物全部由符合政策要求的中小企业制造。相关企业（ 含联合体中的中小企业、签订分包意向协议的中小企业 ）的具体情况如下：</w:t>
      </w:r>
    </w:p>
    <w:p>
      <w:pPr>
        <w:spacing w:line="360" w:lineRule="auto"/>
        <w:ind w:left="120" w:firstLine="480" w:firstLineChars="200"/>
        <w:rPr>
          <w:sz w:val="24"/>
        </w:rPr>
      </w:pPr>
      <w:r>
        <w:rPr>
          <w:sz w:val="24"/>
        </w:rPr>
        <w:t>1.</w:t>
      </w:r>
      <w:r>
        <w:rPr>
          <w:i/>
          <w:iCs/>
          <w:sz w:val="24"/>
          <w:u w:val="single"/>
        </w:rPr>
        <w:t>（ 标的名称 ）</w:t>
      </w:r>
      <w:r>
        <w:rPr>
          <w:sz w:val="24"/>
        </w:rPr>
        <w:t xml:space="preserve"> ，属于 </w:t>
      </w:r>
      <w:r>
        <w:rPr>
          <w:i/>
          <w:iCs/>
          <w:sz w:val="24"/>
          <w:u w:val="single"/>
        </w:rPr>
        <w:t xml:space="preserve">（ 招标文件中明确的所属行业 ） </w:t>
      </w:r>
      <w:r>
        <w:rPr>
          <w:i/>
          <w:iCs/>
          <w:sz w:val="24"/>
        </w:rPr>
        <w:t>行业</w:t>
      </w:r>
      <w:r>
        <w:rPr>
          <w:sz w:val="24"/>
        </w:rPr>
        <w:t>；制造商为</w:t>
      </w:r>
      <w:r>
        <w:rPr>
          <w:sz w:val="24"/>
          <w:u w:val="single"/>
        </w:rPr>
        <w:t xml:space="preserve"> </w:t>
      </w:r>
      <w:r>
        <w:rPr>
          <w:i/>
          <w:iCs/>
          <w:sz w:val="24"/>
          <w:u w:val="single"/>
        </w:rPr>
        <w:t>（ 企业名称 ）</w:t>
      </w:r>
      <w:r>
        <w:rPr>
          <w:sz w:val="24"/>
          <w:u w:val="single"/>
        </w:rPr>
        <w:t xml:space="preserve"> </w:t>
      </w:r>
      <w:r>
        <w:rPr>
          <w:sz w:val="24"/>
        </w:rPr>
        <w:t>，从业人员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w:t>
      </w:r>
      <w:r>
        <w:rPr>
          <w:sz w:val="32"/>
          <w:szCs w:val="32"/>
        </w:rPr>
        <w:t>¹</w:t>
      </w:r>
      <w:r>
        <w:rPr>
          <w:sz w:val="24"/>
        </w:rPr>
        <w:t xml:space="preserve"> ，属于</w:t>
      </w:r>
      <w:r>
        <w:rPr>
          <w:sz w:val="24"/>
          <w:u w:val="single"/>
        </w:rPr>
        <w:t xml:space="preserve"> </w:t>
      </w:r>
      <w:r>
        <w:rPr>
          <w:i/>
          <w:iCs/>
          <w:sz w:val="24"/>
          <w:u w:val="single"/>
        </w:rPr>
        <w:t>（ 中型企业、小型企业、微型企业 ）</w:t>
      </w:r>
      <w:r>
        <w:rPr>
          <w:sz w:val="24"/>
        </w:rPr>
        <w:t xml:space="preserve"> ； </w:t>
      </w:r>
    </w:p>
    <w:p>
      <w:pPr>
        <w:spacing w:line="360" w:lineRule="auto"/>
        <w:ind w:left="120" w:firstLine="480" w:firstLineChars="200"/>
        <w:rPr>
          <w:sz w:val="24"/>
        </w:rPr>
      </w:pPr>
      <w:r>
        <w:rPr>
          <w:sz w:val="24"/>
        </w:rPr>
        <w:t>2.</w:t>
      </w:r>
      <w:r>
        <w:rPr>
          <w:i/>
          <w:iCs/>
          <w:sz w:val="24"/>
          <w:u w:val="single"/>
        </w:rPr>
        <w:t>（ 标的名称 ）</w:t>
      </w:r>
      <w:r>
        <w:rPr>
          <w:sz w:val="24"/>
        </w:rPr>
        <w:t xml:space="preserve"> ，属于</w:t>
      </w:r>
      <w:r>
        <w:rPr>
          <w:i/>
          <w:iCs/>
          <w:sz w:val="24"/>
        </w:rPr>
        <w:t xml:space="preserve"> </w:t>
      </w:r>
      <w:r>
        <w:rPr>
          <w:i/>
          <w:iCs/>
          <w:sz w:val="24"/>
          <w:u w:val="single"/>
        </w:rPr>
        <w:t xml:space="preserve">（ 招标文件中明确的所属行业 ） </w:t>
      </w:r>
      <w:r>
        <w:rPr>
          <w:i/>
          <w:iCs/>
          <w:sz w:val="24"/>
        </w:rPr>
        <w:t>行业</w:t>
      </w:r>
      <w:r>
        <w:rPr>
          <w:sz w:val="24"/>
        </w:rPr>
        <w:t>；制造商为</w:t>
      </w:r>
      <w:r>
        <w:rPr>
          <w:sz w:val="24"/>
          <w:u w:val="single"/>
        </w:rPr>
        <w:t xml:space="preserve"> </w:t>
      </w:r>
      <w:r>
        <w:rPr>
          <w:i/>
          <w:iCs/>
          <w:sz w:val="24"/>
          <w:u w:val="single"/>
        </w:rPr>
        <w:t>（ 企业名称 ）</w:t>
      </w:r>
      <w:r>
        <w:rPr>
          <w:sz w:val="24"/>
          <w:u w:val="single"/>
        </w:rPr>
        <w:t xml:space="preserve"> </w:t>
      </w:r>
      <w:r>
        <w:rPr>
          <w:sz w:val="24"/>
        </w:rPr>
        <w:t>，从业人员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 ，属于</w:t>
      </w:r>
      <w:r>
        <w:rPr>
          <w:i/>
          <w:iCs/>
          <w:sz w:val="24"/>
          <w:u w:val="single"/>
        </w:rPr>
        <w:t xml:space="preserve"> （ 中型企业、小型企业、微型企业 ）</w:t>
      </w:r>
      <w:r>
        <w:rPr>
          <w:sz w:val="24"/>
        </w:rPr>
        <w:t>；</w:t>
      </w:r>
    </w:p>
    <w:p>
      <w:pPr>
        <w:spacing w:line="360" w:lineRule="auto"/>
        <w:ind w:left="120" w:firstLine="480" w:firstLineChars="200"/>
        <w:rPr>
          <w:sz w:val="24"/>
        </w:rPr>
      </w:pPr>
      <w:r>
        <w:rPr>
          <w:sz w:val="24"/>
        </w:rPr>
        <w:t xml:space="preserve">…… </w:t>
      </w:r>
    </w:p>
    <w:p>
      <w:pPr>
        <w:spacing w:line="360" w:lineRule="auto"/>
        <w:ind w:left="120" w:firstLine="480" w:firstLineChars="200"/>
        <w:rPr>
          <w:sz w:val="24"/>
        </w:rPr>
      </w:pPr>
      <w:r>
        <w:rPr>
          <w:sz w:val="24"/>
        </w:rPr>
        <w:t xml:space="preserve">以上企业，不属于大企业的分支机构，不存在控股股东为大企业的情形，也不存在与大企业的负责人为同一人的情形。 </w:t>
      </w:r>
    </w:p>
    <w:p>
      <w:pPr>
        <w:spacing w:line="360" w:lineRule="auto"/>
        <w:ind w:left="120" w:firstLine="480" w:firstLineChars="200"/>
        <w:rPr>
          <w:sz w:val="24"/>
        </w:rPr>
      </w:pPr>
      <w:r>
        <w:rPr>
          <w:sz w:val="24"/>
        </w:rPr>
        <w:t xml:space="preserve">本企业对上述声明内容的真实性负责。如有虚假，将依法承担相应责任。 </w:t>
      </w:r>
    </w:p>
    <w:p>
      <w:pPr>
        <w:spacing w:line="360" w:lineRule="auto"/>
        <w:ind w:left="120"/>
        <w:rPr>
          <w:sz w:val="24"/>
        </w:rPr>
      </w:pPr>
    </w:p>
    <w:p>
      <w:pPr>
        <w:spacing w:line="360" w:lineRule="auto"/>
        <w:ind w:left="120"/>
        <w:rPr>
          <w:sz w:val="24"/>
        </w:rPr>
      </w:pPr>
    </w:p>
    <w:p>
      <w:pPr>
        <w:spacing w:line="360" w:lineRule="auto"/>
        <w:ind w:left="120"/>
        <w:jc w:val="center"/>
        <w:rPr>
          <w:sz w:val="24"/>
        </w:rPr>
      </w:pPr>
      <w:r>
        <w:rPr>
          <w:sz w:val="24"/>
        </w:rPr>
        <w:t xml:space="preserve">          企业名称（盖章）：</w:t>
      </w:r>
    </w:p>
    <w:p>
      <w:pPr>
        <w:spacing w:line="360" w:lineRule="auto"/>
        <w:ind w:left="120"/>
        <w:jc w:val="center"/>
      </w:pPr>
      <w:r>
        <w:rPr>
          <w:sz w:val="24"/>
        </w:rPr>
        <w:t>日 期：</w:t>
      </w:r>
    </w:p>
    <w:p>
      <w:pPr>
        <w:rPr>
          <w:rFonts w:hint="default" w:eastAsia="宋体"/>
          <w:u w:val="single"/>
          <w:lang w:val="en-US" w:eastAsia="zh-CN"/>
        </w:rPr>
      </w:pPr>
      <w:r>
        <w:rPr>
          <w:u w:val="single"/>
        </w:rPr>
        <w:t xml:space="preserve">                                                                           </w:t>
      </w:r>
      <w:r>
        <w:rPr>
          <w:rFonts w:hint="eastAsia"/>
          <w:u w:val="single"/>
          <w:lang w:val="en-US" w:eastAsia="zh-CN"/>
        </w:rPr>
        <w:t xml:space="preserve">     </w:t>
      </w:r>
    </w:p>
    <w:p>
      <w:pPr>
        <w:rPr>
          <w:sz w:val="24"/>
        </w:rPr>
      </w:pPr>
      <w:r>
        <w:rPr>
          <w:rFonts w:hint="eastAsia"/>
          <w:sz w:val="18"/>
          <w:szCs w:val="18"/>
          <w:lang w:val="en-US" w:eastAsia="zh-CN"/>
        </w:rPr>
        <w:t>1</w:t>
      </w:r>
      <w:r>
        <w:rPr>
          <w:sz w:val="18"/>
          <w:szCs w:val="18"/>
        </w:rPr>
        <w:t xml:space="preserve"> 从业人员、营业收入、资产总额填报上一年度数据，无上一年度数据的新成立企业可不填报。</w:t>
      </w:r>
      <w:r>
        <w:rPr>
          <w:sz w:val="24"/>
        </w:rPr>
        <w:br w:type="page"/>
      </w:r>
    </w:p>
    <w:p>
      <w:pPr>
        <w:pStyle w:val="80"/>
        <w:snapToGrid w:val="0"/>
        <w:spacing w:before="120" w:beforeLines="50"/>
        <w:ind w:firstLine="480"/>
        <w:rPr>
          <w:rFonts w:ascii="Times New Roman" w:hAnsi="Times New Roman" w:cs="Times New Roman"/>
          <w:sz w:val="24"/>
          <w:szCs w:val="24"/>
        </w:rPr>
      </w:pPr>
    </w:p>
    <w:p>
      <w:pPr>
        <w:pStyle w:val="6"/>
        <w:spacing w:before="0" w:after="0" w:line="360" w:lineRule="auto"/>
        <w:ind w:left="0" w:firstLine="0"/>
        <w:jc w:val="center"/>
        <w:rPr>
          <w:rFonts w:eastAsia="黑体"/>
          <w:b w:val="0"/>
          <w:bCs w:val="0"/>
          <w:sz w:val="36"/>
          <w:szCs w:val="36"/>
        </w:rPr>
      </w:pPr>
      <w:bookmarkStart w:id="333" w:name="_Toc3780"/>
      <w:bookmarkStart w:id="334" w:name="_Toc27822"/>
      <w:bookmarkStart w:id="335" w:name="_Toc13395"/>
      <w:bookmarkStart w:id="336" w:name="_Toc12522"/>
      <w:r>
        <w:rPr>
          <w:rFonts w:eastAsia="黑体"/>
          <w:b w:val="0"/>
          <w:bCs w:val="0"/>
          <w:sz w:val="36"/>
          <w:szCs w:val="36"/>
        </w:rPr>
        <w:t>（</w:t>
      </w:r>
      <w:r>
        <w:rPr>
          <w:rFonts w:hint="eastAsia" w:eastAsia="黑体"/>
          <w:b w:val="0"/>
          <w:bCs w:val="0"/>
          <w:sz w:val="36"/>
          <w:szCs w:val="36"/>
        </w:rPr>
        <w:t>四</w:t>
      </w:r>
      <w:r>
        <w:rPr>
          <w:rFonts w:eastAsia="黑体"/>
          <w:b w:val="0"/>
          <w:bCs w:val="0"/>
          <w:sz w:val="36"/>
          <w:szCs w:val="36"/>
        </w:rPr>
        <w:t>）</w:t>
      </w:r>
      <w:bookmarkEnd w:id="333"/>
      <w:bookmarkEnd w:id="334"/>
      <w:bookmarkEnd w:id="335"/>
      <w:bookmarkEnd w:id="336"/>
      <w:r>
        <w:rPr>
          <w:rFonts w:eastAsia="黑体"/>
          <w:b w:val="0"/>
          <w:bCs w:val="0"/>
          <w:sz w:val="36"/>
          <w:szCs w:val="36"/>
        </w:rPr>
        <w:t>监狱企业证明</w:t>
      </w:r>
    </w:p>
    <w:p>
      <w:pPr>
        <w:jc w:val="center"/>
        <w:rPr>
          <w:sz w:val="24"/>
        </w:rPr>
      </w:pPr>
      <w:r>
        <w:rPr>
          <w:sz w:val="24"/>
        </w:rPr>
        <w:t>（注：符合条件的监狱企业请提供</w:t>
      </w:r>
      <w:r>
        <w:rPr>
          <w:rFonts w:hint="eastAsia"/>
          <w:sz w:val="24"/>
        </w:rPr>
        <w:t>证明文件</w:t>
      </w:r>
      <w:r>
        <w:rPr>
          <w:sz w:val="24"/>
        </w:rPr>
        <w:t>，不符合的不提供）</w:t>
      </w:r>
    </w:p>
    <w:p>
      <w:pPr>
        <w:pStyle w:val="80"/>
        <w:snapToGrid w:val="0"/>
        <w:spacing w:before="120" w:beforeLines="50"/>
        <w:ind w:firstLine="480"/>
        <w:rPr>
          <w:rFonts w:ascii="Times New Roman" w:hAnsi="Times New Roman" w:cs="Times New Roman"/>
          <w:sz w:val="24"/>
          <w:szCs w:val="24"/>
        </w:rPr>
      </w:pPr>
    </w:p>
    <w:p>
      <w:pPr>
        <w:pStyle w:val="80"/>
        <w:snapToGrid w:val="0"/>
        <w:spacing w:before="120"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省级以上监狱管理局、戒毒管理局（含新疆生产建设兵团）出具的属于监狱企业的证明文件；</w:t>
      </w:r>
    </w:p>
    <w:p>
      <w:pPr>
        <w:pStyle w:val="5"/>
        <w:spacing w:before="0" w:after="0" w:line="240" w:lineRule="auto"/>
        <w:jc w:val="center"/>
        <w:rPr>
          <w:rFonts w:ascii="Times New Roman" w:hAnsi="Times New Roman" w:eastAsia="黑体"/>
          <w:b w:val="0"/>
          <w:bCs w:val="0"/>
          <w:sz w:val="36"/>
          <w:szCs w:val="36"/>
        </w:rPr>
        <w:sectPr>
          <w:pgSz w:w="11906" w:h="16838"/>
          <w:pgMar w:top="1440" w:right="1440" w:bottom="1440" w:left="1797" w:header="851" w:footer="992" w:gutter="0"/>
          <w:pgNumType w:fmt="decimal"/>
          <w:cols w:space="720" w:num="1"/>
          <w:docGrid w:linePitch="312" w:charSpace="0"/>
        </w:sectPr>
      </w:pPr>
      <w:bookmarkStart w:id="337" w:name="_Toc25672"/>
      <w:bookmarkStart w:id="338" w:name="_Toc17203"/>
      <w:bookmarkStart w:id="339" w:name="_Toc23737"/>
      <w:bookmarkStart w:id="340" w:name="_Toc10862"/>
    </w:p>
    <w:p>
      <w:pPr>
        <w:pStyle w:val="6"/>
        <w:spacing w:before="0" w:after="0" w:line="360" w:lineRule="auto"/>
        <w:ind w:left="0" w:firstLine="0"/>
        <w:jc w:val="center"/>
        <w:rPr>
          <w:rFonts w:eastAsia="黑体"/>
          <w:b w:val="0"/>
          <w:bCs w:val="0"/>
          <w:sz w:val="36"/>
          <w:szCs w:val="36"/>
        </w:rPr>
      </w:pPr>
      <w:r>
        <w:rPr>
          <w:rFonts w:eastAsia="黑体"/>
          <w:b w:val="0"/>
          <w:bCs w:val="0"/>
          <w:sz w:val="36"/>
          <w:szCs w:val="36"/>
        </w:rPr>
        <w:t>（</w:t>
      </w:r>
      <w:r>
        <w:rPr>
          <w:rFonts w:hint="eastAsia" w:eastAsia="黑体"/>
          <w:b w:val="0"/>
          <w:bCs w:val="0"/>
          <w:sz w:val="36"/>
          <w:szCs w:val="36"/>
        </w:rPr>
        <w:t>五</w:t>
      </w:r>
      <w:r>
        <w:rPr>
          <w:rFonts w:eastAsia="黑体"/>
          <w:b w:val="0"/>
          <w:bCs w:val="0"/>
          <w:sz w:val="36"/>
          <w:szCs w:val="36"/>
        </w:rPr>
        <w:t>）残疾人福利性单位声明函</w:t>
      </w:r>
      <w:bookmarkEnd w:id="337"/>
      <w:bookmarkEnd w:id="338"/>
      <w:bookmarkEnd w:id="339"/>
      <w:bookmarkEnd w:id="340"/>
    </w:p>
    <w:p>
      <w:pPr>
        <w:jc w:val="center"/>
        <w:rPr>
          <w:sz w:val="24"/>
        </w:rPr>
      </w:pPr>
      <w:r>
        <w:rPr>
          <w:sz w:val="24"/>
        </w:rPr>
        <w:t>（注：符合条件的残疾人福利性单位请提供本函，不符合的不提供本函）</w:t>
      </w:r>
    </w:p>
    <w:p>
      <w:pPr>
        <w:rPr>
          <w:sz w:val="24"/>
        </w:rPr>
      </w:pPr>
    </w:p>
    <w:p>
      <w:pPr>
        <w:rPr>
          <w:sz w:val="24"/>
        </w:rPr>
      </w:pPr>
    </w:p>
    <w:p>
      <w:pPr>
        <w:spacing w:line="360" w:lineRule="auto"/>
        <w:ind w:firstLine="480" w:firstLineChars="200"/>
        <w:rPr>
          <w:sz w:val="24"/>
        </w:rPr>
      </w:pPr>
      <w:r>
        <w:rPr>
          <w:sz w:val="24"/>
        </w:rPr>
        <w:t>本单位郑重声明，根据《财政部 民政部 中国残疾人联合会关于促进残疾人就业政府采购政策的通知》（财库〔2017〕141号）的规定，本单位为符合条件的残疾人福利性单位，且本单位参加</w:t>
      </w:r>
      <w:r>
        <w:rPr>
          <w:rFonts w:hint="eastAsia"/>
          <w:sz w:val="24"/>
          <w:u w:val="single"/>
        </w:rPr>
        <w:t xml:space="preserve"> </w:t>
      </w:r>
      <w:r>
        <w:rPr>
          <w:sz w:val="24"/>
          <w:u w:val="single"/>
        </w:rPr>
        <w:t xml:space="preserve">         </w:t>
      </w:r>
      <w:r>
        <w:rPr>
          <w:rFonts w:hint="eastAsia"/>
          <w:sz w:val="24"/>
          <w:u w:val="single"/>
        </w:rPr>
        <w:t xml:space="preserve">（项目名称） </w:t>
      </w:r>
      <w:r>
        <w:rPr>
          <w:sz w:val="24"/>
          <w:u w:val="single"/>
        </w:rPr>
        <w:t xml:space="preserve">        </w:t>
      </w:r>
      <w:r>
        <w:rPr>
          <w:sz w:val="24"/>
        </w:rPr>
        <w:t>项目采购活动提供本单位制造的货物（由本单位承担工程/提供服务），或者提供其他残疾人福利性单位制造的货物（不包括使用非残疾人福利性单位注册商标的货物）。</w:t>
      </w:r>
    </w:p>
    <w:p>
      <w:pPr>
        <w:spacing w:line="360" w:lineRule="auto"/>
        <w:rPr>
          <w:sz w:val="24"/>
        </w:rPr>
      </w:pPr>
    </w:p>
    <w:p>
      <w:pPr>
        <w:spacing w:line="360" w:lineRule="auto"/>
        <w:ind w:firstLine="480" w:firstLineChars="200"/>
        <w:rPr>
          <w:sz w:val="24"/>
        </w:rPr>
      </w:pPr>
      <w:r>
        <w:rPr>
          <w:sz w:val="24"/>
        </w:rPr>
        <w:t>本单位对上述声明的真实性负责。如有虚假，将依法承担相应责任。</w:t>
      </w:r>
    </w:p>
    <w:p>
      <w:pPr>
        <w:spacing w:line="360" w:lineRule="auto"/>
        <w:rPr>
          <w:sz w:val="24"/>
        </w:rPr>
      </w:pPr>
    </w:p>
    <w:p>
      <w:pPr>
        <w:spacing w:line="360" w:lineRule="auto"/>
        <w:rPr>
          <w:sz w:val="24"/>
        </w:rPr>
      </w:pPr>
      <w:r>
        <w:rPr>
          <w:sz w:val="24"/>
        </w:rPr>
        <w:t xml:space="preserve"> </w:t>
      </w:r>
    </w:p>
    <w:p>
      <w:pPr>
        <w:spacing w:line="360" w:lineRule="auto"/>
        <w:rPr>
          <w:sz w:val="24"/>
        </w:rPr>
      </w:pPr>
    </w:p>
    <w:p>
      <w:pPr>
        <w:spacing w:line="360" w:lineRule="auto"/>
        <w:rPr>
          <w:sz w:val="24"/>
        </w:rPr>
      </w:pPr>
      <w:r>
        <w:rPr>
          <w:sz w:val="24"/>
        </w:rPr>
        <w:t xml:space="preserve"> </w:t>
      </w:r>
    </w:p>
    <w:p>
      <w:pPr>
        <w:spacing w:line="360" w:lineRule="auto"/>
        <w:rPr>
          <w:sz w:val="24"/>
        </w:rPr>
      </w:pPr>
    </w:p>
    <w:p>
      <w:pPr>
        <w:spacing w:line="360" w:lineRule="auto"/>
        <w:jc w:val="center"/>
        <w:rPr>
          <w:sz w:val="24"/>
        </w:rPr>
      </w:pPr>
      <w:r>
        <w:rPr>
          <w:sz w:val="24"/>
        </w:rPr>
        <w:t xml:space="preserve">          单位名称（盖章）：</w:t>
      </w:r>
    </w:p>
    <w:p>
      <w:pPr>
        <w:spacing w:line="360" w:lineRule="auto"/>
        <w:rPr>
          <w:sz w:val="24"/>
        </w:rPr>
      </w:pPr>
    </w:p>
    <w:p>
      <w:pPr>
        <w:spacing w:line="360" w:lineRule="auto"/>
        <w:jc w:val="center"/>
        <w:rPr>
          <w:rFonts w:eastAsia="黑体"/>
        </w:rPr>
        <w:sectPr>
          <w:pgSz w:w="11906" w:h="16838"/>
          <w:pgMar w:top="1440" w:right="1440" w:bottom="1440" w:left="1797" w:header="851" w:footer="992" w:gutter="0"/>
          <w:pgNumType w:fmt="decimal"/>
          <w:cols w:space="720" w:num="1"/>
          <w:docGrid w:linePitch="312" w:charSpace="0"/>
        </w:sectPr>
      </w:pPr>
      <w:r>
        <w:rPr>
          <w:sz w:val="24"/>
        </w:rPr>
        <w:t>日  期：</w:t>
      </w:r>
    </w:p>
    <w:p>
      <w:pPr>
        <w:pStyle w:val="5"/>
        <w:spacing w:line="240" w:lineRule="auto"/>
        <w:rPr>
          <w:rFonts w:ascii="Times New Roman" w:hAnsi="Times New Roman" w:eastAsia="黑体"/>
        </w:rPr>
      </w:pPr>
      <w:r>
        <w:rPr>
          <w:rFonts w:hint="eastAsia" w:ascii="Times New Roman" w:hAnsi="Times New Roman" w:eastAsia="黑体"/>
        </w:rPr>
        <w:t>3</w:t>
      </w:r>
      <w:r>
        <w:rPr>
          <w:rFonts w:ascii="Times New Roman" w:hAnsi="Times New Roman" w:eastAsia="黑体"/>
        </w:rPr>
        <w:t>-9 不参与围标串标承诺书</w:t>
      </w:r>
      <w:bookmarkEnd w:id="328"/>
    </w:p>
    <w:p>
      <w:pPr>
        <w:snapToGrid w:val="0"/>
        <w:spacing w:line="360" w:lineRule="auto"/>
        <w:ind w:firstLine="420"/>
        <w:textAlignment w:val="baseline"/>
        <w:rPr>
          <w:sz w:val="24"/>
        </w:rPr>
      </w:pPr>
      <w:r>
        <w:rPr>
          <w:sz w:val="24"/>
        </w:rPr>
        <w:t>本人作为经授权的投标人代表，清楚知晓我方本项目投标活动，对以下事项作出承诺</w:t>
      </w:r>
      <w:r>
        <w:rPr>
          <w:rFonts w:hint="eastAsia" w:ascii="宋体" w:hAnsi="宋体" w:cs="宋体"/>
          <w:sz w:val="24"/>
        </w:rPr>
        <w:t>∶</w:t>
      </w:r>
    </w:p>
    <w:p>
      <w:pPr>
        <w:snapToGrid w:val="0"/>
        <w:spacing w:line="360" w:lineRule="auto"/>
        <w:ind w:firstLine="420"/>
        <w:textAlignment w:val="baseline"/>
        <w:rPr>
          <w:sz w:val="24"/>
        </w:rPr>
      </w:pPr>
      <w:r>
        <w:rPr>
          <w:sz w:val="24"/>
        </w:rPr>
        <w:t>一、我方和我本人遵循公开、公平、公正、诚实守信的原则，依法依规参与本项目竞标。</w:t>
      </w:r>
    </w:p>
    <w:p>
      <w:pPr>
        <w:snapToGrid w:val="0"/>
        <w:spacing w:line="360" w:lineRule="auto"/>
        <w:ind w:firstLine="420"/>
        <w:textAlignment w:val="baseline"/>
        <w:rPr>
          <w:sz w:val="24"/>
        </w:rPr>
      </w:pPr>
      <w:r>
        <w:rPr>
          <w:sz w:val="24"/>
        </w:rPr>
        <w:t>二、我方和我本人在本项目采购活动中，未参与围标串标。</w:t>
      </w:r>
    </w:p>
    <w:p>
      <w:pPr>
        <w:snapToGrid w:val="0"/>
        <w:spacing w:line="360" w:lineRule="auto"/>
        <w:ind w:firstLine="420"/>
        <w:textAlignment w:val="baseline"/>
        <w:rPr>
          <w:sz w:val="24"/>
        </w:rPr>
      </w:pPr>
      <w:r>
        <w:rPr>
          <w:sz w:val="24"/>
        </w:rPr>
        <w:t>三、我方如被查实在本项目采购活动中存在围标串标的，递交投标文件行为作为实施串通采购违法行为的关键环节，本人承担直接责任人员法律责任，接受相应行政处罚和失信惩戒。</w:t>
      </w:r>
    </w:p>
    <w:p>
      <w:pPr>
        <w:pStyle w:val="25"/>
        <w:snapToGrid w:val="0"/>
        <w:textAlignment w:val="baseline"/>
        <w:rPr>
          <w:rFonts w:ascii="Times New Roman" w:hAnsi="Times New Roman" w:cs="Times New Roman"/>
          <w:b/>
          <w:sz w:val="24"/>
          <w:szCs w:val="24"/>
        </w:rPr>
      </w:pPr>
    </w:p>
    <w:p>
      <w:pPr>
        <w:snapToGrid w:val="0"/>
        <w:ind w:firstLine="426"/>
        <w:textAlignment w:val="baseline"/>
        <w:rPr>
          <w:sz w:val="24"/>
        </w:rPr>
      </w:pPr>
    </w:p>
    <w:p>
      <w:pPr>
        <w:snapToGrid w:val="0"/>
        <w:spacing w:line="360" w:lineRule="auto"/>
        <w:ind w:firstLine="426"/>
        <w:textAlignment w:val="baseline"/>
        <w:rPr>
          <w:sz w:val="24"/>
        </w:rPr>
      </w:pPr>
      <w:r>
        <w:rPr>
          <w:sz w:val="24"/>
        </w:rPr>
        <w:t xml:space="preserve">投标人名称（公章）： </w:t>
      </w:r>
    </w:p>
    <w:p>
      <w:pPr>
        <w:snapToGrid w:val="0"/>
        <w:spacing w:line="360" w:lineRule="auto"/>
        <w:ind w:firstLine="420"/>
        <w:textAlignment w:val="baseline"/>
        <w:rPr>
          <w:sz w:val="24"/>
        </w:rPr>
      </w:pPr>
      <w:r>
        <w:rPr>
          <w:sz w:val="24"/>
        </w:rPr>
        <w:t>法定代表人或其委托代理人（签字或加盖人名章）：</w:t>
      </w:r>
    </w:p>
    <w:p>
      <w:pPr>
        <w:snapToGrid w:val="0"/>
        <w:spacing w:line="360" w:lineRule="auto"/>
        <w:ind w:firstLine="480" w:firstLineChars="200"/>
        <w:textAlignment w:val="baseline"/>
        <w:rPr>
          <w:sz w:val="24"/>
        </w:rPr>
      </w:pPr>
      <w:r>
        <w:rPr>
          <w:sz w:val="24"/>
        </w:rPr>
        <w:t>日    期：     年   月    日</w:t>
      </w:r>
    </w:p>
    <w:p>
      <w:pPr>
        <w:pStyle w:val="25"/>
        <w:snapToGrid w:val="0"/>
        <w:spacing w:line="360" w:lineRule="auto"/>
        <w:textAlignment w:val="baseline"/>
        <w:rPr>
          <w:rFonts w:ascii="Times New Roman" w:hAnsi="Times New Roman" w:cs="Times New Roman"/>
          <w:b/>
          <w:sz w:val="24"/>
          <w:szCs w:val="24"/>
        </w:rPr>
      </w:pPr>
    </w:p>
    <w:p>
      <w:pPr>
        <w:tabs>
          <w:tab w:val="left" w:pos="993"/>
          <w:tab w:val="left" w:pos="1030"/>
          <w:tab w:val="left" w:pos="8364"/>
        </w:tabs>
        <w:snapToGrid w:val="0"/>
        <w:spacing w:after="156"/>
        <w:ind w:right="-56"/>
        <w:jc w:val="left"/>
        <w:textAlignment w:val="baseline"/>
        <w:rPr>
          <w:b/>
          <w:sz w:val="24"/>
        </w:rPr>
        <w:sectPr>
          <w:pgSz w:w="11906" w:h="16838"/>
          <w:pgMar w:top="1440" w:right="1440" w:bottom="1440" w:left="1797" w:header="851" w:footer="992" w:gutter="0"/>
          <w:pgNumType w:fmt="decimal"/>
          <w:cols w:space="720" w:num="1"/>
          <w:docGrid w:linePitch="312" w:charSpace="0"/>
        </w:sectPr>
      </w:pPr>
    </w:p>
    <w:p>
      <w:pPr>
        <w:pStyle w:val="5"/>
        <w:spacing w:line="240" w:lineRule="auto"/>
        <w:rPr>
          <w:rFonts w:ascii="Times New Roman" w:hAnsi="Times New Roman" w:eastAsia="黑体"/>
        </w:rPr>
      </w:pPr>
      <w:r>
        <w:rPr>
          <w:rFonts w:hint="eastAsia" w:ascii="Times New Roman" w:hAnsi="Times New Roman" w:eastAsia="黑体"/>
        </w:rPr>
        <w:t>3</w:t>
      </w:r>
      <w:r>
        <w:rPr>
          <w:rFonts w:ascii="Times New Roman" w:hAnsi="Times New Roman" w:eastAsia="黑体"/>
        </w:rPr>
        <w:t>-10 投标保证金缴纳凭证复印件（收据、银行电汇凭证或其他支付形式的缴纳凭证等）</w:t>
      </w:r>
    </w:p>
    <w:p/>
    <w:p/>
    <w:p/>
    <w:p/>
    <w:p/>
    <w:p>
      <w:pPr>
        <w:pStyle w:val="25"/>
        <w:snapToGrid w:val="0"/>
        <w:textAlignment w:val="baseline"/>
        <w:rPr>
          <w:rFonts w:ascii="Times New Roman" w:hAnsi="Times New Roman" w:cs="Times New Roman"/>
          <w:b/>
          <w:sz w:val="24"/>
          <w:szCs w:val="24"/>
        </w:rPr>
        <w:sectPr>
          <w:pgSz w:w="11906" w:h="16838"/>
          <w:pgMar w:top="1440" w:right="1440" w:bottom="1440" w:left="1797" w:header="851" w:footer="992" w:gutter="0"/>
          <w:pgNumType w:fmt="decimal"/>
          <w:cols w:space="720" w:num="1"/>
          <w:docGrid w:linePitch="312" w:charSpace="0"/>
        </w:sectPr>
      </w:pPr>
    </w:p>
    <w:p>
      <w:pPr>
        <w:pStyle w:val="2"/>
        <w:spacing w:before="0" w:after="0" w:line="240" w:lineRule="auto"/>
        <w:rPr>
          <w:rFonts w:eastAsia="黑体"/>
          <w:sz w:val="28"/>
          <w:szCs w:val="28"/>
        </w:rPr>
        <w:sectPr>
          <w:pgSz w:w="11906" w:h="16838"/>
          <w:pgMar w:top="1440" w:right="1440" w:bottom="1440" w:left="1797" w:header="851" w:footer="992" w:gutter="0"/>
          <w:pgNumType w:fmt="decimal"/>
          <w:cols w:space="425" w:num="1"/>
          <w:docGrid w:linePitch="312" w:charSpace="0"/>
        </w:sectPr>
      </w:pPr>
      <w:bookmarkStart w:id="341" w:name="_Toc103677758"/>
      <w:bookmarkStart w:id="342" w:name="_Toc12511"/>
      <w:r>
        <w:rPr>
          <w:rFonts w:hint="eastAsia" w:eastAsia="黑体"/>
          <w:sz w:val="28"/>
          <w:szCs w:val="28"/>
        </w:rPr>
        <w:t>四、</w:t>
      </w:r>
      <w:r>
        <w:rPr>
          <w:rFonts w:eastAsia="黑体"/>
          <w:sz w:val="28"/>
          <w:szCs w:val="28"/>
        </w:rPr>
        <w:t>医疗器械注册证（根据所投产品内容提供，非医疗器械产品无需提供）</w:t>
      </w:r>
      <w:bookmarkEnd w:id="341"/>
      <w:bookmarkEnd w:id="342"/>
    </w:p>
    <w:p>
      <w:pPr>
        <w:pStyle w:val="2"/>
        <w:spacing w:before="0" w:after="0" w:line="240" w:lineRule="auto"/>
        <w:rPr>
          <w:rFonts w:eastAsia="黑体"/>
          <w:sz w:val="28"/>
          <w:szCs w:val="28"/>
        </w:rPr>
      </w:pPr>
      <w:bookmarkStart w:id="343" w:name="_Toc1428"/>
      <w:bookmarkStart w:id="344" w:name="_Toc11675"/>
      <w:bookmarkStart w:id="345" w:name="_Toc103677760"/>
      <w:bookmarkStart w:id="346" w:name="_Toc30540"/>
      <w:r>
        <w:rPr>
          <w:rFonts w:hint="eastAsia" w:eastAsia="黑体"/>
          <w:sz w:val="28"/>
          <w:szCs w:val="28"/>
        </w:rPr>
        <w:t>五、</w:t>
      </w:r>
      <w:r>
        <w:rPr>
          <w:rFonts w:eastAsia="黑体"/>
          <w:sz w:val="28"/>
          <w:szCs w:val="28"/>
        </w:rPr>
        <w:t>投标人供货业绩一览表</w:t>
      </w:r>
      <w:bookmarkEnd w:id="343"/>
      <w:r>
        <w:rPr>
          <w:rFonts w:eastAsia="黑体"/>
          <w:sz w:val="28"/>
          <w:szCs w:val="28"/>
        </w:rPr>
        <w:t>（2019年1月1日至投标截止日）</w:t>
      </w:r>
      <w:bookmarkEnd w:id="344"/>
      <w:bookmarkEnd w:id="345"/>
      <w:bookmarkEnd w:id="346"/>
    </w:p>
    <w:p/>
    <w:tbl>
      <w:tblPr>
        <w:tblStyle w:val="41"/>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305"/>
        <w:gridCol w:w="723"/>
        <w:gridCol w:w="589"/>
        <w:gridCol w:w="1701"/>
        <w:gridCol w:w="993"/>
        <w:gridCol w:w="1275"/>
        <w:gridCol w:w="815"/>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13" w:type="dxa"/>
            <w:vAlign w:val="center"/>
          </w:tcPr>
          <w:p>
            <w:pPr>
              <w:jc w:val="center"/>
              <w:rPr>
                <w:sz w:val="24"/>
              </w:rPr>
            </w:pPr>
            <w:r>
              <w:rPr>
                <w:sz w:val="24"/>
              </w:rPr>
              <w:t>年份</w:t>
            </w:r>
          </w:p>
        </w:tc>
        <w:tc>
          <w:tcPr>
            <w:tcW w:w="1305" w:type="dxa"/>
            <w:vAlign w:val="center"/>
          </w:tcPr>
          <w:p>
            <w:pPr>
              <w:jc w:val="center"/>
              <w:rPr>
                <w:sz w:val="24"/>
              </w:rPr>
            </w:pPr>
            <w:r>
              <w:rPr>
                <w:sz w:val="24"/>
              </w:rPr>
              <w:t>货物名称</w:t>
            </w:r>
          </w:p>
        </w:tc>
        <w:tc>
          <w:tcPr>
            <w:tcW w:w="723" w:type="dxa"/>
            <w:vAlign w:val="center"/>
          </w:tcPr>
          <w:p>
            <w:pPr>
              <w:jc w:val="center"/>
              <w:rPr>
                <w:sz w:val="24"/>
              </w:rPr>
            </w:pPr>
            <w:r>
              <w:rPr>
                <w:sz w:val="24"/>
              </w:rPr>
              <w:t>规格型号</w:t>
            </w:r>
          </w:p>
        </w:tc>
        <w:tc>
          <w:tcPr>
            <w:tcW w:w="589" w:type="dxa"/>
            <w:vAlign w:val="center"/>
          </w:tcPr>
          <w:p>
            <w:pPr>
              <w:jc w:val="center"/>
              <w:rPr>
                <w:sz w:val="24"/>
              </w:rPr>
            </w:pPr>
            <w:r>
              <w:rPr>
                <w:sz w:val="24"/>
              </w:rPr>
              <w:t>数量</w:t>
            </w:r>
          </w:p>
        </w:tc>
        <w:tc>
          <w:tcPr>
            <w:tcW w:w="1701" w:type="dxa"/>
            <w:vAlign w:val="center"/>
          </w:tcPr>
          <w:p>
            <w:pPr>
              <w:jc w:val="center"/>
              <w:rPr>
                <w:sz w:val="24"/>
              </w:rPr>
            </w:pPr>
            <w:r>
              <w:rPr>
                <w:sz w:val="24"/>
              </w:rPr>
              <w:t>合同价格或中标通知书中载明中标金额</w:t>
            </w:r>
          </w:p>
        </w:tc>
        <w:tc>
          <w:tcPr>
            <w:tcW w:w="993" w:type="dxa"/>
            <w:vAlign w:val="center"/>
          </w:tcPr>
          <w:p>
            <w:pPr>
              <w:jc w:val="center"/>
              <w:rPr>
                <w:sz w:val="24"/>
              </w:rPr>
            </w:pPr>
            <w:r>
              <w:rPr>
                <w:sz w:val="24"/>
              </w:rPr>
              <w:t>使用单位名称</w:t>
            </w:r>
          </w:p>
        </w:tc>
        <w:tc>
          <w:tcPr>
            <w:tcW w:w="1275" w:type="dxa"/>
            <w:vAlign w:val="center"/>
          </w:tcPr>
          <w:p>
            <w:pPr>
              <w:jc w:val="center"/>
              <w:rPr>
                <w:sz w:val="24"/>
              </w:rPr>
            </w:pPr>
            <w:r>
              <w:rPr>
                <w:sz w:val="24"/>
              </w:rPr>
              <w:t>使用单位联系人及电话</w:t>
            </w:r>
          </w:p>
        </w:tc>
        <w:tc>
          <w:tcPr>
            <w:tcW w:w="815" w:type="dxa"/>
            <w:vAlign w:val="center"/>
          </w:tcPr>
          <w:p>
            <w:pPr>
              <w:jc w:val="center"/>
              <w:rPr>
                <w:sz w:val="24"/>
              </w:rPr>
            </w:pPr>
            <w:r>
              <w:rPr>
                <w:sz w:val="24"/>
              </w:rPr>
              <w:t>是否投入使用</w:t>
            </w:r>
          </w:p>
        </w:tc>
        <w:tc>
          <w:tcPr>
            <w:tcW w:w="711" w:type="dxa"/>
            <w:vAlign w:val="center"/>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dxa"/>
            <w:vAlign w:val="center"/>
          </w:tcPr>
          <w:p>
            <w:pPr>
              <w:jc w:val="center"/>
              <w:rPr>
                <w:sz w:val="24"/>
              </w:rPr>
            </w:pPr>
            <w:r>
              <w:rPr>
                <w:sz w:val="24"/>
              </w:rPr>
              <w:t>20  年</w:t>
            </w:r>
          </w:p>
        </w:tc>
        <w:tc>
          <w:tcPr>
            <w:tcW w:w="1305" w:type="dxa"/>
            <w:vAlign w:val="center"/>
          </w:tcPr>
          <w:p>
            <w:pPr>
              <w:jc w:val="center"/>
              <w:rPr>
                <w:sz w:val="24"/>
              </w:rPr>
            </w:pPr>
          </w:p>
        </w:tc>
        <w:tc>
          <w:tcPr>
            <w:tcW w:w="723" w:type="dxa"/>
            <w:vAlign w:val="center"/>
          </w:tcPr>
          <w:p>
            <w:pPr>
              <w:jc w:val="center"/>
              <w:rPr>
                <w:sz w:val="24"/>
              </w:rPr>
            </w:pPr>
          </w:p>
        </w:tc>
        <w:tc>
          <w:tcPr>
            <w:tcW w:w="589" w:type="dxa"/>
            <w:vAlign w:val="center"/>
          </w:tcPr>
          <w:p>
            <w:pPr>
              <w:jc w:val="center"/>
              <w:rPr>
                <w:sz w:val="24"/>
              </w:rPr>
            </w:pPr>
          </w:p>
        </w:tc>
        <w:tc>
          <w:tcPr>
            <w:tcW w:w="1701" w:type="dxa"/>
            <w:vAlign w:val="center"/>
          </w:tcPr>
          <w:p>
            <w:pPr>
              <w:jc w:val="center"/>
              <w:rPr>
                <w:sz w:val="24"/>
              </w:rPr>
            </w:pPr>
          </w:p>
        </w:tc>
        <w:tc>
          <w:tcPr>
            <w:tcW w:w="993" w:type="dxa"/>
            <w:vAlign w:val="center"/>
          </w:tcPr>
          <w:p>
            <w:pPr>
              <w:jc w:val="center"/>
              <w:rPr>
                <w:sz w:val="24"/>
              </w:rPr>
            </w:pPr>
          </w:p>
        </w:tc>
        <w:tc>
          <w:tcPr>
            <w:tcW w:w="1275" w:type="dxa"/>
            <w:vAlign w:val="center"/>
          </w:tcPr>
          <w:p>
            <w:pPr>
              <w:jc w:val="center"/>
              <w:rPr>
                <w:sz w:val="24"/>
              </w:rPr>
            </w:pPr>
          </w:p>
        </w:tc>
        <w:tc>
          <w:tcPr>
            <w:tcW w:w="815" w:type="dxa"/>
            <w:vAlign w:val="center"/>
          </w:tcPr>
          <w:p>
            <w:pPr>
              <w:jc w:val="center"/>
              <w:rPr>
                <w:sz w:val="24"/>
              </w:rPr>
            </w:pPr>
          </w:p>
        </w:tc>
        <w:tc>
          <w:tcPr>
            <w:tcW w:w="71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dxa"/>
            <w:vAlign w:val="center"/>
          </w:tcPr>
          <w:p>
            <w:pPr>
              <w:jc w:val="center"/>
              <w:rPr>
                <w:sz w:val="24"/>
              </w:rPr>
            </w:pPr>
          </w:p>
        </w:tc>
        <w:tc>
          <w:tcPr>
            <w:tcW w:w="1305" w:type="dxa"/>
            <w:vAlign w:val="center"/>
          </w:tcPr>
          <w:p>
            <w:pPr>
              <w:jc w:val="center"/>
              <w:rPr>
                <w:sz w:val="24"/>
              </w:rPr>
            </w:pPr>
          </w:p>
        </w:tc>
        <w:tc>
          <w:tcPr>
            <w:tcW w:w="723" w:type="dxa"/>
            <w:vAlign w:val="center"/>
          </w:tcPr>
          <w:p>
            <w:pPr>
              <w:jc w:val="center"/>
              <w:rPr>
                <w:sz w:val="24"/>
              </w:rPr>
            </w:pPr>
          </w:p>
        </w:tc>
        <w:tc>
          <w:tcPr>
            <w:tcW w:w="589" w:type="dxa"/>
            <w:vAlign w:val="center"/>
          </w:tcPr>
          <w:p>
            <w:pPr>
              <w:jc w:val="center"/>
              <w:rPr>
                <w:sz w:val="24"/>
              </w:rPr>
            </w:pPr>
          </w:p>
        </w:tc>
        <w:tc>
          <w:tcPr>
            <w:tcW w:w="1701" w:type="dxa"/>
            <w:vAlign w:val="center"/>
          </w:tcPr>
          <w:p>
            <w:pPr>
              <w:jc w:val="center"/>
              <w:rPr>
                <w:sz w:val="24"/>
              </w:rPr>
            </w:pPr>
          </w:p>
        </w:tc>
        <w:tc>
          <w:tcPr>
            <w:tcW w:w="993" w:type="dxa"/>
            <w:vAlign w:val="center"/>
          </w:tcPr>
          <w:p>
            <w:pPr>
              <w:jc w:val="center"/>
              <w:rPr>
                <w:sz w:val="24"/>
              </w:rPr>
            </w:pPr>
          </w:p>
        </w:tc>
        <w:tc>
          <w:tcPr>
            <w:tcW w:w="1275" w:type="dxa"/>
            <w:vAlign w:val="center"/>
          </w:tcPr>
          <w:p>
            <w:pPr>
              <w:jc w:val="center"/>
              <w:rPr>
                <w:sz w:val="24"/>
              </w:rPr>
            </w:pPr>
          </w:p>
        </w:tc>
        <w:tc>
          <w:tcPr>
            <w:tcW w:w="815" w:type="dxa"/>
            <w:vAlign w:val="center"/>
          </w:tcPr>
          <w:p>
            <w:pPr>
              <w:jc w:val="center"/>
              <w:rPr>
                <w:sz w:val="24"/>
              </w:rPr>
            </w:pPr>
          </w:p>
        </w:tc>
        <w:tc>
          <w:tcPr>
            <w:tcW w:w="71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dxa"/>
            <w:vAlign w:val="center"/>
          </w:tcPr>
          <w:p>
            <w:pPr>
              <w:jc w:val="center"/>
              <w:rPr>
                <w:sz w:val="24"/>
              </w:rPr>
            </w:pPr>
            <w:r>
              <w:rPr>
                <w:sz w:val="24"/>
              </w:rPr>
              <w:t>20  年</w:t>
            </w:r>
          </w:p>
        </w:tc>
        <w:tc>
          <w:tcPr>
            <w:tcW w:w="1305" w:type="dxa"/>
            <w:vAlign w:val="center"/>
          </w:tcPr>
          <w:p>
            <w:pPr>
              <w:jc w:val="center"/>
              <w:rPr>
                <w:sz w:val="24"/>
              </w:rPr>
            </w:pPr>
          </w:p>
        </w:tc>
        <w:tc>
          <w:tcPr>
            <w:tcW w:w="723" w:type="dxa"/>
            <w:vAlign w:val="center"/>
          </w:tcPr>
          <w:p>
            <w:pPr>
              <w:jc w:val="center"/>
              <w:rPr>
                <w:sz w:val="24"/>
              </w:rPr>
            </w:pPr>
          </w:p>
        </w:tc>
        <w:tc>
          <w:tcPr>
            <w:tcW w:w="589" w:type="dxa"/>
            <w:vAlign w:val="center"/>
          </w:tcPr>
          <w:p>
            <w:pPr>
              <w:jc w:val="center"/>
              <w:rPr>
                <w:sz w:val="24"/>
              </w:rPr>
            </w:pPr>
          </w:p>
        </w:tc>
        <w:tc>
          <w:tcPr>
            <w:tcW w:w="1701" w:type="dxa"/>
            <w:vAlign w:val="center"/>
          </w:tcPr>
          <w:p>
            <w:pPr>
              <w:jc w:val="center"/>
              <w:rPr>
                <w:sz w:val="24"/>
              </w:rPr>
            </w:pPr>
          </w:p>
        </w:tc>
        <w:tc>
          <w:tcPr>
            <w:tcW w:w="993" w:type="dxa"/>
            <w:vAlign w:val="center"/>
          </w:tcPr>
          <w:p>
            <w:pPr>
              <w:jc w:val="center"/>
              <w:rPr>
                <w:sz w:val="24"/>
              </w:rPr>
            </w:pPr>
          </w:p>
        </w:tc>
        <w:tc>
          <w:tcPr>
            <w:tcW w:w="1275" w:type="dxa"/>
            <w:vAlign w:val="center"/>
          </w:tcPr>
          <w:p>
            <w:pPr>
              <w:jc w:val="center"/>
              <w:rPr>
                <w:sz w:val="24"/>
              </w:rPr>
            </w:pPr>
          </w:p>
        </w:tc>
        <w:tc>
          <w:tcPr>
            <w:tcW w:w="815" w:type="dxa"/>
            <w:vAlign w:val="center"/>
          </w:tcPr>
          <w:p>
            <w:pPr>
              <w:jc w:val="center"/>
              <w:rPr>
                <w:sz w:val="24"/>
              </w:rPr>
            </w:pPr>
          </w:p>
        </w:tc>
        <w:tc>
          <w:tcPr>
            <w:tcW w:w="71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dxa"/>
            <w:vAlign w:val="center"/>
          </w:tcPr>
          <w:p>
            <w:pPr>
              <w:jc w:val="center"/>
              <w:rPr>
                <w:sz w:val="24"/>
              </w:rPr>
            </w:pPr>
          </w:p>
        </w:tc>
        <w:tc>
          <w:tcPr>
            <w:tcW w:w="1305" w:type="dxa"/>
            <w:vAlign w:val="center"/>
          </w:tcPr>
          <w:p>
            <w:pPr>
              <w:jc w:val="center"/>
              <w:rPr>
                <w:sz w:val="24"/>
              </w:rPr>
            </w:pPr>
          </w:p>
        </w:tc>
        <w:tc>
          <w:tcPr>
            <w:tcW w:w="723" w:type="dxa"/>
            <w:vAlign w:val="center"/>
          </w:tcPr>
          <w:p>
            <w:pPr>
              <w:jc w:val="center"/>
              <w:rPr>
                <w:sz w:val="24"/>
              </w:rPr>
            </w:pPr>
          </w:p>
        </w:tc>
        <w:tc>
          <w:tcPr>
            <w:tcW w:w="589" w:type="dxa"/>
            <w:vAlign w:val="center"/>
          </w:tcPr>
          <w:p>
            <w:pPr>
              <w:jc w:val="center"/>
              <w:rPr>
                <w:sz w:val="24"/>
              </w:rPr>
            </w:pPr>
          </w:p>
        </w:tc>
        <w:tc>
          <w:tcPr>
            <w:tcW w:w="1701" w:type="dxa"/>
            <w:vAlign w:val="center"/>
          </w:tcPr>
          <w:p>
            <w:pPr>
              <w:jc w:val="center"/>
              <w:rPr>
                <w:sz w:val="24"/>
              </w:rPr>
            </w:pPr>
          </w:p>
        </w:tc>
        <w:tc>
          <w:tcPr>
            <w:tcW w:w="993" w:type="dxa"/>
            <w:vAlign w:val="center"/>
          </w:tcPr>
          <w:p>
            <w:pPr>
              <w:jc w:val="center"/>
              <w:rPr>
                <w:sz w:val="24"/>
              </w:rPr>
            </w:pPr>
          </w:p>
        </w:tc>
        <w:tc>
          <w:tcPr>
            <w:tcW w:w="1275" w:type="dxa"/>
            <w:vAlign w:val="center"/>
          </w:tcPr>
          <w:p>
            <w:pPr>
              <w:jc w:val="center"/>
              <w:rPr>
                <w:sz w:val="24"/>
              </w:rPr>
            </w:pPr>
          </w:p>
        </w:tc>
        <w:tc>
          <w:tcPr>
            <w:tcW w:w="815" w:type="dxa"/>
            <w:vAlign w:val="center"/>
          </w:tcPr>
          <w:p>
            <w:pPr>
              <w:jc w:val="center"/>
              <w:rPr>
                <w:sz w:val="24"/>
              </w:rPr>
            </w:pPr>
          </w:p>
        </w:tc>
        <w:tc>
          <w:tcPr>
            <w:tcW w:w="71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dxa"/>
            <w:vAlign w:val="center"/>
          </w:tcPr>
          <w:p>
            <w:pPr>
              <w:jc w:val="center"/>
              <w:rPr>
                <w:sz w:val="24"/>
              </w:rPr>
            </w:pPr>
            <w:r>
              <w:rPr>
                <w:sz w:val="24"/>
              </w:rPr>
              <w:t>20  年</w:t>
            </w:r>
          </w:p>
        </w:tc>
        <w:tc>
          <w:tcPr>
            <w:tcW w:w="1305" w:type="dxa"/>
            <w:vAlign w:val="center"/>
          </w:tcPr>
          <w:p>
            <w:pPr>
              <w:jc w:val="center"/>
              <w:rPr>
                <w:sz w:val="24"/>
              </w:rPr>
            </w:pPr>
          </w:p>
        </w:tc>
        <w:tc>
          <w:tcPr>
            <w:tcW w:w="723" w:type="dxa"/>
            <w:vAlign w:val="center"/>
          </w:tcPr>
          <w:p>
            <w:pPr>
              <w:jc w:val="center"/>
              <w:rPr>
                <w:sz w:val="24"/>
              </w:rPr>
            </w:pPr>
          </w:p>
        </w:tc>
        <w:tc>
          <w:tcPr>
            <w:tcW w:w="589" w:type="dxa"/>
            <w:vAlign w:val="center"/>
          </w:tcPr>
          <w:p>
            <w:pPr>
              <w:jc w:val="center"/>
              <w:rPr>
                <w:sz w:val="24"/>
              </w:rPr>
            </w:pPr>
          </w:p>
        </w:tc>
        <w:tc>
          <w:tcPr>
            <w:tcW w:w="1701" w:type="dxa"/>
            <w:vAlign w:val="center"/>
          </w:tcPr>
          <w:p>
            <w:pPr>
              <w:jc w:val="center"/>
              <w:rPr>
                <w:sz w:val="24"/>
              </w:rPr>
            </w:pPr>
          </w:p>
        </w:tc>
        <w:tc>
          <w:tcPr>
            <w:tcW w:w="993" w:type="dxa"/>
            <w:vAlign w:val="center"/>
          </w:tcPr>
          <w:p>
            <w:pPr>
              <w:jc w:val="center"/>
              <w:rPr>
                <w:sz w:val="24"/>
              </w:rPr>
            </w:pPr>
          </w:p>
        </w:tc>
        <w:tc>
          <w:tcPr>
            <w:tcW w:w="1275" w:type="dxa"/>
            <w:vAlign w:val="center"/>
          </w:tcPr>
          <w:p>
            <w:pPr>
              <w:jc w:val="center"/>
              <w:rPr>
                <w:sz w:val="24"/>
              </w:rPr>
            </w:pPr>
          </w:p>
        </w:tc>
        <w:tc>
          <w:tcPr>
            <w:tcW w:w="815" w:type="dxa"/>
            <w:vAlign w:val="center"/>
          </w:tcPr>
          <w:p>
            <w:pPr>
              <w:jc w:val="center"/>
              <w:rPr>
                <w:sz w:val="24"/>
              </w:rPr>
            </w:pPr>
          </w:p>
        </w:tc>
        <w:tc>
          <w:tcPr>
            <w:tcW w:w="71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dxa"/>
            <w:vAlign w:val="center"/>
          </w:tcPr>
          <w:p>
            <w:pPr>
              <w:jc w:val="center"/>
              <w:rPr>
                <w:sz w:val="24"/>
              </w:rPr>
            </w:pPr>
          </w:p>
        </w:tc>
        <w:tc>
          <w:tcPr>
            <w:tcW w:w="1305" w:type="dxa"/>
            <w:vAlign w:val="center"/>
          </w:tcPr>
          <w:p>
            <w:pPr>
              <w:jc w:val="center"/>
              <w:rPr>
                <w:sz w:val="24"/>
              </w:rPr>
            </w:pPr>
          </w:p>
        </w:tc>
        <w:tc>
          <w:tcPr>
            <w:tcW w:w="723" w:type="dxa"/>
            <w:vAlign w:val="center"/>
          </w:tcPr>
          <w:p>
            <w:pPr>
              <w:jc w:val="center"/>
              <w:rPr>
                <w:sz w:val="24"/>
              </w:rPr>
            </w:pPr>
          </w:p>
        </w:tc>
        <w:tc>
          <w:tcPr>
            <w:tcW w:w="589" w:type="dxa"/>
            <w:vAlign w:val="center"/>
          </w:tcPr>
          <w:p>
            <w:pPr>
              <w:jc w:val="center"/>
              <w:rPr>
                <w:sz w:val="24"/>
              </w:rPr>
            </w:pPr>
          </w:p>
        </w:tc>
        <w:tc>
          <w:tcPr>
            <w:tcW w:w="1701" w:type="dxa"/>
            <w:vAlign w:val="center"/>
          </w:tcPr>
          <w:p>
            <w:pPr>
              <w:jc w:val="center"/>
              <w:rPr>
                <w:sz w:val="24"/>
              </w:rPr>
            </w:pPr>
          </w:p>
        </w:tc>
        <w:tc>
          <w:tcPr>
            <w:tcW w:w="993" w:type="dxa"/>
            <w:vAlign w:val="center"/>
          </w:tcPr>
          <w:p>
            <w:pPr>
              <w:jc w:val="center"/>
              <w:rPr>
                <w:sz w:val="24"/>
              </w:rPr>
            </w:pPr>
          </w:p>
        </w:tc>
        <w:tc>
          <w:tcPr>
            <w:tcW w:w="1275" w:type="dxa"/>
            <w:vAlign w:val="center"/>
          </w:tcPr>
          <w:p>
            <w:pPr>
              <w:jc w:val="center"/>
              <w:rPr>
                <w:sz w:val="24"/>
              </w:rPr>
            </w:pPr>
          </w:p>
        </w:tc>
        <w:tc>
          <w:tcPr>
            <w:tcW w:w="815" w:type="dxa"/>
            <w:vAlign w:val="center"/>
          </w:tcPr>
          <w:p>
            <w:pPr>
              <w:jc w:val="center"/>
              <w:rPr>
                <w:sz w:val="24"/>
              </w:rPr>
            </w:pPr>
          </w:p>
        </w:tc>
        <w:tc>
          <w:tcPr>
            <w:tcW w:w="71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dxa"/>
            <w:vAlign w:val="center"/>
          </w:tcPr>
          <w:p>
            <w:pPr>
              <w:jc w:val="center"/>
              <w:rPr>
                <w:sz w:val="24"/>
              </w:rPr>
            </w:pPr>
            <w:r>
              <w:rPr>
                <w:sz w:val="24"/>
              </w:rPr>
              <w:t>20  年</w:t>
            </w:r>
          </w:p>
        </w:tc>
        <w:tc>
          <w:tcPr>
            <w:tcW w:w="1305" w:type="dxa"/>
            <w:vAlign w:val="center"/>
          </w:tcPr>
          <w:p>
            <w:pPr>
              <w:jc w:val="center"/>
              <w:rPr>
                <w:sz w:val="24"/>
              </w:rPr>
            </w:pPr>
          </w:p>
        </w:tc>
        <w:tc>
          <w:tcPr>
            <w:tcW w:w="723" w:type="dxa"/>
            <w:vAlign w:val="center"/>
          </w:tcPr>
          <w:p>
            <w:pPr>
              <w:jc w:val="center"/>
              <w:rPr>
                <w:sz w:val="24"/>
              </w:rPr>
            </w:pPr>
          </w:p>
        </w:tc>
        <w:tc>
          <w:tcPr>
            <w:tcW w:w="589" w:type="dxa"/>
            <w:vAlign w:val="center"/>
          </w:tcPr>
          <w:p>
            <w:pPr>
              <w:jc w:val="center"/>
              <w:rPr>
                <w:sz w:val="24"/>
              </w:rPr>
            </w:pPr>
          </w:p>
        </w:tc>
        <w:tc>
          <w:tcPr>
            <w:tcW w:w="1701" w:type="dxa"/>
            <w:vAlign w:val="center"/>
          </w:tcPr>
          <w:p>
            <w:pPr>
              <w:jc w:val="center"/>
              <w:rPr>
                <w:sz w:val="24"/>
              </w:rPr>
            </w:pPr>
          </w:p>
        </w:tc>
        <w:tc>
          <w:tcPr>
            <w:tcW w:w="993" w:type="dxa"/>
            <w:vAlign w:val="center"/>
          </w:tcPr>
          <w:p>
            <w:pPr>
              <w:jc w:val="center"/>
              <w:rPr>
                <w:sz w:val="24"/>
              </w:rPr>
            </w:pPr>
          </w:p>
        </w:tc>
        <w:tc>
          <w:tcPr>
            <w:tcW w:w="1275" w:type="dxa"/>
            <w:vAlign w:val="center"/>
          </w:tcPr>
          <w:p>
            <w:pPr>
              <w:jc w:val="center"/>
              <w:rPr>
                <w:sz w:val="24"/>
              </w:rPr>
            </w:pPr>
          </w:p>
        </w:tc>
        <w:tc>
          <w:tcPr>
            <w:tcW w:w="815" w:type="dxa"/>
            <w:vAlign w:val="center"/>
          </w:tcPr>
          <w:p>
            <w:pPr>
              <w:jc w:val="center"/>
              <w:rPr>
                <w:sz w:val="24"/>
              </w:rPr>
            </w:pPr>
          </w:p>
        </w:tc>
        <w:tc>
          <w:tcPr>
            <w:tcW w:w="711" w:type="dxa"/>
            <w:vAlign w:val="center"/>
          </w:tcPr>
          <w:p>
            <w:pPr>
              <w:jc w:val="center"/>
              <w:rPr>
                <w:sz w:val="24"/>
              </w:rPr>
            </w:pPr>
          </w:p>
        </w:tc>
      </w:tr>
    </w:tbl>
    <w:p>
      <w:pPr>
        <w:autoSpaceDE w:val="0"/>
        <w:autoSpaceDN w:val="0"/>
        <w:ind w:left="700" w:hanging="700" w:hangingChars="332"/>
        <w:rPr>
          <w:sz w:val="24"/>
        </w:rPr>
      </w:pPr>
      <w:r>
        <w:rPr>
          <w:b/>
          <w:szCs w:val="21"/>
        </w:rPr>
        <w:t>注：</w:t>
      </w:r>
    </w:p>
    <w:p>
      <w:pPr>
        <w:numPr>
          <w:ilvl w:val="0"/>
          <w:numId w:val="16"/>
        </w:numPr>
        <w:autoSpaceDE w:val="0"/>
        <w:autoSpaceDN w:val="0"/>
        <w:adjustRightInd w:val="0"/>
        <w:spacing w:line="360" w:lineRule="auto"/>
        <w:rPr>
          <w:szCs w:val="21"/>
        </w:rPr>
      </w:pPr>
      <w:r>
        <w:rPr>
          <w:szCs w:val="21"/>
        </w:rPr>
        <w:t>投标人须提供相应的证明文件（投标人需提供供货合同或中标通知书复印件）</w:t>
      </w:r>
    </w:p>
    <w:p>
      <w:pPr>
        <w:numPr>
          <w:ilvl w:val="0"/>
          <w:numId w:val="16"/>
        </w:numPr>
        <w:autoSpaceDE w:val="0"/>
        <w:autoSpaceDN w:val="0"/>
        <w:adjustRightInd w:val="0"/>
        <w:spacing w:line="360" w:lineRule="auto"/>
        <w:rPr>
          <w:szCs w:val="21"/>
        </w:rPr>
      </w:pPr>
      <w:r>
        <w:rPr>
          <w:szCs w:val="21"/>
        </w:rPr>
        <w:t>正在执行的类似业绩需标明执行状态，投标人需在备注栏填写合同执行的状态，如：设计联络阶段、供货阶段、供货完毕阶段、联调联试阶段等。</w:t>
      </w:r>
    </w:p>
    <w:p>
      <w:pPr>
        <w:spacing w:before="120" w:beforeLines="50" w:line="360" w:lineRule="auto"/>
        <w:ind w:left="-103" w:leftChars="-49" w:firstLine="119" w:firstLineChars="57"/>
      </w:pPr>
      <w:r>
        <w:t>投标人：（公章）</w:t>
      </w:r>
    </w:p>
    <w:p>
      <w:pPr>
        <w:pStyle w:val="34"/>
        <w:spacing w:before="120" w:line="360" w:lineRule="auto"/>
        <w:rPr>
          <w:sz w:val="21"/>
          <w:szCs w:val="21"/>
        </w:rPr>
      </w:pPr>
      <w:r>
        <w:rPr>
          <w:sz w:val="21"/>
          <w:szCs w:val="21"/>
        </w:rPr>
        <w:t>法定代表人或其委托代理人：（签字或加盖人名章）</w:t>
      </w:r>
    </w:p>
    <w:p>
      <w:pPr>
        <w:spacing w:line="360" w:lineRule="auto"/>
        <w:rPr>
          <w:sz w:val="24"/>
        </w:rPr>
      </w:pPr>
      <w:r>
        <w:rPr>
          <w:szCs w:val="21"/>
        </w:rPr>
        <w:t>日期：  年 月  日</w:t>
      </w:r>
    </w:p>
    <w:p>
      <w:pPr>
        <w:spacing w:line="360" w:lineRule="auto"/>
      </w:pPr>
    </w:p>
    <w:p>
      <w:pPr>
        <w:pStyle w:val="2"/>
        <w:spacing w:before="0" w:after="0" w:line="240" w:lineRule="auto"/>
        <w:rPr>
          <w:rFonts w:eastAsia="黑体"/>
          <w:sz w:val="28"/>
          <w:szCs w:val="28"/>
        </w:rPr>
        <w:sectPr>
          <w:footerReference r:id="rId8" w:type="default"/>
          <w:pgSz w:w="11906" w:h="16838"/>
          <w:pgMar w:top="1440" w:right="1440" w:bottom="1440" w:left="1797" w:header="851" w:footer="992" w:gutter="0"/>
          <w:pgNumType w:fmt="decimal"/>
          <w:cols w:space="425" w:num="1"/>
          <w:docGrid w:linePitch="312" w:charSpace="0"/>
        </w:sectPr>
      </w:pPr>
    </w:p>
    <w:p>
      <w:pPr>
        <w:pStyle w:val="2"/>
        <w:spacing w:before="0" w:after="0" w:line="240" w:lineRule="auto"/>
      </w:pPr>
      <w:bookmarkStart w:id="347" w:name="_Toc103677761"/>
      <w:bookmarkStart w:id="348" w:name="_Toc22489"/>
      <w:r>
        <w:rPr>
          <w:rFonts w:hint="eastAsia" w:eastAsia="黑体"/>
          <w:sz w:val="28"/>
          <w:szCs w:val="28"/>
        </w:rPr>
        <w:t>六、</w:t>
      </w:r>
      <w:r>
        <w:rPr>
          <w:rFonts w:eastAsia="黑体"/>
          <w:sz w:val="28"/>
          <w:szCs w:val="28"/>
        </w:rPr>
        <w:t>商务偏差表</w:t>
      </w:r>
      <w:bookmarkEnd w:id="347"/>
      <w:bookmarkEnd w:id="348"/>
      <w:r>
        <w:rPr>
          <w:szCs w:val="21"/>
        </w:rPr>
        <w:t xml:space="preserve">       </w:t>
      </w:r>
    </w:p>
    <w:tbl>
      <w:tblPr>
        <w:tblStyle w:val="41"/>
        <w:tblW w:w="8848" w:type="dxa"/>
        <w:tblInd w:w="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920"/>
        <w:gridCol w:w="2160"/>
        <w:gridCol w:w="1800"/>
        <w:gridCol w:w="1742"/>
        <w:gridCol w:w="598"/>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vAlign w:val="center"/>
          </w:tcPr>
          <w:p>
            <w:pPr>
              <w:jc w:val="center"/>
              <w:rPr>
                <w:szCs w:val="21"/>
              </w:rPr>
            </w:pPr>
            <w:r>
              <w:rPr>
                <w:szCs w:val="21"/>
              </w:rPr>
              <w:t>序号</w:t>
            </w:r>
          </w:p>
        </w:tc>
        <w:tc>
          <w:tcPr>
            <w:tcW w:w="1920" w:type="dxa"/>
            <w:vAlign w:val="center"/>
          </w:tcPr>
          <w:p>
            <w:pPr>
              <w:jc w:val="center"/>
              <w:rPr>
                <w:szCs w:val="21"/>
              </w:rPr>
            </w:pPr>
            <w:r>
              <w:rPr>
                <w:szCs w:val="21"/>
              </w:rPr>
              <w:t>招标文件条目号</w:t>
            </w:r>
          </w:p>
        </w:tc>
        <w:tc>
          <w:tcPr>
            <w:tcW w:w="2160" w:type="dxa"/>
            <w:vAlign w:val="center"/>
          </w:tcPr>
          <w:p>
            <w:pPr>
              <w:jc w:val="center"/>
              <w:rPr>
                <w:szCs w:val="21"/>
              </w:rPr>
            </w:pPr>
            <w:r>
              <w:rPr>
                <w:szCs w:val="21"/>
              </w:rPr>
              <w:t>招标文件的规定</w:t>
            </w:r>
          </w:p>
          <w:p>
            <w:pPr>
              <w:jc w:val="center"/>
              <w:rPr>
                <w:szCs w:val="21"/>
              </w:rPr>
            </w:pPr>
            <w:r>
              <w:rPr>
                <w:szCs w:val="21"/>
              </w:rPr>
              <w:t>和要求</w:t>
            </w:r>
          </w:p>
        </w:tc>
        <w:tc>
          <w:tcPr>
            <w:tcW w:w="1800" w:type="dxa"/>
            <w:vAlign w:val="center"/>
          </w:tcPr>
          <w:p>
            <w:pPr>
              <w:jc w:val="center"/>
              <w:rPr>
                <w:szCs w:val="21"/>
              </w:rPr>
            </w:pPr>
            <w:r>
              <w:rPr>
                <w:szCs w:val="21"/>
              </w:rPr>
              <w:t>投标文件的响应</w:t>
            </w:r>
          </w:p>
        </w:tc>
        <w:tc>
          <w:tcPr>
            <w:tcW w:w="1742" w:type="dxa"/>
            <w:vAlign w:val="center"/>
          </w:tcPr>
          <w:p>
            <w:pPr>
              <w:jc w:val="center"/>
              <w:rPr>
                <w:szCs w:val="21"/>
              </w:rPr>
            </w:pPr>
            <w:r>
              <w:rPr>
                <w:szCs w:val="21"/>
              </w:rPr>
              <w:t>偏差</w:t>
            </w:r>
          </w:p>
        </w:tc>
        <w:tc>
          <w:tcPr>
            <w:tcW w:w="598" w:type="dxa"/>
            <w:vAlign w:val="center"/>
          </w:tcPr>
          <w:p>
            <w:pPr>
              <w:jc w:val="center"/>
              <w:rPr>
                <w:szCs w:val="21"/>
              </w:rPr>
            </w:pPr>
            <w:r>
              <w:rPr>
                <w:szCs w:val="21"/>
              </w:rPr>
              <w:t>说明</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24" w:hRule="atLeast"/>
        </w:trPr>
        <w:tc>
          <w:tcPr>
            <w:tcW w:w="628" w:type="dxa"/>
            <w:vAlign w:val="center"/>
          </w:tcPr>
          <w:p>
            <w:pPr>
              <w:rPr>
                <w:szCs w:val="21"/>
              </w:rPr>
            </w:pPr>
          </w:p>
        </w:tc>
        <w:tc>
          <w:tcPr>
            <w:tcW w:w="1920" w:type="dxa"/>
            <w:vAlign w:val="center"/>
          </w:tcPr>
          <w:p>
            <w:pPr>
              <w:rPr>
                <w:szCs w:val="21"/>
              </w:rPr>
            </w:pPr>
          </w:p>
        </w:tc>
        <w:tc>
          <w:tcPr>
            <w:tcW w:w="2160" w:type="dxa"/>
            <w:vAlign w:val="center"/>
          </w:tcPr>
          <w:p>
            <w:pPr>
              <w:rPr>
                <w:szCs w:val="21"/>
              </w:rPr>
            </w:pPr>
          </w:p>
        </w:tc>
        <w:tc>
          <w:tcPr>
            <w:tcW w:w="1800" w:type="dxa"/>
            <w:vAlign w:val="center"/>
          </w:tcPr>
          <w:p>
            <w:pPr>
              <w:rPr>
                <w:szCs w:val="21"/>
              </w:rPr>
            </w:pPr>
          </w:p>
        </w:tc>
        <w:tc>
          <w:tcPr>
            <w:tcW w:w="1742" w:type="dxa"/>
            <w:vAlign w:val="center"/>
          </w:tcPr>
          <w:p>
            <w:pPr>
              <w:jc w:val="center"/>
              <w:rPr>
                <w:i/>
                <w:iCs/>
                <w:szCs w:val="21"/>
              </w:rPr>
            </w:pPr>
            <w:r>
              <w:rPr>
                <w:szCs w:val="21"/>
              </w:rPr>
              <w:t>无偏离，完全响应</w:t>
            </w:r>
          </w:p>
        </w:tc>
        <w:tc>
          <w:tcPr>
            <w:tcW w:w="598"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24" w:hRule="atLeast"/>
        </w:trPr>
        <w:tc>
          <w:tcPr>
            <w:tcW w:w="628" w:type="dxa"/>
            <w:vAlign w:val="center"/>
          </w:tcPr>
          <w:p>
            <w:pPr>
              <w:rPr>
                <w:szCs w:val="21"/>
              </w:rPr>
            </w:pPr>
          </w:p>
        </w:tc>
        <w:tc>
          <w:tcPr>
            <w:tcW w:w="1920" w:type="dxa"/>
            <w:vAlign w:val="center"/>
          </w:tcPr>
          <w:p>
            <w:pPr>
              <w:rPr>
                <w:szCs w:val="21"/>
              </w:rPr>
            </w:pPr>
          </w:p>
        </w:tc>
        <w:tc>
          <w:tcPr>
            <w:tcW w:w="2160" w:type="dxa"/>
            <w:vAlign w:val="center"/>
          </w:tcPr>
          <w:p>
            <w:pPr>
              <w:rPr>
                <w:szCs w:val="21"/>
              </w:rPr>
            </w:pPr>
          </w:p>
        </w:tc>
        <w:tc>
          <w:tcPr>
            <w:tcW w:w="1800" w:type="dxa"/>
            <w:vAlign w:val="center"/>
          </w:tcPr>
          <w:p>
            <w:pPr>
              <w:rPr>
                <w:szCs w:val="21"/>
              </w:rPr>
            </w:pPr>
          </w:p>
        </w:tc>
        <w:tc>
          <w:tcPr>
            <w:tcW w:w="1742" w:type="dxa"/>
            <w:vAlign w:val="center"/>
          </w:tcPr>
          <w:p>
            <w:pPr>
              <w:jc w:val="center"/>
              <w:rPr>
                <w:szCs w:val="21"/>
              </w:rPr>
            </w:pPr>
            <w:r>
              <w:rPr>
                <w:szCs w:val="21"/>
              </w:rPr>
              <w:t>无偏离，完全响应</w:t>
            </w:r>
          </w:p>
        </w:tc>
        <w:tc>
          <w:tcPr>
            <w:tcW w:w="598"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24" w:hRule="atLeast"/>
        </w:trPr>
        <w:tc>
          <w:tcPr>
            <w:tcW w:w="628" w:type="dxa"/>
            <w:vAlign w:val="center"/>
          </w:tcPr>
          <w:p>
            <w:pPr>
              <w:rPr>
                <w:szCs w:val="21"/>
              </w:rPr>
            </w:pPr>
          </w:p>
        </w:tc>
        <w:tc>
          <w:tcPr>
            <w:tcW w:w="1920" w:type="dxa"/>
            <w:vAlign w:val="center"/>
          </w:tcPr>
          <w:p>
            <w:pPr>
              <w:rPr>
                <w:szCs w:val="21"/>
              </w:rPr>
            </w:pPr>
          </w:p>
        </w:tc>
        <w:tc>
          <w:tcPr>
            <w:tcW w:w="2160" w:type="dxa"/>
            <w:vAlign w:val="center"/>
          </w:tcPr>
          <w:p>
            <w:pPr>
              <w:rPr>
                <w:szCs w:val="21"/>
              </w:rPr>
            </w:pPr>
          </w:p>
        </w:tc>
        <w:tc>
          <w:tcPr>
            <w:tcW w:w="1800" w:type="dxa"/>
            <w:vAlign w:val="center"/>
          </w:tcPr>
          <w:p>
            <w:pPr>
              <w:rPr>
                <w:szCs w:val="21"/>
              </w:rPr>
            </w:pPr>
          </w:p>
        </w:tc>
        <w:tc>
          <w:tcPr>
            <w:tcW w:w="1742" w:type="dxa"/>
            <w:vAlign w:val="center"/>
          </w:tcPr>
          <w:p>
            <w:pPr>
              <w:jc w:val="center"/>
              <w:rPr>
                <w:szCs w:val="21"/>
              </w:rPr>
            </w:pPr>
            <w:r>
              <w:rPr>
                <w:szCs w:val="21"/>
              </w:rPr>
              <w:t>无偏离，完全响应</w:t>
            </w:r>
          </w:p>
        </w:tc>
        <w:tc>
          <w:tcPr>
            <w:tcW w:w="598"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24" w:hRule="atLeast"/>
        </w:trPr>
        <w:tc>
          <w:tcPr>
            <w:tcW w:w="628" w:type="dxa"/>
            <w:vAlign w:val="center"/>
          </w:tcPr>
          <w:p>
            <w:pPr>
              <w:rPr>
                <w:szCs w:val="21"/>
              </w:rPr>
            </w:pPr>
          </w:p>
        </w:tc>
        <w:tc>
          <w:tcPr>
            <w:tcW w:w="1920" w:type="dxa"/>
            <w:vAlign w:val="center"/>
          </w:tcPr>
          <w:p>
            <w:pPr>
              <w:rPr>
                <w:szCs w:val="21"/>
              </w:rPr>
            </w:pPr>
          </w:p>
        </w:tc>
        <w:tc>
          <w:tcPr>
            <w:tcW w:w="2160" w:type="dxa"/>
            <w:vAlign w:val="center"/>
          </w:tcPr>
          <w:p>
            <w:pPr>
              <w:rPr>
                <w:szCs w:val="21"/>
              </w:rPr>
            </w:pPr>
          </w:p>
        </w:tc>
        <w:tc>
          <w:tcPr>
            <w:tcW w:w="1800" w:type="dxa"/>
            <w:vAlign w:val="center"/>
          </w:tcPr>
          <w:p>
            <w:pPr>
              <w:rPr>
                <w:szCs w:val="21"/>
              </w:rPr>
            </w:pPr>
          </w:p>
        </w:tc>
        <w:tc>
          <w:tcPr>
            <w:tcW w:w="1742" w:type="dxa"/>
            <w:vAlign w:val="center"/>
          </w:tcPr>
          <w:p>
            <w:pPr>
              <w:jc w:val="center"/>
              <w:rPr>
                <w:szCs w:val="21"/>
              </w:rPr>
            </w:pPr>
          </w:p>
        </w:tc>
        <w:tc>
          <w:tcPr>
            <w:tcW w:w="598"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24" w:hRule="atLeast"/>
        </w:trPr>
        <w:tc>
          <w:tcPr>
            <w:tcW w:w="628" w:type="dxa"/>
            <w:vAlign w:val="center"/>
          </w:tcPr>
          <w:p>
            <w:pPr>
              <w:rPr>
                <w:szCs w:val="21"/>
              </w:rPr>
            </w:pPr>
          </w:p>
        </w:tc>
        <w:tc>
          <w:tcPr>
            <w:tcW w:w="1920" w:type="dxa"/>
            <w:vAlign w:val="center"/>
          </w:tcPr>
          <w:p>
            <w:pPr>
              <w:rPr>
                <w:szCs w:val="21"/>
              </w:rPr>
            </w:pPr>
          </w:p>
        </w:tc>
        <w:tc>
          <w:tcPr>
            <w:tcW w:w="2160" w:type="dxa"/>
            <w:vAlign w:val="center"/>
          </w:tcPr>
          <w:p>
            <w:pPr>
              <w:rPr>
                <w:szCs w:val="21"/>
              </w:rPr>
            </w:pPr>
          </w:p>
        </w:tc>
        <w:tc>
          <w:tcPr>
            <w:tcW w:w="1800" w:type="dxa"/>
            <w:vAlign w:val="center"/>
          </w:tcPr>
          <w:p>
            <w:pPr>
              <w:rPr>
                <w:szCs w:val="21"/>
              </w:rPr>
            </w:pPr>
          </w:p>
        </w:tc>
        <w:tc>
          <w:tcPr>
            <w:tcW w:w="1742" w:type="dxa"/>
            <w:vAlign w:val="center"/>
          </w:tcPr>
          <w:p>
            <w:pPr>
              <w:jc w:val="center"/>
              <w:rPr>
                <w:szCs w:val="21"/>
              </w:rPr>
            </w:pPr>
          </w:p>
        </w:tc>
        <w:tc>
          <w:tcPr>
            <w:tcW w:w="598"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24" w:hRule="atLeast"/>
        </w:trPr>
        <w:tc>
          <w:tcPr>
            <w:tcW w:w="628" w:type="dxa"/>
            <w:vAlign w:val="center"/>
          </w:tcPr>
          <w:p>
            <w:pPr>
              <w:rPr>
                <w:szCs w:val="21"/>
              </w:rPr>
            </w:pPr>
          </w:p>
        </w:tc>
        <w:tc>
          <w:tcPr>
            <w:tcW w:w="1920" w:type="dxa"/>
            <w:vAlign w:val="center"/>
          </w:tcPr>
          <w:p>
            <w:pPr>
              <w:rPr>
                <w:szCs w:val="21"/>
              </w:rPr>
            </w:pPr>
          </w:p>
        </w:tc>
        <w:tc>
          <w:tcPr>
            <w:tcW w:w="2160" w:type="dxa"/>
            <w:vAlign w:val="center"/>
          </w:tcPr>
          <w:p>
            <w:pPr>
              <w:rPr>
                <w:szCs w:val="21"/>
              </w:rPr>
            </w:pPr>
          </w:p>
        </w:tc>
        <w:tc>
          <w:tcPr>
            <w:tcW w:w="1800" w:type="dxa"/>
            <w:vAlign w:val="center"/>
          </w:tcPr>
          <w:p>
            <w:pPr>
              <w:rPr>
                <w:szCs w:val="21"/>
              </w:rPr>
            </w:pPr>
          </w:p>
        </w:tc>
        <w:tc>
          <w:tcPr>
            <w:tcW w:w="1742" w:type="dxa"/>
            <w:vAlign w:val="center"/>
          </w:tcPr>
          <w:p>
            <w:pPr>
              <w:jc w:val="center"/>
              <w:rPr>
                <w:szCs w:val="21"/>
              </w:rPr>
            </w:pPr>
          </w:p>
        </w:tc>
        <w:tc>
          <w:tcPr>
            <w:tcW w:w="598"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24" w:hRule="atLeast"/>
        </w:trPr>
        <w:tc>
          <w:tcPr>
            <w:tcW w:w="628" w:type="dxa"/>
            <w:vAlign w:val="center"/>
          </w:tcPr>
          <w:p>
            <w:pPr>
              <w:rPr>
                <w:szCs w:val="21"/>
              </w:rPr>
            </w:pPr>
          </w:p>
        </w:tc>
        <w:tc>
          <w:tcPr>
            <w:tcW w:w="1920" w:type="dxa"/>
            <w:vAlign w:val="center"/>
          </w:tcPr>
          <w:p>
            <w:pPr>
              <w:rPr>
                <w:szCs w:val="21"/>
              </w:rPr>
            </w:pPr>
          </w:p>
        </w:tc>
        <w:tc>
          <w:tcPr>
            <w:tcW w:w="2160" w:type="dxa"/>
            <w:vAlign w:val="center"/>
          </w:tcPr>
          <w:p>
            <w:pPr>
              <w:rPr>
                <w:szCs w:val="21"/>
              </w:rPr>
            </w:pPr>
          </w:p>
        </w:tc>
        <w:tc>
          <w:tcPr>
            <w:tcW w:w="1800" w:type="dxa"/>
            <w:vAlign w:val="center"/>
          </w:tcPr>
          <w:p>
            <w:pPr>
              <w:rPr>
                <w:szCs w:val="21"/>
              </w:rPr>
            </w:pPr>
          </w:p>
        </w:tc>
        <w:tc>
          <w:tcPr>
            <w:tcW w:w="1742" w:type="dxa"/>
            <w:vAlign w:val="center"/>
          </w:tcPr>
          <w:p>
            <w:pPr>
              <w:jc w:val="center"/>
              <w:rPr>
                <w:szCs w:val="21"/>
              </w:rPr>
            </w:pPr>
          </w:p>
        </w:tc>
        <w:tc>
          <w:tcPr>
            <w:tcW w:w="598" w:type="dxa"/>
            <w:vAlign w:val="center"/>
          </w:tcPr>
          <w:p>
            <w:pPr>
              <w:rPr>
                <w:szCs w:val="21"/>
              </w:rPr>
            </w:pPr>
          </w:p>
        </w:tc>
      </w:tr>
    </w:tbl>
    <w:p>
      <w:pPr>
        <w:spacing w:after="240"/>
        <w:ind w:hanging="119"/>
      </w:pPr>
    </w:p>
    <w:p>
      <w:pPr>
        <w:spacing w:before="120" w:beforeLines="50" w:line="440" w:lineRule="exact"/>
        <w:ind w:left="-103" w:leftChars="-49" w:firstLine="15"/>
      </w:pPr>
      <w:r>
        <w:t>投标人：（公章）</w:t>
      </w:r>
    </w:p>
    <w:p>
      <w:pPr>
        <w:spacing w:before="120" w:beforeLines="50" w:line="440" w:lineRule="exact"/>
        <w:ind w:left="-103" w:leftChars="-49"/>
      </w:pPr>
      <w:r>
        <w:t>法定代表人或其</w:t>
      </w:r>
      <w:r>
        <w:rPr>
          <w:szCs w:val="21"/>
        </w:rPr>
        <w:t>委托代理人</w:t>
      </w:r>
      <w:r>
        <w:t>：（签字或加盖人名章）</w:t>
      </w:r>
    </w:p>
    <w:p>
      <w:pPr>
        <w:spacing w:before="120" w:beforeLines="50" w:line="440" w:lineRule="exact"/>
        <w:ind w:left="-103" w:leftChars="-49"/>
      </w:pPr>
      <w:r>
        <w:t>日期：</w:t>
      </w:r>
    </w:p>
    <w:p/>
    <w:p>
      <w:pPr>
        <w:snapToGrid w:val="0"/>
        <w:spacing w:after="120" w:afterLines="50" w:line="360" w:lineRule="auto"/>
        <w:ind w:left="426" w:hanging="426" w:hangingChars="203"/>
        <w:jc w:val="left"/>
      </w:pPr>
      <w:r>
        <w:t>注：商务条款主要包括报价要求、售后服务、保密要求（如有）、交货时间、地点与方式、付款及结算方式等。</w:t>
      </w:r>
      <w:bookmarkStart w:id="349" w:name="_Toc29772"/>
      <w:bookmarkStart w:id="350" w:name="_Toc18481"/>
    </w:p>
    <w:p/>
    <w:p/>
    <w:p/>
    <w:p/>
    <w:p/>
    <w:p>
      <w:pPr>
        <w:spacing w:line="360" w:lineRule="auto"/>
        <w:outlineLvl w:val="1"/>
        <w:sectPr>
          <w:pgSz w:w="11906" w:h="16838"/>
          <w:pgMar w:top="1440" w:right="1440" w:bottom="1440" w:left="1797" w:header="851" w:footer="992" w:gutter="0"/>
          <w:pgNumType w:fmt="decimal"/>
          <w:cols w:space="425" w:num="1"/>
          <w:docGrid w:linePitch="312" w:charSpace="0"/>
        </w:sectPr>
      </w:pPr>
      <w:r>
        <w:rPr>
          <w:b/>
          <w:sz w:val="24"/>
        </w:rPr>
        <w:br w:type="page"/>
      </w:r>
      <w:bookmarkEnd w:id="349"/>
      <w:bookmarkEnd w:id="350"/>
    </w:p>
    <w:p>
      <w:pPr>
        <w:pStyle w:val="2"/>
        <w:spacing w:before="0" w:after="0" w:line="240" w:lineRule="auto"/>
        <w:rPr>
          <w:rFonts w:eastAsia="黑体"/>
          <w:sz w:val="28"/>
          <w:szCs w:val="28"/>
        </w:rPr>
      </w:pPr>
      <w:bookmarkStart w:id="351" w:name="_Toc103677762"/>
      <w:bookmarkStart w:id="352" w:name="_Toc21288"/>
      <w:bookmarkStart w:id="353" w:name="_Hlk99310377"/>
      <w:r>
        <w:rPr>
          <w:rFonts w:hint="eastAsia" w:eastAsia="黑体"/>
          <w:sz w:val="28"/>
          <w:szCs w:val="28"/>
        </w:rPr>
        <w:t>七、</w:t>
      </w:r>
      <w:r>
        <w:rPr>
          <w:rFonts w:eastAsia="黑体"/>
          <w:sz w:val="28"/>
          <w:szCs w:val="28"/>
        </w:rPr>
        <w:t>投标人基本情况表</w:t>
      </w:r>
      <w:bookmarkEnd w:id="351"/>
      <w:bookmarkEnd w:id="352"/>
    </w:p>
    <w:tbl>
      <w:tblPr>
        <w:tblStyle w:val="41"/>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1"/>
        <w:gridCol w:w="963"/>
        <w:gridCol w:w="2284"/>
        <w:gridCol w:w="1078"/>
        <w:gridCol w:w="2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投标人名称</w:t>
            </w:r>
          </w:p>
        </w:tc>
        <w:tc>
          <w:tcPr>
            <w:tcW w:w="685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t>统一社会信用代码</w:t>
            </w:r>
          </w:p>
        </w:tc>
        <w:tc>
          <w:tcPr>
            <w:tcW w:w="324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 w:val="24"/>
              </w:rPr>
              <w:t>类型</w:t>
            </w:r>
          </w:p>
        </w:tc>
        <w:tc>
          <w:tcPr>
            <w:tcW w:w="2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注册资金</w:t>
            </w:r>
          </w:p>
        </w:tc>
        <w:tc>
          <w:tcPr>
            <w:tcW w:w="324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成立时间</w:t>
            </w:r>
          </w:p>
        </w:tc>
        <w:tc>
          <w:tcPr>
            <w:tcW w:w="2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注册地址</w:t>
            </w:r>
          </w:p>
        </w:tc>
        <w:tc>
          <w:tcPr>
            <w:tcW w:w="324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邮政编码</w:t>
            </w:r>
          </w:p>
        </w:tc>
        <w:tc>
          <w:tcPr>
            <w:tcW w:w="2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01"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联系方式</w:t>
            </w:r>
          </w:p>
        </w:tc>
        <w:tc>
          <w:tcPr>
            <w:tcW w:w="96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联系人</w:t>
            </w:r>
          </w:p>
        </w:tc>
        <w:tc>
          <w:tcPr>
            <w:tcW w:w="22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 话</w:t>
            </w:r>
          </w:p>
        </w:tc>
        <w:tc>
          <w:tcPr>
            <w:tcW w:w="2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0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96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传  真</w:t>
            </w:r>
          </w:p>
        </w:tc>
        <w:tc>
          <w:tcPr>
            <w:tcW w:w="22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邮 箱</w:t>
            </w:r>
          </w:p>
        </w:tc>
        <w:tc>
          <w:tcPr>
            <w:tcW w:w="2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法定代表人</w:t>
            </w:r>
          </w:p>
          <w:p>
            <w:pPr>
              <w:topLinePunct/>
              <w:spacing w:line="440" w:lineRule="exact"/>
              <w:jc w:val="center"/>
              <w:rPr>
                <w:szCs w:val="21"/>
              </w:rPr>
            </w:pPr>
            <w:r>
              <w:rPr>
                <w:szCs w:val="21"/>
              </w:rPr>
              <w:t>（或负责人）</w:t>
            </w:r>
          </w:p>
        </w:tc>
        <w:tc>
          <w:tcPr>
            <w:tcW w:w="96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22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25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投标人须知要求投标人需具有的各类资质证书</w:t>
            </w:r>
          </w:p>
        </w:tc>
        <w:tc>
          <w:tcPr>
            <w:tcW w:w="685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szCs w:val="21"/>
              </w:rPr>
            </w:pPr>
            <w:r>
              <w:rPr>
                <w:szCs w:val="21"/>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基本账户开户银行</w:t>
            </w:r>
          </w:p>
        </w:tc>
        <w:tc>
          <w:tcPr>
            <w:tcW w:w="685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基本账户银行账号</w:t>
            </w:r>
          </w:p>
        </w:tc>
        <w:tc>
          <w:tcPr>
            <w:tcW w:w="685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left"/>
              <w:rPr>
                <w:szCs w:val="21"/>
              </w:rPr>
            </w:pPr>
            <w:r>
              <w:rPr>
                <w:szCs w:val="21"/>
              </w:rPr>
              <w:t>投标人关联企业情况（包括但不限于与投标人法定代表人（单位负责人）为同一人或者存在控股、管理关系的不同单位）</w:t>
            </w:r>
          </w:p>
        </w:tc>
        <w:tc>
          <w:tcPr>
            <w:tcW w:w="685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备注</w:t>
            </w:r>
          </w:p>
        </w:tc>
        <w:tc>
          <w:tcPr>
            <w:tcW w:w="685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bl>
    <w:p>
      <w:pPr>
        <w:spacing w:line="440" w:lineRule="exact"/>
        <w:ind w:firstLine="420" w:firstLineChars="200"/>
      </w:pPr>
      <w:r>
        <w:t>兹声明上述信息是真实、正确的，并提供了全部能提供的资料和数据；如我方提供的证明材料有虚假情况，愿承担相应后果。</w:t>
      </w:r>
    </w:p>
    <w:p>
      <w:pPr>
        <w:spacing w:before="120" w:beforeLines="50" w:line="440" w:lineRule="exact"/>
        <w:ind w:left="-103" w:leftChars="-49" w:firstLine="539" w:firstLineChars="257"/>
      </w:pPr>
      <w:r>
        <w:t>投标人：（公章）</w:t>
      </w:r>
    </w:p>
    <w:p>
      <w:pPr>
        <w:spacing w:before="120" w:beforeLines="50" w:line="440" w:lineRule="exact"/>
        <w:ind w:left="460" w:leftChars="219"/>
      </w:pPr>
      <w:r>
        <w:t>法定代表人或其</w:t>
      </w:r>
      <w:r>
        <w:rPr>
          <w:szCs w:val="21"/>
        </w:rPr>
        <w:t>委托代理人</w:t>
      </w:r>
      <w:r>
        <w:t>：（签字或加盖人名章）</w:t>
      </w:r>
    </w:p>
    <w:p>
      <w:pPr>
        <w:ind w:firstLine="420" w:firstLineChars="200"/>
      </w:pPr>
      <w:r>
        <w:t>日期：</w:t>
      </w:r>
    </w:p>
    <w:bookmarkEnd w:id="353"/>
    <w:p>
      <w:pPr>
        <w:pStyle w:val="2"/>
        <w:spacing w:before="0" w:after="0" w:line="240" w:lineRule="auto"/>
        <w:rPr>
          <w:rFonts w:eastAsia="黑体"/>
          <w:sz w:val="28"/>
          <w:szCs w:val="28"/>
        </w:rPr>
      </w:pPr>
      <w:bookmarkStart w:id="354" w:name="_Toc103677764"/>
      <w:bookmarkStart w:id="355" w:name="_Toc8458"/>
      <w:bookmarkStart w:id="356" w:name="_Hlk99310416"/>
      <w:r>
        <w:rPr>
          <w:rFonts w:hint="eastAsia" w:eastAsia="黑体"/>
          <w:sz w:val="28"/>
          <w:szCs w:val="28"/>
        </w:rPr>
        <w:t>八、</w:t>
      </w:r>
      <w:r>
        <w:rPr>
          <w:rFonts w:eastAsia="黑体"/>
          <w:sz w:val="28"/>
          <w:szCs w:val="28"/>
        </w:rPr>
        <w:t>投标承诺书</w:t>
      </w:r>
      <w:bookmarkEnd w:id="354"/>
      <w:bookmarkEnd w:id="355"/>
    </w:p>
    <w:p>
      <w:pPr>
        <w:jc w:val="center"/>
        <w:rPr>
          <w:rFonts w:eastAsia="黑体"/>
          <w:sz w:val="32"/>
          <w:szCs w:val="32"/>
        </w:rPr>
      </w:pPr>
      <w:r>
        <w:rPr>
          <w:rFonts w:eastAsia="黑体"/>
          <w:sz w:val="32"/>
          <w:szCs w:val="32"/>
        </w:rPr>
        <w:t>投标承诺书</w:t>
      </w:r>
    </w:p>
    <w:p>
      <w:pPr>
        <w:spacing w:line="360" w:lineRule="auto"/>
        <w:rPr>
          <w:sz w:val="24"/>
        </w:rPr>
      </w:pPr>
      <w:r>
        <w:rPr>
          <w:sz w:val="24"/>
        </w:rPr>
        <w:t>致：</w:t>
      </w:r>
      <w:r>
        <w:rPr>
          <w:sz w:val="24"/>
          <w:u w:val="single"/>
        </w:rPr>
        <w:t>新疆维吾尔自治区人民医院</w:t>
      </w:r>
    </w:p>
    <w:p>
      <w:pPr>
        <w:spacing w:line="360" w:lineRule="auto"/>
        <w:ind w:firstLine="480" w:firstLineChars="200"/>
        <w:rPr>
          <w:sz w:val="24"/>
        </w:rPr>
      </w:pPr>
      <w:r>
        <w:rPr>
          <w:sz w:val="24"/>
        </w:rPr>
        <w:t>我方在此声明，我方以下事项进行承诺：</w:t>
      </w:r>
    </w:p>
    <w:p>
      <w:pPr>
        <w:spacing w:line="360" w:lineRule="auto"/>
        <w:ind w:firstLine="480" w:firstLineChars="200"/>
        <w:rPr>
          <w:sz w:val="24"/>
        </w:rPr>
      </w:pPr>
      <w:r>
        <w:rPr>
          <w:sz w:val="24"/>
        </w:rPr>
        <w:t>（1） 在本次投标中我方无与其他投标人相互串通投标，或与采购人串通投标的行为；</w:t>
      </w:r>
    </w:p>
    <w:p>
      <w:pPr>
        <w:spacing w:line="360" w:lineRule="auto"/>
        <w:ind w:firstLine="480" w:firstLineChars="200"/>
        <w:rPr>
          <w:sz w:val="24"/>
        </w:rPr>
      </w:pPr>
      <w:r>
        <w:rPr>
          <w:sz w:val="24"/>
        </w:rPr>
        <w:t>（2） 在本次投标中我方无向采购人或评标委员会成员行贿的手段谋取中标的行为；</w:t>
      </w:r>
    </w:p>
    <w:p>
      <w:pPr>
        <w:spacing w:line="360" w:lineRule="auto"/>
        <w:ind w:firstLine="480" w:firstLineChars="200"/>
        <w:rPr>
          <w:sz w:val="24"/>
        </w:rPr>
      </w:pPr>
      <w:r>
        <w:rPr>
          <w:sz w:val="24"/>
        </w:rPr>
        <w:t>（3） 在本次投标中我方无出借或借用资质行为、在投标文件中所附资料（业绩、项目负责人资料等）无弄虚作假；</w:t>
      </w:r>
    </w:p>
    <w:p>
      <w:pPr>
        <w:spacing w:line="360" w:lineRule="auto"/>
        <w:ind w:firstLine="480" w:firstLineChars="200"/>
        <w:rPr>
          <w:sz w:val="24"/>
        </w:rPr>
      </w:pPr>
      <w:r>
        <w:rPr>
          <w:sz w:val="24"/>
        </w:rPr>
        <w:t>（4） 我方没有处于被责令停产、停业、投标资格被取消状态；</w:t>
      </w:r>
    </w:p>
    <w:p>
      <w:pPr>
        <w:spacing w:line="360" w:lineRule="auto"/>
        <w:ind w:firstLine="480" w:firstLineChars="200"/>
        <w:rPr>
          <w:sz w:val="24"/>
        </w:rPr>
      </w:pPr>
      <w:r>
        <w:rPr>
          <w:sz w:val="24"/>
        </w:rPr>
        <w:t>（5）我方不采用非法手段获取证据进行质疑、投诉，在质疑、投诉过程中不提供虚假情况或进行恶意质疑、投诉。</w:t>
      </w:r>
    </w:p>
    <w:p>
      <w:pPr>
        <w:spacing w:line="360" w:lineRule="auto"/>
        <w:ind w:firstLine="480" w:firstLineChars="200"/>
        <w:rPr>
          <w:sz w:val="24"/>
        </w:rPr>
      </w:pPr>
      <w:r>
        <w:rPr>
          <w:sz w:val="24"/>
        </w:rPr>
        <w:t>上述承诺内容如有不实，我方愿意承担由此造成的一切法律责任，并承诺以投标保证金赔偿给采购人造成的损失。</w:t>
      </w:r>
    </w:p>
    <w:p>
      <w:pPr>
        <w:spacing w:line="360" w:lineRule="auto"/>
        <w:ind w:firstLine="480" w:firstLineChars="200"/>
        <w:rPr>
          <w:sz w:val="24"/>
        </w:rPr>
      </w:pPr>
      <w:r>
        <w:rPr>
          <w:sz w:val="24"/>
        </w:rPr>
        <w:t>特此承诺</w:t>
      </w:r>
    </w:p>
    <w:p>
      <w:pPr>
        <w:spacing w:line="360" w:lineRule="auto"/>
        <w:ind w:firstLine="480" w:firstLineChars="200"/>
        <w:rPr>
          <w:sz w:val="24"/>
        </w:rPr>
      </w:pPr>
    </w:p>
    <w:p>
      <w:pPr>
        <w:spacing w:line="360" w:lineRule="auto"/>
        <w:ind w:firstLine="480" w:firstLineChars="200"/>
        <w:rPr>
          <w:sz w:val="24"/>
        </w:rPr>
      </w:pPr>
      <w:r>
        <w:rPr>
          <w:sz w:val="24"/>
        </w:rPr>
        <w:t xml:space="preserve">投标人名称（公章）： </w:t>
      </w:r>
    </w:p>
    <w:p>
      <w:pPr>
        <w:spacing w:line="360" w:lineRule="auto"/>
        <w:ind w:firstLine="480" w:firstLineChars="200"/>
        <w:rPr>
          <w:sz w:val="24"/>
        </w:rPr>
      </w:pPr>
      <w:r>
        <w:rPr>
          <w:sz w:val="24"/>
        </w:rPr>
        <w:t>法定代表人或其委托代理人（签字或加盖人名章）：</w:t>
      </w:r>
    </w:p>
    <w:p>
      <w:pPr>
        <w:spacing w:line="360" w:lineRule="auto"/>
        <w:ind w:firstLine="480" w:firstLineChars="200"/>
        <w:rPr>
          <w:sz w:val="24"/>
        </w:rPr>
      </w:pPr>
      <w:r>
        <w:rPr>
          <w:sz w:val="24"/>
        </w:rPr>
        <w:t>日    期：     年   月    日</w:t>
      </w:r>
    </w:p>
    <w:p/>
    <w:p/>
    <w:p/>
    <w:p/>
    <w:p/>
    <w:p/>
    <w:p/>
    <w:p/>
    <w:p>
      <w:pPr>
        <w:spacing w:line="360" w:lineRule="auto"/>
        <w:outlineLvl w:val="1"/>
        <w:rPr>
          <w:b/>
          <w:bCs/>
          <w:sz w:val="24"/>
        </w:rPr>
        <w:sectPr>
          <w:pgSz w:w="11906" w:h="16838"/>
          <w:pgMar w:top="1440" w:right="1440" w:bottom="1440" w:left="1797" w:header="851" w:footer="992" w:gutter="0"/>
          <w:pgNumType w:fmt="decimal"/>
          <w:cols w:space="425" w:num="1"/>
          <w:docGrid w:linePitch="312" w:charSpace="0"/>
        </w:sectPr>
      </w:pPr>
    </w:p>
    <w:p>
      <w:pPr>
        <w:pStyle w:val="2"/>
        <w:spacing w:before="0" w:after="0" w:line="240" w:lineRule="auto"/>
        <w:rPr>
          <w:rFonts w:eastAsia="黑体"/>
          <w:sz w:val="28"/>
          <w:szCs w:val="28"/>
        </w:rPr>
      </w:pPr>
      <w:bookmarkStart w:id="357" w:name="_Toc29673"/>
      <w:bookmarkStart w:id="358" w:name="_Toc103677765"/>
      <w:r>
        <w:rPr>
          <w:rFonts w:hint="eastAsia" w:eastAsia="黑体"/>
          <w:sz w:val="28"/>
          <w:szCs w:val="28"/>
        </w:rPr>
        <w:t>九、</w:t>
      </w:r>
      <w:r>
        <w:rPr>
          <w:rFonts w:eastAsia="黑体"/>
          <w:sz w:val="28"/>
          <w:szCs w:val="28"/>
        </w:rPr>
        <w:t>反商业贿赂承诺书</w:t>
      </w:r>
      <w:bookmarkEnd w:id="357"/>
      <w:bookmarkEnd w:id="358"/>
    </w:p>
    <w:p>
      <w:pPr>
        <w:jc w:val="center"/>
        <w:rPr>
          <w:sz w:val="32"/>
          <w:szCs w:val="32"/>
        </w:rPr>
      </w:pPr>
    </w:p>
    <w:p>
      <w:pPr>
        <w:jc w:val="center"/>
        <w:rPr>
          <w:rFonts w:eastAsia="黑体"/>
          <w:b/>
          <w:bCs/>
          <w:sz w:val="32"/>
          <w:szCs w:val="32"/>
        </w:rPr>
      </w:pPr>
      <w:r>
        <w:rPr>
          <w:rFonts w:eastAsia="黑体"/>
          <w:b/>
          <w:bCs/>
          <w:sz w:val="32"/>
          <w:szCs w:val="32"/>
        </w:rPr>
        <w:t>反商业贿赂承诺书</w:t>
      </w:r>
    </w:p>
    <w:p>
      <w:pPr>
        <w:pStyle w:val="21"/>
        <w:spacing w:line="440" w:lineRule="exact"/>
        <w:ind w:left="0" w:leftChars="0" w:firstLine="480" w:firstLineChars="200"/>
        <w:rPr>
          <w:sz w:val="24"/>
        </w:rPr>
      </w:pPr>
    </w:p>
    <w:p>
      <w:pPr>
        <w:pStyle w:val="21"/>
        <w:spacing w:line="440" w:lineRule="exact"/>
        <w:ind w:left="0" w:leftChars="0" w:firstLine="480" w:firstLineChars="200"/>
        <w:rPr>
          <w:sz w:val="24"/>
        </w:rPr>
      </w:pPr>
      <w:r>
        <w:rPr>
          <w:sz w:val="24"/>
        </w:rPr>
        <w:t>我方承诺在</w:t>
      </w:r>
      <w:r>
        <w:rPr>
          <w:sz w:val="24"/>
          <w:u w:val="single"/>
        </w:rPr>
        <w:t>（项目名称、项目编号）</w:t>
      </w:r>
      <w:r>
        <w:rPr>
          <w:sz w:val="24"/>
        </w:rPr>
        <w:t>招标活动中，不给予采购方工作人员以及采购代理机构工作人员及其亲属各种形式的商业贿赂（包括送礼金礼品、有价证券、购物券、回扣、佣金、咨询费、劳务费、赞助费、宣传费、支付旅游费用、报销各种消费凭证、宴请、娱乐等），如有上述行为，我方及项目参与人员愿意按照《反不正当竞争法》的有关规定接受处罚。</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 xml:space="preserve">投标人名称（公章）： </w:t>
      </w:r>
    </w:p>
    <w:p>
      <w:pPr>
        <w:spacing w:line="360" w:lineRule="auto"/>
        <w:ind w:firstLine="480" w:firstLineChars="200"/>
        <w:rPr>
          <w:sz w:val="24"/>
        </w:rPr>
      </w:pPr>
      <w:r>
        <w:rPr>
          <w:sz w:val="24"/>
        </w:rPr>
        <w:t>法定代表人或其委托代理人（签字或加盖人名章）：</w:t>
      </w:r>
    </w:p>
    <w:p>
      <w:pPr>
        <w:spacing w:line="360" w:lineRule="auto"/>
        <w:ind w:firstLine="480" w:firstLineChars="200"/>
        <w:rPr>
          <w:sz w:val="24"/>
        </w:rPr>
      </w:pPr>
      <w:r>
        <w:rPr>
          <w:sz w:val="24"/>
        </w:rPr>
        <w:t>日    期：     年   月    日</w:t>
      </w:r>
    </w:p>
    <w:p>
      <w:pPr>
        <w:pStyle w:val="2"/>
        <w:spacing w:before="0" w:after="0" w:line="240" w:lineRule="auto"/>
        <w:rPr>
          <w:rFonts w:eastAsia="黑体"/>
          <w:sz w:val="28"/>
          <w:szCs w:val="28"/>
        </w:rPr>
        <w:sectPr>
          <w:pgSz w:w="11906" w:h="16838"/>
          <w:pgMar w:top="1440" w:right="1440" w:bottom="1440" w:left="1797" w:header="851" w:footer="992" w:gutter="0"/>
          <w:pgNumType w:fmt="decimal"/>
          <w:cols w:space="720" w:num="1"/>
          <w:docGrid w:linePitch="312" w:charSpace="0"/>
        </w:sectPr>
      </w:pPr>
    </w:p>
    <w:p>
      <w:pPr>
        <w:pStyle w:val="2"/>
        <w:spacing w:before="0" w:after="0" w:line="240" w:lineRule="auto"/>
        <w:rPr>
          <w:rFonts w:eastAsia="黑体"/>
          <w:sz w:val="28"/>
          <w:szCs w:val="28"/>
        </w:rPr>
      </w:pPr>
      <w:bookmarkStart w:id="359" w:name="_Toc103677766"/>
      <w:bookmarkStart w:id="360" w:name="_Toc4587"/>
      <w:r>
        <w:rPr>
          <w:rFonts w:eastAsia="黑体"/>
          <w:sz w:val="28"/>
          <w:szCs w:val="28"/>
        </w:rPr>
        <w:t>十</w:t>
      </w:r>
      <w:r>
        <w:rPr>
          <w:rFonts w:hint="eastAsia" w:eastAsia="黑体"/>
          <w:sz w:val="28"/>
          <w:szCs w:val="28"/>
        </w:rPr>
        <w:t>、</w:t>
      </w:r>
      <w:r>
        <w:rPr>
          <w:rFonts w:eastAsia="黑体"/>
          <w:sz w:val="28"/>
          <w:szCs w:val="28"/>
        </w:rPr>
        <w:t>项目负责人简历表及拟投入本项目主要成员表（如有）</w:t>
      </w:r>
      <w:bookmarkEnd w:id="359"/>
      <w:bookmarkEnd w:id="360"/>
    </w:p>
    <w:p>
      <w:pPr>
        <w:widowControl/>
        <w:tabs>
          <w:tab w:val="left" w:pos="720"/>
        </w:tabs>
        <w:spacing w:line="440" w:lineRule="exact"/>
        <w:jc w:val="left"/>
        <w:rPr>
          <w:b/>
        </w:rPr>
      </w:pPr>
      <w:r>
        <w:rPr>
          <w:b/>
        </w:rPr>
        <w:t>1、项目负责人简历表</w:t>
      </w:r>
    </w:p>
    <w:tbl>
      <w:tblPr>
        <w:tblStyle w:val="41"/>
        <w:tblW w:w="8673" w:type="dxa"/>
        <w:jc w:val="center"/>
        <w:tblLayout w:type="fixed"/>
        <w:tblCellMar>
          <w:top w:w="0" w:type="dxa"/>
          <w:left w:w="108" w:type="dxa"/>
          <w:bottom w:w="0" w:type="dxa"/>
          <w:right w:w="108" w:type="dxa"/>
        </w:tblCellMar>
      </w:tblPr>
      <w:tblGrid>
        <w:gridCol w:w="1285"/>
        <w:gridCol w:w="2422"/>
        <w:gridCol w:w="1005"/>
        <w:gridCol w:w="1072"/>
        <w:gridCol w:w="1235"/>
        <w:gridCol w:w="1654"/>
      </w:tblGrid>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440" w:lineRule="exact"/>
            </w:pPr>
            <w:r>
              <w:t>姓名</w:t>
            </w:r>
          </w:p>
        </w:tc>
        <w:tc>
          <w:tcPr>
            <w:tcW w:w="2422" w:type="dxa"/>
            <w:tcBorders>
              <w:top w:val="single" w:color="auto" w:sz="6" w:space="0"/>
              <w:left w:val="single" w:color="auto" w:sz="6" w:space="0"/>
              <w:bottom w:val="single" w:color="auto" w:sz="6" w:space="0"/>
              <w:right w:val="single" w:color="auto" w:sz="6" w:space="0"/>
            </w:tcBorders>
          </w:tcPr>
          <w:p>
            <w:pPr>
              <w:spacing w:line="440" w:lineRule="exact"/>
            </w:pPr>
          </w:p>
        </w:tc>
        <w:tc>
          <w:tcPr>
            <w:tcW w:w="1005" w:type="dxa"/>
            <w:tcBorders>
              <w:top w:val="single" w:color="auto" w:sz="6" w:space="0"/>
              <w:left w:val="single" w:color="auto" w:sz="6" w:space="0"/>
              <w:bottom w:val="single" w:color="auto" w:sz="6" w:space="0"/>
              <w:right w:val="single" w:color="auto" w:sz="6" w:space="0"/>
            </w:tcBorders>
          </w:tcPr>
          <w:p>
            <w:pPr>
              <w:spacing w:line="440" w:lineRule="exact"/>
            </w:pPr>
            <w:r>
              <w:t>年龄</w:t>
            </w:r>
          </w:p>
        </w:tc>
        <w:tc>
          <w:tcPr>
            <w:tcW w:w="1072" w:type="dxa"/>
            <w:tcBorders>
              <w:top w:val="single" w:color="auto" w:sz="6" w:space="0"/>
              <w:left w:val="single" w:color="auto" w:sz="6" w:space="0"/>
              <w:bottom w:val="single" w:color="auto" w:sz="6" w:space="0"/>
              <w:right w:val="single" w:color="auto" w:sz="6" w:space="0"/>
            </w:tcBorders>
          </w:tcPr>
          <w:p>
            <w:pPr>
              <w:spacing w:line="440" w:lineRule="exact"/>
            </w:pPr>
          </w:p>
        </w:tc>
        <w:tc>
          <w:tcPr>
            <w:tcW w:w="1235" w:type="dxa"/>
            <w:tcBorders>
              <w:top w:val="single" w:color="auto" w:sz="6" w:space="0"/>
              <w:left w:val="single" w:color="auto" w:sz="6" w:space="0"/>
              <w:bottom w:val="single" w:color="auto" w:sz="6" w:space="0"/>
              <w:right w:val="single" w:color="auto" w:sz="6" w:space="0"/>
            </w:tcBorders>
          </w:tcPr>
          <w:p>
            <w:pPr>
              <w:spacing w:line="440" w:lineRule="exact"/>
            </w:pPr>
            <w:r>
              <w:t>身份证号码</w:t>
            </w:r>
          </w:p>
        </w:tc>
        <w:tc>
          <w:tcPr>
            <w:tcW w:w="1654" w:type="dxa"/>
            <w:tcBorders>
              <w:top w:val="single" w:color="auto" w:sz="6" w:space="0"/>
              <w:left w:val="single" w:color="auto" w:sz="6" w:space="0"/>
              <w:bottom w:val="single" w:color="auto" w:sz="6" w:space="0"/>
              <w:right w:val="single" w:color="auto" w:sz="6" w:space="0"/>
            </w:tcBorders>
          </w:tcPr>
          <w:p>
            <w:pPr>
              <w:spacing w:line="440" w:lineRule="exact"/>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440" w:lineRule="exact"/>
            </w:pPr>
            <w:r>
              <w:t>毕业学校</w:t>
            </w:r>
          </w:p>
        </w:tc>
        <w:tc>
          <w:tcPr>
            <w:tcW w:w="4499" w:type="dxa"/>
            <w:gridSpan w:val="3"/>
            <w:tcBorders>
              <w:top w:val="single" w:color="auto" w:sz="6" w:space="0"/>
              <w:left w:val="single" w:color="auto" w:sz="6" w:space="0"/>
              <w:bottom w:val="single" w:color="auto" w:sz="6" w:space="0"/>
              <w:right w:val="single" w:color="auto" w:sz="6" w:space="0"/>
            </w:tcBorders>
          </w:tcPr>
          <w:p>
            <w:pPr>
              <w:spacing w:line="440" w:lineRule="exact"/>
            </w:pPr>
          </w:p>
        </w:tc>
        <w:tc>
          <w:tcPr>
            <w:tcW w:w="1235" w:type="dxa"/>
            <w:tcBorders>
              <w:top w:val="single" w:color="auto" w:sz="6" w:space="0"/>
              <w:left w:val="single" w:color="auto" w:sz="6" w:space="0"/>
              <w:bottom w:val="single" w:color="auto" w:sz="6" w:space="0"/>
              <w:right w:val="single" w:color="auto" w:sz="6" w:space="0"/>
            </w:tcBorders>
          </w:tcPr>
          <w:p>
            <w:pPr>
              <w:spacing w:line="440" w:lineRule="exact"/>
            </w:pPr>
            <w:r>
              <w:t>专业</w:t>
            </w:r>
          </w:p>
        </w:tc>
        <w:tc>
          <w:tcPr>
            <w:tcW w:w="1654" w:type="dxa"/>
            <w:tcBorders>
              <w:top w:val="single" w:color="auto" w:sz="6" w:space="0"/>
              <w:left w:val="single" w:color="auto" w:sz="6" w:space="0"/>
              <w:bottom w:val="single" w:color="auto" w:sz="6" w:space="0"/>
              <w:right w:val="single" w:color="auto" w:sz="6" w:space="0"/>
            </w:tcBorders>
          </w:tcPr>
          <w:p>
            <w:pPr>
              <w:spacing w:line="440" w:lineRule="exact"/>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440" w:lineRule="exact"/>
            </w:pPr>
            <w:r>
              <w:t>学位</w:t>
            </w:r>
          </w:p>
        </w:tc>
        <w:tc>
          <w:tcPr>
            <w:tcW w:w="2422" w:type="dxa"/>
            <w:tcBorders>
              <w:top w:val="single" w:color="auto" w:sz="6" w:space="0"/>
              <w:left w:val="single" w:color="auto" w:sz="6" w:space="0"/>
              <w:bottom w:val="single" w:color="auto" w:sz="6" w:space="0"/>
              <w:right w:val="single" w:color="auto" w:sz="6" w:space="0"/>
            </w:tcBorders>
          </w:tcPr>
          <w:p>
            <w:pPr>
              <w:spacing w:line="440" w:lineRule="exact"/>
            </w:pPr>
          </w:p>
        </w:tc>
        <w:tc>
          <w:tcPr>
            <w:tcW w:w="1005" w:type="dxa"/>
            <w:tcBorders>
              <w:top w:val="single" w:color="auto" w:sz="6" w:space="0"/>
              <w:left w:val="single" w:color="auto" w:sz="6" w:space="0"/>
              <w:bottom w:val="single" w:color="auto" w:sz="6" w:space="0"/>
              <w:right w:val="single" w:color="auto" w:sz="6" w:space="0"/>
            </w:tcBorders>
          </w:tcPr>
          <w:p>
            <w:pPr>
              <w:spacing w:line="440" w:lineRule="exact"/>
            </w:pPr>
            <w:r>
              <w:t>职称</w:t>
            </w:r>
          </w:p>
        </w:tc>
        <w:tc>
          <w:tcPr>
            <w:tcW w:w="1072" w:type="dxa"/>
            <w:tcBorders>
              <w:top w:val="single" w:color="auto" w:sz="6" w:space="0"/>
              <w:left w:val="single" w:color="auto" w:sz="6" w:space="0"/>
              <w:bottom w:val="single" w:color="auto" w:sz="6" w:space="0"/>
              <w:right w:val="single" w:color="auto" w:sz="6" w:space="0"/>
            </w:tcBorders>
          </w:tcPr>
          <w:p>
            <w:pPr>
              <w:spacing w:line="440" w:lineRule="exact"/>
            </w:pPr>
          </w:p>
        </w:tc>
        <w:tc>
          <w:tcPr>
            <w:tcW w:w="1235" w:type="dxa"/>
            <w:tcBorders>
              <w:top w:val="single" w:color="auto" w:sz="6" w:space="0"/>
              <w:left w:val="single" w:color="auto" w:sz="6" w:space="0"/>
              <w:bottom w:val="single" w:color="auto" w:sz="6" w:space="0"/>
              <w:right w:val="single" w:color="auto" w:sz="6" w:space="0"/>
            </w:tcBorders>
          </w:tcPr>
          <w:p>
            <w:pPr>
              <w:spacing w:line="440" w:lineRule="exact"/>
            </w:pPr>
            <w:r>
              <w:t>职务</w:t>
            </w:r>
          </w:p>
        </w:tc>
        <w:tc>
          <w:tcPr>
            <w:tcW w:w="1654" w:type="dxa"/>
            <w:tcBorders>
              <w:top w:val="single" w:color="auto" w:sz="6" w:space="0"/>
              <w:left w:val="single" w:color="auto" w:sz="6" w:space="0"/>
              <w:bottom w:val="single" w:color="auto" w:sz="6" w:space="0"/>
              <w:right w:val="single" w:color="auto" w:sz="6" w:space="0"/>
            </w:tcBorders>
          </w:tcPr>
          <w:p>
            <w:pPr>
              <w:spacing w:line="440" w:lineRule="exact"/>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440" w:lineRule="exact"/>
            </w:pPr>
            <w:r>
              <w:t>现所在机构或部门</w:t>
            </w:r>
          </w:p>
        </w:tc>
        <w:tc>
          <w:tcPr>
            <w:tcW w:w="4499" w:type="dxa"/>
            <w:gridSpan w:val="3"/>
            <w:tcBorders>
              <w:top w:val="single" w:color="auto" w:sz="6" w:space="0"/>
              <w:left w:val="single" w:color="auto" w:sz="6" w:space="0"/>
              <w:bottom w:val="single" w:color="auto" w:sz="6" w:space="0"/>
              <w:right w:val="single" w:color="auto" w:sz="6" w:space="0"/>
            </w:tcBorders>
          </w:tcPr>
          <w:p>
            <w:pPr>
              <w:spacing w:line="440" w:lineRule="exact"/>
            </w:pPr>
          </w:p>
        </w:tc>
        <w:tc>
          <w:tcPr>
            <w:tcW w:w="1235" w:type="dxa"/>
            <w:tcBorders>
              <w:top w:val="single" w:color="auto" w:sz="6" w:space="0"/>
              <w:left w:val="single" w:color="auto" w:sz="6" w:space="0"/>
              <w:bottom w:val="single" w:color="auto" w:sz="6" w:space="0"/>
              <w:right w:val="single" w:color="auto" w:sz="6" w:space="0"/>
            </w:tcBorders>
            <w:vAlign w:val="center"/>
          </w:tcPr>
          <w:p>
            <w:pPr>
              <w:spacing w:line="440" w:lineRule="exact"/>
            </w:pPr>
            <w:r>
              <w:t>服务时间</w:t>
            </w:r>
          </w:p>
        </w:tc>
        <w:tc>
          <w:tcPr>
            <w:tcW w:w="1654" w:type="dxa"/>
            <w:tcBorders>
              <w:top w:val="single" w:color="auto" w:sz="6" w:space="0"/>
              <w:left w:val="single" w:color="auto" w:sz="6" w:space="0"/>
              <w:bottom w:val="single" w:color="auto" w:sz="6" w:space="0"/>
              <w:right w:val="single" w:color="auto" w:sz="6" w:space="0"/>
            </w:tcBorders>
          </w:tcPr>
          <w:p>
            <w:pPr>
              <w:spacing w:line="440" w:lineRule="exact"/>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pPr>
              <w:spacing w:line="440" w:lineRule="exact"/>
            </w:pPr>
          </w:p>
          <w:p>
            <w:pPr>
              <w:spacing w:line="440" w:lineRule="exact"/>
            </w:pPr>
            <w:r>
              <w:t>主要经历</w:t>
            </w:r>
          </w:p>
          <w:p>
            <w:pPr>
              <w:spacing w:line="440" w:lineRule="exact"/>
            </w:pPr>
          </w:p>
        </w:tc>
        <w:tc>
          <w:tcPr>
            <w:tcW w:w="7388" w:type="dxa"/>
            <w:gridSpan w:val="5"/>
            <w:tcBorders>
              <w:top w:val="single" w:color="auto" w:sz="6" w:space="0"/>
              <w:left w:val="single" w:color="auto" w:sz="6" w:space="0"/>
              <w:bottom w:val="single" w:color="auto" w:sz="6" w:space="0"/>
              <w:right w:val="single" w:color="auto" w:sz="6" w:space="0"/>
            </w:tcBorders>
          </w:tcPr>
          <w:p>
            <w:pPr>
              <w:spacing w:line="440" w:lineRule="exact"/>
            </w:pPr>
          </w:p>
          <w:p>
            <w:pPr>
              <w:spacing w:line="440" w:lineRule="exact"/>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440" w:lineRule="exact"/>
            </w:pPr>
            <w:r>
              <w:t>日期</w:t>
            </w:r>
          </w:p>
        </w:tc>
        <w:tc>
          <w:tcPr>
            <w:tcW w:w="3427" w:type="dxa"/>
            <w:gridSpan w:val="2"/>
            <w:tcBorders>
              <w:top w:val="single" w:color="auto" w:sz="6" w:space="0"/>
              <w:left w:val="single" w:color="auto" w:sz="6" w:space="0"/>
              <w:bottom w:val="single" w:color="auto" w:sz="6" w:space="0"/>
              <w:right w:val="single" w:color="auto" w:sz="6" w:space="0"/>
            </w:tcBorders>
          </w:tcPr>
          <w:p>
            <w:pPr>
              <w:spacing w:line="440" w:lineRule="exact"/>
            </w:pPr>
            <w:r>
              <w:t>参加过的项目名称</w:t>
            </w:r>
          </w:p>
        </w:tc>
        <w:tc>
          <w:tcPr>
            <w:tcW w:w="2307" w:type="dxa"/>
            <w:gridSpan w:val="2"/>
            <w:tcBorders>
              <w:top w:val="single" w:color="auto" w:sz="6" w:space="0"/>
              <w:left w:val="single" w:color="auto" w:sz="6" w:space="0"/>
              <w:bottom w:val="single" w:color="auto" w:sz="6" w:space="0"/>
              <w:right w:val="single" w:color="auto" w:sz="6" w:space="0"/>
            </w:tcBorders>
          </w:tcPr>
          <w:p>
            <w:pPr>
              <w:spacing w:line="440" w:lineRule="exact"/>
            </w:pPr>
            <w:r>
              <w:t>担任何职务</w:t>
            </w:r>
          </w:p>
        </w:tc>
        <w:tc>
          <w:tcPr>
            <w:tcW w:w="1654" w:type="dxa"/>
            <w:tcBorders>
              <w:top w:val="single" w:color="auto" w:sz="6" w:space="0"/>
              <w:left w:val="single" w:color="auto" w:sz="6" w:space="0"/>
              <w:bottom w:val="single" w:color="auto" w:sz="6" w:space="0"/>
              <w:right w:val="single" w:color="auto" w:sz="6" w:space="0"/>
            </w:tcBorders>
          </w:tcPr>
          <w:p>
            <w:pPr>
              <w:spacing w:line="440" w:lineRule="exact"/>
            </w:pPr>
            <w:r>
              <w:t>备注</w:t>
            </w: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440" w:lineRule="exact"/>
            </w:pPr>
          </w:p>
        </w:tc>
        <w:tc>
          <w:tcPr>
            <w:tcW w:w="3427" w:type="dxa"/>
            <w:gridSpan w:val="2"/>
            <w:tcBorders>
              <w:top w:val="single" w:color="auto" w:sz="6" w:space="0"/>
              <w:left w:val="single" w:color="auto" w:sz="6" w:space="0"/>
              <w:bottom w:val="single" w:color="auto" w:sz="6" w:space="0"/>
              <w:right w:val="single" w:color="auto" w:sz="6" w:space="0"/>
            </w:tcBorders>
          </w:tcPr>
          <w:p>
            <w:pPr>
              <w:spacing w:line="440" w:lineRule="exact"/>
            </w:pPr>
          </w:p>
        </w:tc>
        <w:tc>
          <w:tcPr>
            <w:tcW w:w="2307" w:type="dxa"/>
            <w:gridSpan w:val="2"/>
            <w:tcBorders>
              <w:top w:val="single" w:color="auto" w:sz="6" w:space="0"/>
              <w:left w:val="single" w:color="auto" w:sz="6" w:space="0"/>
              <w:bottom w:val="single" w:color="auto" w:sz="6" w:space="0"/>
              <w:right w:val="single" w:color="auto" w:sz="6" w:space="0"/>
            </w:tcBorders>
          </w:tcPr>
          <w:p>
            <w:pPr>
              <w:spacing w:line="440" w:lineRule="exact"/>
            </w:pPr>
          </w:p>
        </w:tc>
        <w:tc>
          <w:tcPr>
            <w:tcW w:w="1654" w:type="dxa"/>
            <w:tcBorders>
              <w:top w:val="single" w:color="auto" w:sz="6" w:space="0"/>
              <w:left w:val="single" w:color="auto" w:sz="6" w:space="0"/>
              <w:bottom w:val="single" w:color="auto" w:sz="6" w:space="0"/>
              <w:right w:val="single" w:color="auto" w:sz="6" w:space="0"/>
            </w:tcBorders>
          </w:tcPr>
          <w:p>
            <w:pPr>
              <w:spacing w:line="440" w:lineRule="exact"/>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440" w:lineRule="exact"/>
            </w:pPr>
          </w:p>
        </w:tc>
        <w:tc>
          <w:tcPr>
            <w:tcW w:w="3427" w:type="dxa"/>
            <w:gridSpan w:val="2"/>
            <w:tcBorders>
              <w:top w:val="single" w:color="auto" w:sz="6" w:space="0"/>
              <w:left w:val="single" w:color="auto" w:sz="6" w:space="0"/>
              <w:bottom w:val="single" w:color="auto" w:sz="6" w:space="0"/>
              <w:right w:val="single" w:color="auto" w:sz="6" w:space="0"/>
            </w:tcBorders>
          </w:tcPr>
          <w:p>
            <w:pPr>
              <w:spacing w:line="440" w:lineRule="exact"/>
            </w:pPr>
          </w:p>
        </w:tc>
        <w:tc>
          <w:tcPr>
            <w:tcW w:w="2307" w:type="dxa"/>
            <w:gridSpan w:val="2"/>
            <w:tcBorders>
              <w:top w:val="single" w:color="auto" w:sz="6" w:space="0"/>
              <w:left w:val="single" w:color="auto" w:sz="6" w:space="0"/>
              <w:bottom w:val="single" w:color="auto" w:sz="6" w:space="0"/>
              <w:right w:val="single" w:color="auto" w:sz="6" w:space="0"/>
            </w:tcBorders>
          </w:tcPr>
          <w:p>
            <w:pPr>
              <w:spacing w:line="440" w:lineRule="exact"/>
            </w:pPr>
          </w:p>
        </w:tc>
        <w:tc>
          <w:tcPr>
            <w:tcW w:w="1654" w:type="dxa"/>
            <w:tcBorders>
              <w:top w:val="single" w:color="auto" w:sz="6" w:space="0"/>
              <w:left w:val="single" w:color="auto" w:sz="6" w:space="0"/>
              <w:bottom w:val="single" w:color="auto" w:sz="6" w:space="0"/>
              <w:right w:val="single" w:color="auto" w:sz="6" w:space="0"/>
            </w:tcBorders>
          </w:tcPr>
          <w:p>
            <w:pPr>
              <w:spacing w:line="440" w:lineRule="exact"/>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440" w:lineRule="exact"/>
            </w:pPr>
          </w:p>
        </w:tc>
        <w:tc>
          <w:tcPr>
            <w:tcW w:w="3427" w:type="dxa"/>
            <w:gridSpan w:val="2"/>
            <w:tcBorders>
              <w:top w:val="single" w:color="auto" w:sz="6" w:space="0"/>
              <w:left w:val="single" w:color="auto" w:sz="6" w:space="0"/>
              <w:bottom w:val="single" w:color="auto" w:sz="6" w:space="0"/>
              <w:right w:val="single" w:color="auto" w:sz="6" w:space="0"/>
            </w:tcBorders>
          </w:tcPr>
          <w:p>
            <w:pPr>
              <w:spacing w:line="440" w:lineRule="exact"/>
            </w:pPr>
          </w:p>
        </w:tc>
        <w:tc>
          <w:tcPr>
            <w:tcW w:w="2307" w:type="dxa"/>
            <w:gridSpan w:val="2"/>
            <w:tcBorders>
              <w:top w:val="single" w:color="auto" w:sz="6" w:space="0"/>
              <w:left w:val="single" w:color="auto" w:sz="6" w:space="0"/>
              <w:bottom w:val="single" w:color="auto" w:sz="6" w:space="0"/>
              <w:right w:val="single" w:color="auto" w:sz="6" w:space="0"/>
            </w:tcBorders>
          </w:tcPr>
          <w:p>
            <w:pPr>
              <w:spacing w:line="440" w:lineRule="exact"/>
            </w:pPr>
          </w:p>
        </w:tc>
        <w:tc>
          <w:tcPr>
            <w:tcW w:w="1654" w:type="dxa"/>
            <w:tcBorders>
              <w:top w:val="single" w:color="auto" w:sz="6" w:space="0"/>
              <w:left w:val="single" w:color="auto" w:sz="6" w:space="0"/>
              <w:bottom w:val="single" w:color="auto" w:sz="6" w:space="0"/>
              <w:right w:val="single" w:color="auto" w:sz="6" w:space="0"/>
            </w:tcBorders>
          </w:tcPr>
          <w:p>
            <w:pPr>
              <w:spacing w:line="440" w:lineRule="exact"/>
            </w:pPr>
          </w:p>
        </w:tc>
      </w:tr>
    </w:tbl>
    <w:p>
      <w:pPr>
        <w:autoSpaceDE w:val="0"/>
        <w:autoSpaceDN w:val="0"/>
        <w:adjustRightInd w:val="0"/>
        <w:spacing w:line="440" w:lineRule="exact"/>
        <w:rPr>
          <w:b/>
          <w:bCs/>
        </w:rPr>
      </w:pPr>
      <w:r>
        <w:rPr>
          <w:b/>
          <w:bCs/>
        </w:rPr>
        <w:t>2、拟投入本项目的主要成员表</w:t>
      </w:r>
    </w:p>
    <w:tbl>
      <w:tblPr>
        <w:tblStyle w:val="41"/>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421"/>
        <w:gridCol w:w="132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0" w:type="dxa"/>
            <w:vAlign w:val="center"/>
          </w:tcPr>
          <w:p>
            <w:pPr>
              <w:spacing w:line="440" w:lineRule="exact"/>
              <w:jc w:val="center"/>
            </w:pPr>
            <w:r>
              <w:t>序号</w:t>
            </w:r>
          </w:p>
        </w:tc>
        <w:tc>
          <w:tcPr>
            <w:tcW w:w="1330" w:type="dxa"/>
            <w:vAlign w:val="center"/>
          </w:tcPr>
          <w:p>
            <w:pPr>
              <w:spacing w:line="440" w:lineRule="exact"/>
              <w:jc w:val="center"/>
            </w:pPr>
            <w:r>
              <w:t>姓名</w:t>
            </w:r>
          </w:p>
        </w:tc>
        <w:tc>
          <w:tcPr>
            <w:tcW w:w="2040" w:type="dxa"/>
            <w:vAlign w:val="center"/>
          </w:tcPr>
          <w:p>
            <w:pPr>
              <w:spacing w:line="440" w:lineRule="exact"/>
              <w:jc w:val="center"/>
            </w:pPr>
            <w:r>
              <w:t>性别</w:t>
            </w:r>
          </w:p>
        </w:tc>
        <w:tc>
          <w:tcPr>
            <w:tcW w:w="1421" w:type="dxa"/>
            <w:vAlign w:val="center"/>
          </w:tcPr>
          <w:p>
            <w:pPr>
              <w:spacing w:line="440" w:lineRule="exact"/>
              <w:jc w:val="center"/>
            </w:pPr>
            <w:r>
              <w:t>职称</w:t>
            </w:r>
          </w:p>
        </w:tc>
        <w:tc>
          <w:tcPr>
            <w:tcW w:w="1328" w:type="dxa"/>
            <w:vAlign w:val="center"/>
          </w:tcPr>
          <w:p>
            <w:pPr>
              <w:spacing w:line="440" w:lineRule="exact"/>
              <w:jc w:val="center"/>
            </w:pPr>
            <w:r>
              <w:t>岗位</w:t>
            </w:r>
          </w:p>
        </w:tc>
        <w:tc>
          <w:tcPr>
            <w:tcW w:w="1701" w:type="dxa"/>
            <w:vAlign w:val="center"/>
          </w:tcPr>
          <w:p>
            <w:pPr>
              <w:spacing w:line="440" w:lineRule="exact"/>
              <w:jc w:val="center"/>
            </w:pPr>
            <w:r>
              <w:t>从事该岗位时间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tcPr>
          <w:p>
            <w:pPr>
              <w:spacing w:line="440" w:lineRule="exact"/>
              <w:jc w:val="center"/>
            </w:pPr>
            <w:r>
              <w:t>1</w:t>
            </w:r>
          </w:p>
        </w:tc>
        <w:tc>
          <w:tcPr>
            <w:tcW w:w="1330" w:type="dxa"/>
          </w:tcPr>
          <w:p>
            <w:pPr>
              <w:spacing w:line="440" w:lineRule="exact"/>
              <w:jc w:val="center"/>
            </w:pPr>
          </w:p>
        </w:tc>
        <w:tc>
          <w:tcPr>
            <w:tcW w:w="2040" w:type="dxa"/>
          </w:tcPr>
          <w:p>
            <w:pPr>
              <w:spacing w:line="440" w:lineRule="exact"/>
              <w:jc w:val="center"/>
            </w:pPr>
          </w:p>
        </w:tc>
        <w:tc>
          <w:tcPr>
            <w:tcW w:w="1421" w:type="dxa"/>
          </w:tcPr>
          <w:p>
            <w:pPr>
              <w:spacing w:line="440" w:lineRule="exact"/>
              <w:jc w:val="center"/>
            </w:pPr>
          </w:p>
        </w:tc>
        <w:tc>
          <w:tcPr>
            <w:tcW w:w="1328" w:type="dxa"/>
          </w:tcPr>
          <w:p>
            <w:pPr>
              <w:spacing w:line="440" w:lineRule="exact"/>
              <w:jc w:val="center"/>
            </w:pPr>
          </w:p>
        </w:tc>
        <w:tc>
          <w:tcPr>
            <w:tcW w:w="1701"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40" w:type="dxa"/>
          </w:tcPr>
          <w:p>
            <w:pPr>
              <w:spacing w:line="440" w:lineRule="exact"/>
              <w:jc w:val="center"/>
            </w:pPr>
            <w:r>
              <w:t>2</w:t>
            </w:r>
          </w:p>
        </w:tc>
        <w:tc>
          <w:tcPr>
            <w:tcW w:w="1330" w:type="dxa"/>
          </w:tcPr>
          <w:p>
            <w:pPr>
              <w:spacing w:line="440" w:lineRule="exact"/>
              <w:jc w:val="center"/>
            </w:pPr>
          </w:p>
        </w:tc>
        <w:tc>
          <w:tcPr>
            <w:tcW w:w="2040" w:type="dxa"/>
          </w:tcPr>
          <w:p>
            <w:pPr>
              <w:spacing w:line="440" w:lineRule="exact"/>
              <w:jc w:val="center"/>
            </w:pPr>
          </w:p>
        </w:tc>
        <w:tc>
          <w:tcPr>
            <w:tcW w:w="1421" w:type="dxa"/>
          </w:tcPr>
          <w:p>
            <w:pPr>
              <w:spacing w:line="440" w:lineRule="exact"/>
              <w:jc w:val="center"/>
            </w:pPr>
          </w:p>
        </w:tc>
        <w:tc>
          <w:tcPr>
            <w:tcW w:w="1328" w:type="dxa"/>
          </w:tcPr>
          <w:p>
            <w:pPr>
              <w:spacing w:line="440" w:lineRule="exact"/>
              <w:jc w:val="center"/>
            </w:pPr>
          </w:p>
        </w:tc>
        <w:tc>
          <w:tcPr>
            <w:tcW w:w="1701"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tcPr>
          <w:p>
            <w:pPr>
              <w:spacing w:line="440" w:lineRule="exact"/>
              <w:jc w:val="center"/>
            </w:pPr>
            <w:r>
              <w:t>3</w:t>
            </w:r>
          </w:p>
        </w:tc>
        <w:tc>
          <w:tcPr>
            <w:tcW w:w="1330" w:type="dxa"/>
          </w:tcPr>
          <w:p>
            <w:pPr>
              <w:spacing w:line="440" w:lineRule="exact"/>
              <w:jc w:val="center"/>
            </w:pPr>
          </w:p>
        </w:tc>
        <w:tc>
          <w:tcPr>
            <w:tcW w:w="2040" w:type="dxa"/>
          </w:tcPr>
          <w:p>
            <w:pPr>
              <w:spacing w:line="440" w:lineRule="exact"/>
              <w:jc w:val="center"/>
            </w:pPr>
          </w:p>
        </w:tc>
        <w:tc>
          <w:tcPr>
            <w:tcW w:w="1421" w:type="dxa"/>
          </w:tcPr>
          <w:p>
            <w:pPr>
              <w:spacing w:line="440" w:lineRule="exact"/>
              <w:jc w:val="center"/>
            </w:pPr>
          </w:p>
        </w:tc>
        <w:tc>
          <w:tcPr>
            <w:tcW w:w="1328" w:type="dxa"/>
          </w:tcPr>
          <w:p>
            <w:pPr>
              <w:spacing w:line="440" w:lineRule="exact"/>
              <w:jc w:val="center"/>
            </w:pPr>
          </w:p>
        </w:tc>
        <w:tc>
          <w:tcPr>
            <w:tcW w:w="1701"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tcPr>
          <w:p>
            <w:pPr>
              <w:spacing w:line="440" w:lineRule="exact"/>
              <w:jc w:val="center"/>
            </w:pPr>
            <w:r>
              <w:t>…</w:t>
            </w:r>
          </w:p>
        </w:tc>
        <w:tc>
          <w:tcPr>
            <w:tcW w:w="1330" w:type="dxa"/>
          </w:tcPr>
          <w:p>
            <w:pPr>
              <w:spacing w:line="440" w:lineRule="exact"/>
              <w:jc w:val="center"/>
            </w:pPr>
          </w:p>
        </w:tc>
        <w:tc>
          <w:tcPr>
            <w:tcW w:w="2040" w:type="dxa"/>
          </w:tcPr>
          <w:p>
            <w:pPr>
              <w:spacing w:line="440" w:lineRule="exact"/>
              <w:jc w:val="center"/>
            </w:pPr>
          </w:p>
        </w:tc>
        <w:tc>
          <w:tcPr>
            <w:tcW w:w="1421" w:type="dxa"/>
          </w:tcPr>
          <w:p>
            <w:pPr>
              <w:spacing w:line="440" w:lineRule="exact"/>
              <w:jc w:val="center"/>
            </w:pPr>
          </w:p>
        </w:tc>
        <w:tc>
          <w:tcPr>
            <w:tcW w:w="1328" w:type="dxa"/>
          </w:tcPr>
          <w:p>
            <w:pPr>
              <w:spacing w:line="440" w:lineRule="exact"/>
              <w:jc w:val="center"/>
            </w:pPr>
          </w:p>
        </w:tc>
        <w:tc>
          <w:tcPr>
            <w:tcW w:w="1701" w:type="dxa"/>
          </w:tcPr>
          <w:p>
            <w:pPr>
              <w:spacing w:line="440" w:lineRule="exact"/>
              <w:jc w:val="center"/>
            </w:pPr>
          </w:p>
        </w:tc>
      </w:tr>
    </w:tbl>
    <w:p>
      <w:pPr>
        <w:spacing w:line="440" w:lineRule="exact"/>
        <w:rPr>
          <w:u w:val="single"/>
        </w:rPr>
      </w:pPr>
      <w:r>
        <w:t>投标人名称（公章）：</w:t>
      </w:r>
      <w:r>
        <w:rPr>
          <w:u w:val="single"/>
        </w:rPr>
        <w:t xml:space="preserve">　　　　　         </w:t>
      </w:r>
    </w:p>
    <w:p>
      <w:pPr>
        <w:spacing w:line="440" w:lineRule="exact"/>
      </w:pPr>
      <w:r>
        <w:t>投标人代表签字：</w:t>
      </w:r>
    </w:p>
    <w:p>
      <w:pPr>
        <w:spacing w:line="440" w:lineRule="exact"/>
      </w:pPr>
      <w:r>
        <w:t>日期：20年</w:t>
      </w:r>
      <w:r>
        <w:rPr>
          <w:u w:val="single"/>
        </w:rPr>
        <w:t>　</w:t>
      </w:r>
      <w:r>
        <w:t>月</w:t>
      </w:r>
      <w:r>
        <w:rPr>
          <w:u w:val="single"/>
        </w:rPr>
        <w:t>　</w:t>
      </w:r>
      <w:r>
        <w:t>日　</w:t>
      </w:r>
    </w:p>
    <w:p>
      <w:pPr>
        <w:adjustRightInd w:val="0"/>
        <w:snapToGrid w:val="0"/>
        <w:spacing w:line="440" w:lineRule="exact"/>
        <w:ind w:firstLine="422" w:firstLineChars="200"/>
        <w:rPr>
          <w:b/>
        </w:rPr>
        <w:sectPr>
          <w:pgSz w:w="11906" w:h="16838"/>
          <w:pgMar w:top="1440" w:right="1440" w:bottom="1440" w:left="1797" w:header="851" w:footer="992" w:gutter="0"/>
          <w:pgNumType w:fmt="decimal"/>
          <w:cols w:space="720" w:num="1"/>
          <w:docGrid w:linePitch="312" w:charSpace="0"/>
        </w:sectPr>
      </w:pPr>
      <w:r>
        <w:rPr>
          <w:b/>
        </w:rPr>
        <w:t>注：后附人员相关资格证书复印件。</w:t>
      </w:r>
    </w:p>
    <w:p>
      <w:pPr>
        <w:pStyle w:val="2"/>
        <w:spacing w:before="0" w:after="0" w:line="240" w:lineRule="auto"/>
        <w:rPr>
          <w:rFonts w:eastAsia="黑体"/>
          <w:sz w:val="28"/>
          <w:szCs w:val="28"/>
        </w:rPr>
      </w:pPr>
      <w:bookmarkStart w:id="361" w:name="_Toc20342"/>
      <w:bookmarkStart w:id="362" w:name="_Toc103677767"/>
      <w:r>
        <w:rPr>
          <w:rFonts w:eastAsia="黑体"/>
          <w:sz w:val="28"/>
          <w:szCs w:val="28"/>
        </w:rPr>
        <w:t>十</w:t>
      </w:r>
      <w:r>
        <w:rPr>
          <w:rFonts w:hint="eastAsia" w:eastAsia="黑体"/>
          <w:sz w:val="28"/>
          <w:szCs w:val="28"/>
        </w:rPr>
        <w:t>一、</w:t>
      </w:r>
      <w:r>
        <w:rPr>
          <w:rFonts w:eastAsia="黑体"/>
          <w:sz w:val="28"/>
          <w:szCs w:val="28"/>
        </w:rPr>
        <w:t>其他商务部分资料</w:t>
      </w:r>
      <w:bookmarkEnd w:id="361"/>
      <w:bookmarkEnd w:id="362"/>
    </w:p>
    <w:p>
      <w:pPr>
        <w:spacing w:line="360" w:lineRule="auto"/>
        <w:ind w:firstLine="480" w:firstLineChars="200"/>
        <w:rPr>
          <w:sz w:val="24"/>
        </w:rPr>
      </w:pPr>
    </w:p>
    <w:p>
      <w:pPr>
        <w:spacing w:line="360" w:lineRule="auto"/>
        <w:ind w:firstLine="480" w:firstLineChars="200"/>
        <w:rPr>
          <w:sz w:val="24"/>
        </w:rPr>
      </w:pPr>
      <w:r>
        <w:rPr>
          <w:sz w:val="24"/>
        </w:rPr>
        <w:t>招标文件中要求提交的其他商务部分资料或投标人认为需要提供的其它商务部分说明或资料。</w:t>
      </w:r>
    </w:p>
    <w:p/>
    <w:p>
      <w:pPr>
        <w:spacing w:line="360" w:lineRule="auto"/>
        <w:rPr>
          <w:sz w:val="24"/>
        </w:rPr>
      </w:pPr>
    </w:p>
    <w:p>
      <w:pPr>
        <w:pStyle w:val="2"/>
        <w:spacing w:before="0" w:after="0" w:line="240" w:lineRule="auto"/>
        <w:rPr>
          <w:rFonts w:eastAsia="黑体"/>
          <w:sz w:val="28"/>
          <w:szCs w:val="28"/>
        </w:rPr>
        <w:sectPr>
          <w:pgSz w:w="11906" w:h="16838"/>
          <w:pgMar w:top="1440" w:right="1440" w:bottom="1440" w:left="1797" w:header="851" w:footer="992" w:gutter="0"/>
          <w:pgNumType w:fmt="decimal"/>
          <w:cols w:space="720" w:num="1"/>
          <w:docGrid w:linePitch="312" w:charSpace="0"/>
        </w:sectPr>
      </w:pPr>
    </w:p>
    <w:p>
      <w:pPr>
        <w:pStyle w:val="2"/>
        <w:spacing w:before="0" w:after="0" w:line="360" w:lineRule="auto"/>
        <w:rPr>
          <w:rFonts w:eastAsia="黑体"/>
          <w:sz w:val="28"/>
          <w:szCs w:val="28"/>
        </w:rPr>
      </w:pPr>
      <w:bookmarkStart w:id="363" w:name="_Toc103677768"/>
      <w:bookmarkStart w:id="364" w:name="_Toc32213"/>
      <w:r>
        <w:rPr>
          <w:rFonts w:eastAsia="黑体"/>
          <w:sz w:val="28"/>
          <w:szCs w:val="28"/>
        </w:rPr>
        <w:t>十</w:t>
      </w:r>
      <w:r>
        <w:rPr>
          <w:rFonts w:hint="eastAsia" w:eastAsia="黑体"/>
          <w:sz w:val="28"/>
          <w:szCs w:val="28"/>
        </w:rPr>
        <w:t>二、</w:t>
      </w:r>
      <w:r>
        <w:rPr>
          <w:rFonts w:eastAsia="黑体"/>
          <w:sz w:val="28"/>
          <w:szCs w:val="28"/>
        </w:rPr>
        <w:t>其他补充资料</w:t>
      </w:r>
      <w:bookmarkEnd w:id="363"/>
      <w:bookmarkEnd w:id="364"/>
    </w:p>
    <w:p>
      <w:pPr>
        <w:spacing w:line="360" w:lineRule="auto"/>
        <w:ind w:firstLine="480" w:firstLineChars="200"/>
        <w:rPr>
          <w:sz w:val="24"/>
        </w:rPr>
      </w:pPr>
      <w:r>
        <w:rPr>
          <w:sz w:val="24"/>
        </w:rPr>
        <w:t>为了便于尽快为投标人在招标文件规定时间内退还投标保证金及节省办理相关手续所耗时间，在此邀请投标人单独提供以下两项资料（投标文件中无需提供），建议密封后递交。未提供以下两项补充资料的，不构成不响应招标文件要求。</w:t>
      </w:r>
    </w:p>
    <w:p>
      <w:pPr>
        <w:pStyle w:val="5"/>
        <w:spacing w:before="0" w:after="0" w:line="360" w:lineRule="auto"/>
        <w:jc w:val="left"/>
        <w:rPr>
          <w:rFonts w:ascii="Times New Roman" w:hAnsi="Times New Roman" w:eastAsia="黑体"/>
          <w:b w:val="0"/>
          <w:bCs w:val="0"/>
        </w:rPr>
      </w:pPr>
      <w:r>
        <w:rPr>
          <w:rFonts w:ascii="Times New Roman" w:hAnsi="Times New Roman" w:eastAsia="黑体"/>
          <w:b w:val="0"/>
          <w:bCs w:val="0"/>
        </w:rPr>
        <w:t>（1）补充资料一：开户许可证复印件；或银行账户信息（加盖公章）</w:t>
      </w:r>
    </w:p>
    <w:p>
      <w:pPr>
        <w:spacing w:line="360" w:lineRule="auto"/>
        <w:rPr>
          <w:sz w:val="24"/>
        </w:rPr>
      </w:pPr>
      <w:r>
        <w:rPr>
          <w:sz w:val="24"/>
        </w:rPr>
        <w:t>若选择提供银行账户信息的，可以按以下格式格式提供：</w:t>
      </w:r>
    </w:p>
    <w:p>
      <w:pPr>
        <w:spacing w:line="360" w:lineRule="auto"/>
        <w:ind w:firstLine="364" w:firstLineChars="152"/>
        <w:rPr>
          <w:sz w:val="24"/>
          <w:szCs w:val="32"/>
        </w:rPr>
      </w:pPr>
      <w:r>
        <w:rPr>
          <w:sz w:val="24"/>
          <w:szCs w:val="32"/>
        </w:rPr>
        <w:t>单位名称：</w:t>
      </w:r>
    </w:p>
    <w:p>
      <w:pPr>
        <w:spacing w:line="360" w:lineRule="auto"/>
        <w:ind w:firstLine="364" w:firstLineChars="152"/>
        <w:rPr>
          <w:sz w:val="24"/>
          <w:szCs w:val="32"/>
        </w:rPr>
      </w:pPr>
      <w:r>
        <w:rPr>
          <w:sz w:val="24"/>
          <w:szCs w:val="32"/>
        </w:rPr>
        <w:t>开户银行：</w:t>
      </w:r>
    </w:p>
    <w:p>
      <w:pPr>
        <w:spacing w:line="360" w:lineRule="auto"/>
        <w:ind w:firstLine="364" w:firstLineChars="152"/>
        <w:rPr>
          <w:sz w:val="24"/>
          <w:szCs w:val="32"/>
        </w:rPr>
      </w:pPr>
      <w:r>
        <w:rPr>
          <w:sz w:val="24"/>
          <w:szCs w:val="32"/>
        </w:rPr>
        <w:t>银行账号：</w:t>
      </w:r>
    </w:p>
    <w:p>
      <w:pPr>
        <w:spacing w:line="360" w:lineRule="auto"/>
        <w:ind w:firstLine="364" w:firstLineChars="152"/>
        <w:rPr>
          <w:sz w:val="24"/>
          <w:szCs w:val="32"/>
        </w:rPr>
      </w:pPr>
      <w:r>
        <w:rPr>
          <w:sz w:val="24"/>
          <w:szCs w:val="32"/>
        </w:rPr>
        <w:t>开户行号：</w:t>
      </w:r>
    </w:p>
    <w:p>
      <w:pPr>
        <w:spacing w:line="360" w:lineRule="auto"/>
        <w:ind w:firstLine="364" w:firstLineChars="152"/>
        <w:rPr>
          <w:sz w:val="24"/>
          <w:szCs w:val="32"/>
        </w:rPr>
      </w:pPr>
      <w:r>
        <w:rPr>
          <w:sz w:val="24"/>
          <w:szCs w:val="32"/>
        </w:rPr>
        <w:t>单位地址：</w:t>
      </w:r>
    </w:p>
    <w:p>
      <w:pPr>
        <w:spacing w:line="360" w:lineRule="auto"/>
        <w:ind w:firstLine="364" w:firstLineChars="152"/>
        <w:rPr>
          <w:sz w:val="24"/>
          <w:szCs w:val="32"/>
        </w:rPr>
      </w:pPr>
      <w:r>
        <w:rPr>
          <w:sz w:val="24"/>
          <w:szCs w:val="32"/>
        </w:rPr>
        <w:t>财务部门联系电话：</w:t>
      </w:r>
    </w:p>
    <w:p/>
    <w:p>
      <w:pPr>
        <w:pStyle w:val="5"/>
        <w:spacing w:before="0" w:after="0" w:line="360" w:lineRule="auto"/>
        <w:jc w:val="left"/>
        <w:rPr>
          <w:rFonts w:ascii="Times New Roman" w:hAnsi="Times New Roman" w:eastAsia="黑体"/>
          <w:b w:val="0"/>
          <w:bCs w:val="0"/>
        </w:rPr>
        <w:sectPr>
          <w:pgSz w:w="11906" w:h="16838"/>
          <w:pgMar w:top="1440" w:right="1440" w:bottom="1440" w:left="1797" w:header="851" w:footer="992" w:gutter="0"/>
          <w:pgNumType w:fmt="decimal"/>
          <w:cols w:space="720" w:num="1"/>
          <w:docGrid w:linePitch="312" w:charSpace="0"/>
        </w:sectPr>
      </w:pPr>
    </w:p>
    <w:p>
      <w:pPr>
        <w:pStyle w:val="5"/>
        <w:spacing w:before="0" w:after="0" w:line="360" w:lineRule="auto"/>
        <w:jc w:val="left"/>
        <w:rPr>
          <w:rFonts w:ascii="Times New Roman" w:hAnsi="Times New Roman" w:eastAsia="黑体"/>
          <w:b w:val="0"/>
          <w:bCs w:val="0"/>
        </w:rPr>
      </w:pPr>
      <w:r>
        <w:rPr>
          <w:rFonts w:ascii="Times New Roman" w:hAnsi="Times New Roman" w:eastAsia="黑体"/>
          <w:b w:val="0"/>
          <w:bCs w:val="0"/>
        </w:rPr>
        <w:t>（2）补充资料二：投标保证金转招标服务费说明（如有）</w:t>
      </w:r>
    </w:p>
    <w:p>
      <w:pPr>
        <w:pStyle w:val="19"/>
        <w:tabs>
          <w:tab w:val="left" w:pos="567"/>
        </w:tabs>
        <w:jc w:val="center"/>
        <w:rPr>
          <w:b/>
          <w:sz w:val="24"/>
        </w:rPr>
      </w:pPr>
    </w:p>
    <w:p>
      <w:pPr>
        <w:pStyle w:val="19"/>
        <w:tabs>
          <w:tab w:val="left" w:pos="567"/>
        </w:tabs>
        <w:jc w:val="center"/>
        <w:rPr>
          <w:sz w:val="22"/>
          <w:szCs w:val="28"/>
          <w:u w:val="single"/>
        </w:rPr>
      </w:pPr>
      <w:r>
        <w:rPr>
          <w:b/>
          <w:sz w:val="28"/>
          <w:szCs w:val="28"/>
        </w:rPr>
        <w:t>投标保证金转招标服务费说明</w:t>
      </w:r>
    </w:p>
    <w:p>
      <w:pPr>
        <w:adjustRightInd w:val="0"/>
        <w:snapToGrid w:val="0"/>
        <w:spacing w:line="360" w:lineRule="auto"/>
        <w:rPr>
          <w:snapToGrid w:val="0"/>
          <w:kern w:val="0"/>
          <w:sz w:val="24"/>
          <w:u w:val="single"/>
        </w:rPr>
      </w:pPr>
      <w:r>
        <w:rPr>
          <w:snapToGrid w:val="0"/>
          <w:kern w:val="0"/>
          <w:sz w:val="24"/>
          <w:u w:val="single"/>
        </w:rPr>
        <w:t>国信招标集团股份有限公司新疆分公司：</w:t>
      </w:r>
    </w:p>
    <w:p>
      <w:pPr>
        <w:spacing w:line="360" w:lineRule="auto"/>
        <w:ind w:firstLine="480" w:firstLineChars="200"/>
        <w:rPr>
          <w:sz w:val="24"/>
        </w:rPr>
      </w:pPr>
      <w:r>
        <w:rPr>
          <w:sz w:val="24"/>
        </w:rPr>
        <w:t>我方如在</w:t>
      </w:r>
      <w:r>
        <w:rPr>
          <w:rFonts w:hint="eastAsia"/>
          <w:sz w:val="24"/>
          <w:u w:val="single"/>
        </w:rPr>
        <w:t>新疆维吾尔自治区人民医院国产医疗设备采购项目</w:t>
      </w:r>
      <w:r>
        <w:rPr>
          <w:sz w:val="24"/>
        </w:rPr>
        <w:t>（项目编号：</w:t>
      </w:r>
      <w:r>
        <w:rPr>
          <w:rFonts w:hint="eastAsia"/>
          <w:sz w:val="24"/>
          <w:u w:val="single"/>
        </w:rPr>
        <w:t>GXTC-C-22510164</w:t>
      </w:r>
      <w:r>
        <w:rPr>
          <w:sz w:val="24"/>
        </w:rPr>
        <w:t>）</w:t>
      </w:r>
      <w:r>
        <w:rPr>
          <w:sz w:val="24"/>
          <w:u w:val="single"/>
        </w:rPr>
        <w:t xml:space="preserve"> </w:t>
      </w:r>
      <w:r>
        <w:rPr>
          <w:i/>
          <w:iCs/>
          <w:sz w:val="24"/>
          <w:u w:val="single"/>
        </w:rPr>
        <w:t>标项</w:t>
      </w:r>
      <w:r>
        <w:rPr>
          <w:rFonts w:hint="eastAsia"/>
          <w:i/>
          <w:iCs/>
          <w:color w:val="FF0000"/>
          <w:sz w:val="24"/>
          <w:u w:val="single"/>
        </w:rPr>
        <w:t>X</w:t>
      </w:r>
      <w:r>
        <w:rPr>
          <w:i/>
          <w:iCs/>
          <w:color w:val="FF0000"/>
          <w:sz w:val="24"/>
          <w:u w:val="single"/>
        </w:rPr>
        <w:t xml:space="preserve"> </w:t>
      </w:r>
      <w:r>
        <w:rPr>
          <w:sz w:val="24"/>
        </w:rPr>
        <w:t>（标项号）中中标，请按照《招标服务费通知单》中的服务费金额从我方交纳的</w:t>
      </w:r>
      <w:r>
        <w:rPr>
          <w:rFonts w:hint="eastAsia"/>
          <w:sz w:val="24"/>
        </w:rPr>
        <w:t xml:space="preserve"> </w:t>
      </w:r>
      <w:r>
        <w:rPr>
          <w:sz w:val="24"/>
          <w:u w:val="single"/>
        </w:rPr>
        <w:t xml:space="preserve">  </w:t>
      </w:r>
      <w:r>
        <w:rPr>
          <w:i/>
          <w:iCs/>
          <w:sz w:val="24"/>
          <w:u w:val="single"/>
        </w:rPr>
        <w:t xml:space="preserve">标项 </w:t>
      </w:r>
      <w:r>
        <w:rPr>
          <w:rFonts w:hint="eastAsia"/>
          <w:i/>
          <w:iCs/>
          <w:color w:val="FF0000"/>
          <w:sz w:val="24"/>
          <w:u w:val="single"/>
        </w:rPr>
        <w:t>X</w:t>
      </w:r>
      <w:r>
        <w:rPr>
          <w:i/>
          <w:iCs/>
          <w:sz w:val="24"/>
          <w:u w:val="single"/>
        </w:rPr>
        <w:t xml:space="preserve"> </w:t>
      </w:r>
      <w:r>
        <w:rPr>
          <w:sz w:val="24"/>
        </w:rPr>
        <w:t>（标项号）投标保证金RMB</w:t>
      </w:r>
      <w:r>
        <w:rPr>
          <w:sz w:val="24"/>
          <w:u w:val="single"/>
        </w:rPr>
        <w:t xml:space="preserve">  0000.00元 （大写：</w:t>
      </w:r>
      <w:r>
        <w:rPr>
          <w:rFonts w:hint="eastAsia"/>
          <w:i/>
          <w:iCs/>
          <w:color w:val="FF0000"/>
          <w:sz w:val="24"/>
          <w:u w:val="single"/>
        </w:rPr>
        <w:t>XXX</w:t>
      </w:r>
      <w:r>
        <w:rPr>
          <w:sz w:val="24"/>
          <w:u w:val="single"/>
        </w:rPr>
        <w:t>元整）</w:t>
      </w:r>
      <w:r>
        <w:rPr>
          <w:sz w:val="24"/>
        </w:rPr>
        <w:t>中扣除，并开具</w:t>
      </w:r>
    </w:p>
    <w:p>
      <w:pPr>
        <w:spacing w:line="360" w:lineRule="auto"/>
        <w:ind w:firstLine="480" w:firstLineChars="200"/>
        <w:rPr>
          <w:sz w:val="24"/>
        </w:rPr>
      </w:pPr>
      <w:r>
        <w:rPr>
          <w:rFonts w:eastAsiaTheme="minorEastAsia"/>
          <w:sz w:val="24"/>
        </w:rPr>
        <w:sym w:font="Wingdings 2" w:char="F0A3"/>
      </w:r>
      <w:r>
        <w:rPr>
          <w:sz w:val="24"/>
        </w:rPr>
        <w:t>增值税普通发票</w:t>
      </w:r>
    </w:p>
    <w:p>
      <w:pPr>
        <w:spacing w:line="360" w:lineRule="auto"/>
        <w:ind w:firstLine="480" w:firstLineChars="200"/>
        <w:rPr>
          <w:sz w:val="24"/>
        </w:rPr>
      </w:pPr>
      <w:r>
        <w:rPr>
          <w:sz w:val="24"/>
        </w:rPr>
        <w:sym w:font="Wingdings 2" w:char="F0A3"/>
      </w:r>
      <w:r>
        <w:rPr>
          <w:sz w:val="24"/>
        </w:rPr>
        <w:t>或按照以下信息开具增值税专用发票：</w:t>
      </w:r>
    </w:p>
    <w:p>
      <w:pPr>
        <w:spacing w:line="360" w:lineRule="auto"/>
        <w:ind w:firstLine="480" w:firstLineChars="200"/>
        <w:rPr>
          <w:sz w:val="24"/>
        </w:rPr>
      </w:pPr>
      <w:r>
        <w:rPr>
          <w:sz w:val="24"/>
        </w:rPr>
        <w:t>单位名称：</w:t>
      </w:r>
    </w:p>
    <w:p>
      <w:pPr>
        <w:spacing w:line="360" w:lineRule="auto"/>
        <w:ind w:firstLine="480" w:firstLineChars="200"/>
        <w:rPr>
          <w:sz w:val="24"/>
        </w:rPr>
      </w:pPr>
      <w:r>
        <w:rPr>
          <w:sz w:val="24"/>
        </w:rPr>
        <w:t>纳税人识别号：</w:t>
      </w:r>
    </w:p>
    <w:p>
      <w:pPr>
        <w:spacing w:line="360" w:lineRule="auto"/>
        <w:ind w:firstLine="480" w:firstLineChars="200"/>
        <w:rPr>
          <w:sz w:val="24"/>
        </w:rPr>
      </w:pPr>
      <w:r>
        <w:rPr>
          <w:sz w:val="24"/>
        </w:rPr>
        <w:t>地址：</w:t>
      </w:r>
    </w:p>
    <w:p>
      <w:pPr>
        <w:spacing w:line="360" w:lineRule="auto"/>
        <w:ind w:firstLine="480" w:firstLineChars="200"/>
        <w:rPr>
          <w:sz w:val="24"/>
        </w:rPr>
      </w:pPr>
      <w:r>
        <w:rPr>
          <w:sz w:val="24"/>
        </w:rPr>
        <w:t>电话：</w:t>
      </w:r>
    </w:p>
    <w:p>
      <w:pPr>
        <w:spacing w:line="360" w:lineRule="auto"/>
        <w:ind w:firstLine="480" w:firstLineChars="200"/>
        <w:rPr>
          <w:sz w:val="24"/>
        </w:rPr>
      </w:pPr>
      <w:r>
        <w:rPr>
          <w:sz w:val="24"/>
        </w:rPr>
        <w:t>开户行：</w:t>
      </w:r>
    </w:p>
    <w:p>
      <w:pPr>
        <w:spacing w:line="360" w:lineRule="auto"/>
        <w:ind w:firstLine="480" w:firstLineChars="200"/>
        <w:rPr>
          <w:sz w:val="24"/>
        </w:rPr>
      </w:pPr>
      <w:r>
        <w:rPr>
          <w:sz w:val="24"/>
        </w:rPr>
        <w:t>账号：</w:t>
      </w:r>
    </w:p>
    <w:p>
      <w:pPr>
        <w:spacing w:line="360" w:lineRule="auto"/>
        <w:ind w:firstLine="480" w:firstLineChars="200"/>
        <w:rPr>
          <w:sz w:val="24"/>
        </w:rPr>
      </w:pPr>
    </w:p>
    <w:p>
      <w:pPr>
        <w:spacing w:line="360" w:lineRule="auto"/>
        <w:ind w:firstLine="480" w:firstLineChars="200"/>
        <w:rPr>
          <w:sz w:val="24"/>
        </w:rPr>
      </w:pPr>
      <w:r>
        <w:rPr>
          <w:sz w:val="24"/>
        </w:rPr>
        <w:t xml:space="preserve">                                  投标人名称：</w:t>
      </w:r>
      <w:r>
        <w:rPr>
          <w:sz w:val="24"/>
          <w:u w:val="single"/>
        </w:rPr>
        <w:t xml:space="preserve">       </w:t>
      </w:r>
      <w:r>
        <w:rPr>
          <w:sz w:val="24"/>
        </w:rPr>
        <w:t>（公司公章）</w:t>
      </w:r>
    </w:p>
    <w:p>
      <w:pPr>
        <w:spacing w:line="360" w:lineRule="auto"/>
        <w:ind w:firstLine="480" w:firstLineChars="200"/>
        <w:rPr>
          <w:sz w:val="24"/>
        </w:rPr>
      </w:pPr>
      <w:r>
        <w:rPr>
          <w:sz w:val="24"/>
        </w:rPr>
        <w:t xml:space="preserve">                                         20  年  月  日</w:t>
      </w:r>
    </w:p>
    <w:p>
      <w:pPr>
        <w:adjustRightInd w:val="0"/>
        <w:snapToGrid w:val="0"/>
        <w:spacing w:line="360" w:lineRule="auto"/>
        <w:rPr>
          <w:sz w:val="24"/>
        </w:rPr>
      </w:pPr>
    </w:p>
    <w:bookmarkEnd w:id="356"/>
    <w:p>
      <w:pPr>
        <w:pStyle w:val="4"/>
        <w:spacing w:before="0" w:after="0" w:line="240" w:lineRule="auto"/>
        <w:rPr>
          <w:rFonts w:ascii="Times New Roman" w:hAnsi="Times New Roman"/>
          <w:sz w:val="28"/>
          <w:szCs w:val="28"/>
        </w:rPr>
        <w:sectPr>
          <w:pgSz w:w="11906" w:h="16838"/>
          <w:pgMar w:top="1440" w:right="1440" w:bottom="1440" w:left="1797" w:header="851" w:footer="992" w:gutter="0"/>
          <w:pgNumType w:fmt="decimal"/>
          <w:cols w:space="720" w:num="1"/>
          <w:docGrid w:linePitch="312" w:charSpace="0"/>
        </w:sectPr>
      </w:pPr>
      <w:bookmarkStart w:id="365" w:name="_Toc28435"/>
      <w:bookmarkStart w:id="366" w:name="_Toc3327"/>
    </w:p>
    <w:p>
      <w:pPr>
        <w:pStyle w:val="4"/>
        <w:spacing w:before="0" w:after="0" w:line="240" w:lineRule="auto"/>
        <w:rPr>
          <w:rFonts w:ascii="Times New Roman" w:hAnsi="Times New Roman"/>
          <w:sz w:val="28"/>
          <w:szCs w:val="28"/>
        </w:rPr>
      </w:pPr>
      <w:bookmarkStart w:id="367" w:name="_Toc103677769"/>
      <w:bookmarkStart w:id="368" w:name="_Toc29862"/>
      <w:r>
        <w:rPr>
          <w:rFonts w:hint="eastAsia" w:ascii="Times New Roman" w:hAnsi="Times New Roman"/>
          <w:sz w:val="28"/>
          <w:szCs w:val="28"/>
        </w:rPr>
        <w:t xml:space="preserve">第二部分 </w:t>
      </w:r>
      <w:r>
        <w:rPr>
          <w:rFonts w:ascii="Times New Roman" w:hAnsi="Times New Roman"/>
          <w:sz w:val="28"/>
          <w:szCs w:val="28"/>
        </w:rPr>
        <w:t xml:space="preserve"> 报价部分</w:t>
      </w:r>
      <w:bookmarkEnd w:id="367"/>
      <w:bookmarkEnd w:id="368"/>
    </w:p>
    <w:p>
      <w:pPr>
        <w:pStyle w:val="2"/>
        <w:spacing w:before="0" w:after="0" w:line="240" w:lineRule="auto"/>
        <w:rPr>
          <w:rFonts w:eastAsia="黑体"/>
          <w:sz w:val="28"/>
          <w:szCs w:val="28"/>
        </w:rPr>
      </w:pPr>
      <w:bookmarkStart w:id="369" w:name="_Toc9627"/>
      <w:bookmarkStart w:id="370" w:name="_Toc103677770"/>
      <w:r>
        <w:rPr>
          <w:rFonts w:hint="eastAsia" w:eastAsia="黑体"/>
          <w:sz w:val="28"/>
          <w:szCs w:val="28"/>
        </w:rPr>
        <w:t>一、</w:t>
      </w:r>
      <w:r>
        <w:rPr>
          <w:rFonts w:eastAsia="黑体"/>
          <w:sz w:val="28"/>
          <w:szCs w:val="28"/>
        </w:rPr>
        <w:t>开标一览表</w:t>
      </w:r>
      <w:bookmarkEnd w:id="369"/>
      <w:bookmarkEnd w:id="370"/>
    </w:p>
    <w:bookmarkEnd w:id="365"/>
    <w:bookmarkEnd w:id="366"/>
    <w:p>
      <w:pPr>
        <w:spacing w:line="360" w:lineRule="auto"/>
        <w:jc w:val="center"/>
        <w:rPr>
          <w:rFonts w:eastAsia="黑体"/>
          <w:b/>
          <w:bCs/>
          <w:sz w:val="32"/>
          <w:szCs w:val="32"/>
        </w:rPr>
      </w:pPr>
      <w:r>
        <w:rPr>
          <w:rFonts w:eastAsia="黑体"/>
          <w:b/>
          <w:bCs/>
          <w:sz w:val="32"/>
          <w:szCs w:val="32"/>
        </w:rPr>
        <w:t>开标一览表</w:t>
      </w:r>
    </w:p>
    <w:tbl>
      <w:tblPr>
        <w:tblStyle w:val="41"/>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946"/>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3" w:hRule="atLeast"/>
          <w:jc w:val="center"/>
        </w:trPr>
        <w:tc>
          <w:tcPr>
            <w:tcW w:w="1946" w:type="dxa"/>
            <w:vAlign w:val="center"/>
          </w:tcPr>
          <w:p>
            <w:pPr>
              <w:ind w:left="141" w:leftChars="67" w:right="103" w:rightChars="49"/>
              <w:jc w:val="center"/>
              <w:rPr>
                <w:b/>
                <w:sz w:val="24"/>
              </w:rPr>
            </w:pPr>
            <w:r>
              <w:rPr>
                <w:b/>
                <w:sz w:val="24"/>
              </w:rPr>
              <w:t>项目编号</w:t>
            </w:r>
          </w:p>
        </w:tc>
        <w:tc>
          <w:tcPr>
            <w:tcW w:w="6504" w:type="dxa"/>
            <w:vAlign w:val="center"/>
          </w:tcPr>
          <w:p>
            <w:pPr>
              <w:ind w:left="189" w:leftChars="90" w:firstLine="1"/>
              <w:jc w:val="left"/>
              <w:rPr>
                <w:sz w:val="24"/>
              </w:rPr>
            </w:pPr>
            <w:r>
              <w:rPr>
                <w:rFonts w:hint="eastAsia"/>
                <w:sz w:val="24"/>
              </w:rPr>
              <w:t>GXTC-C-22510164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98" w:hRule="atLeast"/>
          <w:jc w:val="center"/>
        </w:trPr>
        <w:tc>
          <w:tcPr>
            <w:tcW w:w="1946" w:type="dxa"/>
            <w:vAlign w:val="center"/>
          </w:tcPr>
          <w:p>
            <w:pPr>
              <w:ind w:left="141" w:leftChars="67" w:right="103" w:rightChars="49"/>
              <w:jc w:val="center"/>
              <w:rPr>
                <w:b/>
                <w:sz w:val="24"/>
              </w:rPr>
            </w:pPr>
            <w:r>
              <w:rPr>
                <w:b/>
                <w:bCs/>
                <w:sz w:val="24"/>
              </w:rPr>
              <w:t>项目名称</w:t>
            </w:r>
          </w:p>
        </w:tc>
        <w:tc>
          <w:tcPr>
            <w:tcW w:w="6504" w:type="dxa"/>
            <w:vAlign w:val="center"/>
          </w:tcPr>
          <w:p>
            <w:pPr>
              <w:ind w:left="189" w:leftChars="90" w:firstLine="1"/>
              <w:jc w:val="left"/>
              <w:rPr>
                <w:sz w:val="24"/>
              </w:rPr>
            </w:pPr>
            <w:r>
              <w:rPr>
                <w:rFonts w:hint="eastAsia"/>
                <w:sz w:val="24"/>
              </w:rPr>
              <w:t>新疆维吾尔自治区人民医院国产医疗设备采购项目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3" w:hRule="atLeast"/>
          <w:jc w:val="center"/>
        </w:trPr>
        <w:tc>
          <w:tcPr>
            <w:tcW w:w="1946" w:type="dxa"/>
            <w:vAlign w:val="center"/>
          </w:tcPr>
          <w:p>
            <w:pPr>
              <w:ind w:left="-13" w:leftChars="-6"/>
              <w:jc w:val="center"/>
              <w:rPr>
                <w:b/>
                <w:sz w:val="24"/>
              </w:rPr>
            </w:pPr>
            <w:r>
              <w:rPr>
                <w:b/>
                <w:sz w:val="24"/>
              </w:rPr>
              <w:t>标项名称</w:t>
            </w:r>
          </w:p>
        </w:tc>
        <w:tc>
          <w:tcPr>
            <w:tcW w:w="6504" w:type="dxa"/>
            <w:vAlign w:val="center"/>
          </w:tcPr>
          <w:p>
            <w:pPr>
              <w:ind w:left="189" w:leftChars="90" w:firstLine="1"/>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3" w:hRule="atLeast"/>
          <w:jc w:val="center"/>
        </w:trPr>
        <w:tc>
          <w:tcPr>
            <w:tcW w:w="1946" w:type="dxa"/>
            <w:vAlign w:val="center"/>
          </w:tcPr>
          <w:p>
            <w:pPr>
              <w:ind w:left="-13" w:leftChars="-6"/>
              <w:jc w:val="center"/>
              <w:rPr>
                <w:b/>
                <w:sz w:val="24"/>
              </w:rPr>
            </w:pPr>
            <w:r>
              <w:rPr>
                <w:b/>
                <w:sz w:val="24"/>
              </w:rPr>
              <w:t>标项号</w:t>
            </w:r>
          </w:p>
        </w:tc>
        <w:tc>
          <w:tcPr>
            <w:tcW w:w="6504" w:type="dxa"/>
            <w:vAlign w:val="center"/>
          </w:tcPr>
          <w:p>
            <w:pPr>
              <w:ind w:left="189" w:leftChars="90" w:firstLine="1"/>
              <w:jc w:val="left"/>
              <w:rPr>
                <w:sz w:val="24"/>
              </w:rPr>
            </w:pPr>
            <w:r>
              <w:rPr>
                <w:sz w:val="24"/>
              </w:rPr>
              <w:t>标项一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86" w:hRule="atLeast"/>
          <w:jc w:val="center"/>
        </w:trPr>
        <w:tc>
          <w:tcPr>
            <w:tcW w:w="1946" w:type="dxa"/>
            <w:vAlign w:val="center"/>
          </w:tcPr>
          <w:p>
            <w:pPr>
              <w:ind w:left="-13" w:leftChars="-6"/>
              <w:jc w:val="center"/>
              <w:rPr>
                <w:b/>
                <w:sz w:val="24"/>
              </w:rPr>
            </w:pPr>
            <w:r>
              <w:rPr>
                <w:b/>
                <w:sz w:val="24"/>
              </w:rPr>
              <w:t>投标报价</w:t>
            </w:r>
          </w:p>
          <w:p>
            <w:pPr>
              <w:ind w:left="-13" w:leftChars="-6"/>
              <w:jc w:val="center"/>
              <w:rPr>
                <w:b/>
                <w:sz w:val="24"/>
              </w:rPr>
            </w:pPr>
            <w:r>
              <w:rPr>
                <w:b/>
                <w:sz w:val="24"/>
              </w:rPr>
              <w:t>（元）</w:t>
            </w:r>
          </w:p>
        </w:tc>
        <w:tc>
          <w:tcPr>
            <w:tcW w:w="6504" w:type="dxa"/>
            <w:vAlign w:val="center"/>
          </w:tcPr>
          <w:p>
            <w:pPr>
              <w:ind w:left="189" w:leftChars="90" w:firstLine="1"/>
              <w:jc w:val="left"/>
              <w:rPr>
                <w:sz w:val="24"/>
              </w:rPr>
            </w:pPr>
            <w:r>
              <w:rPr>
                <w:sz w:val="24"/>
              </w:rPr>
              <w:t>人民币（小写金额）：</w:t>
            </w:r>
            <w:r>
              <w:rPr>
                <w:sz w:val="24"/>
                <w:u w:val="single"/>
              </w:rPr>
              <w:t xml:space="preserve">                         </w:t>
            </w:r>
            <w:r>
              <w:rPr>
                <w:sz w:val="24"/>
              </w:rPr>
              <w:t>元</w:t>
            </w:r>
          </w:p>
          <w:p>
            <w:pPr>
              <w:ind w:left="189" w:leftChars="90" w:firstLine="1"/>
              <w:jc w:val="left"/>
              <w:rPr>
                <w:sz w:val="24"/>
                <w:u w:val="single"/>
              </w:rPr>
            </w:pPr>
            <w:r>
              <w:rPr>
                <w:sz w:val="24"/>
              </w:rPr>
              <w:t>人民币（大写金额）：</w:t>
            </w:r>
            <w:r>
              <w:rPr>
                <w:sz w:val="24"/>
                <w:u w:val="single"/>
              </w:rPr>
              <w:t xml:space="preserve">                          </w:t>
            </w:r>
          </w:p>
          <w:p>
            <w:pPr>
              <w:ind w:left="189" w:leftChars="90" w:firstLine="1"/>
              <w:jc w:val="left"/>
              <w:rPr>
                <w:sz w:val="24"/>
              </w:rPr>
            </w:pPr>
            <w:r>
              <w:rPr>
                <w:sz w:val="24"/>
              </w:rPr>
              <w:t>注：如有不一致，以大写为准。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0" w:hRule="atLeast"/>
          <w:jc w:val="center"/>
        </w:trPr>
        <w:tc>
          <w:tcPr>
            <w:tcW w:w="1946" w:type="dxa"/>
            <w:vAlign w:val="center"/>
          </w:tcPr>
          <w:p>
            <w:pPr>
              <w:ind w:left="-13" w:leftChars="-6"/>
              <w:jc w:val="center"/>
              <w:rPr>
                <w:b/>
                <w:sz w:val="24"/>
              </w:rPr>
            </w:pPr>
            <w:r>
              <w:rPr>
                <w:b/>
                <w:sz w:val="24"/>
              </w:rPr>
              <w:t>投标保证金</w:t>
            </w:r>
          </w:p>
        </w:tc>
        <w:tc>
          <w:tcPr>
            <w:tcW w:w="6504" w:type="dxa"/>
            <w:vAlign w:val="center"/>
          </w:tcPr>
          <w:p>
            <w:pPr>
              <w:ind w:left="189" w:leftChars="90" w:firstLine="1"/>
              <w:jc w:val="left"/>
              <w:rPr>
                <w:sz w:val="24"/>
              </w:rPr>
            </w:pPr>
            <w:r>
              <w:rPr>
                <w:sz w:val="24"/>
              </w:rPr>
              <w:t>人民币</w:t>
            </w:r>
            <w:r>
              <w:rPr>
                <w:sz w:val="24"/>
                <w:u w:val="single"/>
              </w:rPr>
              <w:t xml:space="preserve">   </w:t>
            </w:r>
            <w:r>
              <w:rPr>
                <w:rFonts w:hint="eastAsia"/>
                <w:sz w:val="24"/>
                <w:u w:val="single"/>
              </w:rPr>
              <w:t xml:space="preserve"> </w:t>
            </w:r>
            <w:r>
              <w:rPr>
                <w:sz w:val="24"/>
                <w:u w:val="single"/>
              </w:rPr>
              <w:t xml:space="preserve">   </w:t>
            </w:r>
            <w:r>
              <w:rPr>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1" w:hRule="atLeast"/>
          <w:jc w:val="center"/>
        </w:trPr>
        <w:tc>
          <w:tcPr>
            <w:tcW w:w="1946" w:type="dxa"/>
            <w:vAlign w:val="center"/>
          </w:tcPr>
          <w:p>
            <w:pPr>
              <w:ind w:left="-13" w:leftChars="-6"/>
              <w:jc w:val="center"/>
              <w:rPr>
                <w:b/>
                <w:sz w:val="24"/>
              </w:rPr>
            </w:pPr>
            <w:r>
              <w:rPr>
                <w:b/>
                <w:sz w:val="24"/>
              </w:rPr>
              <w:t>交货期</w:t>
            </w:r>
          </w:p>
        </w:tc>
        <w:tc>
          <w:tcPr>
            <w:tcW w:w="6504" w:type="dxa"/>
            <w:vAlign w:val="center"/>
          </w:tcPr>
          <w:p>
            <w:pPr>
              <w:ind w:left="189" w:leftChars="90" w:firstLine="1"/>
              <w:jc w:val="left"/>
              <w:rPr>
                <w:sz w:val="24"/>
              </w:rPr>
            </w:pPr>
            <w:r>
              <w:rPr>
                <w:rFonts w:hint="eastAsia"/>
                <w:sz w:val="24"/>
              </w:rPr>
              <w:t>自采购人发出采购通知之日起</w:t>
            </w:r>
            <w:r>
              <w:rPr>
                <w:rFonts w:hint="eastAsia"/>
                <w:sz w:val="24"/>
                <w:u w:val="single"/>
              </w:rPr>
              <w:t>30</w:t>
            </w:r>
            <w:r>
              <w:rPr>
                <w:rFonts w:hint="eastAsia"/>
                <w:sz w:val="24"/>
              </w:rPr>
              <w:t>个工作日内完成供货；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1" w:hRule="atLeast"/>
          <w:jc w:val="center"/>
        </w:trPr>
        <w:tc>
          <w:tcPr>
            <w:tcW w:w="1946" w:type="dxa"/>
            <w:vAlign w:val="center"/>
          </w:tcPr>
          <w:p>
            <w:pPr>
              <w:ind w:left="-13" w:leftChars="-6"/>
              <w:jc w:val="center"/>
              <w:rPr>
                <w:b/>
                <w:sz w:val="24"/>
              </w:rPr>
            </w:pPr>
            <w:r>
              <w:rPr>
                <w:b/>
                <w:sz w:val="24"/>
              </w:rPr>
              <w:t>交货地点</w:t>
            </w:r>
          </w:p>
        </w:tc>
        <w:tc>
          <w:tcPr>
            <w:tcW w:w="6504" w:type="dxa"/>
            <w:vAlign w:val="center"/>
          </w:tcPr>
          <w:p>
            <w:pPr>
              <w:ind w:left="189" w:leftChars="90" w:firstLine="1"/>
              <w:jc w:val="left"/>
              <w:rPr>
                <w:sz w:val="24"/>
              </w:rPr>
            </w:pPr>
            <w:r>
              <w:rPr>
                <w:sz w:val="24"/>
              </w:rPr>
              <w:t>新疆维吾尔自治区人民医院，最终按甲方指定地点验收、交货。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9" w:hRule="atLeast"/>
          <w:jc w:val="center"/>
        </w:trPr>
        <w:tc>
          <w:tcPr>
            <w:tcW w:w="1946" w:type="dxa"/>
            <w:vAlign w:val="center"/>
          </w:tcPr>
          <w:p>
            <w:pPr>
              <w:jc w:val="center"/>
              <w:rPr>
                <w:b/>
                <w:sz w:val="24"/>
              </w:rPr>
            </w:pPr>
            <w:r>
              <w:rPr>
                <w:b/>
                <w:sz w:val="24"/>
              </w:rPr>
              <w:t>其他声明（如有）</w:t>
            </w:r>
          </w:p>
        </w:tc>
        <w:tc>
          <w:tcPr>
            <w:tcW w:w="6504" w:type="dxa"/>
            <w:vAlign w:val="center"/>
          </w:tcPr>
          <w:p>
            <w:pPr>
              <w:ind w:left="899" w:leftChars="428" w:firstLine="1"/>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9" w:hRule="atLeast"/>
          <w:jc w:val="center"/>
        </w:trPr>
        <w:tc>
          <w:tcPr>
            <w:tcW w:w="8450" w:type="dxa"/>
            <w:gridSpan w:val="2"/>
            <w:vAlign w:val="center"/>
          </w:tcPr>
          <w:p>
            <w:pPr>
              <w:ind w:left="82" w:leftChars="39" w:firstLine="480" w:firstLineChars="200"/>
              <w:jc w:val="left"/>
              <w:rPr>
                <w:sz w:val="24"/>
                <w:u w:val="single"/>
              </w:rPr>
            </w:pPr>
            <w:r>
              <w:rPr>
                <w:rFonts w:hint="eastAsia"/>
                <w:sz w:val="24"/>
              </w:rPr>
              <w:t>我方属于</w:t>
            </w:r>
            <w:r>
              <w:rPr>
                <w:rFonts w:hint="eastAsia"/>
                <w:sz w:val="24"/>
                <w:u w:val="single"/>
              </w:rPr>
              <w:t xml:space="preserve">    </w:t>
            </w:r>
            <w:r>
              <w:rPr>
                <w:sz w:val="24"/>
                <w:u w:val="single"/>
              </w:rPr>
              <w:t xml:space="preserve">         </w:t>
            </w:r>
            <w:r>
              <w:rPr>
                <w:rFonts w:hint="eastAsia"/>
                <w:sz w:val="24"/>
                <w:u w:val="single"/>
              </w:rPr>
              <w:t>（填写示例：小型企业）。</w:t>
            </w:r>
          </w:p>
          <w:p>
            <w:pPr>
              <w:ind w:left="899" w:leftChars="428" w:firstLine="1"/>
              <w:rPr>
                <w:sz w:val="24"/>
              </w:rPr>
            </w:pPr>
            <w:r>
              <w:rPr>
                <w:rFonts w:hint="eastAsia"/>
                <w:sz w:val="24"/>
              </w:rPr>
              <w:t>注：请根据供应商实际情况，在横线处填写：</w:t>
            </w:r>
            <w:r>
              <w:rPr>
                <w:rFonts w:hint="eastAsia"/>
                <w:b/>
                <w:bCs/>
                <w:sz w:val="24"/>
              </w:rPr>
              <w:t>大/中/小/微型企业，或监狱企业，或残疾人福利性单位。</w:t>
            </w:r>
          </w:p>
        </w:tc>
      </w:tr>
    </w:tbl>
    <w:p>
      <w:pPr>
        <w:pStyle w:val="80"/>
        <w:tabs>
          <w:tab w:val="left" w:pos="5580"/>
        </w:tabs>
        <w:spacing w:before="120"/>
        <w:ind w:firstLine="720" w:firstLineChars="300"/>
        <w:rPr>
          <w:rFonts w:ascii="Times New Roman" w:hAnsi="Times New Roman" w:cs="Times New Roman"/>
          <w:sz w:val="24"/>
        </w:rPr>
      </w:pPr>
      <w:r>
        <w:rPr>
          <w:rFonts w:ascii="Times New Roman" w:hAnsi="Times New Roman" w:cs="Times New Roman"/>
          <w:sz w:val="24"/>
        </w:rPr>
        <w:t>投标人名称（盖章）：</w:t>
      </w:r>
      <w:r>
        <w:rPr>
          <w:rFonts w:ascii="Times New Roman" w:hAnsi="Times New Roman" w:cs="Times New Roman"/>
          <w:sz w:val="24"/>
          <w:u w:val="single"/>
        </w:rPr>
        <w:t xml:space="preserve">                              </w:t>
      </w:r>
    </w:p>
    <w:p>
      <w:pPr>
        <w:pStyle w:val="80"/>
        <w:tabs>
          <w:tab w:val="left" w:pos="5340"/>
        </w:tabs>
        <w:spacing w:before="120"/>
        <w:ind w:firstLine="720" w:firstLineChars="300"/>
        <w:rPr>
          <w:rFonts w:ascii="Times New Roman" w:hAnsi="Times New Roman" w:cs="Times New Roman"/>
          <w:sz w:val="24"/>
          <w:u w:val="single"/>
        </w:rPr>
      </w:pPr>
      <w:r>
        <w:rPr>
          <w:rFonts w:ascii="Times New Roman" w:hAnsi="Times New Roman" w:cs="Times New Roman"/>
          <w:kern w:val="0"/>
          <w:sz w:val="24"/>
        </w:rPr>
        <w:t>法定代表人或其委托代理人</w:t>
      </w:r>
      <w:r>
        <w:rPr>
          <w:rFonts w:ascii="Times New Roman" w:hAnsi="Times New Roman" w:cs="Times New Roman"/>
          <w:sz w:val="24"/>
        </w:rPr>
        <w:t>(</w:t>
      </w:r>
      <w:r>
        <w:rPr>
          <w:rFonts w:ascii="Times New Roman" w:hAnsi="Times New Roman" w:cs="Times New Roman"/>
        </w:rPr>
        <w:t>签字或加盖人名章</w:t>
      </w:r>
      <w:r>
        <w:rPr>
          <w:rFonts w:ascii="Times New Roman" w:hAnsi="Times New Roman" w:cs="Times New Roman"/>
          <w:sz w:val="24"/>
        </w:rPr>
        <w:t>)：</w:t>
      </w:r>
      <w:r>
        <w:rPr>
          <w:rFonts w:ascii="Times New Roman" w:hAnsi="Times New Roman" w:cs="Times New Roman"/>
          <w:sz w:val="24"/>
          <w:u w:val="single"/>
        </w:rPr>
        <w:tab/>
      </w:r>
      <w:r>
        <w:rPr>
          <w:rFonts w:ascii="Times New Roman" w:hAnsi="Times New Roman" w:cs="Times New Roman"/>
          <w:sz w:val="24"/>
          <w:u w:val="single"/>
        </w:rPr>
        <w:t xml:space="preserve">       </w:t>
      </w:r>
    </w:p>
    <w:p>
      <w:pPr>
        <w:pStyle w:val="80"/>
        <w:tabs>
          <w:tab w:val="left" w:pos="5580"/>
        </w:tabs>
        <w:spacing w:before="120"/>
        <w:ind w:firstLine="720" w:firstLineChars="300"/>
        <w:rPr>
          <w:rFonts w:ascii="Times New Roman" w:hAnsi="Times New Roman" w:cs="Times New Roman"/>
          <w:sz w:val="24"/>
          <w:u w:val="single"/>
        </w:rPr>
      </w:pPr>
      <w:r>
        <w:rPr>
          <w:rFonts w:ascii="Times New Roman" w:hAnsi="Times New Roman" w:cs="Times New Roman"/>
          <w:sz w:val="24"/>
        </w:rPr>
        <w:t>日期：</w:t>
      </w:r>
      <w:r>
        <w:rPr>
          <w:rFonts w:ascii="Times New Roman" w:hAnsi="Times New Roman" w:cs="Times New Roman"/>
          <w:sz w:val="24"/>
          <w:u w:val="single"/>
        </w:rPr>
        <w:t xml:space="preserve">                                             </w:t>
      </w:r>
    </w:p>
    <w:p>
      <w:pPr>
        <w:spacing w:line="480" w:lineRule="exact"/>
        <w:ind w:firstLine="482" w:firstLineChars="200"/>
        <w:rPr>
          <w:rFonts w:eastAsia="仿宋_GB2312"/>
          <w:b/>
          <w:kern w:val="0"/>
          <w:sz w:val="24"/>
          <w:szCs w:val="28"/>
        </w:rPr>
      </w:pPr>
    </w:p>
    <w:p>
      <w:pPr>
        <w:jc w:val="left"/>
        <w:sectPr>
          <w:pgSz w:w="11906" w:h="16838"/>
          <w:pgMar w:top="1440" w:right="1440" w:bottom="1440" w:left="1797" w:header="851" w:footer="992" w:gutter="0"/>
          <w:pgNumType w:fmt="decimal"/>
          <w:cols w:space="720" w:num="1"/>
          <w:docGrid w:linePitch="312" w:charSpace="0"/>
        </w:sectPr>
      </w:pPr>
      <w:r>
        <w:rPr>
          <w:b/>
          <w:sz w:val="28"/>
          <w:szCs w:val="36"/>
        </w:rPr>
        <w:t>（注：《开标一览表》除在投标文件中提供外，还须单独密封提交一份）</w:t>
      </w:r>
    </w:p>
    <w:p>
      <w:pPr>
        <w:pStyle w:val="2"/>
        <w:spacing w:before="0" w:after="0" w:line="240" w:lineRule="auto"/>
        <w:rPr>
          <w:rFonts w:eastAsia="黑体"/>
          <w:sz w:val="28"/>
          <w:szCs w:val="28"/>
        </w:rPr>
      </w:pPr>
      <w:bookmarkStart w:id="371" w:name="_Toc103677771"/>
      <w:bookmarkStart w:id="372" w:name="_Toc16625"/>
      <w:r>
        <w:rPr>
          <w:rFonts w:hint="eastAsia" w:eastAsia="黑体"/>
          <w:sz w:val="28"/>
          <w:szCs w:val="28"/>
        </w:rPr>
        <w:t>二、</w:t>
      </w:r>
      <w:r>
        <w:rPr>
          <w:rFonts w:eastAsia="黑体"/>
          <w:sz w:val="28"/>
          <w:szCs w:val="28"/>
        </w:rPr>
        <w:t>投标</w:t>
      </w:r>
      <w:r>
        <w:rPr>
          <w:rFonts w:hint="eastAsia" w:eastAsia="黑体"/>
          <w:sz w:val="28"/>
          <w:szCs w:val="28"/>
        </w:rPr>
        <w:t>分项</w:t>
      </w:r>
      <w:r>
        <w:rPr>
          <w:rFonts w:eastAsia="黑体"/>
          <w:sz w:val="28"/>
          <w:szCs w:val="28"/>
        </w:rPr>
        <w:t>报价表</w:t>
      </w:r>
      <w:bookmarkEnd w:id="371"/>
      <w:bookmarkEnd w:id="372"/>
    </w:p>
    <w:p>
      <w:pPr>
        <w:spacing w:line="360" w:lineRule="auto"/>
        <w:ind w:firstLine="480" w:firstLineChars="200"/>
        <w:rPr>
          <w:sz w:val="24"/>
        </w:rPr>
      </w:pPr>
    </w:p>
    <w:p>
      <w:pPr>
        <w:spacing w:line="360" w:lineRule="auto"/>
        <w:outlineLvl w:val="2"/>
        <w:rPr>
          <w:rFonts w:ascii="宋体" w:hAnsi="宋体"/>
          <w:sz w:val="24"/>
        </w:rPr>
      </w:pPr>
      <w:bookmarkStart w:id="373" w:name="_Toc27049"/>
      <w:bookmarkStart w:id="374" w:name="_Toc25369"/>
      <w:bookmarkStart w:id="375" w:name="_Toc100686683"/>
      <w:bookmarkStart w:id="376" w:name="_Toc22784"/>
      <w:bookmarkStart w:id="377" w:name="_Toc29138"/>
      <w:bookmarkStart w:id="378" w:name="_Toc13515"/>
      <w:r>
        <w:rPr>
          <w:rFonts w:hint="eastAsia" w:ascii="宋体" w:hAnsi="宋体"/>
          <w:sz w:val="24"/>
        </w:rPr>
        <w:t>附件</w:t>
      </w:r>
      <w:r>
        <w:rPr>
          <w:rFonts w:ascii="宋体" w:hAnsi="宋体"/>
          <w:sz w:val="24"/>
        </w:rPr>
        <w:t>2</w:t>
      </w:r>
      <w:r>
        <w:rPr>
          <w:rFonts w:hint="eastAsia" w:ascii="宋体" w:hAnsi="宋体"/>
          <w:sz w:val="24"/>
        </w:rPr>
        <w:t>-1   投标货物分项</w:t>
      </w:r>
      <w:bookmarkEnd w:id="373"/>
      <w:bookmarkEnd w:id="374"/>
      <w:r>
        <w:rPr>
          <w:rFonts w:hint="eastAsia" w:ascii="宋体" w:hAnsi="宋体"/>
          <w:sz w:val="24"/>
        </w:rPr>
        <w:t>报价表</w:t>
      </w:r>
      <w:bookmarkEnd w:id="375"/>
      <w:bookmarkEnd w:id="376"/>
    </w:p>
    <w:p>
      <w:pPr>
        <w:spacing w:line="480" w:lineRule="exact"/>
        <w:ind w:firstLine="420" w:firstLineChars="200"/>
        <w:jc w:val="left"/>
        <w:rPr>
          <w:rFonts w:ascii="宋体" w:hAnsi="宋体"/>
          <w:szCs w:val="21"/>
        </w:rPr>
      </w:pPr>
      <w:r>
        <w:rPr>
          <w:rFonts w:hint="eastAsia" w:ascii="宋体" w:hAnsi="宋体"/>
          <w:szCs w:val="21"/>
        </w:rPr>
        <w:t>项目编号</w:t>
      </w:r>
      <w:r>
        <w:rPr>
          <w:rFonts w:ascii="宋体" w:hAnsi="宋体"/>
          <w:szCs w:val="21"/>
        </w:rPr>
        <w:t>：</w:t>
      </w:r>
      <w:r>
        <w:rPr>
          <w:rFonts w:hint="eastAsia" w:ascii="宋体" w:hAnsi="宋体"/>
          <w:szCs w:val="21"/>
        </w:rPr>
        <w:t xml:space="preserve">  </w:t>
      </w:r>
    </w:p>
    <w:p>
      <w:pPr>
        <w:pStyle w:val="432"/>
      </w:pPr>
      <w:r>
        <w:rPr>
          <w:rFonts w:hint="eastAsia" w:ascii="宋体" w:hAnsi="宋体"/>
          <w:szCs w:val="21"/>
        </w:rPr>
        <w:t xml:space="preserve">    </w:t>
      </w:r>
      <w:r>
        <w:rPr>
          <w:rFonts w:hint="eastAsia" w:ascii="宋体" w:hAnsi="宋体" w:eastAsia="宋体" w:cs="Times New Roman"/>
          <w:kern w:val="2"/>
          <w:sz w:val="21"/>
          <w:szCs w:val="21"/>
        </w:rPr>
        <w:t>标项号：</w:t>
      </w:r>
    </w:p>
    <w:p>
      <w:pPr>
        <w:spacing w:line="480" w:lineRule="exact"/>
        <w:ind w:firstLine="482" w:firstLineChars="200"/>
        <w:jc w:val="center"/>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投标货物分项报价表</w:t>
      </w:r>
    </w:p>
    <w:tbl>
      <w:tblPr>
        <w:tblStyle w:val="41"/>
        <w:tblW w:w="13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233"/>
        <w:gridCol w:w="1115"/>
        <w:gridCol w:w="1014"/>
        <w:gridCol w:w="957"/>
        <w:gridCol w:w="851"/>
        <w:gridCol w:w="851"/>
        <w:gridCol w:w="1147"/>
        <w:gridCol w:w="1546"/>
        <w:gridCol w:w="850"/>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宋体" w:hAnsi="宋体"/>
                <w:b/>
                <w:szCs w:val="21"/>
              </w:rPr>
            </w:pPr>
            <w:r>
              <w:rPr>
                <w:rFonts w:ascii="宋体" w:hAnsi="宋体"/>
                <w:b/>
                <w:szCs w:val="21"/>
              </w:rPr>
              <w:t>1</w:t>
            </w:r>
          </w:p>
        </w:tc>
        <w:tc>
          <w:tcPr>
            <w:tcW w:w="1233" w:type="dxa"/>
            <w:vAlign w:val="center"/>
          </w:tcPr>
          <w:p>
            <w:pPr>
              <w:snapToGrid w:val="0"/>
              <w:jc w:val="center"/>
              <w:rPr>
                <w:rFonts w:ascii="宋体" w:hAnsi="宋体"/>
                <w:b/>
                <w:szCs w:val="21"/>
              </w:rPr>
            </w:pPr>
            <w:r>
              <w:rPr>
                <w:rFonts w:ascii="宋体" w:hAnsi="宋体"/>
                <w:b/>
                <w:szCs w:val="21"/>
              </w:rPr>
              <w:t>2</w:t>
            </w:r>
          </w:p>
        </w:tc>
        <w:tc>
          <w:tcPr>
            <w:tcW w:w="1115" w:type="dxa"/>
            <w:vAlign w:val="center"/>
          </w:tcPr>
          <w:p>
            <w:pPr>
              <w:snapToGrid w:val="0"/>
              <w:jc w:val="center"/>
              <w:rPr>
                <w:rFonts w:ascii="宋体" w:hAnsi="宋体"/>
                <w:b/>
                <w:szCs w:val="21"/>
              </w:rPr>
            </w:pPr>
            <w:r>
              <w:rPr>
                <w:rFonts w:hint="eastAsia" w:ascii="宋体" w:hAnsi="宋体"/>
                <w:b/>
                <w:szCs w:val="21"/>
              </w:rPr>
              <w:t>3</w:t>
            </w:r>
          </w:p>
        </w:tc>
        <w:tc>
          <w:tcPr>
            <w:tcW w:w="1014" w:type="dxa"/>
            <w:vAlign w:val="center"/>
          </w:tcPr>
          <w:p>
            <w:pPr>
              <w:snapToGrid w:val="0"/>
              <w:jc w:val="center"/>
              <w:rPr>
                <w:rFonts w:ascii="宋体" w:hAnsi="宋体"/>
                <w:b/>
                <w:szCs w:val="21"/>
              </w:rPr>
            </w:pPr>
            <w:r>
              <w:rPr>
                <w:rFonts w:hint="eastAsia" w:ascii="宋体" w:hAnsi="宋体"/>
                <w:b/>
                <w:szCs w:val="21"/>
              </w:rPr>
              <w:t>4</w:t>
            </w:r>
          </w:p>
        </w:tc>
        <w:tc>
          <w:tcPr>
            <w:tcW w:w="957" w:type="dxa"/>
            <w:vAlign w:val="center"/>
          </w:tcPr>
          <w:p>
            <w:pPr>
              <w:snapToGrid w:val="0"/>
              <w:jc w:val="center"/>
              <w:rPr>
                <w:rFonts w:ascii="宋体" w:hAnsi="宋体"/>
                <w:b/>
                <w:szCs w:val="21"/>
              </w:rPr>
            </w:pPr>
            <w:r>
              <w:rPr>
                <w:rFonts w:hint="eastAsia" w:ascii="宋体" w:hAnsi="宋体"/>
                <w:b/>
                <w:szCs w:val="21"/>
              </w:rPr>
              <w:t>5</w:t>
            </w:r>
          </w:p>
        </w:tc>
        <w:tc>
          <w:tcPr>
            <w:tcW w:w="851" w:type="dxa"/>
            <w:vAlign w:val="center"/>
          </w:tcPr>
          <w:p>
            <w:pPr>
              <w:snapToGrid w:val="0"/>
              <w:jc w:val="center"/>
              <w:rPr>
                <w:rFonts w:ascii="宋体" w:hAnsi="宋体"/>
                <w:b/>
                <w:szCs w:val="21"/>
              </w:rPr>
            </w:pPr>
            <w:r>
              <w:rPr>
                <w:rFonts w:hint="eastAsia" w:ascii="宋体" w:hAnsi="宋体"/>
                <w:b/>
                <w:szCs w:val="21"/>
              </w:rPr>
              <w:t>6</w:t>
            </w:r>
          </w:p>
        </w:tc>
        <w:tc>
          <w:tcPr>
            <w:tcW w:w="851" w:type="dxa"/>
            <w:vAlign w:val="center"/>
          </w:tcPr>
          <w:p>
            <w:pPr>
              <w:snapToGrid w:val="0"/>
              <w:jc w:val="center"/>
              <w:rPr>
                <w:rFonts w:ascii="宋体" w:hAnsi="宋体"/>
                <w:b/>
                <w:szCs w:val="21"/>
              </w:rPr>
            </w:pPr>
            <w:r>
              <w:rPr>
                <w:rFonts w:hint="eastAsia" w:ascii="宋体" w:hAnsi="宋体"/>
                <w:b/>
                <w:szCs w:val="21"/>
              </w:rPr>
              <w:t>7</w:t>
            </w:r>
          </w:p>
        </w:tc>
        <w:tc>
          <w:tcPr>
            <w:tcW w:w="1147" w:type="dxa"/>
            <w:vAlign w:val="center"/>
          </w:tcPr>
          <w:p>
            <w:pPr>
              <w:snapToGrid w:val="0"/>
              <w:jc w:val="center"/>
              <w:rPr>
                <w:rFonts w:ascii="宋体" w:hAnsi="宋体"/>
                <w:b/>
                <w:szCs w:val="21"/>
              </w:rPr>
            </w:pPr>
            <w:r>
              <w:rPr>
                <w:rFonts w:hint="eastAsia" w:ascii="宋体" w:hAnsi="宋体"/>
                <w:b/>
                <w:szCs w:val="21"/>
              </w:rPr>
              <w:t>8</w:t>
            </w:r>
          </w:p>
        </w:tc>
        <w:tc>
          <w:tcPr>
            <w:tcW w:w="1546" w:type="dxa"/>
            <w:vAlign w:val="center"/>
          </w:tcPr>
          <w:p>
            <w:pPr>
              <w:snapToGrid w:val="0"/>
              <w:jc w:val="center"/>
              <w:rPr>
                <w:rFonts w:ascii="宋体" w:hAnsi="宋体"/>
                <w:b/>
                <w:szCs w:val="21"/>
              </w:rPr>
            </w:pPr>
            <w:r>
              <w:rPr>
                <w:rFonts w:hint="eastAsia" w:ascii="宋体" w:hAnsi="宋体"/>
                <w:b/>
                <w:szCs w:val="21"/>
              </w:rPr>
              <w:t>9</w:t>
            </w:r>
          </w:p>
        </w:tc>
        <w:tc>
          <w:tcPr>
            <w:tcW w:w="850" w:type="dxa"/>
            <w:vAlign w:val="center"/>
          </w:tcPr>
          <w:p>
            <w:pPr>
              <w:snapToGrid w:val="0"/>
              <w:jc w:val="center"/>
              <w:rPr>
                <w:rFonts w:ascii="宋体" w:hAnsi="宋体"/>
                <w:b/>
                <w:szCs w:val="21"/>
              </w:rPr>
            </w:pPr>
            <w:r>
              <w:rPr>
                <w:rFonts w:hint="eastAsia" w:ascii="宋体" w:hAnsi="宋体"/>
                <w:b/>
                <w:szCs w:val="21"/>
              </w:rPr>
              <w:t>10</w:t>
            </w:r>
          </w:p>
        </w:tc>
        <w:tc>
          <w:tcPr>
            <w:tcW w:w="992" w:type="dxa"/>
            <w:vAlign w:val="center"/>
          </w:tcPr>
          <w:p>
            <w:pPr>
              <w:snapToGrid w:val="0"/>
              <w:jc w:val="center"/>
              <w:rPr>
                <w:rFonts w:ascii="宋体" w:hAnsi="宋体"/>
                <w:b/>
                <w:szCs w:val="21"/>
              </w:rPr>
            </w:pPr>
            <w:r>
              <w:rPr>
                <w:rFonts w:hint="eastAsia" w:ascii="宋体" w:hAnsi="宋体"/>
                <w:b/>
                <w:szCs w:val="21"/>
              </w:rPr>
              <w:t>11</w:t>
            </w:r>
          </w:p>
        </w:tc>
        <w:tc>
          <w:tcPr>
            <w:tcW w:w="1701" w:type="dxa"/>
            <w:vAlign w:val="center"/>
          </w:tcPr>
          <w:p>
            <w:pPr>
              <w:snapToGrid w:val="0"/>
              <w:jc w:val="center"/>
              <w:rPr>
                <w:rFonts w:ascii="宋体" w:hAnsi="宋体"/>
                <w:b/>
                <w:szCs w:val="21"/>
              </w:rPr>
            </w:pPr>
            <w:r>
              <w:rPr>
                <w:rFonts w:hint="eastAsia" w:ascii="宋体" w:hAnsi="宋体"/>
                <w:b/>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宋体" w:hAnsi="宋体"/>
                <w:b/>
                <w:szCs w:val="21"/>
              </w:rPr>
            </w:pPr>
            <w:r>
              <w:rPr>
                <w:rFonts w:hint="eastAsia" w:ascii="宋体" w:hAnsi="宋体"/>
                <w:b/>
                <w:szCs w:val="21"/>
              </w:rPr>
              <w:t>货物</w:t>
            </w:r>
            <w:r>
              <w:rPr>
                <w:rFonts w:ascii="宋体" w:hAnsi="宋体"/>
                <w:b/>
                <w:szCs w:val="21"/>
              </w:rPr>
              <w:t>名称</w:t>
            </w:r>
          </w:p>
        </w:tc>
        <w:tc>
          <w:tcPr>
            <w:tcW w:w="1233" w:type="dxa"/>
            <w:vAlign w:val="center"/>
          </w:tcPr>
          <w:p>
            <w:pPr>
              <w:snapToGrid w:val="0"/>
              <w:jc w:val="center"/>
              <w:rPr>
                <w:rFonts w:ascii="宋体" w:hAnsi="宋体"/>
                <w:b/>
                <w:szCs w:val="21"/>
              </w:rPr>
            </w:pPr>
            <w:r>
              <w:rPr>
                <w:rFonts w:hint="eastAsia" w:ascii="宋体" w:hAnsi="宋体"/>
                <w:b/>
                <w:szCs w:val="21"/>
              </w:rPr>
              <w:t>规格型号</w:t>
            </w:r>
          </w:p>
        </w:tc>
        <w:tc>
          <w:tcPr>
            <w:tcW w:w="1115" w:type="dxa"/>
            <w:vAlign w:val="center"/>
          </w:tcPr>
          <w:p>
            <w:pPr>
              <w:snapToGrid w:val="0"/>
              <w:jc w:val="center"/>
              <w:rPr>
                <w:rFonts w:ascii="宋体" w:hAnsi="宋体"/>
                <w:b/>
                <w:szCs w:val="21"/>
              </w:rPr>
            </w:pPr>
            <w:r>
              <w:rPr>
                <w:rFonts w:hint="eastAsia" w:ascii="宋体" w:hAnsi="宋体"/>
                <w:b/>
                <w:szCs w:val="21"/>
              </w:rPr>
              <w:t>产品品牌</w:t>
            </w:r>
          </w:p>
        </w:tc>
        <w:tc>
          <w:tcPr>
            <w:tcW w:w="1014" w:type="dxa"/>
            <w:vAlign w:val="center"/>
          </w:tcPr>
          <w:p>
            <w:pPr>
              <w:snapToGrid w:val="0"/>
              <w:jc w:val="center"/>
              <w:rPr>
                <w:rFonts w:ascii="宋体" w:hAnsi="宋体"/>
                <w:b/>
                <w:szCs w:val="21"/>
              </w:rPr>
            </w:pPr>
            <w:r>
              <w:rPr>
                <w:rFonts w:hint="eastAsia" w:ascii="宋体" w:hAnsi="宋体"/>
                <w:b/>
                <w:szCs w:val="21"/>
              </w:rPr>
              <w:t>出厂价</w:t>
            </w:r>
          </w:p>
        </w:tc>
        <w:tc>
          <w:tcPr>
            <w:tcW w:w="957" w:type="dxa"/>
            <w:vAlign w:val="center"/>
          </w:tcPr>
          <w:p>
            <w:pPr>
              <w:snapToGrid w:val="0"/>
              <w:jc w:val="center"/>
              <w:rPr>
                <w:rFonts w:ascii="宋体" w:hAnsi="宋体"/>
                <w:b/>
                <w:szCs w:val="21"/>
              </w:rPr>
            </w:pPr>
            <w:r>
              <w:rPr>
                <w:rFonts w:ascii="宋体" w:hAnsi="宋体"/>
                <w:b/>
                <w:szCs w:val="21"/>
              </w:rPr>
              <w:t>运</w:t>
            </w:r>
            <w:r>
              <w:rPr>
                <w:rFonts w:hint="eastAsia" w:ascii="宋体" w:hAnsi="宋体"/>
                <w:b/>
                <w:szCs w:val="21"/>
              </w:rPr>
              <w:t>输</w:t>
            </w:r>
            <w:r>
              <w:rPr>
                <w:rFonts w:ascii="宋体" w:hAnsi="宋体"/>
                <w:b/>
                <w:szCs w:val="21"/>
              </w:rPr>
              <w:t>费</w:t>
            </w:r>
          </w:p>
        </w:tc>
        <w:tc>
          <w:tcPr>
            <w:tcW w:w="851" w:type="dxa"/>
            <w:vAlign w:val="center"/>
          </w:tcPr>
          <w:p>
            <w:pPr>
              <w:snapToGrid w:val="0"/>
              <w:jc w:val="center"/>
              <w:rPr>
                <w:rFonts w:ascii="宋体" w:hAnsi="宋体"/>
                <w:b/>
                <w:szCs w:val="21"/>
              </w:rPr>
            </w:pPr>
            <w:r>
              <w:rPr>
                <w:rFonts w:hint="eastAsia" w:ascii="宋体" w:hAnsi="宋体"/>
                <w:b/>
                <w:szCs w:val="21"/>
              </w:rPr>
              <w:t>保险费</w:t>
            </w:r>
          </w:p>
        </w:tc>
        <w:tc>
          <w:tcPr>
            <w:tcW w:w="851" w:type="dxa"/>
            <w:vAlign w:val="center"/>
          </w:tcPr>
          <w:p>
            <w:pPr>
              <w:snapToGrid w:val="0"/>
              <w:jc w:val="center"/>
              <w:rPr>
                <w:rFonts w:ascii="宋体" w:hAnsi="宋体"/>
                <w:b/>
                <w:szCs w:val="21"/>
              </w:rPr>
            </w:pPr>
            <w:r>
              <w:rPr>
                <w:rFonts w:hint="eastAsia" w:ascii="宋体" w:hAnsi="宋体"/>
                <w:b/>
                <w:szCs w:val="21"/>
              </w:rPr>
              <w:t>装</w:t>
            </w:r>
            <w:r>
              <w:rPr>
                <w:rFonts w:ascii="宋体" w:hAnsi="宋体"/>
                <w:b/>
                <w:szCs w:val="21"/>
              </w:rPr>
              <w:t>卸费</w:t>
            </w:r>
          </w:p>
        </w:tc>
        <w:tc>
          <w:tcPr>
            <w:tcW w:w="1147" w:type="dxa"/>
            <w:vAlign w:val="center"/>
          </w:tcPr>
          <w:p>
            <w:pPr>
              <w:snapToGrid w:val="0"/>
              <w:jc w:val="center"/>
              <w:rPr>
                <w:rFonts w:ascii="宋体" w:hAnsi="宋体"/>
                <w:b/>
                <w:szCs w:val="21"/>
              </w:rPr>
            </w:pPr>
            <w:r>
              <w:rPr>
                <w:rFonts w:hint="eastAsia" w:ascii="宋体" w:hAnsi="宋体"/>
                <w:b/>
                <w:szCs w:val="21"/>
              </w:rPr>
              <w:t>其他费用</w:t>
            </w:r>
          </w:p>
        </w:tc>
        <w:tc>
          <w:tcPr>
            <w:tcW w:w="1546" w:type="dxa"/>
            <w:vAlign w:val="center"/>
          </w:tcPr>
          <w:p>
            <w:pPr>
              <w:snapToGrid w:val="0"/>
              <w:jc w:val="center"/>
              <w:rPr>
                <w:rFonts w:ascii="宋体" w:hAnsi="宋体"/>
                <w:b/>
                <w:szCs w:val="21"/>
              </w:rPr>
            </w:pPr>
            <w:r>
              <w:rPr>
                <w:rFonts w:ascii="宋体" w:hAnsi="宋体"/>
                <w:b/>
                <w:szCs w:val="21"/>
              </w:rPr>
              <w:t>设备单价</w:t>
            </w:r>
          </w:p>
          <w:p>
            <w:pPr>
              <w:snapToGrid w:val="0"/>
              <w:jc w:val="center"/>
              <w:rPr>
                <w:rFonts w:ascii="宋体" w:hAnsi="宋体"/>
                <w:b/>
                <w:szCs w:val="21"/>
              </w:rPr>
            </w:pPr>
            <w:r>
              <w:rPr>
                <w:rFonts w:ascii="宋体" w:hAnsi="宋体"/>
                <w:b/>
                <w:szCs w:val="21"/>
              </w:rPr>
              <w:t>（现场</w:t>
            </w:r>
            <w:r>
              <w:rPr>
                <w:rFonts w:ascii="宋体" w:hAnsi="宋体"/>
                <w:b/>
                <w:i/>
                <w:szCs w:val="21"/>
              </w:rPr>
              <w:t>落地</w:t>
            </w:r>
            <w:r>
              <w:rPr>
                <w:rFonts w:hint="eastAsia" w:ascii="宋体" w:hAnsi="宋体"/>
                <w:b/>
                <w:i/>
                <w:szCs w:val="21"/>
              </w:rPr>
              <w:t>/车板</w:t>
            </w:r>
            <w:r>
              <w:rPr>
                <w:rFonts w:ascii="宋体" w:hAnsi="宋体"/>
                <w:b/>
                <w:szCs w:val="21"/>
              </w:rPr>
              <w:t>价）</w:t>
            </w:r>
          </w:p>
          <w:p>
            <w:pPr>
              <w:snapToGrid w:val="0"/>
              <w:jc w:val="center"/>
              <w:rPr>
                <w:rFonts w:ascii="宋体" w:hAnsi="宋体"/>
                <w:b/>
                <w:szCs w:val="21"/>
              </w:rPr>
            </w:pPr>
            <w:r>
              <w:rPr>
                <w:rFonts w:hint="eastAsia" w:ascii="宋体" w:hAnsi="宋体"/>
                <w:b/>
                <w:szCs w:val="21"/>
              </w:rPr>
              <w:t>9</w:t>
            </w:r>
            <w:r>
              <w:rPr>
                <w:rFonts w:ascii="宋体" w:hAnsi="宋体"/>
                <w:b/>
                <w:szCs w:val="21"/>
              </w:rPr>
              <w:t>=4+5+6</w:t>
            </w:r>
            <w:r>
              <w:rPr>
                <w:rFonts w:hint="eastAsia" w:ascii="宋体" w:hAnsi="宋体"/>
                <w:b/>
                <w:szCs w:val="21"/>
              </w:rPr>
              <w:t>+7+8</w:t>
            </w:r>
          </w:p>
        </w:tc>
        <w:tc>
          <w:tcPr>
            <w:tcW w:w="850" w:type="dxa"/>
            <w:vAlign w:val="center"/>
          </w:tcPr>
          <w:p>
            <w:pPr>
              <w:snapToGrid w:val="0"/>
              <w:jc w:val="center"/>
              <w:rPr>
                <w:rFonts w:ascii="宋体" w:hAnsi="宋体"/>
                <w:b/>
                <w:szCs w:val="21"/>
              </w:rPr>
            </w:pPr>
            <w:r>
              <w:rPr>
                <w:rFonts w:hint="eastAsia" w:ascii="宋体" w:hAnsi="宋体"/>
                <w:b/>
                <w:szCs w:val="21"/>
              </w:rPr>
              <w:t>单位</w:t>
            </w:r>
          </w:p>
        </w:tc>
        <w:tc>
          <w:tcPr>
            <w:tcW w:w="992" w:type="dxa"/>
            <w:vAlign w:val="center"/>
          </w:tcPr>
          <w:p>
            <w:pPr>
              <w:snapToGrid w:val="0"/>
              <w:jc w:val="center"/>
              <w:rPr>
                <w:rFonts w:ascii="宋体" w:hAnsi="宋体"/>
                <w:b/>
                <w:szCs w:val="21"/>
              </w:rPr>
            </w:pPr>
            <w:r>
              <w:rPr>
                <w:rFonts w:ascii="宋体" w:hAnsi="宋体"/>
                <w:b/>
                <w:szCs w:val="21"/>
              </w:rPr>
              <w:t>数量</w:t>
            </w:r>
          </w:p>
        </w:tc>
        <w:tc>
          <w:tcPr>
            <w:tcW w:w="1701" w:type="dxa"/>
            <w:vAlign w:val="center"/>
          </w:tcPr>
          <w:p>
            <w:pPr>
              <w:snapToGrid w:val="0"/>
              <w:jc w:val="center"/>
              <w:rPr>
                <w:rFonts w:ascii="宋体" w:hAnsi="宋体"/>
                <w:b/>
                <w:szCs w:val="21"/>
              </w:rPr>
            </w:pPr>
            <w:r>
              <w:rPr>
                <w:rFonts w:ascii="宋体" w:hAnsi="宋体"/>
                <w:b/>
                <w:szCs w:val="21"/>
              </w:rPr>
              <w:t>设备总价</w:t>
            </w:r>
          </w:p>
          <w:p>
            <w:pPr>
              <w:snapToGrid w:val="0"/>
              <w:jc w:val="center"/>
              <w:rPr>
                <w:rFonts w:ascii="宋体" w:hAnsi="宋体"/>
                <w:b/>
                <w:szCs w:val="21"/>
              </w:rPr>
            </w:pPr>
            <w:r>
              <w:rPr>
                <w:rFonts w:ascii="宋体" w:hAnsi="宋体"/>
                <w:b/>
                <w:szCs w:val="21"/>
              </w:rPr>
              <w:t>（现场</w:t>
            </w:r>
            <w:r>
              <w:rPr>
                <w:rFonts w:ascii="宋体" w:hAnsi="宋体"/>
                <w:b/>
                <w:i/>
                <w:szCs w:val="21"/>
              </w:rPr>
              <w:t>落地</w:t>
            </w:r>
            <w:r>
              <w:rPr>
                <w:rFonts w:hint="eastAsia" w:ascii="宋体" w:hAnsi="宋体"/>
                <w:b/>
                <w:i/>
                <w:szCs w:val="21"/>
              </w:rPr>
              <w:t>/车板</w:t>
            </w:r>
            <w:r>
              <w:rPr>
                <w:rFonts w:ascii="宋体" w:hAnsi="宋体"/>
                <w:b/>
                <w:szCs w:val="21"/>
              </w:rPr>
              <w:t>价）</w:t>
            </w:r>
          </w:p>
          <w:p>
            <w:pPr>
              <w:snapToGrid w:val="0"/>
              <w:jc w:val="center"/>
              <w:rPr>
                <w:rFonts w:ascii="宋体" w:hAnsi="宋体"/>
                <w:b/>
                <w:szCs w:val="21"/>
              </w:rPr>
            </w:pPr>
            <w:r>
              <w:rPr>
                <w:rFonts w:hint="eastAsia" w:ascii="宋体" w:hAnsi="宋体"/>
                <w:b/>
                <w:szCs w:val="21"/>
              </w:rPr>
              <w:t>12</w:t>
            </w:r>
            <w:r>
              <w:rPr>
                <w:rFonts w:ascii="宋体" w:hAnsi="宋体"/>
                <w:b/>
                <w:szCs w:val="21"/>
              </w:rPr>
              <w:t>=</w:t>
            </w:r>
            <w:r>
              <w:rPr>
                <w:rFonts w:hint="eastAsia" w:ascii="宋体" w:hAnsi="宋体"/>
                <w:b/>
                <w:szCs w:val="21"/>
              </w:rPr>
              <w:t>11</w:t>
            </w:r>
            <w:r>
              <w:rPr>
                <w:rFonts w:ascii="宋体" w:hAnsi="宋体"/>
                <w:b/>
                <w:szCs w:val="21"/>
              </w:rPr>
              <w:t>×</w:t>
            </w:r>
            <w:r>
              <w:rPr>
                <w:rFonts w:hint="eastAsia" w:ascii="宋体" w:hAnsi="宋体"/>
                <w:b/>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宋体" w:hAnsi="宋体"/>
                <w:szCs w:val="21"/>
              </w:rPr>
            </w:pPr>
          </w:p>
        </w:tc>
        <w:tc>
          <w:tcPr>
            <w:tcW w:w="1233" w:type="dxa"/>
            <w:vAlign w:val="center"/>
          </w:tcPr>
          <w:p>
            <w:pPr>
              <w:snapToGrid w:val="0"/>
              <w:jc w:val="center"/>
              <w:rPr>
                <w:rFonts w:ascii="宋体" w:hAnsi="宋体"/>
                <w:szCs w:val="21"/>
              </w:rPr>
            </w:pPr>
          </w:p>
        </w:tc>
        <w:tc>
          <w:tcPr>
            <w:tcW w:w="1115" w:type="dxa"/>
            <w:vAlign w:val="center"/>
          </w:tcPr>
          <w:p>
            <w:pPr>
              <w:snapToGrid w:val="0"/>
              <w:jc w:val="center"/>
              <w:rPr>
                <w:rFonts w:ascii="宋体" w:hAnsi="宋体"/>
                <w:szCs w:val="21"/>
              </w:rPr>
            </w:pPr>
          </w:p>
        </w:tc>
        <w:tc>
          <w:tcPr>
            <w:tcW w:w="1014" w:type="dxa"/>
            <w:vAlign w:val="center"/>
          </w:tcPr>
          <w:p>
            <w:pPr>
              <w:snapToGrid w:val="0"/>
              <w:jc w:val="center"/>
              <w:rPr>
                <w:rFonts w:ascii="宋体" w:hAnsi="宋体"/>
                <w:szCs w:val="21"/>
              </w:rPr>
            </w:pPr>
          </w:p>
        </w:tc>
        <w:tc>
          <w:tcPr>
            <w:tcW w:w="957"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1147" w:type="dxa"/>
            <w:vAlign w:val="center"/>
          </w:tcPr>
          <w:p>
            <w:pPr>
              <w:snapToGrid w:val="0"/>
              <w:jc w:val="center"/>
              <w:rPr>
                <w:rFonts w:ascii="宋体" w:hAnsi="宋体"/>
                <w:szCs w:val="21"/>
              </w:rPr>
            </w:pPr>
          </w:p>
        </w:tc>
        <w:tc>
          <w:tcPr>
            <w:tcW w:w="1546" w:type="dxa"/>
            <w:vAlign w:val="center"/>
          </w:tcPr>
          <w:p>
            <w:pPr>
              <w:snapToGrid w:val="0"/>
              <w:jc w:val="center"/>
              <w:rPr>
                <w:rFonts w:ascii="宋体" w:hAnsi="宋体"/>
                <w:szCs w:val="21"/>
              </w:rPr>
            </w:pPr>
          </w:p>
        </w:tc>
        <w:tc>
          <w:tcPr>
            <w:tcW w:w="850" w:type="dxa"/>
            <w:vAlign w:val="center"/>
          </w:tcPr>
          <w:p>
            <w:pPr>
              <w:snapToGrid w:val="0"/>
              <w:jc w:val="center"/>
              <w:rPr>
                <w:rFonts w:ascii="宋体" w:hAnsi="宋体"/>
                <w:szCs w:val="21"/>
              </w:rPr>
            </w:pPr>
          </w:p>
        </w:tc>
        <w:tc>
          <w:tcPr>
            <w:tcW w:w="992" w:type="dxa"/>
            <w:vAlign w:val="center"/>
          </w:tcPr>
          <w:p>
            <w:pPr>
              <w:snapToGrid w:val="0"/>
              <w:jc w:val="center"/>
              <w:rPr>
                <w:rFonts w:ascii="宋体" w:hAnsi="宋体"/>
                <w:szCs w:val="21"/>
              </w:rPr>
            </w:pPr>
          </w:p>
        </w:tc>
        <w:tc>
          <w:tcPr>
            <w:tcW w:w="1701"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宋体" w:hAnsi="宋体"/>
                <w:szCs w:val="21"/>
              </w:rPr>
            </w:pPr>
          </w:p>
        </w:tc>
        <w:tc>
          <w:tcPr>
            <w:tcW w:w="1233" w:type="dxa"/>
            <w:vAlign w:val="center"/>
          </w:tcPr>
          <w:p>
            <w:pPr>
              <w:snapToGrid w:val="0"/>
              <w:jc w:val="center"/>
              <w:rPr>
                <w:rFonts w:ascii="宋体" w:hAnsi="宋体"/>
                <w:szCs w:val="21"/>
              </w:rPr>
            </w:pPr>
          </w:p>
        </w:tc>
        <w:tc>
          <w:tcPr>
            <w:tcW w:w="1115" w:type="dxa"/>
            <w:vAlign w:val="center"/>
          </w:tcPr>
          <w:p>
            <w:pPr>
              <w:snapToGrid w:val="0"/>
              <w:jc w:val="center"/>
              <w:rPr>
                <w:rFonts w:ascii="宋体" w:hAnsi="宋体"/>
                <w:szCs w:val="21"/>
              </w:rPr>
            </w:pPr>
          </w:p>
        </w:tc>
        <w:tc>
          <w:tcPr>
            <w:tcW w:w="1014" w:type="dxa"/>
            <w:vAlign w:val="center"/>
          </w:tcPr>
          <w:p>
            <w:pPr>
              <w:snapToGrid w:val="0"/>
              <w:jc w:val="center"/>
              <w:rPr>
                <w:rFonts w:ascii="宋体" w:hAnsi="宋体"/>
                <w:szCs w:val="21"/>
              </w:rPr>
            </w:pPr>
          </w:p>
        </w:tc>
        <w:tc>
          <w:tcPr>
            <w:tcW w:w="957"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1147" w:type="dxa"/>
            <w:vAlign w:val="center"/>
          </w:tcPr>
          <w:p>
            <w:pPr>
              <w:snapToGrid w:val="0"/>
              <w:jc w:val="center"/>
              <w:rPr>
                <w:rFonts w:ascii="宋体" w:hAnsi="宋体"/>
                <w:szCs w:val="21"/>
              </w:rPr>
            </w:pPr>
          </w:p>
        </w:tc>
        <w:tc>
          <w:tcPr>
            <w:tcW w:w="1546" w:type="dxa"/>
            <w:vAlign w:val="center"/>
          </w:tcPr>
          <w:p>
            <w:pPr>
              <w:snapToGrid w:val="0"/>
              <w:jc w:val="center"/>
              <w:rPr>
                <w:rFonts w:ascii="宋体" w:hAnsi="宋体"/>
                <w:szCs w:val="21"/>
              </w:rPr>
            </w:pPr>
          </w:p>
        </w:tc>
        <w:tc>
          <w:tcPr>
            <w:tcW w:w="850" w:type="dxa"/>
            <w:vAlign w:val="center"/>
          </w:tcPr>
          <w:p>
            <w:pPr>
              <w:snapToGrid w:val="0"/>
              <w:jc w:val="center"/>
              <w:rPr>
                <w:rFonts w:ascii="宋体" w:hAnsi="宋体"/>
                <w:szCs w:val="21"/>
              </w:rPr>
            </w:pPr>
          </w:p>
        </w:tc>
        <w:tc>
          <w:tcPr>
            <w:tcW w:w="992" w:type="dxa"/>
            <w:vAlign w:val="center"/>
          </w:tcPr>
          <w:p>
            <w:pPr>
              <w:snapToGrid w:val="0"/>
              <w:jc w:val="center"/>
              <w:rPr>
                <w:rFonts w:ascii="宋体" w:hAnsi="宋体"/>
                <w:szCs w:val="21"/>
              </w:rPr>
            </w:pPr>
          </w:p>
        </w:tc>
        <w:tc>
          <w:tcPr>
            <w:tcW w:w="1701"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宋体" w:hAnsi="宋体"/>
                <w:szCs w:val="21"/>
              </w:rPr>
            </w:pPr>
          </w:p>
        </w:tc>
        <w:tc>
          <w:tcPr>
            <w:tcW w:w="1233" w:type="dxa"/>
            <w:vAlign w:val="center"/>
          </w:tcPr>
          <w:p>
            <w:pPr>
              <w:snapToGrid w:val="0"/>
              <w:jc w:val="center"/>
              <w:rPr>
                <w:rFonts w:ascii="宋体" w:hAnsi="宋体"/>
                <w:szCs w:val="21"/>
              </w:rPr>
            </w:pPr>
          </w:p>
        </w:tc>
        <w:tc>
          <w:tcPr>
            <w:tcW w:w="1115" w:type="dxa"/>
            <w:vAlign w:val="center"/>
          </w:tcPr>
          <w:p>
            <w:pPr>
              <w:snapToGrid w:val="0"/>
              <w:jc w:val="center"/>
              <w:rPr>
                <w:rFonts w:ascii="宋体" w:hAnsi="宋体"/>
                <w:szCs w:val="21"/>
              </w:rPr>
            </w:pPr>
          </w:p>
        </w:tc>
        <w:tc>
          <w:tcPr>
            <w:tcW w:w="1014" w:type="dxa"/>
            <w:vAlign w:val="center"/>
          </w:tcPr>
          <w:p>
            <w:pPr>
              <w:snapToGrid w:val="0"/>
              <w:jc w:val="center"/>
              <w:rPr>
                <w:rFonts w:ascii="宋体" w:hAnsi="宋体"/>
                <w:szCs w:val="21"/>
              </w:rPr>
            </w:pPr>
          </w:p>
        </w:tc>
        <w:tc>
          <w:tcPr>
            <w:tcW w:w="957"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1147" w:type="dxa"/>
            <w:vAlign w:val="center"/>
          </w:tcPr>
          <w:p>
            <w:pPr>
              <w:snapToGrid w:val="0"/>
              <w:jc w:val="center"/>
              <w:rPr>
                <w:rFonts w:ascii="宋体" w:hAnsi="宋体"/>
                <w:szCs w:val="21"/>
              </w:rPr>
            </w:pPr>
          </w:p>
        </w:tc>
        <w:tc>
          <w:tcPr>
            <w:tcW w:w="1546" w:type="dxa"/>
            <w:vAlign w:val="center"/>
          </w:tcPr>
          <w:p>
            <w:pPr>
              <w:snapToGrid w:val="0"/>
              <w:jc w:val="center"/>
              <w:rPr>
                <w:rFonts w:ascii="宋体" w:hAnsi="宋体"/>
                <w:szCs w:val="21"/>
              </w:rPr>
            </w:pPr>
          </w:p>
        </w:tc>
        <w:tc>
          <w:tcPr>
            <w:tcW w:w="850" w:type="dxa"/>
            <w:vAlign w:val="center"/>
          </w:tcPr>
          <w:p>
            <w:pPr>
              <w:snapToGrid w:val="0"/>
              <w:jc w:val="center"/>
              <w:rPr>
                <w:rFonts w:ascii="宋体" w:hAnsi="宋体"/>
                <w:szCs w:val="21"/>
              </w:rPr>
            </w:pPr>
          </w:p>
        </w:tc>
        <w:tc>
          <w:tcPr>
            <w:tcW w:w="992" w:type="dxa"/>
            <w:vAlign w:val="center"/>
          </w:tcPr>
          <w:p>
            <w:pPr>
              <w:snapToGrid w:val="0"/>
              <w:jc w:val="center"/>
              <w:rPr>
                <w:rFonts w:ascii="宋体" w:hAnsi="宋体"/>
                <w:szCs w:val="21"/>
              </w:rPr>
            </w:pPr>
          </w:p>
        </w:tc>
        <w:tc>
          <w:tcPr>
            <w:tcW w:w="1701"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宋体" w:hAnsi="宋体"/>
                <w:szCs w:val="21"/>
              </w:rPr>
            </w:pPr>
          </w:p>
        </w:tc>
        <w:tc>
          <w:tcPr>
            <w:tcW w:w="1233" w:type="dxa"/>
            <w:vAlign w:val="center"/>
          </w:tcPr>
          <w:p>
            <w:pPr>
              <w:snapToGrid w:val="0"/>
              <w:jc w:val="center"/>
              <w:rPr>
                <w:rFonts w:ascii="宋体" w:hAnsi="宋体"/>
                <w:szCs w:val="21"/>
              </w:rPr>
            </w:pPr>
          </w:p>
        </w:tc>
        <w:tc>
          <w:tcPr>
            <w:tcW w:w="1115" w:type="dxa"/>
            <w:vAlign w:val="center"/>
          </w:tcPr>
          <w:p>
            <w:pPr>
              <w:snapToGrid w:val="0"/>
              <w:jc w:val="center"/>
              <w:rPr>
                <w:rFonts w:ascii="宋体" w:hAnsi="宋体"/>
                <w:szCs w:val="21"/>
              </w:rPr>
            </w:pPr>
          </w:p>
        </w:tc>
        <w:tc>
          <w:tcPr>
            <w:tcW w:w="1014" w:type="dxa"/>
            <w:vAlign w:val="center"/>
          </w:tcPr>
          <w:p>
            <w:pPr>
              <w:snapToGrid w:val="0"/>
              <w:jc w:val="center"/>
              <w:rPr>
                <w:rFonts w:ascii="宋体" w:hAnsi="宋体"/>
                <w:szCs w:val="21"/>
              </w:rPr>
            </w:pPr>
          </w:p>
        </w:tc>
        <w:tc>
          <w:tcPr>
            <w:tcW w:w="957"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1147" w:type="dxa"/>
            <w:vAlign w:val="center"/>
          </w:tcPr>
          <w:p>
            <w:pPr>
              <w:snapToGrid w:val="0"/>
              <w:jc w:val="center"/>
              <w:rPr>
                <w:rFonts w:ascii="宋体" w:hAnsi="宋体"/>
                <w:szCs w:val="21"/>
              </w:rPr>
            </w:pPr>
          </w:p>
        </w:tc>
        <w:tc>
          <w:tcPr>
            <w:tcW w:w="1546" w:type="dxa"/>
            <w:vAlign w:val="center"/>
          </w:tcPr>
          <w:p>
            <w:pPr>
              <w:snapToGrid w:val="0"/>
              <w:jc w:val="center"/>
              <w:rPr>
                <w:rFonts w:ascii="宋体" w:hAnsi="宋体"/>
                <w:szCs w:val="21"/>
              </w:rPr>
            </w:pPr>
          </w:p>
        </w:tc>
        <w:tc>
          <w:tcPr>
            <w:tcW w:w="850" w:type="dxa"/>
            <w:vAlign w:val="center"/>
          </w:tcPr>
          <w:p>
            <w:pPr>
              <w:snapToGrid w:val="0"/>
              <w:jc w:val="center"/>
              <w:rPr>
                <w:rFonts w:ascii="宋体" w:hAnsi="宋体"/>
                <w:szCs w:val="21"/>
              </w:rPr>
            </w:pPr>
          </w:p>
        </w:tc>
        <w:tc>
          <w:tcPr>
            <w:tcW w:w="992" w:type="dxa"/>
            <w:vAlign w:val="center"/>
          </w:tcPr>
          <w:p>
            <w:pPr>
              <w:snapToGrid w:val="0"/>
              <w:jc w:val="center"/>
              <w:rPr>
                <w:rFonts w:ascii="宋体" w:hAnsi="宋体"/>
                <w:szCs w:val="21"/>
              </w:rPr>
            </w:pPr>
          </w:p>
        </w:tc>
        <w:tc>
          <w:tcPr>
            <w:tcW w:w="1701"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宋体" w:hAnsi="宋体"/>
                <w:szCs w:val="21"/>
              </w:rPr>
            </w:pPr>
            <w:r>
              <w:rPr>
                <w:rFonts w:ascii="宋体" w:hAnsi="宋体"/>
                <w:szCs w:val="21"/>
              </w:rPr>
              <w:t>……</w:t>
            </w:r>
          </w:p>
        </w:tc>
        <w:tc>
          <w:tcPr>
            <w:tcW w:w="1233" w:type="dxa"/>
            <w:vAlign w:val="center"/>
          </w:tcPr>
          <w:p>
            <w:pPr>
              <w:snapToGrid w:val="0"/>
              <w:jc w:val="center"/>
              <w:rPr>
                <w:rFonts w:ascii="宋体" w:hAnsi="宋体"/>
                <w:szCs w:val="21"/>
              </w:rPr>
            </w:pPr>
          </w:p>
        </w:tc>
        <w:tc>
          <w:tcPr>
            <w:tcW w:w="1115" w:type="dxa"/>
            <w:vAlign w:val="center"/>
          </w:tcPr>
          <w:p>
            <w:pPr>
              <w:snapToGrid w:val="0"/>
              <w:jc w:val="center"/>
              <w:rPr>
                <w:rFonts w:ascii="宋体" w:hAnsi="宋体"/>
                <w:szCs w:val="21"/>
              </w:rPr>
            </w:pPr>
          </w:p>
        </w:tc>
        <w:tc>
          <w:tcPr>
            <w:tcW w:w="1014" w:type="dxa"/>
            <w:vAlign w:val="center"/>
          </w:tcPr>
          <w:p>
            <w:pPr>
              <w:snapToGrid w:val="0"/>
              <w:jc w:val="center"/>
              <w:rPr>
                <w:rFonts w:ascii="宋体" w:hAnsi="宋体"/>
                <w:szCs w:val="21"/>
              </w:rPr>
            </w:pPr>
          </w:p>
        </w:tc>
        <w:tc>
          <w:tcPr>
            <w:tcW w:w="957"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1147" w:type="dxa"/>
            <w:vAlign w:val="center"/>
          </w:tcPr>
          <w:p>
            <w:pPr>
              <w:snapToGrid w:val="0"/>
              <w:jc w:val="center"/>
              <w:rPr>
                <w:rFonts w:ascii="宋体" w:hAnsi="宋体"/>
                <w:szCs w:val="21"/>
              </w:rPr>
            </w:pPr>
          </w:p>
        </w:tc>
        <w:tc>
          <w:tcPr>
            <w:tcW w:w="1546" w:type="dxa"/>
            <w:vAlign w:val="center"/>
          </w:tcPr>
          <w:p>
            <w:pPr>
              <w:snapToGrid w:val="0"/>
              <w:jc w:val="center"/>
              <w:rPr>
                <w:rFonts w:ascii="宋体" w:hAnsi="宋体"/>
                <w:szCs w:val="21"/>
              </w:rPr>
            </w:pPr>
          </w:p>
        </w:tc>
        <w:tc>
          <w:tcPr>
            <w:tcW w:w="850" w:type="dxa"/>
            <w:vAlign w:val="center"/>
          </w:tcPr>
          <w:p>
            <w:pPr>
              <w:snapToGrid w:val="0"/>
              <w:jc w:val="center"/>
              <w:rPr>
                <w:rFonts w:ascii="宋体" w:hAnsi="宋体"/>
                <w:szCs w:val="21"/>
              </w:rPr>
            </w:pPr>
          </w:p>
        </w:tc>
        <w:tc>
          <w:tcPr>
            <w:tcW w:w="992" w:type="dxa"/>
            <w:vAlign w:val="center"/>
          </w:tcPr>
          <w:p>
            <w:pPr>
              <w:snapToGrid w:val="0"/>
              <w:jc w:val="center"/>
              <w:rPr>
                <w:rFonts w:ascii="宋体" w:hAnsi="宋体"/>
                <w:szCs w:val="21"/>
              </w:rPr>
            </w:pPr>
          </w:p>
        </w:tc>
        <w:tc>
          <w:tcPr>
            <w:tcW w:w="1701" w:type="dxa"/>
            <w:vAlign w:val="center"/>
          </w:tcPr>
          <w:p>
            <w:pPr>
              <w:snapToGrid w:val="0"/>
              <w:jc w:val="center"/>
              <w:rPr>
                <w:rFonts w:ascii="宋体" w:hAnsi="宋体"/>
                <w:szCs w:val="21"/>
              </w:rPr>
            </w:pPr>
          </w:p>
        </w:tc>
      </w:tr>
    </w:tbl>
    <w:p>
      <w:pPr>
        <w:spacing w:before="120" w:beforeLines="50" w:line="288" w:lineRule="auto"/>
        <w:ind w:left="-122" w:leftChars="-58"/>
        <w:rPr>
          <w:rFonts w:ascii="宋体" w:hAnsi="宋体"/>
          <w:szCs w:val="21"/>
        </w:rPr>
      </w:pPr>
      <w:r>
        <w:rPr>
          <w:rFonts w:ascii="宋体" w:hAnsi="宋体"/>
          <w:szCs w:val="21"/>
        </w:rPr>
        <w:t>投标人名称（公章）：</w:t>
      </w:r>
    </w:p>
    <w:p>
      <w:pPr>
        <w:spacing w:before="120" w:beforeLines="50" w:line="288" w:lineRule="auto"/>
        <w:ind w:left="-122" w:leftChars="-58"/>
        <w:rPr>
          <w:rFonts w:ascii="宋体" w:hAnsi="宋体"/>
          <w:szCs w:val="21"/>
        </w:rPr>
      </w:pPr>
      <w:r>
        <w:rPr>
          <w:rFonts w:ascii="宋体" w:hAnsi="宋体"/>
          <w:szCs w:val="21"/>
        </w:rPr>
        <w:t>法定代表人或其</w:t>
      </w:r>
      <w:r>
        <w:rPr>
          <w:rFonts w:hint="eastAsia" w:ascii="宋体"/>
          <w:szCs w:val="21"/>
        </w:rPr>
        <w:t>委托代理人</w:t>
      </w:r>
      <w:r>
        <w:rPr>
          <w:rFonts w:ascii="宋体" w:hAnsi="宋体"/>
          <w:szCs w:val="21"/>
        </w:rPr>
        <w:t>（</w:t>
      </w:r>
      <w:r>
        <w:rPr>
          <w:rFonts w:hint="eastAsia" w:ascii="宋体" w:hAnsi="宋体"/>
          <w:szCs w:val="21"/>
        </w:rPr>
        <w:t>签字或加盖人名章</w:t>
      </w:r>
      <w:r>
        <w:rPr>
          <w:rFonts w:ascii="宋体" w:hAnsi="宋体"/>
          <w:szCs w:val="21"/>
        </w:rPr>
        <w:t>）：</w:t>
      </w:r>
    </w:p>
    <w:p>
      <w:pPr>
        <w:spacing w:before="120" w:beforeLines="50" w:line="288" w:lineRule="auto"/>
        <w:ind w:left="-122" w:leftChars="-58"/>
        <w:rPr>
          <w:rFonts w:ascii="宋体" w:hAnsi="宋体"/>
          <w:szCs w:val="21"/>
        </w:rPr>
      </w:pPr>
      <w:r>
        <w:rPr>
          <w:rFonts w:ascii="宋体" w:hAnsi="宋体"/>
          <w:szCs w:val="21"/>
        </w:rPr>
        <w:t>日期：</w:t>
      </w:r>
    </w:p>
    <w:p>
      <w:pPr>
        <w:spacing w:line="288" w:lineRule="auto"/>
        <w:rPr>
          <w:rFonts w:ascii="宋体" w:hAnsi="宋体"/>
          <w:bCs/>
          <w:szCs w:val="21"/>
        </w:rPr>
      </w:pPr>
      <w:r>
        <w:rPr>
          <w:rFonts w:ascii="宋体" w:hAnsi="宋体"/>
          <w:bCs/>
          <w:szCs w:val="21"/>
        </w:rPr>
        <w:t>注：</w:t>
      </w:r>
      <w:r>
        <w:rPr>
          <w:rFonts w:hint="eastAsia" w:ascii="宋体" w:hAnsi="宋体"/>
          <w:bCs/>
          <w:szCs w:val="21"/>
        </w:rPr>
        <w:t>1、</w:t>
      </w:r>
      <w:r>
        <w:rPr>
          <w:rFonts w:ascii="宋体" w:hAnsi="宋体"/>
          <w:bCs/>
          <w:szCs w:val="21"/>
        </w:rPr>
        <w:t>此表</w:t>
      </w:r>
      <w:r>
        <w:rPr>
          <w:rFonts w:hint="eastAsia" w:ascii="宋体" w:hAnsi="宋体"/>
          <w:bCs/>
          <w:szCs w:val="21"/>
        </w:rPr>
        <w:t>为开标一览表</w:t>
      </w:r>
      <w:r>
        <w:rPr>
          <w:rFonts w:ascii="宋体" w:hAnsi="宋体"/>
          <w:bCs/>
          <w:szCs w:val="21"/>
        </w:rPr>
        <w:t>之</w:t>
      </w:r>
      <w:r>
        <w:rPr>
          <w:rFonts w:hint="eastAsia" w:ascii="宋体" w:hAnsi="宋体"/>
          <w:bCs/>
          <w:szCs w:val="21"/>
        </w:rPr>
        <w:t>设备分项报价表</w:t>
      </w:r>
      <w:r>
        <w:rPr>
          <w:rFonts w:ascii="宋体" w:hAnsi="宋体"/>
          <w:bCs/>
          <w:szCs w:val="21"/>
        </w:rPr>
        <w:t>。</w:t>
      </w:r>
    </w:p>
    <w:p>
      <w:pPr>
        <w:spacing w:line="288" w:lineRule="auto"/>
        <w:ind w:firstLine="420" w:firstLineChars="200"/>
        <w:rPr>
          <w:rFonts w:ascii="宋体" w:hAnsi="宋体"/>
          <w:bCs/>
          <w:szCs w:val="21"/>
        </w:rPr>
      </w:pPr>
      <w:r>
        <w:rPr>
          <w:rFonts w:hint="eastAsia" w:ascii="宋体" w:hAnsi="宋体"/>
          <w:bCs/>
          <w:szCs w:val="21"/>
        </w:rPr>
        <w:t>2、</w:t>
      </w:r>
      <w:r>
        <w:rPr>
          <w:rFonts w:ascii="宋体" w:hAnsi="宋体"/>
          <w:bCs/>
          <w:szCs w:val="21"/>
        </w:rPr>
        <w:t>所报内容</w:t>
      </w:r>
      <w:r>
        <w:rPr>
          <w:rFonts w:hint="eastAsia" w:ascii="宋体" w:hAnsi="宋体"/>
          <w:bCs/>
          <w:szCs w:val="21"/>
        </w:rPr>
        <w:t>需参照招标文件及采购</w:t>
      </w:r>
      <w:r>
        <w:rPr>
          <w:rFonts w:ascii="宋体" w:hAnsi="宋体"/>
          <w:bCs/>
          <w:szCs w:val="21"/>
        </w:rPr>
        <w:t>需求相关条款的要求。</w:t>
      </w:r>
    </w:p>
    <w:p>
      <w:pPr>
        <w:spacing w:line="288" w:lineRule="auto"/>
        <w:ind w:firstLine="643" w:firstLineChars="200"/>
        <w:rPr>
          <w:rFonts w:ascii="宋体" w:hAnsi="宋体"/>
          <w:b/>
          <w:sz w:val="32"/>
          <w:szCs w:val="32"/>
        </w:rPr>
      </w:pPr>
      <w:r>
        <w:rPr>
          <w:rFonts w:hint="eastAsia" w:ascii="宋体" w:hAnsi="宋体"/>
          <w:b/>
          <w:sz w:val="32"/>
          <w:szCs w:val="32"/>
        </w:rPr>
        <w:t>（注：《投标货物分项报价表》除在投标文件中提供外，还须单独密封提交一份。）</w:t>
      </w:r>
    </w:p>
    <w:p>
      <w:pPr>
        <w:spacing w:line="360" w:lineRule="auto"/>
        <w:outlineLvl w:val="2"/>
        <w:rPr>
          <w:rFonts w:ascii="宋体" w:hAnsi="宋体"/>
          <w:sz w:val="24"/>
        </w:rPr>
      </w:pPr>
      <w:r>
        <w:rPr>
          <w:rFonts w:ascii="宋体" w:hAnsi="宋体"/>
          <w:szCs w:val="21"/>
        </w:rPr>
        <w:br w:type="page"/>
      </w:r>
      <w:bookmarkStart w:id="379" w:name="_Toc8480"/>
      <w:bookmarkStart w:id="380" w:name="_Toc15462"/>
      <w:bookmarkStart w:id="381" w:name="_Toc19704"/>
      <w:bookmarkStart w:id="382" w:name="_Toc100686684"/>
      <w:bookmarkStart w:id="383" w:name="_Toc13458"/>
      <w:r>
        <w:rPr>
          <w:rFonts w:hint="eastAsia" w:ascii="宋体" w:hAnsi="宋体"/>
          <w:sz w:val="24"/>
        </w:rPr>
        <w:t>附件</w:t>
      </w:r>
      <w:r>
        <w:rPr>
          <w:rFonts w:ascii="宋体" w:hAnsi="宋体"/>
          <w:sz w:val="24"/>
        </w:rPr>
        <w:t>2</w:t>
      </w:r>
      <w:r>
        <w:rPr>
          <w:rFonts w:hint="eastAsia" w:ascii="宋体" w:hAnsi="宋体"/>
          <w:sz w:val="24"/>
        </w:rPr>
        <w:t>-2：</w:t>
      </w:r>
      <w:r>
        <w:rPr>
          <w:rFonts w:hint="eastAsia" w:ascii="宋体" w:hAnsi="宋体"/>
          <w:szCs w:val="21"/>
        </w:rPr>
        <w:t>备品备件、专用工具和专用试验仪器</w:t>
      </w:r>
      <w:r>
        <w:rPr>
          <w:rFonts w:ascii="宋体" w:hAnsi="宋体"/>
          <w:szCs w:val="21"/>
        </w:rPr>
        <w:t>分项</w:t>
      </w:r>
      <w:bookmarkEnd w:id="379"/>
      <w:bookmarkEnd w:id="380"/>
      <w:bookmarkEnd w:id="381"/>
      <w:r>
        <w:rPr>
          <w:rFonts w:hint="eastAsia" w:ascii="宋体" w:hAnsi="宋体"/>
          <w:szCs w:val="21"/>
        </w:rPr>
        <w:t>报价表</w:t>
      </w:r>
      <w:bookmarkEnd w:id="382"/>
      <w:r>
        <w:rPr>
          <w:rFonts w:hint="eastAsia" w:ascii="宋体" w:hAnsi="宋体"/>
          <w:b/>
          <w:bCs/>
          <w:szCs w:val="21"/>
        </w:rPr>
        <w:t>（如有）</w:t>
      </w:r>
      <w:bookmarkEnd w:id="383"/>
    </w:p>
    <w:p>
      <w:pPr>
        <w:spacing w:before="120" w:beforeLines="50" w:line="288" w:lineRule="auto"/>
        <w:ind w:hanging="104"/>
        <w:jc w:val="center"/>
        <w:rPr>
          <w:rFonts w:ascii="宋体" w:hAnsi="宋体"/>
          <w:szCs w:val="21"/>
        </w:rPr>
      </w:pPr>
      <w:r>
        <w:rPr>
          <w:rFonts w:hint="eastAsia" w:ascii="宋体" w:hAnsi="宋体"/>
          <w:szCs w:val="21"/>
        </w:rPr>
        <w:t>备品备件、专用工具和专用试验仪器</w:t>
      </w:r>
      <w:r>
        <w:rPr>
          <w:rFonts w:ascii="宋体" w:hAnsi="宋体"/>
          <w:szCs w:val="21"/>
        </w:rPr>
        <w:t>分项</w:t>
      </w:r>
      <w:r>
        <w:rPr>
          <w:rFonts w:hint="eastAsia" w:ascii="宋体" w:hAnsi="宋体"/>
          <w:szCs w:val="21"/>
        </w:rPr>
        <w:t>报价表</w:t>
      </w:r>
    </w:p>
    <w:p>
      <w:pPr>
        <w:spacing w:line="288" w:lineRule="auto"/>
        <w:ind w:right="420"/>
        <w:rPr>
          <w:rFonts w:ascii="宋体" w:hAnsi="宋体"/>
          <w:szCs w:val="21"/>
        </w:rPr>
      </w:pPr>
      <w:r>
        <w:rPr>
          <w:rFonts w:hint="eastAsia" w:ascii="宋体" w:hAnsi="宋体"/>
          <w:szCs w:val="21"/>
        </w:rPr>
        <w:t>项目编号</w:t>
      </w:r>
      <w:r>
        <w:rPr>
          <w:rFonts w:ascii="宋体" w:hAnsi="宋体"/>
          <w:szCs w:val="21"/>
        </w:rPr>
        <w:t>：</w:t>
      </w:r>
      <w:r>
        <w:rPr>
          <w:rFonts w:hint="eastAsia" w:ascii="宋体" w:hAnsi="宋体"/>
          <w:szCs w:val="21"/>
        </w:rPr>
        <w:t xml:space="preserve">                                          标项号：                                         </w:t>
      </w:r>
      <w:r>
        <w:rPr>
          <w:rFonts w:ascii="宋体" w:hAnsi="宋体"/>
          <w:szCs w:val="21"/>
        </w:rPr>
        <w:t>[货币单位：人民币元]</w:t>
      </w:r>
    </w:p>
    <w:tbl>
      <w:tblPr>
        <w:tblStyle w:val="41"/>
        <w:tblW w:w="13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233"/>
        <w:gridCol w:w="1115"/>
        <w:gridCol w:w="1014"/>
        <w:gridCol w:w="957"/>
        <w:gridCol w:w="851"/>
        <w:gridCol w:w="851"/>
        <w:gridCol w:w="1147"/>
        <w:gridCol w:w="1546"/>
        <w:gridCol w:w="850"/>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宋体" w:hAnsi="宋体"/>
                <w:b/>
                <w:szCs w:val="21"/>
              </w:rPr>
            </w:pPr>
            <w:r>
              <w:rPr>
                <w:rFonts w:ascii="宋体" w:hAnsi="宋体"/>
                <w:b/>
                <w:szCs w:val="21"/>
              </w:rPr>
              <w:t>1</w:t>
            </w:r>
          </w:p>
        </w:tc>
        <w:tc>
          <w:tcPr>
            <w:tcW w:w="1233" w:type="dxa"/>
            <w:vAlign w:val="center"/>
          </w:tcPr>
          <w:p>
            <w:pPr>
              <w:snapToGrid w:val="0"/>
              <w:jc w:val="center"/>
              <w:rPr>
                <w:rFonts w:ascii="宋体" w:hAnsi="宋体"/>
                <w:b/>
                <w:szCs w:val="21"/>
              </w:rPr>
            </w:pPr>
            <w:r>
              <w:rPr>
                <w:rFonts w:ascii="宋体" w:hAnsi="宋体"/>
                <w:b/>
                <w:szCs w:val="21"/>
              </w:rPr>
              <w:t>2</w:t>
            </w:r>
          </w:p>
        </w:tc>
        <w:tc>
          <w:tcPr>
            <w:tcW w:w="1115" w:type="dxa"/>
            <w:vAlign w:val="center"/>
          </w:tcPr>
          <w:p>
            <w:pPr>
              <w:snapToGrid w:val="0"/>
              <w:jc w:val="center"/>
              <w:rPr>
                <w:rFonts w:ascii="宋体" w:hAnsi="宋体"/>
                <w:b/>
                <w:szCs w:val="21"/>
              </w:rPr>
            </w:pPr>
            <w:r>
              <w:rPr>
                <w:rFonts w:hint="eastAsia" w:ascii="宋体" w:hAnsi="宋体"/>
                <w:b/>
                <w:szCs w:val="21"/>
              </w:rPr>
              <w:t>3</w:t>
            </w:r>
          </w:p>
        </w:tc>
        <w:tc>
          <w:tcPr>
            <w:tcW w:w="1014" w:type="dxa"/>
            <w:vAlign w:val="center"/>
          </w:tcPr>
          <w:p>
            <w:pPr>
              <w:snapToGrid w:val="0"/>
              <w:jc w:val="center"/>
              <w:rPr>
                <w:rFonts w:ascii="宋体" w:hAnsi="宋体"/>
                <w:b/>
                <w:szCs w:val="21"/>
              </w:rPr>
            </w:pPr>
            <w:r>
              <w:rPr>
                <w:rFonts w:hint="eastAsia" w:ascii="宋体" w:hAnsi="宋体"/>
                <w:b/>
                <w:szCs w:val="21"/>
              </w:rPr>
              <w:t>4</w:t>
            </w:r>
          </w:p>
        </w:tc>
        <w:tc>
          <w:tcPr>
            <w:tcW w:w="957" w:type="dxa"/>
            <w:vAlign w:val="center"/>
          </w:tcPr>
          <w:p>
            <w:pPr>
              <w:snapToGrid w:val="0"/>
              <w:jc w:val="center"/>
              <w:rPr>
                <w:rFonts w:ascii="宋体" w:hAnsi="宋体"/>
                <w:b/>
                <w:szCs w:val="21"/>
              </w:rPr>
            </w:pPr>
            <w:r>
              <w:rPr>
                <w:rFonts w:hint="eastAsia" w:ascii="宋体" w:hAnsi="宋体"/>
                <w:b/>
                <w:szCs w:val="21"/>
              </w:rPr>
              <w:t>5</w:t>
            </w:r>
          </w:p>
        </w:tc>
        <w:tc>
          <w:tcPr>
            <w:tcW w:w="851" w:type="dxa"/>
            <w:vAlign w:val="center"/>
          </w:tcPr>
          <w:p>
            <w:pPr>
              <w:snapToGrid w:val="0"/>
              <w:jc w:val="center"/>
              <w:rPr>
                <w:rFonts w:ascii="宋体" w:hAnsi="宋体"/>
                <w:b/>
                <w:szCs w:val="21"/>
              </w:rPr>
            </w:pPr>
            <w:r>
              <w:rPr>
                <w:rFonts w:hint="eastAsia" w:ascii="宋体" w:hAnsi="宋体"/>
                <w:b/>
                <w:szCs w:val="21"/>
              </w:rPr>
              <w:t>6</w:t>
            </w:r>
          </w:p>
        </w:tc>
        <w:tc>
          <w:tcPr>
            <w:tcW w:w="851" w:type="dxa"/>
            <w:vAlign w:val="center"/>
          </w:tcPr>
          <w:p>
            <w:pPr>
              <w:snapToGrid w:val="0"/>
              <w:jc w:val="center"/>
              <w:rPr>
                <w:rFonts w:ascii="宋体" w:hAnsi="宋体"/>
                <w:b/>
                <w:szCs w:val="21"/>
              </w:rPr>
            </w:pPr>
            <w:r>
              <w:rPr>
                <w:rFonts w:hint="eastAsia" w:ascii="宋体" w:hAnsi="宋体"/>
                <w:b/>
                <w:szCs w:val="21"/>
              </w:rPr>
              <w:t>7</w:t>
            </w:r>
          </w:p>
        </w:tc>
        <w:tc>
          <w:tcPr>
            <w:tcW w:w="1147" w:type="dxa"/>
            <w:vAlign w:val="center"/>
          </w:tcPr>
          <w:p>
            <w:pPr>
              <w:snapToGrid w:val="0"/>
              <w:jc w:val="center"/>
              <w:rPr>
                <w:rFonts w:ascii="宋体" w:hAnsi="宋体"/>
                <w:b/>
                <w:szCs w:val="21"/>
              </w:rPr>
            </w:pPr>
            <w:r>
              <w:rPr>
                <w:rFonts w:hint="eastAsia" w:ascii="宋体" w:hAnsi="宋体"/>
                <w:b/>
                <w:szCs w:val="21"/>
              </w:rPr>
              <w:t>8</w:t>
            </w:r>
          </w:p>
        </w:tc>
        <w:tc>
          <w:tcPr>
            <w:tcW w:w="1546" w:type="dxa"/>
            <w:vAlign w:val="center"/>
          </w:tcPr>
          <w:p>
            <w:pPr>
              <w:snapToGrid w:val="0"/>
              <w:jc w:val="center"/>
              <w:rPr>
                <w:rFonts w:ascii="宋体" w:hAnsi="宋体"/>
                <w:b/>
                <w:szCs w:val="21"/>
              </w:rPr>
            </w:pPr>
            <w:r>
              <w:rPr>
                <w:rFonts w:hint="eastAsia" w:ascii="宋体" w:hAnsi="宋体"/>
                <w:b/>
                <w:szCs w:val="21"/>
              </w:rPr>
              <w:t>9</w:t>
            </w:r>
          </w:p>
        </w:tc>
        <w:tc>
          <w:tcPr>
            <w:tcW w:w="850" w:type="dxa"/>
            <w:vAlign w:val="center"/>
          </w:tcPr>
          <w:p>
            <w:pPr>
              <w:snapToGrid w:val="0"/>
              <w:jc w:val="center"/>
              <w:rPr>
                <w:rFonts w:ascii="宋体" w:hAnsi="宋体"/>
                <w:b/>
                <w:szCs w:val="21"/>
              </w:rPr>
            </w:pPr>
            <w:r>
              <w:rPr>
                <w:rFonts w:hint="eastAsia" w:ascii="宋体" w:hAnsi="宋体"/>
                <w:b/>
                <w:szCs w:val="21"/>
              </w:rPr>
              <w:t>10</w:t>
            </w:r>
          </w:p>
        </w:tc>
        <w:tc>
          <w:tcPr>
            <w:tcW w:w="992" w:type="dxa"/>
            <w:vAlign w:val="center"/>
          </w:tcPr>
          <w:p>
            <w:pPr>
              <w:snapToGrid w:val="0"/>
              <w:jc w:val="center"/>
              <w:rPr>
                <w:rFonts w:ascii="宋体" w:hAnsi="宋体"/>
                <w:b/>
                <w:szCs w:val="21"/>
              </w:rPr>
            </w:pPr>
            <w:r>
              <w:rPr>
                <w:rFonts w:hint="eastAsia" w:ascii="宋体" w:hAnsi="宋体"/>
                <w:b/>
                <w:szCs w:val="21"/>
              </w:rPr>
              <w:t>11</w:t>
            </w:r>
          </w:p>
        </w:tc>
        <w:tc>
          <w:tcPr>
            <w:tcW w:w="1701" w:type="dxa"/>
            <w:vAlign w:val="center"/>
          </w:tcPr>
          <w:p>
            <w:pPr>
              <w:snapToGrid w:val="0"/>
              <w:jc w:val="center"/>
              <w:rPr>
                <w:rFonts w:ascii="宋体" w:hAnsi="宋体"/>
                <w:b/>
                <w:szCs w:val="21"/>
              </w:rPr>
            </w:pPr>
            <w:r>
              <w:rPr>
                <w:rFonts w:hint="eastAsia" w:ascii="宋体" w:hAnsi="宋体"/>
                <w:b/>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宋体" w:hAnsi="宋体"/>
                <w:b/>
                <w:szCs w:val="21"/>
              </w:rPr>
            </w:pPr>
            <w:r>
              <w:rPr>
                <w:rFonts w:ascii="宋体" w:hAnsi="宋体"/>
                <w:b/>
                <w:szCs w:val="21"/>
              </w:rPr>
              <w:t>名称</w:t>
            </w:r>
          </w:p>
        </w:tc>
        <w:tc>
          <w:tcPr>
            <w:tcW w:w="1233" w:type="dxa"/>
            <w:vAlign w:val="center"/>
          </w:tcPr>
          <w:p>
            <w:pPr>
              <w:snapToGrid w:val="0"/>
              <w:jc w:val="center"/>
              <w:rPr>
                <w:rFonts w:ascii="宋体" w:hAnsi="宋体"/>
                <w:b/>
                <w:szCs w:val="21"/>
              </w:rPr>
            </w:pPr>
            <w:r>
              <w:rPr>
                <w:rFonts w:hint="eastAsia" w:ascii="宋体" w:hAnsi="宋体"/>
                <w:b/>
                <w:szCs w:val="21"/>
              </w:rPr>
              <w:t>规格型号</w:t>
            </w:r>
          </w:p>
        </w:tc>
        <w:tc>
          <w:tcPr>
            <w:tcW w:w="1115" w:type="dxa"/>
            <w:vAlign w:val="center"/>
          </w:tcPr>
          <w:p>
            <w:pPr>
              <w:snapToGrid w:val="0"/>
              <w:jc w:val="center"/>
              <w:rPr>
                <w:rFonts w:ascii="宋体" w:hAnsi="宋体"/>
                <w:b/>
                <w:szCs w:val="21"/>
              </w:rPr>
            </w:pPr>
            <w:r>
              <w:rPr>
                <w:rFonts w:hint="eastAsia" w:ascii="宋体" w:hAnsi="宋体"/>
                <w:b/>
                <w:szCs w:val="21"/>
              </w:rPr>
              <w:t>产品品牌</w:t>
            </w:r>
          </w:p>
        </w:tc>
        <w:tc>
          <w:tcPr>
            <w:tcW w:w="1014" w:type="dxa"/>
            <w:vAlign w:val="center"/>
          </w:tcPr>
          <w:p>
            <w:pPr>
              <w:snapToGrid w:val="0"/>
              <w:jc w:val="center"/>
              <w:rPr>
                <w:rFonts w:ascii="宋体" w:hAnsi="宋体"/>
                <w:b/>
                <w:szCs w:val="21"/>
              </w:rPr>
            </w:pPr>
            <w:r>
              <w:rPr>
                <w:rFonts w:hint="eastAsia" w:ascii="宋体" w:hAnsi="宋体"/>
                <w:b/>
                <w:szCs w:val="21"/>
              </w:rPr>
              <w:t>出厂价</w:t>
            </w:r>
          </w:p>
        </w:tc>
        <w:tc>
          <w:tcPr>
            <w:tcW w:w="957" w:type="dxa"/>
            <w:vAlign w:val="center"/>
          </w:tcPr>
          <w:p>
            <w:pPr>
              <w:snapToGrid w:val="0"/>
              <w:jc w:val="center"/>
              <w:rPr>
                <w:rFonts w:ascii="宋体" w:hAnsi="宋体"/>
                <w:b/>
                <w:szCs w:val="21"/>
              </w:rPr>
            </w:pPr>
            <w:r>
              <w:rPr>
                <w:rFonts w:ascii="宋体" w:hAnsi="宋体"/>
                <w:b/>
                <w:szCs w:val="21"/>
              </w:rPr>
              <w:t>运</w:t>
            </w:r>
            <w:r>
              <w:rPr>
                <w:rFonts w:hint="eastAsia" w:ascii="宋体" w:hAnsi="宋体"/>
                <w:b/>
                <w:szCs w:val="21"/>
              </w:rPr>
              <w:t>输</w:t>
            </w:r>
            <w:r>
              <w:rPr>
                <w:rFonts w:ascii="宋体" w:hAnsi="宋体"/>
                <w:b/>
                <w:szCs w:val="21"/>
              </w:rPr>
              <w:t>费</w:t>
            </w:r>
          </w:p>
        </w:tc>
        <w:tc>
          <w:tcPr>
            <w:tcW w:w="851" w:type="dxa"/>
            <w:vAlign w:val="center"/>
          </w:tcPr>
          <w:p>
            <w:pPr>
              <w:snapToGrid w:val="0"/>
              <w:jc w:val="center"/>
              <w:rPr>
                <w:rFonts w:ascii="宋体" w:hAnsi="宋体"/>
                <w:b/>
                <w:szCs w:val="21"/>
              </w:rPr>
            </w:pPr>
            <w:r>
              <w:rPr>
                <w:rFonts w:hint="eastAsia" w:ascii="宋体" w:hAnsi="宋体"/>
                <w:b/>
                <w:szCs w:val="21"/>
              </w:rPr>
              <w:t>保险费</w:t>
            </w:r>
          </w:p>
        </w:tc>
        <w:tc>
          <w:tcPr>
            <w:tcW w:w="851" w:type="dxa"/>
            <w:vAlign w:val="center"/>
          </w:tcPr>
          <w:p>
            <w:pPr>
              <w:snapToGrid w:val="0"/>
              <w:jc w:val="center"/>
              <w:rPr>
                <w:rFonts w:ascii="宋体" w:hAnsi="宋体"/>
                <w:b/>
                <w:szCs w:val="21"/>
              </w:rPr>
            </w:pPr>
            <w:r>
              <w:rPr>
                <w:rFonts w:hint="eastAsia" w:ascii="宋体" w:hAnsi="宋体"/>
                <w:b/>
                <w:szCs w:val="21"/>
              </w:rPr>
              <w:t>装</w:t>
            </w:r>
            <w:r>
              <w:rPr>
                <w:rFonts w:ascii="宋体" w:hAnsi="宋体"/>
                <w:b/>
                <w:szCs w:val="21"/>
              </w:rPr>
              <w:t>卸费</w:t>
            </w:r>
          </w:p>
        </w:tc>
        <w:tc>
          <w:tcPr>
            <w:tcW w:w="1147" w:type="dxa"/>
            <w:vAlign w:val="center"/>
          </w:tcPr>
          <w:p>
            <w:pPr>
              <w:snapToGrid w:val="0"/>
              <w:jc w:val="center"/>
              <w:rPr>
                <w:rFonts w:ascii="宋体" w:hAnsi="宋体"/>
                <w:b/>
                <w:szCs w:val="21"/>
              </w:rPr>
            </w:pPr>
            <w:r>
              <w:rPr>
                <w:rFonts w:hint="eastAsia" w:ascii="宋体" w:hAnsi="宋体"/>
                <w:b/>
                <w:szCs w:val="21"/>
              </w:rPr>
              <w:t>其他费用</w:t>
            </w:r>
          </w:p>
        </w:tc>
        <w:tc>
          <w:tcPr>
            <w:tcW w:w="1546" w:type="dxa"/>
            <w:vAlign w:val="center"/>
          </w:tcPr>
          <w:p>
            <w:pPr>
              <w:snapToGrid w:val="0"/>
              <w:jc w:val="center"/>
              <w:rPr>
                <w:rFonts w:ascii="宋体" w:hAnsi="宋体"/>
                <w:b/>
                <w:szCs w:val="21"/>
              </w:rPr>
            </w:pPr>
            <w:r>
              <w:rPr>
                <w:rFonts w:ascii="宋体" w:hAnsi="宋体"/>
                <w:b/>
                <w:szCs w:val="21"/>
              </w:rPr>
              <w:t>设备单价</w:t>
            </w:r>
          </w:p>
          <w:p>
            <w:pPr>
              <w:snapToGrid w:val="0"/>
              <w:jc w:val="center"/>
              <w:rPr>
                <w:rFonts w:ascii="宋体" w:hAnsi="宋体"/>
                <w:b/>
                <w:szCs w:val="21"/>
              </w:rPr>
            </w:pPr>
            <w:r>
              <w:rPr>
                <w:rFonts w:ascii="宋体" w:hAnsi="宋体"/>
                <w:b/>
                <w:szCs w:val="21"/>
              </w:rPr>
              <w:t>（现场</w:t>
            </w:r>
            <w:r>
              <w:rPr>
                <w:rFonts w:ascii="宋体" w:hAnsi="宋体"/>
                <w:b/>
                <w:i/>
                <w:szCs w:val="21"/>
              </w:rPr>
              <w:t>落地</w:t>
            </w:r>
            <w:r>
              <w:rPr>
                <w:rFonts w:hint="eastAsia" w:ascii="宋体" w:hAnsi="宋体"/>
                <w:b/>
                <w:i/>
                <w:szCs w:val="21"/>
              </w:rPr>
              <w:t>/车板</w:t>
            </w:r>
            <w:r>
              <w:rPr>
                <w:rFonts w:ascii="宋体" w:hAnsi="宋体"/>
                <w:b/>
                <w:szCs w:val="21"/>
              </w:rPr>
              <w:t>价）</w:t>
            </w:r>
          </w:p>
          <w:p>
            <w:pPr>
              <w:snapToGrid w:val="0"/>
              <w:jc w:val="center"/>
              <w:rPr>
                <w:rFonts w:ascii="宋体" w:hAnsi="宋体"/>
                <w:b/>
                <w:szCs w:val="21"/>
              </w:rPr>
            </w:pPr>
            <w:r>
              <w:rPr>
                <w:rFonts w:hint="eastAsia" w:ascii="宋体" w:hAnsi="宋体"/>
                <w:b/>
                <w:szCs w:val="21"/>
              </w:rPr>
              <w:t>9</w:t>
            </w:r>
            <w:r>
              <w:rPr>
                <w:rFonts w:ascii="宋体" w:hAnsi="宋体"/>
                <w:b/>
                <w:szCs w:val="21"/>
              </w:rPr>
              <w:t>=4+5+6</w:t>
            </w:r>
            <w:r>
              <w:rPr>
                <w:rFonts w:hint="eastAsia" w:ascii="宋体" w:hAnsi="宋体"/>
                <w:b/>
                <w:szCs w:val="21"/>
              </w:rPr>
              <w:t>+7+8</w:t>
            </w:r>
          </w:p>
        </w:tc>
        <w:tc>
          <w:tcPr>
            <w:tcW w:w="850" w:type="dxa"/>
            <w:vAlign w:val="center"/>
          </w:tcPr>
          <w:p>
            <w:pPr>
              <w:snapToGrid w:val="0"/>
              <w:jc w:val="center"/>
              <w:rPr>
                <w:rFonts w:ascii="宋体" w:hAnsi="宋体"/>
                <w:b/>
                <w:szCs w:val="21"/>
              </w:rPr>
            </w:pPr>
            <w:r>
              <w:rPr>
                <w:rFonts w:hint="eastAsia" w:ascii="宋体" w:hAnsi="宋体"/>
                <w:b/>
                <w:szCs w:val="21"/>
              </w:rPr>
              <w:t>单位</w:t>
            </w:r>
          </w:p>
        </w:tc>
        <w:tc>
          <w:tcPr>
            <w:tcW w:w="992" w:type="dxa"/>
            <w:vAlign w:val="center"/>
          </w:tcPr>
          <w:p>
            <w:pPr>
              <w:snapToGrid w:val="0"/>
              <w:jc w:val="center"/>
              <w:rPr>
                <w:rFonts w:ascii="宋体" w:hAnsi="宋体"/>
                <w:b/>
                <w:szCs w:val="21"/>
              </w:rPr>
            </w:pPr>
            <w:r>
              <w:rPr>
                <w:rFonts w:ascii="宋体" w:hAnsi="宋体"/>
                <w:b/>
                <w:szCs w:val="21"/>
              </w:rPr>
              <w:t>数量</w:t>
            </w:r>
          </w:p>
        </w:tc>
        <w:tc>
          <w:tcPr>
            <w:tcW w:w="1701" w:type="dxa"/>
            <w:vAlign w:val="center"/>
          </w:tcPr>
          <w:p>
            <w:pPr>
              <w:snapToGrid w:val="0"/>
              <w:jc w:val="center"/>
              <w:rPr>
                <w:rFonts w:ascii="宋体" w:hAnsi="宋体"/>
                <w:b/>
                <w:szCs w:val="21"/>
              </w:rPr>
            </w:pPr>
            <w:r>
              <w:rPr>
                <w:rFonts w:ascii="宋体" w:hAnsi="宋体"/>
                <w:b/>
                <w:szCs w:val="21"/>
              </w:rPr>
              <w:t>设备总价</w:t>
            </w:r>
          </w:p>
          <w:p>
            <w:pPr>
              <w:snapToGrid w:val="0"/>
              <w:jc w:val="center"/>
              <w:rPr>
                <w:rFonts w:ascii="宋体" w:hAnsi="宋体"/>
                <w:b/>
                <w:szCs w:val="21"/>
              </w:rPr>
            </w:pPr>
            <w:r>
              <w:rPr>
                <w:rFonts w:ascii="宋体" w:hAnsi="宋体"/>
                <w:b/>
                <w:szCs w:val="21"/>
              </w:rPr>
              <w:t>（现场</w:t>
            </w:r>
            <w:r>
              <w:rPr>
                <w:rFonts w:ascii="宋体" w:hAnsi="宋体"/>
                <w:b/>
                <w:i/>
                <w:szCs w:val="21"/>
              </w:rPr>
              <w:t>落地</w:t>
            </w:r>
            <w:r>
              <w:rPr>
                <w:rFonts w:hint="eastAsia" w:ascii="宋体" w:hAnsi="宋体"/>
                <w:b/>
                <w:i/>
                <w:szCs w:val="21"/>
              </w:rPr>
              <w:t>/车板</w:t>
            </w:r>
            <w:r>
              <w:rPr>
                <w:rFonts w:ascii="宋体" w:hAnsi="宋体"/>
                <w:b/>
                <w:szCs w:val="21"/>
              </w:rPr>
              <w:t>价）</w:t>
            </w:r>
          </w:p>
          <w:p>
            <w:pPr>
              <w:snapToGrid w:val="0"/>
              <w:jc w:val="center"/>
              <w:rPr>
                <w:rFonts w:ascii="宋体" w:hAnsi="宋体"/>
                <w:b/>
                <w:szCs w:val="21"/>
              </w:rPr>
            </w:pPr>
            <w:r>
              <w:rPr>
                <w:rFonts w:hint="eastAsia" w:ascii="宋体" w:hAnsi="宋体"/>
                <w:b/>
                <w:szCs w:val="21"/>
              </w:rPr>
              <w:t>12</w:t>
            </w:r>
            <w:r>
              <w:rPr>
                <w:rFonts w:ascii="宋体" w:hAnsi="宋体"/>
                <w:b/>
                <w:szCs w:val="21"/>
              </w:rPr>
              <w:t>=</w:t>
            </w:r>
            <w:r>
              <w:rPr>
                <w:rFonts w:hint="eastAsia" w:ascii="宋体" w:hAnsi="宋体"/>
                <w:b/>
                <w:szCs w:val="21"/>
              </w:rPr>
              <w:t>11</w:t>
            </w:r>
            <w:r>
              <w:rPr>
                <w:rFonts w:ascii="宋体" w:hAnsi="宋体"/>
                <w:b/>
                <w:szCs w:val="21"/>
              </w:rPr>
              <w:t>×</w:t>
            </w:r>
            <w:r>
              <w:rPr>
                <w:rFonts w:hint="eastAsia" w:ascii="宋体" w:hAnsi="宋体"/>
                <w:b/>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宋体" w:hAnsi="宋体"/>
                <w:szCs w:val="21"/>
              </w:rPr>
            </w:pPr>
          </w:p>
        </w:tc>
        <w:tc>
          <w:tcPr>
            <w:tcW w:w="1233" w:type="dxa"/>
            <w:vAlign w:val="center"/>
          </w:tcPr>
          <w:p>
            <w:pPr>
              <w:snapToGrid w:val="0"/>
              <w:jc w:val="center"/>
              <w:rPr>
                <w:rFonts w:ascii="宋体" w:hAnsi="宋体"/>
                <w:szCs w:val="21"/>
              </w:rPr>
            </w:pPr>
          </w:p>
        </w:tc>
        <w:tc>
          <w:tcPr>
            <w:tcW w:w="1115" w:type="dxa"/>
            <w:vAlign w:val="center"/>
          </w:tcPr>
          <w:p>
            <w:pPr>
              <w:snapToGrid w:val="0"/>
              <w:jc w:val="center"/>
              <w:rPr>
                <w:rFonts w:ascii="宋体" w:hAnsi="宋体"/>
                <w:szCs w:val="21"/>
              </w:rPr>
            </w:pPr>
          </w:p>
        </w:tc>
        <w:tc>
          <w:tcPr>
            <w:tcW w:w="1014" w:type="dxa"/>
            <w:vAlign w:val="center"/>
          </w:tcPr>
          <w:p>
            <w:pPr>
              <w:snapToGrid w:val="0"/>
              <w:jc w:val="center"/>
              <w:rPr>
                <w:rFonts w:ascii="宋体" w:hAnsi="宋体"/>
                <w:szCs w:val="21"/>
              </w:rPr>
            </w:pPr>
          </w:p>
        </w:tc>
        <w:tc>
          <w:tcPr>
            <w:tcW w:w="957"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1147" w:type="dxa"/>
            <w:vAlign w:val="center"/>
          </w:tcPr>
          <w:p>
            <w:pPr>
              <w:snapToGrid w:val="0"/>
              <w:jc w:val="center"/>
              <w:rPr>
                <w:rFonts w:ascii="宋体" w:hAnsi="宋体"/>
                <w:szCs w:val="21"/>
              </w:rPr>
            </w:pPr>
          </w:p>
        </w:tc>
        <w:tc>
          <w:tcPr>
            <w:tcW w:w="1546" w:type="dxa"/>
            <w:vAlign w:val="center"/>
          </w:tcPr>
          <w:p>
            <w:pPr>
              <w:snapToGrid w:val="0"/>
              <w:jc w:val="center"/>
              <w:rPr>
                <w:rFonts w:ascii="宋体" w:hAnsi="宋体"/>
                <w:szCs w:val="21"/>
              </w:rPr>
            </w:pPr>
          </w:p>
        </w:tc>
        <w:tc>
          <w:tcPr>
            <w:tcW w:w="850" w:type="dxa"/>
            <w:vAlign w:val="center"/>
          </w:tcPr>
          <w:p>
            <w:pPr>
              <w:snapToGrid w:val="0"/>
              <w:jc w:val="center"/>
              <w:rPr>
                <w:rFonts w:ascii="宋体" w:hAnsi="宋体"/>
                <w:szCs w:val="21"/>
              </w:rPr>
            </w:pPr>
          </w:p>
        </w:tc>
        <w:tc>
          <w:tcPr>
            <w:tcW w:w="992" w:type="dxa"/>
            <w:vAlign w:val="center"/>
          </w:tcPr>
          <w:p>
            <w:pPr>
              <w:snapToGrid w:val="0"/>
              <w:jc w:val="center"/>
              <w:rPr>
                <w:rFonts w:ascii="宋体" w:hAnsi="宋体"/>
                <w:szCs w:val="21"/>
              </w:rPr>
            </w:pPr>
          </w:p>
        </w:tc>
        <w:tc>
          <w:tcPr>
            <w:tcW w:w="1701"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宋体" w:hAnsi="宋体"/>
                <w:szCs w:val="21"/>
              </w:rPr>
            </w:pPr>
          </w:p>
        </w:tc>
        <w:tc>
          <w:tcPr>
            <w:tcW w:w="1233" w:type="dxa"/>
            <w:vAlign w:val="center"/>
          </w:tcPr>
          <w:p>
            <w:pPr>
              <w:snapToGrid w:val="0"/>
              <w:jc w:val="center"/>
              <w:rPr>
                <w:rFonts w:ascii="宋体" w:hAnsi="宋体"/>
                <w:szCs w:val="21"/>
              </w:rPr>
            </w:pPr>
          </w:p>
        </w:tc>
        <w:tc>
          <w:tcPr>
            <w:tcW w:w="1115" w:type="dxa"/>
            <w:vAlign w:val="center"/>
          </w:tcPr>
          <w:p>
            <w:pPr>
              <w:snapToGrid w:val="0"/>
              <w:jc w:val="center"/>
              <w:rPr>
                <w:rFonts w:ascii="宋体" w:hAnsi="宋体"/>
                <w:szCs w:val="21"/>
              </w:rPr>
            </w:pPr>
          </w:p>
        </w:tc>
        <w:tc>
          <w:tcPr>
            <w:tcW w:w="1014" w:type="dxa"/>
            <w:vAlign w:val="center"/>
          </w:tcPr>
          <w:p>
            <w:pPr>
              <w:snapToGrid w:val="0"/>
              <w:jc w:val="center"/>
              <w:rPr>
                <w:rFonts w:ascii="宋体" w:hAnsi="宋体"/>
                <w:szCs w:val="21"/>
              </w:rPr>
            </w:pPr>
          </w:p>
        </w:tc>
        <w:tc>
          <w:tcPr>
            <w:tcW w:w="957"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1147" w:type="dxa"/>
            <w:vAlign w:val="center"/>
          </w:tcPr>
          <w:p>
            <w:pPr>
              <w:snapToGrid w:val="0"/>
              <w:jc w:val="center"/>
              <w:rPr>
                <w:rFonts w:ascii="宋体" w:hAnsi="宋体"/>
                <w:szCs w:val="21"/>
              </w:rPr>
            </w:pPr>
          </w:p>
        </w:tc>
        <w:tc>
          <w:tcPr>
            <w:tcW w:w="1546" w:type="dxa"/>
            <w:vAlign w:val="center"/>
          </w:tcPr>
          <w:p>
            <w:pPr>
              <w:snapToGrid w:val="0"/>
              <w:jc w:val="center"/>
              <w:rPr>
                <w:rFonts w:ascii="宋体" w:hAnsi="宋体"/>
                <w:szCs w:val="21"/>
              </w:rPr>
            </w:pPr>
          </w:p>
        </w:tc>
        <w:tc>
          <w:tcPr>
            <w:tcW w:w="850" w:type="dxa"/>
            <w:vAlign w:val="center"/>
          </w:tcPr>
          <w:p>
            <w:pPr>
              <w:snapToGrid w:val="0"/>
              <w:jc w:val="center"/>
              <w:rPr>
                <w:rFonts w:ascii="宋体" w:hAnsi="宋体"/>
                <w:szCs w:val="21"/>
              </w:rPr>
            </w:pPr>
          </w:p>
        </w:tc>
        <w:tc>
          <w:tcPr>
            <w:tcW w:w="992" w:type="dxa"/>
            <w:vAlign w:val="center"/>
          </w:tcPr>
          <w:p>
            <w:pPr>
              <w:snapToGrid w:val="0"/>
              <w:jc w:val="center"/>
              <w:rPr>
                <w:rFonts w:ascii="宋体" w:hAnsi="宋体"/>
                <w:szCs w:val="21"/>
              </w:rPr>
            </w:pPr>
          </w:p>
        </w:tc>
        <w:tc>
          <w:tcPr>
            <w:tcW w:w="1701"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宋体" w:hAnsi="宋体"/>
                <w:szCs w:val="21"/>
              </w:rPr>
            </w:pPr>
          </w:p>
        </w:tc>
        <w:tc>
          <w:tcPr>
            <w:tcW w:w="1233" w:type="dxa"/>
            <w:vAlign w:val="center"/>
          </w:tcPr>
          <w:p>
            <w:pPr>
              <w:snapToGrid w:val="0"/>
              <w:jc w:val="center"/>
              <w:rPr>
                <w:rFonts w:ascii="宋体" w:hAnsi="宋体"/>
                <w:szCs w:val="21"/>
              </w:rPr>
            </w:pPr>
          </w:p>
        </w:tc>
        <w:tc>
          <w:tcPr>
            <w:tcW w:w="1115" w:type="dxa"/>
            <w:vAlign w:val="center"/>
          </w:tcPr>
          <w:p>
            <w:pPr>
              <w:snapToGrid w:val="0"/>
              <w:jc w:val="center"/>
              <w:rPr>
                <w:rFonts w:ascii="宋体" w:hAnsi="宋体"/>
                <w:szCs w:val="21"/>
              </w:rPr>
            </w:pPr>
          </w:p>
        </w:tc>
        <w:tc>
          <w:tcPr>
            <w:tcW w:w="1014" w:type="dxa"/>
            <w:vAlign w:val="center"/>
          </w:tcPr>
          <w:p>
            <w:pPr>
              <w:snapToGrid w:val="0"/>
              <w:jc w:val="center"/>
              <w:rPr>
                <w:rFonts w:ascii="宋体" w:hAnsi="宋体"/>
                <w:szCs w:val="21"/>
              </w:rPr>
            </w:pPr>
          </w:p>
        </w:tc>
        <w:tc>
          <w:tcPr>
            <w:tcW w:w="957"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1147" w:type="dxa"/>
            <w:vAlign w:val="center"/>
          </w:tcPr>
          <w:p>
            <w:pPr>
              <w:snapToGrid w:val="0"/>
              <w:jc w:val="center"/>
              <w:rPr>
                <w:rFonts w:ascii="宋体" w:hAnsi="宋体"/>
                <w:szCs w:val="21"/>
              </w:rPr>
            </w:pPr>
          </w:p>
        </w:tc>
        <w:tc>
          <w:tcPr>
            <w:tcW w:w="1546" w:type="dxa"/>
            <w:vAlign w:val="center"/>
          </w:tcPr>
          <w:p>
            <w:pPr>
              <w:snapToGrid w:val="0"/>
              <w:jc w:val="center"/>
              <w:rPr>
                <w:rFonts w:ascii="宋体" w:hAnsi="宋体"/>
                <w:szCs w:val="21"/>
              </w:rPr>
            </w:pPr>
          </w:p>
        </w:tc>
        <w:tc>
          <w:tcPr>
            <w:tcW w:w="850" w:type="dxa"/>
            <w:vAlign w:val="center"/>
          </w:tcPr>
          <w:p>
            <w:pPr>
              <w:snapToGrid w:val="0"/>
              <w:jc w:val="center"/>
              <w:rPr>
                <w:rFonts w:ascii="宋体" w:hAnsi="宋体"/>
                <w:szCs w:val="21"/>
              </w:rPr>
            </w:pPr>
          </w:p>
        </w:tc>
        <w:tc>
          <w:tcPr>
            <w:tcW w:w="992" w:type="dxa"/>
            <w:vAlign w:val="center"/>
          </w:tcPr>
          <w:p>
            <w:pPr>
              <w:snapToGrid w:val="0"/>
              <w:jc w:val="center"/>
              <w:rPr>
                <w:rFonts w:ascii="宋体" w:hAnsi="宋体"/>
                <w:szCs w:val="21"/>
              </w:rPr>
            </w:pPr>
          </w:p>
        </w:tc>
        <w:tc>
          <w:tcPr>
            <w:tcW w:w="1701"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宋体" w:hAnsi="宋体"/>
                <w:szCs w:val="21"/>
              </w:rPr>
            </w:pPr>
          </w:p>
        </w:tc>
        <w:tc>
          <w:tcPr>
            <w:tcW w:w="1233" w:type="dxa"/>
            <w:vAlign w:val="center"/>
          </w:tcPr>
          <w:p>
            <w:pPr>
              <w:snapToGrid w:val="0"/>
              <w:jc w:val="center"/>
              <w:rPr>
                <w:rFonts w:ascii="宋体" w:hAnsi="宋体"/>
                <w:szCs w:val="21"/>
              </w:rPr>
            </w:pPr>
          </w:p>
        </w:tc>
        <w:tc>
          <w:tcPr>
            <w:tcW w:w="1115" w:type="dxa"/>
            <w:vAlign w:val="center"/>
          </w:tcPr>
          <w:p>
            <w:pPr>
              <w:snapToGrid w:val="0"/>
              <w:jc w:val="center"/>
              <w:rPr>
                <w:rFonts w:ascii="宋体" w:hAnsi="宋体"/>
                <w:szCs w:val="21"/>
              </w:rPr>
            </w:pPr>
          </w:p>
        </w:tc>
        <w:tc>
          <w:tcPr>
            <w:tcW w:w="1014" w:type="dxa"/>
            <w:vAlign w:val="center"/>
          </w:tcPr>
          <w:p>
            <w:pPr>
              <w:snapToGrid w:val="0"/>
              <w:jc w:val="center"/>
              <w:rPr>
                <w:rFonts w:ascii="宋体" w:hAnsi="宋体"/>
                <w:szCs w:val="21"/>
              </w:rPr>
            </w:pPr>
          </w:p>
        </w:tc>
        <w:tc>
          <w:tcPr>
            <w:tcW w:w="957"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1147" w:type="dxa"/>
            <w:vAlign w:val="center"/>
          </w:tcPr>
          <w:p>
            <w:pPr>
              <w:snapToGrid w:val="0"/>
              <w:jc w:val="center"/>
              <w:rPr>
                <w:rFonts w:ascii="宋体" w:hAnsi="宋体"/>
                <w:szCs w:val="21"/>
              </w:rPr>
            </w:pPr>
          </w:p>
        </w:tc>
        <w:tc>
          <w:tcPr>
            <w:tcW w:w="1546" w:type="dxa"/>
            <w:vAlign w:val="center"/>
          </w:tcPr>
          <w:p>
            <w:pPr>
              <w:snapToGrid w:val="0"/>
              <w:jc w:val="center"/>
              <w:rPr>
                <w:rFonts w:ascii="宋体" w:hAnsi="宋体"/>
                <w:szCs w:val="21"/>
              </w:rPr>
            </w:pPr>
          </w:p>
        </w:tc>
        <w:tc>
          <w:tcPr>
            <w:tcW w:w="850" w:type="dxa"/>
            <w:vAlign w:val="center"/>
          </w:tcPr>
          <w:p>
            <w:pPr>
              <w:snapToGrid w:val="0"/>
              <w:jc w:val="center"/>
              <w:rPr>
                <w:rFonts w:ascii="宋体" w:hAnsi="宋体"/>
                <w:szCs w:val="21"/>
              </w:rPr>
            </w:pPr>
          </w:p>
        </w:tc>
        <w:tc>
          <w:tcPr>
            <w:tcW w:w="992" w:type="dxa"/>
            <w:vAlign w:val="center"/>
          </w:tcPr>
          <w:p>
            <w:pPr>
              <w:snapToGrid w:val="0"/>
              <w:jc w:val="center"/>
              <w:rPr>
                <w:rFonts w:ascii="宋体" w:hAnsi="宋体"/>
                <w:szCs w:val="21"/>
              </w:rPr>
            </w:pPr>
          </w:p>
        </w:tc>
        <w:tc>
          <w:tcPr>
            <w:tcW w:w="1701"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宋体" w:hAnsi="宋体"/>
                <w:szCs w:val="21"/>
              </w:rPr>
            </w:pPr>
            <w:r>
              <w:rPr>
                <w:rFonts w:ascii="宋体" w:hAnsi="宋体"/>
                <w:szCs w:val="21"/>
              </w:rPr>
              <w:t>……</w:t>
            </w:r>
          </w:p>
        </w:tc>
        <w:tc>
          <w:tcPr>
            <w:tcW w:w="1233" w:type="dxa"/>
            <w:vAlign w:val="center"/>
          </w:tcPr>
          <w:p>
            <w:pPr>
              <w:snapToGrid w:val="0"/>
              <w:jc w:val="center"/>
              <w:rPr>
                <w:rFonts w:ascii="宋体" w:hAnsi="宋体"/>
                <w:szCs w:val="21"/>
              </w:rPr>
            </w:pPr>
          </w:p>
        </w:tc>
        <w:tc>
          <w:tcPr>
            <w:tcW w:w="1115" w:type="dxa"/>
            <w:vAlign w:val="center"/>
          </w:tcPr>
          <w:p>
            <w:pPr>
              <w:snapToGrid w:val="0"/>
              <w:jc w:val="center"/>
              <w:rPr>
                <w:rFonts w:ascii="宋体" w:hAnsi="宋体"/>
                <w:szCs w:val="21"/>
              </w:rPr>
            </w:pPr>
          </w:p>
        </w:tc>
        <w:tc>
          <w:tcPr>
            <w:tcW w:w="1014" w:type="dxa"/>
            <w:vAlign w:val="center"/>
          </w:tcPr>
          <w:p>
            <w:pPr>
              <w:snapToGrid w:val="0"/>
              <w:jc w:val="center"/>
              <w:rPr>
                <w:rFonts w:ascii="宋体" w:hAnsi="宋体"/>
                <w:szCs w:val="21"/>
              </w:rPr>
            </w:pPr>
          </w:p>
        </w:tc>
        <w:tc>
          <w:tcPr>
            <w:tcW w:w="957"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851" w:type="dxa"/>
            <w:vAlign w:val="center"/>
          </w:tcPr>
          <w:p>
            <w:pPr>
              <w:snapToGrid w:val="0"/>
              <w:jc w:val="center"/>
              <w:rPr>
                <w:rFonts w:ascii="宋体" w:hAnsi="宋体"/>
                <w:szCs w:val="21"/>
              </w:rPr>
            </w:pPr>
          </w:p>
        </w:tc>
        <w:tc>
          <w:tcPr>
            <w:tcW w:w="1147" w:type="dxa"/>
            <w:vAlign w:val="center"/>
          </w:tcPr>
          <w:p>
            <w:pPr>
              <w:snapToGrid w:val="0"/>
              <w:jc w:val="center"/>
              <w:rPr>
                <w:rFonts w:ascii="宋体" w:hAnsi="宋体"/>
                <w:szCs w:val="21"/>
              </w:rPr>
            </w:pPr>
          </w:p>
        </w:tc>
        <w:tc>
          <w:tcPr>
            <w:tcW w:w="1546" w:type="dxa"/>
            <w:vAlign w:val="center"/>
          </w:tcPr>
          <w:p>
            <w:pPr>
              <w:snapToGrid w:val="0"/>
              <w:jc w:val="center"/>
              <w:rPr>
                <w:rFonts w:ascii="宋体" w:hAnsi="宋体"/>
                <w:szCs w:val="21"/>
              </w:rPr>
            </w:pPr>
          </w:p>
        </w:tc>
        <w:tc>
          <w:tcPr>
            <w:tcW w:w="850" w:type="dxa"/>
            <w:vAlign w:val="center"/>
          </w:tcPr>
          <w:p>
            <w:pPr>
              <w:snapToGrid w:val="0"/>
              <w:jc w:val="center"/>
              <w:rPr>
                <w:rFonts w:ascii="宋体" w:hAnsi="宋体"/>
                <w:szCs w:val="21"/>
              </w:rPr>
            </w:pPr>
          </w:p>
        </w:tc>
        <w:tc>
          <w:tcPr>
            <w:tcW w:w="992" w:type="dxa"/>
            <w:vAlign w:val="center"/>
          </w:tcPr>
          <w:p>
            <w:pPr>
              <w:snapToGrid w:val="0"/>
              <w:jc w:val="center"/>
              <w:rPr>
                <w:rFonts w:ascii="宋体" w:hAnsi="宋体"/>
                <w:szCs w:val="21"/>
              </w:rPr>
            </w:pPr>
          </w:p>
        </w:tc>
        <w:tc>
          <w:tcPr>
            <w:tcW w:w="1701" w:type="dxa"/>
            <w:vAlign w:val="center"/>
          </w:tcPr>
          <w:p>
            <w:pPr>
              <w:snapToGrid w:val="0"/>
              <w:jc w:val="center"/>
              <w:rPr>
                <w:rFonts w:ascii="宋体" w:hAnsi="宋体"/>
                <w:szCs w:val="21"/>
              </w:rPr>
            </w:pPr>
          </w:p>
        </w:tc>
      </w:tr>
    </w:tbl>
    <w:p>
      <w:pPr>
        <w:spacing w:before="120" w:beforeLines="50" w:line="288" w:lineRule="auto"/>
        <w:ind w:left="-122" w:leftChars="-58"/>
        <w:rPr>
          <w:rFonts w:ascii="宋体" w:hAnsi="宋体"/>
          <w:szCs w:val="21"/>
        </w:rPr>
      </w:pPr>
      <w:r>
        <w:rPr>
          <w:rFonts w:ascii="宋体" w:hAnsi="宋体"/>
          <w:szCs w:val="21"/>
        </w:rPr>
        <w:t>投标人名称（公章）：</w:t>
      </w:r>
    </w:p>
    <w:p>
      <w:pPr>
        <w:spacing w:before="120" w:beforeLines="50" w:line="288" w:lineRule="auto"/>
        <w:ind w:left="-122" w:leftChars="-58"/>
        <w:rPr>
          <w:rFonts w:ascii="宋体" w:hAnsi="宋体"/>
          <w:szCs w:val="21"/>
        </w:rPr>
      </w:pPr>
      <w:r>
        <w:rPr>
          <w:rFonts w:ascii="宋体" w:hAnsi="宋体"/>
          <w:szCs w:val="21"/>
        </w:rPr>
        <w:t>法定代表人或其</w:t>
      </w:r>
      <w:r>
        <w:rPr>
          <w:rFonts w:hint="eastAsia" w:ascii="宋体"/>
          <w:szCs w:val="21"/>
        </w:rPr>
        <w:t>委托代理人</w:t>
      </w:r>
      <w:r>
        <w:rPr>
          <w:rFonts w:ascii="宋体" w:hAnsi="宋体"/>
          <w:szCs w:val="21"/>
        </w:rPr>
        <w:t>（</w:t>
      </w:r>
      <w:r>
        <w:rPr>
          <w:rFonts w:hint="eastAsia" w:ascii="宋体" w:hAnsi="宋体"/>
          <w:szCs w:val="21"/>
        </w:rPr>
        <w:t>签字或加盖人名章</w:t>
      </w:r>
      <w:r>
        <w:rPr>
          <w:rFonts w:ascii="宋体" w:hAnsi="宋体"/>
          <w:szCs w:val="21"/>
        </w:rPr>
        <w:t>）：</w:t>
      </w:r>
    </w:p>
    <w:p>
      <w:pPr>
        <w:spacing w:before="120" w:beforeLines="50" w:line="288" w:lineRule="auto"/>
        <w:ind w:left="-122" w:leftChars="-58"/>
        <w:rPr>
          <w:rFonts w:ascii="宋体" w:hAnsi="宋体"/>
          <w:szCs w:val="21"/>
        </w:rPr>
      </w:pPr>
      <w:r>
        <w:rPr>
          <w:rFonts w:ascii="宋体" w:hAnsi="宋体"/>
          <w:szCs w:val="21"/>
        </w:rPr>
        <w:t>日期：</w:t>
      </w:r>
    </w:p>
    <w:p>
      <w:pPr>
        <w:spacing w:line="288" w:lineRule="auto"/>
        <w:rPr>
          <w:rFonts w:ascii="宋体" w:hAnsi="宋体"/>
          <w:bCs/>
          <w:szCs w:val="21"/>
        </w:rPr>
      </w:pPr>
      <w:r>
        <w:rPr>
          <w:rFonts w:ascii="宋体" w:hAnsi="宋体"/>
          <w:bCs/>
          <w:szCs w:val="21"/>
        </w:rPr>
        <w:t>注：</w:t>
      </w:r>
      <w:r>
        <w:rPr>
          <w:rFonts w:hint="eastAsia" w:ascii="宋体" w:hAnsi="宋体"/>
          <w:bCs/>
          <w:szCs w:val="21"/>
        </w:rPr>
        <w:t>1、</w:t>
      </w:r>
      <w:r>
        <w:rPr>
          <w:rFonts w:ascii="宋体" w:hAnsi="宋体"/>
          <w:bCs/>
          <w:szCs w:val="21"/>
        </w:rPr>
        <w:t>此表</w:t>
      </w:r>
      <w:r>
        <w:rPr>
          <w:rFonts w:hint="eastAsia" w:ascii="宋体" w:hAnsi="宋体"/>
          <w:bCs/>
          <w:szCs w:val="21"/>
        </w:rPr>
        <w:t>为</w:t>
      </w:r>
      <w:r>
        <w:rPr>
          <w:rFonts w:ascii="宋体" w:hAnsi="宋体"/>
          <w:bCs/>
          <w:szCs w:val="21"/>
        </w:rPr>
        <w:t>报价汇总表之</w:t>
      </w:r>
      <w:r>
        <w:rPr>
          <w:rFonts w:hint="eastAsia" w:ascii="宋体" w:hAnsi="宋体"/>
          <w:bCs/>
          <w:szCs w:val="21"/>
        </w:rPr>
        <w:t>备品备件、专用工具和专用试验仪器分项报价表</w:t>
      </w:r>
      <w:r>
        <w:rPr>
          <w:rFonts w:ascii="宋体" w:hAnsi="宋体"/>
          <w:bCs/>
          <w:szCs w:val="21"/>
        </w:rPr>
        <w:t>。</w:t>
      </w:r>
    </w:p>
    <w:p>
      <w:pPr>
        <w:spacing w:line="288" w:lineRule="auto"/>
        <w:ind w:left="424" w:leftChars="202"/>
        <w:rPr>
          <w:rFonts w:ascii="宋体" w:hAnsi="宋体"/>
          <w:bCs/>
          <w:szCs w:val="21"/>
        </w:rPr>
      </w:pPr>
      <w:r>
        <w:rPr>
          <w:rFonts w:hint="eastAsia" w:ascii="宋体" w:hAnsi="宋体"/>
          <w:bCs/>
          <w:szCs w:val="21"/>
        </w:rPr>
        <w:t>2、</w:t>
      </w:r>
      <w:r>
        <w:rPr>
          <w:rFonts w:ascii="宋体" w:hAnsi="宋体"/>
          <w:bCs/>
          <w:szCs w:val="21"/>
        </w:rPr>
        <w:t>所报内容详见</w:t>
      </w:r>
      <w:r>
        <w:rPr>
          <w:rFonts w:hint="eastAsia" w:ascii="宋体" w:hAnsi="宋体"/>
          <w:bCs/>
          <w:szCs w:val="21"/>
        </w:rPr>
        <w:t>采购</w:t>
      </w:r>
      <w:r>
        <w:rPr>
          <w:rFonts w:ascii="宋体" w:hAnsi="宋体"/>
          <w:bCs/>
          <w:szCs w:val="21"/>
        </w:rPr>
        <w:t>需求相关条款的要求。</w:t>
      </w:r>
    </w:p>
    <w:p>
      <w:pPr>
        <w:spacing w:line="288" w:lineRule="auto"/>
        <w:ind w:firstLine="420" w:firstLineChars="200"/>
        <w:rPr>
          <w:rFonts w:ascii="宋体" w:hAnsi="宋体"/>
          <w:bCs/>
          <w:szCs w:val="21"/>
        </w:rPr>
      </w:pPr>
      <w:r>
        <w:rPr>
          <w:rFonts w:hint="eastAsia" w:ascii="宋体" w:hAnsi="宋体"/>
          <w:bCs/>
          <w:szCs w:val="21"/>
        </w:rPr>
        <w:t>3、本表费用均需报出，不可填“已含”或“已包括”</w:t>
      </w:r>
    </w:p>
    <w:p>
      <w:pPr>
        <w:widowControl/>
        <w:jc w:val="left"/>
        <w:rPr>
          <w:sz w:val="24"/>
        </w:rPr>
      </w:pPr>
    </w:p>
    <w:p>
      <w:pPr>
        <w:spacing w:line="360" w:lineRule="auto"/>
        <w:rPr>
          <w:b/>
          <w:sz w:val="24"/>
        </w:rPr>
      </w:pPr>
    </w:p>
    <w:p>
      <w:pPr>
        <w:spacing w:line="360" w:lineRule="auto"/>
        <w:rPr>
          <w:b/>
          <w:sz w:val="24"/>
        </w:rPr>
      </w:pPr>
    </w:p>
    <w:p/>
    <w:p/>
    <w:p>
      <w:pPr>
        <w:spacing w:line="360" w:lineRule="auto"/>
        <w:outlineLvl w:val="1"/>
        <w:rPr>
          <w:b/>
          <w:sz w:val="24"/>
        </w:rPr>
        <w:sectPr>
          <w:footerReference r:id="rId9" w:type="default"/>
          <w:pgSz w:w="16838" w:h="11906" w:orient="landscape"/>
          <w:pgMar w:top="1701" w:right="1247" w:bottom="1247" w:left="1247" w:header="851" w:footer="992" w:gutter="0"/>
          <w:pgNumType w:fmt="decimal"/>
          <w:cols w:space="720" w:num="1"/>
          <w:docGrid w:linePitch="312" w:charSpace="0"/>
        </w:sectPr>
      </w:pPr>
    </w:p>
    <w:p>
      <w:pPr>
        <w:spacing w:line="360" w:lineRule="auto"/>
        <w:outlineLvl w:val="2"/>
        <w:rPr>
          <w:rFonts w:ascii="宋体" w:hAnsi="宋体"/>
          <w:sz w:val="24"/>
        </w:rPr>
      </w:pPr>
      <w:bookmarkStart w:id="384" w:name="_Toc365"/>
      <w:bookmarkStart w:id="385" w:name="_Toc24068"/>
      <w:bookmarkStart w:id="386" w:name="_Toc26457"/>
      <w:bookmarkStart w:id="387" w:name="_Toc100686685"/>
      <w:bookmarkStart w:id="388" w:name="_Toc20681"/>
      <w:r>
        <w:rPr>
          <w:rFonts w:hint="eastAsia" w:ascii="宋体" w:hAnsi="宋体"/>
          <w:sz w:val="24"/>
        </w:rPr>
        <w:t>附件</w:t>
      </w:r>
      <w:r>
        <w:rPr>
          <w:rFonts w:ascii="宋体" w:hAnsi="宋体"/>
          <w:sz w:val="24"/>
        </w:rPr>
        <w:t>2</w:t>
      </w:r>
      <w:r>
        <w:rPr>
          <w:rFonts w:hint="eastAsia" w:ascii="宋体" w:hAnsi="宋体"/>
          <w:sz w:val="24"/>
        </w:rPr>
        <w:t>-3：</w:t>
      </w:r>
      <w:r>
        <w:rPr>
          <w:rFonts w:ascii="宋体" w:hAnsi="宋体"/>
          <w:szCs w:val="21"/>
        </w:rPr>
        <w:t>服务</w:t>
      </w:r>
      <w:r>
        <w:rPr>
          <w:rFonts w:hint="eastAsia" w:ascii="宋体" w:hAnsi="宋体"/>
          <w:szCs w:val="21"/>
        </w:rPr>
        <w:t>费分项</w:t>
      </w:r>
      <w:bookmarkEnd w:id="384"/>
      <w:bookmarkEnd w:id="385"/>
      <w:bookmarkEnd w:id="386"/>
      <w:r>
        <w:rPr>
          <w:rFonts w:hint="eastAsia" w:ascii="宋体" w:hAnsi="宋体"/>
          <w:szCs w:val="21"/>
        </w:rPr>
        <w:t>报价表</w:t>
      </w:r>
      <w:bookmarkEnd w:id="387"/>
      <w:r>
        <w:rPr>
          <w:rFonts w:hint="eastAsia" w:ascii="宋体" w:hAnsi="宋体"/>
          <w:b/>
          <w:bCs/>
          <w:szCs w:val="21"/>
        </w:rPr>
        <w:t>（如有）</w:t>
      </w:r>
      <w:bookmarkEnd w:id="388"/>
    </w:p>
    <w:p>
      <w:pPr>
        <w:spacing w:before="120" w:beforeLines="50" w:line="288" w:lineRule="auto"/>
        <w:ind w:hanging="104"/>
        <w:jc w:val="center"/>
        <w:rPr>
          <w:rFonts w:ascii="宋体" w:hAnsi="宋体"/>
          <w:szCs w:val="21"/>
        </w:rPr>
      </w:pPr>
      <w:r>
        <w:rPr>
          <w:rFonts w:ascii="宋体" w:hAnsi="宋体"/>
          <w:szCs w:val="21"/>
        </w:rPr>
        <w:t>服务</w:t>
      </w:r>
      <w:r>
        <w:rPr>
          <w:rFonts w:hint="eastAsia" w:ascii="宋体" w:hAnsi="宋体"/>
          <w:szCs w:val="21"/>
        </w:rPr>
        <w:t>费分项报价表</w:t>
      </w:r>
    </w:p>
    <w:p>
      <w:pPr>
        <w:spacing w:line="288" w:lineRule="auto"/>
        <w:jc w:val="center"/>
        <w:rPr>
          <w:rFonts w:ascii="宋体" w:hAnsi="宋体"/>
          <w:b/>
          <w:szCs w:val="21"/>
        </w:rPr>
      </w:pPr>
    </w:p>
    <w:p>
      <w:pPr>
        <w:spacing w:line="288" w:lineRule="auto"/>
        <w:rPr>
          <w:rFonts w:ascii="宋体" w:hAnsi="宋体"/>
          <w:szCs w:val="21"/>
        </w:rPr>
      </w:pPr>
      <w:r>
        <w:rPr>
          <w:rFonts w:hint="eastAsia" w:ascii="宋体" w:hAnsi="宋体"/>
          <w:szCs w:val="21"/>
        </w:rPr>
        <w:t>项目编号</w:t>
      </w:r>
      <w:r>
        <w:rPr>
          <w:rFonts w:ascii="宋体" w:hAnsi="宋体"/>
          <w:szCs w:val="21"/>
        </w:rPr>
        <w:t>：</w:t>
      </w:r>
      <w:r>
        <w:rPr>
          <w:rFonts w:hint="eastAsia" w:ascii="宋体" w:hAnsi="宋体"/>
          <w:szCs w:val="21"/>
        </w:rPr>
        <w:t xml:space="preserve">                   标项号：                 </w:t>
      </w:r>
      <w:r>
        <w:rPr>
          <w:rFonts w:ascii="宋体" w:hAnsi="宋体"/>
          <w:szCs w:val="21"/>
        </w:rPr>
        <w:t xml:space="preserve"> [货币单位：人民币元]</w:t>
      </w:r>
    </w:p>
    <w:tbl>
      <w:tblPr>
        <w:tblStyle w:val="41"/>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4594"/>
        <w:gridCol w:w="720"/>
        <w:gridCol w:w="720"/>
        <w:gridCol w:w="1080"/>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50" w:type="dxa"/>
            <w:vAlign w:val="center"/>
          </w:tcPr>
          <w:p>
            <w:pPr>
              <w:spacing w:line="288" w:lineRule="auto"/>
              <w:jc w:val="center"/>
              <w:rPr>
                <w:rFonts w:ascii="宋体" w:hAnsi="宋体"/>
                <w:szCs w:val="21"/>
              </w:rPr>
            </w:pPr>
            <w:r>
              <w:rPr>
                <w:rFonts w:ascii="宋体" w:hAnsi="宋体"/>
                <w:szCs w:val="21"/>
              </w:rPr>
              <w:t>项号</w:t>
            </w:r>
          </w:p>
        </w:tc>
        <w:tc>
          <w:tcPr>
            <w:tcW w:w="4594" w:type="dxa"/>
            <w:vAlign w:val="center"/>
          </w:tcPr>
          <w:p>
            <w:pPr>
              <w:spacing w:line="288" w:lineRule="auto"/>
              <w:jc w:val="center"/>
              <w:rPr>
                <w:rFonts w:ascii="宋体" w:hAnsi="宋体"/>
                <w:szCs w:val="21"/>
              </w:rPr>
            </w:pPr>
            <w:r>
              <w:rPr>
                <w:rFonts w:ascii="宋体" w:hAnsi="宋体"/>
                <w:szCs w:val="21"/>
              </w:rPr>
              <w:t>服务</w:t>
            </w:r>
          </w:p>
        </w:tc>
        <w:tc>
          <w:tcPr>
            <w:tcW w:w="720" w:type="dxa"/>
            <w:vAlign w:val="center"/>
          </w:tcPr>
          <w:p>
            <w:pPr>
              <w:spacing w:line="288" w:lineRule="auto"/>
              <w:jc w:val="center"/>
              <w:rPr>
                <w:rFonts w:ascii="宋体" w:hAnsi="宋体"/>
                <w:szCs w:val="21"/>
              </w:rPr>
            </w:pPr>
            <w:r>
              <w:rPr>
                <w:rFonts w:ascii="宋体" w:hAnsi="宋体"/>
                <w:szCs w:val="21"/>
              </w:rPr>
              <w:t>数量</w:t>
            </w:r>
          </w:p>
        </w:tc>
        <w:tc>
          <w:tcPr>
            <w:tcW w:w="720" w:type="dxa"/>
            <w:vAlign w:val="center"/>
          </w:tcPr>
          <w:p>
            <w:pPr>
              <w:spacing w:line="288" w:lineRule="auto"/>
              <w:jc w:val="center"/>
              <w:rPr>
                <w:rFonts w:ascii="宋体" w:hAnsi="宋体"/>
                <w:szCs w:val="21"/>
              </w:rPr>
            </w:pPr>
            <w:r>
              <w:rPr>
                <w:rFonts w:ascii="宋体" w:hAnsi="宋体"/>
                <w:szCs w:val="21"/>
              </w:rPr>
              <w:t>单价</w:t>
            </w:r>
          </w:p>
        </w:tc>
        <w:tc>
          <w:tcPr>
            <w:tcW w:w="1080" w:type="dxa"/>
            <w:vAlign w:val="center"/>
          </w:tcPr>
          <w:p>
            <w:pPr>
              <w:spacing w:line="288" w:lineRule="auto"/>
              <w:jc w:val="center"/>
              <w:rPr>
                <w:rFonts w:ascii="宋体" w:hAnsi="宋体"/>
                <w:szCs w:val="21"/>
              </w:rPr>
            </w:pPr>
            <w:r>
              <w:rPr>
                <w:rFonts w:ascii="宋体" w:hAnsi="宋体"/>
                <w:szCs w:val="21"/>
              </w:rPr>
              <w:t>总价</w:t>
            </w:r>
          </w:p>
        </w:tc>
        <w:tc>
          <w:tcPr>
            <w:tcW w:w="1359" w:type="dxa"/>
            <w:vAlign w:val="center"/>
          </w:tcPr>
          <w:p>
            <w:pPr>
              <w:spacing w:line="288" w:lineRule="auto"/>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宋体" w:hAnsi="宋体"/>
                <w:szCs w:val="21"/>
              </w:rPr>
            </w:pPr>
            <w:r>
              <w:rPr>
                <w:rFonts w:hint="eastAsia" w:ascii="宋体" w:hAnsi="宋体"/>
                <w:szCs w:val="21"/>
              </w:rPr>
              <w:t>1</w:t>
            </w:r>
          </w:p>
        </w:tc>
        <w:tc>
          <w:tcPr>
            <w:tcW w:w="4594" w:type="dxa"/>
            <w:vAlign w:val="center"/>
          </w:tcPr>
          <w:p>
            <w:pPr>
              <w:spacing w:line="288" w:lineRule="auto"/>
              <w:rPr>
                <w:rFonts w:ascii="宋体" w:hAnsi="宋体"/>
                <w:szCs w:val="21"/>
              </w:rPr>
            </w:pPr>
            <w:r>
              <w:rPr>
                <w:rFonts w:hint="eastAsia" w:ascii="宋体" w:hAnsi="宋体"/>
                <w:szCs w:val="21"/>
              </w:rPr>
              <w:t>设计联络</w:t>
            </w:r>
          </w:p>
        </w:tc>
        <w:tc>
          <w:tcPr>
            <w:tcW w:w="720" w:type="dxa"/>
            <w:vAlign w:val="center"/>
          </w:tcPr>
          <w:p>
            <w:pPr>
              <w:spacing w:line="288" w:lineRule="auto"/>
              <w:rPr>
                <w:rFonts w:ascii="宋体" w:hAnsi="宋体"/>
                <w:szCs w:val="21"/>
              </w:rPr>
            </w:pPr>
          </w:p>
        </w:tc>
        <w:tc>
          <w:tcPr>
            <w:tcW w:w="720" w:type="dxa"/>
            <w:vAlign w:val="center"/>
          </w:tcPr>
          <w:p>
            <w:pPr>
              <w:spacing w:line="288" w:lineRule="auto"/>
              <w:rPr>
                <w:rFonts w:ascii="宋体" w:hAnsi="宋体"/>
                <w:szCs w:val="21"/>
              </w:rPr>
            </w:pPr>
          </w:p>
        </w:tc>
        <w:tc>
          <w:tcPr>
            <w:tcW w:w="1080" w:type="dxa"/>
            <w:vAlign w:val="center"/>
          </w:tcPr>
          <w:p>
            <w:pPr>
              <w:spacing w:line="288" w:lineRule="auto"/>
              <w:rPr>
                <w:rFonts w:ascii="宋体" w:hAnsi="宋体"/>
                <w:szCs w:val="21"/>
              </w:rPr>
            </w:pPr>
          </w:p>
        </w:tc>
        <w:tc>
          <w:tcPr>
            <w:tcW w:w="1359" w:type="dxa"/>
            <w:vAlign w:val="center"/>
          </w:tcPr>
          <w:p>
            <w:pPr>
              <w:spacing w:line="288"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宋体" w:hAnsi="宋体"/>
                <w:szCs w:val="21"/>
              </w:rPr>
            </w:pPr>
            <w:r>
              <w:rPr>
                <w:rFonts w:hint="eastAsia" w:ascii="宋体" w:hAnsi="宋体"/>
                <w:szCs w:val="21"/>
              </w:rPr>
              <w:t>2</w:t>
            </w:r>
          </w:p>
        </w:tc>
        <w:tc>
          <w:tcPr>
            <w:tcW w:w="4594" w:type="dxa"/>
            <w:vAlign w:val="center"/>
          </w:tcPr>
          <w:p>
            <w:pPr>
              <w:spacing w:line="288" w:lineRule="auto"/>
              <w:rPr>
                <w:rFonts w:ascii="宋体" w:hAnsi="宋体"/>
                <w:szCs w:val="21"/>
              </w:rPr>
            </w:pPr>
            <w:r>
              <w:rPr>
                <w:rFonts w:hint="eastAsia" w:ascii="宋体" w:hAnsi="宋体"/>
                <w:szCs w:val="21"/>
              </w:rPr>
              <w:t>相关验收</w:t>
            </w:r>
          </w:p>
        </w:tc>
        <w:tc>
          <w:tcPr>
            <w:tcW w:w="720" w:type="dxa"/>
            <w:vAlign w:val="center"/>
          </w:tcPr>
          <w:p>
            <w:pPr>
              <w:spacing w:line="288" w:lineRule="auto"/>
              <w:rPr>
                <w:rFonts w:ascii="宋体" w:hAnsi="宋体"/>
                <w:szCs w:val="21"/>
              </w:rPr>
            </w:pPr>
          </w:p>
        </w:tc>
        <w:tc>
          <w:tcPr>
            <w:tcW w:w="720" w:type="dxa"/>
            <w:vAlign w:val="center"/>
          </w:tcPr>
          <w:p>
            <w:pPr>
              <w:spacing w:line="288" w:lineRule="auto"/>
              <w:rPr>
                <w:rFonts w:ascii="宋体" w:hAnsi="宋体"/>
                <w:szCs w:val="21"/>
              </w:rPr>
            </w:pPr>
          </w:p>
        </w:tc>
        <w:tc>
          <w:tcPr>
            <w:tcW w:w="1080" w:type="dxa"/>
            <w:vAlign w:val="center"/>
          </w:tcPr>
          <w:p>
            <w:pPr>
              <w:spacing w:line="288" w:lineRule="auto"/>
              <w:rPr>
                <w:rFonts w:ascii="宋体" w:hAnsi="宋体"/>
                <w:szCs w:val="21"/>
              </w:rPr>
            </w:pPr>
          </w:p>
        </w:tc>
        <w:tc>
          <w:tcPr>
            <w:tcW w:w="1359" w:type="dxa"/>
            <w:vAlign w:val="center"/>
          </w:tcPr>
          <w:p>
            <w:pPr>
              <w:spacing w:line="288"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宋体" w:hAnsi="宋体"/>
                <w:szCs w:val="21"/>
              </w:rPr>
            </w:pPr>
            <w:r>
              <w:rPr>
                <w:rFonts w:hint="eastAsia" w:ascii="宋体" w:hAnsi="宋体"/>
                <w:szCs w:val="21"/>
              </w:rPr>
              <w:t>3</w:t>
            </w:r>
          </w:p>
        </w:tc>
        <w:tc>
          <w:tcPr>
            <w:tcW w:w="4594" w:type="dxa"/>
            <w:vAlign w:val="center"/>
          </w:tcPr>
          <w:p>
            <w:pPr>
              <w:spacing w:line="288" w:lineRule="auto"/>
              <w:rPr>
                <w:rFonts w:ascii="宋体" w:hAnsi="宋体"/>
                <w:szCs w:val="21"/>
              </w:rPr>
            </w:pPr>
            <w:r>
              <w:rPr>
                <w:rFonts w:hint="eastAsia" w:ascii="宋体" w:hAnsi="宋体"/>
                <w:szCs w:val="21"/>
              </w:rPr>
              <w:t>安装调试（或安装督导）</w:t>
            </w:r>
          </w:p>
        </w:tc>
        <w:tc>
          <w:tcPr>
            <w:tcW w:w="720" w:type="dxa"/>
            <w:vAlign w:val="center"/>
          </w:tcPr>
          <w:p>
            <w:pPr>
              <w:spacing w:line="288" w:lineRule="auto"/>
              <w:rPr>
                <w:rFonts w:ascii="宋体" w:hAnsi="宋体"/>
                <w:szCs w:val="21"/>
              </w:rPr>
            </w:pPr>
          </w:p>
        </w:tc>
        <w:tc>
          <w:tcPr>
            <w:tcW w:w="720" w:type="dxa"/>
            <w:vAlign w:val="center"/>
          </w:tcPr>
          <w:p>
            <w:pPr>
              <w:spacing w:line="288" w:lineRule="auto"/>
              <w:rPr>
                <w:rFonts w:ascii="宋体" w:hAnsi="宋体"/>
                <w:szCs w:val="21"/>
              </w:rPr>
            </w:pPr>
          </w:p>
        </w:tc>
        <w:tc>
          <w:tcPr>
            <w:tcW w:w="1080" w:type="dxa"/>
            <w:vAlign w:val="center"/>
          </w:tcPr>
          <w:p>
            <w:pPr>
              <w:spacing w:line="288" w:lineRule="auto"/>
              <w:rPr>
                <w:rFonts w:ascii="宋体" w:hAnsi="宋体"/>
                <w:szCs w:val="21"/>
              </w:rPr>
            </w:pPr>
          </w:p>
        </w:tc>
        <w:tc>
          <w:tcPr>
            <w:tcW w:w="1359" w:type="dxa"/>
            <w:vAlign w:val="center"/>
          </w:tcPr>
          <w:p>
            <w:pPr>
              <w:spacing w:line="288"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宋体" w:hAnsi="宋体"/>
                <w:szCs w:val="21"/>
              </w:rPr>
            </w:pPr>
            <w:r>
              <w:rPr>
                <w:rFonts w:hint="eastAsia" w:ascii="宋体" w:hAnsi="宋体"/>
                <w:szCs w:val="21"/>
              </w:rPr>
              <w:t>4</w:t>
            </w:r>
          </w:p>
        </w:tc>
        <w:tc>
          <w:tcPr>
            <w:tcW w:w="4594" w:type="dxa"/>
            <w:vAlign w:val="center"/>
          </w:tcPr>
          <w:p>
            <w:pPr>
              <w:spacing w:line="288" w:lineRule="auto"/>
              <w:rPr>
                <w:rFonts w:ascii="宋体" w:hAnsi="宋体"/>
                <w:szCs w:val="21"/>
              </w:rPr>
            </w:pPr>
            <w:r>
              <w:rPr>
                <w:rFonts w:hint="eastAsia" w:ascii="宋体" w:hAnsi="宋体"/>
                <w:szCs w:val="21"/>
              </w:rPr>
              <w:t>培训</w:t>
            </w:r>
          </w:p>
        </w:tc>
        <w:tc>
          <w:tcPr>
            <w:tcW w:w="720" w:type="dxa"/>
            <w:vAlign w:val="center"/>
          </w:tcPr>
          <w:p>
            <w:pPr>
              <w:spacing w:line="288" w:lineRule="auto"/>
              <w:rPr>
                <w:rFonts w:ascii="宋体" w:hAnsi="宋体"/>
                <w:szCs w:val="21"/>
              </w:rPr>
            </w:pPr>
          </w:p>
        </w:tc>
        <w:tc>
          <w:tcPr>
            <w:tcW w:w="720" w:type="dxa"/>
            <w:vAlign w:val="center"/>
          </w:tcPr>
          <w:p>
            <w:pPr>
              <w:spacing w:line="288" w:lineRule="auto"/>
              <w:rPr>
                <w:rFonts w:ascii="宋体" w:hAnsi="宋体"/>
                <w:szCs w:val="21"/>
              </w:rPr>
            </w:pPr>
          </w:p>
        </w:tc>
        <w:tc>
          <w:tcPr>
            <w:tcW w:w="1080" w:type="dxa"/>
            <w:vAlign w:val="center"/>
          </w:tcPr>
          <w:p>
            <w:pPr>
              <w:spacing w:line="288" w:lineRule="auto"/>
              <w:rPr>
                <w:rFonts w:ascii="宋体" w:hAnsi="宋体"/>
                <w:szCs w:val="21"/>
              </w:rPr>
            </w:pPr>
          </w:p>
        </w:tc>
        <w:tc>
          <w:tcPr>
            <w:tcW w:w="1359" w:type="dxa"/>
            <w:vAlign w:val="center"/>
          </w:tcPr>
          <w:p>
            <w:pPr>
              <w:spacing w:line="288"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宋体" w:hAnsi="宋体"/>
                <w:szCs w:val="21"/>
              </w:rPr>
            </w:pPr>
            <w:r>
              <w:rPr>
                <w:rFonts w:hint="eastAsia" w:ascii="宋体" w:hAnsi="宋体"/>
                <w:szCs w:val="21"/>
              </w:rPr>
              <w:t>5</w:t>
            </w:r>
          </w:p>
        </w:tc>
        <w:tc>
          <w:tcPr>
            <w:tcW w:w="4594" w:type="dxa"/>
            <w:vAlign w:val="center"/>
          </w:tcPr>
          <w:p>
            <w:pPr>
              <w:spacing w:line="288" w:lineRule="auto"/>
              <w:rPr>
                <w:rFonts w:ascii="宋体" w:hAnsi="宋体"/>
                <w:szCs w:val="21"/>
              </w:rPr>
            </w:pPr>
            <w:r>
              <w:rPr>
                <w:rFonts w:hint="eastAsia" w:ascii="宋体" w:hAnsi="宋体"/>
                <w:szCs w:val="21"/>
              </w:rPr>
              <w:t>配合费用</w:t>
            </w:r>
          </w:p>
        </w:tc>
        <w:tc>
          <w:tcPr>
            <w:tcW w:w="720" w:type="dxa"/>
            <w:vAlign w:val="center"/>
          </w:tcPr>
          <w:p>
            <w:pPr>
              <w:spacing w:line="288" w:lineRule="auto"/>
              <w:rPr>
                <w:rFonts w:ascii="宋体" w:hAnsi="宋体"/>
                <w:szCs w:val="21"/>
              </w:rPr>
            </w:pPr>
          </w:p>
        </w:tc>
        <w:tc>
          <w:tcPr>
            <w:tcW w:w="720" w:type="dxa"/>
            <w:vAlign w:val="center"/>
          </w:tcPr>
          <w:p>
            <w:pPr>
              <w:spacing w:line="288" w:lineRule="auto"/>
              <w:rPr>
                <w:rFonts w:ascii="宋体" w:hAnsi="宋体"/>
                <w:szCs w:val="21"/>
              </w:rPr>
            </w:pPr>
          </w:p>
        </w:tc>
        <w:tc>
          <w:tcPr>
            <w:tcW w:w="1080" w:type="dxa"/>
            <w:vAlign w:val="center"/>
          </w:tcPr>
          <w:p>
            <w:pPr>
              <w:spacing w:line="288" w:lineRule="auto"/>
              <w:rPr>
                <w:rFonts w:ascii="宋体" w:hAnsi="宋体"/>
                <w:szCs w:val="21"/>
              </w:rPr>
            </w:pPr>
          </w:p>
        </w:tc>
        <w:tc>
          <w:tcPr>
            <w:tcW w:w="1359" w:type="dxa"/>
            <w:vAlign w:val="center"/>
          </w:tcPr>
          <w:p>
            <w:pPr>
              <w:spacing w:line="288"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宋体" w:hAnsi="宋体"/>
                <w:szCs w:val="21"/>
              </w:rPr>
            </w:pPr>
            <w:r>
              <w:rPr>
                <w:rFonts w:ascii="宋体" w:hAnsi="宋体"/>
                <w:szCs w:val="21"/>
              </w:rPr>
              <w:t>…</w:t>
            </w:r>
          </w:p>
        </w:tc>
        <w:tc>
          <w:tcPr>
            <w:tcW w:w="4594" w:type="dxa"/>
            <w:vAlign w:val="center"/>
          </w:tcPr>
          <w:p>
            <w:pPr>
              <w:spacing w:line="288" w:lineRule="auto"/>
              <w:rPr>
                <w:rFonts w:ascii="宋体" w:hAnsi="宋体"/>
                <w:szCs w:val="21"/>
              </w:rPr>
            </w:pPr>
            <w:r>
              <w:rPr>
                <w:rFonts w:ascii="宋体" w:hAnsi="宋体"/>
                <w:szCs w:val="21"/>
              </w:rPr>
              <w:t>……</w:t>
            </w:r>
          </w:p>
        </w:tc>
        <w:tc>
          <w:tcPr>
            <w:tcW w:w="720" w:type="dxa"/>
            <w:vAlign w:val="center"/>
          </w:tcPr>
          <w:p>
            <w:pPr>
              <w:spacing w:line="288" w:lineRule="auto"/>
              <w:rPr>
                <w:rFonts w:ascii="宋体" w:hAnsi="宋体"/>
                <w:szCs w:val="21"/>
              </w:rPr>
            </w:pPr>
          </w:p>
        </w:tc>
        <w:tc>
          <w:tcPr>
            <w:tcW w:w="720" w:type="dxa"/>
            <w:vAlign w:val="center"/>
          </w:tcPr>
          <w:p>
            <w:pPr>
              <w:spacing w:line="288" w:lineRule="auto"/>
              <w:rPr>
                <w:rFonts w:ascii="宋体" w:hAnsi="宋体"/>
                <w:szCs w:val="21"/>
              </w:rPr>
            </w:pPr>
          </w:p>
        </w:tc>
        <w:tc>
          <w:tcPr>
            <w:tcW w:w="1080" w:type="dxa"/>
            <w:vAlign w:val="center"/>
          </w:tcPr>
          <w:p>
            <w:pPr>
              <w:spacing w:line="288" w:lineRule="auto"/>
              <w:rPr>
                <w:rFonts w:ascii="宋体" w:hAnsi="宋体"/>
                <w:szCs w:val="21"/>
              </w:rPr>
            </w:pPr>
          </w:p>
        </w:tc>
        <w:tc>
          <w:tcPr>
            <w:tcW w:w="1359" w:type="dxa"/>
            <w:vAlign w:val="center"/>
          </w:tcPr>
          <w:p>
            <w:pPr>
              <w:spacing w:line="288"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rPr>
                <w:rFonts w:ascii="宋体" w:hAnsi="宋体"/>
                <w:szCs w:val="21"/>
              </w:rPr>
            </w:pPr>
          </w:p>
        </w:tc>
        <w:tc>
          <w:tcPr>
            <w:tcW w:w="4594" w:type="dxa"/>
            <w:vAlign w:val="center"/>
          </w:tcPr>
          <w:p>
            <w:pPr>
              <w:spacing w:line="288" w:lineRule="auto"/>
              <w:rPr>
                <w:rFonts w:ascii="宋体" w:hAnsi="宋体"/>
                <w:szCs w:val="21"/>
              </w:rPr>
            </w:pPr>
          </w:p>
        </w:tc>
        <w:tc>
          <w:tcPr>
            <w:tcW w:w="720" w:type="dxa"/>
            <w:vAlign w:val="center"/>
          </w:tcPr>
          <w:p>
            <w:pPr>
              <w:spacing w:line="288" w:lineRule="auto"/>
              <w:rPr>
                <w:rFonts w:ascii="宋体" w:hAnsi="宋体"/>
                <w:szCs w:val="21"/>
              </w:rPr>
            </w:pPr>
          </w:p>
        </w:tc>
        <w:tc>
          <w:tcPr>
            <w:tcW w:w="720" w:type="dxa"/>
            <w:vAlign w:val="center"/>
          </w:tcPr>
          <w:p>
            <w:pPr>
              <w:spacing w:line="288" w:lineRule="auto"/>
              <w:rPr>
                <w:rFonts w:ascii="宋体" w:hAnsi="宋体"/>
                <w:szCs w:val="21"/>
              </w:rPr>
            </w:pPr>
          </w:p>
        </w:tc>
        <w:tc>
          <w:tcPr>
            <w:tcW w:w="1080" w:type="dxa"/>
            <w:vAlign w:val="center"/>
          </w:tcPr>
          <w:p>
            <w:pPr>
              <w:spacing w:line="288" w:lineRule="auto"/>
              <w:rPr>
                <w:rFonts w:ascii="宋体" w:hAnsi="宋体"/>
                <w:szCs w:val="21"/>
              </w:rPr>
            </w:pPr>
          </w:p>
        </w:tc>
        <w:tc>
          <w:tcPr>
            <w:tcW w:w="1359" w:type="dxa"/>
            <w:vAlign w:val="center"/>
          </w:tcPr>
          <w:p>
            <w:pPr>
              <w:spacing w:line="288"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rPr>
                <w:rFonts w:ascii="宋体" w:hAnsi="宋体"/>
                <w:szCs w:val="21"/>
              </w:rPr>
            </w:pPr>
          </w:p>
        </w:tc>
        <w:tc>
          <w:tcPr>
            <w:tcW w:w="4594" w:type="dxa"/>
            <w:vAlign w:val="center"/>
          </w:tcPr>
          <w:p>
            <w:pPr>
              <w:spacing w:line="288" w:lineRule="auto"/>
              <w:rPr>
                <w:rFonts w:ascii="宋体" w:hAnsi="宋体"/>
                <w:szCs w:val="21"/>
              </w:rPr>
            </w:pPr>
          </w:p>
        </w:tc>
        <w:tc>
          <w:tcPr>
            <w:tcW w:w="720" w:type="dxa"/>
            <w:vAlign w:val="center"/>
          </w:tcPr>
          <w:p>
            <w:pPr>
              <w:spacing w:line="288" w:lineRule="auto"/>
              <w:rPr>
                <w:rFonts w:ascii="宋体" w:hAnsi="宋体"/>
                <w:szCs w:val="21"/>
              </w:rPr>
            </w:pPr>
          </w:p>
        </w:tc>
        <w:tc>
          <w:tcPr>
            <w:tcW w:w="720" w:type="dxa"/>
            <w:vAlign w:val="center"/>
          </w:tcPr>
          <w:p>
            <w:pPr>
              <w:spacing w:line="288" w:lineRule="auto"/>
              <w:rPr>
                <w:rFonts w:ascii="宋体" w:hAnsi="宋体"/>
                <w:szCs w:val="21"/>
              </w:rPr>
            </w:pPr>
          </w:p>
        </w:tc>
        <w:tc>
          <w:tcPr>
            <w:tcW w:w="1080" w:type="dxa"/>
            <w:vAlign w:val="center"/>
          </w:tcPr>
          <w:p>
            <w:pPr>
              <w:spacing w:line="288" w:lineRule="auto"/>
              <w:rPr>
                <w:rFonts w:ascii="宋体" w:hAnsi="宋体"/>
                <w:szCs w:val="21"/>
              </w:rPr>
            </w:pPr>
          </w:p>
        </w:tc>
        <w:tc>
          <w:tcPr>
            <w:tcW w:w="1359" w:type="dxa"/>
            <w:vAlign w:val="center"/>
          </w:tcPr>
          <w:p>
            <w:pPr>
              <w:spacing w:line="288"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4" w:type="dxa"/>
            <w:gridSpan w:val="4"/>
            <w:vAlign w:val="center"/>
          </w:tcPr>
          <w:p>
            <w:pPr>
              <w:spacing w:line="288" w:lineRule="auto"/>
              <w:jc w:val="center"/>
              <w:rPr>
                <w:rFonts w:ascii="宋体" w:hAnsi="宋体"/>
                <w:szCs w:val="21"/>
              </w:rPr>
            </w:pPr>
            <w:r>
              <w:rPr>
                <w:rFonts w:hint="eastAsia" w:ascii="宋体" w:hAnsi="宋体"/>
                <w:szCs w:val="21"/>
              </w:rPr>
              <w:t>合计</w:t>
            </w:r>
          </w:p>
        </w:tc>
        <w:tc>
          <w:tcPr>
            <w:tcW w:w="1080" w:type="dxa"/>
          </w:tcPr>
          <w:p>
            <w:pPr>
              <w:spacing w:line="288" w:lineRule="auto"/>
              <w:rPr>
                <w:rFonts w:ascii="宋体" w:hAnsi="宋体"/>
                <w:szCs w:val="21"/>
              </w:rPr>
            </w:pPr>
          </w:p>
        </w:tc>
        <w:tc>
          <w:tcPr>
            <w:tcW w:w="1359" w:type="dxa"/>
          </w:tcPr>
          <w:p>
            <w:pPr>
              <w:spacing w:line="288" w:lineRule="auto"/>
              <w:rPr>
                <w:rFonts w:ascii="宋体" w:hAnsi="宋体"/>
                <w:szCs w:val="21"/>
              </w:rPr>
            </w:pPr>
          </w:p>
        </w:tc>
      </w:tr>
    </w:tbl>
    <w:p>
      <w:pPr>
        <w:spacing w:before="120" w:beforeLines="50" w:line="288" w:lineRule="auto"/>
        <w:ind w:left="-103" w:leftChars="-49" w:firstLine="15"/>
        <w:rPr>
          <w:rFonts w:ascii="宋体" w:hAnsi="宋体"/>
          <w:szCs w:val="21"/>
        </w:rPr>
      </w:pPr>
      <w:r>
        <w:rPr>
          <w:rFonts w:ascii="宋体" w:hAnsi="宋体"/>
          <w:szCs w:val="21"/>
        </w:rPr>
        <w:t>投标人名称（公章）：</w:t>
      </w:r>
    </w:p>
    <w:p>
      <w:pPr>
        <w:spacing w:before="120" w:beforeLines="50" w:line="288" w:lineRule="auto"/>
        <w:ind w:left="-103" w:leftChars="-49"/>
        <w:rPr>
          <w:rFonts w:ascii="宋体" w:hAnsi="宋体"/>
          <w:szCs w:val="21"/>
        </w:rPr>
      </w:pPr>
      <w:r>
        <w:rPr>
          <w:rFonts w:ascii="宋体" w:hAnsi="宋体"/>
          <w:szCs w:val="21"/>
        </w:rPr>
        <w:t>法定代表人或其</w:t>
      </w:r>
      <w:r>
        <w:rPr>
          <w:rFonts w:hint="eastAsia" w:ascii="宋体"/>
          <w:szCs w:val="21"/>
        </w:rPr>
        <w:t>委托代理人</w:t>
      </w:r>
      <w:r>
        <w:rPr>
          <w:rFonts w:ascii="宋体" w:hAnsi="宋体"/>
          <w:szCs w:val="21"/>
        </w:rPr>
        <w:t>（</w:t>
      </w:r>
      <w:r>
        <w:rPr>
          <w:rFonts w:hint="eastAsia" w:ascii="宋体" w:hAnsi="宋体"/>
          <w:szCs w:val="21"/>
        </w:rPr>
        <w:t>签字或加盖人名章</w:t>
      </w:r>
      <w:r>
        <w:rPr>
          <w:rFonts w:ascii="宋体" w:hAnsi="宋体"/>
          <w:szCs w:val="21"/>
        </w:rPr>
        <w:t>）：</w:t>
      </w:r>
    </w:p>
    <w:p>
      <w:pPr>
        <w:spacing w:before="120" w:beforeLines="50" w:line="288" w:lineRule="auto"/>
        <w:ind w:left="-103" w:leftChars="-49"/>
        <w:rPr>
          <w:rFonts w:ascii="宋体" w:hAnsi="宋体"/>
          <w:szCs w:val="21"/>
        </w:rPr>
      </w:pPr>
      <w:r>
        <w:rPr>
          <w:rFonts w:ascii="宋体" w:hAnsi="宋体"/>
          <w:szCs w:val="21"/>
        </w:rPr>
        <w:t>日期：</w:t>
      </w:r>
    </w:p>
    <w:p>
      <w:pPr>
        <w:snapToGrid w:val="0"/>
        <w:spacing w:after="120" w:afterLines="50" w:line="288" w:lineRule="auto"/>
        <w:ind w:left="708" w:hanging="707" w:hangingChars="337"/>
        <w:rPr>
          <w:rFonts w:ascii="宋体" w:hAnsi="宋体"/>
          <w:szCs w:val="21"/>
        </w:rPr>
      </w:pPr>
      <w:r>
        <w:rPr>
          <w:rFonts w:ascii="宋体" w:hAnsi="宋体"/>
          <w:bCs/>
          <w:szCs w:val="21"/>
        </w:rPr>
        <w:t>注：</w:t>
      </w:r>
      <w:r>
        <w:rPr>
          <w:rFonts w:hint="eastAsia" w:ascii="宋体" w:hAnsi="宋体"/>
          <w:bCs/>
          <w:szCs w:val="21"/>
        </w:rPr>
        <w:t>1、</w:t>
      </w:r>
      <w:r>
        <w:rPr>
          <w:rFonts w:ascii="宋体" w:hAnsi="宋体"/>
          <w:szCs w:val="21"/>
        </w:rPr>
        <w:t>此表</w:t>
      </w:r>
      <w:r>
        <w:rPr>
          <w:rFonts w:hint="eastAsia" w:ascii="宋体" w:hAnsi="宋体"/>
          <w:szCs w:val="21"/>
        </w:rPr>
        <w:t>为</w:t>
      </w:r>
      <w:r>
        <w:rPr>
          <w:rFonts w:ascii="宋体" w:hAnsi="宋体"/>
          <w:szCs w:val="21"/>
        </w:rPr>
        <w:t>报价汇总表之服务</w:t>
      </w:r>
      <w:r>
        <w:rPr>
          <w:rFonts w:hint="eastAsia" w:ascii="宋体" w:hAnsi="宋体"/>
          <w:szCs w:val="21"/>
        </w:rPr>
        <w:t>费分项报价表</w:t>
      </w:r>
      <w:r>
        <w:rPr>
          <w:rFonts w:ascii="宋体" w:hAnsi="宋体"/>
          <w:szCs w:val="21"/>
        </w:rPr>
        <w:t>。上述服务项目应由投标人根据投标人的经验及本招标项目的特点进行合理报价，上述服务项目的报价基准，参见“</w:t>
      </w:r>
      <w:r>
        <w:rPr>
          <w:rFonts w:hint="eastAsia" w:ascii="宋体" w:hAnsi="宋体"/>
          <w:szCs w:val="21"/>
        </w:rPr>
        <w:t>采购</w:t>
      </w:r>
      <w:r>
        <w:rPr>
          <w:rFonts w:ascii="宋体" w:hAnsi="宋体"/>
          <w:szCs w:val="21"/>
        </w:rPr>
        <w:t>需求”的要求。</w:t>
      </w:r>
    </w:p>
    <w:p>
      <w:pPr>
        <w:spacing w:line="288" w:lineRule="auto"/>
        <w:ind w:left="424" w:leftChars="202"/>
        <w:rPr>
          <w:rFonts w:ascii="宋体" w:hAnsi="宋体"/>
          <w:bCs/>
          <w:szCs w:val="21"/>
        </w:rPr>
      </w:pPr>
      <w:r>
        <w:rPr>
          <w:rFonts w:hint="eastAsia" w:ascii="宋体" w:hAnsi="宋体"/>
          <w:bCs/>
          <w:szCs w:val="21"/>
        </w:rPr>
        <w:t>2、</w:t>
      </w:r>
      <w:r>
        <w:rPr>
          <w:rFonts w:ascii="宋体" w:hAnsi="宋体"/>
          <w:bCs/>
          <w:szCs w:val="21"/>
        </w:rPr>
        <w:t>投标人所涉及的所有</w:t>
      </w:r>
      <w:r>
        <w:rPr>
          <w:rFonts w:hint="eastAsia" w:ascii="宋体" w:hAnsi="宋体"/>
          <w:bCs/>
          <w:szCs w:val="21"/>
        </w:rPr>
        <w:t>服务</w:t>
      </w:r>
      <w:r>
        <w:rPr>
          <w:rFonts w:ascii="宋体" w:hAnsi="宋体"/>
          <w:bCs/>
          <w:szCs w:val="21"/>
        </w:rPr>
        <w:t>费用</w:t>
      </w:r>
      <w:r>
        <w:rPr>
          <w:rFonts w:hint="eastAsia" w:ascii="宋体" w:hAnsi="宋体"/>
          <w:bCs/>
          <w:szCs w:val="21"/>
        </w:rPr>
        <w:t>均应</w:t>
      </w:r>
      <w:r>
        <w:rPr>
          <w:rFonts w:ascii="宋体" w:hAnsi="宋体"/>
          <w:bCs/>
          <w:szCs w:val="21"/>
        </w:rPr>
        <w:t>含在</w:t>
      </w:r>
      <w:r>
        <w:rPr>
          <w:rFonts w:hint="eastAsia" w:ascii="宋体" w:hAnsi="宋体"/>
          <w:bCs/>
          <w:szCs w:val="21"/>
        </w:rPr>
        <w:t>此报价表</w:t>
      </w:r>
      <w:r>
        <w:rPr>
          <w:rFonts w:ascii="宋体" w:hAnsi="宋体"/>
          <w:bCs/>
          <w:szCs w:val="21"/>
        </w:rPr>
        <w:t>中。</w:t>
      </w:r>
    </w:p>
    <w:p>
      <w:pPr>
        <w:spacing w:line="288" w:lineRule="auto"/>
        <w:rPr>
          <w:rFonts w:ascii="宋体" w:hAnsi="宋体"/>
          <w:szCs w:val="21"/>
        </w:rPr>
      </w:pPr>
      <w:r>
        <w:rPr>
          <w:rFonts w:ascii="宋体" w:hAnsi="宋体"/>
          <w:szCs w:val="21"/>
        </w:rPr>
        <w:br w:type="page"/>
      </w:r>
    </w:p>
    <w:p>
      <w:pPr>
        <w:spacing w:line="360" w:lineRule="auto"/>
        <w:outlineLvl w:val="2"/>
        <w:rPr>
          <w:rFonts w:ascii="宋体" w:hAnsi="宋体"/>
          <w:sz w:val="24"/>
        </w:rPr>
      </w:pPr>
      <w:bookmarkStart w:id="389" w:name="_Toc21657"/>
      <w:bookmarkStart w:id="390" w:name="_Toc4663"/>
      <w:bookmarkStart w:id="391" w:name="_Toc1282"/>
      <w:bookmarkStart w:id="392" w:name="_Toc100686686"/>
      <w:bookmarkStart w:id="393" w:name="_Toc24780"/>
      <w:r>
        <w:rPr>
          <w:rFonts w:hint="eastAsia" w:ascii="宋体" w:hAnsi="宋体"/>
          <w:sz w:val="24"/>
        </w:rPr>
        <w:t>附件</w:t>
      </w:r>
      <w:r>
        <w:rPr>
          <w:rFonts w:ascii="宋体" w:hAnsi="宋体"/>
          <w:sz w:val="24"/>
        </w:rPr>
        <w:t>2</w:t>
      </w:r>
      <w:r>
        <w:rPr>
          <w:rFonts w:hint="eastAsia" w:ascii="宋体" w:hAnsi="宋体"/>
          <w:sz w:val="24"/>
        </w:rPr>
        <w:t xml:space="preserve">-4  </w:t>
      </w:r>
      <w:r>
        <w:rPr>
          <w:rFonts w:hint="eastAsia" w:ascii="宋体" w:hAnsi="宋体"/>
          <w:szCs w:val="21"/>
        </w:rPr>
        <w:t>单件货物价格构成表</w:t>
      </w:r>
      <w:bookmarkEnd w:id="389"/>
      <w:bookmarkEnd w:id="390"/>
      <w:bookmarkEnd w:id="391"/>
      <w:bookmarkEnd w:id="392"/>
      <w:r>
        <w:rPr>
          <w:rFonts w:hint="eastAsia" w:ascii="宋体" w:hAnsi="宋体"/>
          <w:b/>
          <w:bCs/>
          <w:szCs w:val="21"/>
        </w:rPr>
        <w:t>（如有）</w:t>
      </w:r>
      <w:bookmarkEnd w:id="393"/>
    </w:p>
    <w:p>
      <w:pPr>
        <w:spacing w:before="120" w:beforeLines="50" w:line="288" w:lineRule="auto"/>
        <w:ind w:hanging="104"/>
        <w:jc w:val="center"/>
        <w:rPr>
          <w:rFonts w:ascii="宋体" w:hAnsi="宋体"/>
          <w:szCs w:val="21"/>
        </w:rPr>
      </w:pPr>
      <w:r>
        <w:rPr>
          <w:rFonts w:hint="eastAsia" w:ascii="宋体" w:hAnsi="宋体"/>
          <w:szCs w:val="21"/>
        </w:rPr>
        <w:t>单件货物价格构成表</w:t>
      </w:r>
    </w:p>
    <w:p>
      <w:pPr>
        <w:spacing w:line="288" w:lineRule="auto"/>
        <w:rPr>
          <w:rFonts w:ascii="宋体" w:hAnsi="宋体"/>
          <w:szCs w:val="21"/>
        </w:rPr>
      </w:pPr>
    </w:p>
    <w:p>
      <w:pPr>
        <w:spacing w:line="288" w:lineRule="auto"/>
        <w:rPr>
          <w:rFonts w:ascii="宋体" w:hAnsi="宋体"/>
          <w:szCs w:val="21"/>
        </w:rPr>
      </w:pPr>
      <w:r>
        <w:rPr>
          <w:rFonts w:hint="eastAsia" w:ascii="宋体" w:hAnsi="宋体"/>
          <w:szCs w:val="21"/>
        </w:rPr>
        <w:t>项目编号</w:t>
      </w:r>
      <w:r>
        <w:rPr>
          <w:rFonts w:ascii="宋体" w:hAnsi="宋体"/>
          <w:szCs w:val="21"/>
        </w:rPr>
        <w:t>：</w:t>
      </w:r>
      <w:r>
        <w:rPr>
          <w:rFonts w:hint="eastAsia" w:ascii="宋体" w:hAnsi="宋体"/>
          <w:szCs w:val="21"/>
        </w:rPr>
        <w:t xml:space="preserve">              标项号：                         </w:t>
      </w:r>
      <w:r>
        <w:rPr>
          <w:rFonts w:ascii="宋体" w:hAnsi="宋体"/>
          <w:szCs w:val="21"/>
        </w:rPr>
        <w:t>[货币单位：人民币元]</w:t>
      </w:r>
    </w:p>
    <w:tbl>
      <w:tblPr>
        <w:tblStyle w:val="41"/>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90"/>
        <w:gridCol w:w="410"/>
        <w:gridCol w:w="470"/>
        <w:gridCol w:w="757"/>
        <w:gridCol w:w="1598"/>
        <w:gridCol w:w="1237"/>
        <w:gridCol w:w="1238"/>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2636" w:type="dxa"/>
            <w:gridSpan w:val="3"/>
            <w:vAlign w:val="center"/>
          </w:tcPr>
          <w:p>
            <w:pPr>
              <w:spacing w:line="288" w:lineRule="auto"/>
              <w:jc w:val="center"/>
              <w:rPr>
                <w:rFonts w:ascii="宋体" w:hAnsi="宋体"/>
                <w:szCs w:val="21"/>
              </w:rPr>
            </w:pPr>
            <w:r>
              <w:rPr>
                <w:rFonts w:hint="eastAsia" w:ascii="宋体" w:hAnsi="宋体"/>
                <w:szCs w:val="21"/>
              </w:rPr>
              <w:t>货物名称</w:t>
            </w:r>
          </w:p>
        </w:tc>
        <w:tc>
          <w:tcPr>
            <w:tcW w:w="6538" w:type="dxa"/>
            <w:gridSpan w:val="6"/>
            <w:vAlign w:val="center"/>
          </w:tcPr>
          <w:p>
            <w:pPr>
              <w:spacing w:line="288"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174" w:type="dxa"/>
            <w:gridSpan w:val="9"/>
            <w:vAlign w:val="center"/>
          </w:tcPr>
          <w:p>
            <w:pPr>
              <w:spacing w:line="288" w:lineRule="auto"/>
              <w:ind w:firstLine="3849" w:firstLineChars="1833"/>
              <w:rPr>
                <w:rFonts w:ascii="宋体" w:hAnsi="宋体"/>
                <w:szCs w:val="21"/>
              </w:rPr>
            </w:pPr>
            <w:r>
              <w:rPr>
                <w:rFonts w:hint="eastAsia" w:ascii="宋体" w:hAnsi="宋体"/>
                <w:szCs w:val="21"/>
              </w:rPr>
              <w:t>主要元器件（/材料）明细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636" w:type="dxa"/>
            <w:vAlign w:val="center"/>
          </w:tcPr>
          <w:p>
            <w:pPr>
              <w:spacing w:line="288" w:lineRule="auto"/>
              <w:jc w:val="center"/>
              <w:rPr>
                <w:rFonts w:ascii="宋体" w:hAnsi="宋体"/>
                <w:szCs w:val="21"/>
              </w:rPr>
            </w:pPr>
            <w:r>
              <w:rPr>
                <w:rFonts w:hint="eastAsia" w:ascii="宋体" w:hAnsi="宋体"/>
                <w:szCs w:val="21"/>
              </w:rPr>
              <w:t>序号</w:t>
            </w:r>
          </w:p>
        </w:tc>
        <w:tc>
          <w:tcPr>
            <w:tcW w:w="1590" w:type="dxa"/>
            <w:vAlign w:val="center"/>
          </w:tcPr>
          <w:p>
            <w:pPr>
              <w:spacing w:line="288" w:lineRule="auto"/>
              <w:jc w:val="center"/>
              <w:rPr>
                <w:rFonts w:ascii="宋体" w:hAnsi="宋体"/>
                <w:szCs w:val="21"/>
              </w:rPr>
            </w:pPr>
            <w:r>
              <w:rPr>
                <w:rFonts w:hint="eastAsia" w:ascii="宋体" w:hAnsi="宋体"/>
                <w:szCs w:val="21"/>
              </w:rPr>
              <w:t>名称</w:t>
            </w:r>
          </w:p>
        </w:tc>
        <w:tc>
          <w:tcPr>
            <w:tcW w:w="880" w:type="dxa"/>
            <w:gridSpan w:val="2"/>
            <w:vAlign w:val="center"/>
          </w:tcPr>
          <w:p>
            <w:pPr>
              <w:spacing w:line="288" w:lineRule="auto"/>
              <w:jc w:val="center"/>
              <w:rPr>
                <w:rFonts w:ascii="宋体" w:hAnsi="宋体"/>
                <w:szCs w:val="21"/>
              </w:rPr>
            </w:pPr>
            <w:r>
              <w:rPr>
                <w:rFonts w:hint="eastAsia" w:ascii="宋体" w:hAnsi="宋体"/>
                <w:szCs w:val="21"/>
              </w:rPr>
              <w:t>规格</w:t>
            </w:r>
          </w:p>
        </w:tc>
        <w:tc>
          <w:tcPr>
            <w:tcW w:w="757" w:type="dxa"/>
            <w:vAlign w:val="center"/>
          </w:tcPr>
          <w:p>
            <w:pPr>
              <w:spacing w:line="288" w:lineRule="auto"/>
              <w:jc w:val="center"/>
              <w:rPr>
                <w:rFonts w:ascii="宋体" w:hAnsi="宋体"/>
                <w:szCs w:val="21"/>
              </w:rPr>
            </w:pPr>
            <w:r>
              <w:rPr>
                <w:rFonts w:hint="eastAsia" w:ascii="宋体" w:hAnsi="宋体"/>
                <w:szCs w:val="21"/>
              </w:rPr>
              <w:t>型号</w:t>
            </w:r>
          </w:p>
        </w:tc>
        <w:tc>
          <w:tcPr>
            <w:tcW w:w="1598" w:type="dxa"/>
            <w:vAlign w:val="center"/>
          </w:tcPr>
          <w:p>
            <w:pPr>
              <w:spacing w:line="288" w:lineRule="auto"/>
              <w:jc w:val="center"/>
              <w:rPr>
                <w:rFonts w:ascii="宋体" w:hAnsi="宋体"/>
                <w:szCs w:val="21"/>
              </w:rPr>
            </w:pPr>
            <w:r>
              <w:rPr>
                <w:rFonts w:hint="eastAsia" w:ascii="宋体" w:hAnsi="宋体"/>
                <w:szCs w:val="21"/>
              </w:rPr>
              <w:t>生产厂家/产地</w:t>
            </w:r>
          </w:p>
        </w:tc>
        <w:tc>
          <w:tcPr>
            <w:tcW w:w="1237" w:type="dxa"/>
            <w:vAlign w:val="center"/>
          </w:tcPr>
          <w:p>
            <w:pPr>
              <w:spacing w:line="288" w:lineRule="auto"/>
              <w:jc w:val="center"/>
              <w:rPr>
                <w:rFonts w:ascii="宋体" w:hAnsi="宋体"/>
                <w:szCs w:val="21"/>
              </w:rPr>
            </w:pPr>
            <w:r>
              <w:rPr>
                <w:rFonts w:hint="eastAsia" w:ascii="宋体" w:hAnsi="宋体"/>
                <w:szCs w:val="21"/>
              </w:rPr>
              <w:t>数量（个）</w:t>
            </w:r>
          </w:p>
        </w:tc>
        <w:tc>
          <w:tcPr>
            <w:tcW w:w="1238" w:type="dxa"/>
            <w:vAlign w:val="center"/>
          </w:tcPr>
          <w:p>
            <w:pPr>
              <w:spacing w:line="288" w:lineRule="auto"/>
              <w:jc w:val="center"/>
              <w:rPr>
                <w:rFonts w:ascii="宋体" w:hAnsi="宋体"/>
                <w:szCs w:val="21"/>
              </w:rPr>
            </w:pPr>
            <w:r>
              <w:rPr>
                <w:rFonts w:hint="eastAsia" w:ascii="宋体" w:hAnsi="宋体"/>
                <w:szCs w:val="21"/>
              </w:rPr>
              <w:t>单价（元）</w:t>
            </w:r>
          </w:p>
        </w:tc>
        <w:tc>
          <w:tcPr>
            <w:tcW w:w="1238" w:type="dxa"/>
            <w:vAlign w:val="center"/>
          </w:tcPr>
          <w:p>
            <w:pPr>
              <w:spacing w:line="288" w:lineRule="auto"/>
              <w:jc w:val="center"/>
              <w:rPr>
                <w:rFonts w:ascii="宋体" w:hAns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36" w:type="dxa"/>
            <w:vAlign w:val="center"/>
          </w:tcPr>
          <w:p>
            <w:pPr>
              <w:spacing w:line="288" w:lineRule="auto"/>
              <w:jc w:val="center"/>
              <w:rPr>
                <w:rFonts w:ascii="宋体" w:hAnsi="宋体"/>
                <w:szCs w:val="21"/>
              </w:rPr>
            </w:pPr>
            <w:r>
              <w:rPr>
                <w:rFonts w:ascii="宋体" w:hAnsi="宋体"/>
                <w:szCs w:val="21"/>
              </w:rPr>
              <w:t>1</w:t>
            </w:r>
          </w:p>
        </w:tc>
        <w:tc>
          <w:tcPr>
            <w:tcW w:w="1590" w:type="dxa"/>
            <w:vAlign w:val="center"/>
          </w:tcPr>
          <w:p>
            <w:pPr>
              <w:spacing w:line="288" w:lineRule="auto"/>
              <w:rPr>
                <w:rFonts w:ascii="宋体" w:hAnsi="宋体"/>
                <w:szCs w:val="21"/>
              </w:rPr>
            </w:pPr>
          </w:p>
        </w:tc>
        <w:tc>
          <w:tcPr>
            <w:tcW w:w="880" w:type="dxa"/>
            <w:gridSpan w:val="2"/>
            <w:vAlign w:val="center"/>
          </w:tcPr>
          <w:p>
            <w:pPr>
              <w:spacing w:line="288" w:lineRule="auto"/>
              <w:jc w:val="center"/>
              <w:rPr>
                <w:rFonts w:ascii="宋体" w:hAnsi="宋体"/>
                <w:b/>
                <w:szCs w:val="21"/>
              </w:rPr>
            </w:pPr>
          </w:p>
        </w:tc>
        <w:tc>
          <w:tcPr>
            <w:tcW w:w="757" w:type="dxa"/>
            <w:vAlign w:val="center"/>
          </w:tcPr>
          <w:p>
            <w:pPr>
              <w:spacing w:line="288" w:lineRule="auto"/>
              <w:jc w:val="center"/>
              <w:rPr>
                <w:rFonts w:ascii="宋体" w:hAnsi="宋体"/>
                <w:b/>
                <w:szCs w:val="21"/>
              </w:rPr>
            </w:pPr>
          </w:p>
        </w:tc>
        <w:tc>
          <w:tcPr>
            <w:tcW w:w="1598" w:type="dxa"/>
            <w:vAlign w:val="center"/>
          </w:tcPr>
          <w:p>
            <w:pPr>
              <w:spacing w:line="288" w:lineRule="auto"/>
              <w:jc w:val="center"/>
              <w:rPr>
                <w:rFonts w:ascii="宋体" w:hAnsi="宋体"/>
                <w:b/>
                <w:szCs w:val="21"/>
              </w:rPr>
            </w:pPr>
          </w:p>
        </w:tc>
        <w:tc>
          <w:tcPr>
            <w:tcW w:w="1237" w:type="dxa"/>
            <w:vAlign w:val="center"/>
          </w:tcPr>
          <w:p>
            <w:pPr>
              <w:spacing w:line="288" w:lineRule="auto"/>
              <w:jc w:val="center"/>
              <w:rPr>
                <w:rFonts w:ascii="宋体" w:hAnsi="宋体"/>
                <w:b/>
                <w:szCs w:val="21"/>
              </w:rPr>
            </w:pPr>
          </w:p>
        </w:tc>
        <w:tc>
          <w:tcPr>
            <w:tcW w:w="1238" w:type="dxa"/>
            <w:vAlign w:val="center"/>
          </w:tcPr>
          <w:p>
            <w:pPr>
              <w:spacing w:line="288" w:lineRule="auto"/>
              <w:jc w:val="center"/>
              <w:rPr>
                <w:rFonts w:ascii="宋体" w:hAnsi="宋体"/>
                <w:b/>
                <w:szCs w:val="21"/>
              </w:rPr>
            </w:pPr>
          </w:p>
        </w:tc>
        <w:tc>
          <w:tcPr>
            <w:tcW w:w="1238" w:type="dxa"/>
            <w:vAlign w:val="center"/>
          </w:tcPr>
          <w:p>
            <w:pPr>
              <w:spacing w:line="288"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636" w:type="dxa"/>
            <w:vAlign w:val="center"/>
          </w:tcPr>
          <w:p>
            <w:pPr>
              <w:spacing w:line="288" w:lineRule="auto"/>
              <w:jc w:val="center"/>
              <w:rPr>
                <w:rFonts w:ascii="宋体" w:hAnsi="宋体"/>
                <w:szCs w:val="21"/>
              </w:rPr>
            </w:pPr>
            <w:r>
              <w:rPr>
                <w:rFonts w:ascii="宋体" w:hAnsi="宋体"/>
                <w:szCs w:val="21"/>
              </w:rPr>
              <w:t>2</w:t>
            </w:r>
          </w:p>
        </w:tc>
        <w:tc>
          <w:tcPr>
            <w:tcW w:w="1590" w:type="dxa"/>
            <w:vAlign w:val="center"/>
          </w:tcPr>
          <w:p>
            <w:pPr>
              <w:spacing w:line="288" w:lineRule="auto"/>
              <w:rPr>
                <w:rFonts w:ascii="宋体" w:hAnsi="宋体"/>
                <w:szCs w:val="21"/>
              </w:rPr>
            </w:pPr>
          </w:p>
        </w:tc>
        <w:tc>
          <w:tcPr>
            <w:tcW w:w="880" w:type="dxa"/>
            <w:gridSpan w:val="2"/>
            <w:vAlign w:val="center"/>
          </w:tcPr>
          <w:p>
            <w:pPr>
              <w:spacing w:line="288" w:lineRule="auto"/>
              <w:jc w:val="center"/>
              <w:rPr>
                <w:rFonts w:ascii="宋体" w:hAnsi="宋体"/>
                <w:b/>
                <w:szCs w:val="21"/>
              </w:rPr>
            </w:pPr>
          </w:p>
        </w:tc>
        <w:tc>
          <w:tcPr>
            <w:tcW w:w="757" w:type="dxa"/>
            <w:vAlign w:val="center"/>
          </w:tcPr>
          <w:p>
            <w:pPr>
              <w:spacing w:line="288" w:lineRule="auto"/>
              <w:jc w:val="center"/>
              <w:rPr>
                <w:rFonts w:ascii="宋体" w:hAnsi="宋体"/>
                <w:b/>
                <w:szCs w:val="21"/>
              </w:rPr>
            </w:pPr>
          </w:p>
        </w:tc>
        <w:tc>
          <w:tcPr>
            <w:tcW w:w="1598" w:type="dxa"/>
            <w:vAlign w:val="center"/>
          </w:tcPr>
          <w:p>
            <w:pPr>
              <w:spacing w:line="288" w:lineRule="auto"/>
              <w:jc w:val="center"/>
              <w:rPr>
                <w:rFonts w:ascii="宋体" w:hAnsi="宋体"/>
                <w:b/>
                <w:szCs w:val="21"/>
              </w:rPr>
            </w:pPr>
          </w:p>
        </w:tc>
        <w:tc>
          <w:tcPr>
            <w:tcW w:w="1237" w:type="dxa"/>
            <w:vAlign w:val="center"/>
          </w:tcPr>
          <w:p>
            <w:pPr>
              <w:spacing w:line="288" w:lineRule="auto"/>
              <w:jc w:val="center"/>
              <w:rPr>
                <w:rFonts w:ascii="宋体" w:hAnsi="宋体"/>
                <w:b/>
                <w:szCs w:val="21"/>
              </w:rPr>
            </w:pPr>
          </w:p>
        </w:tc>
        <w:tc>
          <w:tcPr>
            <w:tcW w:w="1238" w:type="dxa"/>
            <w:vAlign w:val="center"/>
          </w:tcPr>
          <w:p>
            <w:pPr>
              <w:spacing w:line="288" w:lineRule="auto"/>
              <w:jc w:val="center"/>
              <w:rPr>
                <w:rFonts w:ascii="宋体" w:hAnsi="宋体"/>
                <w:b/>
                <w:szCs w:val="21"/>
              </w:rPr>
            </w:pPr>
          </w:p>
        </w:tc>
        <w:tc>
          <w:tcPr>
            <w:tcW w:w="1238" w:type="dxa"/>
            <w:vAlign w:val="center"/>
          </w:tcPr>
          <w:p>
            <w:pPr>
              <w:spacing w:line="288"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36" w:type="dxa"/>
            <w:vAlign w:val="center"/>
          </w:tcPr>
          <w:p>
            <w:pPr>
              <w:spacing w:line="288" w:lineRule="auto"/>
              <w:jc w:val="center"/>
              <w:rPr>
                <w:rFonts w:ascii="宋体" w:hAnsi="宋体"/>
                <w:szCs w:val="21"/>
              </w:rPr>
            </w:pPr>
            <w:r>
              <w:rPr>
                <w:rFonts w:ascii="宋体" w:hAnsi="宋体"/>
                <w:szCs w:val="21"/>
              </w:rPr>
              <w:t>3</w:t>
            </w:r>
          </w:p>
        </w:tc>
        <w:tc>
          <w:tcPr>
            <w:tcW w:w="1590" w:type="dxa"/>
            <w:vAlign w:val="center"/>
          </w:tcPr>
          <w:p>
            <w:pPr>
              <w:spacing w:line="288" w:lineRule="auto"/>
              <w:rPr>
                <w:rFonts w:ascii="宋体" w:hAnsi="宋体"/>
                <w:szCs w:val="21"/>
              </w:rPr>
            </w:pPr>
          </w:p>
        </w:tc>
        <w:tc>
          <w:tcPr>
            <w:tcW w:w="880" w:type="dxa"/>
            <w:gridSpan w:val="2"/>
            <w:vAlign w:val="center"/>
          </w:tcPr>
          <w:p>
            <w:pPr>
              <w:spacing w:line="288" w:lineRule="auto"/>
              <w:jc w:val="center"/>
              <w:rPr>
                <w:rFonts w:ascii="宋体" w:hAnsi="宋体"/>
                <w:b/>
                <w:szCs w:val="21"/>
              </w:rPr>
            </w:pPr>
          </w:p>
        </w:tc>
        <w:tc>
          <w:tcPr>
            <w:tcW w:w="757" w:type="dxa"/>
            <w:vAlign w:val="center"/>
          </w:tcPr>
          <w:p>
            <w:pPr>
              <w:spacing w:line="288" w:lineRule="auto"/>
              <w:jc w:val="center"/>
              <w:rPr>
                <w:rFonts w:ascii="宋体" w:hAnsi="宋体"/>
                <w:b/>
                <w:szCs w:val="21"/>
              </w:rPr>
            </w:pPr>
          </w:p>
        </w:tc>
        <w:tc>
          <w:tcPr>
            <w:tcW w:w="1598" w:type="dxa"/>
            <w:vAlign w:val="center"/>
          </w:tcPr>
          <w:p>
            <w:pPr>
              <w:spacing w:line="288" w:lineRule="auto"/>
              <w:jc w:val="center"/>
              <w:rPr>
                <w:rFonts w:ascii="宋体" w:hAnsi="宋体"/>
                <w:b/>
                <w:szCs w:val="21"/>
              </w:rPr>
            </w:pPr>
          </w:p>
        </w:tc>
        <w:tc>
          <w:tcPr>
            <w:tcW w:w="1237" w:type="dxa"/>
            <w:vAlign w:val="center"/>
          </w:tcPr>
          <w:p>
            <w:pPr>
              <w:spacing w:line="288" w:lineRule="auto"/>
              <w:jc w:val="center"/>
              <w:rPr>
                <w:rFonts w:ascii="宋体" w:hAnsi="宋体"/>
                <w:b/>
                <w:szCs w:val="21"/>
              </w:rPr>
            </w:pPr>
          </w:p>
        </w:tc>
        <w:tc>
          <w:tcPr>
            <w:tcW w:w="1238" w:type="dxa"/>
            <w:vAlign w:val="center"/>
          </w:tcPr>
          <w:p>
            <w:pPr>
              <w:spacing w:line="288" w:lineRule="auto"/>
              <w:jc w:val="center"/>
              <w:rPr>
                <w:rFonts w:ascii="宋体" w:hAnsi="宋体"/>
                <w:b/>
                <w:szCs w:val="21"/>
              </w:rPr>
            </w:pPr>
          </w:p>
        </w:tc>
        <w:tc>
          <w:tcPr>
            <w:tcW w:w="1238" w:type="dxa"/>
            <w:vAlign w:val="center"/>
          </w:tcPr>
          <w:p>
            <w:pPr>
              <w:spacing w:line="288"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636" w:type="dxa"/>
            <w:vAlign w:val="center"/>
          </w:tcPr>
          <w:p>
            <w:pPr>
              <w:spacing w:line="288" w:lineRule="auto"/>
              <w:jc w:val="center"/>
              <w:rPr>
                <w:rFonts w:ascii="宋体" w:hAnsi="宋体"/>
                <w:szCs w:val="21"/>
              </w:rPr>
            </w:pPr>
            <w:r>
              <w:rPr>
                <w:rFonts w:ascii="宋体" w:hAnsi="宋体"/>
                <w:szCs w:val="21"/>
              </w:rPr>
              <w:t>4</w:t>
            </w:r>
          </w:p>
        </w:tc>
        <w:tc>
          <w:tcPr>
            <w:tcW w:w="1590" w:type="dxa"/>
            <w:vAlign w:val="center"/>
          </w:tcPr>
          <w:p>
            <w:pPr>
              <w:spacing w:line="288" w:lineRule="auto"/>
              <w:rPr>
                <w:rFonts w:ascii="宋体" w:hAnsi="宋体"/>
                <w:szCs w:val="21"/>
              </w:rPr>
            </w:pPr>
          </w:p>
        </w:tc>
        <w:tc>
          <w:tcPr>
            <w:tcW w:w="880" w:type="dxa"/>
            <w:gridSpan w:val="2"/>
            <w:vAlign w:val="center"/>
          </w:tcPr>
          <w:p>
            <w:pPr>
              <w:spacing w:line="288" w:lineRule="auto"/>
              <w:jc w:val="center"/>
              <w:rPr>
                <w:rFonts w:ascii="宋体" w:hAnsi="宋体"/>
                <w:b/>
                <w:szCs w:val="21"/>
              </w:rPr>
            </w:pPr>
          </w:p>
        </w:tc>
        <w:tc>
          <w:tcPr>
            <w:tcW w:w="757" w:type="dxa"/>
            <w:vAlign w:val="center"/>
          </w:tcPr>
          <w:p>
            <w:pPr>
              <w:spacing w:line="288" w:lineRule="auto"/>
              <w:jc w:val="center"/>
              <w:rPr>
                <w:rFonts w:ascii="宋体" w:hAnsi="宋体"/>
                <w:b/>
                <w:szCs w:val="21"/>
              </w:rPr>
            </w:pPr>
          </w:p>
        </w:tc>
        <w:tc>
          <w:tcPr>
            <w:tcW w:w="1598" w:type="dxa"/>
            <w:vAlign w:val="center"/>
          </w:tcPr>
          <w:p>
            <w:pPr>
              <w:spacing w:line="288" w:lineRule="auto"/>
              <w:jc w:val="center"/>
              <w:rPr>
                <w:rFonts w:ascii="宋体" w:hAnsi="宋体"/>
                <w:b/>
                <w:szCs w:val="21"/>
              </w:rPr>
            </w:pPr>
          </w:p>
        </w:tc>
        <w:tc>
          <w:tcPr>
            <w:tcW w:w="1237" w:type="dxa"/>
            <w:vAlign w:val="center"/>
          </w:tcPr>
          <w:p>
            <w:pPr>
              <w:spacing w:line="288" w:lineRule="auto"/>
              <w:jc w:val="center"/>
              <w:rPr>
                <w:rFonts w:ascii="宋体" w:hAnsi="宋体"/>
                <w:b/>
                <w:szCs w:val="21"/>
              </w:rPr>
            </w:pPr>
          </w:p>
        </w:tc>
        <w:tc>
          <w:tcPr>
            <w:tcW w:w="1238" w:type="dxa"/>
            <w:vAlign w:val="center"/>
          </w:tcPr>
          <w:p>
            <w:pPr>
              <w:spacing w:line="288" w:lineRule="auto"/>
              <w:jc w:val="center"/>
              <w:rPr>
                <w:rFonts w:ascii="宋体" w:hAnsi="宋体"/>
                <w:b/>
                <w:szCs w:val="21"/>
              </w:rPr>
            </w:pPr>
          </w:p>
        </w:tc>
        <w:tc>
          <w:tcPr>
            <w:tcW w:w="1238" w:type="dxa"/>
            <w:vAlign w:val="center"/>
          </w:tcPr>
          <w:p>
            <w:pPr>
              <w:spacing w:line="288"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636" w:type="dxa"/>
            <w:vAlign w:val="center"/>
          </w:tcPr>
          <w:p>
            <w:pPr>
              <w:spacing w:line="288" w:lineRule="auto"/>
              <w:jc w:val="center"/>
              <w:rPr>
                <w:rFonts w:ascii="宋体" w:hAnsi="宋体"/>
                <w:szCs w:val="21"/>
              </w:rPr>
            </w:pPr>
            <w:r>
              <w:rPr>
                <w:rFonts w:ascii="宋体" w:hAnsi="宋体"/>
                <w:szCs w:val="21"/>
              </w:rPr>
              <w:t>……</w:t>
            </w:r>
          </w:p>
        </w:tc>
        <w:tc>
          <w:tcPr>
            <w:tcW w:w="1590" w:type="dxa"/>
            <w:vAlign w:val="center"/>
          </w:tcPr>
          <w:p>
            <w:pPr>
              <w:spacing w:line="288" w:lineRule="auto"/>
              <w:jc w:val="center"/>
              <w:rPr>
                <w:rFonts w:ascii="宋体" w:hAnsi="宋体"/>
                <w:szCs w:val="21"/>
              </w:rPr>
            </w:pPr>
            <w:r>
              <w:rPr>
                <w:rFonts w:ascii="宋体" w:hAnsi="宋体"/>
                <w:szCs w:val="21"/>
              </w:rPr>
              <w:t>……</w:t>
            </w:r>
          </w:p>
        </w:tc>
        <w:tc>
          <w:tcPr>
            <w:tcW w:w="880" w:type="dxa"/>
            <w:gridSpan w:val="2"/>
            <w:vAlign w:val="center"/>
          </w:tcPr>
          <w:p>
            <w:pPr>
              <w:spacing w:line="288" w:lineRule="auto"/>
              <w:jc w:val="center"/>
              <w:rPr>
                <w:rFonts w:ascii="宋体" w:hAnsi="宋体"/>
                <w:b/>
                <w:szCs w:val="21"/>
              </w:rPr>
            </w:pPr>
          </w:p>
        </w:tc>
        <w:tc>
          <w:tcPr>
            <w:tcW w:w="757" w:type="dxa"/>
            <w:vAlign w:val="center"/>
          </w:tcPr>
          <w:p>
            <w:pPr>
              <w:spacing w:line="288" w:lineRule="auto"/>
              <w:jc w:val="center"/>
              <w:rPr>
                <w:rFonts w:ascii="宋体" w:hAnsi="宋体"/>
                <w:b/>
                <w:szCs w:val="21"/>
              </w:rPr>
            </w:pPr>
          </w:p>
        </w:tc>
        <w:tc>
          <w:tcPr>
            <w:tcW w:w="1598" w:type="dxa"/>
            <w:vAlign w:val="center"/>
          </w:tcPr>
          <w:p>
            <w:pPr>
              <w:spacing w:line="288" w:lineRule="auto"/>
              <w:jc w:val="center"/>
              <w:rPr>
                <w:rFonts w:ascii="宋体" w:hAnsi="宋体"/>
                <w:b/>
                <w:szCs w:val="21"/>
              </w:rPr>
            </w:pPr>
          </w:p>
        </w:tc>
        <w:tc>
          <w:tcPr>
            <w:tcW w:w="1237" w:type="dxa"/>
            <w:vAlign w:val="center"/>
          </w:tcPr>
          <w:p>
            <w:pPr>
              <w:spacing w:line="288" w:lineRule="auto"/>
              <w:jc w:val="center"/>
              <w:rPr>
                <w:rFonts w:ascii="宋体" w:hAnsi="宋体"/>
                <w:b/>
                <w:szCs w:val="21"/>
              </w:rPr>
            </w:pPr>
          </w:p>
        </w:tc>
        <w:tc>
          <w:tcPr>
            <w:tcW w:w="1238" w:type="dxa"/>
            <w:vAlign w:val="center"/>
          </w:tcPr>
          <w:p>
            <w:pPr>
              <w:spacing w:line="288" w:lineRule="auto"/>
              <w:jc w:val="center"/>
              <w:rPr>
                <w:rFonts w:ascii="宋体" w:hAnsi="宋体"/>
                <w:b/>
                <w:szCs w:val="21"/>
              </w:rPr>
            </w:pPr>
          </w:p>
        </w:tc>
        <w:tc>
          <w:tcPr>
            <w:tcW w:w="1238" w:type="dxa"/>
            <w:vAlign w:val="center"/>
          </w:tcPr>
          <w:p>
            <w:pPr>
              <w:spacing w:line="288"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2226" w:type="dxa"/>
            <w:gridSpan w:val="2"/>
            <w:vAlign w:val="center"/>
          </w:tcPr>
          <w:p>
            <w:pPr>
              <w:spacing w:line="288" w:lineRule="auto"/>
              <w:jc w:val="center"/>
              <w:rPr>
                <w:rFonts w:ascii="宋体" w:hAnsi="宋体"/>
                <w:szCs w:val="21"/>
              </w:rPr>
            </w:pPr>
            <w:r>
              <w:rPr>
                <w:rFonts w:hint="eastAsia" w:ascii="宋体" w:hAnsi="宋体"/>
                <w:szCs w:val="21"/>
              </w:rPr>
              <w:t>管理费</w:t>
            </w:r>
          </w:p>
        </w:tc>
        <w:tc>
          <w:tcPr>
            <w:tcW w:w="6948" w:type="dxa"/>
            <w:gridSpan w:val="7"/>
            <w:vAlign w:val="center"/>
          </w:tcPr>
          <w:p>
            <w:pPr>
              <w:spacing w:line="288"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2226" w:type="dxa"/>
            <w:gridSpan w:val="2"/>
            <w:vAlign w:val="center"/>
          </w:tcPr>
          <w:p>
            <w:pPr>
              <w:spacing w:line="288" w:lineRule="auto"/>
              <w:jc w:val="center"/>
              <w:rPr>
                <w:rFonts w:ascii="宋体" w:hAnsi="宋体"/>
                <w:szCs w:val="21"/>
              </w:rPr>
            </w:pPr>
            <w:r>
              <w:rPr>
                <w:rFonts w:hint="eastAsia" w:ascii="宋体" w:hAnsi="宋体"/>
                <w:szCs w:val="21"/>
              </w:rPr>
              <w:t>利润</w:t>
            </w:r>
          </w:p>
        </w:tc>
        <w:tc>
          <w:tcPr>
            <w:tcW w:w="6948" w:type="dxa"/>
            <w:gridSpan w:val="7"/>
            <w:vAlign w:val="center"/>
          </w:tcPr>
          <w:p>
            <w:pPr>
              <w:spacing w:line="288"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2226" w:type="dxa"/>
            <w:gridSpan w:val="2"/>
            <w:vAlign w:val="center"/>
          </w:tcPr>
          <w:p>
            <w:pPr>
              <w:spacing w:line="288" w:lineRule="auto"/>
              <w:jc w:val="center"/>
              <w:rPr>
                <w:rFonts w:ascii="宋体" w:hAnsi="宋体"/>
                <w:szCs w:val="21"/>
              </w:rPr>
            </w:pPr>
            <w:r>
              <w:rPr>
                <w:rFonts w:hint="eastAsia" w:ascii="宋体" w:hAnsi="宋体"/>
                <w:szCs w:val="21"/>
              </w:rPr>
              <w:t>税金（含附加）</w:t>
            </w:r>
          </w:p>
        </w:tc>
        <w:tc>
          <w:tcPr>
            <w:tcW w:w="6948" w:type="dxa"/>
            <w:gridSpan w:val="7"/>
            <w:vAlign w:val="center"/>
          </w:tcPr>
          <w:p>
            <w:pPr>
              <w:spacing w:line="288"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2226" w:type="dxa"/>
            <w:gridSpan w:val="2"/>
            <w:vAlign w:val="center"/>
          </w:tcPr>
          <w:p>
            <w:pPr>
              <w:spacing w:line="288" w:lineRule="auto"/>
              <w:jc w:val="center"/>
              <w:rPr>
                <w:rFonts w:ascii="宋体" w:hAnsi="宋体"/>
                <w:szCs w:val="21"/>
              </w:rPr>
            </w:pPr>
            <w:r>
              <w:rPr>
                <w:rFonts w:hint="eastAsia" w:ascii="宋体" w:hAnsi="宋体"/>
                <w:szCs w:val="21"/>
              </w:rPr>
              <w:t>其他</w:t>
            </w:r>
          </w:p>
        </w:tc>
        <w:tc>
          <w:tcPr>
            <w:tcW w:w="6948" w:type="dxa"/>
            <w:gridSpan w:val="7"/>
            <w:vAlign w:val="center"/>
          </w:tcPr>
          <w:p>
            <w:pPr>
              <w:spacing w:line="288"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2226" w:type="dxa"/>
            <w:gridSpan w:val="2"/>
            <w:vAlign w:val="center"/>
          </w:tcPr>
          <w:p>
            <w:pPr>
              <w:spacing w:line="288" w:lineRule="auto"/>
              <w:jc w:val="center"/>
              <w:rPr>
                <w:rFonts w:ascii="宋体" w:hAnsi="宋体"/>
                <w:szCs w:val="21"/>
              </w:rPr>
            </w:pPr>
            <w:r>
              <w:rPr>
                <w:rFonts w:hint="eastAsia" w:ascii="宋体" w:hAnsi="宋体"/>
                <w:szCs w:val="21"/>
              </w:rPr>
              <w:t>合价（出厂价）</w:t>
            </w:r>
          </w:p>
        </w:tc>
        <w:tc>
          <w:tcPr>
            <w:tcW w:w="6948" w:type="dxa"/>
            <w:gridSpan w:val="7"/>
            <w:vAlign w:val="center"/>
          </w:tcPr>
          <w:p>
            <w:pPr>
              <w:spacing w:line="288" w:lineRule="auto"/>
              <w:jc w:val="center"/>
              <w:rPr>
                <w:rFonts w:ascii="宋体" w:hAnsi="宋体"/>
                <w:b/>
                <w:szCs w:val="21"/>
              </w:rPr>
            </w:pPr>
          </w:p>
        </w:tc>
      </w:tr>
    </w:tbl>
    <w:p>
      <w:pPr>
        <w:spacing w:before="120" w:beforeLines="50" w:line="288" w:lineRule="auto"/>
        <w:ind w:left="-84" w:leftChars="-40"/>
        <w:rPr>
          <w:rFonts w:ascii="宋体" w:hAnsi="宋体"/>
          <w:szCs w:val="21"/>
        </w:rPr>
      </w:pPr>
      <w:r>
        <w:rPr>
          <w:rFonts w:ascii="宋体" w:hAnsi="宋体"/>
          <w:szCs w:val="21"/>
        </w:rPr>
        <w:t>投标人名称（公章）：</w:t>
      </w:r>
    </w:p>
    <w:p>
      <w:pPr>
        <w:spacing w:before="120" w:beforeLines="50" w:line="288" w:lineRule="auto"/>
        <w:ind w:left="-84" w:leftChars="-40"/>
        <w:rPr>
          <w:rFonts w:ascii="宋体" w:hAnsi="宋体"/>
          <w:szCs w:val="21"/>
        </w:rPr>
      </w:pPr>
      <w:r>
        <w:rPr>
          <w:rFonts w:ascii="宋体" w:hAnsi="宋体"/>
          <w:szCs w:val="21"/>
        </w:rPr>
        <w:t>法定代表人或其</w:t>
      </w:r>
      <w:r>
        <w:rPr>
          <w:rFonts w:hint="eastAsia" w:ascii="宋体"/>
          <w:szCs w:val="21"/>
        </w:rPr>
        <w:t>委托代理人</w:t>
      </w:r>
      <w:r>
        <w:rPr>
          <w:rFonts w:ascii="宋体" w:hAnsi="宋体"/>
          <w:szCs w:val="21"/>
        </w:rPr>
        <w:t>（</w:t>
      </w:r>
      <w:r>
        <w:rPr>
          <w:rFonts w:hint="eastAsia" w:ascii="宋体" w:hAnsi="宋体"/>
          <w:szCs w:val="21"/>
        </w:rPr>
        <w:t>签字或加盖人名章</w:t>
      </w:r>
      <w:r>
        <w:rPr>
          <w:rFonts w:ascii="宋体" w:hAnsi="宋体"/>
          <w:szCs w:val="21"/>
        </w:rPr>
        <w:t>）：</w:t>
      </w:r>
    </w:p>
    <w:p>
      <w:pPr>
        <w:spacing w:before="120" w:beforeLines="50" w:line="288" w:lineRule="auto"/>
        <w:ind w:left="-84" w:leftChars="-40"/>
        <w:rPr>
          <w:rFonts w:ascii="宋体" w:hAnsi="宋体"/>
          <w:szCs w:val="21"/>
        </w:rPr>
      </w:pPr>
      <w:r>
        <w:rPr>
          <w:rFonts w:ascii="宋体" w:hAnsi="宋体"/>
          <w:szCs w:val="21"/>
        </w:rPr>
        <w:t>日期：</w:t>
      </w:r>
    </w:p>
    <w:p>
      <w:pPr>
        <w:spacing w:before="120" w:beforeLines="50" w:line="288" w:lineRule="auto"/>
        <w:ind w:left="-84" w:leftChars="-40"/>
        <w:rPr>
          <w:rFonts w:ascii="宋体" w:hAnsi="宋体"/>
          <w:szCs w:val="21"/>
        </w:rPr>
      </w:pPr>
    </w:p>
    <w:p>
      <w:pPr>
        <w:spacing w:line="288" w:lineRule="auto"/>
        <w:rPr>
          <w:rFonts w:ascii="宋体" w:hAnsi="宋体"/>
          <w:szCs w:val="21"/>
        </w:rPr>
      </w:pPr>
      <w:r>
        <w:rPr>
          <w:rFonts w:hint="eastAsia" w:ascii="宋体" w:hAnsi="宋体"/>
          <w:bCs/>
          <w:szCs w:val="21"/>
        </w:rPr>
        <w:t>注：1、</w:t>
      </w:r>
      <w:r>
        <w:rPr>
          <w:rFonts w:hint="eastAsia" w:ascii="宋体" w:hAnsi="宋体"/>
          <w:szCs w:val="21"/>
        </w:rPr>
        <w:t>详细注明型号。</w:t>
      </w:r>
    </w:p>
    <w:p>
      <w:pPr>
        <w:spacing w:line="288" w:lineRule="auto"/>
        <w:ind w:left="424" w:leftChars="202"/>
        <w:rPr>
          <w:rFonts w:ascii="宋体" w:hAnsi="宋体"/>
          <w:bCs/>
          <w:szCs w:val="21"/>
        </w:rPr>
      </w:pPr>
      <w:r>
        <w:rPr>
          <w:rFonts w:hint="eastAsia" w:ascii="宋体" w:hAnsi="宋体"/>
          <w:bCs/>
          <w:szCs w:val="21"/>
        </w:rPr>
        <w:t>2、本表按所投产品进行单台分别报价。</w:t>
      </w:r>
    </w:p>
    <w:p/>
    <w:p/>
    <w:p/>
    <w:p/>
    <w:p/>
    <w:p/>
    <w:p>
      <w:pPr>
        <w:spacing w:line="360" w:lineRule="auto"/>
        <w:outlineLvl w:val="2"/>
        <w:rPr>
          <w:rFonts w:ascii="宋体" w:hAnsi="宋体"/>
          <w:sz w:val="24"/>
        </w:rPr>
        <w:sectPr>
          <w:footerReference r:id="rId10" w:type="default"/>
          <w:pgSz w:w="11906" w:h="16838"/>
          <w:pgMar w:top="1440" w:right="1440" w:bottom="1440" w:left="1797" w:header="851" w:footer="992" w:gutter="0"/>
          <w:pgNumType w:fmt="decimal"/>
          <w:cols w:space="425" w:num="1"/>
          <w:docGrid w:linePitch="312" w:charSpace="0"/>
        </w:sectPr>
      </w:pPr>
    </w:p>
    <w:p>
      <w:pPr>
        <w:spacing w:line="360" w:lineRule="auto"/>
        <w:outlineLvl w:val="2"/>
        <w:rPr>
          <w:rFonts w:ascii="宋体" w:hAnsi="宋体"/>
          <w:sz w:val="24"/>
        </w:rPr>
      </w:pPr>
      <w:bookmarkStart w:id="394" w:name="_Toc100686687"/>
      <w:bookmarkStart w:id="395" w:name="_Toc28286"/>
      <w:r>
        <w:rPr>
          <w:rFonts w:hint="eastAsia" w:ascii="宋体" w:hAnsi="宋体"/>
          <w:sz w:val="24"/>
        </w:rPr>
        <w:t>附件</w:t>
      </w:r>
      <w:r>
        <w:rPr>
          <w:rFonts w:ascii="宋体" w:hAnsi="宋体"/>
          <w:sz w:val="24"/>
        </w:rPr>
        <w:t>2</w:t>
      </w:r>
      <w:r>
        <w:rPr>
          <w:rFonts w:hint="eastAsia" w:ascii="宋体" w:hAnsi="宋体"/>
          <w:sz w:val="24"/>
        </w:rPr>
        <w:t>-</w:t>
      </w:r>
      <w:r>
        <w:rPr>
          <w:rFonts w:ascii="宋体" w:hAnsi="宋体"/>
          <w:sz w:val="24"/>
        </w:rPr>
        <w:t>5</w:t>
      </w:r>
      <w:r>
        <w:rPr>
          <w:rFonts w:hint="eastAsia" w:ascii="宋体" w:hAnsi="宋体"/>
          <w:sz w:val="24"/>
        </w:rPr>
        <w:t xml:space="preserve">  ***报价表</w:t>
      </w:r>
      <w:bookmarkEnd w:id="394"/>
      <w:r>
        <w:rPr>
          <w:rFonts w:hint="eastAsia" w:ascii="宋体" w:hAnsi="宋体"/>
          <w:b/>
          <w:bCs/>
          <w:szCs w:val="21"/>
        </w:rPr>
        <w:t>（如有）</w:t>
      </w:r>
      <w:bookmarkEnd w:id="395"/>
    </w:p>
    <w:p>
      <w:pPr>
        <w:sectPr>
          <w:pgSz w:w="11906" w:h="16838"/>
          <w:pgMar w:top="1440" w:right="1440" w:bottom="1440" w:left="1797" w:header="851" w:footer="992" w:gutter="0"/>
          <w:pgNumType w:fmt="decimal"/>
          <w:cols w:space="425" w:num="1"/>
          <w:docGrid w:linePitch="312" w:charSpace="0"/>
        </w:sectPr>
      </w:pPr>
      <w:r>
        <w:rPr>
          <w:rFonts w:hint="eastAsia"/>
        </w:rPr>
        <w:t>请投标人根据采购需求及投标人需要，编制响应报价表，如：易损件价格报价表、一次性耗材价格报价表等。</w:t>
      </w:r>
    </w:p>
    <w:bookmarkEnd w:id="377"/>
    <w:bookmarkEnd w:id="378"/>
    <w:p>
      <w:pPr>
        <w:pStyle w:val="4"/>
        <w:spacing w:before="0" w:after="0" w:line="240" w:lineRule="auto"/>
        <w:rPr>
          <w:rFonts w:ascii="Times New Roman" w:hAnsi="Times New Roman"/>
          <w:sz w:val="28"/>
          <w:szCs w:val="28"/>
        </w:rPr>
      </w:pPr>
      <w:bookmarkStart w:id="396" w:name="_Toc103677772"/>
      <w:bookmarkStart w:id="397" w:name="_Toc2344"/>
      <w:bookmarkStart w:id="398" w:name="_Toc14600"/>
      <w:bookmarkStart w:id="399" w:name="_Toc32222"/>
      <w:r>
        <w:rPr>
          <w:rFonts w:hint="eastAsia" w:ascii="Times New Roman" w:hAnsi="Times New Roman"/>
          <w:sz w:val="28"/>
          <w:szCs w:val="28"/>
        </w:rPr>
        <w:t xml:space="preserve">第三部分 </w:t>
      </w:r>
      <w:r>
        <w:rPr>
          <w:rFonts w:ascii="Times New Roman" w:hAnsi="Times New Roman"/>
          <w:sz w:val="28"/>
          <w:szCs w:val="28"/>
        </w:rPr>
        <w:t xml:space="preserve"> 技术部分</w:t>
      </w:r>
      <w:bookmarkEnd w:id="396"/>
      <w:bookmarkEnd w:id="397"/>
    </w:p>
    <w:p>
      <w:pPr>
        <w:pStyle w:val="2"/>
        <w:spacing w:before="0" w:after="0" w:line="240" w:lineRule="auto"/>
      </w:pPr>
      <w:bookmarkStart w:id="400" w:name="_Toc14103"/>
      <w:bookmarkStart w:id="401" w:name="_Toc103677773"/>
      <w:r>
        <w:rPr>
          <w:rFonts w:eastAsia="黑体"/>
          <w:sz w:val="28"/>
          <w:szCs w:val="28"/>
        </w:rPr>
        <w:t>一</w:t>
      </w:r>
      <w:r>
        <w:rPr>
          <w:rFonts w:hint="eastAsia" w:eastAsia="黑体"/>
          <w:sz w:val="28"/>
          <w:szCs w:val="28"/>
        </w:rPr>
        <w:t>、</w:t>
      </w:r>
      <w:r>
        <w:rPr>
          <w:rFonts w:eastAsia="黑体"/>
          <w:sz w:val="28"/>
          <w:szCs w:val="28"/>
        </w:rPr>
        <w:t>技术偏离表</w:t>
      </w:r>
      <w:bookmarkEnd w:id="400"/>
      <w:bookmarkEnd w:id="401"/>
    </w:p>
    <w:tbl>
      <w:tblPr>
        <w:tblStyle w:val="41"/>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8"/>
        <w:gridCol w:w="1920"/>
        <w:gridCol w:w="2160"/>
        <w:gridCol w:w="1800"/>
        <w:gridCol w:w="1742"/>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0" w:hRule="atLeast"/>
        </w:trPr>
        <w:tc>
          <w:tcPr>
            <w:tcW w:w="628" w:type="dxa"/>
            <w:vAlign w:val="center"/>
          </w:tcPr>
          <w:p>
            <w:pPr>
              <w:jc w:val="center"/>
              <w:rPr>
                <w:szCs w:val="21"/>
              </w:rPr>
            </w:pPr>
            <w:r>
              <w:rPr>
                <w:szCs w:val="21"/>
              </w:rPr>
              <w:t>序号</w:t>
            </w:r>
          </w:p>
        </w:tc>
        <w:tc>
          <w:tcPr>
            <w:tcW w:w="1920" w:type="dxa"/>
            <w:vAlign w:val="center"/>
          </w:tcPr>
          <w:p>
            <w:pPr>
              <w:jc w:val="center"/>
              <w:rPr>
                <w:szCs w:val="21"/>
              </w:rPr>
            </w:pPr>
            <w:r>
              <w:rPr>
                <w:szCs w:val="21"/>
              </w:rPr>
              <w:t>招标文件条目号</w:t>
            </w:r>
          </w:p>
        </w:tc>
        <w:tc>
          <w:tcPr>
            <w:tcW w:w="2160" w:type="dxa"/>
            <w:vAlign w:val="center"/>
          </w:tcPr>
          <w:p>
            <w:pPr>
              <w:jc w:val="center"/>
              <w:rPr>
                <w:szCs w:val="21"/>
              </w:rPr>
            </w:pPr>
            <w:r>
              <w:rPr>
                <w:szCs w:val="21"/>
              </w:rPr>
              <w:t>招标文件的规定</w:t>
            </w:r>
          </w:p>
          <w:p>
            <w:pPr>
              <w:jc w:val="center"/>
              <w:rPr>
                <w:szCs w:val="21"/>
              </w:rPr>
            </w:pPr>
            <w:r>
              <w:rPr>
                <w:szCs w:val="21"/>
              </w:rPr>
              <w:t>和要求</w:t>
            </w:r>
          </w:p>
        </w:tc>
        <w:tc>
          <w:tcPr>
            <w:tcW w:w="1800" w:type="dxa"/>
            <w:vAlign w:val="center"/>
          </w:tcPr>
          <w:p>
            <w:pPr>
              <w:jc w:val="center"/>
              <w:rPr>
                <w:szCs w:val="21"/>
              </w:rPr>
            </w:pPr>
            <w:r>
              <w:rPr>
                <w:szCs w:val="21"/>
              </w:rPr>
              <w:t>投标文件的响应</w:t>
            </w:r>
          </w:p>
        </w:tc>
        <w:tc>
          <w:tcPr>
            <w:tcW w:w="1742" w:type="dxa"/>
            <w:vAlign w:val="center"/>
          </w:tcPr>
          <w:p>
            <w:pPr>
              <w:jc w:val="center"/>
              <w:rPr>
                <w:szCs w:val="21"/>
              </w:rPr>
            </w:pPr>
            <w:r>
              <w:rPr>
                <w:szCs w:val="21"/>
              </w:rPr>
              <w:t>偏差</w:t>
            </w:r>
          </w:p>
        </w:tc>
        <w:tc>
          <w:tcPr>
            <w:tcW w:w="598" w:type="dxa"/>
            <w:vAlign w:val="center"/>
          </w:tcPr>
          <w:p>
            <w:pPr>
              <w:jc w:val="center"/>
              <w:rPr>
                <w:szCs w:val="21"/>
              </w:rPr>
            </w:pPr>
            <w:r>
              <w:rPr>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 w:hRule="atLeast"/>
        </w:trPr>
        <w:tc>
          <w:tcPr>
            <w:tcW w:w="628" w:type="dxa"/>
            <w:vAlign w:val="center"/>
          </w:tcPr>
          <w:p>
            <w:pPr>
              <w:jc w:val="center"/>
              <w:rPr>
                <w:szCs w:val="21"/>
              </w:rPr>
            </w:pPr>
            <w:r>
              <w:rPr>
                <w:szCs w:val="21"/>
              </w:rPr>
              <w:t>1</w:t>
            </w:r>
          </w:p>
        </w:tc>
        <w:tc>
          <w:tcPr>
            <w:tcW w:w="1920" w:type="dxa"/>
            <w:vAlign w:val="center"/>
          </w:tcPr>
          <w:p>
            <w:pPr>
              <w:rPr>
                <w:szCs w:val="21"/>
              </w:rPr>
            </w:pPr>
          </w:p>
        </w:tc>
        <w:tc>
          <w:tcPr>
            <w:tcW w:w="2160" w:type="dxa"/>
            <w:vAlign w:val="center"/>
          </w:tcPr>
          <w:p>
            <w:pPr>
              <w:rPr>
                <w:szCs w:val="21"/>
              </w:rPr>
            </w:pPr>
          </w:p>
        </w:tc>
        <w:tc>
          <w:tcPr>
            <w:tcW w:w="1800" w:type="dxa"/>
            <w:vAlign w:val="center"/>
          </w:tcPr>
          <w:p>
            <w:pPr>
              <w:rPr>
                <w:szCs w:val="21"/>
              </w:rPr>
            </w:pPr>
          </w:p>
        </w:tc>
        <w:tc>
          <w:tcPr>
            <w:tcW w:w="1742" w:type="dxa"/>
            <w:vAlign w:val="center"/>
          </w:tcPr>
          <w:p>
            <w:pPr>
              <w:jc w:val="center"/>
              <w:rPr>
                <w:szCs w:val="21"/>
              </w:rPr>
            </w:pPr>
            <w:r>
              <w:rPr>
                <w:szCs w:val="21"/>
              </w:rPr>
              <w:t>无偏离，完全响应</w:t>
            </w:r>
          </w:p>
        </w:tc>
        <w:tc>
          <w:tcPr>
            <w:tcW w:w="598"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 w:hRule="atLeast"/>
        </w:trPr>
        <w:tc>
          <w:tcPr>
            <w:tcW w:w="628" w:type="dxa"/>
            <w:vAlign w:val="center"/>
          </w:tcPr>
          <w:p>
            <w:pPr>
              <w:jc w:val="center"/>
              <w:rPr>
                <w:szCs w:val="21"/>
              </w:rPr>
            </w:pPr>
            <w:r>
              <w:rPr>
                <w:szCs w:val="21"/>
              </w:rPr>
              <w:t>2</w:t>
            </w:r>
          </w:p>
        </w:tc>
        <w:tc>
          <w:tcPr>
            <w:tcW w:w="1920" w:type="dxa"/>
            <w:vAlign w:val="center"/>
          </w:tcPr>
          <w:p>
            <w:pPr>
              <w:rPr>
                <w:szCs w:val="21"/>
              </w:rPr>
            </w:pPr>
          </w:p>
        </w:tc>
        <w:tc>
          <w:tcPr>
            <w:tcW w:w="2160" w:type="dxa"/>
            <w:vAlign w:val="center"/>
          </w:tcPr>
          <w:p>
            <w:pPr>
              <w:rPr>
                <w:szCs w:val="21"/>
              </w:rPr>
            </w:pPr>
          </w:p>
        </w:tc>
        <w:tc>
          <w:tcPr>
            <w:tcW w:w="1800" w:type="dxa"/>
            <w:vAlign w:val="center"/>
          </w:tcPr>
          <w:p>
            <w:pPr>
              <w:rPr>
                <w:szCs w:val="21"/>
              </w:rPr>
            </w:pPr>
          </w:p>
        </w:tc>
        <w:tc>
          <w:tcPr>
            <w:tcW w:w="1742" w:type="dxa"/>
            <w:vAlign w:val="center"/>
          </w:tcPr>
          <w:p>
            <w:pPr>
              <w:jc w:val="center"/>
              <w:rPr>
                <w:szCs w:val="21"/>
              </w:rPr>
            </w:pPr>
            <w:r>
              <w:rPr>
                <w:szCs w:val="21"/>
              </w:rPr>
              <w:t>无偏离，完全响应</w:t>
            </w:r>
          </w:p>
        </w:tc>
        <w:tc>
          <w:tcPr>
            <w:tcW w:w="598"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 w:hRule="atLeast"/>
        </w:trPr>
        <w:tc>
          <w:tcPr>
            <w:tcW w:w="628" w:type="dxa"/>
            <w:vAlign w:val="center"/>
          </w:tcPr>
          <w:p>
            <w:pPr>
              <w:jc w:val="center"/>
              <w:rPr>
                <w:szCs w:val="21"/>
              </w:rPr>
            </w:pPr>
            <w:r>
              <w:rPr>
                <w:szCs w:val="21"/>
              </w:rPr>
              <w:t>3</w:t>
            </w:r>
          </w:p>
        </w:tc>
        <w:tc>
          <w:tcPr>
            <w:tcW w:w="1920" w:type="dxa"/>
            <w:vAlign w:val="center"/>
          </w:tcPr>
          <w:p>
            <w:pPr>
              <w:rPr>
                <w:szCs w:val="21"/>
              </w:rPr>
            </w:pPr>
          </w:p>
        </w:tc>
        <w:tc>
          <w:tcPr>
            <w:tcW w:w="2160" w:type="dxa"/>
            <w:vAlign w:val="center"/>
          </w:tcPr>
          <w:p>
            <w:pPr>
              <w:rPr>
                <w:szCs w:val="21"/>
              </w:rPr>
            </w:pPr>
          </w:p>
        </w:tc>
        <w:tc>
          <w:tcPr>
            <w:tcW w:w="1800" w:type="dxa"/>
            <w:vAlign w:val="center"/>
          </w:tcPr>
          <w:p>
            <w:pPr>
              <w:rPr>
                <w:szCs w:val="21"/>
              </w:rPr>
            </w:pPr>
          </w:p>
        </w:tc>
        <w:tc>
          <w:tcPr>
            <w:tcW w:w="1742" w:type="dxa"/>
            <w:vAlign w:val="center"/>
          </w:tcPr>
          <w:p>
            <w:pPr>
              <w:jc w:val="center"/>
              <w:rPr>
                <w:szCs w:val="21"/>
              </w:rPr>
            </w:pPr>
            <w:r>
              <w:rPr>
                <w:szCs w:val="21"/>
              </w:rPr>
              <w:t>无偏离，完全响应</w:t>
            </w:r>
          </w:p>
        </w:tc>
        <w:tc>
          <w:tcPr>
            <w:tcW w:w="598"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 w:hRule="atLeast"/>
        </w:trPr>
        <w:tc>
          <w:tcPr>
            <w:tcW w:w="628" w:type="dxa"/>
            <w:vAlign w:val="center"/>
          </w:tcPr>
          <w:p>
            <w:pPr>
              <w:jc w:val="center"/>
              <w:rPr>
                <w:szCs w:val="21"/>
              </w:rPr>
            </w:pPr>
            <w:r>
              <w:rPr>
                <w:szCs w:val="21"/>
              </w:rPr>
              <w:t>4</w:t>
            </w:r>
          </w:p>
        </w:tc>
        <w:tc>
          <w:tcPr>
            <w:tcW w:w="1920" w:type="dxa"/>
            <w:vAlign w:val="center"/>
          </w:tcPr>
          <w:p>
            <w:pPr>
              <w:rPr>
                <w:szCs w:val="21"/>
              </w:rPr>
            </w:pPr>
          </w:p>
        </w:tc>
        <w:tc>
          <w:tcPr>
            <w:tcW w:w="2160" w:type="dxa"/>
            <w:vAlign w:val="center"/>
          </w:tcPr>
          <w:p>
            <w:pPr>
              <w:rPr>
                <w:szCs w:val="21"/>
              </w:rPr>
            </w:pPr>
          </w:p>
        </w:tc>
        <w:tc>
          <w:tcPr>
            <w:tcW w:w="1800" w:type="dxa"/>
            <w:vAlign w:val="center"/>
          </w:tcPr>
          <w:p>
            <w:pPr>
              <w:rPr>
                <w:szCs w:val="21"/>
              </w:rPr>
            </w:pPr>
          </w:p>
        </w:tc>
        <w:tc>
          <w:tcPr>
            <w:tcW w:w="1742" w:type="dxa"/>
            <w:vAlign w:val="center"/>
          </w:tcPr>
          <w:p>
            <w:pPr>
              <w:rPr>
                <w:szCs w:val="21"/>
              </w:rPr>
            </w:pPr>
          </w:p>
        </w:tc>
        <w:tc>
          <w:tcPr>
            <w:tcW w:w="598"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 w:hRule="atLeast"/>
        </w:trPr>
        <w:tc>
          <w:tcPr>
            <w:tcW w:w="628" w:type="dxa"/>
            <w:vAlign w:val="center"/>
          </w:tcPr>
          <w:p>
            <w:pPr>
              <w:jc w:val="center"/>
              <w:rPr>
                <w:szCs w:val="21"/>
              </w:rPr>
            </w:pPr>
            <w:r>
              <w:rPr>
                <w:szCs w:val="21"/>
              </w:rPr>
              <w:t>5</w:t>
            </w:r>
          </w:p>
        </w:tc>
        <w:tc>
          <w:tcPr>
            <w:tcW w:w="1920" w:type="dxa"/>
            <w:vAlign w:val="center"/>
          </w:tcPr>
          <w:p>
            <w:pPr>
              <w:rPr>
                <w:szCs w:val="21"/>
              </w:rPr>
            </w:pPr>
          </w:p>
        </w:tc>
        <w:tc>
          <w:tcPr>
            <w:tcW w:w="2160" w:type="dxa"/>
            <w:vAlign w:val="center"/>
          </w:tcPr>
          <w:p>
            <w:pPr>
              <w:rPr>
                <w:szCs w:val="21"/>
              </w:rPr>
            </w:pPr>
          </w:p>
        </w:tc>
        <w:tc>
          <w:tcPr>
            <w:tcW w:w="1800" w:type="dxa"/>
            <w:vAlign w:val="center"/>
          </w:tcPr>
          <w:p>
            <w:pPr>
              <w:rPr>
                <w:szCs w:val="21"/>
              </w:rPr>
            </w:pPr>
          </w:p>
        </w:tc>
        <w:tc>
          <w:tcPr>
            <w:tcW w:w="1742" w:type="dxa"/>
            <w:vAlign w:val="center"/>
          </w:tcPr>
          <w:p>
            <w:pPr>
              <w:rPr>
                <w:szCs w:val="21"/>
              </w:rPr>
            </w:pPr>
          </w:p>
        </w:tc>
        <w:tc>
          <w:tcPr>
            <w:tcW w:w="598"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 w:hRule="atLeast"/>
        </w:trPr>
        <w:tc>
          <w:tcPr>
            <w:tcW w:w="628" w:type="dxa"/>
            <w:vAlign w:val="center"/>
          </w:tcPr>
          <w:p>
            <w:pPr>
              <w:jc w:val="center"/>
              <w:rPr>
                <w:szCs w:val="21"/>
              </w:rPr>
            </w:pPr>
            <w:r>
              <w:rPr>
                <w:szCs w:val="21"/>
              </w:rPr>
              <w:t>6</w:t>
            </w:r>
          </w:p>
        </w:tc>
        <w:tc>
          <w:tcPr>
            <w:tcW w:w="1920" w:type="dxa"/>
            <w:vAlign w:val="center"/>
          </w:tcPr>
          <w:p>
            <w:pPr>
              <w:rPr>
                <w:szCs w:val="21"/>
              </w:rPr>
            </w:pPr>
          </w:p>
        </w:tc>
        <w:tc>
          <w:tcPr>
            <w:tcW w:w="2160" w:type="dxa"/>
            <w:vAlign w:val="center"/>
          </w:tcPr>
          <w:p>
            <w:pPr>
              <w:rPr>
                <w:szCs w:val="21"/>
              </w:rPr>
            </w:pPr>
          </w:p>
        </w:tc>
        <w:tc>
          <w:tcPr>
            <w:tcW w:w="1800" w:type="dxa"/>
            <w:vAlign w:val="center"/>
          </w:tcPr>
          <w:p>
            <w:pPr>
              <w:rPr>
                <w:szCs w:val="21"/>
              </w:rPr>
            </w:pPr>
          </w:p>
        </w:tc>
        <w:tc>
          <w:tcPr>
            <w:tcW w:w="1742" w:type="dxa"/>
            <w:vAlign w:val="center"/>
          </w:tcPr>
          <w:p>
            <w:pPr>
              <w:rPr>
                <w:szCs w:val="21"/>
              </w:rPr>
            </w:pPr>
          </w:p>
        </w:tc>
        <w:tc>
          <w:tcPr>
            <w:tcW w:w="598"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 w:hRule="atLeast"/>
        </w:trPr>
        <w:tc>
          <w:tcPr>
            <w:tcW w:w="628" w:type="dxa"/>
            <w:vAlign w:val="center"/>
          </w:tcPr>
          <w:p>
            <w:pPr>
              <w:jc w:val="center"/>
              <w:rPr>
                <w:szCs w:val="21"/>
              </w:rPr>
            </w:pPr>
            <w:r>
              <w:rPr>
                <w:szCs w:val="21"/>
              </w:rPr>
              <w:t>…</w:t>
            </w:r>
          </w:p>
        </w:tc>
        <w:tc>
          <w:tcPr>
            <w:tcW w:w="1920" w:type="dxa"/>
            <w:vAlign w:val="center"/>
          </w:tcPr>
          <w:p>
            <w:pPr>
              <w:rPr>
                <w:szCs w:val="21"/>
              </w:rPr>
            </w:pPr>
          </w:p>
        </w:tc>
        <w:tc>
          <w:tcPr>
            <w:tcW w:w="2160" w:type="dxa"/>
            <w:vAlign w:val="center"/>
          </w:tcPr>
          <w:p>
            <w:pPr>
              <w:rPr>
                <w:szCs w:val="21"/>
              </w:rPr>
            </w:pPr>
          </w:p>
        </w:tc>
        <w:tc>
          <w:tcPr>
            <w:tcW w:w="1800" w:type="dxa"/>
            <w:vAlign w:val="center"/>
          </w:tcPr>
          <w:p>
            <w:pPr>
              <w:rPr>
                <w:szCs w:val="21"/>
              </w:rPr>
            </w:pPr>
          </w:p>
        </w:tc>
        <w:tc>
          <w:tcPr>
            <w:tcW w:w="1742" w:type="dxa"/>
            <w:vAlign w:val="center"/>
          </w:tcPr>
          <w:p>
            <w:pPr>
              <w:rPr>
                <w:szCs w:val="21"/>
              </w:rPr>
            </w:pPr>
          </w:p>
        </w:tc>
        <w:tc>
          <w:tcPr>
            <w:tcW w:w="598" w:type="dxa"/>
            <w:vAlign w:val="center"/>
          </w:tcPr>
          <w:p>
            <w:pPr>
              <w:rPr>
                <w:szCs w:val="21"/>
              </w:rPr>
            </w:pPr>
          </w:p>
        </w:tc>
      </w:tr>
    </w:tbl>
    <w:p>
      <w:pPr>
        <w:spacing w:after="240"/>
        <w:ind w:hanging="119"/>
      </w:pPr>
    </w:p>
    <w:p>
      <w:pPr>
        <w:spacing w:before="120" w:beforeLines="50" w:line="440" w:lineRule="exact"/>
        <w:ind w:left="-103" w:leftChars="-49" w:firstLine="15"/>
      </w:pPr>
      <w:r>
        <w:t>投标人：（公章）</w:t>
      </w:r>
    </w:p>
    <w:p>
      <w:pPr>
        <w:spacing w:before="120" w:beforeLines="50"/>
        <w:ind w:left="-103" w:leftChars="-49" w:firstLine="15"/>
      </w:pPr>
      <w:r>
        <w:t>法定代表人或其委托代理人：（签字或加盖人名章）</w:t>
      </w:r>
    </w:p>
    <w:p>
      <w:pPr>
        <w:spacing w:before="120" w:beforeLines="50"/>
        <w:ind w:left="-103" w:leftChars="-49" w:firstLine="15"/>
      </w:pPr>
      <w:r>
        <w:t>日期：</w:t>
      </w:r>
    </w:p>
    <w:p>
      <w:pPr>
        <w:spacing w:line="360" w:lineRule="auto"/>
      </w:pPr>
    </w:p>
    <w:p>
      <w:pPr>
        <w:tabs>
          <w:tab w:val="left" w:pos="1200"/>
        </w:tabs>
        <w:snapToGrid w:val="0"/>
        <w:spacing w:after="120" w:afterLines="50"/>
        <w:ind w:left="850" w:leftChars="203" w:hanging="424" w:hangingChars="202"/>
      </w:pPr>
      <w:r>
        <w:t>注：投标人递交的投标文件中与招标文件的技术部分的要求有不同时，应逐条列在技术偏差表中，否则将认为投标人接受招标文件的要求。</w:t>
      </w:r>
    </w:p>
    <w:p>
      <w:pPr>
        <w:rPr>
          <w:b/>
          <w:sz w:val="32"/>
          <w:szCs w:val="32"/>
        </w:rPr>
      </w:pPr>
      <w:r>
        <w:rPr>
          <w:b/>
          <w:sz w:val="32"/>
          <w:szCs w:val="32"/>
        </w:rPr>
        <w:br w:type="page"/>
      </w:r>
    </w:p>
    <w:p>
      <w:pPr>
        <w:pStyle w:val="2"/>
        <w:spacing w:before="0" w:after="0" w:line="240" w:lineRule="auto"/>
        <w:rPr>
          <w:rFonts w:eastAsia="黑体"/>
          <w:sz w:val="28"/>
          <w:szCs w:val="28"/>
        </w:rPr>
        <w:sectPr>
          <w:pgSz w:w="11906" w:h="16838"/>
          <w:pgMar w:top="1440" w:right="1440" w:bottom="1440" w:left="1797" w:header="851" w:footer="992" w:gutter="0"/>
          <w:pgNumType w:fmt="decimal"/>
          <w:cols w:space="425" w:num="1"/>
          <w:docGrid w:linePitch="312" w:charSpace="0"/>
        </w:sectPr>
      </w:pPr>
    </w:p>
    <w:p>
      <w:pPr>
        <w:pStyle w:val="2"/>
        <w:spacing w:before="0" w:after="0" w:line="240" w:lineRule="auto"/>
        <w:rPr>
          <w:rFonts w:eastAsia="黑体"/>
          <w:sz w:val="28"/>
          <w:szCs w:val="28"/>
        </w:rPr>
      </w:pPr>
      <w:bookmarkStart w:id="402" w:name="_Toc103677774"/>
      <w:bookmarkStart w:id="403" w:name="_Toc6128"/>
      <w:bookmarkStart w:id="404" w:name="_Toc157759075"/>
      <w:r>
        <w:rPr>
          <w:rFonts w:eastAsia="黑体"/>
          <w:sz w:val="28"/>
          <w:szCs w:val="28"/>
        </w:rPr>
        <w:t>二</w:t>
      </w:r>
      <w:r>
        <w:rPr>
          <w:rFonts w:hint="eastAsia" w:eastAsia="黑体"/>
          <w:sz w:val="28"/>
          <w:szCs w:val="28"/>
        </w:rPr>
        <w:t>、</w:t>
      </w:r>
      <w:bookmarkEnd w:id="402"/>
      <w:r>
        <w:rPr>
          <w:rFonts w:hint="eastAsia" w:eastAsia="黑体"/>
          <w:sz w:val="28"/>
          <w:szCs w:val="28"/>
        </w:rPr>
        <w:t>货物的技术规格、数量、服务标准、验收等要求的响应</w:t>
      </w:r>
      <w:bookmarkEnd w:id="403"/>
    </w:p>
    <w:bookmarkEnd w:id="404"/>
    <w:p/>
    <w:p>
      <w:pPr>
        <w:adjustRightInd w:val="0"/>
        <w:snapToGrid w:val="0"/>
        <w:spacing w:line="360" w:lineRule="auto"/>
        <w:ind w:firstLine="480" w:firstLineChars="200"/>
        <w:rPr>
          <w:sz w:val="24"/>
        </w:rPr>
      </w:pPr>
      <w:r>
        <w:rPr>
          <w:rFonts w:hint="eastAsia"/>
          <w:sz w:val="24"/>
        </w:rPr>
        <w:t>如：货物的主要技术指标，服务的组织及保证措施等；或服务方案、服务措施及标准等</w:t>
      </w:r>
      <w:r>
        <w:rPr>
          <w:sz w:val="24"/>
        </w:rPr>
        <w:t>。</w:t>
      </w:r>
    </w:p>
    <w:p>
      <w:pPr>
        <w:spacing w:before="120" w:beforeLines="50" w:line="440" w:lineRule="exact"/>
        <w:ind w:left="-103" w:leftChars="-49" w:firstLine="1169" w:firstLineChars="557"/>
      </w:pPr>
    </w:p>
    <w:p>
      <w:pPr>
        <w:spacing w:before="120" w:beforeLines="50" w:line="440" w:lineRule="exact"/>
        <w:ind w:left="-103" w:leftChars="-49" w:firstLine="1169" w:firstLineChars="557"/>
      </w:pPr>
    </w:p>
    <w:p>
      <w:pPr>
        <w:spacing w:before="120" w:beforeLines="50" w:line="440" w:lineRule="exact"/>
        <w:ind w:left="-103" w:leftChars="-49" w:firstLine="1169" w:firstLineChars="557"/>
      </w:pPr>
    </w:p>
    <w:p>
      <w:pPr>
        <w:spacing w:before="120" w:beforeLines="50" w:line="440" w:lineRule="exact"/>
        <w:ind w:left="-103" w:leftChars="-49" w:firstLine="1169" w:firstLineChars="557"/>
      </w:pPr>
    </w:p>
    <w:p>
      <w:pPr>
        <w:spacing w:before="120" w:beforeLines="50" w:line="440" w:lineRule="exact"/>
        <w:ind w:left="-103" w:leftChars="-49" w:firstLine="1169" w:firstLineChars="557"/>
      </w:pPr>
    </w:p>
    <w:p>
      <w:pPr>
        <w:spacing w:before="120" w:beforeLines="50" w:line="440" w:lineRule="exact"/>
        <w:ind w:left="-103" w:leftChars="-49" w:firstLine="1336" w:firstLineChars="557"/>
        <w:rPr>
          <w:sz w:val="24"/>
        </w:rPr>
      </w:pPr>
      <w:r>
        <w:rPr>
          <w:sz w:val="24"/>
        </w:rPr>
        <w:t>投标人：</w:t>
      </w:r>
      <w:r>
        <w:rPr>
          <w:sz w:val="24"/>
          <w:u w:val="single"/>
        </w:rPr>
        <w:t xml:space="preserve">                            </w:t>
      </w:r>
      <w:r>
        <w:rPr>
          <w:sz w:val="24"/>
        </w:rPr>
        <w:t>（公章）</w:t>
      </w:r>
    </w:p>
    <w:p>
      <w:pPr>
        <w:spacing w:before="120" w:beforeLines="50" w:line="440" w:lineRule="exact"/>
        <w:ind w:left="1105" w:leftChars="526" w:firstLine="15"/>
        <w:rPr>
          <w:sz w:val="24"/>
        </w:rPr>
      </w:pPr>
      <w:r>
        <w:rPr>
          <w:sz w:val="24"/>
        </w:rPr>
        <w:t>法定代表人或其委托代理人：</w:t>
      </w:r>
      <w:r>
        <w:rPr>
          <w:sz w:val="24"/>
          <w:u w:val="single"/>
        </w:rPr>
        <w:t xml:space="preserve">           </w:t>
      </w:r>
      <w:r>
        <w:rPr>
          <w:sz w:val="24"/>
        </w:rPr>
        <w:t>（签字或加盖人名章）</w:t>
      </w:r>
    </w:p>
    <w:p>
      <w:pPr>
        <w:spacing w:before="120" w:beforeLines="50" w:line="440" w:lineRule="exact"/>
        <w:ind w:left="1105" w:leftChars="526" w:firstLine="15"/>
        <w:rPr>
          <w:bCs/>
          <w:sz w:val="24"/>
        </w:rPr>
      </w:pPr>
      <w:r>
        <w:rPr>
          <w:sz w:val="24"/>
        </w:rPr>
        <w:t>日期：</w:t>
      </w:r>
      <w:r>
        <w:rPr>
          <w:sz w:val="24"/>
          <w:u w:val="single"/>
        </w:rPr>
        <w:t xml:space="preserve">                           </w:t>
      </w:r>
    </w:p>
    <w:p>
      <w:pPr>
        <w:pStyle w:val="2"/>
        <w:spacing w:before="0" w:after="0" w:line="240" w:lineRule="auto"/>
        <w:rPr>
          <w:rFonts w:eastAsia="黑体"/>
          <w:sz w:val="28"/>
          <w:szCs w:val="28"/>
        </w:rPr>
        <w:sectPr>
          <w:pgSz w:w="11906" w:h="16838"/>
          <w:pgMar w:top="1440" w:right="1440" w:bottom="1440" w:left="1797" w:header="851" w:footer="992" w:gutter="0"/>
          <w:pgNumType w:fmt="decimal"/>
          <w:cols w:space="425" w:num="1"/>
          <w:docGrid w:linePitch="312" w:charSpace="0"/>
        </w:sectPr>
      </w:pPr>
    </w:p>
    <w:p>
      <w:pPr>
        <w:pStyle w:val="2"/>
        <w:spacing w:before="0" w:after="0" w:line="240" w:lineRule="auto"/>
        <w:rPr>
          <w:rFonts w:eastAsia="黑体"/>
          <w:sz w:val="28"/>
          <w:szCs w:val="28"/>
        </w:rPr>
      </w:pPr>
      <w:bookmarkStart w:id="405" w:name="_Toc103677775"/>
      <w:bookmarkStart w:id="406" w:name="_Toc18471"/>
      <w:r>
        <w:rPr>
          <w:rFonts w:eastAsia="黑体"/>
          <w:sz w:val="28"/>
          <w:szCs w:val="28"/>
        </w:rPr>
        <w:t>三</w:t>
      </w:r>
      <w:r>
        <w:rPr>
          <w:rFonts w:hint="eastAsia" w:eastAsia="黑体"/>
          <w:sz w:val="28"/>
          <w:szCs w:val="28"/>
        </w:rPr>
        <w:t>、</w:t>
      </w:r>
      <w:bookmarkEnd w:id="405"/>
      <w:r>
        <w:rPr>
          <w:rFonts w:hint="eastAsia" w:eastAsia="黑体"/>
          <w:sz w:val="28"/>
          <w:szCs w:val="28"/>
        </w:rPr>
        <w:t>售后服务体系及服务情况</w:t>
      </w:r>
      <w:bookmarkEnd w:id="406"/>
    </w:p>
    <w:p>
      <w:pPr>
        <w:adjustRightInd w:val="0"/>
        <w:snapToGrid w:val="0"/>
        <w:spacing w:line="360" w:lineRule="auto"/>
      </w:pPr>
    </w:p>
    <w:p>
      <w:pPr>
        <w:spacing w:line="360" w:lineRule="auto"/>
        <w:ind w:left="283" w:leftChars="135" w:firstLine="480" w:firstLineChars="200"/>
        <w:rPr>
          <w:bCs/>
          <w:sz w:val="24"/>
        </w:rPr>
      </w:pPr>
      <w:r>
        <w:rPr>
          <w:bCs/>
          <w:sz w:val="24"/>
        </w:rPr>
        <w:t>详细说明</w:t>
      </w:r>
      <w:r>
        <w:rPr>
          <w:rFonts w:hint="eastAsia"/>
          <w:bCs/>
          <w:sz w:val="24"/>
        </w:rPr>
        <w:t>售后服务体系及服务情况</w:t>
      </w:r>
      <w:r>
        <w:rPr>
          <w:bCs/>
          <w:sz w:val="24"/>
        </w:rPr>
        <w:t>，包括</w:t>
      </w:r>
      <w:r>
        <w:rPr>
          <w:rFonts w:hint="eastAsia"/>
          <w:bCs/>
          <w:sz w:val="24"/>
        </w:rPr>
        <w:t>但不限于：</w:t>
      </w:r>
    </w:p>
    <w:p>
      <w:pPr>
        <w:spacing w:line="360" w:lineRule="auto"/>
        <w:ind w:left="283" w:leftChars="135" w:firstLine="480" w:firstLineChars="200"/>
        <w:rPr>
          <w:bCs/>
          <w:sz w:val="24"/>
        </w:rPr>
      </w:pPr>
      <w:r>
        <w:rPr>
          <w:rFonts w:hint="eastAsia"/>
          <w:bCs/>
          <w:sz w:val="24"/>
        </w:rPr>
        <w:t>（1）售后服务人员；</w:t>
      </w:r>
    </w:p>
    <w:p>
      <w:pPr>
        <w:spacing w:line="360" w:lineRule="auto"/>
        <w:ind w:left="283" w:leftChars="135" w:firstLine="480" w:firstLineChars="200"/>
        <w:rPr>
          <w:bCs/>
          <w:sz w:val="24"/>
        </w:rPr>
      </w:pPr>
      <w:r>
        <w:rPr>
          <w:rFonts w:hint="eastAsia"/>
          <w:bCs/>
          <w:sz w:val="24"/>
        </w:rPr>
        <w:t>（2）售后服务响应时间（例如：</w:t>
      </w:r>
      <w:r>
        <w:rPr>
          <w:bCs/>
          <w:sz w:val="24"/>
        </w:rPr>
        <w:t>对</w:t>
      </w:r>
      <w:r>
        <w:rPr>
          <w:rFonts w:hint="eastAsia"/>
          <w:bCs/>
          <w:sz w:val="24"/>
        </w:rPr>
        <w:t>发现质量问题时的响应</w:t>
      </w:r>
      <w:r>
        <w:rPr>
          <w:bCs/>
          <w:sz w:val="24"/>
        </w:rPr>
        <w:t>时间、售后服务时间等具体描述</w:t>
      </w:r>
      <w:r>
        <w:rPr>
          <w:rFonts w:hint="eastAsia"/>
          <w:bCs/>
          <w:sz w:val="24"/>
        </w:rPr>
        <w:t>）</w:t>
      </w:r>
    </w:p>
    <w:p>
      <w:pPr>
        <w:spacing w:line="360" w:lineRule="auto"/>
        <w:ind w:left="283" w:leftChars="135" w:firstLine="480" w:firstLineChars="200"/>
        <w:rPr>
          <w:bCs/>
          <w:sz w:val="24"/>
        </w:rPr>
      </w:pPr>
      <w:r>
        <w:rPr>
          <w:rFonts w:hint="eastAsia"/>
          <w:bCs/>
          <w:sz w:val="24"/>
        </w:rPr>
        <w:t>（3）售后服务体系</w:t>
      </w:r>
    </w:p>
    <w:p>
      <w:pPr>
        <w:spacing w:line="360" w:lineRule="auto"/>
        <w:ind w:left="283" w:leftChars="135" w:firstLine="480" w:firstLineChars="200"/>
        <w:rPr>
          <w:bCs/>
          <w:sz w:val="24"/>
        </w:rPr>
      </w:pPr>
      <w:r>
        <w:rPr>
          <w:rFonts w:hint="eastAsia"/>
          <w:bCs/>
          <w:sz w:val="24"/>
        </w:rPr>
        <w:t>（4）配送及安装实施方案</w:t>
      </w:r>
    </w:p>
    <w:p>
      <w:pPr>
        <w:spacing w:line="360" w:lineRule="auto"/>
        <w:ind w:left="283" w:leftChars="135" w:firstLine="480" w:firstLineChars="200"/>
        <w:rPr>
          <w:bCs/>
          <w:sz w:val="24"/>
        </w:rPr>
      </w:pPr>
      <w:r>
        <w:rPr>
          <w:rFonts w:hint="eastAsia"/>
          <w:bCs/>
          <w:sz w:val="24"/>
        </w:rPr>
        <w:t>（5）培训方案</w:t>
      </w:r>
    </w:p>
    <w:p>
      <w:pPr>
        <w:spacing w:line="360" w:lineRule="auto"/>
        <w:ind w:left="283" w:leftChars="135" w:firstLine="480" w:firstLineChars="200"/>
        <w:rPr>
          <w:bCs/>
          <w:sz w:val="24"/>
        </w:rPr>
      </w:pPr>
      <w:r>
        <w:rPr>
          <w:rFonts w:hint="eastAsia"/>
          <w:bCs/>
          <w:sz w:val="24"/>
        </w:rPr>
        <w:t>（</w:t>
      </w:r>
      <w:r>
        <w:rPr>
          <w:bCs/>
          <w:sz w:val="24"/>
        </w:rPr>
        <w:t>6</w:t>
      </w:r>
      <w:r>
        <w:rPr>
          <w:rFonts w:hint="eastAsia"/>
          <w:bCs/>
          <w:sz w:val="24"/>
        </w:rPr>
        <w:t>）其他</w:t>
      </w:r>
    </w:p>
    <w:p>
      <w:pPr>
        <w:spacing w:before="120" w:beforeLines="50" w:line="440" w:lineRule="exact"/>
        <w:ind w:left="-103" w:leftChars="-49" w:firstLine="1169" w:firstLineChars="557"/>
      </w:pPr>
    </w:p>
    <w:p>
      <w:pPr>
        <w:spacing w:before="120" w:beforeLines="50" w:line="440" w:lineRule="exact"/>
        <w:ind w:left="-103" w:leftChars="-49" w:firstLine="1169" w:firstLineChars="557"/>
      </w:pPr>
    </w:p>
    <w:p>
      <w:pPr>
        <w:spacing w:before="120" w:beforeLines="50" w:line="440" w:lineRule="exact"/>
        <w:ind w:left="-103" w:leftChars="-49" w:firstLine="1169" w:firstLineChars="557"/>
      </w:pPr>
    </w:p>
    <w:p>
      <w:pPr>
        <w:spacing w:before="120" w:beforeLines="50" w:line="440" w:lineRule="exact"/>
        <w:ind w:left="-103" w:leftChars="-49" w:firstLine="1169" w:firstLineChars="557"/>
      </w:pPr>
    </w:p>
    <w:p>
      <w:pPr>
        <w:spacing w:before="120" w:beforeLines="50" w:line="440" w:lineRule="exact"/>
        <w:ind w:left="-103" w:leftChars="-49" w:firstLine="1169" w:firstLineChars="557"/>
      </w:pPr>
    </w:p>
    <w:p>
      <w:pPr>
        <w:spacing w:before="120" w:beforeLines="50" w:line="440" w:lineRule="exact"/>
        <w:ind w:left="-103" w:leftChars="-49" w:firstLine="1336" w:firstLineChars="557"/>
        <w:rPr>
          <w:sz w:val="24"/>
        </w:rPr>
      </w:pPr>
      <w:r>
        <w:rPr>
          <w:sz w:val="24"/>
        </w:rPr>
        <w:t>投标人：</w:t>
      </w:r>
      <w:r>
        <w:rPr>
          <w:sz w:val="24"/>
          <w:u w:val="single"/>
        </w:rPr>
        <w:t xml:space="preserve">                            </w:t>
      </w:r>
      <w:r>
        <w:rPr>
          <w:sz w:val="24"/>
        </w:rPr>
        <w:t>（公章）</w:t>
      </w:r>
    </w:p>
    <w:p>
      <w:pPr>
        <w:spacing w:before="120" w:beforeLines="50" w:line="440" w:lineRule="exact"/>
        <w:ind w:left="1105" w:leftChars="526" w:firstLine="15"/>
        <w:rPr>
          <w:sz w:val="24"/>
        </w:rPr>
      </w:pPr>
      <w:r>
        <w:rPr>
          <w:sz w:val="24"/>
        </w:rPr>
        <w:t>法定代表人或其委托代理人：</w:t>
      </w:r>
      <w:r>
        <w:rPr>
          <w:sz w:val="24"/>
          <w:u w:val="single"/>
        </w:rPr>
        <w:t xml:space="preserve">           </w:t>
      </w:r>
      <w:r>
        <w:rPr>
          <w:sz w:val="24"/>
        </w:rPr>
        <w:t>（签字或加盖人名章）</w:t>
      </w:r>
    </w:p>
    <w:p>
      <w:pPr>
        <w:spacing w:before="120" w:beforeLines="50" w:line="440" w:lineRule="exact"/>
        <w:ind w:left="1105" w:leftChars="526" w:firstLine="15"/>
        <w:rPr>
          <w:bCs/>
          <w:sz w:val="24"/>
        </w:rPr>
      </w:pPr>
      <w:r>
        <w:rPr>
          <w:sz w:val="24"/>
        </w:rPr>
        <w:t>日期：</w:t>
      </w:r>
      <w:r>
        <w:rPr>
          <w:sz w:val="24"/>
          <w:u w:val="single"/>
        </w:rPr>
        <w:t xml:space="preserve">                           </w:t>
      </w:r>
    </w:p>
    <w:p>
      <w:pPr>
        <w:sectPr>
          <w:pgSz w:w="11906" w:h="16838"/>
          <w:pgMar w:top="1440" w:right="1440" w:bottom="1440" w:left="1797" w:header="851" w:footer="992" w:gutter="0"/>
          <w:pgNumType w:fmt="decimal"/>
          <w:cols w:space="425" w:num="1"/>
          <w:docGrid w:linePitch="312" w:charSpace="0"/>
        </w:sectPr>
      </w:pPr>
    </w:p>
    <w:p>
      <w:pPr>
        <w:pStyle w:val="2"/>
        <w:spacing w:before="0" w:after="0" w:line="240" w:lineRule="auto"/>
        <w:rPr>
          <w:rFonts w:eastAsia="黑体"/>
          <w:sz w:val="28"/>
          <w:szCs w:val="28"/>
        </w:rPr>
      </w:pPr>
      <w:bookmarkStart w:id="407" w:name="_Toc103677778"/>
      <w:bookmarkStart w:id="408" w:name="_Toc18223"/>
      <w:r>
        <w:rPr>
          <w:rFonts w:hint="eastAsia" w:eastAsia="黑体"/>
          <w:sz w:val="28"/>
          <w:szCs w:val="28"/>
        </w:rPr>
        <w:t>四、</w:t>
      </w:r>
      <w:r>
        <w:rPr>
          <w:rFonts w:eastAsia="黑体"/>
          <w:sz w:val="28"/>
          <w:szCs w:val="28"/>
        </w:rPr>
        <w:t>产品技术支持文件（包含但不限于产品彩页或技术白皮书等）</w:t>
      </w:r>
      <w:bookmarkEnd w:id="407"/>
      <w:bookmarkEnd w:id="408"/>
    </w:p>
    <w:p/>
    <w:p/>
    <w:p/>
    <w:p/>
    <w:p/>
    <w:p/>
    <w:p/>
    <w:p>
      <w:pPr>
        <w:jc w:val="left"/>
        <w:outlineLvl w:val="1"/>
        <w:rPr>
          <w:b/>
          <w:sz w:val="24"/>
        </w:rPr>
        <w:sectPr>
          <w:pgSz w:w="11906" w:h="16838"/>
          <w:pgMar w:top="1440" w:right="1440" w:bottom="1440" w:left="1797" w:header="851" w:footer="992" w:gutter="0"/>
          <w:pgNumType w:fmt="decimal"/>
          <w:cols w:space="425" w:num="1"/>
          <w:docGrid w:linePitch="312" w:charSpace="0"/>
        </w:sectPr>
      </w:pPr>
    </w:p>
    <w:bookmarkEnd w:id="398"/>
    <w:bookmarkEnd w:id="399"/>
    <w:p>
      <w:pPr>
        <w:pStyle w:val="2"/>
        <w:spacing w:before="0" w:after="0" w:line="240" w:lineRule="auto"/>
        <w:rPr>
          <w:rFonts w:eastAsia="黑体"/>
          <w:sz w:val="28"/>
          <w:szCs w:val="28"/>
        </w:rPr>
      </w:pPr>
      <w:bookmarkStart w:id="409" w:name="_Toc17216"/>
      <w:bookmarkStart w:id="410" w:name="_Toc103677779"/>
      <w:bookmarkStart w:id="411" w:name="_Toc22090"/>
      <w:bookmarkStart w:id="412" w:name="_Toc23809"/>
      <w:r>
        <w:rPr>
          <w:rFonts w:hint="eastAsia" w:eastAsia="黑体"/>
          <w:sz w:val="28"/>
          <w:szCs w:val="28"/>
        </w:rPr>
        <w:t>五、</w:t>
      </w:r>
      <w:r>
        <w:rPr>
          <w:rFonts w:eastAsia="黑体"/>
          <w:sz w:val="28"/>
          <w:szCs w:val="28"/>
        </w:rPr>
        <w:t>售后服务承诺书</w:t>
      </w:r>
      <w:bookmarkEnd w:id="409"/>
      <w:bookmarkEnd w:id="410"/>
      <w:r>
        <w:rPr>
          <w:rFonts w:eastAsia="黑体"/>
          <w:sz w:val="28"/>
          <w:szCs w:val="28"/>
        </w:rPr>
        <w:t xml:space="preserve"> </w:t>
      </w:r>
    </w:p>
    <w:p>
      <w:pPr>
        <w:jc w:val="center"/>
        <w:rPr>
          <w:sz w:val="24"/>
        </w:rPr>
      </w:pPr>
    </w:p>
    <w:p>
      <w:pPr>
        <w:jc w:val="center"/>
        <w:rPr>
          <w:b/>
          <w:bCs/>
          <w:sz w:val="36"/>
          <w:szCs w:val="36"/>
        </w:rPr>
      </w:pPr>
      <w:r>
        <w:rPr>
          <w:b/>
          <w:bCs/>
          <w:sz w:val="36"/>
          <w:szCs w:val="36"/>
        </w:rPr>
        <w:t>售后服务承诺书</w:t>
      </w:r>
    </w:p>
    <w:p>
      <w:pPr>
        <w:rPr>
          <w:sz w:val="24"/>
        </w:rPr>
      </w:pPr>
    </w:p>
    <w:p>
      <w:pPr>
        <w:spacing w:line="360" w:lineRule="auto"/>
        <w:rPr>
          <w:sz w:val="24"/>
        </w:rPr>
      </w:pPr>
      <w:r>
        <w:rPr>
          <w:sz w:val="24"/>
        </w:rPr>
        <w:t>投标人必须按提交的售后服务承诺书，提供售后服务。</w:t>
      </w:r>
    </w:p>
    <w:p>
      <w:pPr>
        <w:spacing w:line="360" w:lineRule="auto"/>
        <w:rPr>
          <w:sz w:val="24"/>
        </w:rPr>
      </w:pPr>
      <w:bookmarkStart w:id="413" w:name="_Toc7524"/>
      <w:bookmarkStart w:id="414" w:name="_Toc6550"/>
      <w:r>
        <w:rPr>
          <w:sz w:val="24"/>
        </w:rPr>
        <w:t>一、拟提供售后服务的项目：</w:t>
      </w:r>
      <w:bookmarkEnd w:id="413"/>
      <w:bookmarkEnd w:id="414"/>
    </w:p>
    <w:p>
      <w:pPr>
        <w:spacing w:line="360" w:lineRule="auto"/>
        <w:rPr>
          <w:sz w:val="24"/>
        </w:rPr>
      </w:pPr>
      <w:bookmarkStart w:id="415" w:name="_Toc20237"/>
      <w:bookmarkStart w:id="416" w:name="_Toc3487"/>
      <w:r>
        <w:rPr>
          <w:sz w:val="24"/>
        </w:rPr>
        <w:t>二、所投产品售后免费质保服务期限：</w:t>
      </w:r>
      <w:bookmarkEnd w:id="415"/>
      <w:bookmarkEnd w:id="416"/>
    </w:p>
    <w:p>
      <w:pPr>
        <w:spacing w:line="360" w:lineRule="auto"/>
        <w:rPr>
          <w:sz w:val="24"/>
        </w:rPr>
      </w:pPr>
      <w:bookmarkStart w:id="417" w:name="_Toc23033"/>
      <w:bookmarkStart w:id="418" w:name="_Toc3033"/>
      <w:r>
        <w:rPr>
          <w:sz w:val="24"/>
        </w:rPr>
        <w:t>三、服务响应及到达现场的时间：</w:t>
      </w:r>
      <w:bookmarkEnd w:id="417"/>
      <w:bookmarkEnd w:id="418"/>
    </w:p>
    <w:p>
      <w:pPr>
        <w:spacing w:line="360" w:lineRule="auto"/>
        <w:rPr>
          <w:sz w:val="24"/>
        </w:rPr>
      </w:pPr>
      <w:r>
        <w:rPr>
          <w:sz w:val="24"/>
        </w:rPr>
        <w:t>四、</w:t>
      </w:r>
      <w:bookmarkStart w:id="419" w:name="_Toc13169"/>
      <w:bookmarkStart w:id="420" w:name="_Toc12891"/>
      <w:r>
        <w:rPr>
          <w:sz w:val="24"/>
        </w:rPr>
        <w:t>投标人的其他服务承诺：</w:t>
      </w:r>
      <w:bookmarkEnd w:id="419"/>
      <w:bookmarkEnd w:id="420"/>
    </w:p>
    <w:bookmarkEnd w:id="411"/>
    <w:bookmarkEnd w:id="412"/>
    <w:p>
      <w:pPr>
        <w:spacing w:before="120" w:beforeLines="50" w:line="440" w:lineRule="exact"/>
        <w:ind w:left="-103" w:leftChars="-49" w:firstLine="1169" w:firstLineChars="557"/>
      </w:pPr>
    </w:p>
    <w:p>
      <w:pPr>
        <w:spacing w:before="120" w:beforeLines="50" w:line="440" w:lineRule="exact"/>
        <w:ind w:left="-103" w:leftChars="-49" w:firstLine="1169" w:firstLineChars="557"/>
      </w:pPr>
      <w:r>
        <w:t>投标人：（公章）</w:t>
      </w:r>
    </w:p>
    <w:p>
      <w:pPr>
        <w:spacing w:before="120" w:beforeLines="50" w:line="440" w:lineRule="exact"/>
        <w:ind w:left="1105" w:leftChars="526" w:firstLine="15"/>
      </w:pPr>
      <w:r>
        <w:t>法定代表人或其委托代理人：（签字或加盖人名章）</w:t>
      </w:r>
    </w:p>
    <w:p>
      <w:pPr>
        <w:spacing w:before="120" w:beforeLines="50" w:line="440" w:lineRule="exact"/>
        <w:ind w:left="1105" w:leftChars="526" w:firstLine="15"/>
      </w:pPr>
      <w:r>
        <w:t>日期：</w:t>
      </w:r>
    </w:p>
    <w:p>
      <w:pPr>
        <w:spacing w:line="360" w:lineRule="auto"/>
        <w:outlineLvl w:val="1"/>
        <w:rPr>
          <w:b/>
          <w:sz w:val="24"/>
        </w:rPr>
        <w:sectPr>
          <w:footerReference r:id="rId11" w:type="default"/>
          <w:pgSz w:w="11906" w:h="16838"/>
          <w:pgMar w:top="1440" w:right="1440" w:bottom="1440" w:left="1797" w:header="851" w:footer="992" w:gutter="0"/>
          <w:pgNumType w:fmt="decimal"/>
          <w:cols w:space="720" w:num="1"/>
          <w:docGrid w:linePitch="312" w:charSpace="0"/>
        </w:sectPr>
      </w:pPr>
    </w:p>
    <w:p>
      <w:pPr>
        <w:pStyle w:val="2"/>
        <w:spacing w:before="0" w:after="0" w:line="240" w:lineRule="auto"/>
        <w:rPr>
          <w:rFonts w:eastAsia="黑体"/>
          <w:sz w:val="28"/>
          <w:szCs w:val="28"/>
        </w:rPr>
      </w:pPr>
      <w:bookmarkStart w:id="421" w:name="_Toc11004"/>
      <w:bookmarkStart w:id="422" w:name="_Toc103677780"/>
      <w:r>
        <w:rPr>
          <w:rFonts w:hint="eastAsia" w:eastAsia="黑体"/>
          <w:sz w:val="28"/>
          <w:szCs w:val="28"/>
        </w:rPr>
        <w:t>六、</w:t>
      </w:r>
      <w:r>
        <w:rPr>
          <w:rFonts w:eastAsia="黑体"/>
          <w:sz w:val="28"/>
          <w:szCs w:val="28"/>
        </w:rPr>
        <w:t>质量保证承诺书</w:t>
      </w:r>
      <w:bookmarkEnd w:id="421"/>
      <w:bookmarkEnd w:id="422"/>
    </w:p>
    <w:p>
      <w:pPr>
        <w:jc w:val="left"/>
        <w:outlineLvl w:val="1"/>
        <w:rPr>
          <w:b/>
          <w:sz w:val="24"/>
        </w:rPr>
        <w:sectPr>
          <w:pgSz w:w="11906" w:h="16838"/>
          <w:pgMar w:top="1440" w:right="1440" w:bottom="1440" w:left="1797" w:header="851" w:footer="992" w:gutter="0"/>
          <w:pgNumType w:fmt="decimal"/>
          <w:cols w:space="720" w:num="1"/>
          <w:docGrid w:linePitch="312" w:charSpace="0"/>
        </w:sectPr>
      </w:pPr>
    </w:p>
    <w:p>
      <w:pPr>
        <w:pStyle w:val="2"/>
        <w:spacing w:before="0" w:after="0" w:line="240" w:lineRule="auto"/>
        <w:rPr>
          <w:rFonts w:eastAsia="黑体"/>
          <w:sz w:val="28"/>
          <w:szCs w:val="28"/>
        </w:rPr>
      </w:pPr>
      <w:bookmarkStart w:id="423" w:name="_Toc18861"/>
      <w:bookmarkStart w:id="424" w:name="_Toc103677781"/>
      <w:r>
        <w:rPr>
          <w:rFonts w:hint="eastAsia" w:eastAsia="黑体"/>
          <w:sz w:val="28"/>
          <w:szCs w:val="28"/>
        </w:rPr>
        <w:t>七、</w:t>
      </w:r>
      <w:r>
        <w:rPr>
          <w:rFonts w:eastAsia="黑体"/>
          <w:sz w:val="28"/>
          <w:szCs w:val="28"/>
        </w:rPr>
        <w:t>其他资料</w:t>
      </w:r>
      <w:bookmarkEnd w:id="423"/>
      <w:bookmarkEnd w:id="424"/>
    </w:p>
    <w:p>
      <w:pPr>
        <w:spacing w:line="360" w:lineRule="auto"/>
        <w:rPr>
          <w:sz w:val="24"/>
        </w:rPr>
      </w:pPr>
    </w:p>
    <w:p>
      <w:pPr>
        <w:spacing w:line="360" w:lineRule="auto"/>
        <w:rPr>
          <w:sz w:val="24"/>
        </w:rPr>
      </w:pPr>
      <w:r>
        <w:rPr>
          <w:sz w:val="24"/>
        </w:rPr>
        <w:t>招标文件中要求提交的其他技术资料，或投标人认为需要提供的其它说明和资料。</w:t>
      </w:r>
    </w:p>
    <w:p>
      <w:pPr>
        <w:spacing w:before="120" w:beforeLines="50" w:line="440" w:lineRule="exact"/>
        <w:ind w:left="-103" w:leftChars="-49" w:firstLine="1169" w:firstLineChars="557"/>
      </w:pPr>
    </w:p>
    <w:p>
      <w:pPr>
        <w:spacing w:before="120" w:beforeLines="50" w:line="440" w:lineRule="exact"/>
        <w:ind w:left="-103" w:leftChars="-49" w:firstLine="1169" w:firstLineChars="557"/>
      </w:pPr>
    </w:p>
    <w:p>
      <w:pPr>
        <w:spacing w:before="120" w:beforeLines="50" w:line="440" w:lineRule="exact"/>
        <w:ind w:left="-103" w:leftChars="-49" w:firstLine="1169" w:firstLineChars="557"/>
      </w:pPr>
    </w:p>
    <w:p>
      <w:pPr>
        <w:spacing w:before="120" w:beforeLines="50" w:line="440" w:lineRule="exact"/>
        <w:ind w:left="-103" w:leftChars="-49" w:firstLine="1169" w:firstLineChars="557"/>
      </w:pPr>
    </w:p>
    <w:p>
      <w:pPr>
        <w:spacing w:before="120" w:beforeLines="50" w:line="440" w:lineRule="exact"/>
        <w:ind w:left="-103" w:leftChars="-49" w:firstLine="1169" w:firstLineChars="557"/>
      </w:pPr>
    </w:p>
    <w:p>
      <w:pPr>
        <w:spacing w:before="120" w:beforeLines="50" w:line="440" w:lineRule="exact"/>
        <w:ind w:left="-103" w:leftChars="-49" w:firstLine="1169" w:firstLineChars="557"/>
      </w:pPr>
      <w:r>
        <w:t>投标人：</w:t>
      </w:r>
      <w:r>
        <w:rPr>
          <w:u w:val="single"/>
        </w:rPr>
        <w:t xml:space="preserve">                  </w:t>
      </w:r>
      <w:r>
        <w:t>（公章）</w:t>
      </w:r>
    </w:p>
    <w:p>
      <w:pPr>
        <w:spacing w:before="120" w:beforeLines="50" w:line="440" w:lineRule="exact"/>
        <w:ind w:left="1105" w:leftChars="526" w:firstLine="15"/>
      </w:pPr>
      <w:r>
        <w:t>法定代表人或其委托代理人：</w:t>
      </w:r>
      <w:r>
        <w:rPr>
          <w:u w:val="single"/>
        </w:rPr>
        <w:t xml:space="preserve">                        </w:t>
      </w:r>
      <w:r>
        <w:t>（签字或加盖人名章）</w:t>
      </w:r>
    </w:p>
    <w:p>
      <w:pPr>
        <w:spacing w:before="120" w:beforeLines="50" w:line="440" w:lineRule="exact"/>
        <w:ind w:left="1105" w:leftChars="526" w:firstLine="15"/>
        <w:rPr>
          <w:u w:val="single"/>
        </w:rPr>
      </w:pPr>
      <w:r>
        <w:t xml:space="preserve">日期： </w:t>
      </w:r>
      <w:r>
        <w:rPr>
          <w:u w:val="single"/>
        </w:rPr>
        <w:t xml:space="preserve">                      </w:t>
      </w:r>
    </w:p>
    <w:p/>
    <w:p>
      <w:pPr>
        <w:snapToGrid w:val="0"/>
        <w:spacing w:after="120" w:afterLines="50"/>
      </w:pPr>
    </w:p>
    <w:p>
      <w:pPr>
        <w:snapToGrid w:val="0"/>
        <w:spacing w:after="120" w:afterLines="50"/>
      </w:pPr>
    </w:p>
    <w:p>
      <w:pPr>
        <w:pStyle w:val="19"/>
        <w:tabs>
          <w:tab w:val="left" w:pos="567"/>
        </w:tabs>
        <w:rPr>
          <w:rFonts w:eastAsia="黑体"/>
          <w:i/>
        </w:rPr>
      </w:pPr>
    </w:p>
    <w:p>
      <w:pPr>
        <w:snapToGrid w:val="0"/>
        <w:spacing w:after="120" w:afterLines="50"/>
      </w:pPr>
    </w:p>
    <w:p>
      <w:pPr>
        <w:spacing w:line="360" w:lineRule="auto"/>
        <w:jc w:val="center"/>
        <w:outlineLvl w:val="0"/>
        <w:rPr>
          <w:kern w:val="0"/>
          <w:sz w:val="32"/>
          <w:szCs w:val="32"/>
        </w:rPr>
      </w:pPr>
      <w:r>
        <w:br w:type="page"/>
      </w:r>
      <w:bookmarkStart w:id="425" w:name="_Toc28383"/>
      <w:bookmarkStart w:id="426" w:name="_Toc32087"/>
      <w:r>
        <w:rPr>
          <w:kern w:val="0"/>
          <w:sz w:val="32"/>
          <w:szCs w:val="32"/>
        </w:rPr>
        <w:t>第七章 其它</w:t>
      </w:r>
      <w:bookmarkEnd w:id="425"/>
      <w:bookmarkEnd w:id="426"/>
      <w:r>
        <w:rPr>
          <w:kern w:val="0"/>
          <w:sz w:val="32"/>
          <w:szCs w:val="32"/>
        </w:rPr>
        <w:t xml:space="preserve"> </w:t>
      </w:r>
    </w:p>
    <w:p>
      <w:pPr>
        <w:tabs>
          <w:tab w:val="left" w:pos="3552"/>
        </w:tabs>
        <w:snapToGrid w:val="0"/>
        <w:spacing w:after="120" w:afterLines="50"/>
      </w:pPr>
      <w:r>
        <w:tab/>
      </w:r>
    </w:p>
    <w:p>
      <w:pPr>
        <w:jc w:val="center"/>
        <w:rPr>
          <w:b/>
          <w:bCs/>
          <w:sz w:val="28"/>
          <w:szCs w:val="28"/>
        </w:rPr>
      </w:pPr>
      <w:r>
        <w:rPr>
          <w:b/>
          <w:bCs/>
          <w:sz w:val="28"/>
          <w:szCs w:val="28"/>
        </w:rPr>
        <w:t>质疑函范本</w:t>
      </w:r>
    </w:p>
    <w:p>
      <w:pPr>
        <w:adjustRightInd w:val="0"/>
        <w:snapToGrid w:val="0"/>
        <w:spacing w:before="240" w:beforeLines="100" w:line="360" w:lineRule="auto"/>
        <w:rPr>
          <w:bCs/>
          <w:sz w:val="24"/>
        </w:rPr>
      </w:pPr>
      <w:r>
        <w:rPr>
          <w:bCs/>
          <w:sz w:val="24"/>
        </w:rPr>
        <w:t>一、质疑供应商基本信息</w:t>
      </w:r>
    </w:p>
    <w:p>
      <w:pPr>
        <w:adjustRightInd w:val="0"/>
        <w:snapToGrid w:val="0"/>
        <w:spacing w:line="360" w:lineRule="auto"/>
        <w:rPr>
          <w:sz w:val="24"/>
          <w:u w:val="dotted"/>
        </w:rPr>
      </w:pPr>
      <w:r>
        <w:rPr>
          <w:sz w:val="24"/>
        </w:rPr>
        <w:t>质疑供应商：</w:t>
      </w:r>
      <w:r>
        <w:rPr>
          <w:sz w:val="24"/>
          <w:u w:val="dotted"/>
        </w:rPr>
        <w:t xml:space="preserve">                                        </w:t>
      </w:r>
    </w:p>
    <w:p>
      <w:pPr>
        <w:adjustRightInd w:val="0"/>
        <w:snapToGrid w:val="0"/>
        <w:spacing w:line="360" w:lineRule="auto"/>
        <w:rPr>
          <w:sz w:val="24"/>
        </w:rPr>
      </w:pPr>
      <w:r>
        <w:rPr>
          <w:sz w:val="24"/>
        </w:rPr>
        <w:t>地址：</w:t>
      </w:r>
      <w:r>
        <w:rPr>
          <w:sz w:val="24"/>
          <w:u w:val="dotted"/>
        </w:rPr>
        <w:t xml:space="preserve">                          </w:t>
      </w:r>
      <w:r>
        <w:rPr>
          <w:sz w:val="24"/>
        </w:rPr>
        <w:t>邮编：</w:t>
      </w:r>
      <w:r>
        <w:rPr>
          <w:sz w:val="24"/>
          <w:u w:val="dotted"/>
        </w:rPr>
        <w:t xml:space="preserve">                                                   </w:t>
      </w:r>
    </w:p>
    <w:p>
      <w:pPr>
        <w:adjustRightInd w:val="0"/>
        <w:snapToGrid w:val="0"/>
        <w:spacing w:line="360" w:lineRule="auto"/>
        <w:rPr>
          <w:sz w:val="24"/>
        </w:rPr>
      </w:pPr>
      <w:r>
        <w:rPr>
          <w:sz w:val="24"/>
        </w:rPr>
        <w:t>联系人：</w:t>
      </w:r>
      <w:r>
        <w:rPr>
          <w:sz w:val="24"/>
          <w:u w:val="dotted"/>
        </w:rPr>
        <w:t xml:space="preserve">                      </w:t>
      </w:r>
      <w:r>
        <w:rPr>
          <w:sz w:val="24"/>
        </w:rPr>
        <w:t>联系电话：</w:t>
      </w:r>
      <w:r>
        <w:rPr>
          <w:sz w:val="24"/>
          <w:u w:val="dotted"/>
        </w:rPr>
        <w:t xml:space="preserve">                              </w:t>
      </w:r>
    </w:p>
    <w:p>
      <w:pPr>
        <w:adjustRightInd w:val="0"/>
        <w:snapToGrid w:val="0"/>
        <w:spacing w:line="360" w:lineRule="auto"/>
        <w:rPr>
          <w:sz w:val="24"/>
          <w:u w:val="dotted"/>
        </w:rPr>
      </w:pPr>
      <w:r>
        <w:rPr>
          <w:sz w:val="24"/>
        </w:rPr>
        <w:t>授权代表：</w:t>
      </w:r>
      <w:r>
        <w:rPr>
          <w:sz w:val="24"/>
          <w:u w:val="dotted"/>
        </w:rPr>
        <w:t xml:space="preserve">                                          </w:t>
      </w:r>
    </w:p>
    <w:p>
      <w:pPr>
        <w:adjustRightInd w:val="0"/>
        <w:snapToGrid w:val="0"/>
        <w:spacing w:line="360" w:lineRule="auto"/>
        <w:rPr>
          <w:sz w:val="24"/>
        </w:rPr>
      </w:pPr>
      <w:r>
        <w:rPr>
          <w:sz w:val="24"/>
        </w:rPr>
        <w:t>联系电话：</w:t>
      </w:r>
      <w:r>
        <w:rPr>
          <w:sz w:val="24"/>
          <w:u w:val="dotted"/>
        </w:rPr>
        <w:t xml:space="preserve">                                           </w:t>
      </w:r>
      <w:r>
        <w:rPr>
          <w:sz w:val="24"/>
        </w:rPr>
        <w:t xml:space="preserve"> </w:t>
      </w:r>
    </w:p>
    <w:p>
      <w:pPr>
        <w:adjustRightInd w:val="0"/>
        <w:snapToGrid w:val="0"/>
        <w:spacing w:line="360" w:lineRule="auto"/>
        <w:rPr>
          <w:sz w:val="24"/>
        </w:rPr>
      </w:pPr>
      <w:r>
        <w:rPr>
          <w:sz w:val="24"/>
        </w:rPr>
        <w:t xml:space="preserve">地址： </w:t>
      </w:r>
      <w:r>
        <w:rPr>
          <w:sz w:val="24"/>
          <w:u w:val="dotted"/>
        </w:rPr>
        <w:t xml:space="preserve">                        </w:t>
      </w:r>
      <w:r>
        <w:rPr>
          <w:sz w:val="24"/>
        </w:rPr>
        <w:t>邮编：</w:t>
      </w:r>
      <w:r>
        <w:rPr>
          <w:sz w:val="24"/>
          <w:u w:val="dotted"/>
        </w:rPr>
        <w:t xml:space="preserve">                                                </w:t>
      </w:r>
    </w:p>
    <w:p>
      <w:pPr>
        <w:adjustRightInd w:val="0"/>
        <w:snapToGrid w:val="0"/>
        <w:spacing w:line="360" w:lineRule="auto"/>
        <w:rPr>
          <w:bCs/>
          <w:sz w:val="24"/>
        </w:rPr>
      </w:pPr>
      <w:r>
        <w:rPr>
          <w:bCs/>
          <w:sz w:val="24"/>
        </w:rPr>
        <w:t>二、质疑项目基本情况</w:t>
      </w:r>
    </w:p>
    <w:p>
      <w:pPr>
        <w:adjustRightInd w:val="0"/>
        <w:snapToGrid w:val="0"/>
        <w:spacing w:line="360" w:lineRule="auto"/>
        <w:rPr>
          <w:sz w:val="24"/>
        </w:rPr>
      </w:pPr>
      <w:r>
        <w:rPr>
          <w:sz w:val="24"/>
        </w:rPr>
        <w:t>质疑项目的名称：</w:t>
      </w:r>
      <w:r>
        <w:rPr>
          <w:sz w:val="24"/>
          <w:u w:val="dotted"/>
        </w:rPr>
        <w:t xml:space="preserve">                                      </w:t>
      </w:r>
    </w:p>
    <w:p>
      <w:pPr>
        <w:adjustRightInd w:val="0"/>
        <w:snapToGrid w:val="0"/>
        <w:spacing w:line="360" w:lineRule="auto"/>
        <w:rPr>
          <w:sz w:val="24"/>
        </w:rPr>
      </w:pPr>
      <w:r>
        <w:rPr>
          <w:sz w:val="24"/>
        </w:rPr>
        <w:t>质疑项目的编号：</w:t>
      </w:r>
      <w:r>
        <w:rPr>
          <w:sz w:val="24"/>
          <w:u w:val="dotted"/>
        </w:rPr>
        <w:t xml:space="preserve">               </w:t>
      </w:r>
      <w:r>
        <w:rPr>
          <w:szCs w:val="21"/>
        </w:rPr>
        <w:t>标项</w:t>
      </w:r>
      <w:r>
        <w:rPr>
          <w:sz w:val="24"/>
        </w:rPr>
        <w:t>号：</w:t>
      </w:r>
      <w:r>
        <w:rPr>
          <w:sz w:val="24"/>
          <w:u w:val="dotted"/>
        </w:rPr>
        <w:t xml:space="preserve">                 </w:t>
      </w:r>
    </w:p>
    <w:p>
      <w:pPr>
        <w:adjustRightInd w:val="0"/>
        <w:snapToGrid w:val="0"/>
        <w:spacing w:line="360" w:lineRule="auto"/>
        <w:rPr>
          <w:sz w:val="24"/>
          <w:u w:val="dotted"/>
        </w:rPr>
      </w:pPr>
      <w:r>
        <w:rPr>
          <w:sz w:val="24"/>
        </w:rPr>
        <w:t>采购人名称：</w:t>
      </w:r>
      <w:r>
        <w:rPr>
          <w:sz w:val="24"/>
          <w:u w:val="dotted"/>
        </w:rPr>
        <w:t xml:space="preserve">                                         </w:t>
      </w:r>
    </w:p>
    <w:p>
      <w:pPr>
        <w:adjustRightInd w:val="0"/>
        <w:snapToGrid w:val="0"/>
        <w:spacing w:line="360" w:lineRule="auto"/>
        <w:rPr>
          <w:sz w:val="24"/>
        </w:rPr>
      </w:pPr>
      <w:r>
        <w:rPr>
          <w:sz w:val="24"/>
        </w:rPr>
        <w:t>招标文件获取日期：</w:t>
      </w:r>
      <w:r>
        <w:rPr>
          <w:sz w:val="24"/>
          <w:u w:val="dotted"/>
        </w:rPr>
        <w:t xml:space="preserve">                                           </w:t>
      </w:r>
    </w:p>
    <w:p>
      <w:pPr>
        <w:adjustRightInd w:val="0"/>
        <w:snapToGrid w:val="0"/>
        <w:spacing w:line="360" w:lineRule="auto"/>
        <w:rPr>
          <w:bCs/>
          <w:sz w:val="24"/>
        </w:rPr>
      </w:pPr>
      <w:r>
        <w:rPr>
          <w:bCs/>
          <w:sz w:val="24"/>
        </w:rPr>
        <w:t>三、质疑事项具体内容</w:t>
      </w:r>
    </w:p>
    <w:p>
      <w:pPr>
        <w:adjustRightInd w:val="0"/>
        <w:snapToGrid w:val="0"/>
        <w:spacing w:line="360" w:lineRule="auto"/>
        <w:rPr>
          <w:sz w:val="24"/>
          <w:u w:val="dotted"/>
        </w:rPr>
      </w:pPr>
      <w:r>
        <w:rPr>
          <w:sz w:val="24"/>
        </w:rPr>
        <w:t>质疑事项1：</w:t>
      </w:r>
      <w:r>
        <w:rPr>
          <w:sz w:val="24"/>
          <w:u w:val="dotted"/>
        </w:rPr>
        <w:t xml:space="preserve">                                         </w:t>
      </w:r>
    </w:p>
    <w:p>
      <w:pPr>
        <w:adjustRightInd w:val="0"/>
        <w:snapToGrid w:val="0"/>
        <w:spacing w:line="360" w:lineRule="auto"/>
        <w:rPr>
          <w:sz w:val="24"/>
          <w:u w:val="dotted"/>
        </w:rPr>
      </w:pPr>
      <w:r>
        <w:rPr>
          <w:sz w:val="24"/>
        </w:rPr>
        <w:t>事实依据：</w:t>
      </w:r>
      <w:r>
        <w:rPr>
          <w:sz w:val="24"/>
          <w:u w:val="dotted"/>
        </w:rPr>
        <w:t xml:space="preserve">                                          </w:t>
      </w:r>
    </w:p>
    <w:p>
      <w:pPr>
        <w:adjustRightInd w:val="0"/>
        <w:snapToGrid w:val="0"/>
        <w:spacing w:line="360" w:lineRule="auto"/>
        <w:rPr>
          <w:sz w:val="24"/>
        </w:rPr>
      </w:pPr>
      <w:r>
        <w:rPr>
          <w:sz w:val="24"/>
          <w:u w:val="dotted"/>
        </w:rPr>
        <w:t xml:space="preserve">                                                       </w:t>
      </w:r>
    </w:p>
    <w:p>
      <w:pPr>
        <w:adjustRightInd w:val="0"/>
        <w:snapToGrid w:val="0"/>
        <w:spacing w:line="360" w:lineRule="auto"/>
        <w:rPr>
          <w:sz w:val="24"/>
          <w:u w:val="dotted"/>
        </w:rPr>
      </w:pPr>
      <w:r>
        <w:rPr>
          <w:sz w:val="24"/>
        </w:rPr>
        <w:t>法律依据：</w:t>
      </w:r>
      <w:r>
        <w:rPr>
          <w:sz w:val="24"/>
          <w:u w:val="dotted"/>
        </w:rPr>
        <w:t xml:space="preserve">                                          </w:t>
      </w:r>
    </w:p>
    <w:p>
      <w:pPr>
        <w:adjustRightInd w:val="0"/>
        <w:snapToGrid w:val="0"/>
        <w:spacing w:line="360" w:lineRule="auto"/>
        <w:rPr>
          <w:sz w:val="24"/>
          <w:u w:val="dotted"/>
        </w:rPr>
      </w:pPr>
      <w:r>
        <w:rPr>
          <w:sz w:val="24"/>
          <w:u w:val="dotted"/>
        </w:rPr>
        <w:t xml:space="preserve">                                                     </w:t>
      </w:r>
    </w:p>
    <w:p>
      <w:pPr>
        <w:adjustRightInd w:val="0"/>
        <w:snapToGrid w:val="0"/>
        <w:spacing w:line="360" w:lineRule="auto"/>
        <w:rPr>
          <w:sz w:val="24"/>
          <w:u w:val="dotted"/>
        </w:rPr>
      </w:pPr>
      <w:r>
        <w:rPr>
          <w:sz w:val="24"/>
        </w:rPr>
        <w:t>质疑事项2</w:t>
      </w:r>
    </w:p>
    <w:p>
      <w:pPr>
        <w:adjustRightInd w:val="0"/>
        <w:snapToGrid w:val="0"/>
        <w:spacing w:line="360" w:lineRule="auto"/>
        <w:rPr>
          <w:sz w:val="24"/>
        </w:rPr>
      </w:pPr>
      <w:r>
        <w:rPr>
          <w:sz w:val="24"/>
        </w:rPr>
        <w:t>……</w:t>
      </w:r>
    </w:p>
    <w:p>
      <w:pPr>
        <w:snapToGrid w:val="0"/>
        <w:spacing w:after="120" w:afterLines="50"/>
        <w:rPr>
          <w:sz w:val="24"/>
        </w:rPr>
      </w:pPr>
      <w:r>
        <w:rPr>
          <w:bCs/>
          <w:sz w:val="24"/>
        </w:rPr>
        <w:t>四、与质疑事项相关的质疑请求</w:t>
      </w:r>
    </w:p>
    <w:p>
      <w:pPr>
        <w:adjustRightInd w:val="0"/>
        <w:snapToGrid w:val="0"/>
        <w:spacing w:line="360" w:lineRule="auto"/>
        <w:rPr>
          <w:sz w:val="24"/>
          <w:u w:val="dotted"/>
        </w:rPr>
      </w:pPr>
      <w:r>
        <w:rPr>
          <w:sz w:val="24"/>
        </w:rPr>
        <w:t>请求：</w:t>
      </w:r>
      <w:r>
        <w:rPr>
          <w:sz w:val="24"/>
          <w:u w:val="dotted"/>
        </w:rPr>
        <w:t xml:space="preserve">                                               </w:t>
      </w:r>
    </w:p>
    <w:p>
      <w:pPr>
        <w:rPr>
          <w:sz w:val="24"/>
        </w:rPr>
      </w:pPr>
      <w:r>
        <w:rPr>
          <w:sz w:val="24"/>
        </w:rPr>
        <w:t xml:space="preserve">签字(签章)：                   公章：                      </w:t>
      </w:r>
    </w:p>
    <w:p>
      <w:pPr>
        <w:rPr>
          <w:sz w:val="24"/>
        </w:rPr>
      </w:pPr>
      <w:r>
        <w:rPr>
          <w:sz w:val="24"/>
        </w:rPr>
        <w:t xml:space="preserve">日期：    </w:t>
      </w:r>
    </w:p>
    <w:p>
      <w:pPr>
        <w:adjustRightInd w:val="0"/>
        <w:snapToGrid w:val="0"/>
        <w:spacing w:line="360" w:lineRule="auto"/>
        <w:rPr>
          <w:sz w:val="24"/>
        </w:rPr>
      </w:pPr>
    </w:p>
    <w:p>
      <w:pPr>
        <w:rPr>
          <w:bCs/>
          <w:sz w:val="24"/>
        </w:rPr>
      </w:pPr>
      <w:r>
        <w:rPr>
          <w:sz w:val="24"/>
        </w:rPr>
        <w:br w:type="page"/>
      </w:r>
      <w:r>
        <w:rPr>
          <w:bCs/>
          <w:sz w:val="24"/>
        </w:rPr>
        <w:t>质疑函制作说明：</w:t>
      </w:r>
    </w:p>
    <w:p>
      <w:pPr>
        <w:widowControl/>
        <w:ind w:firstLine="480" w:firstLineChars="200"/>
        <w:jc w:val="left"/>
        <w:rPr>
          <w:bCs/>
          <w:sz w:val="24"/>
        </w:rPr>
      </w:pPr>
      <w:r>
        <w:rPr>
          <w:bCs/>
          <w:sz w:val="24"/>
        </w:rPr>
        <w:t>1.供应商提出质疑时，应提交质疑函和必要的证明材料。</w:t>
      </w:r>
    </w:p>
    <w:p>
      <w:pPr>
        <w:widowControl/>
        <w:ind w:firstLine="480" w:firstLineChars="200"/>
        <w:jc w:val="left"/>
        <w:rPr>
          <w:bCs/>
          <w:sz w:val="24"/>
        </w:rPr>
      </w:pPr>
      <w:r>
        <w:rPr>
          <w:bCs/>
          <w:sz w:val="24"/>
        </w:rPr>
        <w:t>2.质疑供应商若委托代理人进行质疑的，质疑函应按要求列明“授权代表”的有关内容，并在附件中提交由质疑</w:t>
      </w:r>
      <w:r>
        <w:rPr>
          <w:bCs/>
          <w:kern w:val="0"/>
          <w:sz w:val="24"/>
        </w:rPr>
        <w:t>供应商签署的授权委托书。授权委托书应载明代理人的姓名或者名称、代理事项、具体权限、期限和相关事项。</w:t>
      </w:r>
    </w:p>
    <w:p>
      <w:pPr>
        <w:widowControl/>
        <w:ind w:firstLine="480" w:firstLineChars="200"/>
        <w:jc w:val="left"/>
        <w:rPr>
          <w:bCs/>
          <w:sz w:val="24"/>
        </w:rPr>
      </w:pPr>
      <w:r>
        <w:rPr>
          <w:bCs/>
          <w:sz w:val="24"/>
        </w:rPr>
        <w:t>3.质疑供应商若对项目的某一分包进行质疑，质疑函中应列明具体分包号。</w:t>
      </w:r>
    </w:p>
    <w:p>
      <w:pPr>
        <w:widowControl/>
        <w:ind w:firstLine="480" w:firstLineChars="200"/>
        <w:jc w:val="left"/>
        <w:rPr>
          <w:bCs/>
          <w:sz w:val="24"/>
        </w:rPr>
      </w:pPr>
      <w:r>
        <w:rPr>
          <w:bCs/>
          <w:sz w:val="24"/>
        </w:rPr>
        <w:t>4.质疑函的质疑事项应具体、明确，并有必要的事实依据和法律依据。</w:t>
      </w:r>
    </w:p>
    <w:p>
      <w:pPr>
        <w:widowControl/>
        <w:ind w:firstLine="480" w:firstLineChars="200"/>
        <w:jc w:val="left"/>
        <w:rPr>
          <w:bCs/>
          <w:sz w:val="24"/>
        </w:rPr>
      </w:pPr>
      <w:r>
        <w:rPr>
          <w:bCs/>
          <w:sz w:val="24"/>
        </w:rPr>
        <w:t>5.质疑函的质疑请求应与质疑事项相关。</w:t>
      </w:r>
    </w:p>
    <w:p>
      <w:pPr>
        <w:widowControl/>
        <w:ind w:firstLine="480" w:firstLineChars="200"/>
        <w:jc w:val="left"/>
        <w:rPr>
          <w:bCs/>
          <w:sz w:val="24"/>
        </w:rPr>
      </w:pPr>
      <w:r>
        <w:rPr>
          <w:bCs/>
          <w:sz w:val="24"/>
        </w:rPr>
        <w:t>6.质疑供应商为自然人的，质疑函应由本人签字；质疑供应商为法人或者其他组织的，质疑函应由法定代表人、主要负责人，或者其授权代表签字或者盖章，并加盖公章。</w:t>
      </w:r>
    </w:p>
    <w:p>
      <w:pPr>
        <w:snapToGrid w:val="0"/>
        <w:spacing w:after="120" w:afterLines="50"/>
        <w:rPr>
          <w:sz w:val="24"/>
        </w:rPr>
      </w:pPr>
    </w:p>
    <w:sectPr>
      <w:footerReference r:id="rId12" w:type="default"/>
      <w:pgSz w:w="11906" w:h="16838"/>
      <w:pgMar w:top="1440" w:right="1440"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Univers">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Century">
    <w:altName w:val="Times New Roman"/>
    <w:panose1 w:val="02040603050705020303"/>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E-F1">
    <w:altName w:val="Malgun Gothic"/>
    <w:panose1 w:val="00000000000000000000"/>
    <w:charset w:val="81"/>
    <w:family w:val="roman"/>
    <w:pitch w:val="default"/>
    <w:sig w:usb0="00000000" w:usb1="00000000" w:usb2="00000033" w:usb3="00000000" w:csb0="00080000" w:csb1="00000000"/>
  </w:font>
  <w:font w:name="Microsoft YaHei UI Light">
    <w:panose1 w:val="020B0502040204020203"/>
    <w:charset w:val="86"/>
    <w:family w:val="swiss"/>
    <w:pitch w:val="default"/>
    <w:sig w:usb0="80000287" w:usb1="2ACF0010"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90" w:firstLineChars="5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90" w:firstLineChars="5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90" w:firstLineChars="5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90" w:firstLineChars="5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90" w:firstLineChars="5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90" w:firstLineChars="5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90" w:firstLineChars="5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rPr>
      <w:t>新疆维吾尔自治区人民医院国产医疗设备采购项目</w:t>
    </w:r>
    <w:r>
      <w:t xml:space="preserve">                                 </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
    <w:nsid w:val="0000000C"/>
    <w:multiLevelType w:val="multilevel"/>
    <w:tmpl w:val="0000000C"/>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2">
    <w:nsid w:val="0000000D"/>
    <w:multiLevelType w:val="multilevel"/>
    <w:tmpl w:val="0000000D"/>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3">
    <w:nsid w:val="0000000E"/>
    <w:multiLevelType w:val="multilevel"/>
    <w:tmpl w:val="0000000E"/>
    <w:lvl w:ilvl="0" w:tentative="0">
      <w:start w:val="1"/>
      <w:numFmt w:val="decimal"/>
      <w:lvlText w:val="（%1）"/>
      <w:lvlJc w:val="left"/>
      <w:pPr>
        <w:tabs>
          <w:tab w:val="left" w:pos="1122"/>
        </w:tabs>
        <w:ind w:left="1122"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4"/>
    <w:multiLevelType w:val="multilevel"/>
    <w:tmpl w:val="00000014"/>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5">
    <w:nsid w:val="00000015"/>
    <w:multiLevelType w:val="multilevel"/>
    <w:tmpl w:val="00000015"/>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B"/>
    <w:multiLevelType w:val="multilevel"/>
    <w:tmpl w:val="0000001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7">
    <w:nsid w:val="0000001C"/>
    <w:multiLevelType w:val="multilevel"/>
    <w:tmpl w:val="0000001C"/>
    <w:lvl w:ilvl="0" w:tentative="0">
      <w:start w:val="1"/>
      <w:numFmt w:val="decimal"/>
      <w:lvlText w:val="（%1）"/>
      <w:lvlJc w:val="left"/>
      <w:pPr>
        <w:ind w:left="1441" w:hanging="420"/>
      </w:pPr>
      <w:rPr>
        <w:rFonts w:hint="eastAsia"/>
      </w:rPr>
    </w:lvl>
    <w:lvl w:ilvl="1" w:tentative="0">
      <w:start w:val="1"/>
      <w:numFmt w:val="decimal"/>
      <w:lvlText w:val="%2."/>
      <w:lvlJc w:val="left"/>
      <w:pPr>
        <w:ind w:left="2568" w:hanging="1127"/>
      </w:pPr>
      <w:rPr>
        <w:rFonts w:hint="default"/>
      </w:rPr>
    </w:lvl>
    <w:lvl w:ilvl="2" w:tentative="0">
      <w:start w:val="1"/>
      <w:numFmt w:val="decimal"/>
      <w:lvlText w:val="%3)"/>
      <w:lvlJc w:val="left"/>
      <w:pPr>
        <w:ind w:left="2221" w:hanging="360"/>
      </w:pPr>
      <w:rPr>
        <w:rFonts w:hint="default"/>
      </w:rPr>
    </w:lvl>
    <w:lvl w:ilvl="3" w:tentative="0">
      <w:start w:val="1"/>
      <w:numFmt w:val="decimal"/>
      <w:lvlText w:val="%4."/>
      <w:lvlJc w:val="left"/>
      <w:pPr>
        <w:ind w:left="2701" w:hanging="420"/>
      </w:pPr>
    </w:lvl>
    <w:lvl w:ilvl="4" w:tentative="0">
      <w:start w:val="1"/>
      <w:numFmt w:val="lowerLetter"/>
      <w:lvlText w:val="%5)"/>
      <w:lvlJc w:val="left"/>
      <w:pPr>
        <w:ind w:left="3121" w:hanging="420"/>
      </w:pPr>
    </w:lvl>
    <w:lvl w:ilvl="5" w:tentative="0">
      <w:start w:val="1"/>
      <w:numFmt w:val="lowerRoman"/>
      <w:lvlText w:val="%6."/>
      <w:lvlJc w:val="right"/>
      <w:pPr>
        <w:ind w:left="3541" w:hanging="420"/>
      </w:pPr>
    </w:lvl>
    <w:lvl w:ilvl="6" w:tentative="0">
      <w:start w:val="1"/>
      <w:numFmt w:val="decimal"/>
      <w:lvlText w:val="%7."/>
      <w:lvlJc w:val="left"/>
      <w:pPr>
        <w:ind w:left="3961" w:hanging="420"/>
      </w:pPr>
    </w:lvl>
    <w:lvl w:ilvl="7" w:tentative="0">
      <w:start w:val="1"/>
      <w:numFmt w:val="lowerLetter"/>
      <w:lvlText w:val="%8)"/>
      <w:lvlJc w:val="left"/>
      <w:pPr>
        <w:ind w:left="4381" w:hanging="420"/>
      </w:pPr>
    </w:lvl>
    <w:lvl w:ilvl="8" w:tentative="0">
      <w:start w:val="1"/>
      <w:numFmt w:val="lowerRoman"/>
      <w:lvlText w:val="%9."/>
      <w:lvlJc w:val="right"/>
      <w:pPr>
        <w:ind w:left="4801" w:hanging="420"/>
      </w:pPr>
    </w:lvl>
  </w:abstractNum>
  <w:abstractNum w:abstractNumId="8">
    <w:nsid w:val="0A255474"/>
    <w:multiLevelType w:val="multilevel"/>
    <w:tmpl w:val="0A255474"/>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C234F53"/>
    <w:multiLevelType w:val="multilevel"/>
    <w:tmpl w:val="0C234F53"/>
    <w:lvl w:ilvl="0" w:tentative="0">
      <w:start w:val="1"/>
      <w:numFmt w:val="decimal"/>
      <w:lvlText w:val="%1."/>
      <w:lvlJc w:val="left"/>
      <w:pPr>
        <w:tabs>
          <w:tab w:val="left" w:pos="425"/>
        </w:tabs>
        <w:ind w:left="425" w:hanging="425"/>
      </w:pPr>
      <w:rPr>
        <w:rFonts w:hint="default" w:ascii="Times New Roman" w:hAnsi="Times New Roman" w:cs="Times New Roman"/>
        <w:b/>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
    <w:nsid w:val="1B23228C"/>
    <w:multiLevelType w:val="singleLevel"/>
    <w:tmpl w:val="1B23228C"/>
    <w:lvl w:ilvl="0" w:tentative="0">
      <w:start w:val="1"/>
      <w:numFmt w:val="decimal"/>
      <w:lvlText w:val="%1."/>
      <w:lvlJc w:val="left"/>
      <w:pPr>
        <w:tabs>
          <w:tab w:val="left" w:pos="312"/>
        </w:tabs>
      </w:pPr>
    </w:lvl>
  </w:abstractNum>
  <w:abstractNum w:abstractNumId="11">
    <w:nsid w:val="21A86DCB"/>
    <w:multiLevelType w:val="multilevel"/>
    <w:tmpl w:val="21A86DC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2563" w:hanging="420"/>
      </w:pPr>
    </w:lvl>
    <w:lvl w:ilvl="2" w:tentative="0">
      <w:start w:val="1"/>
      <w:numFmt w:val="lowerRoman"/>
      <w:lvlText w:val="%3."/>
      <w:lvlJc w:val="right"/>
      <w:pPr>
        <w:ind w:left="-2143" w:hanging="420"/>
      </w:pPr>
    </w:lvl>
    <w:lvl w:ilvl="3" w:tentative="0">
      <w:start w:val="1"/>
      <w:numFmt w:val="decimal"/>
      <w:lvlText w:val="%4."/>
      <w:lvlJc w:val="left"/>
      <w:pPr>
        <w:ind w:left="-1723" w:hanging="420"/>
      </w:pPr>
    </w:lvl>
    <w:lvl w:ilvl="4" w:tentative="0">
      <w:start w:val="1"/>
      <w:numFmt w:val="lowerLetter"/>
      <w:lvlText w:val="%5)"/>
      <w:lvlJc w:val="left"/>
      <w:pPr>
        <w:ind w:left="-1303" w:hanging="420"/>
      </w:pPr>
    </w:lvl>
    <w:lvl w:ilvl="5" w:tentative="0">
      <w:start w:val="1"/>
      <w:numFmt w:val="lowerRoman"/>
      <w:lvlText w:val="%6."/>
      <w:lvlJc w:val="right"/>
      <w:pPr>
        <w:ind w:left="-883" w:hanging="420"/>
      </w:pPr>
    </w:lvl>
    <w:lvl w:ilvl="6" w:tentative="0">
      <w:start w:val="1"/>
      <w:numFmt w:val="decimal"/>
      <w:lvlText w:val="%7."/>
      <w:lvlJc w:val="left"/>
      <w:pPr>
        <w:ind w:left="-463" w:hanging="420"/>
      </w:pPr>
    </w:lvl>
    <w:lvl w:ilvl="7" w:tentative="0">
      <w:start w:val="1"/>
      <w:numFmt w:val="lowerLetter"/>
      <w:lvlText w:val="%8)"/>
      <w:lvlJc w:val="left"/>
      <w:pPr>
        <w:ind w:left="-43" w:hanging="420"/>
      </w:pPr>
    </w:lvl>
    <w:lvl w:ilvl="8" w:tentative="0">
      <w:start w:val="1"/>
      <w:numFmt w:val="lowerRoman"/>
      <w:lvlText w:val="%9."/>
      <w:lvlJc w:val="right"/>
      <w:pPr>
        <w:ind w:left="377" w:hanging="420"/>
      </w:pPr>
    </w:lvl>
  </w:abstractNum>
  <w:abstractNum w:abstractNumId="12">
    <w:nsid w:val="2E1C34E2"/>
    <w:multiLevelType w:val="multilevel"/>
    <w:tmpl w:val="2E1C34E2"/>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162361C"/>
    <w:multiLevelType w:val="multilevel"/>
    <w:tmpl w:val="3162361C"/>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3252D1A7"/>
    <w:multiLevelType w:val="multilevel"/>
    <w:tmpl w:val="3252D1A7"/>
    <w:lvl w:ilvl="0" w:tentative="0">
      <w:start w:val="1"/>
      <w:numFmt w:val="decimal"/>
      <w:suff w:val="nothing"/>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15">
    <w:nsid w:val="505F0CFB"/>
    <w:multiLevelType w:val="multilevel"/>
    <w:tmpl w:val="505F0CFB"/>
    <w:lvl w:ilvl="0" w:tentative="0">
      <w:start w:val="1"/>
      <w:numFmt w:val="none"/>
      <w:lvlText w:val="一、"/>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6"/>
  </w:num>
  <w:num w:numId="3">
    <w:abstractNumId w:val="0"/>
  </w:num>
  <w:num w:numId="4">
    <w:abstractNumId w:val="14"/>
  </w:num>
  <w:num w:numId="5">
    <w:abstractNumId w:val="4"/>
  </w:num>
  <w:num w:numId="6">
    <w:abstractNumId w:val="2"/>
  </w:num>
  <w:num w:numId="7">
    <w:abstractNumId w:val="7"/>
  </w:num>
  <w:num w:numId="8">
    <w:abstractNumId w:val="5"/>
  </w:num>
  <w:num w:numId="9">
    <w:abstractNumId w:val="11"/>
  </w:num>
  <w:num w:numId="10">
    <w:abstractNumId w:val="15"/>
  </w:num>
  <w:num w:numId="11">
    <w:abstractNumId w:val="13"/>
  </w:num>
  <w:num w:numId="12">
    <w:abstractNumId w:val="9"/>
  </w:num>
  <w:num w:numId="13">
    <w:abstractNumId w:val="10"/>
  </w:num>
  <w:num w:numId="14">
    <w:abstractNumId w:val="8"/>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MTVjOTIxZjY0MGMzMTdiZDNiNDlkODM1ZTA0ZmMifQ=="/>
  </w:docVars>
  <w:rsids>
    <w:rsidRoot w:val="00172A27"/>
    <w:rsid w:val="000077C0"/>
    <w:rsid w:val="000078C3"/>
    <w:rsid w:val="0001143A"/>
    <w:rsid w:val="00014762"/>
    <w:rsid w:val="000247EC"/>
    <w:rsid w:val="00025F22"/>
    <w:rsid w:val="000275C3"/>
    <w:rsid w:val="000319EE"/>
    <w:rsid w:val="00032A1C"/>
    <w:rsid w:val="000336BB"/>
    <w:rsid w:val="00051023"/>
    <w:rsid w:val="00060AB3"/>
    <w:rsid w:val="00066230"/>
    <w:rsid w:val="000701CC"/>
    <w:rsid w:val="00071BC6"/>
    <w:rsid w:val="000751AC"/>
    <w:rsid w:val="00083507"/>
    <w:rsid w:val="000837EF"/>
    <w:rsid w:val="00086ABE"/>
    <w:rsid w:val="000922F9"/>
    <w:rsid w:val="00093A7A"/>
    <w:rsid w:val="00097426"/>
    <w:rsid w:val="000A3210"/>
    <w:rsid w:val="000A4E8D"/>
    <w:rsid w:val="000B10D7"/>
    <w:rsid w:val="000B2D07"/>
    <w:rsid w:val="000B5D14"/>
    <w:rsid w:val="000C376B"/>
    <w:rsid w:val="000D047B"/>
    <w:rsid w:val="000D11AD"/>
    <w:rsid w:val="000D15B7"/>
    <w:rsid w:val="000E0B41"/>
    <w:rsid w:val="000E1D5B"/>
    <w:rsid w:val="000E3EAE"/>
    <w:rsid w:val="000F2553"/>
    <w:rsid w:val="000F3552"/>
    <w:rsid w:val="00100DED"/>
    <w:rsid w:val="00102058"/>
    <w:rsid w:val="0010428F"/>
    <w:rsid w:val="00104D9A"/>
    <w:rsid w:val="00105F45"/>
    <w:rsid w:val="00106D15"/>
    <w:rsid w:val="00111554"/>
    <w:rsid w:val="001141C8"/>
    <w:rsid w:val="00120DEE"/>
    <w:rsid w:val="00132EBB"/>
    <w:rsid w:val="00133DEA"/>
    <w:rsid w:val="00136E48"/>
    <w:rsid w:val="00140F84"/>
    <w:rsid w:val="00141744"/>
    <w:rsid w:val="00145784"/>
    <w:rsid w:val="00145BD0"/>
    <w:rsid w:val="00147E5C"/>
    <w:rsid w:val="00150CF0"/>
    <w:rsid w:val="001534EB"/>
    <w:rsid w:val="00153D06"/>
    <w:rsid w:val="001563B0"/>
    <w:rsid w:val="00160D27"/>
    <w:rsid w:val="0016106E"/>
    <w:rsid w:val="001710FE"/>
    <w:rsid w:val="00172A27"/>
    <w:rsid w:val="00172A4E"/>
    <w:rsid w:val="001735E4"/>
    <w:rsid w:val="001748D6"/>
    <w:rsid w:val="001813B5"/>
    <w:rsid w:val="00181DCE"/>
    <w:rsid w:val="00196A2C"/>
    <w:rsid w:val="00196B08"/>
    <w:rsid w:val="00197DC3"/>
    <w:rsid w:val="001A011E"/>
    <w:rsid w:val="001A2794"/>
    <w:rsid w:val="001A2AA7"/>
    <w:rsid w:val="001A74EF"/>
    <w:rsid w:val="001B1634"/>
    <w:rsid w:val="001B1775"/>
    <w:rsid w:val="001C336D"/>
    <w:rsid w:val="001C429B"/>
    <w:rsid w:val="001C4544"/>
    <w:rsid w:val="001C630C"/>
    <w:rsid w:val="001D5D47"/>
    <w:rsid w:val="001D6856"/>
    <w:rsid w:val="001D6A3C"/>
    <w:rsid w:val="001E114B"/>
    <w:rsid w:val="001E302E"/>
    <w:rsid w:val="001F06EA"/>
    <w:rsid w:val="001F14C2"/>
    <w:rsid w:val="001F2D05"/>
    <w:rsid w:val="002015BA"/>
    <w:rsid w:val="00206413"/>
    <w:rsid w:val="002102D3"/>
    <w:rsid w:val="00211EC8"/>
    <w:rsid w:val="00215127"/>
    <w:rsid w:val="00216867"/>
    <w:rsid w:val="0021761F"/>
    <w:rsid w:val="002176FE"/>
    <w:rsid w:val="00226BFC"/>
    <w:rsid w:val="00227B07"/>
    <w:rsid w:val="00230ADA"/>
    <w:rsid w:val="002330AA"/>
    <w:rsid w:val="0023355C"/>
    <w:rsid w:val="00235A12"/>
    <w:rsid w:val="0024002C"/>
    <w:rsid w:val="00255026"/>
    <w:rsid w:val="0025734D"/>
    <w:rsid w:val="00261625"/>
    <w:rsid w:val="00261820"/>
    <w:rsid w:val="0026246C"/>
    <w:rsid w:val="002626EE"/>
    <w:rsid w:val="002629D1"/>
    <w:rsid w:val="002638F6"/>
    <w:rsid w:val="002663B5"/>
    <w:rsid w:val="0027000B"/>
    <w:rsid w:val="002706E6"/>
    <w:rsid w:val="00271A85"/>
    <w:rsid w:val="0027590C"/>
    <w:rsid w:val="00276330"/>
    <w:rsid w:val="002836A4"/>
    <w:rsid w:val="0028622C"/>
    <w:rsid w:val="00286986"/>
    <w:rsid w:val="00290C17"/>
    <w:rsid w:val="00292730"/>
    <w:rsid w:val="002958FD"/>
    <w:rsid w:val="00296423"/>
    <w:rsid w:val="00296EE6"/>
    <w:rsid w:val="002A026B"/>
    <w:rsid w:val="002A2E38"/>
    <w:rsid w:val="002A316B"/>
    <w:rsid w:val="002A389D"/>
    <w:rsid w:val="002A3AB2"/>
    <w:rsid w:val="002A7A3C"/>
    <w:rsid w:val="002B01F1"/>
    <w:rsid w:val="002B23C3"/>
    <w:rsid w:val="002C0A71"/>
    <w:rsid w:val="002C250A"/>
    <w:rsid w:val="002C47D0"/>
    <w:rsid w:val="002C598D"/>
    <w:rsid w:val="002C7170"/>
    <w:rsid w:val="002D67D9"/>
    <w:rsid w:val="002E1186"/>
    <w:rsid w:val="002E2D76"/>
    <w:rsid w:val="002E3770"/>
    <w:rsid w:val="002E55BF"/>
    <w:rsid w:val="002E58FA"/>
    <w:rsid w:val="002E7E8B"/>
    <w:rsid w:val="002F4BAE"/>
    <w:rsid w:val="002F7828"/>
    <w:rsid w:val="0030137D"/>
    <w:rsid w:val="003016DF"/>
    <w:rsid w:val="00302C78"/>
    <w:rsid w:val="00305364"/>
    <w:rsid w:val="003102B1"/>
    <w:rsid w:val="003126AB"/>
    <w:rsid w:val="00324DA1"/>
    <w:rsid w:val="00326187"/>
    <w:rsid w:val="00330131"/>
    <w:rsid w:val="00331B48"/>
    <w:rsid w:val="00334521"/>
    <w:rsid w:val="003422C5"/>
    <w:rsid w:val="003467CF"/>
    <w:rsid w:val="00347F86"/>
    <w:rsid w:val="003507A6"/>
    <w:rsid w:val="0035299D"/>
    <w:rsid w:val="003529DD"/>
    <w:rsid w:val="0035500B"/>
    <w:rsid w:val="00355C10"/>
    <w:rsid w:val="00365AF1"/>
    <w:rsid w:val="003664FD"/>
    <w:rsid w:val="003833B6"/>
    <w:rsid w:val="003833F3"/>
    <w:rsid w:val="00383764"/>
    <w:rsid w:val="0038616E"/>
    <w:rsid w:val="003901C0"/>
    <w:rsid w:val="00390BB2"/>
    <w:rsid w:val="00391AF1"/>
    <w:rsid w:val="00392875"/>
    <w:rsid w:val="00397105"/>
    <w:rsid w:val="003A0242"/>
    <w:rsid w:val="003A0CD3"/>
    <w:rsid w:val="003A38B1"/>
    <w:rsid w:val="003A3D86"/>
    <w:rsid w:val="003B33FE"/>
    <w:rsid w:val="003B431C"/>
    <w:rsid w:val="003B46F6"/>
    <w:rsid w:val="003B5D7C"/>
    <w:rsid w:val="003C2A87"/>
    <w:rsid w:val="003C7710"/>
    <w:rsid w:val="003C798A"/>
    <w:rsid w:val="003D412A"/>
    <w:rsid w:val="003D6D3A"/>
    <w:rsid w:val="003D722A"/>
    <w:rsid w:val="003E29AE"/>
    <w:rsid w:val="003F0345"/>
    <w:rsid w:val="003F0D07"/>
    <w:rsid w:val="003F0DD9"/>
    <w:rsid w:val="003F3F04"/>
    <w:rsid w:val="00401D9E"/>
    <w:rsid w:val="00403880"/>
    <w:rsid w:val="004077DA"/>
    <w:rsid w:val="00415F91"/>
    <w:rsid w:val="004215A3"/>
    <w:rsid w:val="004260FA"/>
    <w:rsid w:val="0043210C"/>
    <w:rsid w:val="0043255E"/>
    <w:rsid w:val="0043265D"/>
    <w:rsid w:val="004413EA"/>
    <w:rsid w:val="00444B76"/>
    <w:rsid w:val="00451488"/>
    <w:rsid w:val="00453E24"/>
    <w:rsid w:val="00455787"/>
    <w:rsid w:val="0045588F"/>
    <w:rsid w:val="00461DF6"/>
    <w:rsid w:val="00464335"/>
    <w:rsid w:val="00471AEB"/>
    <w:rsid w:val="00471C30"/>
    <w:rsid w:val="00473DC9"/>
    <w:rsid w:val="004777D3"/>
    <w:rsid w:val="00477CC2"/>
    <w:rsid w:val="00481226"/>
    <w:rsid w:val="0048187E"/>
    <w:rsid w:val="004851EB"/>
    <w:rsid w:val="00485231"/>
    <w:rsid w:val="004868CD"/>
    <w:rsid w:val="00492ADF"/>
    <w:rsid w:val="00495071"/>
    <w:rsid w:val="00497D43"/>
    <w:rsid w:val="004A1512"/>
    <w:rsid w:val="004A271E"/>
    <w:rsid w:val="004A3BF6"/>
    <w:rsid w:val="004A4C8F"/>
    <w:rsid w:val="004A57BA"/>
    <w:rsid w:val="004B42B2"/>
    <w:rsid w:val="004C2B4E"/>
    <w:rsid w:val="004D197D"/>
    <w:rsid w:val="004D67ED"/>
    <w:rsid w:val="004E183A"/>
    <w:rsid w:val="004F0D31"/>
    <w:rsid w:val="00502C59"/>
    <w:rsid w:val="0051079B"/>
    <w:rsid w:val="00510D20"/>
    <w:rsid w:val="00511359"/>
    <w:rsid w:val="00511A60"/>
    <w:rsid w:val="00515AE1"/>
    <w:rsid w:val="00517BC1"/>
    <w:rsid w:val="00521841"/>
    <w:rsid w:val="00527748"/>
    <w:rsid w:val="005400EF"/>
    <w:rsid w:val="005432C7"/>
    <w:rsid w:val="00545676"/>
    <w:rsid w:val="00546660"/>
    <w:rsid w:val="00552A62"/>
    <w:rsid w:val="00555E1E"/>
    <w:rsid w:val="005569F7"/>
    <w:rsid w:val="00562C58"/>
    <w:rsid w:val="00567C6F"/>
    <w:rsid w:val="00570DC5"/>
    <w:rsid w:val="00572E53"/>
    <w:rsid w:val="00573BA8"/>
    <w:rsid w:val="00582C32"/>
    <w:rsid w:val="00584CC2"/>
    <w:rsid w:val="00590D76"/>
    <w:rsid w:val="0059577B"/>
    <w:rsid w:val="005A430B"/>
    <w:rsid w:val="005B299D"/>
    <w:rsid w:val="005B3F9D"/>
    <w:rsid w:val="005B443F"/>
    <w:rsid w:val="005B7E83"/>
    <w:rsid w:val="005C0256"/>
    <w:rsid w:val="005D009A"/>
    <w:rsid w:val="005D24C0"/>
    <w:rsid w:val="005D26CA"/>
    <w:rsid w:val="005D2EA3"/>
    <w:rsid w:val="005E458C"/>
    <w:rsid w:val="005E5A3B"/>
    <w:rsid w:val="005E7F6D"/>
    <w:rsid w:val="005F47D7"/>
    <w:rsid w:val="005F683A"/>
    <w:rsid w:val="006002A2"/>
    <w:rsid w:val="0061117A"/>
    <w:rsid w:val="006115DF"/>
    <w:rsid w:val="00612235"/>
    <w:rsid w:val="00613927"/>
    <w:rsid w:val="00615533"/>
    <w:rsid w:val="006169BA"/>
    <w:rsid w:val="00617A0D"/>
    <w:rsid w:val="00625EEF"/>
    <w:rsid w:val="00626733"/>
    <w:rsid w:val="006308B6"/>
    <w:rsid w:val="00636619"/>
    <w:rsid w:val="00636D20"/>
    <w:rsid w:val="00641D97"/>
    <w:rsid w:val="00642486"/>
    <w:rsid w:val="00643792"/>
    <w:rsid w:val="00652DA9"/>
    <w:rsid w:val="00657B65"/>
    <w:rsid w:val="00660B36"/>
    <w:rsid w:val="00663EDC"/>
    <w:rsid w:val="00664BF2"/>
    <w:rsid w:val="00672AEA"/>
    <w:rsid w:val="0067485B"/>
    <w:rsid w:val="00683DBB"/>
    <w:rsid w:val="00690E32"/>
    <w:rsid w:val="006A3CAA"/>
    <w:rsid w:val="006A67D2"/>
    <w:rsid w:val="006B1FD3"/>
    <w:rsid w:val="006C2050"/>
    <w:rsid w:val="006C2FDC"/>
    <w:rsid w:val="006C40AC"/>
    <w:rsid w:val="006C7A68"/>
    <w:rsid w:val="006D5251"/>
    <w:rsid w:val="006D7370"/>
    <w:rsid w:val="006E3A21"/>
    <w:rsid w:val="006E6008"/>
    <w:rsid w:val="006E7694"/>
    <w:rsid w:val="006F115D"/>
    <w:rsid w:val="0070493B"/>
    <w:rsid w:val="007059D6"/>
    <w:rsid w:val="0072038C"/>
    <w:rsid w:val="00723ABB"/>
    <w:rsid w:val="00723B39"/>
    <w:rsid w:val="00725472"/>
    <w:rsid w:val="0072588A"/>
    <w:rsid w:val="00726891"/>
    <w:rsid w:val="00726B71"/>
    <w:rsid w:val="00733CE5"/>
    <w:rsid w:val="00736611"/>
    <w:rsid w:val="007417BC"/>
    <w:rsid w:val="007433D9"/>
    <w:rsid w:val="00745FCE"/>
    <w:rsid w:val="00751D40"/>
    <w:rsid w:val="007532CF"/>
    <w:rsid w:val="00756626"/>
    <w:rsid w:val="007567D2"/>
    <w:rsid w:val="00765C8D"/>
    <w:rsid w:val="00774003"/>
    <w:rsid w:val="0078175D"/>
    <w:rsid w:val="00784A81"/>
    <w:rsid w:val="00786C52"/>
    <w:rsid w:val="0078703E"/>
    <w:rsid w:val="0079643A"/>
    <w:rsid w:val="007A0016"/>
    <w:rsid w:val="007A1CBC"/>
    <w:rsid w:val="007A2B9F"/>
    <w:rsid w:val="007A615A"/>
    <w:rsid w:val="007A699E"/>
    <w:rsid w:val="007A6FC5"/>
    <w:rsid w:val="007A7028"/>
    <w:rsid w:val="007C3E9F"/>
    <w:rsid w:val="007C418B"/>
    <w:rsid w:val="007C79F9"/>
    <w:rsid w:val="007D0491"/>
    <w:rsid w:val="007D30BD"/>
    <w:rsid w:val="007D3129"/>
    <w:rsid w:val="007D7A9B"/>
    <w:rsid w:val="007E0D78"/>
    <w:rsid w:val="007E385A"/>
    <w:rsid w:val="007F2D36"/>
    <w:rsid w:val="007F4626"/>
    <w:rsid w:val="00802FEE"/>
    <w:rsid w:val="00803806"/>
    <w:rsid w:val="00805046"/>
    <w:rsid w:val="008128AD"/>
    <w:rsid w:val="008128E9"/>
    <w:rsid w:val="00814E7B"/>
    <w:rsid w:val="00815BDC"/>
    <w:rsid w:val="00816132"/>
    <w:rsid w:val="00822498"/>
    <w:rsid w:val="0082417C"/>
    <w:rsid w:val="00824FCE"/>
    <w:rsid w:val="008276FF"/>
    <w:rsid w:val="008313E0"/>
    <w:rsid w:val="00834A0D"/>
    <w:rsid w:val="0083520D"/>
    <w:rsid w:val="00835575"/>
    <w:rsid w:val="00841B2D"/>
    <w:rsid w:val="00850765"/>
    <w:rsid w:val="00852A04"/>
    <w:rsid w:val="008554A4"/>
    <w:rsid w:val="00857710"/>
    <w:rsid w:val="00862D08"/>
    <w:rsid w:val="00866737"/>
    <w:rsid w:val="00867374"/>
    <w:rsid w:val="00872539"/>
    <w:rsid w:val="00875EEC"/>
    <w:rsid w:val="00881904"/>
    <w:rsid w:val="00883AB7"/>
    <w:rsid w:val="00883CB2"/>
    <w:rsid w:val="008872B7"/>
    <w:rsid w:val="00892DA5"/>
    <w:rsid w:val="008A06C3"/>
    <w:rsid w:val="008A136D"/>
    <w:rsid w:val="008A3A1F"/>
    <w:rsid w:val="008A42E3"/>
    <w:rsid w:val="008A510E"/>
    <w:rsid w:val="008A6423"/>
    <w:rsid w:val="008B68F2"/>
    <w:rsid w:val="008B731E"/>
    <w:rsid w:val="008D092E"/>
    <w:rsid w:val="008D3958"/>
    <w:rsid w:val="008D4AF2"/>
    <w:rsid w:val="008E0F02"/>
    <w:rsid w:val="008E29C5"/>
    <w:rsid w:val="008E3CFB"/>
    <w:rsid w:val="008E4B4D"/>
    <w:rsid w:val="008E7515"/>
    <w:rsid w:val="008F3F82"/>
    <w:rsid w:val="009000BA"/>
    <w:rsid w:val="00900DAC"/>
    <w:rsid w:val="009011F3"/>
    <w:rsid w:val="00911AEC"/>
    <w:rsid w:val="009129F4"/>
    <w:rsid w:val="00913C13"/>
    <w:rsid w:val="00914079"/>
    <w:rsid w:val="00915104"/>
    <w:rsid w:val="0092047A"/>
    <w:rsid w:val="00922121"/>
    <w:rsid w:val="009227D1"/>
    <w:rsid w:val="00927036"/>
    <w:rsid w:val="009342B1"/>
    <w:rsid w:val="0093667A"/>
    <w:rsid w:val="00950364"/>
    <w:rsid w:val="00952BA4"/>
    <w:rsid w:val="00962331"/>
    <w:rsid w:val="00963C47"/>
    <w:rsid w:val="009651B2"/>
    <w:rsid w:val="00970072"/>
    <w:rsid w:val="00970A5B"/>
    <w:rsid w:val="00972D6C"/>
    <w:rsid w:val="00973065"/>
    <w:rsid w:val="00974621"/>
    <w:rsid w:val="0098042A"/>
    <w:rsid w:val="009A1D06"/>
    <w:rsid w:val="009A7101"/>
    <w:rsid w:val="009B0857"/>
    <w:rsid w:val="009B4420"/>
    <w:rsid w:val="009B54F2"/>
    <w:rsid w:val="009B5A25"/>
    <w:rsid w:val="009C2DC9"/>
    <w:rsid w:val="009C6AFC"/>
    <w:rsid w:val="009E6CA5"/>
    <w:rsid w:val="009F1215"/>
    <w:rsid w:val="009F1363"/>
    <w:rsid w:val="009F1B65"/>
    <w:rsid w:val="009F2215"/>
    <w:rsid w:val="009F5646"/>
    <w:rsid w:val="009F6868"/>
    <w:rsid w:val="009F7893"/>
    <w:rsid w:val="00A0263D"/>
    <w:rsid w:val="00A02EB7"/>
    <w:rsid w:val="00A05802"/>
    <w:rsid w:val="00A06EB0"/>
    <w:rsid w:val="00A12C97"/>
    <w:rsid w:val="00A13F8B"/>
    <w:rsid w:val="00A15E32"/>
    <w:rsid w:val="00A17344"/>
    <w:rsid w:val="00A204D5"/>
    <w:rsid w:val="00A26191"/>
    <w:rsid w:val="00A26EEF"/>
    <w:rsid w:val="00A31464"/>
    <w:rsid w:val="00A31D36"/>
    <w:rsid w:val="00A32879"/>
    <w:rsid w:val="00A37E0B"/>
    <w:rsid w:val="00A411B8"/>
    <w:rsid w:val="00A42822"/>
    <w:rsid w:val="00A42E88"/>
    <w:rsid w:val="00A50A2E"/>
    <w:rsid w:val="00A52282"/>
    <w:rsid w:val="00A5272F"/>
    <w:rsid w:val="00A6142C"/>
    <w:rsid w:val="00A626B6"/>
    <w:rsid w:val="00A64934"/>
    <w:rsid w:val="00A66DB6"/>
    <w:rsid w:val="00A72567"/>
    <w:rsid w:val="00A80912"/>
    <w:rsid w:val="00A81F89"/>
    <w:rsid w:val="00A91B9C"/>
    <w:rsid w:val="00A9505F"/>
    <w:rsid w:val="00A9594F"/>
    <w:rsid w:val="00AA0CAC"/>
    <w:rsid w:val="00AA35D6"/>
    <w:rsid w:val="00AA38E9"/>
    <w:rsid w:val="00AA3A00"/>
    <w:rsid w:val="00AB1D23"/>
    <w:rsid w:val="00AB54ED"/>
    <w:rsid w:val="00AB7921"/>
    <w:rsid w:val="00AC35BC"/>
    <w:rsid w:val="00AC4704"/>
    <w:rsid w:val="00AC67F6"/>
    <w:rsid w:val="00AC697C"/>
    <w:rsid w:val="00AC69A4"/>
    <w:rsid w:val="00AE1742"/>
    <w:rsid w:val="00AE326F"/>
    <w:rsid w:val="00AF11F4"/>
    <w:rsid w:val="00AF3F41"/>
    <w:rsid w:val="00AF5497"/>
    <w:rsid w:val="00B04EAC"/>
    <w:rsid w:val="00B062B1"/>
    <w:rsid w:val="00B11624"/>
    <w:rsid w:val="00B24B08"/>
    <w:rsid w:val="00B34C1B"/>
    <w:rsid w:val="00B40030"/>
    <w:rsid w:val="00B42635"/>
    <w:rsid w:val="00B4492D"/>
    <w:rsid w:val="00B44A1B"/>
    <w:rsid w:val="00B520CE"/>
    <w:rsid w:val="00B570FC"/>
    <w:rsid w:val="00B64316"/>
    <w:rsid w:val="00B64A21"/>
    <w:rsid w:val="00B6751A"/>
    <w:rsid w:val="00B721A7"/>
    <w:rsid w:val="00B72498"/>
    <w:rsid w:val="00B77352"/>
    <w:rsid w:val="00B81D2F"/>
    <w:rsid w:val="00B834B1"/>
    <w:rsid w:val="00B8607F"/>
    <w:rsid w:val="00B87276"/>
    <w:rsid w:val="00B873AA"/>
    <w:rsid w:val="00B87CDE"/>
    <w:rsid w:val="00B91FD9"/>
    <w:rsid w:val="00B92D42"/>
    <w:rsid w:val="00B935A2"/>
    <w:rsid w:val="00B9764E"/>
    <w:rsid w:val="00BA003C"/>
    <w:rsid w:val="00BA6A49"/>
    <w:rsid w:val="00BA76E0"/>
    <w:rsid w:val="00BA7FEF"/>
    <w:rsid w:val="00BB1F20"/>
    <w:rsid w:val="00BB3675"/>
    <w:rsid w:val="00BB56D2"/>
    <w:rsid w:val="00BB6770"/>
    <w:rsid w:val="00BC0019"/>
    <w:rsid w:val="00BC0FCD"/>
    <w:rsid w:val="00BC2AC5"/>
    <w:rsid w:val="00BC4A9F"/>
    <w:rsid w:val="00BC4EF1"/>
    <w:rsid w:val="00BD0028"/>
    <w:rsid w:val="00BD034D"/>
    <w:rsid w:val="00BD11BA"/>
    <w:rsid w:val="00BE054F"/>
    <w:rsid w:val="00BE1A94"/>
    <w:rsid w:val="00BE793A"/>
    <w:rsid w:val="00BE7A9F"/>
    <w:rsid w:val="00BF2012"/>
    <w:rsid w:val="00BF4B66"/>
    <w:rsid w:val="00C009CD"/>
    <w:rsid w:val="00C054B2"/>
    <w:rsid w:val="00C06373"/>
    <w:rsid w:val="00C11ACE"/>
    <w:rsid w:val="00C162D6"/>
    <w:rsid w:val="00C16B78"/>
    <w:rsid w:val="00C21755"/>
    <w:rsid w:val="00C2450D"/>
    <w:rsid w:val="00C27CFC"/>
    <w:rsid w:val="00C31431"/>
    <w:rsid w:val="00C3421D"/>
    <w:rsid w:val="00C36416"/>
    <w:rsid w:val="00C42CA9"/>
    <w:rsid w:val="00C46F3E"/>
    <w:rsid w:val="00C62005"/>
    <w:rsid w:val="00C65479"/>
    <w:rsid w:val="00C75FA7"/>
    <w:rsid w:val="00C76721"/>
    <w:rsid w:val="00C81F26"/>
    <w:rsid w:val="00C855CB"/>
    <w:rsid w:val="00C867C3"/>
    <w:rsid w:val="00C976AE"/>
    <w:rsid w:val="00CA17B6"/>
    <w:rsid w:val="00CA45C0"/>
    <w:rsid w:val="00CA6181"/>
    <w:rsid w:val="00CB5A29"/>
    <w:rsid w:val="00CC1F4D"/>
    <w:rsid w:val="00CC383B"/>
    <w:rsid w:val="00CC5042"/>
    <w:rsid w:val="00CD123B"/>
    <w:rsid w:val="00CD20C4"/>
    <w:rsid w:val="00CE077E"/>
    <w:rsid w:val="00CE7320"/>
    <w:rsid w:val="00CE7C7D"/>
    <w:rsid w:val="00CF13B5"/>
    <w:rsid w:val="00CF4DAA"/>
    <w:rsid w:val="00CF757B"/>
    <w:rsid w:val="00D11AF8"/>
    <w:rsid w:val="00D1342D"/>
    <w:rsid w:val="00D27BC5"/>
    <w:rsid w:val="00D3072C"/>
    <w:rsid w:val="00D322AC"/>
    <w:rsid w:val="00D32E39"/>
    <w:rsid w:val="00D33BE2"/>
    <w:rsid w:val="00D3582C"/>
    <w:rsid w:val="00D40D69"/>
    <w:rsid w:val="00D41218"/>
    <w:rsid w:val="00D433C3"/>
    <w:rsid w:val="00D4655B"/>
    <w:rsid w:val="00D51781"/>
    <w:rsid w:val="00D5330B"/>
    <w:rsid w:val="00D53BB4"/>
    <w:rsid w:val="00D53CFD"/>
    <w:rsid w:val="00D55D81"/>
    <w:rsid w:val="00D60181"/>
    <w:rsid w:val="00D618EF"/>
    <w:rsid w:val="00D630FC"/>
    <w:rsid w:val="00D638A4"/>
    <w:rsid w:val="00D65479"/>
    <w:rsid w:val="00D65CF4"/>
    <w:rsid w:val="00D65DF3"/>
    <w:rsid w:val="00D76B9E"/>
    <w:rsid w:val="00D81E8A"/>
    <w:rsid w:val="00D829E6"/>
    <w:rsid w:val="00D82C88"/>
    <w:rsid w:val="00D83689"/>
    <w:rsid w:val="00D83AB5"/>
    <w:rsid w:val="00D87191"/>
    <w:rsid w:val="00D94068"/>
    <w:rsid w:val="00D963A7"/>
    <w:rsid w:val="00DA0B70"/>
    <w:rsid w:val="00DA3D8C"/>
    <w:rsid w:val="00DA5F41"/>
    <w:rsid w:val="00DB38E4"/>
    <w:rsid w:val="00DB3C48"/>
    <w:rsid w:val="00DB4282"/>
    <w:rsid w:val="00DC0249"/>
    <w:rsid w:val="00DC3D81"/>
    <w:rsid w:val="00DC5A8F"/>
    <w:rsid w:val="00DC729F"/>
    <w:rsid w:val="00DD147A"/>
    <w:rsid w:val="00DD5ADA"/>
    <w:rsid w:val="00DD76E9"/>
    <w:rsid w:val="00DD77F2"/>
    <w:rsid w:val="00DE7BD4"/>
    <w:rsid w:val="00DF1AD9"/>
    <w:rsid w:val="00DF5EF0"/>
    <w:rsid w:val="00DF69AB"/>
    <w:rsid w:val="00E048FB"/>
    <w:rsid w:val="00E05ADF"/>
    <w:rsid w:val="00E06B07"/>
    <w:rsid w:val="00E13C04"/>
    <w:rsid w:val="00E13CCD"/>
    <w:rsid w:val="00E16F46"/>
    <w:rsid w:val="00E21873"/>
    <w:rsid w:val="00E221F8"/>
    <w:rsid w:val="00E24A65"/>
    <w:rsid w:val="00E2555F"/>
    <w:rsid w:val="00E26AE8"/>
    <w:rsid w:val="00E3057C"/>
    <w:rsid w:val="00E326EE"/>
    <w:rsid w:val="00E3281E"/>
    <w:rsid w:val="00E341D2"/>
    <w:rsid w:val="00E3638D"/>
    <w:rsid w:val="00E41AFE"/>
    <w:rsid w:val="00E41E84"/>
    <w:rsid w:val="00E466C0"/>
    <w:rsid w:val="00E46AF9"/>
    <w:rsid w:val="00E50EC4"/>
    <w:rsid w:val="00E53695"/>
    <w:rsid w:val="00E66456"/>
    <w:rsid w:val="00E667A1"/>
    <w:rsid w:val="00E72D79"/>
    <w:rsid w:val="00E82F5B"/>
    <w:rsid w:val="00E85D88"/>
    <w:rsid w:val="00E90BF4"/>
    <w:rsid w:val="00E90CDC"/>
    <w:rsid w:val="00E91A62"/>
    <w:rsid w:val="00E9228B"/>
    <w:rsid w:val="00EA3B06"/>
    <w:rsid w:val="00EA3C88"/>
    <w:rsid w:val="00EA69AB"/>
    <w:rsid w:val="00EB1E9B"/>
    <w:rsid w:val="00EB36C2"/>
    <w:rsid w:val="00EB5930"/>
    <w:rsid w:val="00EC028B"/>
    <w:rsid w:val="00ED1DBD"/>
    <w:rsid w:val="00EE0AF2"/>
    <w:rsid w:val="00EE47FD"/>
    <w:rsid w:val="00EE7F58"/>
    <w:rsid w:val="00EF1BE3"/>
    <w:rsid w:val="00F05785"/>
    <w:rsid w:val="00F0741F"/>
    <w:rsid w:val="00F27AEC"/>
    <w:rsid w:val="00F30101"/>
    <w:rsid w:val="00F30682"/>
    <w:rsid w:val="00F44E61"/>
    <w:rsid w:val="00F4573D"/>
    <w:rsid w:val="00F54FAA"/>
    <w:rsid w:val="00F55BC8"/>
    <w:rsid w:val="00F5786E"/>
    <w:rsid w:val="00F57A35"/>
    <w:rsid w:val="00F623C3"/>
    <w:rsid w:val="00F64188"/>
    <w:rsid w:val="00F66D2B"/>
    <w:rsid w:val="00F713BD"/>
    <w:rsid w:val="00F7388D"/>
    <w:rsid w:val="00F7760E"/>
    <w:rsid w:val="00F80197"/>
    <w:rsid w:val="00F85DC5"/>
    <w:rsid w:val="00F92D9A"/>
    <w:rsid w:val="00F935E3"/>
    <w:rsid w:val="00F9524A"/>
    <w:rsid w:val="00F96B2F"/>
    <w:rsid w:val="00FA044C"/>
    <w:rsid w:val="00FA63B6"/>
    <w:rsid w:val="00FA6445"/>
    <w:rsid w:val="00FA6684"/>
    <w:rsid w:val="00FB3D01"/>
    <w:rsid w:val="00FC317C"/>
    <w:rsid w:val="00FC7CE0"/>
    <w:rsid w:val="00FD114D"/>
    <w:rsid w:val="00FD65D1"/>
    <w:rsid w:val="00FE2F0C"/>
    <w:rsid w:val="00FE414C"/>
    <w:rsid w:val="00FE7E07"/>
    <w:rsid w:val="00FF25AB"/>
    <w:rsid w:val="00FF6F1B"/>
    <w:rsid w:val="00FF79E1"/>
    <w:rsid w:val="00FF7E94"/>
    <w:rsid w:val="010D7DD7"/>
    <w:rsid w:val="011F753E"/>
    <w:rsid w:val="0125078D"/>
    <w:rsid w:val="01461956"/>
    <w:rsid w:val="01865B7E"/>
    <w:rsid w:val="01A93FA3"/>
    <w:rsid w:val="01BD7A4F"/>
    <w:rsid w:val="01C43576"/>
    <w:rsid w:val="01D066AF"/>
    <w:rsid w:val="01E512EF"/>
    <w:rsid w:val="01E856A0"/>
    <w:rsid w:val="022D6BC3"/>
    <w:rsid w:val="02860795"/>
    <w:rsid w:val="02874D5C"/>
    <w:rsid w:val="028B18FB"/>
    <w:rsid w:val="02B31730"/>
    <w:rsid w:val="02BA5317"/>
    <w:rsid w:val="02C60CDB"/>
    <w:rsid w:val="02C646E1"/>
    <w:rsid w:val="02CD5930"/>
    <w:rsid w:val="02D06F2C"/>
    <w:rsid w:val="02F72AEC"/>
    <w:rsid w:val="0331750E"/>
    <w:rsid w:val="0353484F"/>
    <w:rsid w:val="038325D2"/>
    <w:rsid w:val="03B048C5"/>
    <w:rsid w:val="03BC09EC"/>
    <w:rsid w:val="03CB265C"/>
    <w:rsid w:val="03E47F2D"/>
    <w:rsid w:val="04335F2F"/>
    <w:rsid w:val="04356CF7"/>
    <w:rsid w:val="045F36C4"/>
    <w:rsid w:val="04673CA2"/>
    <w:rsid w:val="04991CFE"/>
    <w:rsid w:val="04F01EE9"/>
    <w:rsid w:val="050613C0"/>
    <w:rsid w:val="05250EBD"/>
    <w:rsid w:val="0530398D"/>
    <w:rsid w:val="053E18E4"/>
    <w:rsid w:val="05426301"/>
    <w:rsid w:val="05781409"/>
    <w:rsid w:val="058C7A5C"/>
    <w:rsid w:val="05942874"/>
    <w:rsid w:val="05EB52BF"/>
    <w:rsid w:val="05FD666C"/>
    <w:rsid w:val="060D50BB"/>
    <w:rsid w:val="06124A11"/>
    <w:rsid w:val="06316315"/>
    <w:rsid w:val="06340970"/>
    <w:rsid w:val="06722A54"/>
    <w:rsid w:val="07210937"/>
    <w:rsid w:val="07596697"/>
    <w:rsid w:val="07C531B9"/>
    <w:rsid w:val="07DB29DD"/>
    <w:rsid w:val="08041970"/>
    <w:rsid w:val="080E3F82"/>
    <w:rsid w:val="082C7F1B"/>
    <w:rsid w:val="08546EC5"/>
    <w:rsid w:val="08BD20E2"/>
    <w:rsid w:val="08FB46E2"/>
    <w:rsid w:val="09093579"/>
    <w:rsid w:val="0910700E"/>
    <w:rsid w:val="09464101"/>
    <w:rsid w:val="096E0EE2"/>
    <w:rsid w:val="09951D91"/>
    <w:rsid w:val="0A2A5DED"/>
    <w:rsid w:val="0A454A85"/>
    <w:rsid w:val="0A501BB4"/>
    <w:rsid w:val="0A5E496A"/>
    <w:rsid w:val="0A956499"/>
    <w:rsid w:val="0ADC0D82"/>
    <w:rsid w:val="0AEB71AE"/>
    <w:rsid w:val="0B036EA1"/>
    <w:rsid w:val="0B085A65"/>
    <w:rsid w:val="0B111A50"/>
    <w:rsid w:val="0B186F16"/>
    <w:rsid w:val="0B1957C1"/>
    <w:rsid w:val="0B444A32"/>
    <w:rsid w:val="0B523714"/>
    <w:rsid w:val="0BAE0408"/>
    <w:rsid w:val="0BCA5515"/>
    <w:rsid w:val="0BE056FA"/>
    <w:rsid w:val="0C13125D"/>
    <w:rsid w:val="0C233558"/>
    <w:rsid w:val="0C6F059C"/>
    <w:rsid w:val="0C91743F"/>
    <w:rsid w:val="0CBA252E"/>
    <w:rsid w:val="0CC96672"/>
    <w:rsid w:val="0CE54E38"/>
    <w:rsid w:val="0D0115C4"/>
    <w:rsid w:val="0D2A6FC0"/>
    <w:rsid w:val="0D336C85"/>
    <w:rsid w:val="0D3F4141"/>
    <w:rsid w:val="0D6F0F0B"/>
    <w:rsid w:val="0DA90565"/>
    <w:rsid w:val="0E3B7858"/>
    <w:rsid w:val="0E8F6A08"/>
    <w:rsid w:val="0EAC151C"/>
    <w:rsid w:val="0ED463D8"/>
    <w:rsid w:val="0EF56A7A"/>
    <w:rsid w:val="0F01062B"/>
    <w:rsid w:val="0F035579"/>
    <w:rsid w:val="0F2E3D3A"/>
    <w:rsid w:val="0F7450E6"/>
    <w:rsid w:val="0F7E0D2B"/>
    <w:rsid w:val="0FF02238"/>
    <w:rsid w:val="10577FF7"/>
    <w:rsid w:val="10F25191"/>
    <w:rsid w:val="11335BD7"/>
    <w:rsid w:val="114F7F97"/>
    <w:rsid w:val="118F65E6"/>
    <w:rsid w:val="11961CCB"/>
    <w:rsid w:val="11D3607E"/>
    <w:rsid w:val="11FC1F7F"/>
    <w:rsid w:val="12080923"/>
    <w:rsid w:val="12456041"/>
    <w:rsid w:val="124E7726"/>
    <w:rsid w:val="12676FF8"/>
    <w:rsid w:val="12695E57"/>
    <w:rsid w:val="127E6D86"/>
    <w:rsid w:val="12985F6F"/>
    <w:rsid w:val="12B94B4B"/>
    <w:rsid w:val="12D77066"/>
    <w:rsid w:val="12F2507E"/>
    <w:rsid w:val="12F82873"/>
    <w:rsid w:val="13026EC7"/>
    <w:rsid w:val="134C1CEB"/>
    <w:rsid w:val="13850E78"/>
    <w:rsid w:val="1393653E"/>
    <w:rsid w:val="13C80904"/>
    <w:rsid w:val="14040F79"/>
    <w:rsid w:val="143A53BF"/>
    <w:rsid w:val="14522A66"/>
    <w:rsid w:val="146825D9"/>
    <w:rsid w:val="14A20ACC"/>
    <w:rsid w:val="14BF71E2"/>
    <w:rsid w:val="14C173FE"/>
    <w:rsid w:val="14E219FF"/>
    <w:rsid w:val="14EC5EF6"/>
    <w:rsid w:val="15040702"/>
    <w:rsid w:val="154B658F"/>
    <w:rsid w:val="159445ED"/>
    <w:rsid w:val="15A77B14"/>
    <w:rsid w:val="15EA40E4"/>
    <w:rsid w:val="161E6859"/>
    <w:rsid w:val="162701E6"/>
    <w:rsid w:val="1658169C"/>
    <w:rsid w:val="165E18B1"/>
    <w:rsid w:val="1672275E"/>
    <w:rsid w:val="16867C8A"/>
    <w:rsid w:val="169930DC"/>
    <w:rsid w:val="16D2663D"/>
    <w:rsid w:val="16F9337A"/>
    <w:rsid w:val="17742B3C"/>
    <w:rsid w:val="17E0004D"/>
    <w:rsid w:val="180D1902"/>
    <w:rsid w:val="181F06C4"/>
    <w:rsid w:val="18486D9C"/>
    <w:rsid w:val="18567E5D"/>
    <w:rsid w:val="188A5FFF"/>
    <w:rsid w:val="188F3E30"/>
    <w:rsid w:val="18F81250"/>
    <w:rsid w:val="18FF4051"/>
    <w:rsid w:val="1900118F"/>
    <w:rsid w:val="194E045B"/>
    <w:rsid w:val="196D1903"/>
    <w:rsid w:val="1A12131B"/>
    <w:rsid w:val="1A407919"/>
    <w:rsid w:val="1A410E46"/>
    <w:rsid w:val="1A5E3F18"/>
    <w:rsid w:val="1A5F4866"/>
    <w:rsid w:val="1A9A08B1"/>
    <w:rsid w:val="1AAB467C"/>
    <w:rsid w:val="1ABA183A"/>
    <w:rsid w:val="1B1E5CC8"/>
    <w:rsid w:val="1B31047F"/>
    <w:rsid w:val="1B400660"/>
    <w:rsid w:val="1B730595"/>
    <w:rsid w:val="1B987B47"/>
    <w:rsid w:val="1BCA49F8"/>
    <w:rsid w:val="1C00750C"/>
    <w:rsid w:val="1C082537"/>
    <w:rsid w:val="1C123831"/>
    <w:rsid w:val="1C5E0883"/>
    <w:rsid w:val="1C96296D"/>
    <w:rsid w:val="1C991608"/>
    <w:rsid w:val="1CFC7225"/>
    <w:rsid w:val="1D052F29"/>
    <w:rsid w:val="1D3A267F"/>
    <w:rsid w:val="1D4209B0"/>
    <w:rsid w:val="1D592234"/>
    <w:rsid w:val="1D5E6338"/>
    <w:rsid w:val="1D6E4ED7"/>
    <w:rsid w:val="1D7129B5"/>
    <w:rsid w:val="1DC77766"/>
    <w:rsid w:val="1DCF493A"/>
    <w:rsid w:val="1DD12460"/>
    <w:rsid w:val="1E36109D"/>
    <w:rsid w:val="1E6C1577"/>
    <w:rsid w:val="1E7B2E65"/>
    <w:rsid w:val="1E7E2480"/>
    <w:rsid w:val="1E8C2FD4"/>
    <w:rsid w:val="1ECB0A06"/>
    <w:rsid w:val="1EE3035C"/>
    <w:rsid w:val="1F4C71F0"/>
    <w:rsid w:val="1F4D2694"/>
    <w:rsid w:val="1F682713"/>
    <w:rsid w:val="1F9C7EBF"/>
    <w:rsid w:val="1FBC301E"/>
    <w:rsid w:val="201900EE"/>
    <w:rsid w:val="202C7E22"/>
    <w:rsid w:val="20304226"/>
    <w:rsid w:val="20D67D8D"/>
    <w:rsid w:val="20F070A1"/>
    <w:rsid w:val="21384A83"/>
    <w:rsid w:val="2190618E"/>
    <w:rsid w:val="21933ED0"/>
    <w:rsid w:val="219D5FDD"/>
    <w:rsid w:val="21B42E8F"/>
    <w:rsid w:val="21B62AC2"/>
    <w:rsid w:val="2225350A"/>
    <w:rsid w:val="22364F87"/>
    <w:rsid w:val="225603A9"/>
    <w:rsid w:val="227057CA"/>
    <w:rsid w:val="228201CD"/>
    <w:rsid w:val="2286568A"/>
    <w:rsid w:val="228F55D2"/>
    <w:rsid w:val="22F56664"/>
    <w:rsid w:val="22FF5BB9"/>
    <w:rsid w:val="23203542"/>
    <w:rsid w:val="23511462"/>
    <w:rsid w:val="236230E7"/>
    <w:rsid w:val="23700624"/>
    <w:rsid w:val="238002CA"/>
    <w:rsid w:val="23C959D7"/>
    <w:rsid w:val="23E32EED"/>
    <w:rsid w:val="23EA5BC3"/>
    <w:rsid w:val="23F7700F"/>
    <w:rsid w:val="240C1EF0"/>
    <w:rsid w:val="245F6995"/>
    <w:rsid w:val="249757F1"/>
    <w:rsid w:val="24B30884"/>
    <w:rsid w:val="24BA378C"/>
    <w:rsid w:val="24E45993"/>
    <w:rsid w:val="25083BE5"/>
    <w:rsid w:val="253879ED"/>
    <w:rsid w:val="258129BE"/>
    <w:rsid w:val="25890B3D"/>
    <w:rsid w:val="25CD5C03"/>
    <w:rsid w:val="25D725DE"/>
    <w:rsid w:val="25EE74A0"/>
    <w:rsid w:val="26444656"/>
    <w:rsid w:val="264A075D"/>
    <w:rsid w:val="26DE2FF3"/>
    <w:rsid w:val="26FC0C63"/>
    <w:rsid w:val="27165388"/>
    <w:rsid w:val="27460774"/>
    <w:rsid w:val="276428BB"/>
    <w:rsid w:val="279F35CF"/>
    <w:rsid w:val="27CD727F"/>
    <w:rsid w:val="27E24B00"/>
    <w:rsid w:val="27F23665"/>
    <w:rsid w:val="280D678A"/>
    <w:rsid w:val="28223E36"/>
    <w:rsid w:val="2826784C"/>
    <w:rsid w:val="282E6701"/>
    <w:rsid w:val="28367301"/>
    <w:rsid w:val="28380C96"/>
    <w:rsid w:val="28AA4330"/>
    <w:rsid w:val="28B31225"/>
    <w:rsid w:val="28D177B8"/>
    <w:rsid w:val="29052806"/>
    <w:rsid w:val="291F0617"/>
    <w:rsid w:val="292226AF"/>
    <w:rsid w:val="296454F8"/>
    <w:rsid w:val="297107C7"/>
    <w:rsid w:val="298E4358"/>
    <w:rsid w:val="29965F04"/>
    <w:rsid w:val="29C8521C"/>
    <w:rsid w:val="29C97B0E"/>
    <w:rsid w:val="29CB291D"/>
    <w:rsid w:val="2A1C0F07"/>
    <w:rsid w:val="2A8645D2"/>
    <w:rsid w:val="2A904799"/>
    <w:rsid w:val="2A9410D5"/>
    <w:rsid w:val="2AAE3A07"/>
    <w:rsid w:val="2AB15801"/>
    <w:rsid w:val="2ACF0930"/>
    <w:rsid w:val="2AF87901"/>
    <w:rsid w:val="2B3A3025"/>
    <w:rsid w:val="2BC56073"/>
    <w:rsid w:val="2BD06374"/>
    <w:rsid w:val="2BDF78E1"/>
    <w:rsid w:val="2BE048B9"/>
    <w:rsid w:val="2C104F88"/>
    <w:rsid w:val="2C2C601B"/>
    <w:rsid w:val="2C765D7F"/>
    <w:rsid w:val="2D0068BE"/>
    <w:rsid w:val="2D0312D3"/>
    <w:rsid w:val="2D0B7011"/>
    <w:rsid w:val="2D187243"/>
    <w:rsid w:val="2D607001"/>
    <w:rsid w:val="2D813DD7"/>
    <w:rsid w:val="2DA30137"/>
    <w:rsid w:val="2DD02307"/>
    <w:rsid w:val="2DD4793D"/>
    <w:rsid w:val="2E0352BC"/>
    <w:rsid w:val="2E1879D5"/>
    <w:rsid w:val="2E3714A4"/>
    <w:rsid w:val="2E396D0E"/>
    <w:rsid w:val="2E3E00ED"/>
    <w:rsid w:val="2E3F25AE"/>
    <w:rsid w:val="2E826474"/>
    <w:rsid w:val="2E841817"/>
    <w:rsid w:val="2ED718A0"/>
    <w:rsid w:val="2F9A3429"/>
    <w:rsid w:val="2FA81614"/>
    <w:rsid w:val="2FEA779A"/>
    <w:rsid w:val="30264D1E"/>
    <w:rsid w:val="30274161"/>
    <w:rsid w:val="307D5C1A"/>
    <w:rsid w:val="30B73C5B"/>
    <w:rsid w:val="30C827FD"/>
    <w:rsid w:val="30EB624E"/>
    <w:rsid w:val="31724B9C"/>
    <w:rsid w:val="31750EFD"/>
    <w:rsid w:val="31B77767"/>
    <w:rsid w:val="31BE597C"/>
    <w:rsid w:val="31C4631C"/>
    <w:rsid w:val="31EA1CF2"/>
    <w:rsid w:val="31F84007"/>
    <w:rsid w:val="32023469"/>
    <w:rsid w:val="321A1EE3"/>
    <w:rsid w:val="322A75D1"/>
    <w:rsid w:val="322F4F27"/>
    <w:rsid w:val="323745C1"/>
    <w:rsid w:val="323D7C6C"/>
    <w:rsid w:val="32951856"/>
    <w:rsid w:val="32BA0C51"/>
    <w:rsid w:val="32D7490F"/>
    <w:rsid w:val="33353CD3"/>
    <w:rsid w:val="33462630"/>
    <w:rsid w:val="33606A17"/>
    <w:rsid w:val="33785BDE"/>
    <w:rsid w:val="339C3931"/>
    <w:rsid w:val="34100013"/>
    <w:rsid w:val="34610279"/>
    <w:rsid w:val="3462703E"/>
    <w:rsid w:val="349124F1"/>
    <w:rsid w:val="34932F51"/>
    <w:rsid w:val="34A55F9D"/>
    <w:rsid w:val="34B34216"/>
    <w:rsid w:val="34CC76FA"/>
    <w:rsid w:val="34D663AF"/>
    <w:rsid w:val="34E24AFB"/>
    <w:rsid w:val="350727B3"/>
    <w:rsid w:val="350E3F95"/>
    <w:rsid w:val="354041AE"/>
    <w:rsid w:val="35AA4ED1"/>
    <w:rsid w:val="35B91A99"/>
    <w:rsid w:val="35E46651"/>
    <w:rsid w:val="36264037"/>
    <w:rsid w:val="366D3FE9"/>
    <w:rsid w:val="36EE56C3"/>
    <w:rsid w:val="36EF5F27"/>
    <w:rsid w:val="36F16192"/>
    <w:rsid w:val="3776710C"/>
    <w:rsid w:val="377C1237"/>
    <w:rsid w:val="37981210"/>
    <w:rsid w:val="379B1CA5"/>
    <w:rsid w:val="37AD2A4C"/>
    <w:rsid w:val="385F4274"/>
    <w:rsid w:val="38825E66"/>
    <w:rsid w:val="38AC27BD"/>
    <w:rsid w:val="38C16036"/>
    <w:rsid w:val="38FD6C84"/>
    <w:rsid w:val="39095C94"/>
    <w:rsid w:val="393029C8"/>
    <w:rsid w:val="394221A2"/>
    <w:rsid w:val="39461AFC"/>
    <w:rsid w:val="39474A0A"/>
    <w:rsid w:val="395155D3"/>
    <w:rsid w:val="39621D5E"/>
    <w:rsid w:val="39AA7F92"/>
    <w:rsid w:val="3A0003D7"/>
    <w:rsid w:val="3A2401B7"/>
    <w:rsid w:val="3A497F78"/>
    <w:rsid w:val="3A673B47"/>
    <w:rsid w:val="3A7C12C5"/>
    <w:rsid w:val="3A800389"/>
    <w:rsid w:val="3AEB229A"/>
    <w:rsid w:val="3B104705"/>
    <w:rsid w:val="3B30719C"/>
    <w:rsid w:val="3B612EFA"/>
    <w:rsid w:val="3BFD046C"/>
    <w:rsid w:val="3C0766AA"/>
    <w:rsid w:val="3C2D6FA3"/>
    <w:rsid w:val="3C2D76D8"/>
    <w:rsid w:val="3CA2250B"/>
    <w:rsid w:val="3CD010C9"/>
    <w:rsid w:val="3CD34B17"/>
    <w:rsid w:val="3CE70777"/>
    <w:rsid w:val="3D0C6006"/>
    <w:rsid w:val="3D220FDE"/>
    <w:rsid w:val="3D5612A3"/>
    <w:rsid w:val="3D804EB1"/>
    <w:rsid w:val="3D89645B"/>
    <w:rsid w:val="3DB26E13"/>
    <w:rsid w:val="3E636124"/>
    <w:rsid w:val="3E6660AE"/>
    <w:rsid w:val="3EA133EA"/>
    <w:rsid w:val="3ED87036"/>
    <w:rsid w:val="3EE93E44"/>
    <w:rsid w:val="3F0C73DB"/>
    <w:rsid w:val="3F1F11B2"/>
    <w:rsid w:val="3F337DC1"/>
    <w:rsid w:val="3F343EDD"/>
    <w:rsid w:val="3F705A66"/>
    <w:rsid w:val="3FAE21A9"/>
    <w:rsid w:val="3FC92FE8"/>
    <w:rsid w:val="3FD73804"/>
    <w:rsid w:val="3FDF3768"/>
    <w:rsid w:val="3FE213FE"/>
    <w:rsid w:val="402715B4"/>
    <w:rsid w:val="4040191C"/>
    <w:rsid w:val="404C083A"/>
    <w:rsid w:val="404E573A"/>
    <w:rsid w:val="407F393A"/>
    <w:rsid w:val="40AA5CF0"/>
    <w:rsid w:val="40B51316"/>
    <w:rsid w:val="4104768A"/>
    <w:rsid w:val="41141717"/>
    <w:rsid w:val="416163D3"/>
    <w:rsid w:val="41765224"/>
    <w:rsid w:val="41962FC4"/>
    <w:rsid w:val="42087906"/>
    <w:rsid w:val="420B6D41"/>
    <w:rsid w:val="4229687C"/>
    <w:rsid w:val="42887029"/>
    <w:rsid w:val="429A6A15"/>
    <w:rsid w:val="42AC3A3A"/>
    <w:rsid w:val="42B70F03"/>
    <w:rsid w:val="42F57A6A"/>
    <w:rsid w:val="42F97BDF"/>
    <w:rsid w:val="431525BD"/>
    <w:rsid w:val="43317379"/>
    <w:rsid w:val="43326C4D"/>
    <w:rsid w:val="437A6A42"/>
    <w:rsid w:val="439534B9"/>
    <w:rsid w:val="43957638"/>
    <w:rsid w:val="43EE7018"/>
    <w:rsid w:val="44063E32"/>
    <w:rsid w:val="4439440E"/>
    <w:rsid w:val="44524995"/>
    <w:rsid w:val="446931AC"/>
    <w:rsid w:val="44A80D9D"/>
    <w:rsid w:val="44E81CBA"/>
    <w:rsid w:val="45416628"/>
    <w:rsid w:val="456B2958"/>
    <w:rsid w:val="4586581D"/>
    <w:rsid w:val="45CA5863"/>
    <w:rsid w:val="4603066A"/>
    <w:rsid w:val="46524477"/>
    <w:rsid w:val="465854C9"/>
    <w:rsid w:val="46B94BBA"/>
    <w:rsid w:val="46C95B1B"/>
    <w:rsid w:val="47072496"/>
    <w:rsid w:val="472D3BDD"/>
    <w:rsid w:val="47453A8F"/>
    <w:rsid w:val="47685334"/>
    <w:rsid w:val="477E798F"/>
    <w:rsid w:val="4798038F"/>
    <w:rsid w:val="481D7ECC"/>
    <w:rsid w:val="48550E49"/>
    <w:rsid w:val="487E515D"/>
    <w:rsid w:val="48C04CFB"/>
    <w:rsid w:val="49BF718C"/>
    <w:rsid w:val="49C2281B"/>
    <w:rsid w:val="49F44C34"/>
    <w:rsid w:val="4A033188"/>
    <w:rsid w:val="4A0B0B6D"/>
    <w:rsid w:val="4A112B40"/>
    <w:rsid w:val="4A34774F"/>
    <w:rsid w:val="4A440E6D"/>
    <w:rsid w:val="4A814DEF"/>
    <w:rsid w:val="4A9B5A20"/>
    <w:rsid w:val="4AB63EA1"/>
    <w:rsid w:val="4AF4508A"/>
    <w:rsid w:val="4B0144FF"/>
    <w:rsid w:val="4B321EE0"/>
    <w:rsid w:val="4B5B76B8"/>
    <w:rsid w:val="4B8B7991"/>
    <w:rsid w:val="4BAD7E9E"/>
    <w:rsid w:val="4BD25D21"/>
    <w:rsid w:val="4BDF36EB"/>
    <w:rsid w:val="4C1D5048"/>
    <w:rsid w:val="4C28494E"/>
    <w:rsid w:val="4C2B3B59"/>
    <w:rsid w:val="4C343A36"/>
    <w:rsid w:val="4CD945DE"/>
    <w:rsid w:val="4CDD70E0"/>
    <w:rsid w:val="4CE92A73"/>
    <w:rsid w:val="4D0673AC"/>
    <w:rsid w:val="4D9C5D37"/>
    <w:rsid w:val="4DF25957"/>
    <w:rsid w:val="4E6D31DA"/>
    <w:rsid w:val="4E80031D"/>
    <w:rsid w:val="4E855F30"/>
    <w:rsid w:val="4EBC0F48"/>
    <w:rsid w:val="4EC44D7B"/>
    <w:rsid w:val="4EE73F7A"/>
    <w:rsid w:val="4F0903A9"/>
    <w:rsid w:val="4F23768C"/>
    <w:rsid w:val="4F311B45"/>
    <w:rsid w:val="4F6A7558"/>
    <w:rsid w:val="4F6F19FD"/>
    <w:rsid w:val="4F7C7A8C"/>
    <w:rsid w:val="4F7F3DFA"/>
    <w:rsid w:val="4F946B56"/>
    <w:rsid w:val="4FE94AB8"/>
    <w:rsid w:val="503F05B1"/>
    <w:rsid w:val="5040775D"/>
    <w:rsid w:val="504273BB"/>
    <w:rsid w:val="50485D02"/>
    <w:rsid w:val="505428F9"/>
    <w:rsid w:val="5074796C"/>
    <w:rsid w:val="50841B1F"/>
    <w:rsid w:val="50B61EFB"/>
    <w:rsid w:val="50B9287D"/>
    <w:rsid w:val="513C2171"/>
    <w:rsid w:val="514F01E1"/>
    <w:rsid w:val="517C5E3E"/>
    <w:rsid w:val="5191613E"/>
    <w:rsid w:val="51C452E5"/>
    <w:rsid w:val="51CF1221"/>
    <w:rsid w:val="51F04F4A"/>
    <w:rsid w:val="5225614D"/>
    <w:rsid w:val="525070F0"/>
    <w:rsid w:val="52595FA5"/>
    <w:rsid w:val="52750C77"/>
    <w:rsid w:val="52B51631"/>
    <w:rsid w:val="531719BC"/>
    <w:rsid w:val="539C677A"/>
    <w:rsid w:val="53B90521"/>
    <w:rsid w:val="53C549D3"/>
    <w:rsid w:val="53FD6E9A"/>
    <w:rsid w:val="54102DC5"/>
    <w:rsid w:val="54336627"/>
    <w:rsid w:val="544F7757"/>
    <w:rsid w:val="54B15016"/>
    <w:rsid w:val="54B15E53"/>
    <w:rsid w:val="54E22B90"/>
    <w:rsid w:val="5555648E"/>
    <w:rsid w:val="555962BC"/>
    <w:rsid w:val="556436F4"/>
    <w:rsid w:val="557A6C6A"/>
    <w:rsid w:val="558E411C"/>
    <w:rsid w:val="55D10548"/>
    <w:rsid w:val="56045CA6"/>
    <w:rsid w:val="56186177"/>
    <w:rsid w:val="56384123"/>
    <w:rsid w:val="564B6950"/>
    <w:rsid w:val="56A27888"/>
    <w:rsid w:val="570566FB"/>
    <w:rsid w:val="57183B71"/>
    <w:rsid w:val="574B00F5"/>
    <w:rsid w:val="575257A5"/>
    <w:rsid w:val="57B74B58"/>
    <w:rsid w:val="57E63206"/>
    <w:rsid w:val="57E81EE8"/>
    <w:rsid w:val="580544D9"/>
    <w:rsid w:val="580D330F"/>
    <w:rsid w:val="583E3C5F"/>
    <w:rsid w:val="58524939"/>
    <w:rsid w:val="58591997"/>
    <w:rsid w:val="58647037"/>
    <w:rsid w:val="59177F48"/>
    <w:rsid w:val="592866D1"/>
    <w:rsid w:val="59794FE7"/>
    <w:rsid w:val="59DB69B0"/>
    <w:rsid w:val="5A315A59"/>
    <w:rsid w:val="5A37271A"/>
    <w:rsid w:val="5A470DD9"/>
    <w:rsid w:val="5A5F6122"/>
    <w:rsid w:val="5A9870AD"/>
    <w:rsid w:val="5A992F99"/>
    <w:rsid w:val="5AAE0103"/>
    <w:rsid w:val="5AB757B2"/>
    <w:rsid w:val="5AB85193"/>
    <w:rsid w:val="5AB94067"/>
    <w:rsid w:val="5AE97FCB"/>
    <w:rsid w:val="5B01367D"/>
    <w:rsid w:val="5B022D15"/>
    <w:rsid w:val="5B595267"/>
    <w:rsid w:val="5B6248F3"/>
    <w:rsid w:val="5B8F774E"/>
    <w:rsid w:val="5BEC20CD"/>
    <w:rsid w:val="5BF14209"/>
    <w:rsid w:val="5C467452"/>
    <w:rsid w:val="5C7B28DE"/>
    <w:rsid w:val="5C7E6AB7"/>
    <w:rsid w:val="5C8D5A90"/>
    <w:rsid w:val="5CD03307"/>
    <w:rsid w:val="5CF05758"/>
    <w:rsid w:val="5D6461B6"/>
    <w:rsid w:val="5D6A35D0"/>
    <w:rsid w:val="5D7731B7"/>
    <w:rsid w:val="5DB833BB"/>
    <w:rsid w:val="5DB91AB2"/>
    <w:rsid w:val="5E267CFF"/>
    <w:rsid w:val="5E336359"/>
    <w:rsid w:val="5E7B7083"/>
    <w:rsid w:val="5E7F3E37"/>
    <w:rsid w:val="5EB71319"/>
    <w:rsid w:val="5ED03A93"/>
    <w:rsid w:val="5EDE7DA8"/>
    <w:rsid w:val="5F8F74AA"/>
    <w:rsid w:val="5F9C1BC7"/>
    <w:rsid w:val="5FB70C17"/>
    <w:rsid w:val="5FF1267B"/>
    <w:rsid w:val="603242D9"/>
    <w:rsid w:val="60720B77"/>
    <w:rsid w:val="6075270A"/>
    <w:rsid w:val="60841098"/>
    <w:rsid w:val="608D7975"/>
    <w:rsid w:val="60B62CA5"/>
    <w:rsid w:val="60D07D7A"/>
    <w:rsid w:val="611B04DE"/>
    <w:rsid w:val="614D13CA"/>
    <w:rsid w:val="616D5E79"/>
    <w:rsid w:val="61D65F44"/>
    <w:rsid w:val="61E805AF"/>
    <w:rsid w:val="61EA4E6B"/>
    <w:rsid w:val="620E37A7"/>
    <w:rsid w:val="623C331A"/>
    <w:rsid w:val="62403D31"/>
    <w:rsid w:val="62643CF8"/>
    <w:rsid w:val="62884421"/>
    <w:rsid w:val="6290279A"/>
    <w:rsid w:val="630A02AF"/>
    <w:rsid w:val="63D6255C"/>
    <w:rsid w:val="63E72456"/>
    <w:rsid w:val="64004D92"/>
    <w:rsid w:val="64436CA9"/>
    <w:rsid w:val="64713622"/>
    <w:rsid w:val="648D7A54"/>
    <w:rsid w:val="64BD0615"/>
    <w:rsid w:val="64C25130"/>
    <w:rsid w:val="64F331A6"/>
    <w:rsid w:val="650C2D20"/>
    <w:rsid w:val="650D4D67"/>
    <w:rsid w:val="655512DA"/>
    <w:rsid w:val="65C215F7"/>
    <w:rsid w:val="66464C58"/>
    <w:rsid w:val="6707201B"/>
    <w:rsid w:val="672908D6"/>
    <w:rsid w:val="67506B86"/>
    <w:rsid w:val="67754078"/>
    <w:rsid w:val="67D45F35"/>
    <w:rsid w:val="67FB3A20"/>
    <w:rsid w:val="680369A8"/>
    <w:rsid w:val="681779BF"/>
    <w:rsid w:val="68986FBA"/>
    <w:rsid w:val="6904091F"/>
    <w:rsid w:val="690757FD"/>
    <w:rsid w:val="69195C4A"/>
    <w:rsid w:val="694A7D99"/>
    <w:rsid w:val="695157D0"/>
    <w:rsid w:val="69926726"/>
    <w:rsid w:val="699B12FA"/>
    <w:rsid w:val="69A7373F"/>
    <w:rsid w:val="69AB7D3C"/>
    <w:rsid w:val="69BC72BD"/>
    <w:rsid w:val="69F36887"/>
    <w:rsid w:val="69F93F58"/>
    <w:rsid w:val="6A090D15"/>
    <w:rsid w:val="6A1516F9"/>
    <w:rsid w:val="6A446B7B"/>
    <w:rsid w:val="6A9637CE"/>
    <w:rsid w:val="6ABF5CE5"/>
    <w:rsid w:val="6B264C63"/>
    <w:rsid w:val="6B6C2E6F"/>
    <w:rsid w:val="6B911907"/>
    <w:rsid w:val="6C0E769F"/>
    <w:rsid w:val="6C1A0813"/>
    <w:rsid w:val="6C690506"/>
    <w:rsid w:val="6C870A40"/>
    <w:rsid w:val="6CAE2F39"/>
    <w:rsid w:val="6CB6151D"/>
    <w:rsid w:val="6CBB5A72"/>
    <w:rsid w:val="6CCA0197"/>
    <w:rsid w:val="6CDC1854"/>
    <w:rsid w:val="6CFA617E"/>
    <w:rsid w:val="6D260ECD"/>
    <w:rsid w:val="6D794FDE"/>
    <w:rsid w:val="6D9A22F9"/>
    <w:rsid w:val="6DB36353"/>
    <w:rsid w:val="6DFB3F5C"/>
    <w:rsid w:val="6E001F1B"/>
    <w:rsid w:val="6E041B02"/>
    <w:rsid w:val="6E4037A1"/>
    <w:rsid w:val="6E5C0E9F"/>
    <w:rsid w:val="6E8B4955"/>
    <w:rsid w:val="6E8D72AA"/>
    <w:rsid w:val="6EE862ED"/>
    <w:rsid w:val="6F0678E6"/>
    <w:rsid w:val="6F212166"/>
    <w:rsid w:val="6F2F79BF"/>
    <w:rsid w:val="6F6F69B0"/>
    <w:rsid w:val="6FC13E8A"/>
    <w:rsid w:val="6FD73ED6"/>
    <w:rsid w:val="6FFD692C"/>
    <w:rsid w:val="700A59DA"/>
    <w:rsid w:val="701E76F2"/>
    <w:rsid w:val="702A0B29"/>
    <w:rsid w:val="70512559"/>
    <w:rsid w:val="709366CE"/>
    <w:rsid w:val="70A4572A"/>
    <w:rsid w:val="70DA60AB"/>
    <w:rsid w:val="714E088A"/>
    <w:rsid w:val="71512CD6"/>
    <w:rsid w:val="71D97BCC"/>
    <w:rsid w:val="721D47FD"/>
    <w:rsid w:val="7228600A"/>
    <w:rsid w:val="723004CB"/>
    <w:rsid w:val="72612BEE"/>
    <w:rsid w:val="72656FEF"/>
    <w:rsid w:val="72B7183E"/>
    <w:rsid w:val="72C82C96"/>
    <w:rsid w:val="7306762B"/>
    <w:rsid w:val="73590E8E"/>
    <w:rsid w:val="735C2D56"/>
    <w:rsid w:val="737237B7"/>
    <w:rsid w:val="737B3536"/>
    <w:rsid w:val="73AD3F4B"/>
    <w:rsid w:val="741F55E9"/>
    <w:rsid w:val="74534C97"/>
    <w:rsid w:val="747944A5"/>
    <w:rsid w:val="74943E9C"/>
    <w:rsid w:val="74D41FAD"/>
    <w:rsid w:val="74D46DA4"/>
    <w:rsid w:val="74F61AF8"/>
    <w:rsid w:val="751360FC"/>
    <w:rsid w:val="75322AAC"/>
    <w:rsid w:val="756E14B8"/>
    <w:rsid w:val="75D82C21"/>
    <w:rsid w:val="75F4080C"/>
    <w:rsid w:val="75F41B11"/>
    <w:rsid w:val="76465329"/>
    <w:rsid w:val="76570C13"/>
    <w:rsid w:val="765A05BC"/>
    <w:rsid w:val="767B6650"/>
    <w:rsid w:val="767D4EDA"/>
    <w:rsid w:val="7687395B"/>
    <w:rsid w:val="76CE596E"/>
    <w:rsid w:val="77212C85"/>
    <w:rsid w:val="773504DF"/>
    <w:rsid w:val="773618B1"/>
    <w:rsid w:val="775407D3"/>
    <w:rsid w:val="777A05E8"/>
    <w:rsid w:val="777C2A8C"/>
    <w:rsid w:val="779276DF"/>
    <w:rsid w:val="7868033F"/>
    <w:rsid w:val="786A6C97"/>
    <w:rsid w:val="7879243F"/>
    <w:rsid w:val="78A85DD1"/>
    <w:rsid w:val="78F7531E"/>
    <w:rsid w:val="78F968DF"/>
    <w:rsid w:val="79036A22"/>
    <w:rsid w:val="79612EFA"/>
    <w:rsid w:val="79870BE5"/>
    <w:rsid w:val="7988601A"/>
    <w:rsid w:val="799A6EF2"/>
    <w:rsid w:val="79C925D4"/>
    <w:rsid w:val="79D04B8F"/>
    <w:rsid w:val="7A843E4B"/>
    <w:rsid w:val="7A886C59"/>
    <w:rsid w:val="7AB90383"/>
    <w:rsid w:val="7AD10ECD"/>
    <w:rsid w:val="7ADF662A"/>
    <w:rsid w:val="7B02692A"/>
    <w:rsid w:val="7B0A398E"/>
    <w:rsid w:val="7B0F1047"/>
    <w:rsid w:val="7B14584D"/>
    <w:rsid w:val="7B2F25DE"/>
    <w:rsid w:val="7B580C40"/>
    <w:rsid w:val="7B65510B"/>
    <w:rsid w:val="7BC13290"/>
    <w:rsid w:val="7BD7073C"/>
    <w:rsid w:val="7BF62A6B"/>
    <w:rsid w:val="7C42194F"/>
    <w:rsid w:val="7CEB38F0"/>
    <w:rsid w:val="7CFD4BCC"/>
    <w:rsid w:val="7D065865"/>
    <w:rsid w:val="7D231D04"/>
    <w:rsid w:val="7D69294D"/>
    <w:rsid w:val="7D9A0179"/>
    <w:rsid w:val="7DE20C95"/>
    <w:rsid w:val="7E071C95"/>
    <w:rsid w:val="7E2120FB"/>
    <w:rsid w:val="7E331719"/>
    <w:rsid w:val="7E603103"/>
    <w:rsid w:val="7E74673E"/>
    <w:rsid w:val="7E83691D"/>
    <w:rsid w:val="7E9509E4"/>
    <w:rsid w:val="7F4A4D43"/>
    <w:rsid w:val="7F72726E"/>
    <w:rsid w:val="7F965AE8"/>
    <w:rsid w:val="7FBC15F0"/>
    <w:rsid w:val="7FF1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tabs>
        <w:tab w:val="left" w:pos="1440"/>
      </w:tabs>
      <w:spacing w:before="340" w:after="330" w:line="576" w:lineRule="auto"/>
      <w:ind w:left="432" w:hanging="432"/>
      <w:outlineLvl w:val="0"/>
    </w:pPr>
    <w:rPr>
      <w:b/>
      <w:bCs/>
      <w:kern w:val="44"/>
      <w:sz w:val="44"/>
      <w:szCs w:val="44"/>
    </w:rPr>
  </w:style>
  <w:style w:type="paragraph" w:styleId="4">
    <w:name w:val="heading 2"/>
    <w:basedOn w:val="1"/>
    <w:next w:val="1"/>
    <w:link w:val="52"/>
    <w:qFormat/>
    <w:uiPriority w:val="0"/>
    <w:pPr>
      <w:keepNext/>
      <w:keepLines/>
      <w:spacing w:before="260" w:after="260" w:line="413" w:lineRule="auto"/>
      <w:outlineLvl w:val="1"/>
    </w:pPr>
    <w:rPr>
      <w:rFonts w:ascii="Arial" w:hAnsi="Arial" w:eastAsia="黑体"/>
      <w:b/>
      <w:bCs/>
      <w:sz w:val="32"/>
      <w:szCs w:val="32"/>
    </w:rPr>
  </w:style>
  <w:style w:type="paragraph" w:styleId="2">
    <w:name w:val="heading 3"/>
    <w:basedOn w:val="1"/>
    <w:next w:val="1"/>
    <w:link w:val="53"/>
    <w:qFormat/>
    <w:uiPriority w:val="0"/>
    <w:pPr>
      <w:keepNext/>
      <w:keepLines/>
      <w:spacing w:before="260" w:after="260" w:line="416" w:lineRule="auto"/>
      <w:outlineLvl w:val="2"/>
    </w:pPr>
    <w:rPr>
      <w:b/>
      <w:bCs/>
      <w:sz w:val="32"/>
      <w:szCs w:val="32"/>
    </w:rPr>
  </w:style>
  <w:style w:type="paragraph" w:styleId="5">
    <w:name w:val="heading 4"/>
    <w:basedOn w:val="1"/>
    <w:next w:val="1"/>
    <w:link w:val="54"/>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369"/>
    <w:qFormat/>
    <w:uiPriority w:val="0"/>
    <w:pPr>
      <w:keepNext/>
      <w:keepLines/>
      <w:tabs>
        <w:tab w:val="left" w:pos="1008"/>
      </w:tabs>
      <w:spacing w:before="280" w:after="290" w:line="372" w:lineRule="auto"/>
      <w:ind w:left="1008" w:hanging="1008"/>
      <w:outlineLvl w:val="4"/>
    </w:pPr>
    <w:rPr>
      <w:b/>
      <w:bCs/>
      <w:sz w:val="28"/>
      <w:szCs w:val="28"/>
    </w:rPr>
  </w:style>
  <w:style w:type="paragraph" w:styleId="7">
    <w:name w:val="heading 6"/>
    <w:basedOn w:val="1"/>
    <w:next w:val="1"/>
    <w:link w:val="56"/>
    <w:qFormat/>
    <w:uiPriority w:val="0"/>
    <w:pPr>
      <w:keepNext/>
      <w:keepLines/>
      <w:tabs>
        <w:tab w:val="left" w:pos="1152"/>
      </w:tabs>
      <w:spacing w:before="240" w:after="64" w:line="317" w:lineRule="auto"/>
      <w:ind w:left="1152" w:hanging="1152"/>
      <w:outlineLvl w:val="5"/>
    </w:pPr>
    <w:rPr>
      <w:rFonts w:ascii="Arial" w:hAnsi="Arial" w:eastAsia="黑体"/>
      <w:b/>
      <w:sz w:val="24"/>
    </w:rPr>
  </w:style>
  <w:style w:type="paragraph" w:styleId="8">
    <w:name w:val="heading 7"/>
    <w:basedOn w:val="1"/>
    <w:next w:val="1"/>
    <w:link w:val="57"/>
    <w:qFormat/>
    <w:uiPriority w:val="0"/>
    <w:pPr>
      <w:keepNext/>
      <w:keepLines/>
      <w:tabs>
        <w:tab w:val="left" w:pos="1296"/>
      </w:tabs>
      <w:spacing w:before="240" w:after="64" w:line="317" w:lineRule="auto"/>
      <w:ind w:left="1296" w:hanging="1296"/>
      <w:outlineLvl w:val="6"/>
    </w:pPr>
    <w:rPr>
      <w:b/>
      <w:sz w:val="24"/>
    </w:rPr>
  </w:style>
  <w:style w:type="paragraph" w:styleId="9">
    <w:name w:val="heading 8"/>
    <w:basedOn w:val="1"/>
    <w:next w:val="1"/>
    <w:link w:val="58"/>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0">
    <w:name w:val="heading 9"/>
    <w:basedOn w:val="1"/>
    <w:next w:val="1"/>
    <w:link w:val="59"/>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Bullet 4"/>
    <w:basedOn w:val="1"/>
    <w:qFormat/>
    <w:uiPriority w:val="0"/>
    <w:pPr>
      <w:tabs>
        <w:tab w:val="left" w:pos="1620"/>
      </w:tabs>
      <w:spacing w:line="360" w:lineRule="auto"/>
      <w:ind w:left="1620" w:hanging="360"/>
      <w:jc w:val="left"/>
    </w:pPr>
    <w:rPr>
      <w:rFonts w:ascii="宋体" w:hAnsi="宋体"/>
      <w:color w:val="7030A0"/>
      <w:sz w:val="24"/>
      <w:szCs w:val="20"/>
    </w:rPr>
  </w:style>
  <w:style w:type="paragraph" w:styleId="13">
    <w:name w:val="List 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4">
    <w:name w:val="Normal Indent"/>
    <w:basedOn w:val="1"/>
    <w:next w:val="1"/>
    <w:qFormat/>
    <w:uiPriority w:val="99"/>
    <w:pPr>
      <w:ind w:firstLine="420" w:firstLineChars="200"/>
    </w:pPr>
  </w:style>
  <w:style w:type="paragraph" w:styleId="15">
    <w:name w:val="caption"/>
    <w:basedOn w:val="1"/>
    <w:next w:val="1"/>
    <w:link w:val="70"/>
    <w:qFormat/>
    <w:uiPriority w:val="0"/>
    <w:pPr>
      <w:ind w:firstLine="6290" w:firstLineChars="2282"/>
    </w:pPr>
    <w:rPr>
      <w:b/>
      <w:bCs/>
      <w:color w:val="000080"/>
      <w:sz w:val="28"/>
    </w:rPr>
  </w:style>
  <w:style w:type="paragraph" w:styleId="16">
    <w:name w:val="List 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7">
    <w:name w:val="annotation text"/>
    <w:basedOn w:val="1"/>
    <w:link w:val="62"/>
    <w:qFormat/>
    <w:uiPriority w:val="0"/>
    <w:pPr>
      <w:jc w:val="left"/>
    </w:pPr>
  </w:style>
  <w:style w:type="paragraph" w:styleId="18">
    <w:name w:val="List Bullet 3"/>
    <w:basedOn w:val="1"/>
    <w:qFormat/>
    <w:uiPriority w:val="0"/>
    <w:pPr>
      <w:tabs>
        <w:tab w:val="left" w:pos="775"/>
      </w:tabs>
      <w:spacing w:line="360" w:lineRule="auto"/>
      <w:ind w:left="775" w:hanging="360"/>
    </w:pPr>
    <w:rPr>
      <w:kern w:val="0"/>
    </w:rPr>
  </w:style>
  <w:style w:type="paragraph" w:styleId="19">
    <w:name w:val="Body Text"/>
    <w:basedOn w:val="1"/>
    <w:next w:val="20"/>
    <w:link w:val="65"/>
    <w:qFormat/>
    <w:uiPriority w:val="0"/>
    <w:pPr>
      <w:spacing w:line="360" w:lineRule="auto"/>
    </w:pPr>
  </w:style>
  <w:style w:type="paragraph" w:styleId="20">
    <w:name w:val="Body Text 2"/>
    <w:basedOn w:val="1"/>
    <w:qFormat/>
    <w:uiPriority w:val="99"/>
    <w:pPr>
      <w:adjustRightInd w:val="0"/>
      <w:snapToGrid w:val="0"/>
      <w:spacing w:line="480" w:lineRule="atLeast"/>
    </w:pPr>
    <w:rPr>
      <w:sz w:val="28"/>
      <w:szCs w:val="28"/>
    </w:rPr>
  </w:style>
  <w:style w:type="paragraph" w:styleId="21">
    <w:name w:val="Body Text Indent"/>
    <w:basedOn w:val="1"/>
    <w:link w:val="442"/>
    <w:qFormat/>
    <w:uiPriority w:val="0"/>
    <w:pPr>
      <w:spacing w:after="120"/>
      <w:ind w:left="420" w:leftChars="200"/>
    </w:pPr>
  </w:style>
  <w:style w:type="paragraph" w:styleId="22">
    <w:name w:val="List Bullet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39"/>
    <w:pPr>
      <w:tabs>
        <w:tab w:val="left" w:pos="400"/>
        <w:tab w:val="left" w:pos="576"/>
        <w:tab w:val="right" w:leader="dot" w:pos="8778"/>
      </w:tabs>
      <w:ind w:left="10"/>
      <w:jc w:val="center"/>
    </w:pPr>
    <w:rPr>
      <w:rFonts w:ascii="宋体" w:hAnsi="宋体"/>
      <w:b/>
      <w:iCs/>
      <w:sz w:val="24"/>
    </w:rPr>
  </w:style>
  <w:style w:type="paragraph" w:styleId="25">
    <w:name w:val="Plain Text"/>
    <w:basedOn w:val="1"/>
    <w:link w:val="433"/>
    <w:qFormat/>
    <w:uiPriority w:val="0"/>
    <w:pPr>
      <w:spacing w:line="305" w:lineRule="auto"/>
      <w:ind w:firstLine="420"/>
    </w:pPr>
    <w:rPr>
      <w:rFonts w:ascii="宋体" w:hAnsi="Courier New" w:cs="Courier New"/>
      <w:szCs w:val="21"/>
    </w:rPr>
  </w:style>
  <w:style w:type="paragraph" w:styleId="26">
    <w:name w:val="List Bullet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27">
    <w:name w:val="toc 8"/>
    <w:basedOn w:val="1"/>
    <w:next w:val="1"/>
    <w:qFormat/>
    <w:uiPriority w:val="0"/>
    <w:pPr>
      <w:ind w:left="1470"/>
      <w:jc w:val="left"/>
    </w:pPr>
    <w:rPr>
      <w:sz w:val="18"/>
      <w:szCs w:val="18"/>
    </w:rPr>
  </w:style>
  <w:style w:type="paragraph" w:styleId="28">
    <w:name w:val="endnote text"/>
    <w:basedOn w:val="1"/>
    <w:link w:val="85"/>
    <w:qFormat/>
    <w:uiPriority w:val="0"/>
    <w:pPr>
      <w:snapToGrid w:val="0"/>
      <w:spacing w:line="500" w:lineRule="exact"/>
      <w:jc w:val="left"/>
    </w:pPr>
  </w:style>
  <w:style w:type="paragraph" w:styleId="29">
    <w:name w:val="Balloon Text"/>
    <w:basedOn w:val="1"/>
    <w:link w:val="446"/>
    <w:qFormat/>
    <w:uiPriority w:val="0"/>
    <w:rPr>
      <w:sz w:val="18"/>
      <w:szCs w:val="18"/>
    </w:rPr>
  </w:style>
  <w:style w:type="paragraph" w:styleId="30">
    <w:name w:val="footer"/>
    <w:basedOn w:val="1"/>
    <w:link w:val="86"/>
    <w:qFormat/>
    <w:uiPriority w:val="99"/>
    <w:pPr>
      <w:tabs>
        <w:tab w:val="center" w:pos="4153"/>
        <w:tab w:val="right" w:pos="8306"/>
      </w:tabs>
      <w:snapToGrid w:val="0"/>
      <w:jc w:val="left"/>
    </w:pPr>
    <w:rPr>
      <w:sz w:val="18"/>
      <w:szCs w:val="18"/>
    </w:rPr>
  </w:style>
  <w:style w:type="paragraph" w:styleId="31">
    <w:name w:val="header"/>
    <w:basedOn w:val="1"/>
    <w:link w:val="89"/>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8778"/>
      </w:tabs>
      <w:snapToGrid w:val="0"/>
      <w:spacing w:line="360" w:lineRule="auto"/>
      <w:jc w:val="center"/>
    </w:pPr>
    <w:rPr>
      <w:b/>
      <w:bCs/>
      <w:iCs/>
      <w:caps/>
      <w:kern w:val="0"/>
      <w:sz w:val="36"/>
      <w:szCs w:val="36"/>
    </w:rPr>
  </w:style>
  <w:style w:type="paragraph" w:styleId="33">
    <w:name w:val="toc 4"/>
    <w:basedOn w:val="1"/>
    <w:next w:val="1"/>
    <w:qFormat/>
    <w:uiPriority w:val="0"/>
    <w:pPr>
      <w:ind w:left="630"/>
      <w:jc w:val="left"/>
    </w:pPr>
    <w:rPr>
      <w:sz w:val="18"/>
      <w:szCs w:val="18"/>
    </w:rPr>
  </w:style>
  <w:style w:type="paragraph" w:styleId="34">
    <w:name w:val="footnote text"/>
    <w:basedOn w:val="1"/>
    <w:link w:val="90"/>
    <w:qFormat/>
    <w:uiPriority w:val="0"/>
    <w:pPr>
      <w:adjustRightInd w:val="0"/>
      <w:spacing w:line="312" w:lineRule="atLeast"/>
      <w:jc w:val="left"/>
      <w:textAlignment w:val="baseline"/>
    </w:pPr>
    <w:rPr>
      <w:sz w:val="18"/>
    </w:rPr>
  </w:style>
  <w:style w:type="paragraph" w:styleId="35">
    <w:name w:val="toc 6"/>
    <w:basedOn w:val="1"/>
    <w:next w:val="1"/>
    <w:qFormat/>
    <w:uiPriority w:val="0"/>
    <w:pPr>
      <w:ind w:left="1050"/>
      <w:jc w:val="left"/>
    </w:pPr>
    <w:rPr>
      <w:sz w:val="18"/>
      <w:szCs w:val="18"/>
    </w:rPr>
  </w:style>
  <w:style w:type="paragraph" w:styleId="36">
    <w:name w:val="toc 2"/>
    <w:basedOn w:val="1"/>
    <w:next w:val="1"/>
    <w:qFormat/>
    <w:uiPriority w:val="39"/>
    <w:pPr>
      <w:tabs>
        <w:tab w:val="right" w:leader="dot" w:pos="8778"/>
      </w:tabs>
      <w:ind w:left="23" w:leftChars="9" w:hanging="4" w:hangingChars="2"/>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Normal (Web)"/>
    <w:basedOn w:val="1"/>
    <w:qFormat/>
    <w:uiPriority w:val="0"/>
    <w:pPr>
      <w:spacing w:beforeAutospacing="1" w:afterAutospacing="1"/>
      <w:jc w:val="left"/>
    </w:pPr>
    <w:rPr>
      <w:kern w:val="0"/>
      <w:sz w:val="24"/>
    </w:rPr>
  </w:style>
  <w:style w:type="paragraph" w:styleId="39">
    <w:name w:val="Title"/>
    <w:basedOn w:val="1"/>
    <w:link w:val="99"/>
    <w:qFormat/>
    <w:uiPriority w:val="0"/>
    <w:pPr>
      <w:widowControl/>
      <w:spacing w:before="240" w:after="60"/>
      <w:jc w:val="center"/>
      <w:outlineLvl w:val="0"/>
    </w:pPr>
    <w:rPr>
      <w:rFonts w:ascii="Arial" w:hAnsi="Arial" w:eastAsia="楷体_GB2312"/>
      <w:b/>
      <w:sz w:val="32"/>
    </w:rPr>
  </w:style>
  <w:style w:type="paragraph" w:styleId="40">
    <w:name w:val="annotation subject"/>
    <w:basedOn w:val="17"/>
    <w:next w:val="17"/>
    <w:link w:val="424"/>
    <w:qFormat/>
    <w:uiPriority w:val="0"/>
    <w:rPr>
      <w:b/>
      <w:bCs/>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0"/>
    <w:rPr>
      <w:b/>
      <w:bCs/>
    </w:rPr>
  </w:style>
  <w:style w:type="character" w:styleId="45">
    <w:name w:val="endnote reference"/>
    <w:qFormat/>
    <w:uiPriority w:val="0"/>
    <w:rPr>
      <w:vertAlign w:val="superscript"/>
    </w:rPr>
  </w:style>
  <w:style w:type="character" w:styleId="46">
    <w:name w:val="FollowedHyperlink"/>
    <w:qFormat/>
    <w:uiPriority w:val="0"/>
    <w:rPr>
      <w:color w:val="800080"/>
      <w:u w:val="single"/>
    </w:rPr>
  </w:style>
  <w:style w:type="character" w:styleId="47">
    <w:name w:val="Emphasis"/>
    <w:qFormat/>
    <w:uiPriority w:val="0"/>
    <w:rPr>
      <w:i/>
    </w:rPr>
  </w:style>
  <w:style w:type="character" w:styleId="48">
    <w:name w:val="Hyperlink"/>
    <w:basedOn w:val="43"/>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标题 1 Char"/>
    <w:link w:val="3"/>
    <w:semiHidden/>
    <w:qFormat/>
    <w:uiPriority w:val="0"/>
    <w:rPr>
      <w:rFonts w:ascii="Times New Roman" w:hAnsi="Times New Roman"/>
      <w:b/>
      <w:bCs/>
      <w:kern w:val="44"/>
      <w:sz w:val="44"/>
      <w:szCs w:val="44"/>
    </w:rPr>
  </w:style>
  <w:style w:type="character" w:customStyle="1" w:styleId="52">
    <w:name w:val="标题 2 Char"/>
    <w:link w:val="4"/>
    <w:qFormat/>
    <w:uiPriority w:val="0"/>
    <w:rPr>
      <w:rFonts w:ascii="Arial" w:hAnsi="Arial" w:eastAsia="黑体"/>
      <w:b/>
      <w:bCs/>
      <w:kern w:val="2"/>
      <w:sz w:val="32"/>
      <w:szCs w:val="32"/>
    </w:rPr>
  </w:style>
  <w:style w:type="character" w:customStyle="1" w:styleId="53">
    <w:name w:val="标题 3 Char"/>
    <w:link w:val="2"/>
    <w:semiHidden/>
    <w:qFormat/>
    <w:uiPriority w:val="0"/>
    <w:rPr>
      <w:rFonts w:ascii="Times New Roman" w:hAnsi="Times New Roman"/>
      <w:b/>
      <w:bCs/>
      <w:kern w:val="2"/>
      <w:sz w:val="32"/>
      <w:szCs w:val="32"/>
    </w:rPr>
  </w:style>
  <w:style w:type="character" w:customStyle="1" w:styleId="54">
    <w:name w:val="标题 4 Char"/>
    <w:link w:val="5"/>
    <w:qFormat/>
    <w:uiPriority w:val="0"/>
    <w:rPr>
      <w:rFonts w:ascii="Cambria" w:hAnsi="Cambria" w:eastAsia="宋体" w:cs="Times New Roman"/>
      <w:b/>
      <w:bCs/>
      <w:kern w:val="2"/>
      <w:sz w:val="28"/>
      <w:szCs w:val="28"/>
    </w:rPr>
  </w:style>
  <w:style w:type="character" w:customStyle="1" w:styleId="55">
    <w:name w:val="标题 5 Char"/>
    <w:semiHidden/>
    <w:qFormat/>
    <w:uiPriority w:val="0"/>
    <w:rPr>
      <w:rFonts w:ascii="Times New Roman" w:hAnsi="Times New Roman"/>
      <w:b/>
      <w:bCs/>
      <w:kern w:val="2"/>
      <w:sz w:val="28"/>
      <w:szCs w:val="28"/>
    </w:rPr>
  </w:style>
  <w:style w:type="character" w:customStyle="1" w:styleId="56">
    <w:name w:val="标题 6 Char"/>
    <w:link w:val="7"/>
    <w:semiHidden/>
    <w:qFormat/>
    <w:uiPriority w:val="0"/>
    <w:rPr>
      <w:rFonts w:ascii="Arial" w:hAnsi="Arial" w:eastAsia="黑体"/>
      <w:b/>
      <w:kern w:val="2"/>
      <w:sz w:val="24"/>
    </w:rPr>
  </w:style>
  <w:style w:type="character" w:customStyle="1" w:styleId="57">
    <w:name w:val="标题 7 Char"/>
    <w:link w:val="8"/>
    <w:semiHidden/>
    <w:qFormat/>
    <w:uiPriority w:val="0"/>
    <w:rPr>
      <w:rFonts w:ascii="Times New Roman" w:hAnsi="Times New Roman"/>
      <w:b/>
      <w:kern w:val="2"/>
      <w:sz w:val="24"/>
    </w:rPr>
  </w:style>
  <w:style w:type="character" w:customStyle="1" w:styleId="58">
    <w:name w:val="标题 8 Char"/>
    <w:link w:val="9"/>
    <w:semiHidden/>
    <w:qFormat/>
    <w:uiPriority w:val="0"/>
    <w:rPr>
      <w:rFonts w:ascii="Arial" w:hAnsi="Arial" w:eastAsia="黑体"/>
      <w:kern w:val="2"/>
      <w:sz w:val="24"/>
    </w:rPr>
  </w:style>
  <w:style w:type="character" w:customStyle="1" w:styleId="59">
    <w:name w:val="标题 9 Char"/>
    <w:link w:val="10"/>
    <w:semiHidden/>
    <w:qFormat/>
    <w:uiPriority w:val="0"/>
    <w:rPr>
      <w:rFonts w:ascii="Arial" w:hAnsi="Arial" w:eastAsia="黑体"/>
      <w:kern w:val="2"/>
      <w:sz w:val="21"/>
    </w:rPr>
  </w:style>
  <w:style w:type="character" w:customStyle="1" w:styleId="60">
    <w:name w:val="批注主题 Char"/>
    <w:link w:val="61"/>
    <w:semiHidden/>
    <w:qFormat/>
    <w:uiPriority w:val="0"/>
    <w:rPr>
      <w:rFonts w:ascii="Times New Roman" w:hAnsi="Times New Roman" w:eastAsia="宋体" w:cs="Times New Roman"/>
      <w:b/>
      <w:bCs/>
      <w:kern w:val="2"/>
      <w:sz w:val="21"/>
      <w:szCs w:val="24"/>
    </w:rPr>
  </w:style>
  <w:style w:type="paragraph" w:customStyle="1" w:styleId="61">
    <w:name w:val="批注主题1"/>
    <w:basedOn w:val="17"/>
    <w:next w:val="17"/>
    <w:link w:val="60"/>
    <w:qFormat/>
    <w:uiPriority w:val="0"/>
    <w:rPr>
      <w:b/>
      <w:bCs/>
    </w:rPr>
  </w:style>
  <w:style w:type="character" w:customStyle="1" w:styleId="62">
    <w:name w:val="批注文字 Char"/>
    <w:link w:val="17"/>
    <w:semiHidden/>
    <w:qFormat/>
    <w:uiPriority w:val="0"/>
    <w:rPr>
      <w:rFonts w:ascii="Times New Roman" w:hAnsi="Times New Roman" w:eastAsia="宋体" w:cs="Times New Roman"/>
      <w:szCs w:val="24"/>
    </w:rPr>
  </w:style>
  <w:style w:type="character" w:customStyle="1" w:styleId="63">
    <w:name w:val="正文首行缩进 Char"/>
    <w:link w:val="64"/>
    <w:semiHidden/>
    <w:qFormat/>
    <w:uiPriority w:val="0"/>
    <w:rPr>
      <w:rFonts w:ascii="Times New Roman" w:hAnsi="Times New Roman"/>
      <w:color w:val="7030A0"/>
      <w:kern w:val="2"/>
      <w:sz w:val="21"/>
      <w:szCs w:val="24"/>
    </w:rPr>
  </w:style>
  <w:style w:type="paragraph" w:customStyle="1" w:styleId="64">
    <w:name w:val="正文文本首行缩进1"/>
    <w:basedOn w:val="1"/>
    <w:link w:val="63"/>
    <w:qFormat/>
    <w:uiPriority w:val="0"/>
    <w:pPr>
      <w:tabs>
        <w:tab w:val="left" w:pos="360"/>
      </w:tabs>
      <w:spacing w:line="220" w:lineRule="exact"/>
      <w:ind w:left="360" w:hanging="360" w:firstLineChars="200"/>
      <w:jc w:val="left"/>
    </w:pPr>
    <w:rPr>
      <w:color w:val="7030A0"/>
    </w:rPr>
  </w:style>
  <w:style w:type="character" w:customStyle="1" w:styleId="65">
    <w:name w:val="正文文本 Char"/>
    <w:link w:val="19"/>
    <w:qFormat/>
    <w:uiPriority w:val="0"/>
    <w:rPr>
      <w:rFonts w:ascii="Times New Roman" w:hAnsi="Times New Roman"/>
      <w:kern w:val="2"/>
      <w:sz w:val="21"/>
      <w:szCs w:val="24"/>
    </w:rPr>
  </w:style>
  <w:style w:type="character" w:customStyle="1" w:styleId="66">
    <w:name w:val="宏文本 Char"/>
    <w:link w:val="67"/>
    <w:semiHidden/>
    <w:qFormat/>
    <w:uiPriority w:val="0"/>
    <w:rPr>
      <w:rFonts w:ascii="Courier New" w:hAnsi="Courier New" w:cs="Courier New"/>
      <w:kern w:val="2"/>
      <w:sz w:val="24"/>
      <w:szCs w:val="24"/>
      <w:lang w:val="en-US" w:eastAsia="zh-CN" w:bidi="ar-SA"/>
    </w:rPr>
  </w:style>
  <w:style w:type="paragraph" w:customStyle="1" w:styleId="67">
    <w:name w:val="宏文本1"/>
    <w:link w:val="6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character" w:customStyle="1" w:styleId="68">
    <w:name w:val="正文缩进 Char"/>
    <w:link w:val="69"/>
    <w:semiHidden/>
    <w:qFormat/>
    <w:uiPriority w:val="0"/>
    <w:rPr>
      <w:rFonts w:ascii="宋体" w:hAnsi="Times New Roman"/>
      <w:sz w:val="24"/>
    </w:rPr>
  </w:style>
  <w:style w:type="paragraph" w:customStyle="1" w:styleId="69">
    <w:name w:val="正文缩进1"/>
    <w:basedOn w:val="1"/>
    <w:link w:val="68"/>
    <w:qFormat/>
    <w:uiPriority w:val="0"/>
    <w:pPr>
      <w:autoSpaceDE w:val="0"/>
      <w:autoSpaceDN w:val="0"/>
      <w:adjustRightInd w:val="0"/>
      <w:spacing w:line="360" w:lineRule="atLeast"/>
      <w:ind w:firstLine="420"/>
      <w:textAlignment w:val="baseline"/>
    </w:pPr>
    <w:rPr>
      <w:rFonts w:ascii="宋体"/>
      <w:sz w:val="24"/>
    </w:rPr>
  </w:style>
  <w:style w:type="character" w:customStyle="1" w:styleId="70">
    <w:name w:val="题注 Char"/>
    <w:link w:val="15"/>
    <w:semiHidden/>
    <w:qFormat/>
    <w:uiPriority w:val="0"/>
    <w:rPr>
      <w:rFonts w:ascii="Times New Roman" w:hAnsi="Times New Roman"/>
      <w:b/>
      <w:bCs/>
      <w:color w:val="000080"/>
      <w:kern w:val="2"/>
      <w:sz w:val="28"/>
      <w:szCs w:val="24"/>
    </w:rPr>
  </w:style>
  <w:style w:type="character" w:customStyle="1" w:styleId="71">
    <w:name w:val="文档结构图 Char"/>
    <w:link w:val="72"/>
    <w:semiHidden/>
    <w:qFormat/>
    <w:uiPriority w:val="0"/>
    <w:rPr>
      <w:rFonts w:ascii="宋体" w:hAnsi="Times New Roman" w:eastAsia="宋体" w:cs="Times New Roman"/>
      <w:sz w:val="18"/>
      <w:szCs w:val="18"/>
    </w:rPr>
  </w:style>
  <w:style w:type="paragraph" w:customStyle="1" w:styleId="72">
    <w:name w:val="文档结构图1"/>
    <w:basedOn w:val="1"/>
    <w:link w:val="71"/>
    <w:qFormat/>
    <w:uiPriority w:val="0"/>
    <w:rPr>
      <w:rFonts w:ascii="宋体"/>
      <w:sz w:val="18"/>
      <w:szCs w:val="18"/>
    </w:rPr>
  </w:style>
  <w:style w:type="character" w:customStyle="1" w:styleId="73">
    <w:name w:val="称呼 Char"/>
    <w:link w:val="74"/>
    <w:semiHidden/>
    <w:qFormat/>
    <w:uiPriority w:val="0"/>
    <w:rPr>
      <w:rFonts w:ascii="Times New Roman" w:hAnsi="Times New Roman"/>
      <w:kern w:val="2"/>
      <w:sz w:val="24"/>
    </w:rPr>
  </w:style>
  <w:style w:type="paragraph" w:customStyle="1" w:styleId="74">
    <w:name w:val="称呼1"/>
    <w:basedOn w:val="1"/>
    <w:next w:val="1"/>
    <w:link w:val="73"/>
    <w:qFormat/>
    <w:uiPriority w:val="0"/>
    <w:rPr>
      <w:sz w:val="24"/>
    </w:rPr>
  </w:style>
  <w:style w:type="character" w:customStyle="1" w:styleId="75">
    <w:name w:val="正文文本 3 Char"/>
    <w:link w:val="76"/>
    <w:semiHidden/>
    <w:qFormat/>
    <w:uiPriority w:val="0"/>
    <w:rPr>
      <w:rFonts w:ascii="Times New Roman" w:hAnsi="Times New Roman"/>
      <w:kern w:val="2"/>
      <w:sz w:val="16"/>
      <w:szCs w:val="16"/>
    </w:rPr>
  </w:style>
  <w:style w:type="paragraph" w:customStyle="1" w:styleId="76">
    <w:name w:val="正文文本 31"/>
    <w:basedOn w:val="1"/>
    <w:link w:val="75"/>
    <w:qFormat/>
    <w:uiPriority w:val="0"/>
    <w:pPr>
      <w:spacing w:after="120"/>
    </w:pPr>
    <w:rPr>
      <w:sz w:val="16"/>
      <w:szCs w:val="16"/>
    </w:rPr>
  </w:style>
  <w:style w:type="character" w:customStyle="1" w:styleId="77">
    <w:name w:val="正文文本缩进 Char"/>
    <w:semiHidden/>
    <w:qFormat/>
    <w:uiPriority w:val="0"/>
    <w:rPr>
      <w:rFonts w:ascii="Times New Roman" w:hAnsi="Times New Roman"/>
      <w:kern w:val="2"/>
      <w:sz w:val="21"/>
      <w:szCs w:val="24"/>
    </w:rPr>
  </w:style>
  <w:style w:type="paragraph" w:customStyle="1" w:styleId="78">
    <w:name w:val="正文文本缩进1"/>
    <w:basedOn w:val="1"/>
    <w:link w:val="413"/>
    <w:qFormat/>
    <w:uiPriority w:val="0"/>
    <w:pPr>
      <w:spacing w:line="360" w:lineRule="auto"/>
    </w:pPr>
    <w:rPr>
      <w:rFonts w:ascii="宋体"/>
    </w:rPr>
  </w:style>
  <w:style w:type="character" w:customStyle="1" w:styleId="79">
    <w:name w:val="纯文本 Char"/>
    <w:link w:val="80"/>
    <w:qFormat/>
    <w:uiPriority w:val="0"/>
    <w:rPr>
      <w:rFonts w:ascii="宋体" w:hAnsi="Courier New" w:cs="Courier New"/>
      <w:kern w:val="2"/>
      <w:sz w:val="21"/>
      <w:szCs w:val="21"/>
    </w:rPr>
  </w:style>
  <w:style w:type="paragraph" w:customStyle="1" w:styleId="80">
    <w:name w:val="纯文本1"/>
    <w:basedOn w:val="1"/>
    <w:link w:val="79"/>
    <w:qFormat/>
    <w:uiPriority w:val="0"/>
    <w:rPr>
      <w:rFonts w:ascii="宋体" w:hAnsi="Courier New" w:cs="Courier New"/>
      <w:szCs w:val="21"/>
    </w:rPr>
  </w:style>
  <w:style w:type="character" w:customStyle="1" w:styleId="81">
    <w:name w:val="日期 Char"/>
    <w:link w:val="82"/>
    <w:semiHidden/>
    <w:qFormat/>
    <w:uiPriority w:val="0"/>
    <w:rPr>
      <w:rFonts w:eastAsia="楷体_GB2312"/>
      <w:kern w:val="2"/>
      <w:sz w:val="30"/>
    </w:rPr>
  </w:style>
  <w:style w:type="paragraph" w:customStyle="1" w:styleId="82">
    <w:name w:val="日期1"/>
    <w:basedOn w:val="1"/>
    <w:next w:val="1"/>
    <w:link w:val="81"/>
    <w:qFormat/>
    <w:uiPriority w:val="0"/>
    <w:pPr>
      <w:autoSpaceDE w:val="0"/>
      <w:autoSpaceDN w:val="0"/>
      <w:adjustRightInd w:val="0"/>
      <w:textAlignment w:val="baseline"/>
    </w:pPr>
    <w:rPr>
      <w:rFonts w:eastAsia="楷体_GB2312"/>
      <w:sz w:val="30"/>
    </w:rPr>
  </w:style>
  <w:style w:type="character" w:customStyle="1" w:styleId="83">
    <w:name w:val="正文文本缩进 2 Char"/>
    <w:link w:val="84"/>
    <w:semiHidden/>
    <w:qFormat/>
    <w:uiPriority w:val="0"/>
    <w:rPr>
      <w:rFonts w:ascii="Times New Roman" w:hAnsi="Times New Roman"/>
      <w:kern w:val="2"/>
      <w:sz w:val="21"/>
    </w:rPr>
  </w:style>
  <w:style w:type="paragraph" w:customStyle="1" w:styleId="84">
    <w:name w:val="正文文本缩进 21"/>
    <w:basedOn w:val="1"/>
    <w:link w:val="83"/>
    <w:qFormat/>
    <w:uiPriority w:val="0"/>
    <w:pPr>
      <w:spacing w:after="120" w:line="480" w:lineRule="auto"/>
      <w:ind w:left="420" w:leftChars="200"/>
    </w:pPr>
  </w:style>
  <w:style w:type="character" w:customStyle="1" w:styleId="85">
    <w:name w:val="尾注文本 Char"/>
    <w:link w:val="28"/>
    <w:semiHidden/>
    <w:qFormat/>
    <w:uiPriority w:val="0"/>
    <w:rPr>
      <w:rFonts w:ascii="Times New Roman" w:hAnsi="Times New Roman"/>
      <w:sz w:val="21"/>
      <w:szCs w:val="24"/>
    </w:rPr>
  </w:style>
  <w:style w:type="character" w:customStyle="1" w:styleId="86">
    <w:name w:val="页脚 Char"/>
    <w:link w:val="30"/>
    <w:qFormat/>
    <w:uiPriority w:val="99"/>
    <w:rPr>
      <w:rFonts w:ascii="Times New Roman" w:hAnsi="Times New Roman"/>
      <w:kern w:val="2"/>
      <w:sz w:val="18"/>
      <w:szCs w:val="18"/>
    </w:rPr>
  </w:style>
  <w:style w:type="character" w:customStyle="1" w:styleId="87">
    <w:name w:val="正文首行缩进 2 Char"/>
    <w:link w:val="88"/>
    <w:semiHidden/>
    <w:qFormat/>
    <w:uiPriority w:val="0"/>
    <w:rPr>
      <w:rFonts w:ascii="宋体" w:hAnsi="宋体"/>
      <w:kern w:val="2"/>
      <w:sz w:val="21"/>
      <w:szCs w:val="24"/>
    </w:rPr>
  </w:style>
  <w:style w:type="paragraph" w:customStyle="1" w:styleId="88">
    <w:name w:val="正文文本首行缩进 21"/>
    <w:basedOn w:val="78"/>
    <w:link w:val="87"/>
    <w:qFormat/>
    <w:uiPriority w:val="0"/>
    <w:pPr>
      <w:spacing w:after="120" w:line="240" w:lineRule="auto"/>
      <w:ind w:left="420" w:leftChars="200" w:firstLine="200" w:firstLineChars="200"/>
      <w:jc w:val="left"/>
    </w:pPr>
    <w:rPr>
      <w:rFonts w:hAnsi="宋体"/>
    </w:rPr>
  </w:style>
  <w:style w:type="character" w:customStyle="1" w:styleId="89">
    <w:name w:val="页眉 Char"/>
    <w:link w:val="31"/>
    <w:semiHidden/>
    <w:qFormat/>
    <w:uiPriority w:val="0"/>
    <w:rPr>
      <w:rFonts w:ascii="Times New Roman" w:hAnsi="Times New Roman"/>
      <w:kern w:val="2"/>
      <w:sz w:val="18"/>
      <w:szCs w:val="18"/>
    </w:rPr>
  </w:style>
  <w:style w:type="character" w:customStyle="1" w:styleId="90">
    <w:name w:val="脚注文本 Char"/>
    <w:link w:val="34"/>
    <w:qFormat/>
    <w:uiPriority w:val="0"/>
    <w:rPr>
      <w:rFonts w:ascii="Times New Roman" w:hAnsi="Times New Roman"/>
      <w:sz w:val="18"/>
    </w:rPr>
  </w:style>
  <w:style w:type="character" w:customStyle="1" w:styleId="91">
    <w:name w:val="正文文本缩进 3 Char"/>
    <w:link w:val="92"/>
    <w:semiHidden/>
    <w:qFormat/>
    <w:uiPriority w:val="0"/>
    <w:rPr>
      <w:rFonts w:ascii="Times New Roman" w:hAnsi="Times New Roman"/>
      <w:kern w:val="2"/>
      <w:sz w:val="21"/>
    </w:rPr>
  </w:style>
  <w:style w:type="paragraph" w:customStyle="1" w:styleId="92">
    <w:name w:val="正文文本缩进 31"/>
    <w:basedOn w:val="1"/>
    <w:link w:val="91"/>
    <w:qFormat/>
    <w:uiPriority w:val="0"/>
    <w:pPr>
      <w:ind w:left="1260" w:leftChars="600"/>
    </w:pPr>
  </w:style>
  <w:style w:type="character" w:customStyle="1" w:styleId="93">
    <w:name w:val="正文文本 2 Char"/>
    <w:link w:val="94"/>
    <w:semiHidden/>
    <w:qFormat/>
    <w:uiPriority w:val="0"/>
    <w:rPr>
      <w:rFonts w:ascii="Times New Roman" w:hAnsi="Times New Roman"/>
      <w:kern w:val="2"/>
      <w:sz w:val="21"/>
    </w:rPr>
  </w:style>
  <w:style w:type="paragraph" w:customStyle="1" w:styleId="94">
    <w:name w:val="正文文本 21"/>
    <w:basedOn w:val="1"/>
    <w:link w:val="93"/>
    <w:qFormat/>
    <w:uiPriority w:val="0"/>
    <w:pPr>
      <w:spacing w:after="120" w:line="480" w:lineRule="auto"/>
    </w:pPr>
  </w:style>
  <w:style w:type="character" w:customStyle="1" w:styleId="95">
    <w:name w:val="信息标题 Char"/>
    <w:link w:val="96"/>
    <w:semiHidden/>
    <w:qFormat/>
    <w:uiPriority w:val="0"/>
    <w:rPr>
      <w:rFonts w:ascii="Arial" w:hAnsi="Arial" w:cs="Arial"/>
      <w:color w:val="7030A0"/>
      <w:kern w:val="2"/>
      <w:sz w:val="24"/>
      <w:szCs w:val="24"/>
      <w:shd w:val="pct20" w:color="auto" w:fill="auto"/>
    </w:rPr>
  </w:style>
  <w:style w:type="paragraph" w:customStyle="1" w:styleId="96">
    <w:name w:val="信息标题1"/>
    <w:basedOn w:val="1"/>
    <w:link w:val="9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shd w:val="pct20" w:color="auto" w:fill="auto"/>
    </w:rPr>
  </w:style>
  <w:style w:type="character" w:customStyle="1" w:styleId="97">
    <w:name w:val="HTML 预设格式 Char"/>
    <w:link w:val="98"/>
    <w:semiHidden/>
    <w:qFormat/>
    <w:uiPriority w:val="0"/>
    <w:rPr>
      <w:rFonts w:ascii="Arial" w:hAnsi="Arial"/>
      <w:sz w:val="21"/>
      <w:szCs w:val="21"/>
    </w:rPr>
  </w:style>
  <w:style w:type="paragraph" w:customStyle="1" w:styleId="98">
    <w:name w:val="HTML 预设格式1"/>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szCs w:val="21"/>
    </w:rPr>
  </w:style>
  <w:style w:type="character" w:customStyle="1" w:styleId="99">
    <w:name w:val="标题 Char"/>
    <w:link w:val="39"/>
    <w:semiHidden/>
    <w:qFormat/>
    <w:uiPriority w:val="0"/>
    <w:rPr>
      <w:rFonts w:ascii="Arial" w:hAnsi="Arial" w:eastAsia="楷体_GB2312"/>
      <w:b/>
      <w:sz w:val="32"/>
    </w:rPr>
  </w:style>
  <w:style w:type="paragraph" w:customStyle="1" w:styleId="100">
    <w:name w:val="批注框文本 Char Char"/>
    <w:basedOn w:val="1"/>
    <w:link w:val="365"/>
    <w:qFormat/>
    <w:uiPriority w:val="0"/>
    <w:rPr>
      <w:sz w:val="18"/>
      <w:szCs w:val="18"/>
    </w:rPr>
  </w:style>
  <w:style w:type="paragraph" w:customStyle="1" w:styleId="101">
    <w:name w:val="列表编号 21"/>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102">
    <w:name w:val="引文目录1"/>
    <w:basedOn w:val="1"/>
    <w:next w:val="1"/>
    <w:qFormat/>
    <w:uiPriority w:val="0"/>
    <w:pPr>
      <w:spacing w:line="480" w:lineRule="exact"/>
      <w:ind w:left="420" w:leftChars="200" w:firstLine="200" w:firstLineChars="200"/>
      <w:jc w:val="left"/>
    </w:pPr>
    <w:rPr>
      <w:color w:val="7030A0"/>
      <w:sz w:val="24"/>
    </w:rPr>
  </w:style>
  <w:style w:type="paragraph" w:customStyle="1" w:styleId="103">
    <w:name w:val="索引 81"/>
    <w:basedOn w:val="1"/>
    <w:next w:val="1"/>
    <w:qFormat/>
    <w:uiPriority w:val="0"/>
    <w:pPr>
      <w:spacing w:line="480" w:lineRule="exact"/>
      <w:ind w:left="1400" w:leftChars="1400" w:firstLine="200" w:firstLineChars="200"/>
      <w:jc w:val="left"/>
    </w:pPr>
    <w:rPr>
      <w:color w:val="7030A0"/>
      <w:sz w:val="24"/>
    </w:rPr>
  </w:style>
  <w:style w:type="paragraph" w:customStyle="1" w:styleId="104">
    <w:name w:val="索引 51"/>
    <w:basedOn w:val="1"/>
    <w:next w:val="1"/>
    <w:qFormat/>
    <w:uiPriority w:val="0"/>
    <w:pPr>
      <w:spacing w:line="480" w:lineRule="exact"/>
      <w:ind w:left="800" w:leftChars="800" w:firstLine="200" w:firstLineChars="200"/>
      <w:jc w:val="left"/>
    </w:pPr>
    <w:rPr>
      <w:color w:val="7030A0"/>
      <w:sz w:val="24"/>
    </w:rPr>
  </w:style>
  <w:style w:type="paragraph" w:customStyle="1" w:styleId="105">
    <w:name w:val="引文目录标题1"/>
    <w:basedOn w:val="1"/>
    <w:next w:val="1"/>
    <w:qFormat/>
    <w:uiPriority w:val="0"/>
    <w:pPr>
      <w:spacing w:before="120"/>
    </w:pPr>
    <w:rPr>
      <w:rFonts w:ascii="Arial" w:hAnsi="Arial" w:cs="Arial"/>
      <w:sz w:val="24"/>
    </w:rPr>
  </w:style>
  <w:style w:type="paragraph" w:customStyle="1" w:styleId="106">
    <w:name w:val="索引 61"/>
    <w:basedOn w:val="1"/>
    <w:next w:val="1"/>
    <w:qFormat/>
    <w:uiPriority w:val="0"/>
    <w:pPr>
      <w:spacing w:line="480" w:lineRule="exact"/>
      <w:ind w:left="1000" w:leftChars="1000" w:firstLine="200" w:firstLineChars="200"/>
      <w:jc w:val="left"/>
    </w:pPr>
    <w:rPr>
      <w:color w:val="7030A0"/>
      <w:sz w:val="24"/>
    </w:rPr>
  </w:style>
  <w:style w:type="paragraph" w:customStyle="1" w:styleId="107">
    <w:name w:val="列表编号 31"/>
    <w:basedOn w:val="1"/>
    <w:qFormat/>
    <w:uiPriority w:val="0"/>
    <w:pPr>
      <w:tabs>
        <w:tab w:val="left" w:pos="1200"/>
      </w:tabs>
      <w:spacing w:line="360" w:lineRule="auto"/>
      <w:ind w:left="1200" w:hanging="360"/>
      <w:jc w:val="left"/>
    </w:pPr>
    <w:rPr>
      <w:rFonts w:ascii="宋体" w:hAnsi="宋体"/>
      <w:color w:val="7030A0"/>
      <w:sz w:val="24"/>
      <w:szCs w:val="20"/>
    </w:rPr>
  </w:style>
  <w:style w:type="paragraph" w:customStyle="1" w:styleId="108">
    <w:name w:val="列表 21"/>
    <w:basedOn w:val="1"/>
    <w:qFormat/>
    <w:uiPriority w:val="0"/>
    <w:pPr>
      <w:widowControl/>
      <w:ind w:left="840" w:hanging="420"/>
      <w:jc w:val="left"/>
    </w:pPr>
    <w:rPr>
      <w:rFonts w:ascii="宋体"/>
      <w:kern w:val="0"/>
      <w:sz w:val="22"/>
      <w:szCs w:val="20"/>
    </w:rPr>
  </w:style>
  <w:style w:type="paragraph" w:customStyle="1" w:styleId="109">
    <w:name w:val="列表接续1"/>
    <w:basedOn w:val="1"/>
    <w:qFormat/>
    <w:uiPriority w:val="0"/>
    <w:pPr>
      <w:widowControl/>
      <w:spacing w:after="120"/>
      <w:ind w:left="420"/>
      <w:jc w:val="left"/>
    </w:pPr>
    <w:rPr>
      <w:rFonts w:ascii="宋体"/>
      <w:kern w:val="0"/>
      <w:sz w:val="22"/>
      <w:szCs w:val="20"/>
    </w:rPr>
  </w:style>
  <w:style w:type="paragraph" w:customStyle="1" w:styleId="110">
    <w:name w:val="文本块1"/>
    <w:basedOn w:val="1"/>
    <w:qFormat/>
    <w:uiPriority w:val="0"/>
    <w:pPr>
      <w:tabs>
        <w:tab w:val="left" w:pos="8364"/>
      </w:tabs>
      <w:ind w:left="840" w:right="-57" w:hanging="300"/>
    </w:pPr>
    <w:rPr>
      <w:rFonts w:ascii="宋体"/>
      <w:szCs w:val="20"/>
    </w:rPr>
  </w:style>
  <w:style w:type="paragraph" w:customStyle="1" w:styleId="111">
    <w:name w:val="索引 41"/>
    <w:basedOn w:val="1"/>
    <w:next w:val="1"/>
    <w:qFormat/>
    <w:uiPriority w:val="0"/>
    <w:pPr>
      <w:spacing w:line="480" w:lineRule="exact"/>
      <w:ind w:left="600" w:leftChars="600" w:firstLine="200" w:firstLineChars="200"/>
      <w:jc w:val="left"/>
    </w:pPr>
    <w:rPr>
      <w:color w:val="7030A0"/>
      <w:sz w:val="24"/>
    </w:rPr>
  </w:style>
  <w:style w:type="paragraph" w:customStyle="1" w:styleId="112">
    <w:name w:val="列表编号 41"/>
    <w:basedOn w:val="1"/>
    <w:qFormat/>
    <w:uiPriority w:val="0"/>
    <w:pPr>
      <w:tabs>
        <w:tab w:val="left" w:pos="1620"/>
      </w:tabs>
      <w:spacing w:line="360" w:lineRule="auto"/>
      <w:ind w:left="1620" w:hanging="360"/>
    </w:pPr>
    <w:rPr>
      <w:rFonts w:ascii="宋体" w:hAnsi="宋体"/>
      <w:sz w:val="24"/>
      <w:szCs w:val="20"/>
    </w:rPr>
  </w:style>
  <w:style w:type="paragraph" w:customStyle="1" w:styleId="113">
    <w:name w:val="索引 31"/>
    <w:basedOn w:val="1"/>
    <w:next w:val="1"/>
    <w:qFormat/>
    <w:uiPriority w:val="0"/>
    <w:pPr>
      <w:spacing w:line="480" w:lineRule="exact"/>
      <w:ind w:left="400" w:leftChars="400" w:firstLine="200" w:firstLineChars="200"/>
      <w:jc w:val="left"/>
    </w:pPr>
    <w:rPr>
      <w:color w:val="7030A0"/>
      <w:sz w:val="24"/>
    </w:rPr>
  </w:style>
  <w:style w:type="paragraph" w:customStyle="1" w:styleId="114">
    <w:name w:val="索引标题1"/>
    <w:basedOn w:val="1"/>
    <w:next w:val="115"/>
    <w:qFormat/>
    <w:uiPriority w:val="0"/>
  </w:style>
  <w:style w:type="paragraph" w:customStyle="1" w:styleId="115">
    <w:name w:val="索引 11"/>
    <w:basedOn w:val="1"/>
    <w:next w:val="1"/>
    <w:qFormat/>
    <w:uiPriority w:val="0"/>
    <w:pPr>
      <w:spacing w:line="360" w:lineRule="auto"/>
      <w:ind w:left="1149" w:leftChars="547"/>
    </w:pPr>
    <w:rPr>
      <w:szCs w:val="20"/>
    </w:rPr>
  </w:style>
  <w:style w:type="paragraph" w:customStyle="1" w:styleId="116">
    <w:name w:val="列表编号 51"/>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117">
    <w:name w:val="列表1"/>
    <w:basedOn w:val="1"/>
    <w:qFormat/>
    <w:uiPriority w:val="0"/>
    <w:pPr>
      <w:ind w:left="200" w:hanging="200" w:hangingChars="200"/>
    </w:pPr>
    <w:rPr>
      <w:szCs w:val="20"/>
    </w:rPr>
  </w:style>
  <w:style w:type="paragraph" w:customStyle="1" w:styleId="118">
    <w:name w:val="索引 71"/>
    <w:basedOn w:val="1"/>
    <w:next w:val="1"/>
    <w:qFormat/>
    <w:uiPriority w:val="0"/>
    <w:pPr>
      <w:spacing w:line="480" w:lineRule="exact"/>
      <w:ind w:left="1200" w:leftChars="1200" w:firstLine="200" w:firstLineChars="200"/>
      <w:jc w:val="left"/>
    </w:pPr>
    <w:rPr>
      <w:color w:val="7030A0"/>
      <w:sz w:val="24"/>
    </w:rPr>
  </w:style>
  <w:style w:type="paragraph" w:customStyle="1" w:styleId="119">
    <w:name w:val="索引 91"/>
    <w:basedOn w:val="1"/>
    <w:next w:val="1"/>
    <w:qFormat/>
    <w:uiPriority w:val="0"/>
    <w:pPr>
      <w:spacing w:line="480" w:lineRule="exact"/>
      <w:ind w:left="1600" w:leftChars="1600" w:firstLine="200" w:firstLineChars="200"/>
      <w:jc w:val="left"/>
    </w:pPr>
    <w:rPr>
      <w:color w:val="7030A0"/>
      <w:sz w:val="24"/>
    </w:rPr>
  </w:style>
  <w:style w:type="paragraph" w:customStyle="1" w:styleId="120">
    <w:name w:val="图表目录1"/>
    <w:basedOn w:val="1"/>
    <w:next w:val="1"/>
    <w:qFormat/>
    <w:uiPriority w:val="0"/>
    <w:pPr>
      <w:spacing w:line="480" w:lineRule="exact"/>
      <w:ind w:left="200" w:leftChars="200" w:hanging="200" w:hangingChars="200"/>
      <w:jc w:val="left"/>
    </w:pPr>
    <w:rPr>
      <w:color w:val="7030A0"/>
      <w:sz w:val="24"/>
    </w:rPr>
  </w:style>
  <w:style w:type="paragraph" w:customStyle="1" w:styleId="121">
    <w:name w:val="普通(网站)1"/>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22">
    <w:name w:val="索引 21"/>
    <w:basedOn w:val="1"/>
    <w:next w:val="1"/>
    <w:qFormat/>
    <w:uiPriority w:val="0"/>
    <w:pPr>
      <w:spacing w:line="480" w:lineRule="exact"/>
      <w:ind w:left="200" w:leftChars="200" w:firstLine="200" w:firstLineChars="200"/>
      <w:jc w:val="left"/>
    </w:pPr>
    <w:rPr>
      <w:color w:val="7030A0"/>
      <w:sz w:val="24"/>
    </w:rPr>
  </w:style>
  <w:style w:type="paragraph" w:customStyle="1" w:styleId="123">
    <w:name w:val="标题4"/>
    <w:basedOn w:val="1"/>
    <w:next w:val="1"/>
    <w:qFormat/>
    <w:uiPriority w:val="0"/>
    <w:pPr>
      <w:keepNext/>
      <w:spacing w:line="360" w:lineRule="auto"/>
      <w:ind w:firstLine="200" w:firstLineChars="200"/>
      <w:jc w:val="left"/>
      <w:outlineLvl w:val="3"/>
    </w:pPr>
    <w:rPr>
      <w:b/>
      <w:kern w:val="0"/>
      <w:sz w:val="30"/>
    </w:rPr>
  </w:style>
  <w:style w:type="paragraph" w:customStyle="1" w:styleId="124">
    <w:name w:val="四级标题格式"/>
    <w:basedOn w:val="5"/>
    <w:link w:val="368"/>
    <w:qFormat/>
    <w:uiPriority w:val="0"/>
    <w:pPr>
      <w:spacing w:before="0" w:afterLines="100" w:line="240" w:lineRule="auto"/>
      <w:jc w:val="left"/>
    </w:pPr>
    <w:rPr>
      <w:rFonts w:ascii="Times New Roman" w:hAnsi="Times New Roman" w:eastAsia="黑体"/>
    </w:rPr>
  </w:style>
  <w:style w:type="paragraph" w:customStyle="1" w:styleId="125">
    <w:name w:val="标题3"/>
    <w:basedOn w:val="2"/>
    <w:link w:val="371"/>
    <w:qFormat/>
    <w:uiPriority w:val="0"/>
    <w:pPr>
      <w:tabs>
        <w:tab w:val="left" w:pos="360"/>
        <w:tab w:val="left" w:pos="840"/>
        <w:tab w:val="left" w:pos="2160"/>
      </w:tabs>
      <w:adjustRightInd w:val="0"/>
      <w:spacing w:before="0" w:after="0" w:line="360" w:lineRule="auto"/>
      <w:textAlignment w:val="baseline"/>
    </w:pPr>
    <w:rPr>
      <w:rFonts w:ascii="宋体" w:hAnsi="宋体"/>
      <w:color w:val="92D050"/>
      <w:kern w:val="44"/>
      <w:sz w:val="24"/>
      <w:szCs w:val="21"/>
    </w:rPr>
  </w:style>
  <w:style w:type="paragraph" w:customStyle="1" w:styleId="126">
    <w:name w:val="样式 宋体 行距: 固定值 24 磅"/>
    <w:basedOn w:val="1"/>
    <w:link w:val="373"/>
    <w:qFormat/>
    <w:uiPriority w:val="0"/>
    <w:pPr>
      <w:spacing w:line="480" w:lineRule="exact"/>
      <w:ind w:firstLine="585" w:firstLineChars="200"/>
      <w:jc w:val="left"/>
    </w:pPr>
    <w:rPr>
      <w:rFonts w:ascii="宋体" w:cs="宋体"/>
      <w:color w:val="7030A0"/>
      <w:sz w:val="28"/>
    </w:rPr>
  </w:style>
  <w:style w:type="paragraph" w:customStyle="1" w:styleId="127">
    <w:name w:val="样式 首行缩进:  2 字符"/>
    <w:basedOn w:val="1"/>
    <w:link w:val="374"/>
    <w:qFormat/>
    <w:uiPriority w:val="0"/>
    <w:pPr>
      <w:spacing w:line="480" w:lineRule="exact"/>
      <w:ind w:firstLine="480" w:firstLineChars="200"/>
      <w:jc w:val="left"/>
    </w:pPr>
    <w:rPr>
      <w:color w:val="7030A0"/>
      <w:sz w:val="24"/>
    </w:rPr>
  </w:style>
  <w:style w:type="paragraph" w:customStyle="1" w:styleId="128">
    <w:name w:val="正文－wjnew"/>
    <w:basedOn w:val="1"/>
    <w:link w:val="376"/>
    <w:qFormat/>
    <w:uiPriority w:val="0"/>
    <w:pPr>
      <w:adjustRightInd w:val="0"/>
      <w:snapToGrid w:val="0"/>
      <w:spacing w:line="360" w:lineRule="auto"/>
      <w:ind w:firstLine="420"/>
    </w:pPr>
    <w:rPr>
      <w:rFonts w:ascii="宋体" w:cs="宋体"/>
      <w:szCs w:val="21"/>
    </w:rPr>
  </w:style>
  <w:style w:type="paragraph" w:customStyle="1" w:styleId="129">
    <w:name w:val="(1)"/>
    <w:basedOn w:val="1"/>
    <w:next w:val="1"/>
    <w:link w:val="378"/>
    <w:qFormat/>
    <w:uiPriority w:val="0"/>
    <w:pPr>
      <w:tabs>
        <w:tab w:val="left" w:pos="813"/>
      </w:tabs>
      <w:spacing w:line="360" w:lineRule="auto"/>
      <w:ind w:left="813" w:hanging="567"/>
    </w:pPr>
    <w:rPr>
      <w:rFonts w:ascii="宋体" w:hAnsi="宋体"/>
      <w:sz w:val="24"/>
    </w:rPr>
  </w:style>
  <w:style w:type="paragraph" w:customStyle="1" w:styleId="130">
    <w:name w:val="正文 BJ15"/>
    <w:basedOn w:val="1"/>
    <w:link w:val="381"/>
    <w:qFormat/>
    <w:uiPriority w:val="0"/>
    <w:pPr>
      <w:adjustRightInd w:val="0"/>
      <w:snapToGrid w:val="0"/>
      <w:spacing w:line="360" w:lineRule="auto"/>
      <w:ind w:firstLine="200" w:firstLineChars="200"/>
      <w:jc w:val="left"/>
    </w:pPr>
    <w:rPr>
      <w:sz w:val="24"/>
    </w:rPr>
  </w:style>
  <w:style w:type="paragraph" w:customStyle="1" w:styleId="131">
    <w:name w:val="正文－zlb"/>
    <w:basedOn w:val="1"/>
    <w:link w:val="389"/>
    <w:qFormat/>
    <w:uiPriority w:val="0"/>
    <w:pPr>
      <w:adjustRightInd w:val="0"/>
      <w:snapToGrid w:val="0"/>
      <w:spacing w:line="360" w:lineRule="auto"/>
      <w:ind w:firstLine="420"/>
    </w:pPr>
    <w:rPr>
      <w:rFonts w:ascii="宋体" w:cs="宋体"/>
      <w:sz w:val="24"/>
    </w:rPr>
  </w:style>
  <w:style w:type="paragraph" w:customStyle="1" w:styleId="132">
    <w:name w:val="图表标题 BJ8"/>
    <w:basedOn w:val="1"/>
    <w:link w:val="394"/>
    <w:qFormat/>
    <w:uiPriority w:val="0"/>
    <w:pPr>
      <w:adjustRightInd w:val="0"/>
      <w:snapToGrid w:val="0"/>
      <w:ind w:firstLine="200" w:firstLineChars="200"/>
      <w:jc w:val="center"/>
    </w:pPr>
    <w:rPr>
      <w:rFonts w:eastAsia="黑体"/>
      <w:sz w:val="24"/>
    </w:rPr>
  </w:style>
  <w:style w:type="paragraph" w:customStyle="1" w:styleId="133">
    <w:name w:val="列表框2"/>
    <w:basedOn w:val="1"/>
    <w:link w:val="396"/>
    <w:qFormat/>
    <w:uiPriority w:val="0"/>
    <w:pPr>
      <w:tabs>
        <w:tab w:val="left" w:pos="360"/>
        <w:tab w:val="left" w:pos="1628"/>
        <w:tab w:val="left" w:pos="2086"/>
      </w:tabs>
      <w:adjustRightInd w:val="0"/>
      <w:snapToGrid w:val="0"/>
      <w:ind w:left="1748" w:right="210" w:rightChars="100" w:hanging="434" w:firstLineChars="200"/>
      <w:jc w:val="left"/>
    </w:pPr>
    <w:rPr>
      <w:color w:val="7030A0"/>
      <w:spacing w:val="10"/>
      <w:sz w:val="24"/>
    </w:rPr>
  </w:style>
  <w:style w:type="paragraph" w:customStyle="1" w:styleId="134">
    <w:name w:val="五级标题格式"/>
    <w:basedOn w:val="6"/>
    <w:link w:val="398"/>
    <w:qFormat/>
    <w:uiPriority w:val="0"/>
    <w:pPr>
      <w:tabs>
        <w:tab w:val="clear" w:pos="1008"/>
      </w:tabs>
      <w:spacing w:before="0" w:afterLines="50" w:line="240" w:lineRule="auto"/>
      <w:ind w:left="0" w:firstLine="0"/>
      <w:jc w:val="left"/>
    </w:pPr>
    <w:rPr>
      <w:sz w:val="24"/>
    </w:rPr>
  </w:style>
  <w:style w:type="paragraph" w:customStyle="1" w:styleId="135">
    <w:name w:val="正文段落格式"/>
    <w:basedOn w:val="127"/>
    <w:link w:val="402"/>
    <w:qFormat/>
    <w:uiPriority w:val="0"/>
    <w:pPr>
      <w:spacing w:afterLines="50" w:line="336" w:lineRule="auto"/>
    </w:pPr>
  </w:style>
  <w:style w:type="paragraph" w:customStyle="1" w:styleId="136">
    <w:name w:val="表格文字 BJ8"/>
    <w:basedOn w:val="1"/>
    <w:link w:val="403"/>
    <w:qFormat/>
    <w:uiPriority w:val="0"/>
    <w:pPr>
      <w:adjustRightInd w:val="0"/>
      <w:snapToGrid w:val="0"/>
      <w:spacing w:line="400" w:lineRule="exact"/>
      <w:ind w:firstLine="200" w:firstLineChars="200"/>
      <w:jc w:val="center"/>
    </w:pPr>
    <w:rPr>
      <w:szCs w:val="21"/>
    </w:rPr>
  </w:style>
  <w:style w:type="paragraph" w:customStyle="1" w:styleId="137">
    <w:name w:val="样式 标题 31.1条标题1.1.1二级节名h3Heading 3 - oldheading 3H3H31H3..."/>
    <w:basedOn w:val="2"/>
    <w:link w:val="405"/>
    <w:qFormat/>
    <w:uiPriority w:val="0"/>
    <w:pPr>
      <w:spacing w:before="240" w:after="120" w:line="480" w:lineRule="exact"/>
      <w:jc w:val="left"/>
    </w:pPr>
    <w:rPr>
      <w:rFonts w:ascii="宋体" w:hAnsi="宋体" w:eastAsia="黑体"/>
      <w:sz w:val="24"/>
      <w:szCs w:val="21"/>
    </w:rPr>
  </w:style>
  <w:style w:type="paragraph" w:customStyle="1" w:styleId="138">
    <w:name w:val="标题2"/>
    <w:basedOn w:val="3"/>
    <w:link w:val="406"/>
    <w:qFormat/>
    <w:uiPriority w:val="0"/>
    <w:pPr>
      <w:spacing w:before="0" w:after="0" w:line="312" w:lineRule="auto"/>
      <w:ind w:left="0" w:firstLine="0"/>
      <w:jc w:val="center"/>
    </w:pPr>
    <w:rPr>
      <w:rFonts w:ascii="宋体"/>
      <w:color w:val="92D050"/>
      <w:sz w:val="30"/>
    </w:rPr>
  </w:style>
  <w:style w:type="paragraph" w:customStyle="1" w:styleId="139">
    <w:name w:val="正文 QD3"/>
    <w:basedOn w:val="1"/>
    <w:link w:val="409"/>
    <w:qFormat/>
    <w:uiPriority w:val="0"/>
    <w:pPr>
      <w:adjustRightInd w:val="0"/>
      <w:snapToGrid w:val="0"/>
      <w:spacing w:line="360" w:lineRule="auto"/>
      <w:ind w:firstLine="200" w:firstLineChars="200"/>
      <w:jc w:val="left"/>
    </w:pPr>
    <w:rPr>
      <w:sz w:val="24"/>
    </w:rPr>
  </w:style>
  <w:style w:type="paragraph" w:customStyle="1" w:styleId="140">
    <w:name w:val="正文 BJ8"/>
    <w:basedOn w:val="1"/>
    <w:link w:val="410"/>
    <w:qFormat/>
    <w:uiPriority w:val="0"/>
    <w:pPr>
      <w:adjustRightInd w:val="0"/>
      <w:snapToGrid w:val="0"/>
      <w:spacing w:line="360" w:lineRule="auto"/>
      <w:ind w:firstLine="200" w:firstLineChars="200"/>
      <w:jc w:val="left"/>
    </w:pPr>
    <w:rPr>
      <w:color w:val="7030A0"/>
      <w:sz w:val="24"/>
    </w:rPr>
  </w:style>
  <w:style w:type="paragraph" w:customStyle="1" w:styleId="141">
    <w:name w:val="正文1"/>
    <w:basedOn w:val="1"/>
    <w:link w:val="414"/>
    <w:qFormat/>
    <w:uiPriority w:val="0"/>
    <w:pPr>
      <w:tabs>
        <w:tab w:val="left" w:pos="720"/>
        <w:tab w:val="right" w:pos="1191"/>
      </w:tabs>
      <w:spacing w:line="360" w:lineRule="auto"/>
      <w:ind w:left="720" w:hanging="360"/>
    </w:pPr>
    <w:rPr>
      <w:rFonts w:ascii="宋体" w:hAnsi="宋体"/>
      <w:kern w:val="10"/>
    </w:rPr>
  </w:style>
  <w:style w:type="paragraph" w:customStyle="1" w:styleId="142">
    <w:name w:val="样式"/>
    <w:link w:val="415"/>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3">
    <w:name w:val="无编号正文"/>
    <w:basedOn w:val="19"/>
    <w:next w:val="1"/>
    <w:link w:val="416"/>
    <w:qFormat/>
    <w:uiPriority w:val="0"/>
    <w:pPr>
      <w:ind w:left="200" w:leftChars="200" w:firstLine="200" w:firstLineChars="200"/>
    </w:pPr>
    <w:rPr>
      <w:rFonts w:ascii="宋体" w:hAnsi="宋体"/>
      <w:sz w:val="24"/>
    </w:rPr>
  </w:style>
  <w:style w:type="paragraph" w:customStyle="1" w:styleId="144">
    <w:name w:val="表图名称"/>
    <w:link w:val="417"/>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paragraph" w:customStyle="1" w:styleId="145">
    <w:name w:val="表格文字图表文字"/>
    <w:basedOn w:val="1"/>
    <w:link w:val="419"/>
    <w:qFormat/>
    <w:uiPriority w:val="0"/>
    <w:pPr>
      <w:snapToGrid w:val="0"/>
      <w:ind w:firstLine="200" w:firstLineChars="200"/>
      <w:jc w:val="center"/>
    </w:pPr>
    <w:rPr>
      <w:color w:val="7030A0"/>
    </w:rPr>
  </w:style>
  <w:style w:type="paragraph" w:customStyle="1" w:styleId="146">
    <w:name w:val="xl51"/>
    <w:basedOn w:val="1"/>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147">
    <w:name w:val="通用"/>
    <w:basedOn w:val="1"/>
    <w:qFormat/>
    <w:uiPriority w:val="0"/>
    <w:pPr>
      <w:spacing w:line="360" w:lineRule="auto"/>
      <w:ind w:left="840" w:leftChars="400"/>
    </w:pPr>
    <w:rPr>
      <w:rFonts w:ascii="宋体" w:hAnsi="宋体"/>
      <w:szCs w:val="20"/>
    </w:rPr>
  </w:style>
  <w:style w:type="paragraph" w:customStyle="1" w:styleId="148">
    <w:name w:val="样式 目录 1 + 首行缩进:  2 字符"/>
    <w:basedOn w:val="1"/>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149">
    <w:name w:val="1"/>
    <w:basedOn w:val="1"/>
    <w:next w:val="94"/>
    <w:qFormat/>
    <w:uiPriority w:val="0"/>
    <w:pPr>
      <w:spacing w:after="120" w:line="480" w:lineRule="auto"/>
      <w:ind w:firstLine="200" w:firstLineChars="200"/>
      <w:jc w:val="left"/>
    </w:pPr>
    <w:rPr>
      <w:color w:val="7030A0"/>
    </w:rPr>
  </w:style>
  <w:style w:type="paragraph" w:customStyle="1" w:styleId="1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51">
    <w:name w:val="Footer First"/>
    <w:basedOn w:val="3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52">
    <w:name w:val="zhengwen"/>
    <w:basedOn w:val="1"/>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153">
    <w:name w:val="样式 宋体 行距: 1.5 倍行距"/>
    <w:basedOn w:val="1"/>
    <w:qFormat/>
    <w:uiPriority w:val="0"/>
    <w:pPr>
      <w:ind w:firstLine="200" w:firstLineChars="200"/>
      <w:jc w:val="left"/>
    </w:pPr>
    <w:rPr>
      <w:rFonts w:ascii="宋体" w:hAnsi="宋体"/>
      <w:color w:val="7030A0"/>
      <w:szCs w:val="20"/>
    </w:rPr>
  </w:style>
  <w:style w:type="paragraph" w:customStyle="1" w:styleId="154">
    <w:name w:val="样式 左侧:  2 字符 段前: 0.5 行"/>
    <w:basedOn w:val="1"/>
    <w:qFormat/>
    <w:uiPriority w:val="0"/>
    <w:pPr>
      <w:spacing w:beforeLines="50"/>
      <w:ind w:firstLine="200" w:firstLineChars="200"/>
    </w:pPr>
    <w:rPr>
      <w:rFonts w:ascii="宋体" w:cs="宋体"/>
      <w:sz w:val="24"/>
      <w:szCs w:val="20"/>
    </w:rPr>
  </w:style>
  <w:style w:type="paragraph" w:customStyle="1" w:styleId="155">
    <w:name w:val="八级正文格式"/>
    <w:basedOn w:val="135"/>
    <w:qFormat/>
    <w:uiPriority w:val="0"/>
    <w:pPr>
      <w:spacing w:after="120"/>
      <w:ind w:firstLine="0" w:firstLineChars="0"/>
    </w:pPr>
  </w:style>
  <w:style w:type="paragraph" w:customStyle="1" w:styleId="15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157">
    <w:name w:val="样式 样式 列表框 Char Char Char Char Char + 段后: 0.5 行 + 左侧:  6 字符 首行缩进..."/>
    <w:basedOn w:val="158"/>
    <w:qFormat/>
    <w:uiPriority w:val="0"/>
    <w:pPr>
      <w:tabs>
        <w:tab w:val="left" w:pos="420"/>
        <w:tab w:val="left" w:pos="2297"/>
      </w:tabs>
      <w:ind w:left="2297" w:leftChars="0" w:hanging="420" w:firstLineChars="0"/>
    </w:pPr>
  </w:style>
  <w:style w:type="paragraph" w:customStyle="1" w:styleId="158">
    <w:name w:val="样式 列表框 Char Char Char Char Char + 段后: 0.5 行"/>
    <w:basedOn w:val="159"/>
    <w:qFormat/>
    <w:uiPriority w:val="0"/>
    <w:pPr>
      <w:tabs>
        <w:tab w:val="left" w:pos="420"/>
      </w:tabs>
      <w:spacing w:after="156"/>
    </w:pPr>
    <w:rPr>
      <w:szCs w:val="20"/>
    </w:rPr>
  </w:style>
  <w:style w:type="paragraph" w:customStyle="1" w:styleId="159">
    <w:name w:val="正常文本 Char Char Char Char Char Char Char Char Char Char Char Char Char Char"/>
    <w:basedOn w:val="1"/>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16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61">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163">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64">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65">
    <w:name w:val="正文文本缩进 211"/>
    <w:basedOn w:val="1"/>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166">
    <w:name w:val="批注框文本1"/>
    <w:basedOn w:val="1"/>
    <w:qFormat/>
    <w:uiPriority w:val="0"/>
    <w:rPr>
      <w:sz w:val="16"/>
      <w:szCs w:val="16"/>
    </w:rPr>
  </w:style>
  <w:style w:type="paragraph" w:customStyle="1" w:styleId="167">
    <w:name w:val="*"/>
    <w:basedOn w:val="1"/>
    <w:qFormat/>
    <w:uiPriority w:val="0"/>
    <w:pPr>
      <w:spacing w:line="360" w:lineRule="auto"/>
    </w:pPr>
    <w:rPr>
      <w:rFonts w:ascii="宋体" w:hAnsi="宋体"/>
      <w:kern w:val="0"/>
      <w:sz w:val="24"/>
    </w:rPr>
  </w:style>
  <w:style w:type="paragraph" w:customStyle="1" w:styleId="16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69">
    <w:name w:val="表格标题"/>
    <w:basedOn w:val="6"/>
    <w:qFormat/>
    <w:uiPriority w:val="0"/>
    <w:pPr>
      <w:tabs>
        <w:tab w:val="clear" w:pos="1008"/>
      </w:tabs>
      <w:spacing w:before="0" w:after="0" w:line="240" w:lineRule="auto"/>
      <w:ind w:left="0" w:firstLine="0"/>
      <w:jc w:val="center"/>
      <w:outlineLvl w:val="8"/>
    </w:pPr>
    <w:rPr>
      <w:b w:val="0"/>
      <w:sz w:val="21"/>
      <w:lang w:val="zh-CN"/>
    </w:rPr>
  </w:style>
  <w:style w:type="paragraph" w:customStyle="1" w:styleId="170">
    <w:name w:val="七级标题格式"/>
    <w:basedOn w:val="1"/>
    <w:qFormat/>
    <w:uiPriority w:val="0"/>
    <w:pPr>
      <w:spacing w:afterLines="50" w:line="336" w:lineRule="auto"/>
      <w:ind w:firstLine="200" w:firstLineChars="200"/>
      <w:jc w:val="left"/>
      <w:outlineLvl w:val="6"/>
    </w:pPr>
    <w:rPr>
      <w:color w:val="7030A0"/>
      <w:sz w:val="24"/>
    </w:rPr>
  </w:style>
  <w:style w:type="paragraph" w:customStyle="1" w:styleId="171">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72">
    <w:name w:val="表格文字"/>
    <w:basedOn w:val="145"/>
    <w:qFormat/>
    <w:uiPriority w:val="0"/>
  </w:style>
  <w:style w:type="paragraph" w:customStyle="1" w:styleId="173">
    <w:name w:val="二级标题格式"/>
    <w:basedOn w:val="4"/>
    <w:qFormat/>
    <w:uiPriority w:val="0"/>
    <w:pPr>
      <w:spacing w:before="0" w:afterLines="100" w:line="240" w:lineRule="auto"/>
      <w:jc w:val="left"/>
    </w:pPr>
    <w:rPr>
      <w:rFonts w:ascii="Times New Roman" w:hAnsi="Times New Roman"/>
      <w:b w:val="0"/>
      <w:color w:val="C00000"/>
      <w:sz w:val="28"/>
      <w:szCs w:val="28"/>
    </w:rPr>
  </w:style>
  <w:style w:type="paragraph" w:customStyle="1" w:styleId="174">
    <w:name w:val="样式 标题 1标题 1 1编号标题1标题1 + 宋体 加粗"/>
    <w:basedOn w:val="3"/>
    <w:qFormat/>
    <w:uiPriority w:val="0"/>
    <w:pPr>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175">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76">
    <w:name w:val="列表框 Char Char Char Char Char"/>
    <w:basedOn w:val="159"/>
    <w:next w:val="159"/>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177">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178">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80">
    <w:name w:val="Sprechblasentext"/>
    <w:basedOn w:val="1"/>
    <w:qFormat/>
    <w:uiPriority w:val="0"/>
    <w:pPr>
      <w:spacing w:line="300" w:lineRule="atLeast"/>
      <w:ind w:firstLine="709"/>
    </w:pPr>
    <w:rPr>
      <w:rFonts w:ascii="Tahoma" w:hAnsi="Tahoma" w:cs="Tahoma"/>
      <w:sz w:val="16"/>
      <w:szCs w:val="16"/>
    </w:rPr>
  </w:style>
  <w:style w:type="paragraph" w:customStyle="1" w:styleId="181">
    <w:name w:val="p0"/>
    <w:basedOn w:val="1"/>
    <w:qFormat/>
    <w:uiPriority w:val="0"/>
    <w:pPr>
      <w:widowControl/>
    </w:pPr>
    <w:rPr>
      <w:kern w:val="0"/>
      <w:szCs w:val="21"/>
    </w:rPr>
  </w:style>
  <w:style w:type="paragraph" w:customStyle="1" w:styleId="182">
    <w:name w:val="样式 样式 标题 3 + 段前: 1 行 段后: 0.5 行 + 段前: 1 行 段后: 0.5 行"/>
    <w:basedOn w:val="1"/>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183">
    <w:name w:val="表格正文"/>
    <w:basedOn w:val="1"/>
    <w:next w:val="1"/>
    <w:qFormat/>
    <w:uiPriority w:val="0"/>
    <w:pPr>
      <w:adjustRightInd w:val="0"/>
      <w:snapToGrid w:val="0"/>
      <w:jc w:val="center"/>
    </w:pPr>
    <w:rPr>
      <w:color w:val="548DD4"/>
    </w:rPr>
  </w:style>
  <w:style w:type="paragraph" w:customStyle="1" w:styleId="184">
    <w:name w:val="样式1"/>
    <w:basedOn w:val="31"/>
    <w:next w:val="1"/>
    <w:qFormat/>
    <w:uiPriority w:val="0"/>
    <w:pPr>
      <w:jc w:val="left"/>
    </w:pPr>
  </w:style>
  <w:style w:type="paragraph" w:customStyle="1" w:styleId="185">
    <w:name w:val="_Style 1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88">
    <w:name w:val="Body text 1"/>
    <w:basedOn w:val="1"/>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18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90">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9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192">
    <w:name w:val="默认段落字体 Para Char Char Char Char Char Char Char"/>
    <w:basedOn w:val="1"/>
    <w:qFormat/>
    <w:uiPriority w:val="0"/>
    <w:pPr>
      <w:tabs>
        <w:tab w:val="left" w:pos="4665"/>
        <w:tab w:val="left" w:pos="8970"/>
      </w:tabs>
      <w:ind w:firstLine="400"/>
    </w:pPr>
    <w:rPr>
      <w:szCs w:val="20"/>
    </w:rPr>
  </w:style>
  <w:style w:type="paragraph" w:customStyle="1" w:styleId="19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94">
    <w:name w:val="xl40"/>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195">
    <w:name w:val="招标文件》"/>
    <w:basedOn w:val="196"/>
    <w:qFormat/>
    <w:uiPriority w:val="0"/>
    <w:pPr>
      <w:tabs>
        <w:tab w:val="left" w:pos="560"/>
      </w:tabs>
      <w:ind w:left="200" w:firstLine="0" w:firstLineChars="0"/>
    </w:pPr>
  </w:style>
  <w:style w:type="paragraph" w:customStyle="1" w:styleId="196">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197">
    <w:name w:val="Numbered List"/>
    <w:basedOn w:val="31"/>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98">
    <w:name w:val="列出段落1"/>
    <w:basedOn w:val="1"/>
    <w:qFormat/>
    <w:uiPriority w:val="34"/>
    <w:pPr>
      <w:ind w:firstLine="420" w:firstLineChars="200"/>
    </w:pPr>
    <w:rPr>
      <w:szCs w:val="20"/>
    </w:rPr>
  </w:style>
  <w:style w:type="paragraph" w:customStyle="1" w:styleId="199">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00">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01">
    <w:name w:val="xl52"/>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02">
    <w:name w:val="正文3"/>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203">
    <w:name w:val="Char1 Char Char1 Char Char Char Char Char Char"/>
    <w:basedOn w:val="1"/>
    <w:qFormat/>
    <w:uiPriority w:val="0"/>
  </w:style>
  <w:style w:type="paragraph" w:customStyle="1" w:styleId="204">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05">
    <w:name w:val="样式 标题 5 + 右侧:  -0.18 字符"/>
    <w:basedOn w:val="1"/>
    <w:qFormat/>
    <w:uiPriority w:val="0"/>
    <w:pPr>
      <w:tabs>
        <w:tab w:val="left" w:pos="1008"/>
      </w:tabs>
      <w:ind w:left="1134" w:hanging="1134"/>
    </w:pPr>
  </w:style>
  <w:style w:type="paragraph" w:customStyle="1" w:styleId="206">
    <w:name w:val="xl24"/>
    <w:basedOn w:val="1"/>
    <w:qFormat/>
    <w:uiPriority w:val="0"/>
    <w:pPr>
      <w:widowControl/>
      <w:spacing w:before="100" w:beforeAutospacing="1" w:after="100" w:afterAutospacing="1"/>
      <w:jc w:val="left"/>
    </w:pPr>
    <w:rPr>
      <w:kern w:val="0"/>
      <w:sz w:val="24"/>
    </w:rPr>
  </w:style>
  <w:style w:type="paragraph" w:customStyle="1" w:styleId="207">
    <w:name w:val="xl28"/>
    <w:basedOn w:val="1"/>
    <w:qFormat/>
    <w:uiPriority w:val="0"/>
    <w:pPr>
      <w:widowControl/>
      <w:spacing w:before="100" w:beforeAutospacing="1" w:after="100" w:afterAutospacing="1"/>
      <w:jc w:val="center"/>
    </w:pPr>
    <w:rPr>
      <w:kern w:val="0"/>
      <w:sz w:val="24"/>
    </w:rPr>
  </w:style>
  <w:style w:type="paragraph" w:customStyle="1" w:styleId="208">
    <w:name w:val="默认段落字体 Para Char Char Char Char"/>
    <w:basedOn w:val="1"/>
    <w:qFormat/>
    <w:uiPriority w:val="0"/>
    <w:rPr>
      <w:szCs w:val="20"/>
    </w:rPr>
  </w:style>
  <w:style w:type="paragraph" w:customStyle="1" w:styleId="209">
    <w:name w:val="註解方塊文字"/>
    <w:basedOn w:val="1"/>
    <w:qFormat/>
    <w:uiPriority w:val="0"/>
    <w:pPr>
      <w:widowControl/>
      <w:jc w:val="left"/>
    </w:pPr>
    <w:rPr>
      <w:rFonts w:ascii="Arial" w:hAnsi="Arial" w:eastAsia="PMingLiU"/>
      <w:kern w:val="0"/>
      <w:sz w:val="18"/>
      <w:szCs w:val="18"/>
    </w:rPr>
  </w:style>
  <w:style w:type="paragraph" w:customStyle="1" w:styleId="210">
    <w:name w:val="标题四"/>
    <w:basedOn w:val="211"/>
    <w:qFormat/>
    <w:uiPriority w:val="0"/>
    <w:pPr>
      <w:tabs>
        <w:tab w:val="left" w:pos="0"/>
      </w:tabs>
      <w:spacing w:line="360" w:lineRule="auto"/>
      <w:ind w:left="0"/>
    </w:pPr>
    <w:rPr>
      <w:rFonts w:ascii="Tahoma" w:hAnsi="Tahoma"/>
      <w:sz w:val="24"/>
      <w:szCs w:val="24"/>
    </w:rPr>
  </w:style>
  <w:style w:type="paragraph" w:customStyle="1" w:styleId="211">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12">
    <w:name w:val="font5"/>
    <w:basedOn w:val="1"/>
    <w:qFormat/>
    <w:uiPriority w:val="0"/>
    <w:pPr>
      <w:widowControl/>
      <w:spacing w:before="100" w:beforeAutospacing="1" w:after="100" w:afterAutospacing="1"/>
      <w:jc w:val="left"/>
    </w:pPr>
    <w:rPr>
      <w:b/>
      <w:bCs/>
      <w:kern w:val="0"/>
      <w:sz w:val="22"/>
      <w:szCs w:val="22"/>
    </w:rPr>
  </w:style>
  <w:style w:type="paragraph" w:customStyle="1" w:styleId="213">
    <w:name w:val="Char Char Char Char Char"/>
    <w:basedOn w:val="1"/>
    <w:qFormat/>
    <w:uiPriority w:val="0"/>
    <w:pPr>
      <w:ind w:firstLine="200" w:firstLineChars="200"/>
      <w:jc w:val="left"/>
    </w:pPr>
    <w:rPr>
      <w:rFonts w:ascii="Tahoma" w:hAnsi="Tahoma"/>
      <w:color w:val="7030A0"/>
      <w:sz w:val="24"/>
      <w:szCs w:val="20"/>
    </w:rPr>
  </w:style>
  <w:style w:type="paragraph" w:customStyle="1" w:styleId="21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15">
    <w:name w:val="样式 标题 4 + 段前: 自动"/>
    <w:basedOn w:val="5"/>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16">
    <w:name w:val="顺序编号-zlb"/>
    <w:basedOn w:val="217"/>
    <w:qFormat/>
    <w:uiPriority w:val="0"/>
    <w:pPr>
      <w:tabs>
        <w:tab w:val="left" w:pos="0"/>
      </w:tabs>
      <w:ind w:firstLine="425"/>
      <w:outlineLvl w:val="8"/>
    </w:pPr>
  </w:style>
  <w:style w:type="paragraph" w:customStyle="1" w:styleId="217">
    <w:name w:val="级别4"/>
    <w:basedOn w:val="218"/>
    <w:qFormat/>
    <w:uiPriority w:val="0"/>
    <w:pPr>
      <w:tabs>
        <w:tab w:val="left" w:pos="0"/>
      </w:tabs>
      <w:outlineLvl w:val="3"/>
    </w:pPr>
    <w:rPr>
      <w:b w:val="0"/>
      <w:kern w:val="0"/>
    </w:rPr>
  </w:style>
  <w:style w:type="paragraph" w:customStyle="1" w:styleId="218">
    <w:name w:val="级别2"/>
    <w:basedOn w:val="3"/>
    <w:qFormat/>
    <w:uiPriority w:val="0"/>
    <w:pPr>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1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20">
    <w:name w:val="专用"/>
    <w:basedOn w:val="1"/>
    <w:qFormat/>
    <w:uiPriority w:val="0"/>
    <w:pPr>
      <w:spacing w:afterLines="100"/>
      <w:ind w:left="838" w:hanging="838" w:hangingChars="262"/>
    </w:pPr>
    <w:rPr>
      <w:rFonts w:ascii="宋体"/>
      <w:b/>
      <w:color w:val="000000"/>
      <w:sz w:val="32"/>
      <w:szCs w:val="20"/>
    </w:rPr>
  </w:style>
  <w:style w:type="paragraph" w:customStyle="1" w:styleId="221">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222">
    <w:name w:val="xl56"/>
    <w:basedOn w:val="1"/>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23">
    <w:name w:val="llp2"/>
    <w:basedOn w:val="1"/>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24">
    <w:name w:val="Sub title 1"/>
    <w:basedOn w:val="204"/>
    <w:qFormat/>
    <w:uiPriority w:val="0"/>
    <w:pPr>
      <w:tabs>
        <w:tab w:val="left" w:pos="1304"/>
      </w:tabs>
      <w:ind w:left="1304" w:hanging="170"/>
    </w:pPr>
    <w:rPr>
      <w:color w:val="auto"/>
    </w:rPr>
  </w:style>
  <w:style w:type="paragraph" w:customStyle="1" w:styleId="225">
    <w:name w:val="xl47"/>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26">
    <w:name w:val="样式 样式 首行缩进:  2 字符 + 首行缩进:  2 字符"/>
    <w:basedOn w:val="1"/>
    <w:qFormat/>
    <w:uiPriority w:val="0"/>
    <w:pPr>
      <w:spacing w:line="360" w:lineRule="auto"/>
      <w:ind w:firstLine="200" w:firstLineChars="200"/>
      <w:jc w:val="left"/>
    </w:pPr>
    <w:rPr>
      <w:rFonts w:cs="宋体"/>
      <w:color w:val="7030A0"/>
      <w:szCs w:val="20"/>
    </w:rPr>
  </w:style>
  <w:style w:type="paragraph" w:customStyle="1" w:styleId="227">
    <w:name w:val="正缩2字符"/>
    <w:basedOn w:val="1"/>
    <w:qFormat/>
    <w:uiPriority w:val="0"/>
    <w:pPr>
      <w:spacing w:line="480" w:lineRule="exact"/>
      <w:ind w:firstLine="200" w:firstLineChars="200"/>
    </w:pPr>
    <w:rPr>
      <w:sz w:val="24"/>
    </w:rPr>
  </w:style>
  <w:style w:type="paragraph" w:customStyle="1" w:styleId="228">
    <w:name w:val="招标文件1.1.1.1"/>
    <w:basedOn w:val="1"/>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229">
    <w:name w:val="样式 样式 宋体 小四 左侧:  1.85 厘米 段前: 11.15 磅 段后: 11.15 磅 + 图案: 清除 (白色)"/>
    <w:basedOn w:val="1"/>
    <w:qFormat/>
    <w:uiPriority w:val="0"/>
    <w:pPr>
      <w:snapToGrid w:val="0"/>
      <w:ind w:left="1049" w:firstLine="200" w:firstLineChars="200"/>
      <w:jc w:val="left"/>
    </w:pPr>
    <w:rPr>
      <w:color w:val="7030A0"/>
      <w:sz w:val="24"/>
      <w:shd w:val="clear" w:color="auto" w:fill="FFFFFF"/>
    </w:rPr>
  </w:style>
  <w:style w:type="paragraph" w:customStyle="1" w:styleId="230">
    <w:name w:val="标书正文1"/>
    <w:basedOn w:val="1"/>
    <w:qFormat/>
    <w:uiPriority w:val="0"/>
    <w:pPr>
      <w:tabs>
        <w:tab w:val="left" w:pos="1438"/>
      </w:tabs>
      <w:spacing w:before="100" w:after="100" w:line="360" w:lineRule="auto"/>
      <w:ind w:left="1438" w:hanging="720"/>
    </w:pPr>
    <w:rPr>
      <w:rFonts w:ascii="宋体" w:hAnsi="宋体"/>
    </w:rPr>
  </w:style>
  <w:style w:type="paragraph" w:customStyle="1" w:styleId="2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2">
    <w:name w:val="级别3"/>
    <w:basedOn w:val="218"/>
    <w:qFormat/>
    <w:uiPriority w:val="0"/>
    <w:pPr>
      <w:ind w:firstLine="425"/>
      <w:outlineLvl w:val="2"/>
    </w:pPr>
    <w:rPr>
      <w:b w:val="0"/>
    </w:rPr>
  </w:style>
  <w:style w:type="paragraph" w:customStyle="1" w:styleId="233">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34">
    <w:name w:val="样式 标题 3列表编号33 bulletb23 bullet1b1213 bullet2b2223 bul...2"/>
    <w:basedOn w:val="1"/>
    <w:qFormat/>
    <w:uiPriority w:val="0"/>
    <w:pPr>
      <w:ind w:left="1320" w:hanging="420" w:firstLineChars="200"/>
      <w:jc w:val="left"/>
    </w:pPr>
    <w:rPr>
      <w:color w:val="7030A0"/>
    </w:rPr>
  </w:style>
  <w:style w:type="paragraph" w:customStyle="1" w:styleId="235">
    <w:name w:val="xl53"/>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36">
    <w:name w:val="附图 BJ8"/>
    <w:basedOn w:val="1"/>
    <w:qFormat/>
    <w:uiPriority w:val="0"/>
    <w:pPr>
      <w:adjustRightInd w:val="0"/>
      <w:snapToGrid w:val="0"/>
      <w:ind w:firstLine="200" w:firstLineChars="200"/>
      <w:jc w:val="center"/>
    </w:pPr>
    <w:rPr>
      <w:rFonts w:hAnsi="Arial"/>
      <w:color w:val="7030A0"/>
      <w:kern w:val="0"/>
    </w:rPr>
  </w:style>
  <w:style w:type="paragraph" w:customStyle="1" w:styleId="237">
    <w:name w:val="xl54"/>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38">
    <w:name w:val="招标文件1"/>
    <w:basedOn w:val="1"/>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239">
    <w:name w:val="Report Level 1"/>
    <w:basedOn w:val="1"/>
    <w:next w:val="240"/>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rPr>
  </w:style>
  <w:style w:type="paragraph" w:customStyle="1" w:styleId="240">
    <w:name w:val="Report Text"/>
    <w:basedOn w:val="1"/>
    <w:qFormat/>
    <w:uiPriority w:val="0"/>
    <w:pPr>
      <w:widowControl/>
      <w:spacing w:after="138"/>
      <w:ind w:left="1080" w:firstLine="200" w:firstLineChars="200"/>
      <w:jc w:val="left"/>
    </w:pPr>
    <w:rPr>
      <w:color w:val="7030A0"/>
      <w:kern w:val="0"/>
      <w:sz w:val="22"/>
      <w:szCs w:val="20"/>
      <w:lang w:eastAsia="en-US"/>
    </w:rPr>
  </w:style>
  <w:style w:type="paragraph" w:customStyle="1" w:styleId="241">
    <w:name w:val="xl59"/>
    <w:basedOn w:val="1"/>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42">
    <w:name w:val="xl45"/>
    <w:basedOn w:val="1"/>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4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44">
    <w:name w:val="xl58"/>
    <w:basedOn w:val="1"/>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45">
    <w:name w:val="级别5"/>
    <w:basedOn w:val="217"/>
    <w:qFormat/>
    <w:uiPriority w:val="0"/>
    <w:pPr>
      <w:outlineLvl w:val="4"/>
    </w:pPr>
  </w:style>
  <w:style w:type="paragraph" w:customStyle="1" w:styleId="246">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247">
    <w:name w:val="级别1"/>
    <w:basedOn w:val="3"/>
    <w:qFormat/>
    <w:uiPriority w:val="0"/>
    <w:pPr>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248">
    <w:name w:val="纯文本1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249">
    <w:name w:val="应答文本"/>
    <w:basedOn w:val="1"/>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250">
    <w:name w:val="标准"/>
    <w:basedOn w:val="1"/>
    <w:qFormat/>
    <w:uiPriority w:val="0"/>
    <w:pPr>
      <w:adjustRightInd w:val="0"/>
      <w:spacing w:line="312" w:lineRule="atLeast"/>
      <w:jc w:val="center"/>
      <w:textAlignment w:val="baseline"/>
    </w:pPr>
    <w:rPr>
      <w:kern w:val="24"/>
      <w:sz w:val="24"/>
    </w:rPr>
  </w:style>
  <w:style w:type="paragraph" w:customStyle="1" w:styleId="251">
    <w:name w:val="1.1"/>
    <w:basedOn w:val="4"/>
    <w:qFormat/>
    <w:uiPriority w:val="0"/>
    <w:pPr>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252">
    <w:name w:val="Char Char Char Char"/>
    <w:basedOn w:val="72"/>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253">
    <w:name w:val="样式 标题2 + 字距调整8 磅"/>
    <w:qFormat/>
    <w:uiPriority w:val="0"/>
    <w:rPr>
      <w:rFonts w:ascii="Times New Roman" w:hAnsi="Times New Roman" w:eastAsia="宋体" w:cs="Times New Roman"/>
      <w:kern w:val="16"/>
      <w:lang w:val="en-US" w:eastAsia="zh-CN" w:bidi="ar-SA"/>
    </w:rPr>
  </w:style>
  <w:style w:type="paragraph" w:customStyle="1" w:styleId="254">
    <w:name w:val="Char Char Char Char Char Char1 Char Char Char Char"/>
    <w:basedOn w:val="1"/>
    <w:qFormat/>
    <w:uiPriority w:val="0"/>
    <w:rPr>
      <w:rFonts w:ascii="仿宋_GB2312" w:eastAsia="仿宋_GB2312"/>
      <w:b/>
      <w:sz w:val="32"/>
      <w:szCs w:val="32"/>
    </w:rPr>
  </w:style>
  <w:style w:type="paragraph" w:customStyle="1" w:styleId="255">
    <w:name w:val="xl32"/>
    <w:basedOn w:val="1"/>
    <w:qFormat/>
    <w:uiPriority w:val="0"/>
    <w:pPr>
      <w:widowControl/>
      <w:spacing w:before="100" w:beforeAutospacing="1" w:after="100" w:afterAutospacing="1"/>
      <w:jc w:val="center"/>
    </w:pPr>
    <w:rPr>
      <w:b/>
      <w:bCs/>
      <w:kern w:val="0"/>
      <w:sz w:val="24"/>
      <w:u w:val="single"/>
    </w:rPr>
  </w:style>
  <w:style w:type="paragraph" w:customStyle="1" w:styleId="25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7">
    <w:name w:val="图1"/>
    <w:basedOn w:val="1"/>
    <w:next w:val="1"/>
    <w:qFormat/>
    <w:uiPriority w:val="0"/>
    <w:pPr>
      <w:tabs>
        <w:tab w:val="left" w:pos="1440"/>
      </w:tabs>
      <w:spacing w:beforeLines="50" w:afterLines="100" w:line="360" w:lineRule="auto"/>
      <w:ind w:left="1105" w:hanging="748"/>
      <w:jc w:val="center"/>
    </w:pPr>
    <w:rPr>
      <w:kern w:val="0"/>
    </w:rPr>
  </w:style>
  <w:style w:type="paragraph" w:customStyle="1" w:styleId="258">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59">
    <w:name w:val="级别6"/>
    <w:basedOn w:val="245"/>
    <w:qFormat/>
    <w:uiPriority w:val="0"/>
    <w:pPr>
      <w:tabs>
        <w:tab w:val="left" w:pos="405"/>
      </w:tabs>
      <w:ind w:left="409" w:hanging="23"/>
      <w:outlineLvl w:val="5"/>
    </w:pPr>
  </w:style>
  <w:style w:type="paragraph" w:customStyle="1" w:styleId="260">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261">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62">
    <w:name w:val="样式 标题 2标题 1.1head:2#2 headlinehheadlineS&amp;R2ERMH2Head 2 +..."/>
    <w:basedOn w:val="4"/>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26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64">
    <w:name w:val="样式4"/>
    <w:basedOn w:val="1"/>
    <w:next w:val="4"/>
    <w:qFormat/>
    <w:uiPriority w:val="0"/>
    <w:pPr>
      <w:tabs>
        <w:tab w:val="left" w:pos="360"/>
      </w:tabs>
      <w:spacing w:line="360" w:lineRule="auto"/>
      <w:ind w:left="360" w:hanging="360"/>
    </w:pPr>
    <w:rPr>
      <w:rFonts w:ascii="宋体" w:hAnsi="宋体"/>
      <w:b/>
      <w:sz w:val="28"/>
      <w:szCs w:val="20"/>
    </w:rPr>
  </w:style>
  <w:style w:type="paragraph" w:customStyle="1" w:styleId="265">
    <w:name w:val="一"/>
    <w:basedOn w:val="3"/>
    <w:qFormat/>
    <w:uiPriority w:val="0"/>
    <w:pPr>
      <w:autoSpaceDE w:val="0"/>
      <w:autoSpaceDN w:val="0"/>
      <w:adjustRightInd w:val="0"/>
      <w:spacing w:before="0" w:after="0" w:line="360" w:lineRule="auto"/>
      <w:jc w:val="left"/>
    </w:pPr>
    <w:rPr>
      <w:rFonts w:ascii="宋体" w:hAnsi="宋体"/>
      <w:kern w:val="0"/>
      <w:sz w:val="28"/>
      <w:szCs w:val="20"/>
    </w:rPr>
  </w:style>
  <w:style w:type="paragraph" w:customStyle="1" w:styleId="266">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267">
    <w:name w:val="xl50"/>
    <w:basedOn w:val="1"/>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68">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69">
    <w:name w:val="xl49"/>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70">
    <w:name w:val="三点段 Char"/>
    <w:basedOn w:val="1"/>
    <w:qFormat/>
    <w:uiPriority w:val="0"/>
    <w:pPr>
      <w:spacing w:line="360" w:lineRule="auto"/>
      <w:ind w:left="1200" w:hanging="1200" w:hangingChars="500"/>
    </w:pPr>
    <w:rPr>
      <w:rFonts w:hint="eastAsia" w:ascii="宋体"/>
      <w:sz w:val="24"/>
    </w:rPr>
  </w:style>
  <w:style w:type="paragraph" w:customStyle="1" w:styleId="271">
    <w:name w:val="样式2"/>
    <w:basedOn w:val="1"/>
    <w:qFormat/>
    <w:uiPriority w:val="0"/>
    <w:pPr>
      <w:adjustRightInd w:val="0"/>
      <w:spacing w:before="120" w:after="120" w:line="312" w:lineRule="atLeast"/>
      <w:jc w:val="center"/>
      <w:textAlignment w:val="baseline"/>
    </w:pPr>
    <w:rPr>
      <w:kern w:val="0"/>
      <w:sz w:val="24"/>
      <w:szCs w:val="20"/>
    </w:rPr>
  </w:style>
  <w:style w:type="paragraph" w:customStyle="1" w:styleId="272">
    <w:name w:val="小标题一"/>
    <w:basedOn w:val="1"/>
    <w:next w:val="1"/>
    <w:qFormat/>
    <w:uiPriority w:val="0"/>
    <w:pPr>
      <w:tabs>
        <w:tab w:val="left" w:pos="1080"/>
      </w:tabs>
      <w:spacing w:line="500" w:lineRule="exact"/>
      <w:ind w:left="1080" w:hanging="1080"/>
    </w:pPr>
    <w:rPr>
      <w:sz w:val="28"/>
      <w:szCs w:val="20"/>
    </w:rPr>
  </w:style>
  <w:style w:type="paragraph" w:customStyle="1" w:styleId="273">
    <w:name w:val="Char"/>
    <w:basedOn w:val="1"/>
    <w:qFormat/>
    <w:uiPriority w:val="0"/>
    <w:rPr>
      <w:rFonts w:ascii="仿宋_GB2312" w:eastAsia="仿宋_GB2312"/>
      <w:b/>
      <w:sz w:val="32"/>
      <w:szCs w:val="32"/>
    </w:rPr>
  </w:style>
  <w:style w:type="paragraph" w:customStyle="1" w:styleId="274">
    <w:name w:val="文档正文"/>
    <w:basedOn w:val="1"/>
    <w:qFormat/>
    <w:uiPriority w:val="0"/>
    <w:pPr>
      <w:spacing w:line="360" w:lineRule="auto"/>
      <w:ind w:firstLine="200" w:firstLineChars="200"/>
    </w:pPr>
    <w:rPr>
      <w:rFonts w:ascii="宋体" w:hAnsi="宋体"/>
      <w:sz w:val="24"/>
    </w:rPr>
  </w:style>
  <w:style w:type="paragraph" w:customStyle="1" w:styleId="275">
    <w:name w:val="标题1"/>
    <w:basedOn w:val="3"/>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276">
    <w:name w:val="合同书"/>
    <w:basedOn w:val="1"/>
    <w:qFormat/>
    <w:uiPriority w:val="0"/>
    <w:pPr>
      <w:spacing w:afterLines="100"/>
      <w:jc w:val="center"/>
    </w:pPr>
    <w:rPr>
      <w:rFonts w:hAnsi="宋体"/>
      <w:b/>
      <w:color w:val="000000"/>
      <w:sz w:val="44"/>
      <w:szCs w:val="44"/>
    </w:rPr>
  </w:style>
  <w:style w:type="paragraph" w:customStyle="1" w:styleId="277">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278">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279">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280">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281">
    <w:name w:val="样式 目录 1 + 左侧:  3 字符"/>
    <w:basedOn w:val="32"/>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282">
    <w:name w:val="章节标题 BJ8"/>
    <w:basedOn w:val="140"/>
    <w:next w:val="140"/>
    <w:qFormat/>
    <w:uiPriority w:val="0"/>
    <w:pPr>
      <w:ind w:firstLine="0" w:firstLineChars="0"/>
      <w:jc w:val="center"/>
    </w:pPr>
    <w:rPr>
      <w:rFonts w:eastAsia="黑体"/>
      <w:b/>
      <w:sz w:val="44"/>
      <w:szCs w:val="84"/>
    </w:rPr>
  </w:style>
  <w:style w:type="paragraph" w:customStyle="1" w:styleId="283">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284">
    <w:name w:val="表格"/>
    <w:basedOn w:val="1"/>
    <w:qFormat/>
    <w:uiPriority w:val="0"/>
    <w:pPr>
      <w:widowControl/>
      <w:snapToGrid w:val="0"/>
      <w:spacing w:before="60" w:after="60"/>
      <w:jc w:val="left"/>
    </w:pPr>
    <w:rPr>
      <w:rFonts w:ascii="宋体"/>
      <w:sz w:val="20"/>
      <w:szCs w:val="20"/>
    </w:rPr>
  </w:style>
  <w:style w:type="paragraph" w:customStyle="1" w:styleId="285">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8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8">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289">
    <w:name w:val="大标题"/>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290">
    <w:name w:val="重点"/>
    <w:basedOn w:val="1"/>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291">
    <w:name w:val="青岛正文"/>
    <w:basedOn w:val="1"/>
    <w:qFormat/>
    <w:uiPriority w:val="0"/>
    <w:pPr>
      <w:spacing w:line="360" w:lineRule="auto"/>
    </w:pPr>
    <w:rPr>
      <w:sz w:val="28"/>
    </w:rPr>
  </w:style>
  <w:style w:type="paragraph" w:customStyle="1" w:styleId="292">
    <w:name w:val="样式 样式 列表框 Char Char Char Char Char + 右侧:  -0.05 字符 段后: 0.5 行 + 右..."/>
    <w:basedOn w:val="293"/>
    <w:qFormat/>
    <w:uiPriority w:val="0"/>
    <w:pPr>
      <w:tabs>
        <w:tab w:val="left" w:pos="375"/>
        <w:tab w:val="left" w:pos="630"/>
      </w:tabs>
    </w:pPr>
  </w:style>
  <w:style w:type="paragraph" w:customStyle="1" w:styleId="293">
    <w:name w:val="样式 列表框 Char Char Char Char Char + 右侧:  -0.05 字符 段后: 0.5 行"/>
    <w:basedOn w:val="176"/>
    <w:qFormat/>
    <w:uiPriority w:val="0"/>
    <w:pPr>
      <w:tabs>
        <w:tab w:val="left" w:pos="375"/>
        <w:tab w:val="clear" w:pos="450"/>
        <w:tab w:val="clear" w:pos="874"/>
      </w:tabs>
      <w:ind w:left="0" w:firstLine="0"/>
    </w:pPr>
    <w:rPr>
      <w:szCs w:val="20"/>
    </w:rPr>
  </w:style>
  <w:style w:type="paragraph" w:customStyle="1" w:styleId="294">
    <w:name w:val="xl39"/>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95">
    <w:name w:val="正文文本 211"/>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296">
    <w:name w:val="Report Heading"/>
    <w:basedOn w:val="1"/>
    <w:next w:val="1"/>
    <w:qFormat/>
    <w:uiPriority w:val="0"/>
    <w:pPr>
      <w:keepNext/>
      <w:widowControl/>
      <w:spacing w:before="120" w:after="138"/>
      <w:ind w:left="1080" w:firstLine="200" w:firstLineChars="200"/>
      <w:jc w:val="left"/>
    </w:pPr>
    <w:rPr>
      <w:rFonts w:ascii="Arial" w:hAnsi="Arial"/>
      <w:b/>
      <w:color w:val="7030A0"/>
      <w:kern w:val="0"/>
      <w:sz w:val="22"/>
      <w:szCs w:val="20"/>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98">
    <w:name w:val="修订1"/>
    <w:qFormat/>
    <w:uiPriority w:val="0"/>
    <w:rPr>
      <w:rFonts w:ascii="Times New Roman" w:hAnsi="Times New Roman" w:eastAsia="宋体" w:cs="Times New Roman"/>
      <w:kern w:val="2"/>
      <w:sz w:val="21"/>
      <w:lang w:val="en-US" w:eastAsia="zh-CN" w:bidi="ar-SA"/>
    </w:rPr>
  </w:style>
  <w:style w:type="paragraph" w:customStyle="1" w:styleId="299">
    <w:name w:val="正文C"/>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300">
    <w:name w:val="文档结构图2"/>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01">
    <w:name w:val="Char Char Char Char11"/>
    <w:basedOn w:val="1"/>
    <w:qFormat/>
    <w:uiPriority w:val="0"/>
    <w:pPr>
      <w:ind w:firstLine="200" w:firstLineChars="200"/>
      <w:jc w:val="left"/>
    </w:pPr>
    <w:rPr>
      <w:rFonts w:ascii="仿宋_GB2312" w:eastAsia="仿宋_GB2312"/>
      <w:b/>
      <w:color w:val="7030A0"/>
      <w:sz w:val="32"/>
      <w:szCs w:val="32"/>
    </w:rPr>
  </w:style>
  <w:style w:type="paragraph" w:customStyle="1" w:styleId="302">
    <w:name w:val="样式 标题 2标题 1.1编号标题2head:2#2 headlinehheadlineS&amp;R2ERMH2He..."/>
    <w:basedOn w:val="4"/>
    <w:qFormat/>
    <w:uiPriority w:val="0"/>
    <w:pPr>
      <w:spacing w:before="120" w:after="120" w:line="500" w:lineRule="exact"/>
      <w:jc w:val="left"/>
    </w:pPr>
    <w:rPr>
      <w:rFonts w:cs="宋体"/>
      <w:color w:val="C00000"/>
      <w:kern w:val="44"/>
      <w:sz w:val="28"/>
      <w:szCs w:val="20"/>
    </w:rPr>
  </w:style>
  <w:style w:type="paragraph" w:customStyle="1" w:styleId="303">
    <w:name w:val="章节标题 QD3"/>
    <w:basedOn w:val="139"/>
    <w:next w:val="139"/>
    <w:qFormat/>
    <w:uiPriority w:val="0"/>
    <w:pPr>
      <w:ind w:firstLine="0" w:firstLineChars="0"/>
      <w:jc w:val="center"/>
    </w:pPr>
    <w:rPr>
      <w:rFonts w:eastAsia="黑体"/>
      <w:b/>
      <w:sz w:val="44"/>
      <w:szCs w:val="84"/>
    </w:rPr>
  </w:style>
  <w:style w:type="paragraph" w:customStyle="1" w:styleId="304">
    <w:name w:val="Char2"/>
    <w:basedOn w:val="1"/>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05">
    <w:name w:val="xiao b"/>
    <w:basedOn w:val="1"/>
    <w:qFormat/>
    <w:uiPriority w:val="0"/>
    <w:pPr>
      <w:ind w:firstLine="200" w:firstLineChars="200"/>
      <w:jc w:val="center"/>
    </w:pPr>
    <w:rPr>
      <w:rFonts w:eastAsia="黑体"/>
      <w:color w:val="7030A0"/>
      <w:sz w:val="24"/>
      <w:szCs w:val="20"/>
    </w:rPr>
  </w:style>
  <w:style w:type="paragraph" w:customStyle="1" w:styleId="306">
    <w:name w:val="样式 标题 4 + 加粗"/>
    <w:basedOn w:val="5"/>
    <w:qFormat/>
    <w:uiPriority w:val="0"/>
    <w:pPr>
      <w:spacing w:before="120" w:after="0" w:line="240" w:lineRule="auto"/>
      <w:jc w:val="left"/>
    </w:pPr>
    <w:rPr>
      <w:rFonts w:ascii="Times New Roman" w:hAnsi="Times New Roman"/>
      <w:b w:val="0"/>
      <w:color w:val="00B050"/>
      <w:sz w:val="24"/>
    </w:rPr>
  </w:style>
  <w:style w:type="paragraph" w:customStyle="1" w:styleId="307">
    <w:name w:val="Plain Text1"/>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08">
    <w:name w:val="Char Char Char Char1"/>
    <w:basedOn w:val="1"/>
    <w:qFormat/>
    <w:uiPriority w:val="0"/>
    <w:pPr>
      <w:ind w:firstLine="200" w:firstLineChars="200"/>
      <w:jc w:val="left"/>
    </w:pPr>
    <w:rPr>
      <w:rFonts w:ascii="仿宋_GB2312" w:eastAsia="仿宋_GB2312"/>
      <w:b/>
      <w:color w:val="7030A0"/>
      <w:sz w:val="32"/>
      <w:szCs w:val="32"/>
    </w:rPr>
  </w:style>
  <w:style w:type="paragraph" w:customStyle="1" w:styleId="309">
    <w:name w:val="Plain Text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10">
    <w:name w:val="正文2"/>
    <w:basedOn w:val="19"/>
    <w:qFormat/>
    <w:uiPriority w:val="0"/>
    <w:pPr>
      <w:ind w:firstLine="480" w:firstLineChars="200"/>
      <w:jc w:val="left"/>
    </w:pPr>
    <w:rPr>
      <w:rFonts w:ascii="宋体"/>
      <w:color w:val="7030A0"/>
    </w:rPr>
  </w:style>
  <w:style w:type="paragraph" w:customStyle="1" w:styleId="311">
    <w:name w:val="列表框1"/>
    <w:basedOn w:val="249"/>
    <w:next w:val="249"/>
    <w:qFormat/>
    <w:uiPriority w:val="0"/>
    <w:pPr>
      <w:tabs>
        <w:tab w:val="left" w:pos="960"/>
        <w:tab w:val="left" w:pos="1314"/>
      </w:tabs>
      <w:snapToGrid w:val="0"/>
      <w:ind w:left="1328" w:leftChars="397" w:hanging="375" w:hangingChars="163"/>
    </w:pPr>
    <w:rPr>
      <w:rFonts w:cs="Arial"/>
    </w:rPr>
  </w:style>
  <w:style w:type="paragraph" w:customStyle="1" w:styleId="312">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13">
    <w:name w:val="五级"/>
    <w:basedOn w:val="4"/>
    <w:qFormat/>
    <w:uiPriority w:val="0"/>
    <w:pPr>
      <w:tabs>
        <w:tab w:val="left" w:pos="851"/>
      </w:tabs>
      <w:spacing w:before="0" w:after="0" w:line="360" w:lineRule="auto"/>
      <w:ind w:left="851" w:hanging="851"/>
      <w:jc w:val="left"/>
    </w:pPr>
    <w:rPr>
      <w:rFonts w:ascii="宋体" w:hAnsi="宋体" w:eastAsia="宋体"/>
      <w:b w:val="0"/>
      <w:color w:val="C00000"/>
      <w:sz w:val="24"/>
    </w:rPr>
  </w:style>
  <w:style w:type="paragraph" w:customStyle="1" w:styleId="314">
    <w:name w:val="1."/>
    <w:basedOn w:val="1"/>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315">
    <w:name w:val="xl57"/>
    <w:basedOn w:val="1"/>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16">
    <w:name w:val="正文点缩进"/>
    <w:basedOn w:val="1"/>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317">
    <w:name w:val="xl41"/>
    <w:basedOn w:val="1"/>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318">
    <w:name w:val="样式 左侧:  2 字符 首行缩进:  0.85 厘米"/>
    <w:basedOn w:val="1"/>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19">
    <w:name w:val="xl55"/>
    <w:basedOn w:val="1"/>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0">
    <w:name w:val="Char Char Char Char Char Char Char Char"/>
    <w:basedOn w:val="1"/>
    <w:qFormat/>
    <w:uiPriority w:val="0"/>
    <w:pPr>
      <w:ind w:firstLine="200" w:firstLineChars="200"/>
      <w:jc w:val="left"/>
    </w:pPr>
    <w:rPr>
      <w:rFonts w:ascii="Tahoma" w:hAnsi="Tahoma"/>
      <w:color w:val="7030A0"/>
      <w:sz w:val="24"/>
      <w:szCs w:val="20"/>
    </w:rPr>
  </w:style>
  <w:style w:type="paragraph" w:customStyle="1" w:styleId="321">
    <w:name w:val="StandardOhneEinzug"/>
    <w:basedOn w:val="1"/>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rPr>
  </w:style>
  <w:style w:type="paragraph" w:customStyle="1" w:styleId="322">
    <w:name w:val="投标正文"/>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23">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324">
    <w:name w:val="标书正文"/>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25">
    <w:name w:val="xl44"/>
    <w:basedOn w:val="1"/>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326">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27">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28">
    <w:name w:val="xl46"/>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9">
    <w:name w:val="xl48"/>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0">
    <w:name w:val="xl60"/>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31">
    <w:name w:val="样式 目录 1"/>
    <w:basedOn w:val="32"/>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332">
    <w:name w:val="A-12"/>
    <w:basedOn w:val="1"/>
    <w:qFormat/>
    <w:uiPriority w:val="0"/>
    <w:pPr>
      <w:widowControl/>
      <w:ind w:firstLine="200" w:firstLineChars="200"/>
      <w:jc w:val="left"/>
    </w:pPr>
    <w:rPr>
      <w:rFonts w:ascii="Arial" w:hAnsi="Arial"/>
      <w:color w:val="7030A0"/>
      <w:kern w:val="0"/>
      <w:sz w:val="24"/>
      <w:szCs w:val="20"/>
    </w:rPr>
  </w:style>
  <w:style w:type="paragraph" w:customStyle="1" w:styleId="333">
    <w:name w:val="样式 样式 样式 宋体 小四 左侧:  1.85 厘米 段前: 11.15 磅 段后: 11.15 磅 + 图案: 清除 (白色..."/>
    <w:basedOn w:val="229"/>
    <w:qFormat/>
    <w:uiPriority w:val="0"/>
    <w:pPr>
      <w:spacing w:beforeLines="50" w:afterLines="50"/>
      <w:ind w:left="318"/>
    </w:pPr>
    <w:rPr>
      <w:szCs w:val="20"/>
    </w:rPr>
  </w:style>
  <w:style w:type="paragraph" w:customStyle="1" w:styleId="334">
    <w:name w:val="无间隔1"/>
    <w:qFormat/>
    <w:uiPriority w:val="0"/>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35">
    <w:name w:val="正文文本缩进 32"/>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36">
    <w:name w:val="一级条标题"/>
    <w:basedOn w:val="1"/>
    <w:next w:val="1"/>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337">
    <w:name w:val="样式 样式 正文（首行缩进两字） + 宋体 小四 首行缩进:  0 厘米 段前: 11.15 磅 段后: 11.15 磅 + 左...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38">
    <w:name w:val="Char Char Char Char Char Char Char Char1"/>
    <w:basedOn w:val="1"/>
    <w:qFormat/>
    <w:uiPriority w:val="0"/>
    <w:pPr>
      <w:ind w:firstLine="200" w:firstLineChars="200"/>
      <w:jc w:val="left"/>
    </w:pPr>
    <w:rPr>
      <w:rFonts w:ascii="Tahoma" w:hAnsi="Tahoma"/>
      <w:color w:val="7030A0"/>
      <w:sz w:val="24"/>
      <w:szCs w:val="20"/>
    </w:rPr>
  </w:style>
  <w:style w:type="paragraph" w:customStyle="1" w:styleId="339">
    <w:name w:val="三级条标题"/>
    <w:basedOn w:val="340"/>
    <w:next w:val="1"/>
    <w:qFormat/>
    <w:uiPriority w:val="0"/>
    <w:pPr>
      <w:tabs>
        <w:tab w:val="left" w:pos="425"/>
      </w:tabs>
      <w:outlineLvl w:val="4"/>
    </w:pPr>
  </w:style>
  <w:style w:type="paragraph" w:customStyle="1" w:styleId="340">
    <w:name w:val="二级条标题"/>
    <w:basedOn w:val="336"/>
    <w:next w:val="1"/>
    <w:qFormat/>
    <w:uiPriority w:val="0"/>
    <w:pPr>
      <w:tabs>
        <w:tab w:val="clear" w:pos="525"/>
      </w:tabs>
      <w:ind w:firstLine="0" w:firstLineChars="0"/>
      <w:outlineLvl w:val="3"/>
    </w:pPr>
  </w:style>
  <w:style w:type="paragraph" w:customStyle="1" w:styleId="341">
    <w:name w:val="样式 宋体 小四 左 图案: 清除 (白色) 行距: 1.5 倍行距"/>
    <w:basedOn w:val="1"/>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42">
    <w:name w:val="四级条标题"/>
    <w:basedOn w:val="339"/>
    <w:next w:val="1"/>
    <w:qFormat/>
    <w:uiPriority w:val="0"/>
    <w:pPr>
      <w:outlineLvl w:val="5"/>
    </w:pPr>
  </w:style>
  <w:style w:type="paragraph" w:customStyle="1" w:styleId="343">
    <w:name w:val="六级标题格式"/>
    <w:basedOn w:val="1"/>
    <w:qFormat/>
    <w:uiPriority w:val="0"/>
    <w:pPr>
      <w:spacing w:afterLines="50" w:line="336" w:lineRule="auto"/>
      <w:ind w:firstLine="200" w:firstLineChars="200"/>
      <w:jc w:val="left"/>
      <w:outlineLvl w:val="5"/>
    </w:pPr>
    <w:rPr>
      <w:color w:val="7030A0"/>
      <w:sz w:val="24"/>
    </w:rPr>
  </w:style>
  <w:style w:type="paragraph" w:customStyle="1" w:styleId="344">
    <w:name w:val="附图 BJ15"/>
    <w:basedOn w:val="1"/>
    <w:qFormat/>
    <w:uiPriority w:val="0"/>
    <w:pPr>
      <w:adjustRightInd w:val="0"/>
      <w:snapToGrid w:val="0"/>
      <w:ind w:firstLine="200" w:firstLineChars="200"/>
      <w:jc w:val="center"/>
    </w:pPr>
    <w:rPr>
      <w:rFonts w:hAnsi="Arial"/>
      <w:color w:val="7030A0"/>
      <w:kern w:val="0"/>
    </w:rPr>
  </w:style>
  <w:style w:type="paragraph" w:customStyle="1" w:styleId="345">
    <w:name w:val="正文文本缩进 311"/>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46">
    <w:name w:val="TOC 标题1"/>
    <w:basedOn w:val="3"/>
    <w:next w:val="1"/>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347">
    <w:name w:val="Report Level 2"/>
    <w:basedOn w:val="239"/>
    <w:next w:val="240"/>
    <w:qFormat/>
    <w:uiPriority w:val="0"/>
    <w:pPr>
      <w:tabs>
        <w:tab w:val="left" w:pos="1500"/>
        <w:tab w:val="clear" w:pos="1080"/>
      </w:tabs>
      <w:ind w:left="1500"/>
      <w:outlineLvl w:val="1"/>
    </w:pPr>
    <w:rPr>
      <w:caps w:val="0"/>
    </w:rPr>
  </w:style>
  <w:style w:type="paragraph" w:customStyle="1" w:styleId="348">
    <w:name w:val="Report Level 3"/>
    <w:basedOn w:val="239"/>
    <w:next w:val="240"/>
    <w:qFormat/>
    <w:uiPriority w:val="0"/>
    <w:pPr>
      <w:tabs>
        <w:tab w:val="left" w:pos="1889"/>
        <w:tab w:val="clear" w:pos="1080"/>
      </w:tabs>
      <w:spacing w:before="120"/>
      <w:ind w:left="1889" w:hanging="420"/>
      <w:outlineLvl w:val="2"/>
    </w:pPr>
    <w:rPr>
      <w:caps w:val="0"/>
      <w:sz w:val="20"/>
    </w:rPr>
  </w:style>
  <w:style w:type="paragraph" w:customStyle="1" w:styleId="349">
    <w:name w:val="Report Level 4"/>
    <w:basedOn w:val="348"/>
    <w:next w:val="240"/>
    <w:qFormat/>
    <w:uiPriority w:val="0"/>
    <w:pPr>
      <w:tabs>
        <w:tab w:val="left" w:pos="720"/>
        <w:tab w:val="left" w:pos="2309"/>
        <w:tab w:val="clear" w:pos="1889"/>
      </w:tabs>
      <w:ind w:left="720" w:hanging="720"/>
      <w:outlineLvl w:val="3"/>
    </w:pPr>
    <w:rPr>
      <w:rFonts w:ascii="Times New Roman" w:hAnsi="Times New Roman"/>
    </w:rPr>
  </w:style>
  <w:style w:type="paragraph" w:customStyle="1" w:styleId="350">
    <w:name w:val="样式3"/>
    <w:basedOn w:val="2"/>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351">
    <w:name w:val="小标4"/>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352">
    <w:name w:val="样式 标题2 1.1 + 段前: 0 磅 段后: 0 磅"/>
    <w:basedOn w:val="1"/>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353">
    <w:name w:val="表格文字格式"/>
    <w:basedOn w:val="1"/>
    <w:qFormat/>
    <w:uiPriority w:val="0"/>
    <w:pPr>
      <w:snapToGrid w:val="0"/>
      <w:jc w:val="center"/>
    </w:pPr>
    <w:rPr>
      <w:rFonts w:cs="宋体"/>
      <w:szCs w:val="20"/>
    </w:rPr>
  </w:style>
  <w:style w:type="paragraph" w:customStyle="1" w:styleId="354">
    <w:name w:val="正文文本 22"/>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355">
    <w:name w:val="样式 宋体 小四 首行缩进:  0.93 厘米 段前: 11.15 磅 段后: 11.15 磅1 Char"/>
    <w:basedOn w:val="1"/>
    <w:qFormat/>
    <w:uiPriority w:val="0"/>
    <w:pPr>
      <w:adjustRightInd w:val="0"/>
      <w:snapToGrid w:val="0"/>
      <w:ind w:left="200" w:leftChars="200" w:firstLine="200" w:firstLineChars="200"/>
      <w:jc w:val="left"/>
    </w:pPr>
    <w:rPr>
      <w:rFonts w:ascii="宋体"/>
      <w:color w:val="7030A0"/>
      <w:sz w:val="24"/>
      <w:szCs w:val="20"/>
    </w:rPr>
  </w:style>
  <w:style w:type="paragraph" w:customStyle="1" w:styleId="356">
    <w:name w:val="五级条标题"/>
    <w:basedOn w:val="342"/>
    <w:next w:val="1"/>
    <w:qFormat/>
    <w:uiPriority w:val="0"/>
    <w:pPr>
      <w:outlineLvl w:val="6"/>
    </w:pPr>
  </w:style>
  <w:style w:type="paragraph" w:customStyle="1" w:styleId="357">
    <w:name w:val="文档结构图11"/>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58">
    <w:name w:val="註解方塊文字2"/>
    <w:basedOn w:val="1"/>
    <w:qFormat/>
    <w:uiPriority w:val="0"/>
    <w:rPr>
      <w:rFonts w:ascii="Arial" w:hAnsi="Arial" w:eastAsia="PMingLiU"/>
      <w:color w:val="7030A0"/>
      <w:sz w:val="18"/>
      <w:szCs w:val="18"/>
    </w:rPr>
  </w:style>
  <w:style w:type="paragraph" w:customStyle="1" w:styleId="359">
    <w:name w:val="正文文本缩进 22"/>
    <w:basedOn w:val="1"/>
    <w:qFormat/>
    <w:uiPriority w:val="0"/>
    <w:pPr>
      <w:autoSpaceDE w:val="0"/>
      <w:autoSpaceDN w:val="0"/>
      <w:adjustRightInd w:val="0"/>
      <w:ind w:firstLine="420" w:firstLineChars="200"/>
      <w:jc w:val="left"/>
      <w:textAlignment w:val="baseline"/>
    </w:pPr>
    <w:rPr>
      <w:color w:val="7030A0"/>
      <w:szCs w:val="20"/>
    </w:rPr>
  </w:style>
  <w:style w:type="paragraph" w:customStyle="1" w:styleId="360">
    <w:name w:val="纯文本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1">
    <w:name w:val="三级标题格式"/>
    <w:basedOn w:val="2"/>
    <w:qFormat/>
    <w:uiPriority w:val="0"/>
    <w:pPr>
      <w:spacing w:before="0" w:afterLines="100" w:line="240" w:lineRule="auto"/>
      <w:jc w:val="left"/>
    </w:pPr>
    <w:rPr>
      <w:rFonts w:eastAsia="黑体"/>
      <w:b w:val="0"/>
      <w:sz w:val="28"/>
      <w:szCs w:val="28"/>
    </w:rPr>
  </w:style>
  <w:style w:type="paragraph" w:customStyle="1" w:styleId="362">
    <w:name w:val="正文缩进11"/>
    <w:basedOn w:val="1"/>
    <w:link w:val="421"/>
    <w:qFormat/>
    <w:uiPriority w:val="0"/>
    <w:pPr>
      <w:spacing w:line="360" w:lineRule="auto"/>
      <w:ind w:firstLine="420"/>
    </w:pPr>
  </w:style>
  <w:style w:type="paragraph" w:customStyle="1" w:styleId="363">
    <w:name w:val="图文"/>
    <w:basedOn w:val="1"/>
    <w:qFormat/>
    <w:uiPriority w:val="0"/>
    <w:pPr>
      <w:adjustRightInd w:val="0"/>
      <w:snapToGrid w:val="0"/>
      <w:spacing w:after="50" w:line="360" w:lineRule="auto"/>
    </w:pPr>
    <w:rPr>
      <w:sz w:val="24"/>
    </w:rPr>
  </w:style>
  <w:style w:type="character" w:customStyle="1" w:styleId="364">
    <w:name w:val="页码1"/>
    <w:basedOn w:val="43"/>
    <w:qFormat/>
    <w:uiPriority w:val="0"/>
  </w:style>
  <w:style w:type="character" w:customStyle="1" w:styleId="365">
    <w:name w:val="批注框文本 Char Char Char Char"/>
    <w:link w:val="100"/>
    <w:semiHidden/>
    <w:qFormat/>
    <w:uiPriority w:val="0"/>
    <w:rPr>
      <w:rFonts w:ascii="Times New Roman" w:hAnsi="Times New Roman" w:eastAsia="宋体" w:cs="Times New Roman"/>
      <w:sz w:val="18"/>
      <w:szCs w:val="18"/>
    </w:rPr>
  </w:style>
  <w:style w:type="character" w:customStyle="1" w:styleId="366">
    <w:name w:val="HTML 打字机1"/>
    <w:qFormat/>
    <w:uiPriority w:val="0"/>
    <w:rPr>
      <w:rFonts w:ascii="黑体" w:hAnsi="Courier New" w:eastAsia="黑体" w:cs="Courier New"/>
      <w:sz w:val="20"/>
      <w:szCs w:val="20"/>
    </w:rPr>
  </w:style>
  <w:style w:type="character" w:customStyle="1" w:styleId="367">
    <w:name w:val="批注引用1"/>
    <w:qFormat/>
    <w:uiPriority w:val="0"/>
    <w:rPr>
      <w:sz w:val="21"/>
      <w:szCs w:val="21"/>
    </w:rPr>
  </w:style>
  <w:style w:type="character" w:customStyle="1" w:styleId="368">
    <w:name w:val="四级标题格式 Char Char"/>
    <w:link w:val="124"/>
    <w:semiHidden/>
    <w:qFormat/>
    <w:uiPriority w:val="0"/>
    <w:rPr>
      <w:rFonts w:ascii="Times New Roman" w:hAnsi="Times New Roman" w:eastAsia="黑体"/>
      <w:bCs/>
      <w:kern w:val="2"/>
      <w:sz w:val="28"/>
      <w:szCs w:val="28"/>
    </w:rPr>
  </w:style>
  <w:style w:type="character" w:customStyle="1" w:styleId="369">
    <w:name w:val="标题 5 Char1"/>
    <w:link w:val="6"/>
    <w:qFormat/>
    <w:uiPriority w:val="0"/>
    <w:rPr>
      <w:rFonts w:ascii="Times New Roman" w:hAnsi="Times New Roman"/>
      <w:b/>
      <w:kern w:val="2"/>
      <w:sz w:val="28"/>
    </w:rPr>
  </w:style>
  <w:style w:type="character" w:customStyle="1" w:styleId="370">
    <w:name w:val="样式 标题 31.1条标题1.1.1二级节名h3Heading 3 - oldheading 3H3H31H3... Char Char"/>
    <w:qFormat/>
    <w:uiPriority w:val="0"/>
    <w:rPr>
      <w:rFonts w:ascii="宋体" w:hAnsi="宋体" w:eastAsia="黑体"/>
      <w:kern w:val="2"/>
      <w:sz w:val="24"/>
      <w:szCs w:val="21"/>
    </w:rPr>
  </w:style>
  <w:style w:type="character" w:customStyle="1" w:styleId="371">
    <w:name w:val="标题3 Char Char"/>
    <w:link w:val="125"/>
    <w:semiHidden/>
    <w:qFormat/>
    <w:uiPriority w:val="0"/>
    <w:rPr>
      <w:rFonts w:ascii="宋体" w:hAnsi="宋体"/>
      <w:b/>
      <w:bCs/>
      <w:color w:val="92D050"/>
      <w:kern w:val="44"/>
      <w:sz w:val="24"/>
      <w:szCs w:val="21"/>
    </w:rPr>
  </w:style>
  <w:style w:type="character" w:customStyle="1" w:styleId="372">
    <w:name w:val="selected"/>
    <w:qFormat/>
    <w:uiPriority w:val="0"/>
    <w:rPr>
      <w:shd w:val="clear" w:color="auto" w:fill="B00006"/>
    </w:rPr>
  </w:style>
  <w:style w:type="character" w:customStyle="1" w:styleId="373">
    <w:name w:val="样式 宋体 行距: 固定值 24 磅 Char Char"/>
    <w:link w:val="126"/>
    <w:semiHidden/>
    <w:qFormat/>
    <w:uiPriority w:val="0"/>
    <w:rPr>
      <w:rFonts w:ascii="宋体" w:cs="宋体"/>
      <w:color w:val="7030A0"/>
      <w:kern w:val="2"/>
      <w:sz w:val="28"/>
    </w:rPr>
  </w:style>
  <w:style w:type="character" w:customStyle="1" w:styleId="374">
    <w:name w:val="样式 首行缩进:  2 字符 Char1"/>
    <w:link w:val="127"/>
    <w:semiHidden/>
    <w:qFormat/>
    <w:uiPriority w:val="0"/>
    <w:rPr>
      <w:rFonts w:ascii="Times New Roman" w:hAnsi="Times New Roman"/>
      <w:color w:val="7030A0"/>
      <w:kern w:val="2"/>
      <w:sz w:val="24"/>
    </w:rPr>
  </w:style>
  <w:style w:type="character" w:customStyle="1" w:styleId="375">
    <w:name w:val="日期 Char1"/>
    <w:qFormat/>
    <w:uiPriority w:val="0"/>
    <w:rPr>
      <w:rFonts w:ascii="Times New Roman" w:hAnsi="Times New Roman"/>
      <w:kern w:val="2"/>
      <w:sz w:val="21"/>
      <w:szCs w:val="24"/>
    </w:rPr>
  </w:style>
  <w:style w:type="character" w:customStyle="1" w:styleId="376">
    <w:name w:val="正文－wjnew Char Char"/>
    <w:link w:val="128"/>
    <w:semiHidden/>
    <w:qFormat/>
    <w:uiPriority w:val="0"/>
    <w:rPr>
      <w:rFonts w:ascii="宋体" w:cs="宋体"/>
      <w:kern w:val="2"/>
      <w:sz w:val="21"/>
      <w:szCs w:val="21"/>
    </w:rPr>
  </w:style>
  <w:style w:type="character" w:customStyle="1" w:styleId="377">
    <w:name w:val="标题 4 Char1"/>
    <w:qFormat/>
    <w:uiPriority w:val="0"/>
    <w:rPr>
      <w:rFonts w:ascii="宋体" w:hAnsi="宋体"/>
      <w:b/>
      <w:bCs/>
      <w:kern w:val="2"/>
      <w:sz w:val="21"/>
    </w:rPr>
  </w:style>
  <w:style w:type="character" w:customStyle="1" w:styleId="378">
    <w:name w:val="(1) Char Char"/>
    <w:link w:val="129"/>
    <w:semiHidden/>
    <w:qFormat/>
    <w:uiPriority w:val="0"/>
    <w:rPr>
      <w:rFonts w:ascii="宋体" w:hAnsi="宋体"/>
      <w:kern w:val="2"/>
      <w:sz w:val="24"/>
      <w:szCs w:val="24"/>
    </w:rPr>
  </w:style>
  <w:style w:type="character" w:customStyle="1" w:styleId="379">
    <w:name w:val="样式 标题 2标题 1.1head:2#2 headlinehheadlineS&amp;R2ERMH2Head 2 +... Char Char"/>
    <w:qFormat/>
    <w:uiPriority w:val="0"/>
    <w:rPr>
      <w:rFonts w:ascii="Arial" w:hAnsi="Arial" w:eastAsia="宋体"/>
      <w:b/>
      <w:bCs/>
      <w:sz w:val="24"/>
      <w:lang w:val="en-US" w:eastAsia="zh-CN" w:bidi="ar-SA"/>
    </w:rPr>
  </w:style>
  <w:style w:type="character" w:customStyle="1" w:styleId="380">
    <w:name w:val="樣式 標題 3 + (中文) MS Gothic 10.5 點 Char Char Char Char Char Char Char Char"/>
    <w:qFormat/>
    <w:uiPriority w:val="0"/>
    <w:rPr>
      <w:rFonts w:hAnsi="PMingLiU" w:eastAsia="MS Gothic"/>
      <w:snapToGrid w:val="0"/>
      <w:kern w:val="2"/>
      <w:sz w:val="24"/>
      <w:lang w:eastAsia="zh-TW"/>
    </w:rPr>
  </w:style>
  <w:style w:type="character" w:customStyle="1" w:styleId="381">
    <w:name w:val="正文 BJ15 Char Char"/>
    <w:link w:val="130"/>
    <w:semiHidden/>
    <w:qFormat/>
    <w:uiPriority w:val="0"/>
    <w:rPr>
      <w:rFonts w:ascii="Times New Roman" w:hAnsi="Times New Roman"/>
      <w:kern w:val="2"/>
      <w:sz w:val="24"/>
      <w:szCs w:val="24"/>
    </w:rPr>
  </w:style>
  <w:style w:type="character" w:customStyle="1" w:styleId="382">
    <w:name w:val="纯文本 Char Char"/>
    <w:qFormat/>
    <w:uiPriority w:val="0"/>
    <w:rPr>
      <w:rFonts w:ascii="宋体" w:hAnsi="Courier New" w:eastAsia="宋体" w:cs="Century"/>
      <w:kern w:val="2"/>
      <w:sz w:val="21"/>
      <w:szCs w:val="21"/>
      <w:lang w:val="en-US" w:eastAsia="zh-CN" w:bidi="ar-SA"/>
    </w:rPr>
  </w:style>
  <w:style w:type="character" w:customStyle="1" w:styleId="383">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384">
    <w:name w:val="1.1 Char Char"/>
    <w:qFormat/>
    <w:uiPriority w:val="0"/>
    <w:rPr>
      <w:rFonts w:ascii="宋体" w:eastAsia="宋体"/>
      <w:b/>
      <w:bCs/>
      <w:kern w:val="2"/>
      <w:sz w:val="24"/>
      <w:szCs w:val="32"/>
      <w:lang w:val="en-US" w:eastAsia="zh-CN" w:bidi="ar-SA"/>
    </w:rPr>
  </w:style>
  <w:style w:type="character" w:customStyle="1" w:styleId="385">
    <w:name w:val="正文文本 Char1"/>
    <w:qFormat/>
    <w:uiPriority w:val="0"/>
    <w:rPr>
      <w:rFonts w:ascii="Times New Roman" w:hAnsi="Times New Roman"/>
      <w:kern w:val="2"/>
      <w:sz w:val="24"/>
    </w:rPr>
  </w:style>
  <w:style w:type="character" w:customStyle="1" w:styleId="386">
    <w:name w:val="普通文字 Char Char"/>
    <w:qFormat/>
    <w:uiPriority w:val="0"/>
    <w:rPr>
      <w:rFonts w:ascii="宋体" w:hAnsi="Courier New" w:eastAsia="宋体"/>
      <w:kern w:val="2"/>
      <w:sz w:val="21"/>
      <w:lang w:val="en-US" w:eastAsia="zh-CN" w:bidi="ar-SA"/>
    </w:rPr>
  </w:style>
  <w:style w:type="character" w:customStyle="1" w:styleId="387">
    <w:name w:val="样式 二号 红色 边框:: (单实线 自动设置  0.5 磅 行宽)"/>
    <w:qFormat/>
    <w:uiPriority w:val="0"/>
    <w:rPr>
      <w:rFonts w:eastAsia="宋体"/>
      <w:color w:val="0000FF"/>
      <w:sz w:val="44"/>
      <w:bdr w:val="single" w:color="0000FF" w:sz="4" w:space="0"/>
    </w:rPr>
  </w:style>
  <w:style w:type="character" w:customStyle="1" w:styleId="388">
    <w:name w:val="displayarti"/>
    <w:qFormat/>
    <w:uiPriority w:val="0"/>
    <w:rPr>
      <w:color w:val="FFFFFF"/>
      <w:shd w:val="clear" w:color="auto" w:fill="A00000"/>
    </w:rPr>
  </w:style>
  <w:style w:type="character" w:customStyle="1" w:styleId="389">
    <w:name w:val="正文－zlb Char Char"/>
    <w:link w:val="131"/>
    <w:semiHidden/>
    <w:qFormat/>
    <w:uiPriority w:val="0"/>
    <w:rPr>
      <w:rFonts w:ascii="宋体" w:cs="宋体"/>
      <w:kern w:val="2"/>
      <w:sz w:val="24"/>
      <w:szCs w:val="24"/>
    </w:rPr>
  </w:style>
  <w:style w:type="character" w:customStyle="1" w:styleId="390">
    <w:name w:val="Char Char11"/>
    <w:qFormat/>
    <w:uiPriority w:val="0"/>
    <w:rPr>
      <w:rFonts w:eastAsia="宋体"/>
      <w:b/>
      <w:bCs/>
      <w:kern w:val="2"/>
      <w:sz w:val="24"/>
      <w:szCs w:val="24"/>
      <w:lang w:val="en-US" w:eastAsia="zh-CN" w:bidi="ar-SA"/>
    </w:rPr>
  </w:style>
  <w:style w:type="character" w:customStyle="1" w:styleId="391">
    <w:name w:val="正文（首行缩进两字） Char"/>
    <w:qFormat/>
    <w:uiPriority w:val="0"/>
    <w:rPr>
      <w:rFonts w:eastAsia="宋体"/>
      <w:sz w:val="32"/>
      <w:lang w:val="en-US" w:eastAsia="zh-CN" w:bidi="ar-SA"/>
    </w:rPr>
  </w:style>
  <w:style w:type="character" w:customStyle="1" w:styleId="392">
    <w:name w:val="b Char"/>
    <w:qFormat/>
    <w:uiPriority w:val="0"/>
    <w:rPr>
      <w:rFonts w:eastAsia="宋体"/>
      <w:b/>
      <w:bCs/>
      <w:kern w:val="2"/>
      <w:sz w:val="28"/>
      <w:szCs w:val="28"/>
      <w:lang w:val="en-US" w:eastAsia="zh-CN" w:bidi="ar-SA"/>
    </w:rPr>
  </w:style>
  <w:style w:type="character" w:customStyle="1" w:styleId="393">
    <w:name w:val="正文段落格式 Char Char"/>
    <w:qFormat/>
    <w:uiPriority w:val="0"/>
    <w:rPr>
      <w:rFonts w:cs="宋体"/>
      <w:color w:val="7030A0"/>
      <w:kern w:val="2"/>
      <w:sz w:val="24"/>
    </w:rPr>
  </w:style>
  <w:style w:type="character" w:customStyle="1" w:styleId="394">
    <w:name w:val="图表标题 BJ8 Char Char"/>
    <w:link w:val="132"/>
    <w:semiHidden/>
    <w:qFormat/>
    <w:uiPriority w:val="0"/>
    <w:rPr>
      <w:rFonts w:ascii="Times New Roman" w:hAnsi="Times New Roman" w:eastAsia="黑体"/>
      <w:kern w:val="2"/>
      <w:sz w:val="24"/>
    </w:rPr>
  </w:style>
  <w:style w:type="character" w:customStyle="1" w:styleId="395">
    <w:name w:val="应答文本 Char Char"/>
    <w:qFormat/>
    <w:uiPriority w:val="0"/>
    <w:rPr>
      <w:rFonts w:ascii="Arial" w:hAnsi="Arial" w:eastAsia="楷体_GB2312" w:cs="宋体"/>
      <w:spacing w:val="10"/>
      <w:sz w:val="21"/>
      <w:lang w:val="en-US" w:eastAsia="zh-CN" w:bidi="ar-SA"/>
    </w:rPr>
  </w:style>
  <w:style w:type="character" w:customStyle="1" w:styleId="396">
    <w:name w:val="列表框2 Char Char"/>
    <w:link w:val="133"/>
    <w:semiHidden/>
    <w:qFormat/>
    <w:uiPriority w:val="0"/>
    <w:rPr>
      <w:color w:val="7030A0"/>
      <w:spacing w:val="10"/>
      <w:sz w:val="24"/>
      <w:szCs w:val="24"/>
    </w:rPr>
  </w:style>
  <w:style w:type="character" w:customStyle="1" w:styleId="397">
    <w:name w:val="sub-dash Char"/>
    <w:qFormat/>
    <w:uiPriority w:val="0"/>
    <w:rPr>
      <w:rFonts w:ascii="Arial" w:hAnsi="Arial" w:eastAsia="黑体"/>
      <w:b/>
      <w:bCs/>
      <w:kern w:val="2"/>
      <w:sz w:val="24"/>
      <w:szCs w:val="24"/>
      <w:lang w:val="en-US" w:eastAsia="zh-CN" w:bidi="ar-SA"/>
    </w:rPr>
  </w:style>
  <w:style w:type="character" w:customStyle="1" w:styleId="398">
    <w:name w:val="五级标题格式 Char Char"/>
    <w:link w:val="134"/>
    <w:semiHidden/>
    <w:qFormat/>
    <w:uiPriority w:val="0"/>
    <w:rPr>
      <w:rFonts w:ascii="Times New Roman" w:hAnsi="Times New Roman"/>
      <w:b/>
      <w:bCs/>
      <w:kern w:val="2"/>
      <w:sz w:val="24"/>
      <w:szCs w:val="28"/>
    </w:rPr>
  </w:style>
  <w:style w:type="character" w:customStyle="1" w:styleId="399">
    <w:name w:val="Char Char111"/>
    <w:qFormat/>
    <w:uiPriority w:val="0"/>
    <w:rPr>
      <w:rFonts w:eastAsia="宋体"/>
      <w:b/>
      <w:bCs/>
      <w:kern w:val="2"/>
      <w:sz w:val="24"/>
      <w:szCs w:val="24"/>
      <w:lang w:val="en-US" w:eastAsia="zh-CN" w:bidi="ar-SA"/>
    </w:rPr>
  </w:style>
  <w:style w:type="character" w:customStyle="1" w:styleId="400">
    <w:name w:val="表格文字图表文字 Char Char"/>
    <w:qFormat/>
    <w:uiPriority w:val="0"/>
    <w:rPr>
      <w:color w:val="7030A0"/>
      <w:kern w:val="2"/>
      <w:sz w:val="21"/>
    </w:rPr>
  </w:style>
  <w:style w:type="character" w:customStyle="1" w:styleId="401">
    <w:name w:val="占位符文本1"/>
    <w:qFormat/>
    <w:uiPriority w:val="0"/>
    <w:rPr>
      <w:color w:val="808080"/>
    </w:rPr>
  </w:style>
  <w:style w:type="character" w:customStyle="1" w:styleId="402">
    <w:name w:val="正文段落格式 Char Char Char"/>
    <w:link w:val="135"/>
    <w:semiHidden/>
    <w:qFormat/>
    <w:uiPriority w:val="0"/>
    <w:rPr>
      <w:rFonts w:ascii="Times New Roman" w:hAnsi="Times New Roman"/>
      <w:color w:val="7030A0"/>
      <w:kern w:val="2"/>
      <w:sz w:val="24"/>
    </w:rPr>
  </w:style>
  <w:style w:type="character" w:customStyle="1" w:styleId="403">
    <w:name w:val="表格文字 BJ8 Char Char"/>
    <w:link w:val="136"/>
    <w:semiHidden/>
    <w:qFormat/>
    <w:uiPriority w:val="0"/>
    <w:rPr>
      <w:rFonts w:ascii="Times New Roman" w:hAnsi="Times New Roman"/>
      <w:kern w:val="2"/>
      <w:sz w:val="21"/>
      <w:szCs w:val="21"/>
    </w:rPr>
  </w:style>
  <w:style w:type="character" w:customStyle="1" w:styleId="404">
    <w:name w:val="gpa"/>
    <w:qFormat/>
    <w:uiPriority w:val="0"/>
    <w:rPr>
      <w:rFonts w:ascii="Arial" w:hAnsi="Arial" w:cs="Arial"/>
      <w:sz w:val="12"/>
      <w:szCs w:val="12"/>
    </w:rPr>
  </w:style>
  <w:style w:type="character" w:customStyle="1" w:styleId="405">
    <w:name w:val="样式 标题 31.1条标题1.1.1二级节名h3Heading 3 - oldheading 3H3H31H3... Char Char Char"/>
    <w:link w:val="137"/>
    <w:semiHidden/>
    <w:qFormat/>
    <w:uiPriority w:val="0"/>
    <w:rPr>
      <w:rFonts w:ascii="宋体" w:hAnsi="宋体" w:eastAsia="黑体"/>
      <w:kern w:val="2"/>
      <w:sz w:val="24"/>
      <w:szCs w:val="21"/>
    </w:rPr>
  </w:style>
  <w:style w:type="character" w:customStyle="1" w:styleId="406">
    <w:name w:val="标题2 Char Char"/>
    <w:link w:val="138"/>
    <w:semiHidden/>
    <w:qFormat/>
    <w:uiPriority w:val="0"/>
    <w:rPr>
      <w:rFonts w:ascii="宋体" w:hAnsi="Times New Roman"/>
      <w:b/>
      <w:color w:val="92D050"/>
      <w:kern w:val="44"/>
      <w:sz w:val="30"/>
    </w:rPr>
  </w:style>
  <w:style w:type="character" w:customStyle="1" w:styleId="407">
    <w:name w:val="Char Char2"/>
    <w:qFormat/>
    <w:uiPriority w:val="0"/>
    <w:rPr>
      <w:rFonts w:eastAsia="仿宋_GB2312"/>
      <w:kern w:val="2"/>
      <w:sz w:val="28"/>
      <w:lang w:val="en-US" w:eastAsia="zh-CN" w:bidi="ar-SA"/>
    </w:rPr>
  </w:style>
  <w:style w:type="character" w:customStyle="1" w:styleId="408">
    <w:name w:val="2 headline Char Char"/>
    <w:qFormat/>
    <w:uiPriority w:val="0"/>
    <w:rPr>
      <w:rFonts w:eastAsia="黑体"/>
      <w:bCs/>
      <w:kern w:val="2"/>
      <w:sz w:val="28"/>
      <w:szCs w:val="28"/>
      <w:lang w:val="en-US" w:eastAsia="zh-CN" w:bidi="ar-SA"/>
    </w:rPr>
  </w:style>
  <w:style w:type="character" w:customStyle="1" w:styleId="409">
    <w:name w:val="正文 QD3 Char Char"/>
    <w:link w:val="139"/>
    <w:semiHidden/>
    <w:qFormat/>
    <w:uiPriority w:val="0"/>
    <w:rPr>
      <w:rFonts w:ascii="Times New Roman" w:hAnsi="Times New Roman"/>
      <w:kern w:val="2"/>
      <w:sz w:val="24"/>
      <w:szCs w:val="24"/>
    </w:rPr>
  </w:style>
  <w:style w:type="character" w:customStyle="1" w:styleId="410">
    <w:name w:val="正文 BJ8 Char Char"/>
    <w:link w:val="140"/>
    <w:semiHidden/>
    <w:qFormat/>
    <w:uiPriority w:val="0"/>
    <w:rPr>
      <w:rFonts w:ascii="Times New Roman" w:hAnsi="Times New Roman"/>
      <w:color w:val="7030A0"/>
      <w:kern w:val="2"/>
      <w:sz w:val="24"/>
      <w:szCs w:val="24"/>
    </w:rPr>
  </w:style>
  <w:style w:type="character" w:customStyle="1" w:styleId="411">
    <w:name w:val="书籍标题1"/>
    <w:qFormat/>
    <w:uiPriority w:val="0"/>
    <w:rPr>
      <w:b/>
      <w:bCs/>
      <w:smallCaps/>
      <w:spacing w:val="5"/>
    </w:rPr>
  </w:style>
  <w:style w:type="character" w:customStyle="1" w:styleId="412">
    <w:name w:val="Char Char8"/>
    <w:qFormat/>
    <w:uiPriority w:val="0"/>
    <w:rPr>
      <w:rFonts w:eastAsia="宋体"/>
      <w:kern w:val="2"/>
      <w:sz w:val="21"/>
      <w:lang w:val="en-US" w:eastAsia="zh-CN" w:bidi="ar-SA"/>
    </w:rPr>
  </w:style>
  <w:style w:type="character" w:customStyle="1" w:styleId="413">
    <w:name w:val="正文文本缩进 Char1"/>
    <w:link w:val="78"/>
    <w:semiHidden/>
    <w:qFormat/>
    <w:uiPriority w:val="0"/>
    <w:rPr>
      <w:rFonts w:ascii="宋体" w:hAnsi="Times New Roman"/>
      <w:kern w:val="2"/>
      <w:sz w:val="21"/>
    </w:rPr>
  </w:style>
  <w:style w:type="character" w:customStyle="1" w:styleId="414">
    <w:name w:val="正文1 Char Char"/>
    <w:link w:val="141"/>
    <w:semiHidden/>
    <w:qFormat/>
    <w:uiPriority w:val="0"/>
    <w:rPr>
      <w:rFonts w:ascii="宋体" w:hAnsi="宋体"/>
      <w:kern w:val="10"/>
      <w:sz w:val="21"/>
      <w:szCs w:val="24"/>
    </w:rPr>
  </w:style>
  <w:style w:type="character" w:customStyle="1" w:styleId="415">
    <w:name w:val="样式 Char Char"/>
    <w:link w:val="142"/>
    <w:semiHidden/>
    <w:qFormat/>
    <w:uiPriority w:val="0"/>
    <w:rPr>
      <w:rFonts w:ascii="宋体" w:hAnsi="宋体" w:cs="宋体"/>
      <w:sz w:val="24"/>
      <w:szCs w:val="24"/>
      <w:lang w:val="en-US" w:eastAsia="zh-CN" w:bidi="ar-SA"/>
    </w:rPr>
  </w:style>
  <w:style w:type="character" w:customStyle="1" w:styleId="416">
    <w:name w:val="无编号正文 Char Char"/>
    <w:link w:val="143"/>
    <w:semiHidden/>
    <w:qFormat/>
    <w:uiPriority w:val="0"/>
    <w:rPr>
      <w:rFonts w:ascii="宋体" w:hAnsi="宋体"/>
      <w:sz w:val="24"/>
      <w:szCs w:val="24"/>
    </w:rPr>
  </w:style>
  <w:style w:type="character" w:customStyle="1" w:styleId="417">
    <w:name w:val="表图名称 Char Char"/>
    <w:link w:val="144"/>
    <w:semiHidden/>
    <w:qFormat/>
    <w:uiPriority w:val="0"/>
    <w:rPr>
      <w:rFonts w:ascii="黑体" w:hAnsi="宋体" w:eastAsia="黑体"/>
      <w:kern w:val="2"/>
      <w:sz w:val="24"/>
      <w:szCs w:val="24"/>
      <w:lang w:val="en-US" w:eastAsia="zh-CN" w:bidi="ar-SA"/>
    </w:rPr>
  </w:style>
  <w:style w:type="character" w:customStyle="1" w:styleId="418">
    <w:name w:val="列表框1 Char Char"/>
    <w:qFormat/>
    <w:uiPriority w:val="0"/>
    <w:rPr>
      <w:rFonts w:ascii="Arial" w:hAnsi="Arial" w:eastAsia="楷体_GB2312" w:cs="Arial"/>
      <w:spacing w:val="10"/>
      <w:sz w:val="21"/>
      <w:lang w:val="en-US" w:eastAsia="zh-CN" w:bidi="ar-SA"/>
    </w:rPr>
  </w:style>
  <w:style w:type="character" w:customStyle="1" w:styleId="419">
    <w:name w:val="表格文字图表文字 Char Char Char"/>
    <w:link w:val="145"/>
    <w:semiHidden/>
    <w:qFormat/>
    <w:uiPriority w:val="0"/>
    <w:rPr>
      <w:rFonts w:ascii="Times New Roman" w:hAnsi="Times New Roman"/>
      <w:color w:val="7030A0"/>
      <w:kern w:val="2"/>
      <w:sz w:val="21"/>
    </w:rPr>
  </w:style>
  <w:style w:type="character" w:customStyle="1" w:styleId="420">
    <w:name w:val="批注文字 Char1"/>
    <w:qFormat/>
    <w:uiPriority w:val="0"/>
    <w:rPr>
      <w:kern w:val="2"/>
      <w:sz w:val="24"/>
      <w:szCs w:val="24"/>
    </w:rPr>
  </w:style>
  <w:style w:type="character" w:customStyle="1" w:styleId="421">
    <w:name w:val="正文缩进 Char Char"/>
    <w:link w:val="362"/>
    <w:semiHidden/>
    <w:qFormat/>
    <w:uiPriority w:val="0"/>
    <w:rPr>
      <w:kern w:val="2"/>
      <w:sz w:val="21"/>
      <w:szCs w:val="24"/>
    </w:rPr>
  </w:style>
  <w:style w:type="paragraph" w:customStyle="1" w:styleId="422">
    <w:name w:val="列出段落11"/>
    <w:basedOn w:val="1"/>
    <w:semiHidden/>
    <w:qFormat/>
    <w:uiPriority w:val="99"/>
    <w:pPr>
      <w:widowControl/>
      <w:spacing w:before="40" w:after="160"/>
      <w:ind w:firstLine="420" w:firstLineChars="200"/>
    </w:pPr>
    <w:rPr>
      <w:rFonts w:ascii="Cambria" w:hAnsi="Cambria" w:eastAsia="微软雅黑" w:cs="Cambria"/>
      <w:color w:val="565656"/>
      <w:kern w:val="20"/>
      <w:szCs w:val="21"/>
      <w:lang w:val="zh-CN"/>
    </w:rPr>
  </w:style>
  <w:style w:type="paragraph" w:customStyle="1" w:styleId="423">
    <w:name w:val="Default"/>
    <w:unhideWhenUsed/>
    <w:qFormat/>
    <w:uiPriority w:val="99"/>
    <w:pPr>
      <w:widowControl w:val="0"/>
      <w:autoSpaceDE w:val="0"/>
      <w:autoSpaceDN w:val="0"/>
      <w:adjustRightInd w:val="0"/>
    </w:pPr>
    <w:rPr>
      <w:rFonts w:ascii="黑体" w:hAnsi="黑体" w:eastAsia="黑体" w:cs="Times New Roman"/>
      <w:color w:val="000000"/>
      <w:sz w:val="24"/>
      <w:lang w:val="en-US" w:eastAsia="zh-CN" w:bidi="ar-SA"/>
    </w:rPr>
  </w:style>
  <w:style w:type="character" w:customStyle="1" w:styleId="424">
    <w:name w:val="批注主题 Char1"/>
    <w:link w:val="40"/>
    <w:qFormat/>
    <w:uiPriority w:val="0"/>
    <w:rPr>
      <w:rFonts w:ascii="Times New Roman" w:hAnsi="Times New Roman" w:eastAsia="宋体" w:cs="Times New Roman"/>
      <w:b/>
      <w:bCs/>
      <w:kern w:val="2"/>
      <w:sz w:val="21"/>
      <w:szCs w:val="24"/>
    </w:rPr>
  </w:style>
  <w:style w:type="paragraph" w:customStyle="1" w:styleId="42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426">
    <w:name w:val="样式 宋体 五号 行距: 单倍行距"/>
    <w:basedOn w:val="1"/>
    <w:qFormat/>
    <w:uiPriority w:val="0"/>
    <w:pPr>
      <w:adjustRightInd w:val="0"/>
      <w:jc w:val="left"/>
      <w:textAlignment w:val="baseline"/>
    </w:pPr>
    <w:rPr>
      <w:rFonts w:ascii="宋体" w:hAnsi="宋体"/>
      <w:kern w:val="0"/>
    </w:rPr>
  </w:style>
  <w:style w:type="paragraph" w:customStyle="1" w:styleId="42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8">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styleId="429">
    <w:name w:val="List Paragraph"/>
    <w:basedOn w:val="1"/>
    <w:qFormat/>
    <w:uiPriority w:val="34"/>
    <w:pPr>
      <w:ind w:firstLine="420" w:firstLineChars="200"/>
    </w:pPr>
  </w:style>
  <w:style w:type="paragraph" w:customStyle="1" w:styleId="430">
    <w:name w:val="WPSOffice手动目录 1"/>
    <w:qFormat/>
    <w:uiPriority w:val="0"/>
    <w:rPr>
      <w:rFonts w:ascii="Times New Roman" w:hAnsi="Times New Roman" w:eastAsia="宋体" w:cs="Times New Roman"/>
      <w:lang w:val="en-US" w:eastAsia="zh-CN" w:bidi="ar-SA"/>
    </w:rPr>
  </w:style>
  <w:style w:type="paragraph" w:customStyle="1" w:styleId="431">
    <w:name w:val="纯文本3"/>
    <w:basedOn w:val="1"/>
    <w:qFormat/>
    <w:uiPriority w:val="0"/>
    <w:rPr>
      <w:rFonts w:ascii="宋体" w:hAnsi="Courier New" w:cs="Courier New"/>
      <w:szCs w:val="21"/>
    </w:rPr>
  </w:style>
  <w:style w:type="paragraph" w:customStyle="1" w:styleId="432">
    <w:name w:val="_Style 1"/>
    <w:qFormat/>
    <w:uiPriority w:val="1"/>
    <w:pPr>
      <w:adjustRightInd w:val="0"/>
      <w:snapToGrid w:val="0"/>
    </w:pPr>
    <w:rPr>
      <w:rFonts w:ascii="Tahoma" w:hAnsi="Tahoma" w:eastAsiaTheme="minorEastAsia" w:cstheme="minorBidi"/>
      <w:sz w:val="22"/>
      <w:szCs w:val="22"/>
      <w:lang w:val="en-US" w:eastAsia="zh-CN" w:bidi="ar-SA"/>
    </w:rPr>
  </w:style>
  <w:style w:type="character" w:customStyle="1" w:styleId="433">
    <w:name w:val="纯文本 Char1"/>
    <w:link w:val="25"/>
    <w:qFormat/>
    <w:locked/>
    <w:uiPriority w:val="0"/>
    <w:rPr>
      <w:rFonts w:ascii="宋体" w:hAnsi="Courier New" w:cs="Courier New"/>
      <w:kern w:val="2"/>
      <w:sz w:val="21"/>
      <w:szCs w:val="21"/>
    </w:rPr>
  </w:style>
  <w:style w:type="paragraph" w:customStyle="1" w:styleId="434">
    <w:name w:val="TOC 标题2"/>
    <w:basedOn w:val="3"/>
    <w:next w:val="1"/>
    <w:unhideWhenUsed/>
    <w:qFormat/>
    <w:uiPriority w:val="39"/>
    <w:pPr>
      <w:widowControl/>
      <w:tabs>
        <w:tab w:val="clear" w:pos="1440"/>
      </w:tabs>
      <w:spacing w:before="24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35">
    <w:name w:val="正文_29_3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6">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437">
    <w:name w:val="apple-style-span"/>
    <w:qFormat/>
    <w:uiPriority w:val="0"/>
  </w:style>
  <w:style w:type="paragraph" w:styleId="43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39">
    <w:name w:val="_Style 436"/>
    <w:basedOn w:val="1"/>
    <w:next w:val="429"/>
    <w:qFormat/>
    <w:uiPriority w:val="34"/>
    <w:pPr>
      <w:ind w:firstLine="420" w:firstLineChars="200"/>
    </w:pPr>
    <w:rPr>
      <w:rFonts w:ascii="等线" w:hAnsi="等线" w:eastAsia="等线" w:cs="宋体"/>
      <w:szCs w:val="22"/>
    </w:rPr>
  </w:style>
  <w:style w:type="character" w:customStyle="1" w:styleId="440">
    <w:name w:val="NormalCharacter"/>
    <w:semiHidden/>
    <w:qFormat/>
    <w:uiPriority w:val="0"/>
    <w:rPr>
      <w:rFonts w:ascii="Times New Roman" w:hAnsi="Times New Roman" w:eastAsia="宋体"/>
      <w:sz w:val="24"/>
      <w:szCs w:val="24"/>
      <w:lang w:val="en-US" w:eastAsia="zh-CN" w:bidi="ar-SA"/>
    </w:rPr>
  </w:style>
  <w:style w:type="paragraph" w:customStyle="1" w:styleId="441">
    <w:name w:val="国内标题2"/>
    <w:basedOn w:val="4"/>
    <w:qFormat/>
    <w:uiPriority w:val="0"/>
    <w:pPr>
      <w:spacing w:line="416" w:lineRule="auto"/>
    </w:pPr>
    <w:rPr>
      <w:rFonts w:ascii="Calibri" w:hAnsi="Calibri" w:eastAsia="宋体"/>
    </w:rPr>
  </w:style>
  <w:style w:type="character" w:customStyle="1" w:styleId="442">
    <w:name w:val="正文文本缩进 Char2"/>
    <w:basedOn w:val="43"/>
    <w:link w:val="21"/>
    <w:qFormat/>
    <w:uiPriority w:val="0"/>
    <w:rPr>
      <w:kern w:val="2"/>
      <w:sz w:val="21"/>
      <w:szCs w:val="24"/>
    </w:rPr>
  </w:style>
  <w:style w:type="character" w:customStyle="1" w:styleId="443">
    <w:name w:val="A6"/>
    <w:qFormat/>
    <w:uiPriority w:val="99"/>
    <w:rPr>
      <w:color w:val="000000"/>
    </w:rPr>
  </w:style>
  <w:style w:type="paragraph" w:customStyle="1" w:styleId="444">
    <w:name w:val="B"/>
    <w:basedOn w:val="1"/>
    <w:qFormat/>
    <w:uiPriority w:val="0"/>
    <w:pPr>
      <w:tabs>
        <w:tab w:val="center" w:pos="4706"/>
        <w:tab w:val="right" w:pos="9044"/>
      </w:tabs>
      <w:topLinePunct/>
      <w:spacing w:before="160" w:after="60" w:line="312" w:lineRule="exact"/>
      <w:jc w:val="center"/>
    </w:pPr>
    <w:rPr>
      <w:rFonts w:ascii="E-F1" w:eastAsia="黑体"/>
      <w:szCs w:val="20"/>
    </w:rPr>
  </w:style>
  <w:style w:type="paragraph" w:customStyle="1" w:styleId="445">
    <w:name w:val="Table Paragraph"/>
    <w:basedOn w:val="1"/>
    <w:qFormat/>
    <w:uiPriority w:val="1"/>
    <w:pPr>
      <w:ind w:left="107"/>
    </w:pPr>
    <w:rPr>
      <w:rFonts w:ascii="Microsoft YaHei UI Light" w:hAnsi="Microsoft YaHei UI Light" w:eastAsia="Microsoft YaHei UI Light" w:cs="Microsoft YaHei UI Light"/>
      <w:lang w:val="zh-CN" w:bidi="zh-CN"/>
    </w:rPr>
  </w:style>
  <w:style w:type="character" w:customStyle="1" w:styleId="446">
    <w:name w:val="批注框文本 Char"/>
    <w:basedOn w:val="43"/>
    <w:link w:val="2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2CBCF0-70A6-4CEB-8F49-BC8169C5F422}">
  <ds:schemaRefs/>
</ds:datastoreItem>
</file>

<file path=docProps/app.xml><?xml version="1.0" encoding="utf-8"?>
<Properties xmlns="http://schemas.openxmlformats.org/officeDocument/2006/extended-properties" xmlns:vt="http://schemas.openxmlformats.org/officeDocument/2006/docPropsVTypes">
  <Template>Normal</Template>
  <Company>zzz</Company>
  <Pages>123</Pages>
  <Words>44031</Words>
  <Characters>48713</Characters>
  <Lines>433</Lines>
  <Paragraphs>122</Paragraphs>
  <TotalTime>0</TotalTime>
  <ScaleCrop>false</ScaleCrop>
  <LinksUpToDate>false</LinksUpToDate>
  <CharactersWithSpaces>52734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2018-04-06T03:50:00Z</dcterms:created>
  <dc:creator>wmq</dc:creator>
  <cp:lastModifiedBy>Miss Sun</cp:lastModifiedBy>
  <cp:lastPrinted>2018-03-19T01:37:00Z</cp:lastPrinted>
  <dcterms:modified xsi:type="dcterms:W3CDTF">2022-12-22T06:53:04Z</dcterms:modified>
  <dc:title>适用一般货物采购/非建筑设备货物采购含安装等伴随服务</dc:title>
  <cp:revision>592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97DFAF211F95417BBB5C1188FBF20330</vt:lpwstr>
  </property>
</Properties>
</file>