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8"/>
          <w:szCs w:val="48"/>
        </w:rPr>
      </w:pPr>
    </w:p>
    <w:p>
      <w:pPr>
        <w:adjustRightInd/>
        <w:spacing w:line="360" w:lineRule="auto"/>
        <w:jc w:val="center"/>
        <w:rPr>
          <w:rFonts w:ascii="宋体" w:hAnsi="宋体" w:cs="宋体"/>
          <w:color w:val="0000FF"/>
          <w:sz w:val="48"/>
          <w:szCs w:val="48"/>
        </w:rPr>
      </w:pPr>
      <w:r>
        <w:rPr>
          <w:rFonts w:hint="eastAsia" w:asciiTheme="majorEastAsia" w:hAnsiTheme="majorEastAsia" w:eastAsiaTheme="majorEastAsia" w:cstheme="majorEastAsia"/>
          <w:b/>
          <w:bCs/>
          <w:sz w:val="48"/>
          <w:szCs w:val="48"/>
          <w:lang w:eastAsia="zh-CN"/>
        </w:rPr>
        <w:t>高虹镇城市综合巡防服务项目</w:t>
      </w:r>
    </w:p>
    <w:p>
      <w:pPr>
        <w:adjustRightInd/>
        <w:spacing w:line="360" w:lineRule="auto"/>
        <w:jc w:val="center"/>
        <w:rPr>
          <w:rFonts w:hint="eastAsia" w:ascii="仿宋" w:hAnsi="仿宋" w:eastAsia="仿宋" w:cs="仿宋_GB2312"/>
          <w:b/>
          <w:sz w:val="44"/>
          <w:szCs w:val="44"/>
        </w:rPr>
      </w:pPr>
    </w:p>
    <w:p>
      <w:pPr>
        <w:adjustRightInd/>
        <w:spacing w:line="360" w:lineRule="auto"/>
        <w:jc w:val="center"/>
        <w:rPr>
          <w:rFonts w:hint="eastAsia" w:ascii="仿宋" w:hAnsi="仿宋" w:eastAsia="仿宋" w:cs="仿宋_GB2312"/>
          <w:b/>
          <w:sz w:val="44"/>
          <w:szCs w:val="44"/>
        </w:rPr>
      </w:pPr>
    </w:p>
    <w:p>
      <w:pPr>
        <w:adjustRightInd/>
        <w:spacing w:line="360" w:lineRule="auto"/>
        <w:jc w:val="center"/>
        <w:rPr>
          <w:rFonts w:hint="eastAsia" w:ascii="仿宋" w:hAnsi="仿宋" w:eastAsia="仿宋" w:cs="仿宋_GB2312"/>
          <w:b/>
          <w:sz w:val="44"/>
          <w:szCs w:val="44"/>
        </w:rPr>
      </w:pPr>
    </w:p>
    <w:p>
      <w:pPr>
        <w:adjustRightInd/>
        <w:spacing w:line="360" w:lineRule="auto"/>
        <w:jc w:val="center"/>
        <w:rPr>
          <w:rFonts w:ascii="宋体" w:hAnsi="宋体" w:cs="宋体"/>
          <w:sz w:val="48"/>
          <w:szCs w:val="48"/>
        </w:rPr>
      </w:pPr>
      <w:r>
        <w:rPr>
          <w:rFonts w:hint="eastAsia" w:ascii="仿宋" w:hAnsi="仿宋" w:eastAsia="仿宋" w:cs="仿宋_GB2312"/>
          <w:b/>
          <w:sz w:val="44"/>
          <w:szCs w:val="44"/>
        </w:rPr>
        <w:t>公开招标</w:t>
      </w:r>
      <w:r>
        <w:rPr>
          <w:rFonts w:hint="eastAsia" w:ascii="宋体" w:hAnsi="宋体" w:cs="宋体"/>
          <w:sz w:val="48"/>
          <w:szCs w:val="48"/>
        </w:rPr>
        <w:t xml:space="preserve"> </w:t>
      </w:r>
    </w:p>
    <w:p>
      <w:pPr>
        <w:adjustRightInd/>
        <w:spacing w:line="360" w:lineRule="auto"/>
        <w:jc w:val="center"/>
        <w:rPr>
          <w:rFonts w:ascii="宋体" w:hAnsi="宋体" w:cs="宋体"/>
          <w:b/>
          <w:sz w:val="44"/>
          <w:szCs w:val="44"/>
        </w:rPr>
      </w:pPr>
      <w:r>
        <w:rPr>
          <w:rFonts w:hint="eastAsia" w:ascii="宋体" w:hAnsi="宋体" w:cs="宋体"/>
          <w:b/>
          <w:sz w:val="44"/>
          <w:szCs w:val="44"/>
        </w:rPr>
        <w:t xml:space="preserve"> （电子招投标）</w:t>
      </w:r>
    </w:p>
    <w:p>
      <w:pPr>
        <w:snapToGrid w:val="0"/>
        <w:spacing w:line="360" w:lineRule="auto"/>
        <w:jc w:val="center"/>
        <w:rPr>
          <w:rFonts w:ascii="宋体" w:hAnsi="宋体" w:cs="宋体"/>
          <w:sz w:val="30"/>
          <w:szCs w:val="30"/>
        </w:rPr>
      </w:pPr>
      <w:r>
        <w:rPr>
          <w:rFonts w:hint="eastAsia" w:ascii="宋体" w:hAnsi="宋体" w:cs="宋体"/>
          <w:sz w:val="30"/>
          <w:szCs w:val="30"/>
        </w:rPr>
        <w:t>编号:</w:t>
      </w:r>
      <w:r>
        <w:rPr>
          <w:rFonts w:hint="eastAsia" w:ascii="仿宋" w:hAnsi="仿宋" w:eastAsia="仿宋" w:cs="仿宋_GB2312"/>
          <w:sz w:val="30"/>
          <w:szCs w:val="30"/>
        </w:rPr>
        <w:fldChar w:fldCharType="begin"/>
      </w:r>
      <w:r>
        <w:rPr>
          <w:rFonts w:hint="eastAsia" w:ascii="仿宋" w:hAnsi="仿宋" w:eastAsia="仿宋" w:cs="仿宋_GB2312"/>
          <w:sz w:val="30"/>
          <w:szCs w:val="30"/>
        </w:rPr>
        <w:instrText xml:space="preserve"> HYPERLINK "https://pay.zcygov.cn/purchaseplan_front/" \l "/plan/list/view?id=1000000000009832772" \t "https://www.zcygov.cn/delegation-order/order/_blank" </w:instrText>
      </w:r>
      <w:r>
        <w:rPr>
          <w:rFonts w:hint="eastAsia" w:ascii="仿宋" w:hAnsi="仿宋" w:eastAsia="仿宋" w:cs="仿宋_GB2312"/>
          <w:sz w:val="30"/>
          <w:szCs w:val="30"/>
        </w:rPr>
        <w:fldChar w:fldCharType="separate"/>
      </w:r>
      <w:r>
        <w:rPr>
          <w:rFonts w:hint="eastAsia" w:ascii="仿宋" w:hAnsi="仿宋" w:eastAsia="仿宋" w:cs="仿宋_GB2312"/>
          <w:sz w:val="30"/>
          <w:szCs w:val="30"/>
        </w:rPr>
        <w:t>[2023]126号</w:t>
      </w:r>
      <w:r>
        <w:rPr>
          <w:rFonts w:hint="eastAsia" w:ascii="仿宋" w:hAnsi="仿宋" w:eastAsia="仿宋" w:cs="仿宋_GB2312"/>
          <w:sz w:val="30"/>
          <w:szCs w:val="30"/>
        </w:rPr>
        <w:fldChar w:fldCharType="end"/>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ascii="宋体" w:hAnsi="宋体" w:cs="宋体"/>
          <w:color w:val="0000FF"/>
          <w:sz w:val="32"/>
          <w:szCs w:val="32"/>
        </w:rPr>
      </w:pPr>
      <w:r>
        <w:rPr>
          <w:rFonts w:hint="eastAsia" w:ascii="宋体" w:hAnsi="宋体" w:cs="宋体"/>
          <w:color w:val="auto"/>
          <w:sz w:val="32"/>
          <w:szCs w:val="32"/>
        </w:rPr>
        <w:t>采购人</w:t>
      </w:r>
      <w:r>
        <w:rPr>
          <w:rFonts w:hint="eastAsia" w:ascii="宋体" w:hAnsi="宋体" w:cs="宋体"/>
          <w:color w:val="auto"/>
          <w:sz w:val="32"/>
          <w:szCs w:val="32"/>
          <w:lang w:eastAsia="zh-CN"/>
        </w:rPr>
        <w:t>：</w:t>
      </w:r>
      <w:r>
        <w:rPr>
          <w:rFonts w:hint="eastAsia" w:ascii="宋体" w:hAnsi="宋体"/>
          <w:sz w:val="32"/>
          <w:szCs w:val="32"/>
          <w:lang w:eastAsia="zh-CN"/>
        </w:rPr>
        <w:t>杭州市临安区高虹镇人民政府</w:t>
      </w:r>
    </w:p>
    <w:p>
      <w:pPr>
        <w:spacing w:line="360" w:lineRule="auto"/>
        <w:jc w:val="center"/>
        <w:rPr>
          <w:rFonts w:ascii="宋体" w:hAnsi="宋体" w:cs="宋体"/>
          <w:bCs/>
          <w:sz w:val="32"/>
          <w:szCs w:val="32"/>
        </w:rPr>
      </w:pPr>
      <w:r>
        <w:rPr>
          <w:rFonts w:hint="eastAsia" w:ascii="宋体" w:hAnsi="宋体" w:cs="宋体"/>
          <w:bCs/>
          <w:sz w:val="32"/>
          <w:szCs w:val="32"/>
        </w:rPr>
        <w:t>采购代理机构</w:t>
      </w:r>
      <w:r>
        <w:rPr>
          <w:rFonts w:hint="eastAsia" w:ascii="宋体" w:hAnsi="宋体" w:cs="宋体"/>
          <w:bCs/>
          <w:sz w:val="32"/>
          <w:szCs w:val="32"/>
          <w:lang w:eastAsia="zh-CN"/>
        </w:rPr>
        <w:t>：</w:t>
      </w:r>
      <w:r>
        <w:rPr>
          <w:rFonts w:hint="eastAsia" w:ascii="宋体" w:hAnsi="宋体"/>
          <w:sz w:val="32"/>
          <w:szCs w:val="32"/>
          <w:lang w:eastAsia="zh-CN"/>
        </w:rPr>
        <w:t>浙江豪圣建设项目管理有限公司</w:t>
      </w:r>
    </w:p>
    <w:p>
      <w:pPr>
        <w:snapToGrid w:val="0"/>
        <w:spacing w:line="360" w:lineRule="auto"/>
        <w:jc w:val="center"/>
        <w:rPr>
          <w:rFonts w:ascii="宋体" w:hAnsi="宋体" w:cs="宋体"/>
          <w:sz w:val="24"/>
        </w:rPr>
      </w:pPr>
      <w:r>
        <w:rPr>
          <w:rFonts w:hint="eastAsia" w:ascii="宋体" w:hAnsi="宋体" w:cs="宋体"/>
          <w:bCs/>
          <w:color w:val="auto"/>
          <w:sz w:val="32"/>
          <w:szCs w:val="32"/>
        </w:rPr>
        <w:t>二〇二</w:t>
      </w:r>
      <w:r>
        <w:rPr>
          <w:rFonts w:hint="eastAsia" w:ascii="宋体" w:hAnsi="宋体" w:cs="宋体"/>
          <w:bCs/>
          <w:color w:val="auto"/>
          <w:sz w:val="32"/>
          <w:szCs w:val="32"/>
          <w:lang w:val="en-US" w:eastAsia="zh-CN"/>
        </w:rPr>
        <w:t>三</w:t>
      </w:r>
      <w:r>
        <w:rPr>
          <w:rFonts w:hint="eastAsia" w:ascii="宋体" w:hAnsi="宋体" w:cs="宋体"/>
          <w:bCs/>
          <w:color w:val="auto"/>
          <w:sz w:val="32"/>
          <w:szCs w:val="32"/>
        </w:rPr>
        <w:t>年</w:t>
      </w:r>
      <w:r>
        <w:rPr>
          <w:rFonts w:hint="eastAsia" w:ascii="宋体" w:hAnsi="宋体" w:cs="宋体"/>
          <w:bCs/>
          <w:color w:val="auto"/>
          <w:sz w:val="32"/>
          <w:szCs w:val="32"/>
          <w:lang w:val="en-US" w:eastAsia="zh-CN"/>
        </w:rPr>
        <w:t>三</w:t>
      </w:r>
      <w:r>
        <w:rPr>
          <w:rFonts w:hint="eastAsia" w:ascii="宋体" w:hAnsi="宋体" w:cs="宋体"/>
          <w:bCs/>
          <w:color w:val="auto"/>
          <w:sz w:val="32"/>
          <w:szCs w:val="32"/>
        </w:rPr>
        <w:t>月</w:t>
      </w:r>
      <w:r>
        <w:rPr>
          <w:rFonts w:hint="eastAsia" w:ascii="宋体" w:hAnsi="宋体" w:cs="宋体"/>
          <w:sz w:val="24"/>
        </w:rPr>
        <w:br w:type="page"/>
      </w:r>
      <w:bookmarkStart w:id="0" w:name="_Hlt67893495"/>
      <w:bookmarkEnd w:id="0"/>
    </w:p>
    <w:p>
      <w:pPr>
        <w:pStyle w:val="634"/>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649545"/>
      <w:bookmarkEnd w:id="4"/>
      <w:bookmarkStart w:id="5" w:name="_Hlt74728647"/>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eastAsia="宋体" w:cs="宋体"/>
          <w:sz w:val="24"/>
          <w:u w:val="single"/>
          <w:lang w:eastAsia="zh-CN"/>
        </w:rPr>
        <w:t>高虹镇城市综合巡防服务项目</w:t>
      </w:r>
      <w:r>
        <w:rPr>
          <w:rFonts w:hint="eastAsia" w:ascii="宋体" w:hAnsi="宋体" w:cs="宋体"/>
          <w:sz w:val="24"/>
        </w:rPr>
        <w:t>招标项目的潜在投标人应在政采云平台（</w:t>
      </w:r>
      <w:r>
        <w:rPr>
          <w:u w:val="none"/>
        </w:rPr>
        <w:fldChar w:fldCharType="begin"/>
      </w:r>
      <w:r>
        <w:rPr>
          <w:u w:val="none"/>
        </w:rPr>
        <w:instrText xml:space="preserve"> HYPERLINK "https://www.zcygov.cn/）获取（下载）招标文件，并于202%20年%20月%20日%20点%20分00秒" </w:instrText>
      </w:r>
      <w:r>
        <w:rPr>
          <w:u w:val="none"/>
        </w:rPr>
        <w:fldChar w:fldCharType="separate"/>
      </w:r>
      <w:r>
        <w:rPr>
          <w:rStyle w:val="76"/>
          <w:rFonts w:hint="eastAsia" w:ascii="宋体" w:hAnsi="宋体" w:eastAsia="宋体" w:cs="宋体"/>
          <w:snapToGrid/>
          <w:kern w:val="2"/>
          <w:sz w:val="24"/>
          <w:szCs w:val="24"/>
          <w:u w:val="none"/>
        </w:rPr>
        <w:t>https://www.zcygov.cn/）获取（下载）招标文件，并于</w:t>
      </w:r>
      <w:r>
        <w:rPr>
          <w:rStyle w:val="76"/>
          <w:rFonts w:hint="eastAsia" w:ascii="宋体" w:hAnsi="宋体" w:eastAsia="宋体" w:cs="宋体"/>
          <w:snapToGrid/>
          <w:kern w:val="2"/>
          <w:sz w:val="24"/>
          <w:szCs w:val="24"/>
          <w:u w:val="single"/>
        </w:rPr>
        <w:t>202</w:t>
      </w:r>
      <w:r>
        <w:rPr>
          <w:rStyle w:val="76"/>
          <w:rFonts w:hint="eastAsia" w:ascii="宋体" w:hAnsi="宋体" w:cs="宋体"/>
          <w:snapToGrid/>
          <w:kern w:val="2"/>
          <w:sz w:val="24"/>
          <w:szCs w:val="24"/>
          <w:u w:val="single"/>
          <w:lang w:val="en-US" w:eastAsia="zh-CN"/>
        </w:rPr>
        <w:t>3</w:t>
      </w:r>
      <w:r>
        <w:rPr>
          <w:rStyle w:val="76"/>
          <w:rFonts w:hint="eastAsia" w:ascii="宋体" w:hAnsi="宋体" w:eastAsia="宋体" w:cs="宋体"/>
          <w:snapToGrid/>
          <w:kern w:val="2"/>
          <w:sz w:val="24"/>
          <w:szCs w:val="24"/>
          <w:u w:val="single"/>
        </w:rPr>
        <w:t>年</w:t>
      </w:r>
      <w:r>
        <w:rPr>
          <w:rStyle w:val="76"/>
          <w:rFonts w:hint="eastAsia" w:ascii="宋体" w:hAnsi="宋体" w:cs="宋体"/>
          <w:snapToGrid/>
          <w:kern w:val="2"/>
          <w:sz w:val="24"/>
          <w:szCs w:val="24"/>
          <w:u w:val="single"/>
          <w:lang w:val="en-US" w:eastAsia="zh-CN"/>
        </w:rPr>
        <w:t>03</w:t>
      </w:r>
      <w:r>
        <w:rPr>
          <w:rStyle w:val="76"/>
          <w:rFonts w:hint="eastAsia" w:ascii="宋体" w:hAnsi="宋体" w:eastAsia="宋体" w:cs="宋体"/>
          <w:snapToGrid/>
          <w:kern w:val="2"/>
          <w:sz w:val="24"/>
          <w:szCs w:val="24"/>
          <w:u w:val="single"/>
        </w:rPr>
        <w:t>月</w:t>
      </w:r>
      <w:r>
        <w:rPr>
          <w:rStyle w:val="76"/>
          <w:rFonts w:hint="eastAsia" w:ascii="宋体" w:hAnsi="宋体" w:cs="宋体"/>
          <w:snapToGrid/>
          <w:kern w:val="2"/>
          <w:sz w:val="24"/>
          <w:szCs w:val="24"/>
          <w:u w:val="single"/>
          <w:lang w:val="en-US" w:eastAsia="zh-CN"/>
        </w:rPr>
        <w:t>28</w:t>
      </w:r>
      <w:r>
        <w:rPr>
          <w:rStyle w:val="76"/>
          <w:rFonts w:hint="eastAsia" w:ascii="宋体" w:hAnsi="宋体" w:eastAsia="宋体" w:cs="宋体"/>
          <w:snapToGrid/>
          <w:kern w:val="2"/>
          <w:sz w:val="24"/>
          <w:szCs w:val="24"/>
          <w:u w:val="single"/>
        </w:rPr>
        <w:t>日</w:t>
      </w:r>
      <w:r>
        <w:rPr>
          <w:rStyle w:val="76"/>
          <w:rFonts w:hint="eastAsia" w:ascii="宋体" w:hAnsi="宋体" w:cs="宋体"/>
          <w:snapToGrid/>
          <w:kern w:val="2"/>
          <w:sz w:val="24"/>
          <w:szCs w:val="24"/>
          <w:u w:val="single"/>
          <w:lang w:val="en-US" w:eastAsia="zh-CN"/>
        </w:rPr>
        <w:t>14</w:t>
      </w:r>
      <w:r>
        <w:rPr>
          <w:rStyle w:val="76"/>
          <w:rFonts w:hint="eastAsia" w:ascii="宋体" w:hAnsi="宋体" w:eastAsia="宋体" w:cs="宋体"/>
          <w:snapToGrid/>
          <w:kern w:val="2"/>
          <w:sz w:val="24"/>
          <w:szCs w:val="24"/>
          <w:u w:val="single"/>
        </w:rPr>
        <w:t>点</w:t>
      </w:r>
      <w:r>
        <w:rPr>
          <w:rStyle w:val="76"/>
          <w:rFonts w:hint="eastAsia" w:ascii="宋体" w:hAnsi="宋体" w:cs="宋体"/>
          <w:snapToGrid/>
          <w:kern w:val="2"/>
          <w:sz w:val="24"/>
          <w:szCs w:val="24"/>
          <w:u w:val="single"/>
          <w:lang w:val="en-US" w:eastAsia="zh-CN"/>
        </w:rPr>
        <w:t>00</w:t>
      </w:r>
      <w:r>
        <w:rPr>
          <w:rStyle w:val="76"/>
          <w:rFonts w:hint="eastAsia" w:ascii="宋体" w:hAnsi="宋体" w:eastAsia="宋体" w:cs="宋体"/>
          <w:snapToGrid/>
          <w:kern w:val="2"/>
          <w:sz w:val="24"/>
          <w:szCs w:val="24"/>
          <w:u w:val="single"/>
        </w:rPr>
        <w:t>分</w:t>
      </w:r>
      <w:r>
        <w:rPr>
          <w:rStyle w:val="76"/>
          <w:rFonts w:hint="eastAsia" w:ascii="宋体" w:hAnsi="宋体" w:eastAsia="宋体" w:cs="宋体"/>
          <w:bCs/>
          <w:snapToGrid/>
          <w:kern w:val="2"/>
          <w:sz w:val="24"/>
          <w:szCs w:val="24"/>
          <w:u w:val="single"/>
        </w:rPr>
        <w:t>00秒</w:t>
      </w:r>
      <w:r>
        <w:rPr>
          <w:rStyle w:val="76"/>
          <w:rFonts w:hint="eastAsia" w:ascii="宋体" w:hAnsi="宋体" w:eastAsia="宋体" w:cs="宋体"/>
          <w:bCs/>
          <w:snapToGrid/>
          <w:kern w:val="2"/>
          <w:sz w:val="24"/>
          <w:szCs w:val="24"/>
          <w:u w:val="none"/>
        </w:rPr>
        <w:fldChar w:fldCharType="end"/>
      </w:r>
      <w:r>
        <w:rPr>
          <w:rFonts w:hint="eastAsia" w:ascii="宋体" w:hAnsi="宋体" w:cs="宋体"/>
          <w:bCs/>
          <w:sz w:val="24"/>
          <w:u w:val="none"/>
        </w:rPr>
        <w:t>（北京时间）</w:t>
      </w:r>
      <w:r>
        <w:rPr>
          <w:rFonts w:hint="eastAsia" w:ascii="宋体" w:hAnsi="宋体" w:cs="宋体"/>
          <w:bCs/>
          <w:sz w:val="24"/>
        </w:rPr>
        <w:t>前</w:t>
      </w:r>
      <w:r>
        <w:rPr>
          <w:rFonts w:hint="eastAsia" w:ascii="宋体" w:hAnsi="宋体" w:cs="宋体"/>
          <w:sz w:val="24"/>
        </w:rPr>
        <w:t>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项目编号：</w:t>
      </w:r>
      <w:r>
        <w:rPr>
          <w:rFonts w:hint="eastAsia" w:ascii="仿宋" w:hAnsi="仿宋" w:eastAsia="仿宋" w:cs="仿宋"/>
          <w:b/>
          <w:sz w:val="24"/>
        </w:rPr>
        <w:t xml:space="preserve"> </w:t>
      </w:r>
      <w:r>
        <w:rPr>
          <w:rFonts w:hint="eastAsia" w:ascii="宋体" w:hAnsi="宋体" w:cs="宋体"/>
          <w:sz w:val="24"/>
          <w:lang w:eastAsia="zh-CN"/>
        </w:rPr>
        <w:t>[2023]126号</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项目名称：</w:t>
      </w:r>
      <w:r>
        <w:rPr>
          <w:rFonts w:hint="eastAsia" w:ascii="宋体" w:hAnsi="宋体" w:cs="宋体"/>
          <w:sz w:val="24"/>
          <w:lang w:eastAsia="zh-CN"/>
        </w:rPr>
        <w:t>高虹镇城市综合巡防服务项目</w:t>
      </w: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 xml:space="preserve"> 预算金额（元）：</w:t>
      </w:r>
      <w:r>
        <w:rPr>
          <w:rFonts w:hint="eastAsia" w:ascii="宋体" w:hAnsi="宋体" w:cs="宋体"/>
          <w:b/>
          <w:bCs/>
          <w:sz w:val="24"/>
          <w:lang w:val="en-US" w:eastAsia="zh-CN"/>
        </w:rPr>
        <w:t>3200000</w:t>
      </w:r>
      <w:r>
        <w:rPr>
          <w:rFonts w:hint="eastAsia" w:ascii="宋体" w:hAnsi="宋体" w:cs="宋体"/>
          <w:sz w:val="24"/>
          <w:lang w:eastAsia="zh-CN"/>
        </w:rPr>
        <w:t xml:space="preserve"> </w:t>
      </w:r>
    </w:p>
    <w:p>
      <w:pPr>
        <w:spacing w:line="360" w:lineRule="auto"/>
        <w:ind w:firstLine="480"/>
        <w:rPr>
          <w:rFonts w:ascii="宋体" w:hAnsi="宋体" w:cs="宋体"/>
          <w:sz w:val="24"/>
        </w:rPr>
      </w:pPr>
      <w:r>
        <w:rPr>
          <w:rFonts w:hint="eastAsia" w:ascii="宋体" w:hAnsi="宋体" w:cs="宋体"/>
          <w:b/>
          <w:sz w:val="24"/>
        </w:rPr>
        <w:t>最高限价（元）：</w:t>
      </w:r>
      <w:r>
        <w:rPr>
          <w:rFonts w:hint="eastAsia" w:ascii="宋体" w:hAnsi="宋体" w:cs="宋体"/>
          <w:b/>
          <w:bCs/>
          <w:sz w:val="24"/>
          <w:lang w:val="en-US" w:eastAsia="zh-CN"/>
        </w:rPr>
        <w:t>3000000</w:t>
      </w:r>
    </w:p>
    <w:p>
      <w:pPr>
        <w:pStyle w:val="5"/>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ascii="宋体" w:hAnsi="宋体" w:eastAsia="宋体" w:cs="宋体"/>
          <w:snapToGrid/>
          <w:color w:val="auto"/>
          <w:kern w:val="2"/>
          <w:sz w:val="24"/>
          <w:szCs w:val="24"/>
          <w:lang w:val="en-US" w:eastAsia="zh-CN" w:bidi="ar-SA"/>
        </w:rPr>
        <w:t>本项目为高虹镇城市综合巡防服务项目，为着力提升高虹镇辖区城市综合管理能力水平，突出解决高虹镇城市治理尤其是长效管控的问题。有效开展辖区范围城市保序、城市巡防、环境巡防及应急综合力量等工作。详见第三章招标范围及需求</w:t>
      </w:r>
    </w:p>
    <w:p>
      <w:pPr>
        <w:pStyle w:val="128"/>
        <w:ind w:firstLine="482"/>
        <w:outlineLvl w:val="2"/>
        <w:rPr>
          <w:rFonts w:ascii="宋体" w:hAnsi="宋体" w:cs="宋体"/>
        </w:rPr>
      </w:pPr>
      <w:r>
        <w:rPr>
          <w:rFonts w:hint="eastAsia" w:ascii="宋体" w:hAnsi="宋体" w:cs="宋体"/>
          <w:b/>
        </w:rPr>
        <w:t>合同履约期限：合同签订起至2023年12月31日。</w:t>
      </w:r>
      <w:r>
        <w:rPr>
          <w:rFonts w:ascii="宋体" w:hAnsi="宋体" w:cs="宋体"/>
        </w:rPr>
        <w:t xml:space="preserve"> </w:t>
      </w:r>
    </w:p>
    <w:p>
      <w:pPr>
        <w:pStyle w:val="5"/>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sdt>
        <w:sdtPr>
          <w:rPr>
            <w:rFonts w:hAnsi="宋体" w:cs="宋体"/>
            <w:color w:val="auto"/>
            <w:kern w:val="0"/>
            <w:sz w:val="24"/>
          </w:rPr>
          <w:id w:val="-441836950"/>
          <w14:checkbox>
            <w14:checked w14:val="0"/>
            <w14:checkedState w14:val="00FE" w14:font="Wingdings"/>
            <w14:uncheckedState w14:val="2610" w14:font="MS Gothic"/>
          </w14:checkbox>
        </w:sdtPr>
        <w:sdtEndPr>
          <w:rPr>
            <w:rFonts w:hAnsi="宋体" w:cs="宋体"/>
            <w:color w:val="auto"/>
            <w:kern w:val="0"/>
            <w:sz w:val="24"/>
          </w:rPr>
        </w:sdtEndPr>
        <w:sdtContent>
          <w:r>
            <w:rPr>
              <w:rFonts w:ascii="MS Gothic" w:hAnsi="MS Gothic" w:eastAsia="宋体" w:cs="宋体"/>
              <w:snapToGrid w:val="0"/>
              <w:color w:val="auto"/>
              <w:kern w:val="0"/>
              <w:sz w:val="24"/>
              <w:szCs w:val="20"/>
              <w:lang w:val="en-US" w:eastAsia="zh-CN" w:bidi="ar-SA"/>
            </w:rPr>
            <w:t>☐</w:t>
          </w:r>
        </w:sdtContent>
      </w:sdt>
      <w:r>
        <w:rPr>
          <w:rFonts w:hint="eastAsia" w:hAnsi="宋体" w:cs="宋体"/>
          <w:b/>
          <w:color w:val="auto"/>
          <w:sz w:val="24"/>
        </w:rPr>
        <w:t>是；</w:t>
      </w:r>
      <w:sdt>
        <w:sdtPr>
          <w:rPr>
            <w:rFonts w:hAnsi="宋体" w:cs="宋体"/>
            <w:color w:val="auto"/>
            <w:kern w:val="0"/>
            <w:sz w:val="24"/>
          </w:rPr>
          <w:id w:val="-1591624199"/>
          <w14:checkbox>
            <w14:checked w14:val="1"/>
            <w14:checkedState w14:val="00FE" w14:font="Wingdings"/>
            <w14:uncheckedState w14:val="2610" w14:font="MS Gothic"/>
          </w14:checkbox>
        </w:sdtPr>
        <w:sdtEndPr>
          <w:rPr>
            <w:rFonts w:hAnsi="宋体" w:cs="宋体"/>
            <w:color w:val="auto"/>
            <w:kern w:val="0"/>
            <w:sz w:val="24"/>
          </w:rPr>
        </w:sdtEndPr>
        <w:sdtContent>
          <w:r>
            <w:rPr>
              <w:rFonts w:ascii="Wingdings" w:hAnsi="Wingdings" w:eastAsia="宋体" w:cs="Segoe UI Symbol"/>
              <w:snapToGrid w:val="0"/>
              <w:color w:val="auto"/>
              <w:kern w:val="0"/>
              <w:sz w:val="24"/>
              <w:szCs w:val="20"/>
              <w:lang w:val="en-US" w:eastAsia="zh-CN" w:bidi="ar-SA"/>
            </w:rPr>
            <w:t>þ</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kern w:val="28"/>
          <w:sz w:val="24"/>
          <w:szCs w:val="20"/>
        </w:rPr>
      </w:pPr>
      <w:r>
        <w:rPr>
          <w:rFonts w:ascii="宋体" w:hAnsi="宋体" w:cs="宋体"/>
          <w:snapToGrid w:val="0"/>
          <w:kern w:val="28"/>
          <w:sz w:val="24"/>
          <w:szCs w:val="20"/>
        </w:rPr>
        <w:t>3</w:t>
      </w:r>
      <w:r>
        <w:rPr>
          <w:rFonts w:hint="eastAsia" w:ascii="宋体" w:hAnsi="宋体" w:cs="宋体"/>
          <w:snapToGrid w:val="0"/>
          <w:kern w:val="28"/>
          <w:sz w:val="24"/>
          <w:szCs w:val="20"/>
        </w:rPr>
        <w:t>.落实政府采购政策需满足的资格要求：</w:t>
      </w:r>
    </w:p>
    <w:p>
      <w:pPr>
        <w:spacing w:line="360" w:lineRule="auto"/>
        <w:ind w:firstLine="480" w:firstLineChars="200"/>
        <w:rPr>
          <w:rFonts w:hint="eastAsia" w:ascii="宋体" w:hAnsi="宋体" w:cs="宋体"/>
          <w:snapToGrid w:val="0"/>
          <w:kern w:val="28"/>
          <w:sz w:val="24"/>
          <w:szCs w:val="20"/>
        </w:rPr>
      </w:pPr>
      <w:sdt>
        <w:sdtPr>
          <w:rPr>
            <w:rFonts w:hint="eastAsia" w:ascii="宋体" w:hAnsi="宋体" w:cs="宋体"/>
            <w:color w:val="0000FF"/>
            <w:kern w:val="0"/>
            <w:sz w:val="24"/>
          </w:rPr>
          <w:id w:val="1928616923"/>
          <w14:checkbox>
            <w14:checked w14:val="0"/>
            <w14:checkedState w14:val="00FE" w14:font="Wingdings"/>
            <w14:uncheckedState w14:val="2610" w14:font="MS Gothic"/>
          </w14:checkbox>
        </w:sdtPr>
        <w:sdtEndPr>
          <w:rPr>
            <w:rFonts w:hint="eastAsia" w:ascii="宋体" w:hAnsi="宋体" w:cs="宋体"/>
            <w:snapToGrid w:val="0"/>
            <w:color w:val="0000FF"/>
            <w:kern w:val="28"/>
            <w:sz w:val="24"/>
            <w:szCs w:val="20"/>
          </w:rPr>
        </w:sdtEndPr>
        <w:sdtContent>
          <w:r>
            <w:rPr>
              <w:rFonts w:hint="eastAsia" w:ascii="宋体" w:hAnsi="宋体" w:cs="宋体"/>
              <w:snapToGrid w:val="0"/>
              <w:kern w:val="28"/>
              <w:sz w:val="24"/>
              <w:szCs w:val="20"/>
            </w:rPr>
            <w:t>☐</w:t>
          </w:r>
        </w:sdtContent>
      </w:sdt>
      <w:r>
        <w:rPr>
          <w:rFonts w:hint="eastAsia" w:ascii="宋体" w:hAnsi="宋体" w:cs="宋体"/>
          <w:snapToGrid w:val="0"/>
          <w:kern w:val="28"/>
          <w:sz w:val="24"/>
          <w:szCs w:val="20"/>
        </w:rPr>
        <w:t>无（注：不得限制大中型企业与小微企业组成联合体参与投标）；</w:t>
      </w:r>
    </w:p>
    <w:p>
      <w:pPr>
        <w:spacing w:line="360" w:lineRule="auto"/>
        <w:ind w:firstLine="480" w:firstLineChars="200"/>
        <w:rPr>
          <w:rFonts w:hint="eastAsia" w:ascii="宋体" w:hAnsi="宋体" w:cs="宋体"/>
          <w:snapToGrid w:val="0"/>
          <w:kern w:val="28"/>
          <w:sz w:val="24"/>
          <w:szCs w:val="20"/>
        </w:rPr>
      </w:pPr>
      <w:sdt>
        <w:sdtPr>
          <w:rPr>
            <w:rFonts w:hint="eastAsia" w:ascii="宋体" w:hAnsi="宋体" w:cs="宋体"/>
            <w:snapToGrid w:val="0"/>
            <w:kern w:val="28"/>
            <w:sz w:val="24"/>
            <w:szCs w:val="20"/>
          </w:rPr>
          <w:id w:val="-1024704304"/>
          <w14:checkbox>
            <w14:checked w14:val="0"/>
            <w14:checkedState w14:val="00FE" w14:font="Wingdings"/>
            <w14:uncheckedState w14:val="2610" w14:font="MS Gothic"/>
          </w14:checkbox>
        </w:sdtPr>
        <w:sdtEndPr>
          <w:rPr>
            <w:rFonts w:hint="eastAsia" w:ascii="宋体" w:hAnsi="宋体" w:cs="宋体"/>
            <w:snapToGrid w:val="0"/>
            <w:kern w:val="28"/>
            <w:sz w:val="24"/>
            <w:szCs w:val="20"/>
          </w:rPr>
        </w:sdtEndPr>
        <w:sdtContent>
          <w:r>
            <w:rPr>
              <w:rFonts w:hint="eastAsia" w:ascii="MS Gothic" w:hAnsi="MS Gothic" w:eastAsia="宋体" w:cs="宋体"/>
              <w:snapToGrid w:val="0"/>
              <w:kern w:val="28"/>
              <w:sz w:val="24"/>
              <w:szCs w:val="20"/>
              <w:lang w:val="en-US" w:eastAsia="zh-CN" w:bidi="ar-SA"/>
            </w:rPr>
            <w:t>☐</w:t>
          </w:r>
        </w:sdtContent>
      </w:sdt>
      <w:r>
        <w:rPr>
          <w:rFonts w:hint="eastAsia" w:ascii="宋体" w:hAnsi="宋体" w:cs="宋体"/>
          <w:snapToGrid w:val="0"/>
          <w:kern w:val="28"/>
          <w:sz w:val="24"/>
          <w:szCs w:val="20"/>
        </w:rPr>
        <w:t>专门面向中小企业</w:t>
      </w:r>
    </w:p>
    <w:p>
      <w:pPr>
        <w:spacing w:line="360" w:lineRule="auto"/>
        <w:ind w:firstLine="480" w:firstLineChars="200"/>
        <w:rPr>
          <w:rFonts w:hint="eastAsia" w:ascii="宋体" w:hAnsi="宋体" w:cs="宋体"/>
          <w:snapToGrid w:val="0"/>
          <w:kern w:val="28"/>
          <w:sz w:val="24"/>
          <w:szCs w:val="20"/>
        </w:rPr>
      </w:pPr>
      <w:sdt>
        <w:sdtPr>
          <w:rPr>
            <w:rFonts w:hint="eastAsia" w:ascii="宋体" w:hAnsi="宋体" w:cs="宋体"/>
            <w:snapToGrid w:val="0"/>
            <w:kern w:val="28"/>
            <w:sz w:val="24"/>
            <w:szCs w:val="20"/>
          </w:rPr>
          <w:id w:val="-333685401"/>
          <w14:checkbox>
            <w14:checked w14:val="1"/>
            <w14:checkedState w14:val="00FE" w14:font="Wingdings"/>
            <w14:uncheckedState w14:val="2610" w14:font="MS Gothic"/>
          </w14:checkbox>
        </w:sdtPr>
        <w:sdtEndPr>
          <w:rPr>
            <w:rFonts w:hint="eastAsia" w:ascii="宋体" w:hAnsi="宋体" w:cs="宋体"/>
            <w:snapToGrid w:val="0"/>
            <w:kern w:val="28"/>
            <w:sz w:val="24"/>
            <w:szCs w:val="20"/>
          </w:rPr>
        </w:sdtEndPr>
        <w:sdtContent>
          <w:r>
            <w:rPr>
              <w:rFonts w:hint="eastAsia" w:ascii="Wingdings" w:hAnsi="Wingdings" w:eastAsia="宋体" w:cs="宋体"/>
              <w:snapToGrid w:val="0"/>
              <w:kern w:val="28"/>
              <w:sz w:val="24"/>
              <w:szCs w:val="20"/>
              <w:lang w:val="en-US" w:eastAsia="zh-CN" w:bidi="ar-SA"/>
            </w:rPr>
            <w:t>þ</w:t>
          </w:r>
        </w:sdtContent>
      </w:sdt>
      <w:r>
        <w:rPr>
          <w:rFonts w:hint="eastAsia" w:ascii="宋体" w:hAnsi="宋体" w:cs="宋体"/>
          <w:snapToGrid w:val="0"/>
          <w:kern w:val="28"/>
          <w:sz w:val="24"/>
          <w:szCs w:val="20"/>
        </w:rPr>
        <w:t>服务全部由符合政策要求的中小企业承接，提供中小企业声明函；</w:t>
      </w:r>
    </w:p>
    <w:p>
      <w:pPr>
        <w:spacing w:line="360" w:lineRule="auto"/>
        <w:ind w:firstLine="480" w:firstLineChars="200"/>
        <w:rPr>
          <w:rFonts w:hint="eastAsia" w:ascii="宋体" w:hAnsi="宋体" w:cs="宋体"/>
          <w:snapToGrid w:val="0"/>
          <w:kern w:val="28"/>
          <w:sz w:val="24"/>
          <w:szCs w:val="20"/>
        </w:rPr>
      </w:pPr>
      <w:sdt>
        <w:sdtPr>
          <w:rPr>
            <w:rFonts w:hint="eastAsia" w:ascii="宋体" w:hAnsi="宋体" w:cs="宋体"/>
            <w:snapToGrid w:val="0"/>
            <w:kern w:val="28"/>
            <w:sz w:val="24"/>
            <w:szCs w:val="20"/>
          </w:rPr>
          <w:id w:val="-2141025358"/>
          <w14:checkbox>
            <w14:checked w14:val="0"/>
            <w14:checkedState w14:val="00FE" w14:font="Wingdings"/>
            <w14:uncheckedState w14:val="2610" w14:font="MS Gothic"/>
          </w14:checkbox>
        </w:sdtPr>
        <w:sdtEndPr>
          <w:rPr>
            <w:rFonts w:hint="eastAsia" w:ascii="宋体" w:hAnsi="宋体" w:cs="宋体"/>
            <w:snapToGrid w:val="0"/>
            <w:kern w:val="28"/>
            <w:sz w:val="24"/>
            <w:szCs w:val="20"/>
          </w:rPr>
        </w:sdtEndPr>
        <w:sdtContent>
          <w:r>
            <w:rPr>
              <w:rFonts w:hint="eastAsia" w:ascii="宋体" w:hAnsi="宋体" w:cs="宋体"/>
              <w:snapToGrid w:val="0"/>
              <w:kern w:val="28"/>
              <w:sz w:val="24"/>
              <w:szCs w:val="20"/>
            </w:rPr>
            <w:t>☐</w:t>
          </w:r>
        </w:sdtContent>
      </w:sdt>
      <w:r>
        <w:rPr>
          <w:rFonts w:hint="eastAsia" w:ascii="宋体" w:hAnsi="宋体" w:cs="宋体"/>
          <w:snapToGrid w:val="0"/>
          <w:kern w:val="28"/>
          <w:sz w:val="24"/>
          <w:szCs w:val="20"/>
        </w:rPr>
        <w:t>服务全部由符合政策要求的小微企业承接，提供中小企业声明函；</w:t>
      </w:r>
    </w:p>
    <w:p>
      <w:pPr>
        <w:spacing w:line="360" w:lineRule="auto"/>
        <w:ind w:firstLine="480" w:firstLineChars="200"/>
        <w:rPr>
          <w:rFonts w:hint="eastAsia" w:ascii="宋体" w:hAnsi="宋体" w:cs="宋体"/>
          <w:snapToGrid w:val="0"/>
          <w:kern w:val="28"/>
          <w:sz w:val="24"/>
          <w:szCs w:val="20"/>
        </w:rPr>
      </w:pPr>
    </w:p>
    <w:p>
      <w:pPr>
        <w:spacing w:line="360" w:lineRule="auto"/>
        <w:ind w:firstLine="480" w:firstLineChars="200"/>
        <w:rPr>
          <w:rFonts w:hint="eastAsia" w:ascii="宋体" w:hAnsi="宋体" w:cs="宋体"/>
          <w:snapToGrid w:val="0"/>
          <w:kern w:val="28"/>
          <w:sz w:val="24"/>
          <w:szCs w:val="20"/>
        </w:rPr>
      </w:pPr>
      <w:sdt>
        <w:sdtPr>
          <w:rPr>
            <w:rFonts w:hint="eastAsia" w:ascii="宋体" w:hAnsi="宋体" w:cs="宋体"/>
            <w:snapToGrid w:val="0"/>
            <w:kern w:val="28"/>
            <w:sz w:val="24"/>
            <w:szCs w:val="20"/>
          </w:rPr>
          <w:id w:val="-1985607795"/>
          <w14:checkbox>
            <w14:checked w14:val="0"/>
            <w14:checkedState w14:val="00FE" w14:font="Wingdings"/>
            <w14:uncheckedState w14:val="2610" w14:font="MS Gothic"/>
          </w14:checkbox>
        </w:sdtPr>
        <w:sdtEndPr>
          <w:rPr>
            <w:rFonts w:hint="eastAsia" w:ascii="宋体" w:hAnsi="宋体" w:cs="宋体"/>
            <w:snapToGrid w:val="0"/>
            <w:kern w:val="28"/>
            <w:sz w:val="24"/>
            <w:szCs w:val="20"/>
          </w:rPr>
        </w:sdtEndPr>
        <w:sdtContent>
          <w:r>
            <w:rPr>
              <w:rFonts w:hint="eastAsia" w:ascii="宋体" w:hAnsi="宋体" w:cs="宋体"/>
              <w:snapToGrid w:val="0"/>
              <w:kern w:val="28"/>
              <w:sz w:val="24"/>
              <w:szCs w:val="20"/>
            </w:rPr>
            <w:t>☐</w:t>
          </w:r>
        </w:sdtContent>
      </w:sdt>
      <w:r>
        <w:rPr>
          <w:rFonts w:hint="eastAsia" w:ascii="宋体" w:hAnsi="宋体" w:cs="宋体"/>
          <w:snapToGrid w:val="0"/>
          <w:kern w:val="28"/>
          <w:sz w:val="24"/>
          <w:szCs w:val="20"/>
        </w:rPr>
        <w:t>要求以联合体形式参加，提供联合协议和中小企业声明函，联合协议中中小企业合同金额应当达到  %，其中小微企业合同金额应当达到 %;如果供应商本身提供所有标的均由中小企业制造、承建或承接，并相应达到了前述比例要求，视同符合了资格条件，无需再与其他中小企业组成联合体参加政府采购活动，无需提供联合协议；</w:t>
      </w:r>
    </w:p>
    <w:p>
      <w:pPr>
        <w:spacing w:line="360" w:lineRule="auto"/>
        <w:ind w:firstLine="480" w:firstLineChars="200"/>
        <w:rPr>
          <w:rFonts w:hint="eastAsia" w:ascii="宋体" w:hAnsi="宋体" w:cs="宋体"/>
          <w:snapToGrid w:val="0"/>
          <w:kern w:val="28"/>
          <w:sz w:val="24"/>
          <w:szCs w:val="20"/>
        </w:rPr>
      </w:pPr>
      <w:sdt>
        <w:sdtPr>
          <w:rPr>
            <w:rFonts w:hint="eastAsia" w:ascii="宋体" w:hAnsi="宋体" w:cs="宋体"/>
            <w:color w:val="0000FF"/>
            <w:kern w:val="0"/>
            <w:sz w:val="24"/>
          </w:rPr>
          <w:id w:val="34630645"/>
          <w14:checkbox>
            <w14:checked w14:val="0"/>
            <w14:checkedState w14:val="00FE" w14:font="Wingdings"/>
            <w14:uncheckedState w14:val="2610" w14:font="MS Gothic"/>
          </w14:checkbox>
        </w:sdtPr>
        <w:sdtEndPr>
          <w:rPr>
            <w:rFonts w:hint="eastAsia" w:ascii="宋体" w:hAnsi="宋体" w:cs="宋体"/>
            <w:snapToGrid w:val="0"/>
            <w:color w:val="0000FF"/>
            <w:kern w:val="28"/>
            <w:sz w:val="24"/>
            <w:szCs w:val="20"/>
          </w:rPr>
        </w:sdtEndPr>
        <w:sdtContent>
          <w:r>
            <w:rPr>
              <w:rFonts w:hint="eastAsia" w:ascii="MS Gothic" w:hAnsi="MS Gothic" w:eastAsia="宋体" w:cs="宋体"/>
              <w:snapToGrid w:val="0"/>
              <w:kern w:val="28"/>
              <w:sz w:val="24"/>
              <w:szCs w:val="20"/>
              <w:lang w:val="en-US" w:eastAsia="zh-CN" w:bidi="ar-SA"/>
            </w:rPr>
            <w:t>☐</w:t>
          </w:r>
        </w:sdtContent>
      </w:sdt>
      <w:r>
        <w:rPr>
          <w:rFonts w:hint="eastAsia" w:ascii="宋体" w:hAnsi="宋体" w:cs="宋体"/>
          <w:snapToGrid w:val="0"/>
          <w:kern w:val="28"/>
          <w:sz w:val="24"/>
          <w:szCs w:val="20"/>
        </w:rPr>
        <w:t>要求合同分包，提供分包意向协议和中小企业声明函，分包意向协议中中小企业合同金额应当达到达到</w:t>
      </w:r>
      <w:r>
        <w:rPr>
          <w:rFonts w:hint="eastAsia" w:ascii="宋体" w:hAnsi="宋体" w:cs="宋体"/>
          <w:snapToGrid w:val="0"/>
          <w:kern w:val="28"/>
          <w:sz w:val="24"/>
          <w:szCs w:val="20"/>
          <w:lang w:val="en-US" w:eastAsia="zh-CN"/>
        </w:rPr>
        <w:t>30</w:t>
      </w:r>
      <w:r>
        <w:rPr>
          <w:rFonts w:hint="eastAsia" w:ascii="宋体" w:hAnsi="宋体" w:cs="宋体"/>
          <w:snapToGrid w:val="0"/>
          <w:kern w:val="28"/>
          <w:sz w:val="24"/>
          <w:szCs w:val="20"/>
        </w:rPr>
        <w:t>% ，其中小微企业合同金额应当达到</w:t>
      </w:r>
      <w:r>
        <w:rPr>
          <w:rFonts w:hint="eastAsia" w:ascii="宋体" w:hAnsi="宋体" w:cs="宋体"/>
          <w:snapToGrid w:val="0"/>
          <w:kern w:val="28"/>
          <w:sz w:val="24"/>
          <w:szCs w:val="20"/>
          <w:lang w:val="en-US" w:eastAsia="zh-CN"/>
        </w:rPr>
        <w:t>6</w:t>
      </w:r>
      <w:r>
        <w:rPr>
          <w:rFonts w:hint="eastAsia" w:ascii="宋体" w:hAnsi="宋体" w:cs="宋体"/>
          <w:snapToGrid w:val="0"/>
          <w:kern w:val="28"/>
          <w:sz w:val="24"/>
          <w:szCs w:val="20"/>
        </w:rPr>
        <w:t>% ;如果供应商本身提供所有标的均由中小企业制造、承建或承接，并相应达到了前述比例要求，视同符合了资格条件，无需再向中小企业分包，无需提供分包意向协议；</w:t>
      </w:r>
    </w:p>
    <w:p>
      <w:pPr>
        <w:spacing w:line="360" w:lineRule="auto"/>
        <w:ind w:firstLine="480" w:firstLineChars="200"/>
        <w:rPr>
          <w:rFonts w:hint="eastAsia" w:ascii="宋体" w:hAnsi="宋体" w:cs="宋体"/>
          <w:snapToGrid w:val="0"/>
          <w:kern w:val="28"/>
          <w:sz w:val="24"/>
          <w:szCs w:val="20"/>
        </w:rPr>
      </w:pPr>
      <w:r>
        <w:rPr>
          <w:rFonts w:hint="eastAsia" w:ascii="宋体" w:hAnsi="宋体" w:cs="宋体"/>
          <w:snapToGrid w:val="0"/>
          <w:kern w:val="28"/>
          <w:sz w:val="24"/>
          <w:szCs w:val="20"/>
        </w:rPr>
        <w:t>4.本项目的特定资格要求：</w:t>
      </w:r>
      <w:r>
        <w:rPr>
          <w:rFonts w:hint="eastAsia" w:ascii="宋体" w:hAnsi="宋体" w:cs="宋体"/>
          <w:snapToGrid w:val="0"/>
          <w:kern w:val="28"/>
          <w:sz w:val="24"/>
          <w:szCs w:val="20"/>
          <w:lang w:val="en-US" w:eastAsia="zh-CN"/>
        </w:rPr>
        <w:t>具有</w:t>
      </w:r>
      <w:r>
        <w:rPr>
          <w:rFonts w:hint="eastAsia" w:ascii="宋体" w:hAnsi="宋体" w:cs="宋体"/>
          <w:snapToGrid w:val="0"/>
          <w:kern w:val="28"/>
          <w:sz w:val="24"/>
          <w:szCs w:val="20"/>
        </w:rPr>
        <w:t>保安服务许可证；</w:t>
      </w:r>
    </w:p>
    <w:p>
      <w:pPr>
        <w:snapToGrid w:val="0"/>
        <w:spacing w:line="360" w:lineRule="auto"/>
        <w:ind w:firstLine="480" w:firstLineChars="200"/>
        <w:rPr>
          <w:rFonts w:ascii="宋体" w:hAnsi="宋体" w:cs="宋体"/>
          <w:sz w:val="24"/>
        </w:rPr>
      </w:pPr>
      <w:r>
        <w:rPr>
          <w:rFonts w:ascii="宋体" w:hAnsi="宋体" w:cs="宋体"/>
          <w:sz w:val="24"/>
        </w:rPr>
        <w:t>5</w:t>
      </w:r>
      <w:r>
        <w:rPr>
          <w:rFonts w:hint="eastAsia" w:ascii="宋体" w:hAnsi="宋体" w:cs="宋体"/>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rPr>
      </w:pPr>
      <w:r>
        <w:rPr>
          <w:rFonts w:hint="eastAsia" w:ascii="宋体" w:hAnsi="宋体" w:cs="宋体"/>
          <w:b/>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sz w:val="24"/>
        </w:rPr>
        <w:t>/至</w:t>
      </w:r>
      <w:r>
        <w:rPr>
          <w:rFonts w:hint="eastAsia" w:ascii="宋体" w:hAnsi="宋体" w:cs="宋体"/>
          <w:color w:val="auto"/>
          <w:sz w:val="24"/>
          <w:u w:val="single"/>
        </w:rPr>
        <w:t>202</w:t>
      </w:r>
      <w:r>
        <w:rPr>
          <w:rFonts w:hint="eastAsia" w:ascii="宋体" w:hAnsi="宋体" w:cs="宋体"/>
          <w:color w:val="auto"/>
          <w:sz w:val="24"/>
          <w:u w:val="single"/>
          <w:lang w:val="en-US" w:eastAsia="zh-CN"/>
        </w:rPr>
        <w:t>3</w:t>
      </w:r>
      <w:r>
        <w:rPr>
          <w:rFonts w:hint="eastAsia" w:ascii="宋体" w:hAnsi="宋体" w:cs="宋体"/>
          <w:color w:val="auto"/>
          <w:sz w:val="24"/>
          <w:u w:val="single"/>
        </w:rPr>
        <w:t>年</w:t>
      </w:r>
      <w:r>
        <w:rPr>
          <w:rFonts w:hint="eastAsia" w:ascii="宋体" w:hAnsi="宋体" w:cs="宋体"/>
          <w:color w:val="auto"/>
          <w:sz w:val="24"/>
          <w:u w:val="single"/>
          <w:lang w:val="en-US" w:eastAsia="zh-CN"/>
        </w:rPr>
        <w:t>3</w:t>
      </w:r>
      <w:r>
        <w:rPr>
          <w:rFonts w:hint="eastAsia" w:ascii="宋体" w:hAnsi="宋体" w:cs="宋体"/>
          <w:color w:val="auto"/>
          <w:sz w:val="24"/>
          <w:u w:val="single"/>
        </w:rPr>
        <w:t>月</w:t>
      </w:r>
      <w:r>
        <w:rPr>
          <w:rFonts w:hint="eastAsia" w:ascii="宋体" w:hAnsi="宋体" w:cs="宋体"/>
          <w:color w:val="auto"/>
          <w:sz w:val="24"/>
          <w:u w:val="single"/>
          <w:lang w:val="en-US" w:eastAsia="zh-CN"/>
        </w:rPr>
        <w:t>28</w:t>
      </w:r>
      <w:r>
        <w:rPr>
          <w:rFonts w:hint="eastAsia" w:ascii="宋体" w:hAnsi="宋体" w:cs="宋体"/>
          <w:color w:val="auto"/>
          <w:sz w:val="24"/>
          <w:u w:val="single"/>
        </w:rPr>
        <w:t>日</w:t>
      </w:r>
      <w:r>
        <w:rPr>
          <w:rFonts w:hint="eastAsia" w:ascii="宋体" w:hAnsi="宋体" w:cs="宋体"/>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ascii="宋体" w:hAnsi="宋体" w:cs="宋体"/>
          <w:sz w:val="24"/>
        </w:rPr>
      </w:pPr>
      <w:r>
        <w:rPr>
          <w:rFonts w:hint="eastAsia" w:ascii="宋体" w:hAnsi="宋体" w:cs="宋体"/>
          <w:b/>
          <w:sz w:val="24"/>
        </w:rPr>
        <w:t>提交投标文件截止时间：</w:t>
      </w:r>
      <w:r>
        <w:rPr>
          <w:rFonts w:hint="eastAsia" w:ascii="宋体" w:hAnsi="宋体" w:cs="宋体"/>
          <w:color w:val="auto"/>
          <w:sz w:val="24"/>
          <w:u w:val="single"/>
        </w:rPr>
        <w:t xml:space="preserve"> 2023 年</w:t>
      </w:r>
      <w:r>
        <w:rPr>
          <w:rFonts w:hint="eastAsia" w:ascii="宋体" w:hAnsi="宋体" w:cs="宋体"/>
          <w:color w:val="auto"/>
          <w:sz w:val="24"/>
          <w:u w:val="single"/>
          <w:lang w:val="en-US" w:eastAsia="zh-CN"/>
        </w:rPr>
        <w:t>0</w:t>
      </w:r>
      <w:r>
        <w:rPr>
          <w:rFonts w:hint="eastAsia" w:ascii="宋体" w:hAnsi="宋体" w:cs="宋体"/>
          <w:color w:val="auto"/>
          <w:sz w:val="24"/>
          <w:u w:val="single"/>
        </w:rPr>
        <w:t>3月2</w:t>
      </w:r>
      <w:r>
        <w:rPr>
          <w:rFonts w:hint="eastAsia" w:ascii="宋体" w:hAnsi="宋体" w:cs="宋体"/>
          <w:color w:val="auto"/>
          <w:sz w:val="24"/>
          <w:u w:val="single"/>
          <w:lang w:val="en-US" w:eastAsia="zh-CN"/>
        </w:rPr>
        <w:t>8</w:t>
      </w:r>
      <w:r>
        <w:rPr>
          <w:rFonts w:hint="eastAsia" w:ascii="宋体" w:hAnsi="宋体" w:cs="宋体"/>
          <w:color w:val="auto"/>
          <w:sz w:val="24"/>
          <w:u w:val="single"/>
        </w:rPr>
        <w:t>日14点00分</w:t>
      </w:r>
      <w:r>
        <w:rPr>
          <w:rFonts w:hint="eastAsia" w:ascii="宋体" w:hAnsi="宋体" w:cs="宋体"/>
          <w:bCs/>
          <w:color w:val="auto"/>
          <w:sz w:val="24"/>
          <w:u w:val="single"/>
        </w:rPr>
        <w:t xml:space="preserve"> </w:t>
      </w:r>
      <w:r>
        <w:rPr>
          <w:rFonts w:hint="eastAsia" w:ascii="宋体" w:hAnsi="宋体" w:cs="宋体"/>
          <w:sz w:val="24"/>
        </w:rPr>
        <w:t>（北京时间）</w:t>
      </w:r>
    </w:p>
    <w:p>
      <w:pPr>
        <w:spacing w:line="360" w:lineRule="auto"/>
        <w:ind w:firstLine="482" w:firstLineChars="200"/>
        <w:rPr>
          <w:rFonts w:ascii="宋体" w:hAnsi="宋体" w:cs="宋体"/>
          <w:b/>
          <w:sz w:val="24"/>
        </w:rPr>
      </w:pPr>
      <w:r>
        <w:rPr>
          <w:rFonts w:hint="eastAsia" w:ascii="宋体" w:hAnsi="宋体" w:cs="宋体"/>
          <w:b/>
          <w:sz w:val="24"/>
        </w:rPr>
        <w:t>投标地点（网址）：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bCs/>
          <w:sz w:val="24"/>
          <w:u w:val="single"/>
        </w:rPr>
      </w:pPr>
      <w:r>
        <w:rPr>
          <w:rFonts w:hint="eastAsia" w:ascii="宋体" w:hAnsi="宋体" w:cs="宋体"/>
          <w:b/>
          <w:sz w:val="24"/>
        </w:rPr>
        <w:t>开标时间：</w:t>
      </w:r>
      <w:r>
        <w:rPr>
          <w:rFonts w:hint="eastAsia" w:ascii="宋体" w:hAnsi="宋体" w:cs="宋体"/>
          <w:color w:val="auto"/>
          <w:sz w:val="24"/>
          <w:u w:val="single"/>
        </w:rPr>
        <w:t>2023 年</w:t>
      </w:r>
      <w:r>
        <w:rPr>
          <w:rFonts w:hint="eastAsia" w:ascii="宋体" w:hAnsi="宋体" w:cs="宋体"/>
          <w:color w:val="auto"/>
          <w:sz w:val="24"/>
          <w:u w:val="single"/>
          <w:lang w:val="en-US" w:eastAsia="zh-CN"/>
        </w:rPr>
        <w:t>0</w:t>
      </w:r>
      <w:r>
        <w:rPr>
          <w:rFonts w:hint="eastAsia" w:ascii="宋体" w:hAnsi="宋体" w:cs="宋体"/>
          <w:color w:val="auto"/>
          <w:sz w:val="24"/>
          <w:u w:val="single"/>
        </w:rPr>
        <w:t>3月2</w:t>
      </w:r>
      <w:r>
        <w:rPr>
          <w:rFonts w:hint="eastAsia" w:ascii="宋体" w:hAnsi="宋体" w:cs="宋体"/>
          <w:color w:val="auto"/>
          <w:sz w:val="24"/>
          <w:u w:val="single"/>
          <w:lang w:val="en-US" w:eastAsia="zh-CN"/>
        </w:rPr>
        <w:t>8</w:t>
      </w:r>
      <w:r>
        <w:rPr>
          <w:rFonts w:hint="eastAsia" w:ascii="宋体" w:hAnsi="宋体" w:cs="宋体"/>
          <w:color w:val="auto"/>
          <w:sz w:val="24"/>
          <w:u w:val="single"/>
        </w:rPr>
        <w:t>日14点00分</w:t>
      </w:r>
      <w:r>
        <w:rPr>
          <w:rFonts w:hint="eastAsia" w:ascii="宋体" w:hAnsi="宋体" w:cs="宋体"/>
          <w:bCs/>
          <w:color w:val="auto"/>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sz w:val="24"/>
        </w:rPr>
      </w:pPr>
      <w:r>
        <w:rPr>
          <w:rFonts w:hint="eastAsia" w:ascii="宋体" w:hAnsi="宋体" w:cs="宋体"/>
          <w:sz w:val="24"/>
        </w:rPr>
        <w:t xml:space="preserve">    1.采购人信息</w:t>
      </w:r>
    </w:p>
    <w:p>
      <w:pPr>
        <w:spacing w:line="360" w:lineRule="auto"/>
        <w:rPr>
          <w:rFonts w:ascii="宋体" w:hAnsi="宋体" w:cs="宋体"/>
          <w:color w:val="auto"/>
          <w:sz w:val="24"/>
        </w:rPr>
      </w:pPr>
      <w:r>
        <w:rPr>
          <w:rFonts w:hint="eastAsia" w:ascii="宋体" w:hAnsi="宋体" w:cs="宋体"/>
          <w:sz w:val="24"/>
        </w:rPr>
        <w:t xml:space="preserve">    </w:t>
      </w:r>
      <w:r>
        <w:rPr>
          <w:rFonts w:hint="eastAsia" w:ascii="宋体" w:hAnsi="宋体" w:cs="宋体"/>
          <w:color w:val="auto"/>
          <w:sz w:val="24"/>
        </w:rPr>
        <w:t xml:space="preserve">名    称：杭州市临安区高虹镇人民政府 </w:t>
      </w:r>
    </w:p>
    <w:p>
      <w:pPr>
        <w:spacing w:line="360" w:lineRule="auto"/>
        <w:rPr>
          <w:rFonts w:ascii="宋体" w:hAnsi="宋体" w:cs="宋体"/>
          <w:color w:val="auto"/>
          <w:sz w:val="24"/>
        </w:rPr>
      </w:pPr>
      <w:r>
        <w:rPr>
          <w:rFonts w:hint="eastAsia" w:ascii="宋体" w:hAnsi="宋体" w:cs="宋体"/>
          <w:color w:val="auto"/>
          <w:sz w:val="24"/>
        </w:rPr>
        <w:t xml:space="preserve">    地    址：杭州市临安区高虹镇德胜路108号      </w:t>
      </w:r>
    </w:p>
    <w:p>
      <w:pPr>
        <w:spacing w:line="360" w:lineRule="auto"/>
        <w:ind w:firstLine="480"/>
        <w:rPr>
          <w:rFonts w:ascii="宋体" w:hAnsi="宋体" w:cs="宋体"/>
          <w:color w:val="auto"/>
          <w:sz w:val="24"/>
        </w:rPr>
      </w:pPr>
      <w:r>
        <w:rPr>
          <w:rFonts w:hint="eastAsia" w:ascii="宋体" w:hAnsi="宋体" w:cs="宋体"/>
          <w:color w:val="auto"/>
          <w:sz w:val="24"/>
        </w:rPr>
        <w:t>传    真： /</w:t>
      </w:r>
    </w:p>
    <w:p>
      <w:pPr>
        <w:spacing w:line="360" w:lineRule="auto"/>
        <w:ind w:firstLine="480"/>
        <w:rPr>
          <w:rFonts w:ascii="宋体" w:hAnsi="宋体" w:cs="宋体"/>
          <w:color w:val="auto"/>
          <w:sz w:val="24"/>
        </w:rPr>
      </w:pPr>
      <w:r>
        <w:rPr>
          <w:rFonts w:hint="eastAsia" w:ascii="宋体" w:hAnsi="宋体" w:cs="宋体"/>
          <w:color w:val="auto"/>
          <w:sz w:val="24"/>
        </w:rPr>
        <w:t xml:space="preserve">项目联系人（询问）：梅利伟  </w:t>
      </w:r>
    </w:p>
    <w:p>
      <w:pPr>
        <w:spacing w:line="360" w:lineRule="auto"/>
        <w:rPr>
          <w:rFonts w:ascii="宋体" w:hAnsi="宋体" w:cs="宋体"/>
          <w:color w:val="auto"/>
          <w:sz w:val="24"/>
        </w:rPr>
      </w:pPr>
      <w:r>
        <w:rPr>
          <w:rFonts w:hint="eastAsia" w:ascii="宋体" w:hAnsi="宋体" w:cs="宋体"/>
          <w:color w:val="auto"/>
          <w:sz w:val="24"/>
        </w:rPr>
        <w:t xml:space="preserve">    项目联系方式（询问）：0571-63777117 </w:t>
      </w:r>
    </w:p>
    <w:p>
      <w:pPr>
        <w:spacing w:line="360" w:lineRule="auto"/>
        <w:rPr>
          <w:rFonts w:ascii="宋体" w:hAnsi="宋体" w:cs="宋体"/>
          <w:color w:val="auto"/>
          <w:sz w:val="24"/>
        </w:rPr>
      </w:pPr>
      <w:r>
        <w:rPr>
          <w:rFonts w:hint="eastAsia" w:ascii="宋体" w:hAnsi="宋体" w:cs="宋体"/>
          <w:color w:val="auto"/>
          <w:sz w:val="24"/>
        </w:rPr>
        <w:t xml:space="preserve">    质疑联系人：王雅琼 </w:t>
      </w:r>
    </w:p>
    <w:p>
      <w:pPr>
        <w:spacing w:line="360" w:lineRule="auto"/>
        <w:rPr>
          <w:rFonts w:ascii="宋体" w:hAnsi="宋体" w:cs="宋体"/>
          <w:color w:val="0000FF"/>
          <w:sz w:val="24"/>
        </w:rPr>
      </w:pPr>
      <w:r>
        <w:rPr>
          <w:rFonts w:hint="eastAsia" w:ascii="宋体" w:hAnsi="宋体" w:cs="宋体"/>
          <w:color w:val="auto"/>
          <w:sz w:val="24"/>
        </w:rPr>
        <w:t xml:space="preserve">    质疑联系方式：0571-63777007 </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rPr>
          <w:rFonts w:ascii="宋体" w:hAnsi="宋体" w:cs="宋体"/>
          <w:sz w:val="24"/>
        </w:rPr>
      </w:pPr>
      <w:r>
        <w:rPr>
          <w:rFonts w:hint="eastAsia" w:ascii="宋体" w:hAnsi="宋体" w:cs="宋体"/>
          <w:sz w:val="24"/>
        </w:rPr>
        <w:t>名    称：浙江豪圣建设项目管理有限公司</w:t>
      </w:r>
    </w:p>
    <w:p>
      <w:pPr>
        <w:spacing w:line="360" w:lineRule="auto"/>
        <w:ind w:firstLine="480"/>
        <w:rPr>
          <w:rFonts w:hint="eastAsia" w:ascii="宋体" w:hAnsi="宋体" w:cs="宋体"/>
          <w:sz w:val="24"/>
        </w:rPr>
      </w:pPr>
      <w:r>
        <w:rPr>
          <w:rFonts w:hint="eastAsia" w:ascii="宋体" w:hAnsi="宋体" w:cs="宋体"/>
          <w:sz w:val="24"/>
        </w:rPr>
        <w:t>地    址：杭州市临安区锦城街道新园街3号飞越数字5楼浙江豪圣</w:t>
      </w:r>
    </w:p>
    <w:p>
      <w:pPr>
        <w:spacing w:line="360" w:lineRule="auto"/>
        <w:rPr>
          <w:rFonts w:ascii="宋体" w:hAnsi="宋体" w:cs="宋体"/>
          <w:sz w:val="24"/>
        </w:rPr>
      </w:pPr>
      <w:r>
        <w:rPr>
          <w:rFonts w:hint="eastAsia" w:ascii="宋体" w:hAnsi="宋体" w:cs="宋体"/>
          <w:sz w:val="24"/>
        </w:rPr>
        <w:t xml:space="preserve">    传    真：</w:t>
      </w:r>
      <w:r>
        <w:rPr>
          <w:rFonts w:hint="eastAsia" w:ascii="宋体" w:hAnsi="宋体" w:cs="宋体"/>
          <w:sz w:val="24"/>
          <w:lang w:val="en-US" w:eastAsia="zh-CN"/>
        </w:rPr>
        <w:t>/</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项目联系人（询问）：潘一庆 </w:t>
      </w:r>
    </w:p>
    <w:p>
      <w:pPr>
        <w:spacing w:line="360" w:lineRule="auto"/>
        <w:rPr>
          <w:rFonts w:ascii="宋体" w:hAnsi="宋体" w:cs="宋体"/>
          <w:sz w:val="24"/>
        </w:rPr>
      </w:pPr>
      <w:r>
        <w:rPr>
          <w:rFonts w:hint="eastAsia" w:ascii="宋体" w:hAnsi="宋体" w:cs="宋体"/>
          <w:sz w:val="24"/>
        </w:rPr>
        <w:t xml:space="preserve">    项目联系方式（询问）：13362106608  0571-61081589</w:t>
      </w:r>
    </w:p>
    <w:p>
      <w:pPr>
        <w:spacing w:line="360" w:lineRule="auto"/>
        <w:rPr>
          <w:rFonts w:ascii="宋体" w:hAnsi="宋体" w:cs="宋体"/>
          <w:sz w:val="24"/>
        </w:rPr>
      </w:pPr>
      <w:r>
        <w:rPr>
          <w:rFonts w:hint="eastAsia" w:ascii="宋体" w:hAnsi="宋体" w:cs="宋体"/>
          <w:sz w:val="24"/>
        </w:rPr>
        <w:t xml:space="preserve">    质疑联系人：泮志远 </w:t>
      </w:r>
    </w:p>
    <w:p>
      <w:pPr>
        <w:spacing w:line="360" w:lineRule="auto"/>
        <w:rPr>
          <w:rFonts w:ascii="宋体" w:hAnsi="宋体" w:cs="宋体"/>
          <w:sz w:val="24"/>
        </w:rPr>
      </w:pPr>
      <w:r>
        <w:rPr>
          <w:rFonts w:hint="eastAsia" w:ascii="宋体" w:hAnsi="宋体" w:cs="宋体"/>
          <w:sz w:val="24"/>
        </w:rPr>
        <w:t xml:space="preserve">    质疑联系方式：15988166378   0571-61081589</w:t>
      </w:r>
    </w:p>
    <w:p>
      <w:pPr>
        <w:spacing w:line="360" w:lineRule="auto"/>
        <w:rPr>
          <w:rFonts w:ascii="宋体" w:hAnsi="宋体" w:cs="宋体"/>
          <w:sz w:val="24"/>
        </w:rPr>
      </w:pPr>
      <w:r>
        <w:rPr>
          <w:rFonts w:hint="eastAsia" w:ascii="宋体" w:hAnsi="宋体" w:cs="宋体"/>
          <w:sz w:val="24"/>
        </w:rPr>
        <w:t xml:space="preserve">    3.同级政府采购监督管理部门            </w:t>
      </w:r>
    </w:p>
    <w:p>
      <w:pPr>
        <w:spacing w:line="360" w:lineRule="auto"/>
        <w:rPr>
          <w:rFonts w:hint="eastAsia"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 xml:space="preserve">名    称：杭州市临安区财政局政府采购监督管理科    </w:t>
      </w:r>
    </w:p>
    <w:p>
      <w:pPr>
        <w:spacing w:line="360" w:lineRule="auto"/>
        <w:ind w:firstLine="480" w:firstLineChars="200"/>
        <w:rPr>
          <w:rFonts w:ascii="宋体" w:hAnsi="宋体" w:cs="宋体"/>
          <w:sz w:val="24"/>
        </w:rPr>
      </w:pPr>
      <w:r>
        <w:rPr>
          <w:rFonts w:hint="eastAsia" w:ascii="宋体" w:hAnsi="宋体" w:cs="宋体"/>
          <w:sz w:val="24"/>
        </w:rPr>
        <w:t xml:space="preserve">地    址：杭州市临安区锦北街道科技大道4398号市民中心4号楼B座1129 </w:t>
      </w:r>
    </w:p>
    <w:p>
      <w:pPr>
        <w:spacing w:line="360" w:lineRule="auto"/>
        <w:rPr>
          <w:rFonts w:ascii="宋体" w:hAnsi="宋体" w:cs="宋体"/>
          <w:sz w:val="24"/>
        </w:rPr>
      </w:pPr>
      <w:r>
        <w:rPr>
          <w:rFonts w:hint="eastAsia" w:ascii="宋体" w:hAnsi="宋体" w:cs="宋体"/>
          <w:sz w:val="24"/>
        </w:rPr>
        <w:t xml:space="preserve">    传    真：0571-89541600</w:t>
      </w:r>
    </w:p>
    <w:p>
      <w:pPr>
        <w:spacing w:line="360" w:lineRule="auto"/>
        <w:rPr>
          <w:rFonts w:ascii="宋体" w:hAnsi="宋体" w:cs="宋体"/>
          <w:sz w:val="24"/>
        </w:rPr>
      </w:pPr>
      <w:r>
        <w:rPr>
          <w:rFonts w:hint="eastAsia" w:ascii="宋体" w:hAnsi="宋体" w:cs="宋体"/>
          <w:sz w:val="24"/>
        </w:rPr>
        <w:t xml:space="preserve">    联系人 ：喻伟建</w:t>
      </w:r>
    </w:p>
    <w:p>
      <w:pPr>
        <w:spacing w:line="360" w:lineRule="auto"/>
        <w:ind w:firstLine="480"/>
        <w:rPr>
          <w:rFonts w:hint="eastAsia" w:ascii="宋体" w:hAnsi="宋体" w:cs="宋体"/>
          <w:sz w:val="24"/>
        </w:rPr>
      </w:pPr>
      <w:r>
        <w:rPr>
          <w:rFonts w:hint="eastAsia" w:ascii="宋体" w:hAnsi="宋体" w:cs="宋体"/>
          <w:sz w:val="24"/>
        </w:rPr>
        <w:t xml:space="preserve">监督投诉电话：0571-89541696、89541691   </w:t>
      </w: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lang w:val="en-US"/>
              </w:rPr>
            </w:pPr>
            <w:r>
              <w:rPr>
                <w:rFonts w:hint="eastAsia" w:ascii="宋体" w:hAnsi="宋体" w:eastAsia="宋体" w:cs="宋体"/>
                <w:color w:val="auto"/>
                <w:kern w:val="0"/>
                <w:sz w:val="24"/>
              </w:rPr>
              <w:t>（1）标的：</w:t>
            </w:r>
            <w:r>
              <w:rPr>
                <w:rFonts w:hint="eastAsia" w:ascii="宋体" w:hAnsi="宋体" w:eastAsia="宋体" w:cs="宋体"/>
                <w:color w:val="auto"/>
                <w:sz w:val="24"/>
                <w:u w:val="single"/>
                <w:lang w:eastAsia="zh-CN"/>
              </w:rPr>
              <w:t>高虹镇城市综合巡防服务项目</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，属于</w:t>
            </w:r>
            <w:r>
              <w:rPr>
                <w:rFonts w:hint="eastAsia" w:ascii="宋体" w:hAnsi="宋体" w:eastAsia="宋体" w:cs="宋体"/>
                <w:color w:val="auto"/>
                <w:kern w:val="0"/>
                <w:sz w:val="24"/>
                <w:u w:val="single"/>
              </w:rPr>
              <w:t xml:space="preserve"> </w:t>
            </w:r>
            <w:r>
              <w:rPr>
                <w:rFonts w:hint="eastAsia" w:ascii="宋体" w:hAnsi="宋体" w:eastAsia="宋体" w:cs="宋体"/>
                <w:color w:val="auto"/>
                <w:sz w:val="24"/>
                <w:u w:val="single"/>
                <w:lang w:eastAsia="zh-CN"/>
              </w:rPr>
              <w:t>租赁和商务服务业</w:t>
            </w:r>
            <w:r>
              <w:rPr>
                <w:rFonts w:hint="eastAsia" w:ascii="宋体" w:hAnsi="宋体" w:eastAsia="宋体" w:cs="宋体"/>
                <w:color w:val="auto"/>
                <w:kern w:val="0"/>
                <w:sz w:val="24"/>
                <w:u w:val="single"/>
              </w:rPr>
              <w:t xml:space="preserve">   </w:t>
            </w:r>
            <w:r>
              <w:rPr>
                <w:rFonts w:hint="eastAsia" w:ascii="宋体" w:hAnsi="宋体" w:eastAsia="宋体" w:cs="宋体"/>
                <w:color w:val="auto"/>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7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both"/>
              <w:rPr>
                <w:rFonts w:ascii="宋体" w:hAnsi="宋体" w:cs="宋体"/>
                <w:b/>
                <w:sz w:val="24"/>
              </w:rPr>
            </w:pPr>
            <w:r>
              <w:rPr>
                <w:rFonts w:hint="eastAsia" w:ascii="宋体" w:hAnsi="宋体" w:cs="宋体"/>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4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rPr>
                <w:rFonts w:hint="default" w:ascii="宋体" w:hAnsi="宋体" w:cs="宋体"/>
                <w:kern w:val="0"/>
                <w:sz w:val="24"/>
                <w:lang w:val="en-US" w:eastAsia="zh-CN"/>
              </w:rPr>
            </w:pPr>
            <w:r>
              <w:rPr>
                <w:rFonts w:hint="eastAsia" w:ascii="宋体" w:hAnsi="宋体" w:cs="宋体"/>
                <w:b/>
                <w:bCs/>
                <w:kern w:val="0"/>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default" w:ascii="宋体" w:hAnsi="宋体" w:cs="宋体"/>
                <w:kern w:val="0"/>
                <w:sz w:val="24"/>
                <w:lang w:val="en-US" w:eastAsia="zh-CN"/>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5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szCs w:val="20"/>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6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kern w:val="0"/>
                <w:sz w:val="24"/>
                <w:lang w:val="zh-CN"/>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91"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color w:val="auto"/>
                <w:sz w:val="24"/>
                <w:u w:val="single"/>
              </w:rPr>
              <w:t xml:space="preserve">杭州市临安区锦城街道新园街3号飞越数字5楼浙江豪圣 </w:t>
            </w:r>
            <w:r>
              <w:rPr>
                <w:rFonts w:hint="eastAsia" w:hAnsi="宋体" w:cs="宋体"/>
                <w:kern w:val="28"/>
                <w:sz w:val="24"/>
                <w:szCs w:val="24"/>
              </w:rPr>
              <w:t>；备份投标文件签收人员联系电话：</w:t>
            </w:r>
            <w:r>
              <w:rPr>
                <w:rFonts w:hint="eastAsia" w:hAnsi="宋体" w:cs="宋体"/>
                <w:sz w:val="24"/>
                <w:u w:val="single"/>
              </w:rPr>
              <w:t xml:space="preserve"> 潘一庆，13362106608</w:t>
            </w:r>
            <w:r>
              <w:rPr>
                <w:rFonts w:hint="eastAsia" w:hAnsi="宋体" w:cs="宋体"/>
                <w:sz w:val="24"/>
                <w:szCs w:val="24"/>
              </w:rPr>
              <w:t>。</w:t>
            </w: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14</w:t>
            </w:r>
          </w:p>
        </w:tc>
        <w:tc>
          <w:tcPr>
            <w:tcW w:w="184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cs="仿宋_GB2312" w:asciiTheme="minorEastAsia" w:hAnsiTheme="minorEastAsia" w:eastAsiaTheme="minorEastAsia"/>
                <w:b/>
                <w:sz w:val="24"/>
              </w:rPr>
              <w:t>代理服务费</w:t>
            </w:r>
          </w:p>
        </w:tc>
        <w:tc>
          <w:tcPr>
            <w:tcW w:w="6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napToGrid w:val="0"/>
                <w:kern w:val="28"/>
                <w:sz w:val="24"/>
              </w:rPr>
            </w:pPr>
            <w:r>
              <w:rPr>
                <w:rFonts w:hint="eastAsia" w:ascii="宋体" w:hAnsi="宋体" w:cs="宋体"/>
                <w:snapToGrid w:val="0"/>
                <w:kern w:val="28"/>
                <w:sz w:val="24"/>
              </w:rPr>
              <w:t>代理服务费参照发改价格〔2011〕534号文件、国家发改委计价格〔2002〕1980号文件规定收费,单个采购项目代理服务费不足伍仟元可按伍仟元收取，代理服务收费按差额定率累进法计算。</w:t>
            </w:r>
          </w:p>
          <w:p>
            <w:pPr>
              <w:spacing w:line="360" w:lineRule="auto"/>
              <w:rPr>
                <w:rFonts w:hint="eastAsia" w:ascii="宋体" w:hAnsi="宋体" w:cs="宋体"/>
                <w:snapToGrid w:val="0"/>
                <w:kern w:val="28"/>
                <w:sz w:val="24"/>
              </w:rPr>
            </w:pPr>
            <w:r>
              <w:rPr>
                <w:rFonts w:hint="eastAsia" w:ascii="宋体" w:hAnsi="宋体" w:cs="宋体"/>
                <w:snapToGrid w:val="0"/>
                <w:kern w:val="28"/>
                <w:sz w:val="24"/>
              </w:rPr>
              <w:drawing>
                <wp:inline distT="0" distB="0" distL="114300" distR="114300">
                  <wp:extent cx="3526790" cy="1605280"/>
                  <wp:effectExtent l="0" t="0" r="16510" b="13970"/>
                  <wp:docPr id="2" name="图片 2" descr="收费标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收费标准"/>
                          <pic:cNvPicPr>
                            <a:picLocks noChangeAspect="1"/>
                          </pic:cNvPicPr>
                        </pic:nvPicPr>
                        <pic:blipFill>
                          <a:blip r:embed="rId26"/>
                          <a:stretch>
                            <a:fillRect/>
                          </a:stretch>
                        </pic:blipFill>
                        <pic:spPr>
                          <a:xfrm>
                            <a:off x="0" y="0"/>
                            <a:ext cx="3526790" cy="1605280"/>
                          </a:xfrm>
                          <a:prstGeom prst="rect">
                            <a:avLst/>
                          </a:prstGeom>
                          <a:noFill/>
                          <a:ln>
                            <a:noFill/>
                          </a:ln>
                        </pic:spPr>
                      </pic:pic>
                    </a:graphicData>
                  </a:graphic>
                </wp:inline>
              </w:drawing>
            </w:r>
          </w:p>
          <w:p>
            <w:pPr>
              <w:spacing w:line="360" w:lineRule="auto"/>
              <w:rPr>
                <w:rFonts w:hint="eastAsia" w:ascii="宋体" w:hAnsi="宋体" w:cs="宋体"/>
                <w:snapToGrid w:val="0"/>
                <w:kern w:val="28"/>
                <w:sz w:val="24"/>
              </w:rPr>
            </w:pPr>
            <w:r>
              <w:rPr>
                <w:rFonts w:hint="eastAsia" w:ascii="宋体" w:hAnsi="宋体" w:cs="宋体"/>
                <w:snapToGrid w:val="0"/>
                <w:kern w:val="28"/>
                <w:sz w:val="24"/>
              </w:rPr>
              <w:t>收费对象：本项目代理服务费向中标供应商收取</w:t>
            </w:r>
          </w:p>
          <w:p>
            <w:pPr>
              <w:spacing w:line="360" w:lineRule="auto"/>
              <w:rPr>
                <w:rFonts w:hint="eastAsia" w:ascii="宋体" w:hAnsi="宋体" w:cs="宋体"/>
                <w:snapToGrid w:val="0"/>
                <w:kern w:val="28"/>
                <w:sz w:val="24"/>
              </w:rPr>
            </w:pPr>
            <w:r>
              <w:rPr>
                <w:rFonts w:hint="eastAsia" w:ascii="宋体" w:hAnsi="宋体" w:cs="宋体"/>
                <w:snapToGrid w:val="0"/>
                <w:kern w:val="28"/>
                <w:sz w:val="24"/>
              </w:rPr>
              <w:t>缴纳时间：中标(成交)结果公示后5个工作日内一次性付清</w:t>
            </w:r>
          </w:p>
          <w:p>
            <w:pPr>
              <w:spacing w:line="360" w:lineRule="auto"/>
              <w:rPr>
                <w:rFonts w:hint="eastAsia" w:cs="Arial" w:asciiTheme="minorEastAsia" w:hAnsiTheme="minorEastAsia" w:eastAsiaTheme="minorEastAsia"/>
                <w:kern w:val="0"/>
                <w:sz w:val="24"/>
              </w:rPr>
            </w:pPr>
            <w:r>
              <w:rPr>
                <w:rFonts w:hint="eastAsia" w:ascii="宋体" w:hAnsi="宋体" w:cs="宋体"/>
                <w:snapToGrid w:val="0"/>
                <w:kern w:val="28"/>
                <w:sz w:val="24"/>
              </w:rPr>
              <w:t>缴纳形式：汇票/支票/电汇/现金</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1" w:name="_Toc164416483"/>
      <w:bookmarkStart w:id="12" w:name="第三部分"/>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5"/>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2"/>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2"/>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886"/>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pPr>
      <w:r>
        <w:rPr>
          <w:rFonts w:hint="eastAsia"/>
        </w:rPr>
        <w:t>质疑函范本及制作说明详见附件2。</w:t>
      </w:r>
    </w:p>
    <w:p>
      <w:pPr>
        <w:pStyle w:val="886"/>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886"/>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6"/>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pPr>
      <w:r>
        <w:rPr>
          <w:rFonts w:hint="eastAsia"/>
        </w:rPr>
        <w:t>4.4.5</w:t>
      </w:r>
      <w:r>
        <w:rPr>
          <w:rFonts w:hint="eastAsia"/>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pPr>
      <w:r>
        <w:rPr>
          <w:rFonts w:hint="eastAsia"/>
        </w:rPr>
        <w:t>投诉书范本及制作说明详见附件3。</w:t>
      </w:r>
    </w:p>
    <w:p>
      <w:pPr>
        <w:pStyle w:val="128"/>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2"/>
        <w:spacing w:line="360" w:lineRule="auto"/>
        <w:rPr>
          <w:rFonts w:hAnsi="宋体" w:cs="宋体"/>
          <w:b/>
          <w:sz w:val="24"/>
          <w:szCs w:val="24"/>
        </w:rPr>
      </w:pPr>
      <w:r>
        <w:rPr>
          <w:rFonts w:hint="eastAsia" w:hAnsi="宋体" w:cs="宋体"/>
          <w:b/>
          <w:sz w:val="24"/>
          <w:szCs w:val="24"/>
        </w:rPr>
        <w:t>5．招标文件的构成</w:t>
      </w:r>
    </w:p>
    <w:p>
      <w:pPr>
        <w:pStyle w:val="32"/>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2"/>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2"/>
        <w:spacing w:line="360" w:lineRule="auto"/>
        <w:rPr>
          <w:rFonts w:hAnsi="宋体" w:cs="宋体"/>
          <w:b/>
          <w:sz w:val="24"/>
          <w:szCs w:val="24"/>
        </w:rPr>
      </w:pPr>
      <w:r>
        <w:rPr>
          <w:rFonts w:hint="eastAsia" w:hAnsi="宋体" w:cs="宋体"/>
          <w:b/>
          <w:sz w:val="24"/>
          <w:szCs w:val="24"/>
        </w:rPr>
        <w:t>6. 招标文件的澄清、修改</w:t>
      </w:r>
    </w:p>
    <w:p>
      <w:pPr>
        <w:pStyle w:val="128"/>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28"/>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2"/>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2"/>
        <w:spacing w:line="360" w:lineRule="auto"/>
        <w:rPr>
          <w:rFonts w:hAnsi="宋体" w:cs="宋体"/>
          <w:b/>
          <w:sz w:val="24"/>
          <w:szCs w:val="24"/>
        </w:rPr>
      </w:pPr>
      <w:r>
        <w:rPr>
          <w:rFonts w:hint="eastAsia" w:hAnsi="宋体" w:cs="宋体"/>
          <w:b/>
          <w:sz w:val="24"/>
          <w:szCs w:val="24"/>
        </w:rPr>
        <w:t>8.开标前答疑会或现场考察</w:t>
      </w:r>
    </w:p>
    <w:p>
      <w:pPr>
        <w:pStyle w:val="32"/>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2"/>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2"/>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w:t>
      </w:r>
      <w:r>
        <w:rPr>
          <w:rFonts w:hint="eastAsia" w:ascii="宋体" w:hAnsi="宋体" w:cs="宋体"/>
          <w:snapToGrid w:val="0"/>
          <w:color w:val="FF0000"/>
          <w:kern w:val="28"/>
          <w:sz w:val="24"/>
          <w:szCs w:val="20"/>
        </w:rPr>
        <w:t>（如果有)</w:t>
      </w:r>
      <w:r>
        <w:rPr>
          <w:rFonts w:hint="eastAsia" w:ascii="宋体" w:hAnsi="宋体" w:cs="宋体"/>
          <w:snapToGrid w:val="0"/>
          <w:kern w:val="28"/>
          <w:sz w:val="24"/>
          <w:szCs w:val="20"/>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3</w:t>
      </w:r>
      <w:r>
        <w:rPr>
          <w:rFonts w:hint="eastAsia" w:ascii="宋体" w:hAnsi="宋体" w:cs="宋体"/>
          <w:sz w:val="24"/>
        </w:rPr>
        <w:t>落实政府采购政策需满足的资格要求</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firstLine="960" w:firstLineChars="400"/>
        <w:rPr>
          <w:rFonts w:ascii="宋体" w:hAnsi="宋体" w:cs="宋体"/>
          <w:sz w:val="24"/>
        </w:rPr>
      </w:pPr>
      <w:r>
        <w:rPr>
          <w:rFonts w:hint="eastAsia" w:ascii="宋体" w:hAnsi="宋体" w:cs="宋体"/>
          <w:sz w:val="24"/>
        </w:rPr>
        <w:t>11.2.1投标函；</w:t>
      </w:r>
      <w:r>
        <w:rPr>
          <w:rFonts w:hint="eastAsia" w:ascii="宋体" w:hAnsi="宋体" w:cs="宋体"/>
          <w:sz w:val="24"/>
          <w:lang w:val="zh-CN"/>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11.2.2授权委托书或法定代表人（单位负责人、自然人本人）身份证明；</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3</w:t>
      </w:r>
      <w:r>
        <w:rPr>
          <w:rFonts w:hint="eastAsia" w:ascii="宋体" w:hAnsi="宋体" w:cs="宋体"/>
          <w:sz w:val="24"/>
        </w:rPr>
        <w:t>分包意向协议</w:t>
      </w:r>
      <w:r>
        <w:rPr>
          <w:rFonts w:hint="eastAsia" w:ascii="宋体" w:hAnsi="宋体" w:cs="宋体"/>
          <w:snapToGrid w:val="0"/>
          <w:color w:val="FF0000"/>
          <w:kern w:val="28"/>
          <w:sz w:val="24"/>
          <w:szCs w:val="20"/>
        </w:rPr>
        <w:t>（如果有)</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snapToGrid w:val="0"/>
        <w:spacing w:line="360" w:lineRule="auto"/>
        <w:ind w:firstLine="960" w:firstLineChars="400"/>
        <w:rPr>
          <w:rFonts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28"/>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28"/>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28"/>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28"/>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28"/>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2"/>
        <w:spacing w:line="360" w:lineRule="auto"/>
        <w:rPr>
          <w:rFonts w:hAnsi="宋体" w:cs="宋体"/>
          <w:b/>
          <w:sz w:val="24"/>
          <w:szCs w:val="24"/>
        </w:rPr>
      </w:pPr>
      <w:r>
        <w:rPr>
          <w:rFonts w:hint="eastAsia" w:hAnsi="宋体" w:cs="宋体"/>
          <w:b/>
          <w:sz w:val="24"/>
          <w:szCs w:val="24"/>
        </w:rPr>
        <w:t>15.备份投标文件</w:t>
      </w:r>
    </w:p>
    <w:p>
      <w:pPr>
        <w:pStyle w:val="32"/>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2"/>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lang w:val="en-US" w:eastAsia="zh-CN"/>
        </w:rPr>
        <w:t>等存储介质</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2"/>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2"/>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rPr>
        <w:t>招标文件第二部分投标人须知前附表规定的备份投标文件送达地点；</w:t>
      </w:r>
      <w:r>
        <w:rPr>
          <w:rFonts w:hint="eastAsia" w:hAnsi="宋体" w:cs="宋体"/>
          <w:sz w:val="24"/>
          <w:szCs w:val="24"/>
        </w:rPr>
        <w:t>送达时间以签收人签收时间为准。</w:t>
      </w:r>
      <w:r>
        <w:rPr>
          <w:rFonts w:hint="eastAsia" w:hAnsi="宋体" w:cs="宋体"/>
          <w:sz w:val="24"/>
          <w:szCs w:val="24"/>
          <w:lang w:eastAsia="zh-CN"/>
        </w:rPr>
        <w:t>采购代理机构</w:t>
      </w:r>
      <w:r>
        <w:rPr>
          <w:rFonts w:hint="eastAsia" w:hAnsi="宋体" w:cs="宋体"/>
          <w:sz w:val="24"/>
          <w:szCs w:val="24"/>
        </w:rPr>
        <w:t>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28"/>
        <w:spacing w:before="0"/>
        <w:ind w:firstLine="0" w:firstLineChars="0"/>
        <w:rPr>
          <w:rFonts w:ascii="宋体" w:hAnsi="宋体" w:cs="宋体"/>
          <w:b/>
          <w:szCs w:val="24"/>
        </w:rPr>
      </w:pPr>
      <w:r>
        <w:rPr>
          <w:rFonts w:hint="eastAsia" w:ascii="宋体" w:hAnsi="宋体" w:cs="宋体"/>
          <w:b/>
          <w:szCs w:val="24"/>
        </w:rPr>
        <w:t>16.投标文件的无效处理</w:t>
      </w:r>
    </w:p>
    <w:p>
      <w:pPr>
        <w:pStyle w:val="24"/>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28"/>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28"/>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28"/>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28"/>
        <w:spacing w:before="0"/>
        <w:ind w:firstLine="643"/>
        <w:rPr>
          <w:rFonts w:ascii="宋体" w:hAnsi="宋体" w:cs="宋体"/>
          <w:b/>
          <w:sz w:val="32"/>
        </w:rPr>
      </w:pPr>
    </w:p>
    <w:p>
      <w:pPr>
        <w:pStyle w:val="128"/>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4"/>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4"/>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sz w:val="24"/>
        </w:rPr>
      </w:pPr>
      <w:r>
        <w:rPr>
          <w:rFonts w:hint="eastAsia" w:ascii="宋体" w:hAnsi="宋体" w:cs="宋体"/>
          <w:kern w:val="0"/>
          <w:sz w:val="24"/>
        </w:rPr>
        <w:t>19.</w:t>
      </w:r>
      <w:r>
        <w:rPr>
          <w:rFonts w:hint="eastAsia" w:ascii="宋体" w:hAnsi="宋体" w:cs="宋体"/>
          <w:kern w:val="0"/>
          <w:sz w:val="24"/>
          <w:lang w:val="en-US" w:eastAsia="zh-CN"/>
        </w:rPr>
        <w:t>1</w:t>
      </w:r>
      <w:r>
        <w:rPr>
          <w:rFonts w:hint="eastAsia" w:ascii="宋体" w:hAnsi="宋体" w:cs="宋体"/>
          <w:sz w:val="24"/>
        </w:rPr>
        <w:t>采购人或</w:t>
      </w:r>
      <w:r>
        <w:rPr>
          <w:rFonts w:hint="eastAsia" w:ascii="宋体" w:hAnsi="宋体" w:cs="宋体"/>
          <w:sz w:val="24"/>
          <w:lang w:eastAsia="zh-CN"/>
        </w:rPr>
        <w:t>采购代理机构</w:t>
      </w:r>
      <w:r>
        <w:rPr>
          <w:rFonts w:hint="eastAsia" w:ascii="宋体" w:hAnsi="宋体" w:cs="宋体"/>
          <w:sz w:val="24"/>
        </w:rPr>
        <w:t>依据法律法规和招标文件的规定，对投标人的资格进行审查。</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128"/>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128"/>
        <w:spacing w:before="0"/>
        <w:ind w:firstLine="0" w:firstLineChars="0"/>
        <w:rPr>
          <w:rFonts w:ascii="宋体" w:hAnsi="宋体" w:cs="宋体"/>
          <w:b/>
          <w:szCs w:val="24"/>
        </w:rPr>
      </w:pPr>
      <w:r>
        <w:rPr>
          <w:rFonts w:hint="eastAsia" w:ascii="宋体" w:hAnsi="宋体" w:cs="宋体"/>
          <w:b/>
          <w:szCs w:val="24"/>
        </w:rPr>
        <w:t>20、信用信息查询</w:t>
      </w:r>
    </w:p>
    <w:p>
      <w:pPr>
        <w:pStyle w:val="128"/>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128"/>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28"/>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4"/>
        <w:spacing w:line="360" w:lineRule="auto"/>
        <w:ind w:left="479" w:hanging="479" w:hangingChars="199"/>
        <w:rPr>
          <w:rFonts w:cs="宋体"/>
          <w:b/>
        </w:rPr>
      </w:pPr>
      <w:r>
        <w:rPr>
          <w:rFonts w:hint="eastAsia" w:cs="宋体"/>
          <w:b/>
        </w:rPr>
        <w:t>22. 确定中标供应商</w:t>
      </w:r>
    </w:p>
    <w:p>
      <w:pPr>
        <w:pStyle w:val="128"/>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28"/>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4"/>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4"/>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3"/>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28"/>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28"/>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28"/>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28"/>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28"/>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28"/>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28"/>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4"/>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57669"/>
      <w:bookmarkEnd w:id="15"/>
      <w:bookmarkStart w:id="16" w:name="_Hlt75236011"/>
      <w:bookmarkEnd w:id="16"/>
      <w:bookmarkStart w:id="17" w:name="_Hlt75236290"/>
      <w:bookmarkEnd w:id="17"/>
      <w:bookmarkStart w:id="18" w:name="_Hlt68403820"/>
      <w:bookmarkEnd w:id="18"/>
      <w:bookmarkStart w:id="19" w:name="_Hlt74729768"/>
      <w:bookmarkEnd w:id="19"/>
      <w:bookmarkStart w:id="20" w:name="_Hlt74707468"/>
      <w:bookmarkEnd w:id="20"/>
      <w:bookmarkStart w:id="21" w:name="_Hlt75236101"/>
      <w:bookmarkEnd w:id="21"/>
      <w:bookmarkStart w:id="22" w:name="_Hlt68073093"/>
      <w:bookmarkEnd w:id="22"/>
      <w:bookmarkStart w:id="23" w:name="_Hlt68072990"/>
      <w:bookmarkEnd w:id="23"/>
      <w:bookmarkStart w:id="24" w:name="_Hlt74714665"/>
      <w:bookmarkEnd w:id="24"/>
      <w:bookmarkStart w:id="25" w:name="_Hlt68072998"/>
      <w:bookmarkEnd w:id="25"/>
      <w:bookmarkStart w:id="26" w:name="_Hlt74730295"/>
      <w:bookmarkEnd w:id="26"/>
    </w:p>
    <w:bookmarkEnd w:id="11"/>
    <w:bookmarkEnd w:id="12"/>
    <w:p>
      <w:pPr>
        <w:spacing w:line="360" w:lineRule="auto"/>
        <w:jc w:val="center"/>
        <w:outlineLvl w:val="0"/>
        <w:rPr>
          <w:rFonts w:ascii="宋体" w:hAnsi="宋体" w:cs="宋体"/>
          <w:b/>
          <w:sz w:val="36"/>
          <w:szCs w:val="36"/>
        </w:rPr>
      </w:pPr>
      <w:bookmarkStart w:id="27" w:name="第四部分"/>
      <w:r>
        <w:rPr>
          <w:rFonts w:hint="eastAsia" w:ascii="宋体" w:hAnsi="宋体" w:cs="宋体"/>
          <w:b/>
          <w:sz w:val="36"/>
          <w:szCs w:val="36"/>
        </w:rPr>
        <w:t>第三部分   采购需求</w:t>
      </w:r>
    </w:p>
    <w:p>
      <w:pPr>
        <w:adjustRightInd/>
        <w:spacing w:line="360" w:lineRule="auto"/>
        <w:jc w:val="left"/>
        <w:outlineLvl w:val="0"/>
        <w:rPr>
          <w:rFonts w:hint="eastAsia" w:ascii="宋体" w:hAnsi="宋体" w:eastAsia="宋体" w:cs="宋体"/>
          <w:b/>
          <w:sz w:val="36"/>
          <w:szCs w:val="36"/>
          <w:u w:val="single"/>
        </w:rPr>
      </w:pPr>
      <w:r>
        <w:rPr>
          <w:rFonts w:hint="eastAsia" w:ascii="宋体" w:hAnsi="宋体" w:eastAsia="宋体" w:cs="宋体"/>
          <w:sz w:val="24"/>
          <w:u w:val="single"/>
        </w:rPr>
        <w:t>注：“▲” 系指实质性要求条款，“</w:t>
      </w:r>
      <w:r>
        <w:rPr>
          <w:rFonts w:hint="eastAsia" w:ascii="宋体" w:hAnsi="宋体" w:eastAsia="宋体" w:cs="宋体"/>
          <w:b/>
          <w:sz w:val="24"/>
          <w:u w:val="single"/>
        </w:rPr>
        <w:t>※</w:t>
      </w:r>
      <w:r>
        <w:rPr>
          <w:rFonts w:hint="eastAsia" w:ascii="宋体" w:hAnsi="宋体" w:eastAsia="宋体" w:cs="宋体"/>
          <w:sz w:val="24"/>
          <w:u w:val="single"/>
        </w:rPr>
        <w:t>”系指磋商过程中可能实质性变动的内容。</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bCs/>
          <w:sz w:val="24"/>
          <w:szCs w:val="24"/>
          <w:highlight w:val="none"/>
          <w:u w:val="none"/>
          <w:lang w:val="en-US" w:eastAsia="zh-CN"/>
        </w:rPr>
      </w:pPr>
      <w:r>
        <w:rPr>
          <w:rFonts w:hint="eastAsia" w:ascii="宋体" w:hAnsi="宋体" w:eastAsia="宋体" w:cs="宋体"/>
          <w:b/>
          <w:bCs/>
          <w:sz w:val="24"/>
          <w:szCs w:val="24"/>
          <w:highlight w:val="none"/>
          <w:u w:val="none"/>
          <w:lang w:val="en-US" w:eastAsia="zh-CN"/>
        </w:rPr>
        <w:t>一、项目概况</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u w:val="none"/>
          <w:lang w:val="en-US" w:eastAsia="zh-CN"/>
        </w:rPr>
      </w:pPr>
      <w:r>
        <w:rPr>
          <w:rFonts w:hint="eastAsia" w:ascii="宋体" w:hAnsi="宋体" w:eastAsia="宋体" w:cs="宋体"/>
          <w:sz w:val="24"/>
          <w:szCs w:val="24"/>
          <w:highlight w:val="none"/>
          <w:u w:val="none"/>
          <w:lang w:val="en-US" w:eastAsia="zh-CN"/>
        </w:rPr>
        <w:t>本项目为高虹镇城市综合巡防服务项目，为着力提升高虹镇辖区城市综合管理能力水平，突出解决高虹镇城市治理尤其是长效管控的问题。有效开展辖区范围城市保序、城市巡防、环境巡防及应急综合力量等工作。按照当前城市综合管理相关要求及现状，需成立暂定24人组成的城市综合巡防安保人员，并配备7辆巡防车辆（四轮电动车）及安全护卫器械、通讯器材等安保必备设备。主要配合高虹镇日常巡查以及其他授权的辅助工作以及临时性工作，并积极完成高虹镇布置的其他任务。本项目采购内容为符合采购人要求的巡防安保服务，含安保人员、车辆等安保必备设备，在服务期内为采购人提供合格的日常管理协助与特殊时间段的管理协助服务。</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bCs/>
          <w:sz w:val="24"/>
          <w:szCs w:val="24"/>
          <w:highlight w:val="none"/>
          <w:u w:val="none"/>
          <w:lang w:val="en-US" w:eastAsia="zh-CN"/>
        </w:rPr>
      </w:pPr>
      <w:r>
        <w:rPr>
          <w:rFonts w:hint="eastAsia" w:ascii="宋体" w:hAnsi="宋体" w:eastAsia="宋体" w:cs="宋体"/>
          <w:b/>
          <w:bCs/>
          <w:sz w:val="24"/>
          <w:szCs w:val="24"/>
          <w:highlight w:val="none"/>
          <w:u w:val="none"/>
          <w:lang w:val="en-US" w:eastAsia="zh-CN"/>
        </w:rPr>
        <w:t>二、基本要求</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sz w:val="24"/>
          <w:szCs w:val="24"/>
          <w:highlight w:val="none"/>
          <w:u w:val="none"/>
          <w:lang w:val="en-US" w:eastAsia="zh-CN"/>
        </w:rPr>
        <w:t>1、勤务</w:t>
      </w:r>
      <w:r>
        <w:rPr>
          <w:rFonts w:hint="eastAsia" w:ascii="宋体" w:hAnsi="宋体" w:eastAsia="宋体" w:cs="宋体"/>
          <w:color w:val="auto"/>
          <w:sz w:val="24"/>
          <w:szCs w:val="24"/>
          <w:highlight w:val="none"/>
          <w:u w:val="none"/>
          <w:lang w:val="en-US" w:eastAsia="zh-CN"/>
        </w:rPr>
        <w:t>工作时间安排由</w:t>
      </w:r>
      <w:r>
        <w:rPr>
          <w:rFonts w:hint="eastAsia" w:ascii="宋体" w:hAnsi="宋体" w:eastAsia="宋体" w:cs="宋体"/>
          <w:sz w:val="24"/>
          <w:szCs w:val="24"/>
          <w:highlight w:val="none"/>
          <w:u w:val="none"/>
          <w:lang w:val="en-US" w:eastAsia="zh-CN"/>
        </w:rPr>
        <w:t>采购人具体制定，服务外包人员必须服从采购人指挥、管理和安排，服务外包人员工作期间必须穿戴统一服装，遵守采购人制定的工作纪律，接受采购人督查考核；成交供应商必须确定专人负责对服务外包人员的管理和督查，定期对服务外包人员的业务培训，确保服务外包人员工作稳定性。特殊节假日或重大事件时，</w:t>
      </w:r>
      <w:r>
        <w:rPr>
          <w:rFonts w:hint="eastAsia" w:ascii="宋体" w:hAnsi="宋体" w:eastAsia="宋体" w:cs="宋体"/>
          <w:color w:val="auto"/>
          <w:sz w:val="24"/>
          <w:szCs w:val="24"/>
          <w:highlight w:val="none"/>
          <w:u w:val="none"/>
          <w:lang w:val="en-US" w:eastAsia="zh-CN"/>
        </w:rPr>
        <w:t>具体由采购人根据高虹镇管辖区情况统筹安排。</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u w:val="none"/>
          <w:lang w:val="en-US" w:eastAsia="zh-CN"/>
        </w:rPr>
      </w:pPr>
      <w:r>
        <w:rPr>
          <w:rFonts w:hint="eastAsia" w:ascii="宋体" w:hAnsi="宋体" w:eastAsia="宋体" w:cs="宋体"/>
          <w:sz w:val="24"/>
          <w:szCs w:val="24"/>
          <w:highlight w:val="none"/>
          <w:u w:val="none"/>
          <w:lang w:val="en-US" w:eastAsia="zh-CN"/>
        </w:rPr>
        <w:t>2、人员暂定24人，要求年龄在18-45周岁，退伍军人优先。政治素质好、品行端正、责任心强、无违法犯罪记录、身体健康，仪表端庄，精力充沛，无不良嗜好，工作认真负责并定期接受培训。</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u w:val="none"/>
          <w:lang w:val="en-US" w:eastAsia="zh-CN"/>
        </w:rPr>
      </w:pPr>
      <w:r>
        <w:rPr>
          <w:rFonts w:hint="eastAsia" w:ascii="宋体" w:hAnsi="宋体" w:eastAsia="宋体" w:cs="宋体"/>
          <w:sz w:val="24"/>
          <w:szCs w:val="24"/>
          <w:highlight w:val="none"/>
          <w:u w:val="none"/>
          <w:lang w:val="en-US" w:eastAsia="zh-CN"/>
        </w:rPr>
        <w:t>3、上岗时佩戴统一标志，按需求穿戴统一制服（成交供应商自行配备，服装款式须征得采购人同意），装备佩戴规范，仪容仪表规范整齐，当值时坐姿挺直，站岗时不倚不靠、采用跨立站岗。</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u w:val="none"/>
          <w:lang w:val="en-US" w:eastAsia="zh-CN"/>
        </w:rPr>
      </w:pPr>
      <w:r>
        <w:rPr>
          <w:rFonts w:hint="eastAsia" w:ascii="宋体" w:hAnsi="宋体" w:eastAsia="宋体" w:cs="宋体"/>
          <w:sz w:val="24"/>
          <w:szCs w:val="24"/>
          <w:highlight w:val="none"/>
          <w:u w:val="none"/>
          <w:lang w:val="en-US" w:eastAsia="zh-CN"/>
        </w:rPr>
        <w:t>4、文明执勤，训练有素，言语规范，认真负责。</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lang w:val="en-US" w:eastAsia="zh-CN"/>
        </w:rPr>
      </w:pPr>
      <w:r>
        <w:rPr>
          <w:rFonts w:hint="eastAsia" w:ascii="宋体" w:hAnsi="宋体" w:eastAsia="宋体" w:cs="宋体"/>
          <w:sz w:val="24"/>
          <w:szCs w:val="24"/>
          <w:highlight w:val="none"/>
          <w:u w:val="none"/>
          <w:lang w:val="en-US" w:eastAsia="zh-CN"/>
        </w:rPr>
        <w:t>5、人员按采购人时间要求上下班，服从街道工作安排，包括值班、会议、加班等。</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bCs/>
          <w:sz w:val="24"/>
          <w:szCs w:val="24"/>
          <w:highlight w:val="none"/>
          <w:u w:val="none"/>
          <w:lang w:val="en-US" w:eastAsia="zh-CN"/>
        </w:rPr>
      </w:pPr>
      <w:bookmarkStart w:id="28" w:name="_Toc18797"/>
      <w:r>
        <w:rPr>
          <w:rFonts w:hint="eastAsia" w:ascii="宋体" w:hAnsi="宋体" w:eastAsia="宋体" w:cs="宋体"/>
          <w:b/>
          <w:bCs/>
          <w:sz w:val="24"/>
          <w:szCs w:val="24"/>
          <w:highlight w:val="none"/>
          <w:u w:val="none"/>
          <w:lang w:val="en-US" w:eastAsia="zh-CN"/>
        </w:rPr>
        <w:t>三、</w:t>
      </w:r>
      <w:bookmarkEnd w:id="28"/>
      <w:bookmarkStart w:id="29" w:name="_Toc26662"/>
      <w:r>
        <w:rPr>
          <w:rFonts w:hint="eastAsia" w:ascii="宋体" w:hAnsi="宋体" w:eastAsia="宋体" w:cs="宋体"/>
          <w:b/>
          <w:bCs/>
          <w:sz w:val="24"/>
          <w:szCs w:val="24"/>
          <w:highlight w:val="none"/>
          <w:u w:val="none"/>
          <w:lang w:val="en-US" w:eastAsia="zh-CN"/>
        </w:rPr>
        <w:t>巡区划分和巡逻力量配置</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sz w:val="24"/>
          <w:szCs w:val="24"/>
          <w:highlight w:val="none"/>
          <w:u w:val="none"/>
          <w:lang w:val="en-US" w:eastAsia="zh-CN"/>
        </w:rPr>
      </w:pPr>
      <w:r>
        <w:rPr>
          <w:rFonts w:hint="eastAsia" w:ascii="宋体" w:hAnsi="宋体" w:eastAsia="宋体" w:cs="宋体"/>
          <w:b w:val="0"/>
          <w:bCs w:val="0"/>
          <w:color w:val="auto"/>
          <w:sz w:val="24"/>
          <w:szCs w:val="24"/>
          <w:highlight w:val="none"/>
          <w:u w:val="none"/>
          <w:lang w:val="en-US" w:eastAsia="zh-CN"/>
        </w:rPr>
        <w:t>由采购人安排巡防要求并调整工作配置。</w:t>
      </w:r>
    </w:p>
    <w:bookmarkEnd w:id="29"/>
    <w:p>
      <w:pPr>
        <w:pStyle w:val="57"/>
        <w:keepNext w:val="0"/>
        <w:keepLines w:val="0"/>
        <w:pageBreakBefore w:val="0"/>
        <w:kinsoku/>
        <w:wordWrap/>
        <w:overflowPunct/>
        <w:topLinePunct w:val="0"/>
        <w:autoSpaceDE/>
        <w:autoSpaceDN/>
        <w:bidi w:val="0"/>
        <w:adjustRightInd w:val="0"/>
        <w:snapToGrid w:val="0"/>
        <w:spacing w:before="0" w:beforeAutospacing="0" w:after="0" w:afterAutospacing="0" w:line="360" w:lineRule="auto"/>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lang w:val="en-US" w:eastAsia="zh-CN"/>
        </w:rPr>
        <w:t>四</w:t>
      </w:r>
      <w:r>
        <w:rPr>
          <w:rFonts w:hint="eastAsia" w:ascii="宋体" w:hAnsi="宋体" w:eastAsia="宋体" w:cs="宋体"/>
          <w:b/>
          <w:bCs/>
          <w:color w:val="000000"/>
          <w:sz w:val="24"/>
          <w:szCs w:val="24"/>
        </w:rPr>
        <w:t>、培训要求</w:t>
      </w:r>
    </w:p>
    <w:p>
      <w:pPr>
        <w:pStyle w:val="57"/>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420" w:leftChars="200"/>
        <w:textAlignment w:val="auto"/>
        <w:rPr>
          <w:rFonts w:hint="eastAsia" w:ascii="宋体" w:hAnsi="宋体" w:eastAsia="宋体" w:cs="宋体"/>
          <w:b/>
          <w:bCs/>
          <w:sz w:val="24"/>
          <w:szCs w:val="24"/>
        </w:rPr>
      </w:pPr>
      <w:r>
        <w:rPr>
          <w:rFonts w:hint="eastAsia" w:ascii="宋体" w:hAnsi="宋体" w:eastAsia="宋体" w:cs="宋体"/>
          <w:b/>
          <w:bCs/>
          <w:sz w:val="24"/>
          <w:szCs w:val="24"/>
        </w:rPr>
        <w:t>1、培训制度</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420" w:leftChars="200"/>
        <w:textAlignment w:val="auto"/>
        <w:rPr>
          <w:rFonts w:hint="eastAsia" w:ascii="宋体" w:hAnsi="宋体" w:eastAsia="宋体" w:cs="宋体"/>
          <w:sz w:val="24"/>
          <w:szCs w:val="24"/>
        </w:rPr>
      </w:pPr>
      <w:r>
        <w:rPr>
          <w:rFonts w:hint="eastAsia" w:ascii="宋体" w:hAnsi="宋体" w:eastAsia="宋体" w:cs="宋体"/>
          <w:sz w:val="24"/>
          <w:szCs w:val="24"/>
        </w:rPr>
        <w:t>（1）队员在上岗前必须经过专业培训，并以公安民警的标准严格要求自己。</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420" w:leftChars="200"/>
        <w:textAlignment w:val="auto"/>
        <w:rPr>
          <w:rFonts w:hint="eastAsia" w:ascii="宋体" w:hAnsi="宋体" w:eastAsia="宋体" w:cs="宋体"/>
          <w:sz w:val="24"/>
          <w:szCs w:val="24"/>
        </w:rPr>
      </w:pPr>
      <w:r>
        <w:rPr>
          <w:rFonts w:hint="eastAsia" w:ascii="宋体" w:hAnsi="宋体" w:eastAsia="宋体" w:cs="宋体"/>
          <w:sz w:val="24"/>
          <w:szCs w:val="24"/>
        </w:rPr>
        <w:t>（2）培训内容包括政治思想、专业技能、理论知识等诸方面。</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420" w:leftChars="200"/>
        <w:textAlignment w:val="auto"/>
        <w:rPr>
          <w:rFonts w:hint="eastAsia" w:ascii="宋体" w:hAnsi="宋体" w:eastAsia="宋体" w:cs="宋体"/>
          <w:sz w:val="24"/>
          <w:szCs w:val="24"/>
        </w:rPr>
      </w:pPr>
      <w:r>
        <w:rPr>
          <w:rFonts w:hint="eastAsia" w:ascii="宋体" w:hAnsi="宋体" w:eastAsia="宋体" w:cs="宋体"/>
          <w:sz w:val="24"/>
          <w:szCs w:val="24"/>
        </w:rPr>
        <w:t>（3）应根据特保队伍实际情况，制定出年度或阶段性培训计划。</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420" w:leftChars="200"/>
        <w:textAlignment w:val="auto"/>
        <w:rPr>
          <w:rFonts w:hint="eastAsia" w:ascii="宋体" w:hAnsi="宋体" w:eastAsia="宋体" w:cs="宋体"/>
          <w:sz w:val="24"/>
          <w:szCs w:val="24"/>
        </w:rPr>
      </w:pPr>
      <w:r>
        <w:rPr>
          <w:rFonts w:hint="eastAsia" w:ascii="宋体" w:hAnsi="宋体" w:eastAsia="宋体" w:cs="宋体"/>
          <w:sz w:val="24"/>
          <w:szCs w:val="24"/>
        </w:rPr>
        <w:t>（4）保</w:t>
      </w:r>
      <w:r>
        <w:rPr>
          <w:rFonts w:hint="eastAsia" w:ascii="宋体" w:hAnsi="宋体" w:eastAsia="宋体" w:cs="宋体"/>
          <w:sz w:val="24"/>
          <w:szCs w:val="24"/>
          <w:lang w:val="en-US" w:eastAsia="zh-CN"/>
        </w:rPr>
        <w:t>安人</w:t>
      </w:r>
      <w:r>
        <w:rPr>
          <w:rFonts w:hint="eastAsia" w:ascii="宋体" w:hAnsi="宋体" w:eastAsia="宋体" w:cs="宋体"/>
          <w:sz w:val="24"/>
          <w:szCs w:val="24"/>
        </w:rPr>
        <w:t>员应自觉接受专业培训，不得缺席，不迟到、不早退。</w:t>
      </w:r>
    </w:p>
    <w:p>
      <w:pPr>
        <w:pStyle w:val="57"/>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left="420" w:leftChars="200"/>
        <w:textAlignment w:val="auto"/>
        <w:rPr>
          <w:rFonts w:hint="eastAsia" w:ascii="宋体" w:hAnsi="宋体" w:eastAsia="宋体" w:cs="宋体"/>
          <w:b/>
          <w:bCs/>
          <w:sz w:val="24"/>
          <w:szCs w:val="24"/>
        </w:rPr>
      </w:pPr>
      <w:r>
        <w:rPr>
          <w:rFonts w:hint="eastAsia" w:ascii="宋体" w:hAnsi="宋体" w:eastAsia="宋体" w:cs="宋体"/>
          <w:b/>
          <w:bCs/>
          <w:sz w:val="24"/>
          <w:szCs w:val="24"/>
        </w:rPr>
        <w:t>2、工作纪律</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420" w:leftChars="200"/>
        <w:textAlignment w:val="auto"/>
        <w:rPr>
          <w:rFonts w:hint="eastAsia" w:ascii="宋体" w:hAnsi="宋体" w:eastAsia="宋体" w:cs="宋体"/>
          <w:sz w:val="24"/>
          <w:szCs w:val="24"/>
        </w:rPr>
      </w:pPr>
      <w:r>
        <w:rPr>
          <w:rFonts w:hint="eastAsia" w:ascii="宋体" w:hAnsi="宋体" w:eastAsia="宋体" w:cs="宋体"/>
          <w:sz w:val="24"/>
          <w:szCs w:val="24"/>
        </w:rPr>
        <w:t>（1）按时上下班，不得迟到、早退，严格执行请销假制度。</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420" w:leftChars="200"/>
        <w:textAlignment w:val="auto"/>
        <w:rPr>
          <w:rFonts w:hint="eastAsia" w:ascii="宋体" w:hAnsi="宋体" w:eastAsia="宋体" w:cs="宋体"/>
          <w:sz w:val="24"/>
          <w:szCs w:val="24"/>
        </w:rPr>
      </w:pPr>
      <w:r>
        <w:rPr>
          <w:rFonts w:hint="eastAsia" w:ascii="宋体" w:hAnsi="宋体" w:eastAsia="宋体" w:cs="宋体"/>
          <w:sz w:val="24"/>
          <w:szCs w:val="24"/>
        </w:rPr>
        <w:t>（2）工作期间不办私事，不发生脱岗、串岗、睡岗现象。</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420" w:leftChars="200"/>
        <w:textAlignment w:val="auto"/>
        <w:rPr>
          <w:rFonts w:hint="eastAsia" w:ascii="宋体" w:hAnsi="宋体" w:eastAsia="宋体" w:cs="宋体"/>
          <w:sz w:val="24"/>
          <w:szCs w:val="24"/>
        </w:rPr>
      </w:pPr>
      <w:r>
        <w:rPr>
          <w:rFonts w:hint="eastAsia" w:ascii="宋体" w:hAnsi="宋体" w:eastAsia="宋体" w:cs="宋体"/>
          <w:sz w:val="24"/>
          <w:szCs w:val="24"/>
        </w:rPr>
        <w:t>（3）工作期间按规定着装，携带装备。</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420" w:leftChars="200"/>
        <w:textAlignment w:val="auto"/>
        <w:rPr>
          <w:rFonts w:hint="eastAsia" w:ascii="宋体" w:hAnsi="宋体" w:eastAsia="宋体" w:cs="宋体"/>
          <w:sz w:val="24"/>
          <w:szCs w:val="24"/>
        </w:rPr>
      </w:pPr>
      <w:r>
        <w:rPr>
          <w:rFonts w:hint="eastAsia" w:ascii="宋体" w:hAnsi="宋体" w:eastAsia="宋体" w:cs="宋体"/>
          <w:sz w:val="24"/>
          <w:szCs w:val="24"/>
        </w:rPr>
        <w:t>（4）上班前不得酗酒，上班期间不得饮酒，严禁酒后驾车。</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420" w:leftChars="200"/>
        <w:textAlignment w:val="auto"/>
        <w:rPr>
          <w:rFonts w:hint="eastAsia" w:ascii="宋体" w:hAnsi="宋体" w:eastAsia="宋体" w:cs="宋体"/>
          <w:sz w:val="24"/>
          <w:szCs w:val="24"/>
        </w:rPr>
      </w:pPr>
      <w:r>
        <w:rPr>
          <w:rFonts w:hint="eastAsia" w:ascii="宋体" w:hAnsi="宋体" w:eastAsia="宋体" w:cs="宋体"/>
          <w:sz w:val="24"/>
          <w:szCs w:val="24"/>
        </w:rPr>
        <w:t>（5）文明执勤，实事就是，不包庇不纵容；严禁吃拿卡要和徇私舞弊。</w:t>
      </w:r>
    </w:p>
    <w:p>
      <w:pPr>
        <w:keepNext w:val="0"/>
        <w:keepLines w:val="0"/>
        <w:pageBreakBefore w:val="0"/>
        <w:tabs>
          <w:tab w:val="left" w:pos="1080"/>
        </w:tabs>
        <w:kinsoku/>
        <w:wordWrap/>
        <w:overflowPunct/>
        <w:topLinePunct w:val="0"/>
        <w:autoSpaceDE/>
        <w:autoSpaceDN/>
        <w:bidi w:val="0"/>
        <w:adjustRightInd w:val="0"/>
        <w:snapToGrid w:val="0"/>
        <w:spacing w:line="360" w:lineRule="auto"/>
        <w:ind w:left="420" w:leftChars="200"/>
        <w:textAlignment w:val="auto"/>
        <w:rPr>
          <w:rFonts w:hint="eastAsia" w:ascii="宋体" w:hAnsi="宋体" w:eastAsia="宋体" w:cs="宋体"/>
          <w:sz w:val="24"/>
          <w:szCs w:val="24"/>
        </w:rPr>
      </w:pPr>
      <w:r>
        <w:rPr>
          <w:rFonts w:hint="eastAsia" w:ascii="宋体" w:hAnsi="宋体" w:eastAsia="宋体" w:cs="宋体"/>
          <w:sz w:val="24"/>
          <w:szCs w:val="24"/>
        </w:rPr>
        <w:t>（6）严禁公车私用，或挪作他人使用。</w:t>
      </w:r>
    </w:p>
    <w:p>
      <w:pPr>
        <w:keepNext w:val="0"/>
        <w:keepLines w:val="0"/>
        <w:pageBreakBefore w:val="0"/>
        <w:kinsoku/>
        <w:wordWrap/>
        <w:overflowPunct/>
        <w:topLinePunct w:val="0"/>
        <w:autoSpaceDE/>
        <w:autoSpaceDN/>
        <w:bidi w:val="0"/>
        <w:spacing w:line="360" w:lineRule="auto"/>
        <w:ind w:left="420" w:leftChars="200"/>
        <w:textAlignment w:val="auto"/>
        <w:rPr>
          <w:rFonts w:hint="eastAsia" w:ascii="宋体" w:hAnsi="宋体" w:eastAsia="宋体" w:cs="宋体"/>
          <w:sz w:val="24"/>
          <w:szCs w:val="24"/>
        </w:rPr>
      </w:pPr>
      <w:r>
        <w:rPr>
          <w:rFonts w:hint="eastAsia" w:ascii="宋体" w:hAnsi="宋体" w:eastAsia="宋体" w:cs="宋体"/>
          <w:sz w:val="24"/>
          <w:szCs w:val="24"/>
        </w:rPr>
        <w:t>（7）严格遵守平安巡防队员行为规范和工作职责。</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五</w:t>
      </w:r>
      <w:r>
        <w:rPr>
          <w:rFonts w:hint="eastAsia" w:ascii="宋体" w:hAnsi="宋体" w:eastAsia="宋体" w:cs="宋体"/>
          <w:sz w:val="24"/>
          <w:szCs w:val="24"/>
        </w:rPr>
        <w:t>、</w:t>
      </w:r>
      <w:r>
        <w:rPr>
          <w:rFonts w:hint="eastAsia" w:ascii="宋体" w:hAnsi="宋体" w:eastAsia="宋体" w:cs="宋体"/>
          <w:b/>
          <w:bCs/>
          <w:sz w:val="24"/>
          <w:szCs w:val="24"/>
        </w:rPr>
        <w:t>考核要求及制度</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1、项目实施过程中，</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有权对</w:t>
      </w:r>
      <w:r>
        <w:rPr>
          <w:rFonts w:hint="eastAsia" w:ascii="宋体" w:hAnsi="宋体" w:eastAsia="宋体" w:cs="宋体"/>
          <w:color w:val="000000"/>
          <w:sz w:val="24"/>
          <w:szCs w:val="24"/>
          <w:lang w:val="en-US" w:eastAsia="zh-CN"/>
        </w:rPr>
        <w:t>成交供应商</w:t>
      </w:r>
      <w:r>
        <w:rPr>
          <w:rFonts w:hint="eastAsia" w:ascii="宋体" w:hAnsi="宋体" w:eastAsia="宋体" w:cs="宋体"/>
          <w:color w:val="000000"/>
          <w:sz w:val="24"/>
          <w:szCs w:val="24"/>
        </w:rPr>
        <w:t>的服务质量进行考核。考核频率为每月度一次，如达不到</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要求的服务质量水平的，</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将发出书面整改通知要求</w:t>
      </w:r>
      <w:r>
        <w:rPr>
          <w:rFonts w:hint="eastAsia" w:ascii="宋体" w:hAnsi="宋体" w:eastAsia="宋体" w:cs="宋体"/>
          <w:color w:val="000000"/>
          <w:sz w:val="24"/>
          <w:szCs w:val="24"/>
          <w:lang w:val="en-US" w:eastAsia="zh-CN"/>
        </w:rPr>
        <w:t>成交供应商</w:t>
      </w:r>
      <w:r>
        <w:rPr>
          <w:rFonts w:hint="eastAsia" w:ascii="宋体" w:hAnsi="宋体" w:eastAsia="宋体" w:cs="宋体"/>
          <w:color w:val="000000"/>
          <w:sz w:val="24"/>
          <w:szCs w:val="24"/>
        </w:rPr>
        <w:t>予以整改,</w:t>
      </w:r>
      <w:r>
        <w:rPr>
          <w:rFonts w:hint="eastAsia" w:ascii="宋体" w:hAnsi="宋体" w:eastAsia="宋体" w:cs="宋体"/>
          <w:color w:val="000000"/>
          <w:sz w:val="24"/>
          <w:szCs w:val="24"/>
          <w:lang w:val="en-US" w:eastAsia="zh-CN"/>
        </w:rPr>
        <w:t>成交供应商</w:t>
      </w:r>
      <w:r>
        <w:rPr>
          <w:rFonts w:hint="eastAsia" w:ascii="宋体" w:hAnsi="宋体" w:eastAsia="宋体" w:cs="宋体"/>
          <w:color w:val="000000"/>
          <w:sz w:val="24"/>
          <w:szCs w:val="24"/>
        </w:rPr>
        <w:t>未及时整改的扣当月考核分，连续两月考核未达标且未进行整改的，</w:t>
      </w:r>
      <w:r>
        <w:rPr>
          <w:rFonts w:hint="eastAsia" w:ascii="宋体" w:hAnsi="宋体" w:eastAsia="宋体" w:cs="宋体"/>
          <w:color w:val="000000"/>
          <w:sz w:val="24"/>
          <w:szCs w:val="24"/>
          <w:lang w:val="en-US" w:eastAsia="zh-CN"/>
        </w:rPr>
        <w:t>采购人</w:t>
      </w:r>
      <w:r>
        <w:rPr>
          <w:rFonts w:hint="eastAsia" w:ascii="宋体" w:hAnsi="宋体" w:eastAsia="宋体" w:cs="宋体"/>
          <w:color w:val="000000"/>
          <w:sz w:val="24"/>
          <w:szCs w:val="24"/>
        </w:rPr>
        <w:t>有权提前终止合同。</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rPr>
        <w:t xml:space="preserve">    2、</w:t>
      </w:r>
      <w:r>
        <w:rPr>
          <w:rFonts w:hint="eastAsia" w:ascii="宋体" w:hAnsi="宋体" w:eastAsia="宋体" w:cs="宋体"/>
          <w:color w:val="000000"/>
          <w:sz w:val="24"/>
          <w:szCs w:val="24"/>
          <w:highlight w:val="none"/>
        </w:rPr>
        <w:t>应确保</w:t>
      </w:r>
      <w:r>
        <w:rPr>
          <w:rFonts w:hint="eastAsia" w:ascii="宋体" w:hAnsi="宋体" w:eastAsia="宋体" w:cs="宋体"/>
          <w:color w:val="000000"/>
          <w:sz w:val="24"/>
          <w:szCs w:val="24"/>
        </w:rPr>
        <w:t>节假日或其他活动期间</w:t>
      </w:r>
      <w:r>
        <w:rPr>
          <w:rFonts w:hint="eastAsia" w:ascii="宋体" w:hAnsi="宋体" w:eastAsia="宋体" w:cs="宋体"/>
          <w:color w:val="000000"/>
          <w:sz w:val="24"/>
          <w:szCs w:val="24"/>
          <w:lang w:eastAsia="zh-CN"/>
        </w:rPr>
        <w:t>的</w:t>
      </w:r>
      <w:r>
        <w:rPr>
          <w:rFonts w:hint="eastAsia" w:ascii="宋体" w:hAnsi="宋体" w:eastAsia="宋体" w:cs="宋体"/>
          <w:color w:val="000000"/>
          <w:sz w:val="24"/>
          <w:szCs w:val="24"/>
        </w:rPr>
        <w:t>安保人员</w:t>
      </w:r>
      <w:r>
        <w:rPr>
          <w:rFonts w:hint="eastAsia" w:ascii="宋体" w:hAnsi="宋体" w:eastAsia="宋体" w:cs="宋体"/>
          <w:color w:val="000000"/>
          <w:sz w:val="24"/>
          <w:szCs w:val="24"/>
          <w:highlight w:val="none"/>
        </w:rPr>
        <w:t>及时到位。</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000000"/>
          <w:sz w:val="24"/>
          <w:szCs w:val="24"/>
        </w:rPr>
        <w:t>3、所有人员均须持有合法有效身份证、健康证，无重大疾病史和传染病史，无残疾及其它生理缺陷。</w:t>
      </w:r>
      <w:r>
        <w:rPr>
          <w:rFonts w:hint="eastAsia" w:ascii="宋体" w:hAnsi="宋体" w:eastAsia="宋体" w:cs="宋体"/>
          <w:color w:val="000000"/>
          <w:sz w:val="24"/>
          <w:szCs w:val="24"/>
          <w:lang w:eastAsia="zh-CN"/>
        </w:rPr>
        <w:t>采购人</w:t>
      </w:r>
      <w:r>
        <w:rPr>
          <w:rFonts w:hint="eastAsia" w:ascii="宋体" w:hAnsi="宋体" w:eastAsia="宋体" w:cs="宋体"/>
          <w:color w:val="000000"/>
          <w:sz w:val="24"/>
          <w:szCs w:val="24"/>
        </w:rPr>
        <w:t>对</w:t>
      </w:r>
      <w:r>
        <w:rPr>
          <w:rFonts w:hint="eastAsia" w:ascii="宋体" w:hAnsi="宋体" w:eastAsia="宋体" w:cs="宋体"/>
          <w:color w:val="000000"/>
          <w:sz w:val="24"/>
          <w:szCs w:val="24"/>
          <w:lang w:val="en-US" w:eastAsia="zh-CN"/>
        </w:rPr>
        <w:t>成交供应商</w:t>
      </w:r>
      <w:r>
        <w:rPr>
          <w:rFonts w:hint="eastAsia" w:ascii="宋体" w:hAnsi="宋体" w:eastAsia="宋体" w:cs="宋体"/>
          <w:color w:val="000000"/>
          <w:sz w:val="24"/>
          <w:szCs w:val="24"/>
        </w:rPr>
        <w:t>派遣的服务人员进行考评，如素质不达标的，将予以劝退。同时，</w:t>
      </w:r>
      <w:r>
        <w:rPr>
          <w:rFonts w:hint="eastAsia" w:ascii="宋体" w:hAnsi="宋体" w:eastAsia="宋体" w:cs="宋体"/>
          <w:color w:val="000000"/>
          <w:sz w:val="24"/>
          <w:szCs w:val="24"/>
          <w:lang w:val="en-US" w:eastAsia="zh-CN"/>
        </w:rPr>
        <w:t>成交供应商</w:t>
      </w:r>
      <w:r>
        <w:rPr>
          <w:rFonts w:hint="eastAsia" w:ascii="宋体" w:hAnsi="宋体" w:eastAsia="宋体" w:cs="宋体"/>
          <w:color w:val="000000"/>
          <w:sz w:val="24"/>
          <w:szCs w:val="24"/>
        </w:rPr>
        <w:t>有义务保证合格特保人员的稳定性（至少达到50%）。</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六</w:t>
      </w:r>
      <w:r>
        <w:rPr>
          <w:rFonts w:hint="eastAsia" w:ascii="宋体" w:hAnsi="宋体" w:eastAsia="宋体" w:cs="宋体"/>
          <w:b/>
          <w:bCs/>
          <w:sz w:val="24"/>
          <w:szCs w:val="24"/>
        </w:rPr>
        <w:t>、付款方式</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lang w:val="en-US" w:eastAsia="zh-CN"/>
        </w:rPr>
        <w:t>1、</w:t>
      </w:r>
      <w:r>
        <w:rPr>
          <w:rFonts w:hint="eastAsia" w:ascii="宋体" w:hAnsi="宋体" w:eastAsia="宋体" w:cs="宋体"/>
          <w:bCs/>
          <w:sz w:val="24"/>
          <w:szCs w:val="24"/>
          <w:highlight w:val="none"/>
          <w:lang w:val="en-US" w:eastAsia="zh-CN"/>
        </w:rPr>
        <w:t>本项目预算资金300万元分2部分，</w:t>
      </w:r>
      <w:r>
        <w:rPr>
          <w:rFonts w:hint="eastAsia" w:ascii="宋体" w:hAnsi="宋体" w:eastAsia="宋体" w:cs="宋体"/>
          <w:bCs/>
          <w:sz w:val="24"/>
          <w:szCs w:val="24"/>
          <w:highlight w:val="none"/>
        </w:rPr>
        <w:t>服务外包费</w:t>
      </w:r>
      <w:r>
        <w:rPr>
          <w:rFonts w:hint="eastAsia" w:ascii="宋体" w:hAnsi="宋体" w:eastAsia="宋体" w:cs="宋体"/>
          <w:bCs/>
          <w:sz w:val="24"/>
          <w:szCs w:val="24"/>
          <w:highlight w:val="none"/>
          <w:lang w:eastAsia="zh-CN"/>
        </w:rPr>
        <w:t>（含安保人员服务费及</w:t>
      </w:r>
      <w:r>
        <w:rPr>
          <w:rFonts w:hint="eastAsia" w:ascii="宋体" w:hAnsi="宋体" w:eastAsia="宋体" w:cs="宋体"/>
          <w:bCs/>
          <w:sz w:val="24"/>
          <w:szCs w:val="24"/>
          <w:highlight w:val="none"/>
          <w:lang w:val="en-US" w:eastAsia="zh-CN"/>
        </w:rPr>
        <w:t>7辆</w:t>
      </w:r>
      <w:r>
        <w:rPr>
          <w:rFonts w:hint="eastAsia" w:ascii="宋体" w:hAnsi="宋体" w:eastAsia="宋体" w:cs="宋体"/>
          <w:bCs/>
          <w:sz w:val="24"/>
          <w:szCs w:val="24"/>
          <w:highlight w:val="none"/>
          <w:lang w:eastAsia="zh-CN"/>
        </w:rPr>
        <w:t>巡防车辆（四轮电动车）、安全护卫器械、通讯器材、</w:t>
      </w:r>
      <w:r>
        <w:rPr>
          <w:rFonts w:hint="eastAsia" w:ascii="宋体" w:hAnsi="宋体" w:eastAsia="宋体" w:cs="宋体"/>
          <w:bCs/>
          <w:sz w:val="24"/>
          <w:szCs w:val="24"/>
          <w:highlight w:val="none"/>
          <w:lang w:val="en-US" w:eastAsia="zh-CN"/>
        </w:rPr>
        <w:t>应急防控物资、办公用品</w:t>
      </w:r>
      <w:r>
        <w:rPr>
          <w:rFonts w:hint="eastAsia" w:ascii="宋体" w:hAnsi="宋体" w:eastAsia="宋体" w:cs="宋体"/>
          <w:bCs/>
          <w:sz w:val="24"/>
          <w:szCs w:val="24"/>
          <w:highlight w:val="none"/>
          <w:lang w:eastAsia="zh-CN"/>
        </w:rPr>
        <w:t>等安保必备设备）</w:t>
      </w:r>
      <w:r>
        <w:rPr>
          <w:rFonts w:hint="eastAsia" w:ascii="宋体" w:hAnsi="宋体" w:eastAsia="宋体" w:cs="宋体"/>
          <w:bCs/>
          <w:sz w:val="24"/>
          <w:szCs w:val="24"/>
          <w:highlight w:val="none"/>
          <w:lang w:val="en-US" w:eastAsia="zh-CN"/>
        </w:rPr>
        <w:t>240万元，应急性安保服务费预留资金60万元。</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2、</w:t>
      </w:r>
      <w:r>
        <w:rPr>
          <w:rFonts w:hint="eastAsia" w:ascii="宋体" w:hAnsi="宋体" w:eastAsia="宋体" w:cs="宋体"/>
          <w:bCs/>
          <w:sz w:val="24"/>
          <w:szCs w:val="24"/>
          <w:highlight w:val="none"/>
        </w:rPr>
        <w:t>服务外包费每季度结算一次，经采购人考核合格后于下季度10日前支付上季度的服务外包费</w:t>
      </w:r>
      <w:r>
        <w:rPr>
          <w:rFonts w:hint="eastAsia" w:ascii="宋体" w:hAnsi="宋体" w:eastAsia="宋体" w:cs="宋体"/>
          <w:bCs/>
          <w:sz w:val="24"/>
          <w:szCs w:val="24"/>
          <w:highlight w:val="none"/>
          <w:lang w:eastAsia="zh-CN"/>
        </w:rPr>
        <w:t>，人数按实结算，</w:t>
      </w:r>
      <w:r>
        <w:rPr>
          <w:rFonts w:hint="eastAsia" w:ascii="宋体" w:hAnsi="宋体" w:eastAsia="宋体" w:cs="宋体"/>
          <w:bCs/>
          <w:sz w:val="24"/>
          <w:szCs w:val="24"/>
          <w:highlight w:val="none"/>
          <w:lang w:val="en-US" w:eastAsia="zh-CN"/>
        </w:rPr>
        <w:t>具体支付金额以本次采购成交单价*实际人数为准，支付比例条款以合同签订为准</w:t>
      </w:r>
      <w:r>
        <w:rPr>
          <w:rFonts w:hint="eastAsia" w:ascii="宋体" w:hAnsi="宋体" w:eastAsia="宋体" w:cs="宋体"/>
          <w:bCs/>
          <w:sz w:val="24"/>
          <w:szCs w:val="24"/>
          <w:highlight w:val="none"/>
        </w:rPr>
        <w:t>。</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highlight w:val="none"/>
          <w:u w:val="none"/>
          <w:lang w:val="en-US" w:eastAsia="zh-CN"/>
        </w:rPr>
      </w:pPr>
      <w:r>
        <w:rPr>
          <w:rFonts w:hint="eastAsia" w:ascii="宋体" w:hAnsi="宋体" w:eastAsia="宋体" w:cs="宋体"/>
          <w:sz w:val="24"/>
          <w:szCs w:val="24"/>
          <w:highlight w:val="none"/>
          <w:u w:val="none"/>
          <w:lang w:val="en-US" w:eastAsia="zh-CN"/>
        </w:rPr>
        <w:t>3、应急性需要临时抽调安保的（大型活动安保、保障性施工、应急救援等情况），安保服务费用以实际发生人数及时间计算（40元/人/小时）。应急性安保服务费（60万元）为预留资金，本次采购不参与价格竞争，结算时附上实际人数和时间服务清单，由采购人确认完成后在6月底和12月底分两次结清，实际支出金额不得超出60万元。</w:t>
      </w:r>
    </w:p>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b/>
          <w:bCs/>
          <w:sz w:val="24"/>
          <w:szCs w:val="24"/>
          <w:highlight w:val="none"/>
          <w:u w:val="none"/>
          <w:lang w:val="en-US" w:eastAsia="zh-CN"/>
        </w:rPr>
      </w:pPr>
      <w:r>
        <w:rPr>
          <w:rFonts w:hint="eastAsia" w:ascii="宋体" w:hAnsi="宋体" w:eastAsia="宋体" w:cs="宋体"/>
          <w:b/>
          <w:sz w:val="24"/>
          <w:szCs w:val="24"/>
          <w:lang w:val="en-US" w:eastAsia="zh-CN"/>
        </w:rPr>
        <w:t>七</w:t>
      </w:r>
      <w:r>
        <w:rPr>
          <w:rFonts w:hint="eastAsia" w:ascii="宋体" w:hAnsi="宋体" w:eastAsia="宋体" w:cs="宋体"/>
          <w:b/>
          <w:sz w:val="24"/>
          <w:szCs w:val="24"/>
        </w:rPr>
        <w:t>、</w:t>
      </w:r>
      <w:r>
        <w:rPr>
          <w:rFonts w:hint="eastAsia" w:ascii="宋体" w:hAnsi="宋体" w:eastAsia="宋体" w:cs="宋体"/>
          <w:b/>
          <w:bCs/>
          <w:sz w:val="24"/>
          <w:szCs w:val="24"/>
          <w:highlight w:val="none"/>
          <w:u w:val="none"/>
          <w:lang w:val="en-US" w:eastAsia="zh-CN"/>
        </w:rPr>
        <w:t>合同履约期</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ascii="宋体" w:hAnsi="宋体" w:eastAsia="宋体" w:cs="宋体"/>
          <w:b w:val="0"/>
          <w:bCs w:val="0"/>
          <w:sz w:val="24"/>
          <w:szCs w:val="24"/>
          <w:highlight w:val="none"/>
          <w:u w:val="single"/>
          <w:lang w:val="en-US" w:eastAsia="zh-CN"/>
        </w:rPr>
      </w:pPr>
      <w:r>
        <w:rPr>
          <w:rFonts w:hint="eastAsia" w:ascii="宋体" w:hAnsi="宋体" w:eastAsia="宋体" w:cs="宋体"/>
          <w:b w:val="0"/>
          <w:bCs w:val="0"/>
          <w:sz w:val="24"/>
          <w:szCs w:val="24"/>
          <w:highlight w:val="none"/>
          <w:u w:val="none"/>
          <w:lang w:val="en-US" w:eastAsia="zh-CN"/>
        </w:rPr>
        <w:t>合同签订起至2023年12月31日。</w:t>
      </w:r>
      <w:r>
        <w:rPr>
          <w:rFonts w:hint="eastAsia" w:ascii="宋体" w:hAnsi="宋体" w:eastAsia="宋体" w:cs="宋体"/>
          <w:b w:val="0"/>
          <w:bCs w:val="0"/>
          <w:sz w:val="24"/>
          <w:szCs w:val="24"/>
          <w:highlight w:val="none"/>
          <w:u w:val="single"/>
          <w:lang w:val="en-US" w:eastAsia="zh-CN"/>
        </w:rPr>
        <w:t>合同期内，乙方能严格履行合同，通过甲方考核后，甲方报经财政部门同意，可以续签合同，最长不超过24个月。</w:t>
      </w:r>
    </w:p>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b/>
          <w:sz w:val="24"/>
          <w:szCs w:val="24"/>
        </w:rPr>
      </w:pPr>
      <w:r>
        <w:rPr>
          <w:rFonts w:hint="eastAsia" w:ascii="宋体" w:hAnsi="宋体" w:eastAsia="宋体" w:cs="宋体"/>
          <w:b/>
          <w:sz w:val="24"/>
          <w:szCs w:val="24"/>
          <w:lang w:eastAsia="zh-CN"/>
        </w:rPr>
        <w:t>八、</w:t>
      </w:r>
      <w:r>
        <w:rPr>
          <w:rFonts w:hint="eastAsia" w:ascii="宋体" w:hAnsi="宋体" w:eastAsia="宋体" w:cs="宋体"/>
          <w:b/>
          <w:sz w:val="24"/>
          <w:szCs w:val="24"/>
        </w:rPr>
        <w:t>其他要求</w:t>
      </w:r>
    </w:p>
    <w:p>
      <w:pPr>
        <w:pStyle w:val="23"/>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1、服务外包人员出现问题响应要求：服务外包期内</w:t>
      </w:r>
      <w:r>
        <w:rPr>
          <w:rFonts w:hint="eastAsia" w:ascii="宋体" w:hAnsi="宋体" w:eastAsia="宋体" w:cs="宋体"/>
          <w:color w:val="000000"/>
          <w:sz w:val="24"/>
          <w:szCs w:val="24"/>
          <w:lang w:val="en-US" w:eastAsia="zh-CN"/>
        </w:rPr>
        <w:t>成交供应商</w:t>
      </w:r>
      <w:r>
        <w:rPr>
          <w:rFonts w:hint="eastAsia" w:ascii="宋体" w:hAnsi="宋体" w:eastAsia="宋体" w:cs="宋体"/>
          <w:sz w:val="24"/>
          <w:szCs w:val="24"/>
        </w:rPr>
        <w:t>自身出现了问题，如缺岗、离岗、与</w:t>
      </w:r>
      <w:r>
        <w:rPr>
          <w:rFonts w:hint="eastAsia" w:ascii="宋体" w:hAnsi="宋体" w:eastAsia="宋体" w:cs="宋体"/>
          <w:color w:val="000000"/>
          <w:sz w:val="24"/>
          <w:szCs w:val="24"/>
          <w:lang w:val="en-US" w:eastAsia="zh-CN"/>
        </w:rPr>
        <w:t>采购人</w:t>
      </w:r>
      <w:r>
        <w:rPr>
          <w:rFonts w:hint="eastAsia" w:ascii="宋体" w:hAnsi="宋体" w:eastAsia="宋体" w:cs="宋体"/>
          <w:sz w:val="24"/>
          <w:szCs w:val="24"/>
        </w:rPr>
        <w:t>工作人员发生纠纷等影响采购人及</w:t>
      </w:r>
      <w:r>
        <w:rPr>
          <w:rFonts w:hint="eastAsia" w:ascii="宋体" w:hAnsi="宋体" w:eastAsia="宋体" w:cs="宋体"/>
          <w:color w:val="000000"/>
          <w:sz w:val="24"/>
          <w:szCs w:val="24"/>
          <w:lang w:val="en-US" w:eastAsia="zh-CN"/>
        </w:rPr>
        <w:t>采购人</w:t>
      </w:r>
      <w:r>
        <w:rPr>
          <w:rFonts w:hint="eastAsia" w:ascii="宋体" w:hAnsi="宋体" w:eastAsia="宋体" w:cs="宋体"/>
          <w:sz w:val="24"/>
          <w:szCs w:val="24"/>
        </w:rPr>
        <w:t>声誉的所有事件，</w:t>
      </w:r>
      <w:r>
        <w:rPr>
          <w:rFonts w:hint="eastAsia" w:ascii="宋体" w:hAnsi="宋体" w:eastAsia="宋体" w:cs="宋体"/>
          <w:sz w:val="24"/>
          <w:szCs w:val="24"/>
          <w:lang w:val="en-US" w:eastAsia="zh-CN"/>
        </w:rPr>
        <w:t>成交供应商</w:t>
      </w:r>
      <w:r>
        <w:rPr>
          <w:rFonts w:hint="eastAsia" w:ascii="宋体" w:hAnsi="宋体" w:eastAsia="宋体" w:cs="宋体"/>
          <w:sz w:val="24"/>
          <w:szCs w:val="24"/>
        </w:rPr>
        <w:t>的主要负责人应立即响应，2小时内到达现场，3小时内解决问题，现场解决不了的应采取应急措施，应立即阻止事态的发展，确保无任何影响采购人的事件发生。</w:t>
      </w:r>
    </w:p>
    <w:p>
      <w:pPr>
        <w:pStyle w:val="23"/>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2、采购人将不定期对外包人员工资单进行核查。</w:t>
      </w:r>
    </w:p>
    <w:p>
      <w:pPr>
        <w:pStyle w:val="23"/>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成交供应商</w:t>
      </w:r>
      <w:r>
        <w:rPr>
          <w:rFonts w:hint="eastAsia" w:ascii="宋体" w:hAnsi="宋体" w:eastAsia="宋体" w:cs="宋体"/>
          <w:sz w:val="24"/>
          <w:szCs w:val="24"/>
        </w:rPr>
        <w:t>在公司运营中发生的劳资纠纷、工伤纠纷、人身意外伤亡等事件，由</w:t>
      </w:r>
      <w:r>
        <w:rPr>
          <w:rFonts w:hint="eastAsia" w:ascii="宋体" w:hAnsi="宋体" w:eastAsia="宋体" w:cs="宋体"/>
          <w:sz w:val="24"/>
          <w:szCs w:val="24"/>
          <w:lang w:val="en-US" w:eastAsia="zh-CN"/>
        </w:rPr>
        <w:t>成交供应商</w:t>
      </w:r>
      <w:r>
        <w:rPr>
          <w:rFonts w:hint="eastAsia" w:ascii="宋体" w:hAnsi="宋体" w:eastAsia="宋体" w:cs="宋体"/>
          <w:sz w:val="24"/>
          <w:szCs w:val="24"/>
        </w:rPr>
        <w:t>自行承担，如因此造成甲方被第三方索赔，</w:t>
      </w:r>
      <w:r>
        <w:rPr>
          <w:rFonts w:hint="eastAsia" w:ascii="宋体" w:hAnsi="宋体" w:eastAsia="宋体" w:cs="宋体"/>
          <w:sz w:val="24"/>
          <w:szCs w:val="24"/>
          <w:lang w:val="en-US" w:eastAsia="zh-CN"/>
        </w:rPr>
        <w:t>采购人</w:t>
      </w:r>
      <w:r>
        <w:rPr>
          <w:rFonts w:hint="eastAsia" w:ascii="宋体" w:hAnsi="宋体" w:eastAsia="宋体" w:cs="宋体"/>
          <w:sz w:val="24"/>
          <w:szCs w:val="24"/>
        </w:rPr>
        <w:t>有权向</w:t>
      </w:r>
      <w:r>
        <w:rPr>
          <w:rFonts w:hint="eastAsia" w:ascii="宋体" w:hAnsi="宋体" w:eastAsia="宋体" w:cs="宋体"/>
          <w:sz w:val="24"/>
          <w:szCs w:val="24"/>
          <w:lang w:val="en-US" w:eastAsia="zh-CN"/>
        </w:rPr>
        <w:t>成交供应商</w:t>
      </w:r>
      <w:r>
        <w:rPr>
          <w:rFonts w:hint="eastAsia" w:ascii="宋体" w:hAnsi="宋体" w:eastAsia="宋体" w:cs="宋体"/>
          <w:sz w:val="24"/>
          <w:szCs w:val="24"/>
        </w:rPr>
        <w:t>进行追偿。</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4"/>
          <w:szCs w:val="24"/>
        </w:rPr>
      </w:pPr>
      <w:r>
        <w:rPr>
          <w:rFonts w:hint="eastAsia" w:ascii="宋体" w:hAnsi="宋体" w:eastAsia="宋体" w:cs="宋体"/>
          <w:b/>
          <w:bCs/>
          <w:color w:val="000000"/>
          <w:sz w:val="24"/>
          <w:szCs w:val="24"/>
          <w:lang w:eastAsia="zh-CN"/>
        </w:rPr>
        <w:t>九</w:t>
      </w:r>
      <w:r>
        <w:rPr>
          <w:rFonts w:hint="eastAsia" w:ascii="宋体" w:hAnsi="宋体" w:eastAsia="宋体" w:cs="宋体"/>
          <w:b/>
          <w:bCs/>
          <w:color w:val="000000"/>
          <w:sz w:val="24"/>
          <w:szCs w:val="24"/>
        </w:rPr>
        <w:t>、</w:t>
      </w:r>
      <w:r>
        <w:rPr>
          <w:rFonts w:hint="eastAsia" w:ascii="宋体" w:hAnsi="宋体" w:eastAsia="宋体" w:cs="宋体"/>
          <w:b/>
          <w:sz w:val="24"/>
          <w:szCs w:val="24"/>
        </w:rPr>
        <w:t>验收</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按照采购</w:t>
      </w:r>
      <w:r>
        <w:rPr>
          <w:rFonts w:hint="eastAsia" w:ascii="宋体" w:hAnsi="宋体" w:eastAsia="宋体" w:cs="宋体"/>
          <w:sz w:val="24"/>
          <w:szCs w:val="24"/>
          <w:lang w:eastAsia="zh-CN"/>
        </w:rPr>
        <w:t>文件及</w:t>
      </w:r>
      <w:r>
        <w:rPr>
          <w:rFonts w:hint="eastAsia" w:ascii="宋体" w:hAnsi="宋体" w:eastAsia="宋体" w:cs="宋体"/>
          <w:sz w:val="24"/>
          <w:szCs w:val="24"/>
        </w:rPr>
        <w:t>合同的约定对</w:t>
      </w:r>
      <w:r>
        <w:rPr>
          <w:rFonts w:hint="eastAsia" w:ascii="宋体" w:hAnsi="宋体" w:eastAsia="宋体" w:cs="宋体"/>
          <w:sz w:val="24"/>
          <w:szCs w:val="24"/>
          <w:lang w:val="en-US" w:eastAsia="zh-CN"/>
        </w:rPr>
        <w:t>成交供应商</w:t>
      </w:r>
      <w:r>
        <w:rPr>
          <w:rFonts w:hint="eastAsia" w:ascii="宋体" w:hAnsi="宋体" w:eastAsia="宋体" w:cs="宋体"/>
          <w:sz w:val="24"/>
          <w:szCs w:val="24"/>
        </w:rPr>
        <w:t>履约情况进行验收。</w:t>
      </w:r>
      <w:r>
        <w:rPr>
          <w:rFonts w:hint="eastAsia" w:ascii="宋体" w:hAnsi="宋体" w:eastAsia="宋体" w:cs="宋体"/>
          <w:sz w:val="24"/>
          <w:szCs w:val="24"/>
          <w:lang w:eastAsia="zh-CN"/>
        </w:rPr>
        <w:t>验收由采购人自行组织，</w:t>
      </w:r>
      <w:r>
        <w:rPr>
          <w:rFonts w:hint="eastAsia" w:ascii="宋体" w:hAnsi="宋体" w:eastAsia="宋体" w:cs="宋体"/>
          <w:sz w:val="24"/>
          <w:szCs w:val="24"/>
        </w:rPr>
        <w:t>双方共同签署。验收结果应当与采购合同约定的资金支付条件挂钩</w:t>
      </w:r>
      <w:r>
        <w:rPr>
          <w:rFonts w:hint="eastAsia" w:ascii="宋体" w:hAnsi="宋体" w:eastAsia="宋体" w:cs="宋体"/>
          <w:sz w:val="24"/>
          <w:szCs w:val="24"/>
          <w:lang w:eastAsia="zh-CN"/>
        </w:rPr>
        <w:t>，</w:t>
      </w:r>
      <w:r>
        <w:rPr>
          <w:rFonts w:hint="eastAsia" w:ascii="宋体" w:hAnsi="宋体" w:eastAsia="宋体" w:cs="宋体"/>
          <w:sz w:val="24"/>
          <w:szCs w:val="24"/>
        </w:rPr>
        <w:t>履约验收的各项资料应当存档备查。</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2、成交供应商</w:t>
      </w:r>
      <w:r>
        <w:rPr>
          <w:rFonts w:hint="eastAsia" w:ascii="宋体" w:hAnsi="宋体" w:eastAsia="宋体" w:cs="宋体"/>
          <w:sz w:val="24"/>
          <w:szCs w:val="24"/>
        </w:rPr>
        <w:t>在提供服务过程中如存在违反合同相关约定情况的，</w:t>
      </w:r>
      <w:r>
        <w:rPr>
          <w:rFonts w:hint="eastAsia" w:ascii="宋体" w:hAnsi="宋体" w:eastAsia="宋体" w:cs="宋体"/>
          <w:sz w:val="24"/>
          <w:szCs w:val="24"/>
          <w:lang w:val="en-US" w:eastAsia="zh-CN"/>
        </w:rPr>
        <w:t>采购人</w:t>
      </w:r>
      <w:r>
        <w:rPr>
          <w:rFonts w:hint="eastAsia" w:ascii="宋体" w:hAnsi="宋体" w:eastAsia="宋体" w:cs="宋体"/>
          <w:sz w:val="24"/>
          <w:szCs w:val="24"/>
        </w:rPr>
        <w:t>有权要求</w:t>
      </w:r>
      <w:r>
        <w:rPr>
          <w:rFonts w:hint="eastAsia" w:ascii="宋体" w:hAnsi="宋体" w:eastAsia="宋体" w:cs="宋体"/>
          <w:sz w:val="24"/>
          <w:szCs w:val="24"/>
          <w:lang w:val="en-US" w:eastAsia="zh-CN"/>
        </w:rPr>
        <w:t>成交供应商</w:t>
      </w:r>
      <w:r>
        <w:rPr>
          <w:rFonts w:hint="eastAsia" w:ascii="宋体" w:hAnsi="宋体" w:eastAsia="宋体" w:cs="宋体"/>
          <w:sz w:val="24"/>
          <w:szCs w:val="24"/>
        </w:rPr>
        <w:t>立即整改，</w:t>
      </w:r>
      <w:r>
        <w:rPr>
          <w:rFonts w:hint="eastAsia" w:ascii="宋体" w:hAnsi="宋体" w:eastAsia="宋体" w:cs="宋体"/>
          <w:sz w:val="24"/>
          <w:szCs w:val="24"/>
          <w:lang w:val="en-US" w:eastAsia="zh-CN"/>
        </w:rPr>
        <w:t>成交供应商</w:t>
      </w:r>
      <w:r>
        <w:rPr>
          <w:rFonts w:hint="eastAsia" w:ascii="宋体" w:hAnsi="宋体" w:eastAsia="宋体" w:cs="宋体"/>
          <w:sz w:val="24"/>
          <w:szCs w:val="24"/>
        </w:rPr>
        <w:t>未按</w:t>
      </w:r>
      <w:r>
        <w:rPr>
          <w:rFonts w:hint="eastAsia" w:ascii="宋体" w:hAnsi="宋体" w:eastAsia="宋体" w:cs="宋体"/>
          <w:sz w:val="24"/>
          <w:szCs w:val="24"/>
          <w:lang w:val="en-US" w:eastAsia="zh-CN"/>
        </w:rPr>
        <w:t>采购难</w:t>
      </w:r>
      <w:r>
        <w:rPr>
          <w:rFonts w:hint="eastAsia" w:ascii="宋体" w:hAnsi="宋体" w:eastAsia="宋体" w:cs="宋体"/>
          <w:sz w:val="24"/>
          <w:szCs w:val="24"/>
        </w:rPr>
        <w:t>要求整改的，</w:t>
      </w:r>
      <w:r>
        <w:rPr>
          <w:rFonts w:hint="eastAsia" w:ascii="宋体" w:hAnsi="宋体" w:eastAsia="宋体" w:cs="宋体"/>
          <w:sz w:val="24"/>
          <w:szCs w:val="24"/>
          <w:lang w:val="en-US" w:eastAsia="zh-CN"/>
        </w:rPr>
        <w:t>采购人</w:t>
      </w:r>
      <w:r>
        <w:rPr>
          <w:rFonts w:hint="eastAsia" w:ascii="宋体" w:hAnsi="宋体" w:eastAsia="宋体" w:cs="宋体"/>
          <w:sz w:val="24"/>
          <w:szCs w:val="24"/>
        </w:rPr>
        <w:t>有权拒绝验收，并可中止合同履行，</w:t>
      </w:r>
      <w:r>
        <w:rPr>
          <w:rFonts w:hint="eastAsia" w:ascii="宋体" w:hAnsi="宋体" w:eastAsia="宋体" w:cs="宋体"/>
          <w:sz w:val="24"/>
          <w:szCs w:val="24"/>
          <w:lang w:val="en-US" w:eastAsia="zh-CN"/>
        </w:rPr>
        <w:t>成交供应商</w:t>
      </w:r>
      <w:r>
        <w:rPr>
          <w:rFonts w:hint="eastAsia" w:ascii="宋体" w:hAnsi="宋体" w:eastAsia="宋体" w:cs="宋体"/>
          <w:sz w:val="24"/>
          <w:szCs w:val="24"/>
        </w:rPr>
        <w:t>承担因此发生的一切损失、费用及延误责任。验收费用由</w:t>
      </w:r>
      <w:r>
        <w:rPr>
          <w:rFonts w:hint="eastAsia" w:ascii="宋体" w:hAnsi="宋体" w:eastAsia="宋体" w:cs="宋体"/>
          <w:sz w:val="24"/>
          <w:szCs w:val="24"/>
          <w:lang w:val="en-US" w:eastAsia="zh-CN"/>
        </w:rPr>
        <w:t>成交供应商</w:t>
      </w:r>
      <w:r>
        <w:rPr>
          <w:rFonts w:hint="eastAsia" w:ascii="宋体" w:hAnsi="宋体" w:eastAsia="宋体" w:cs="宋体"/>
          <w:sz w:val="24"/>
          <w:szCs w:val="24"/>
        </w:rPr>
        <w:t>承担。</w:t>
      </w:r>
    </w:p>
    <w:p>
      <w:pPr>
        <w:keepNext w:val="0"/>
        <w:keepLines w:val="0"/>
        <w:pageBreakBefore w:val="0"/>
        <w:kinsoku/>
        <w:wordWrap/>
        <w:overflowPunct/>
        <w:topLinePunct w:val="0"/>
        <w:autoSpaceDE/>
        <w:autoSpaceDN/>
        <w:bidi w:val="0"/>
        <w:spacing w:line="360" w:lineRule="auto"/>
        <w:ind w:firstLine="241" w:firstLineChars="100"/>
        <w:textAlignment w:val="auto"/>
        <w:rPr>
          <w:rFonts w:hint="eastAsia" w:ascii="宋体" w:hAnsi="宋体" w:eastAsia="宋体" w:cs="宋体"/>
          <w:b/>
          <w:bCs/>
          <w:sz w:val="24"/>
          <w:szCs w:val="24"/>
          <w:highlight w:val="none"/>
          <w:u w:val="none"/>
          <w:lang w:val="en-US" w:eastAsia="zh-CN"/>
        </w:rPr>
      </w:pPr>
      <w:r>
        <w:rPr>
          <w:rFonts w:hint="eastAsia" w:ascii="宋体" w:hAnsi="宋体" w:eastAsia="宋体" w:cs="宋体"/>
          <w:b/>
          <w:bCs/>
          <w:sz w:val="24"/>
          <w:szCs w:val="24"/>
          <w:highlight w:val="none"/>
          <w:u w:val="none"/>
          <w:lang w:val="en-US" w:eastAsia="zh-CN"/>
        </w:rPr>
        <w:t>十、其他</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b/>
          <w:bCs/>
          <w:sz w:val="24"/>
          <w:szCs w:val="24"/>
          <w:highlight w:val="none"/>
          <w:u w:val="none"/>
          <w:lang w:val="en-US" w:eastAsia="zh-CN"/>
        </w:rPr>
      </w:pPr>
      <w:r>
        <w:rPr>
          <w:rFonts w:hint="eastAsia" w:ascii="宋体" w:hAnsi="宋体" w:eastAsia="宋体" w:cs="宋体"/>
          <w:sz w:val="24"/>
          <w:szCs w:val="24"/>
          <w:highlight w:val="none"/>
          <w:u w:val="none"/>
          <w:lang w:val="en-US" w:eastAsia="zh-CN"/>
        </w:rPr>
        <w:t>1、</w:t>
      </w:r>
      <w:r>
        <w:rPr>
          <w:rFonts w:hint="eastAsia" w:ascii="宋体" w:hAnsi="宋体" w:eastAsia="宋体" w:cs="宋体"/>
          <w:b/>
          <w:bCs/>
          <w:sz w:val="24"/>
          <w:szCs w:val="24"/>
          <w:highlight w:val="none"/>
          <w:u w:val="none"/>
          <w:lang w:val="en-US" w:eastAsia="zh-CN"/>
        </w:rPr>
        <w:t>投标报价包括所有外包人员的工资、社保、高温、福利、加班费、培训费、住宿、餐费、通讯设备、交通工具及统一服装费、低值易耗品、工具及相关设备费、临时性杂项服务费、政策性文件规定及税费、合理利润等各项全部费用。</w:t>
      </w:r>
    </w:p>
    <w:p>
      <w:pPr>
        <w:keepNext w:val="0"/>
        <w:keepLines w:val="0"/>
        <w:pageBreakBefore w:val="0"/>
        <w:kinsoku/>
        <w:wordWrap/>
        <w:overflowPunct/>
        <w:topLinePunct w:val="0"/>
        <w:autoSpaceDE/>
        <w:autoSpaceDN/>
        <w:bidi w:val="0"/>
        <w:spacing w:line="360" w:lineRule="auto"/>
        <w:ind w:firstLine="482" w:firstLineChars="200"/>
        <w:textAlignment w:val="auto"/>
        <w:rPr>
          <w:rFonts w:hint="eastAsia" w:ascii="宋体" w:hAnsi="宋体" w:eastAsia="宋体" w:cs="宋体"/>
          <w:b/>
          <w:bCs/>
          <w:sz w:val="24"/>
          <w:szCs w:val="24"/>
          <w:highlight w:val="none"/>
          <w:u w:val="none"/>
          <w:lang w:val="en-US" w:eastAsia="zh-CN"/>
        </w:rPr>
      </w:pPr>
      <w:r>
        <w:rPr>
          <w:rFonts w:hint="eastAsia" w:ascii="宋体" w:hAnsi="宋体" w:eastAsia="宋体" w:cs="宋体"/>
          <w:b/>
          <w:bCs/>
          <w:sz w:val="24"/>
          <w:szCs w:val="24"/>
          <w:highlight w:val="none"/>
          <w:u w:val="none"/>
          <w:lang w:val="en-US" w:eastAsia="zh-CN"/>
        </w:rPr>
        <w:t>2、本次采购预算资金为2023年1月1日至12月31日的，成交供应商在合同签订且收到第一季度</w:t>
      </w:r>
      <w:r>
        <w:rPr>
          <w:rFonts w:hint="eastAsia" w:ascii="宋体" w:hAnsi="宋体" w:eastAsia="宋体" w:cs="宋体"/>
          <w:b/>
          <w:bCs/>
          <w:sz w:val="24"/>
          <w:szCs w:val="24"/>
          <w:highlight w:val="none"/>
        </w:rPr>
        <w:t>服务外包费</w:t>
      </w:r>
      <w:r>
        <w:rPr>
          <w:rFonts w:hint="eastAsia" w:ascii="宋体" w:hAnsi="宋体" w:eastAsia="宋体" w:cs="宋体"/>
          <w:b/>
          <w:bCs/>
          <w:sz w:val="24"/>
          <w:szCs w:val="24"/>
          <w:highlight w:val="none"/>
          <w:lang w:eastAsia="zh-CN"/>
        </w:rPr>
        <w:t>后</w:t>
      </w:r>
      <w:r>
        <w:rPr>
          <w:rFonts w:hint="eastAsia" w:ascii="宋体" w:hAnsi="宋体" w:eastAsia="宋体" w:cs="宋体"/>
          <w:b/>
          <w:bCs/>
          <w:sz w:val="24"/>
          <w:szCs w:val="24"/>
          <w:highlight w:val="none"/>
          <w:u w:val="none"/>
          <w:lang w:val="en-US" w:eastAsia="zh-CN"/>
        </w:rPr>
        <w:t>，须向高虹镇城市综合巡防服务的原服务单位支付2023年1月1日至成交供应商签订合同之日的服务费用，费用标准以本次成交金额按比例折算。</w:t>
      </w:r>
    </w:p>
    <w:p>
      <w:pPr>
        <w:pStyle w:val="60"/>
        <w:spacing w:line="360" w:lineRule="auto"/>
        <w:ind w:left="0" w:leftChars="0" w:firstLine="241" w:firstLineChars="100"/>
        <w:rPr>
          <w:rFonts w:hint="eastAsia" w:ascii="宋体" w:hAnsi="宋体" w:eastAsia="宋体" w:cs="宋体"/>
          <w:b/>
          <w:color w:val="000000"/>
          <w:sz w:val="24"/>
          <w:szCs w:val="24"/>
        </w:rPr>
      </w:pPr>
      <w:r>
        <w:rPr>
          <w:rFonts w:hint="eastAsia" w:ascii="宋体" w:hAnsi="宋体" w:eastAsia="宋体" w:cs="宋体"/>
          <w:b/>
          <w:color w:val="000000"/>
          <w:sz w:val="24"/>
          <w:szCs w:val="24"/>
          <w:lang w:eastAsia="zh-CN"/>
        </w:rPr>
        <w:t>十一</w:t>
      </w:r>
      <w:r>
        <w:rPr>
          <w:rFonts w:hint="eastAsia" w:ascii="宋体" w:hAnsi="宋体" w:eastAsia="宋体" w:cs="宋体"/>
          <w:b/>
          <w:color w:val="000000"/>
          <w:sz w:val="24"/>
          <w:szCs w:val="24"/>
        </w:rPr>
        <w:t>、合同签订</w:t>
      </w:r>
    </w:p>
    <w:p>
      <w:pPr>
        <w:pStyle w:val="60"/>
        <w:keepNext w:val="0"/>
        <w:keepLines w:val="0"/>
        <w:pageBreakBefore w:val="0"/>
        <w:widowControl w:val="0"/>
        <w:kinsoku/>
        <w:wordWrap/>
        <w:overflowPunct/>
        <w:topLinePunct w:val="0"/>
        <w:autoSpaceDE/>
        <w:autoSpaceDN/>
        <w:bidi w:val="0"/>
        <w:adjustRightInd/>
        <w:snapToGrid/>
        <w:spacing w:line="360" w:lineRule="auto"/>
        <w:ind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1、成交供应商须在成交后三十天内和采购人签订合同。 </w:t>
      </w:r>
    </w:p>
    <w:p>
      <w:pPr>
        <w:pStyle w:val="50"/>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仿宋" w:hAnsi="仿宋" w:eastAsia="仿宋" w:cs="仿宋"/>
          <w:sz w:val="24"/>
          <w:szCs w:val="24"/>
        </w:rPr>
      </w:pPr>
      <w:r>
        <w:rPr>
          <w:rFonts w:hint="eastAsia" w:ascii="宋体" w:hAnsi="宋体" w:eastAsia="宋体" w:cs="宋体"/>
          <w:color w:val="000000"/>
          <w:sz w:val="24"/>
          <w:szCs w:val="24"/>
        </w:rPr>
        <w:t>2、如成交供应商拒绝承担中标的项目，或提出采购人不能接受的条件，致使合同无法签订，采购人</w:t>
      </w:r>
      <w:r>
        <w:rPr>
          <w:rFonts w:hint="eastAsia" w:ascii="宋体" w:hAnsi="宋体" w:eastAsia="宋体" w:cs="宋体"/>
          <w:sz w:val="24"/>
          <w:szCs w:val="24"/>
        </w:rPr>
        <w:t>将对其失信行为上报至同级政府采购监督管理部门对其依法处理。</w:t>
      </w:r>
    </w:p>
    <w:p>
      <w:pPr>
        <w:spacing w:line="360" w:lineRule="auto"/>
        <w:ind w:firstLine="181" w:firstLineChars="50"/>
        <w:rPr>
          <w:rFonts w:ascii="宋体" w:hAnsi="宋体" w:cs="宋体"/>
          <w:b/>
          <w:sz w:val="36"/>
          <w:szCs w:val="36"/>
        </w:rPr>
      </w:pPr>
    </w:p>
    <w:p>
      <w:pPr>
        <w:spacing w:line="360" w:lineRule="auto"/>
        <w:rPr>
          <w:rFonts w:ascii="宋体" w:hAnsi="宋体" w:cs="宋体"/>
          <w:sz w:val="24"/>
        </w:rPr>
      </w:pPr>
    </w:p>
    <w:p>
      <w:pPr>
        <w:widowControl/>
        <w:ind w:firstLine="720" w:firstLineChars="300"/>
        <w:jc w:val="left"/>
        <w:rPr>
          <w:rFonts w:ascii="宋体" w:hAnsi="宋体" w:cs="宋体"/>
          <w:bCs/>
          <w:sz w:val="24"/>
        </w:rPr>
      </w:pPr>
    </w:p>
    <w:p>
      <w:pPr>
        <w:rPr>
          <w:rFonts w:ascii="宋体" w:hAnsi="宋体" w:cs="宋体"/>
          <w:snapToGrid w:val="0"/>
          <w:kern w:val="0"/>
          <w:sz w:val="24"/>
        </w:rPr>
      </w:pPr>
    </w:p>
    <w:p>
      <w:pPr>
        <w:spacing w:line="360" w:lineRule="auto"/>
        <w:jc w:val="center"/>
        <w:outlineLvl w:val="0"/>
        <w:rPr>
          <w:rFonts w:ascii="宋体" w:hAnsi="宋体" w:cs="宋体"/>
          <w:b/>
          <w:sz w:val="36"/>
          <w:szCs w:val="36"/>
        </w:rPr>
      </w:pPr>
      <w:r>
        <w:rPr>
          <w:rFonts w:hint="eastAsia" w:ascii="宋体" w:hAnsi="宋体" w:cs="宋体"/>
          <w:b/>
          <w:sz w:val="24"/>
        </w:rPr>
        <w:br w:type="page"/>
      </w:r>
      <w:r>
        <w:rPr>
          <w:rFonts w:hint="eastAsia" w:ascii="宋体" w:hAnsi="宋体" w:cs="宋体"/>
          <w:b/>
          <w:sz w:val="36"/>
          <w:szCs w:val="36"/>
        </w:rPr>
        <w:t xml:space="preserve">第四部分   </w:t>
      </w:r>
      <w:bookmarkStart w:id="30" w:name="_Toc184308055"/>
      <w:bookmarkEnd w:id="30"/>
      <w:bookmarkStart w:id="31" w:name="_Toc184312087"/>
      <w:bookmarkEnd w:id="31"/>
      <w:bookmarkStart w:id="32" w:name="_Toc184314453"/>
      <w:bookmarkEnd w:id="32"/>
      <w:bookmarkStart w:id="33" w:name="_Toc184308057"/>
      <w:bookmarkEnd w:id="33"/>
      <w:bookmarkStart w:id="34" w:name="_Toc184312135"/>
      <w:bookmarkEnd w:id="34"/>
      <w:bookmarkStart w:id="35" w:name="_Toc184310292"/>
      <w:bookmarkEnd w:id="35"/>
      <w:bookmarkStart w:id="36" w:name="_Toc184310330"/>
      <w:bookmarkEnd w:id="36"/>
      <w:bookmarkStart w:id="37" w:name="_Toc184313301"/>
      <w:bookmarkEnd w:id="37"/>
      <w:bookmarkStart w:id="38" w:name="_Toc184312115"/>
      <w:bookmarkEnd w:id="38"/>
      <w:bookmarkStart w:id="39" w:name="_Toc184308088"/>
      <w:bookmarkEnd w:id="39"/>
      <w:bookmarkStart w:id="40" w:name="_Toc184310343"/>
      <w:bookmarkEnd w:id="40"/>
      <w:bookmarkStart w:id="41" w:name="_Toc184313272"/>
      <w:bookmarkEnd w:id="41"/>
      <w:bookmarkStart w:id="42" w:name="_Toc184314432"/>
      <w:bookmarkEnd w:id="42"/>
      <w:bookmarkStart w:id="43" w:name="_Toc184314457"/>
      <w:bookmarkEnd w:id="43"/>
      <w:bookmarkStart w:id="44" w:name="_Toc184313287"/>
      <w:bookmarkEnd w:id="44"/>
      <w:bookmarkStart w:id="45" w:name="_Toc184310301"/>
      <w:bookmarkEnd w:id="45"/>
      <w:bookmarkStart w:id="46" w:name="_Toc184308097"/>
      <w:bookmarkEnd w:id="46"/>
      <w:bookmarkStart w:id="47" w:name="_Toc184313242"/>
      <w:bookmarkEnd w:id="47"/>
      <w:bookmarkStart w:id="48" w:name="_Toc184308094"/>
      <w:bookmarkEnd w:id="48"/>
      <w:bookmarkStart w:id="49" w:name="_Toc184312081"/>
      <w:bookmarkEnd w:id="49"/>
      <w:bookmarkStart w:id="50" w:name="_Toc184314468"/>
      <w:bookmarkEnd w:id="50"/>
      <w:bookmarkStart w:id="51" w:name="_Toc184308038"/>
      <w:bookmarkEnd w:id="51"/>
      <w:bookmarkStart w:id="52" w:name="_Toc184312105"/>
      <w:bookmarkEnd w:id="52"/>
      <w:bookmarkStart w:id="53" w:name="_Toc184308065"/>
      <w:bookmarkEnd w:id="53"/>
      <w:bookmarkStart w:id="54" w:name="_Toc184308043"/>
      <w:bookmarkEnd w:id="54"/>
      <w:bookmarkStart w:id="55" w:name="_Toc184308082"/>
      <w:bookmarkEnd w:id="55"/>
      <w:bookmarkStart w:id="56" w:name="_Toc184312108"/>
      <w:bookmarkEnd w:id="56"/>
      <w:bookmarkStart w:id="57" w:name="_Toc184314439"/>
      <w:bookmarkEnd w:id="57"/>
      <w:bookmarkStart w:id="58" w:name="_Toc184314463"/>
      <w:bookmarkEnd w:id="58"/>
      <w:bookmarkStart w:id="59" w:name="_Toc184314449"/>
      <w:bookmarkEnd w:id="59"/>
      <w:bookmarkStart w:id="60" w:name="_Toc184312067"/>
      <w:bookmarkEnd w:id="60"/>
      <w:bookmarkStart w:id="61" w:name="_Toc184310331"/>
      <w:bookmarkEnd w:id="61"/>
      <w:bookmarkStart w:id="62" w:name="_Toc184312112"/>
      <w:bookmarkEnd w:id="62"/>
      <w:bookmarkStart w:id="63" w:name="_Toc184312099"/>
      <w:bookmarkEnd w:id="63"/>
      <w:bookmarkStart w:id="64" w:name="_Toc184312114"/>
      <w:bookmarkEnd w:id="64"/>
      <w:bookmarkStart w:id="65" w:name="_Toc184314444"/>
      <w:bookmarkEnd w:id="65"/>
      <w:bookmarkStart w:id="66" w:name="_Toc184310317"/>
      <w:bookmarkEnd w:id="66"/>
      <w:bookmarkStart w:id="67" w:name="_Toc184308102"/>
      <w:bookmarkEnd w:id="67"/>
      <w:bookmarkStart w:id="68" w:name="_Toc184312123"/>
      <w:bookmarkEnd w:id="68"/>
      <w:bookmarkStart w:id="69" w:name="_Toc184314438"/>
      <w:bookmarkEnd w:id="69"/>
      <w:bookmarkStart w:id="70" w:name="_Toc184310333"/>
      <w:bookmarkEnd w:id="70"/>
      <w:bookmarkStart w:id="71" w:name="_Toc184312073"/>
      <w:bookmarkEnd w:id="71"/>
      <w:bookmarkStart w:id="72" w:name="_Toc184312097"/>
      <w:bookmarkEnd w:id="72"/>
      <w:bookmarkStart w:id="73" w:name="_Toc184312116"/>
      <w:bookmarkEnd w:id="73"/>
      <w:bookmarkStart w:id="74" w:name="_Toc184314482"/>
      <w:bookmarkEnd w:id="74"/>
      <w:bookmarkStart w:id="75" w:name="_Toc184314425"/>
      <w:bookmarkEnd w:id="75"/>
      <w:bookmarkStart w:id="76" w:name="_Toc184313248"/>
      <w:bookmarkEnd w:id="76"/>
      <w:bookmarkStart w:id="77" w:name="_Toc184313299"/>
      <w:bookmarkEnd w:id="77"/>
      <w:bookmarkStart w:id="78" w:name="_Toc184308041"/>
      <w:bookmarkEnd w:id="78"/>
      <w:bookmarkStart w:id="79" w:name="_Toc184312110"/>
      <w:bookmarkEnd w:id="79"/>
      <w:bookmarkStart w:id="80" w:name="_Toc184308059"/>
      <w:bookmarkEnd w:id="80"/>
      <w:bookmarkStart w:id="81" w:name="_Toc184312101"/>
      <w:bookmarkEnd w:id="81"/>
      <w:bookmarkStart w:id="82" w:name="_Toc184310299"/>
      <w:bookmarkEnd w:id="82"/>
      <w:bookmarkStart w:id="83" w:name="_Toc184310325"/>
      <w:bookmarkEnd w:id="83"/>
      <w:bookmarkStart w:id="84" w:name="_Toc184312089"/>
      <w:bookmarkEnd w:id="84"/>
      <w:bookmarkStart w:id="85" w:name="_Toc184314417"/>
      <w:bookmarkEnd w:id="85"/>
      <w:bookmarkStart w:id="86" w:name="_Toc184313264"/>
      <w:bookmarkEnd w:id="86"/>
      <w:bookmarkStart w:id="87" w:name="_Toc184308089"/>
      <w:bookmarkEnd w:id="87"/>
      <w:bookmarkStart w:id="88" w:name="_Toc184308066"/>
      <w:bookmarkEnd w:id="88"/>
      <w:bookmarkStart w:id="89" w:name="_Toc184313266"/>
      <w:bookmarkEnd w:id="89"/>
      <w:bookmarkStart w:id="90" w:name="_Toc184313303"/>
      <w:bookmarkEnd w:id="90"/>
      <w:bookmarkStart w:id="91" w:name="_Toc184310318"/>
      <w:bookmarkEnd w:id="91"/>
      <w:bookmarkStart w:id="92" w:name="_Toc184312070"/>
      <w:bookmarkEnd w:id="92"/>
      <w:bookmarkStart w:id="93" w:name="_Toc184313267"/>
      <w:bookmarkEnd w:id="93"/>
      <w:bookmarkStart w:id="94" w:name="_Toc184313289"/>
      <w:bookmarkEnd w:id="94"/>
      <w:bookmarkStart w:id="95" w:name="_Toc184308070"/>
      <w:bookmarkEnd w:id="95"/>
      <w:bookmarkStart w:id="96" w:name="_Toc184313253"/>
      <w:bookmarkEnd w:id="96"/>
      <w:bookmarkStart w:id="97" w:name="_Toc184312113"/>
      <w:bookmarkEnd w:id="97"/>
      <w:bookmarkStart w:id="98" w:name="_Toc184310276"/>
      <w:bookmarkEnd w:id="98"/>
      <w:bookmarkStart w:id="99" w:name="_Toc184313257"/>
      <w:bookmarkEnd w:id="99"/>
      <w:bookmarkStart w:id="100" w:name="_Toc184312102"/>
      <w:bookmarkEnd w:id="100"/>
      <w:bookmarkStart w:id="101" w:name="_Toc184313241"/>
      <w:bookmarkEnd w:id="101"/>
      <w:bookmarkStart w:id="102" w:name="_Toc184314473"/>
      <w:bookmarkEnd w:id="102"/>
      <w:bookmarkStart w:id="103" w:name="_Toc184313297"/>
      <w:bookmarkEnd w:id="103"/>
      <w:bookmarkStart w:id="104" w:name="_Toc184314458"/>
      <w:bookmarkEnd w:id="104"/>
      <w:bookmarkStart w:id="105" w:name="_Toc184314443"/>
      <w:bookmarkEnd w:id="105"/>
      <w:bookmarkStart w:id="106" w:name="_Toc184310290"/>
      <w:bookmarkEnd w:id="106"/>
      <w:bookmarkStart w:id="107" w:name="_Toc184310279"/>
      <w:bookmarkEnd w:id="107"/>
      <w:bookmarkStart w:id="108" w:name="_Toc184308037"/>
      <w:bookmarkEnd w:id="108"/>
      <w:bookmarkStart w:id="109" w:name="_Toc184313276"/>
      <w:bookmarkEnd w:id="109"/>
      <w:bookmarkStart w:id="110" w:name="_Toc184308051"/>
      <w:bookmarkEnd w:id="110"/>
      <w:bookmarkStart w:id="111" w:name="_Toc184312069"/>
      <w:bookmarkEnd w:id="111"/>
      <w:bookmarkStart w:id="112" w:name="_Toc184312072"/>
      <w:bookmarkEnd w:id="112"/>
      <w:bookmarkStart w:id="113" w:name="_Toc184313238"/>
      <w:bookmarkEnd w:id="113"/>
      <w:bookmarkStart w:id="114" w:name="_Toc184313243"/>
      <w:bookmarkEnd w:id="114"/>
      <w:bookmarkStart w:id="115" w:name="_Toc184313294"/>
      <w:bookmarkEnd w:id="115"/>
      <w:bookmarkStart w:id="116" w:name="_Toc184308044"/>
      <w:bookmarkEnd w:id="116"/>
      <w:bookmarkStart w:id="117" w:name="_Toc184313265"/>
      <w:bookmarkEnd w:id="117"/>
      <w:bookmarkStart w:id="118" w:name="_Toc184314481"/>
      <w:bookmarkEnd w:id="118"/>
      <w:bookmarkStart w:id="119" w:name="_Toc184312092"/>
      <w:bookmarkEnd w:id="119"/>
      <w:bookmarkStart w:id="120" w:name="_Toc184310311"/>
      <w:bookmarkEnd w:id="120"/>
      <w:bookmarkStart w:id="121" w:name="_Toc184308064"/>
      <w:bookmarkEnd w:id="121"/>
      <w:bookmarkStart w:id="122" w:name="_Toc184310326"/>
      <w:bookmarkEnd w:id="122"/>
      <w:bookmarkStart w:id="123" w:name="_Toc184312121"/>
      <w:bookmarkEnd w:id="123"/>
      <w:bookmarkStart w:id="124" w:name="_Toc184313239"/>
      <w:bookmarkEnd w:id="124"/>
      <w:bookmarkStart w:id="125" w:name="_Toc184310291"/>
      <w:bookmarkEnd w:id="125"/>
      <w:bookmarkStart w:id="126" w:name="_Toc184314479"/>
      <w:bookmarkEnd w:id="126"/>
      <w:bookmarkStart w:id="127" w:name="_Toc184314441"/>
      <w:bookmarkEnd w:id="127"/>
      <w:bookmarkStart w:id="128" w:name="_Toc184308042"/>
      <w:bookmarkEnd w:id="128"/>
      <w:bookmarkStart w:id="129" w:name="_Toc184308061"/>
      <w:bookmarkEnd w:id="129"/>
      <w:bookmarkStart w:id="130" w:name="_Toc184314459"/>
      <w:bookmarkEnd w:id="130"/>
      <w:bookmarkStart w:id="131" w:name="_Toc184313254"/>
      <w:bookmarkEnd w:id="131"/>
      <w:bookmarkStart w:id="132" w:name="_Toc184310341"/>
      <w:bookmarkEnd w:id="132"/>
      <w:bookmarkStart w:id="133" w:name="_Toc184310307"/>
      <w:bookmarkEnd w:id="133"/>
      <w:bookmarkStart w:id="134" w:name="_Toc184313260"/>
      <w:bookmarkEnd w:id="134"/>
      <w:bookmarkStart w:id="135" w:name="_Toc184308103"/>
      <w:bookmarkEnd w:id="135"/>
      <w:bookmarkStart w:id="136" w:name="_Toc184312085"/>
      <w:bookmarkEnd w:id="136"/>
      <w:bookmarkStart w:id="137" w:name="_Toc184312133"/>
      <w:bookmarkEnd w:id="137"/>
      <w:bookmarkStart w:id="138" w:name="_Toc184314448"/>
      <w:bookmarkEnd w:id="138"/>
      <w:bookmarkStart w:id="139" w:name="_Toc184308058"/>
      <w:bookmarkEnd w:id="139"/>
      <w:bookmarkStart w:id="140" w:name="_Toc184314412"/>
      <w:bookmarkEnd w:id="140"/>
      <w:bookmarkStart w:id="141" w:name="_Toc184312100"/>
      <w:bookmarkEnd w:id="141"/>
      <w:bookmarkStart w:id="142" w:name="_Toc184314470"/>
      <w:bookmarkEnd w:id="142"/>
      <w:bookmarkStart w:id="143" w:name="_Toc184308086"/>
      <w:bookmarkEnd w:id="143"/>
      <w:bookmarkStart w:id="144" w:name="_Toc184314445"/>
      <w:bookmarkEnd w:id="144"/>
      <w:bookmarkStart w:id="145" w:name="_Toc184310286"/>
      <w:bookmarkEnd w:id="145"/>
      <w:bookmarkStart w:id="146" w:name="_Toc184314469"/>
      <w:bookmarkEnd w:id="146"/>
      <w:bookmarkStart w:id="147" w:name="_Toc184312111"/>
      <w:bookmarkEnd w:id="147"/>
      <w:bookmarkStart w:id="148" w:name="_Toc184310309"/>
      <w:bookmarkEnd w:id="148"/>
      <w:bookmarkStart w:id="149" w:name="_Toc184314422"/>
      <w:bookmarkEnd w:id="149"/>
      <w:bookmarkStart w:id="150" w:name="_Toc184314436"/>
      <w:bookmarkEnd w:id="150"/>
      <w:bookmarkStart w:id="151" w:name="_Toc184313270"/>
      <w:bookmarkEnd w:id="151"/>
      <w:bookmarkStart w:id="152" w:name="_Toc184312096"/>
      <w:bookmarkEnd w:id="152"/>
      <w:bookmarkStart w:id="153" w:name="_Toc184312095"/>
      <w:bookmarkEnd w:id="153"/>
      <w:bookmarkStart w:id="154" w:name="_Toc184310277"/>
      <w:bookmarkEnd w:id="154"/>
      <w:bookmarkStart w:id="155" w:name="_Toc184314450"/>
      <w:bookmarkEnd w:id="155"/>
      <w:bookmarkStart w:id="156" w:name="_Toc184314465"/>
      <w:bookmarkEnd w:id="156"/>
      <w:bookmarkStart w:id="157" w:name="_Toc184313300"/>
      <w:bookmarkEnd w:id="157"/>
      <w:bookmarkStart w:id="158" w:name="_Toc184308054"/>
      <w:bookmarkEnd w:id="158"/>
      <w:bookmarkStart w:id="159" w:name="_Toc184308056"/>
      <w:bookmarkEnd w:id="159"/>
      <w:bookmarkStart w:id="160" w:name="_Toc184310339"/>
      <w:bookmarkEnd w:id="160"/>
      <w:bookmarkStart w:id="161" w:name="_Toc184312068"/>
      <w:bookmarkEnd w:id="161"/>
      <w:bookmarkStart w:id="162" w:name="_Toc184313259"/>
      <w:bookmarkEnd w:id="162"/>
      <w:bookmarkStart w:id="163" w:name="_Toc184308048"/>
      <w:bookmarkEnd w:id="163"/>
      <w:bookmarkStart w:id="164" w:name="_Toc184308091"/>
      <w:bookmarkEnd w:id="164"/>
      <w:bookmarkStart w:id="165" w:name="_Toc184314447"/>
      <w:bookmarkEnd w:id="165"/>
      <w:bookmarkStart w:id="166" w:name="_Toc184314440"/>
      <w:bookmarkEnd w:id="166"/>
      <w:bookmarkStart w:id="167" w:name="_Toc184310335"/>
      <w:bookmarkEnd w:id="167"/>
      <w:bookmarkStart w:id="168" w:name="_Toc184314466"/>
      <w:bookmarkEnd w:id="168"/>
      <w:bookmarkStart w:id="169" w:name="_Toc184314431"/>
      <w:bookmarkEnd w:id="169"/>
      <w:bookmarkStart w:id="170" w:name="_Toc184312082"/>
      <w:bookmarkEnd w:id="170"/>
      <w:bookmarkStart w:id="171" w:name="_Toc184313262"/>
      <w:bookmarkEnd w:id="171"/>
      <w:bookmarkStart w:id="172" w:name="_Toc184310300"/>
      <w:bookmarkEnd w:id="172"/>
      <w:bookmarkStart w:id="173" w:name="_Toc184308106"/>
      <w:bookmarkEnd w:id="173"/>
      <w:bookmarkStart w:id="174" w:name="_Toc184308092"/>
      <w:bookmarkEnd w:id="174"/>
      <w:bookmarkStart w:id="175" w:name="_Toc184310322"/>
      <w:bookmarkEnd w:id="175"/>
      <w:bookmarkStart w:id="176" w:name="_Toc184312137"/>
      <w:bookmarkEnd w:id="176"/>
      <w:bookmarkStart w:id="177" w:name="_Toc184308105"/>
      <w:bookmarkEnd w:id="177"/>
      <w:bookmarkStart w:id="178" w:name="_Toc184312074"/>
      <w:bookmarkEnd w:id="178"/>
      <w:bookmarkStart w:id="179" w:name="_Toc184314428"/>
      <w:bookmarkEnd w:id="179"/>
      <w:bookmarkStart w:id="180" w:name="_Toc184312139"/>
      <w:bookmarkEnd w:id="180"/>
      <w:bookmarkStart w:id="181" w:name="_Toc184313245"/>
      <w:bookmarkEnd w:id="181"/>
      <w:bookmarkStart w:id="182" w:name="_Toc184312122"/>
      <w:bookmarkEnd w:id="182"/>
      <w:bookmarkStart w:id="183" w:name="_Toc184308067"/>
      <w:bookmarkEnd w:id="183"/>
      <w:bookmarkStart w:id="184" w:name="_Toc184310344"/>
      <w:bookmarkEnd w:id="184"/>
      <w:bookmarkStart w:id="185" w:name="_Toc184312076"/>
      <w:bookmarkEnd w:id="185"/>
      <w:bookmarkStart w:id="186" w:name="_Toc184308090"/>
      <w:bookmarkEnd w:id="186"/>
      <w:bookmarkStart w:id="187" w:name="_Toc184310289"/>
      <w:bookmarkEnd w:id="187"/>
      <w:bookmarkStart w:id="188" w:name="_Toc184313298"/>
      <w:bookmarkEnd w:id="188"/>
      <w:bookmarkStart w:id="189" w:name="_Toc184310297"/>
      <w:bookmarkEnd w:id="189"/>
      <w:bookmarkStart w:id="190" w:name="_Toc184313274"/>
      <w:bookmarkEnd w:id="190"/>
      <w:bookmarkStart w:id="191" w:name="_Toc184310281"/>
      <w:bookmarkEnd w:id="191"/>
      <w:bookmarkStart w:id="192" w:name="_Toc184313261"/>
      <w:bookmarkEnd w:id="192"/>
      <w:bookmarkStart w:id="193" w:name="_Toc184308045"/>
      <w:bookmarkEnd w:id="193"/>
      <w:bookmarkStart w:id="194" w:name="_Toc184310308"/>
      <w:bookmarkEnd w:id="194"/>
      <w:bookmarkStart w:id="195" w:name="_Toc184313288"/>
      <w:bookmarkEnd w:id="195"/>
      <w:bookmarkStart w:id="196" w:name="_Toc184312107"/>
      <w:bookmarkEnd w:id="196"/>
      <w:bookmarkStart w:id="197" w:name="_Toc184312083"/>
      <w:bookmarkEnd w:id="197"/>
      <w:bookmarkStart w:id="198" w:name="_Toc184312128"/>
      <w:bookmarkEnd w:id="198"/>
      <w:bookmarkStart w:id="199" w:name="_Toc184313249"/>
      <w:bookmarkEnd w:id="199"/>
      <w:bookmarkStart w:id="200" w:name="_Toc184308093"/>
      <w:bookmarkEnd w:id="200"/>
      <w:bookmarkStart w:id="201" w:name="_Toc184312098"/>
      <w:bookmarkEnd w:id="201"/>
      <w:bookmarkStart w:id="202" w:name="_Toc184314477"/>
      <w:bookmarkEnd w:id="202"/>
      <w:bookmarkStart w:id="203" w:name="_Toc184308108"/>
      <w:bookmarkEnd w:id="203"/>
      <w:bookmarkStart w:id="204" w:name="_Toc184308096"/>
      <w:bookmarkEnd w:id="204"/>
      <w:bookmarkStart w:id="205" w:name="_Toc184314446"/>
      <w:bookmarkEnd w:id="205"/>
      <w:bookmarkStart w:id="206" w:name="_Toc184312125"/>
      <w:bookmarkEnd w:id="206"/>
      <w:bookmarkStart w:id="207" w:name="_Toc184314462"/>
      <w:bookmarkEnd w:id="207"/>
      <w:bookmarkStart w:id="208" w:name="_Toc184312079"/>
      <w:bookmarkEnd w:id="208"/>
      <w:bookmarkStart w:id="209" w:name="_Toc184314460"/>
      <w:bookmarkEnd w:id="209"/>
      <w:bookmarkStart w:id="210" w:name="_Toc184313293"/>
      <w:bookmarkEnd w:id="210"/>
      <w:bookmarkStart w:id="211" w:name="_Toc184310336"/>
      <w:bookmarkEnd w:id="211"/>
      <w:bookmarkStart w:id="212" w:name="_Toc184314416"/>
      <w:bookmarkEnd w:id="212"/>
      <w:bookmarkStart w:id="213" w:name="_Toc184313251"/>
      <w:bookmarkEnd w:id="213"/>
      <w:bookmarkStart w:id="214" w:name="_Toc184314454"/>
      <w:bookmarkEnd w:id="214"/>
      <w:bookmarkStart w:id="215" w:name="_Toc184314442"/>
      <w:bookmarkEnd w:id="215"/>
      <w:bookmarkStart w:id="216" w:name="_Toc184312120"/>
      <w:bookmarkEnd w:id="216"/>
      <w:bookmarkStart w:id="217" w:name="_Toc184310321"/>
      <w:bookmarkEnd w:id="217"/>
      <w:bookmarkStart w:id="218" w:name="_Toc184314419"/>
      <w:bookmarkEnd w:id="218"/>
      <w:bookmarkStart w:id="219" w:name="_Toc184308078"/>
      <w:bookmarkEnd w:id="219"/>
      <w:bookmarkStart w:id="220" w:name="_Toc184312106"/>
      <w:bookmarkEnd w:id="220"/>
      <w:bookmarkStart w:id="221" w:name="_Toc184308083"/>
      <w:bookmarkEnd w:id="221"/>
      <w:bookmarkStart w:id="222" w:name="_Toc184310328"/>
      <w:bookmarkEnd w:id="222"/>
      <w:bookmarkStart w:id="223" w:name="_Toc184314461"/>
      <w:bookmarkEnd w:id="223"/>
      <w:bookmarkStart w:id="224" w:name="_Toc184314433"/>
      <w:bookmarkEnd w:id="224"/>
      <w:bookmarkStart w:id="225" w:name="_Toc184308107"/>
      <w:bookmarkEnd w:id="225"/>
      <w:bookmarkStart w:id="226" w:name="_Toc184313277"/>
      <w:bookmarkEnd w:id="226"/>
      <w:bookmarkStart w:id="227" w:name="_Toc184313247"/>
      <w:bookmarkEnd w:id="227"/>
      <w:bookmarkStart w:id="228" w:name="_Toc184310338"/>
      <w:bookmarkEnd w:id="228"/>
      <w:bookmarkStart w:id="229" w:name="_Toc184310283"/>
      <w:bookmarkEnd w:id="229"/>
      <w:bookmarkStart w:id="230" w:name="_Toc184313263"/>
      <w:bookmarkEnd w:id="230"/>
      <w:bookmarkStart w:id="231" w:name="_Toc184313250"/>
      <w:bookmarkEnd w:id="231"/>
      <w:bookmarkStart w:id="232" w:name="_Toc184314452"/>
      <w:bookmarkEnd w:id="232"/>
      <w:bookmarkStart w:id="233" w:name="_Toc184314434"/>
      <w:bookmarkEnd w:id="233"/>
      <w:bookmarkStart w:id="234" w:name="_Toc184312093"/>
      <w:bookmarkEnd w:id="234"/>
      <w:bookmarkStart w:id="235" w:name="_Toc184310287"/>
      <w:bookmarkEnd w:id="235"/>
      <w:bookmarkStart w:id="236" w:name="_Toc184310329"/>
      <w:bookmarkEnd w:id="236"/>
      <w:bookmarkStart w:id="237" w:name="_Toc184314474"/>
      <w:bookmarkEnd w:id="237"/>
      <w:bookmarkStart w:id="238" w:name="_Toc184313273"/>
      <w:bookmarkEnd w:id="238"/>
      <w:bookmarkStart w:id="239" w:name="_Toc184314456"/>
      <w:bookmarkEnd w:id="239"/>
      <w:bookmarkStart w:id="240" w:name="_Toc184314478"/>
      <w:bookmarkEnd w:id="240"/>
      <w:bookmarkStart w:id="241" w:name="_Toc184313302"/>
      <w:bookmarkEnd w:id="241"/>
      <w:bookmarkStart w:id="242" w:name="_Toc184308081"/>
      <w:bookmarkEnd w:id="242"/>
      <w:bookmarkStart w:id="243" w:name="_Toc184314420"/>
      <w:bookmarkEnd w:id="243"/>
      <w:bookmarkStart w:id="244" w:name="_Toc184310275"/>
      <w:bookmarkEnd w:id="244"/>
      <w:bookmarkStart w:id="245" w:name="_Toc184312075"/>
      <w:bookmarkEnd w:id="245"/>
      <w:bookmarkStart w:id="246" w:name="_Toc184313280"/>
      <w:bookmarkEnd w:id="246"/>
      <w:bookmarkStart w:id="247" w:name="_Toc184312127"/>
      <w:bookmarkEnd w:id="247"/>
      <w:bookmarkStart w:id="248" w:name="_Toc184312118"/>
      <w:bookmarkEnd w:id="248"/>
      <w:bookmarkStart w:id="249" w:name="_Toc184313290"/>
      <w:bookmarkEnd w:id="249"/>
      <w:bookmarkStart w:id="250" w:name="_Toc184310323"/>
      <w:bookmarkEnd w:id="250"/>
      <w:bookmarkStart w:id="251" w:name="_Toc184313304"/>
      <w:bookmarkEnd w:id="251"/>
      <w:bookmarkStart w:id="252" w:name="_Toc184314464"/>
      <w:bookmarkEnd w:id="252"/>
      <w:bookmarkStart w:id="253" w:name="_Toc184308095"/>
      <w:bookmarkEnd w:id="253"/>
      <w:bookmarkStart w:id="254" w:name="_Toc184310278"/>
      <w:bookmarkEnd w:id="254"/>
      <w:bookmarkStart w:id="255" w:name="_Toc184312078"/>
      <w:bookmarkEnd w:id="255"/>
      <w:bookmarkStart w:id="256" w:name="_Toc184308063"/>
      <w:bookmarkEnd w:id="256"/>
      <w:bookmarkStart w:id="257" w:name="_Toc184314418"/>
      <w:bookmarkEnd w:id="257"/>
      <w:bookmarkStart w:id="258" w:name="_Toc184310284"/>
      <w:bookmarkEnd w:id="258"/>
      <w:bookmarkStart w:id="259" w:name="_Toc184314427"/>
      <w:bookmarkEnd w:id="259"/>
      <w:bookmarkStart w:id="260" w:name="_Toc184308036"/>
      <w:bookmarkEnd w:id="260"/>
      <w:bookmarkStart w:id="261" w:name="_Toc184310334"/>
      <w:bookmarkEnd w:id="261"/>
      <w:bookmarkStart w:id="262" w:name="_Toc184308072"/>
      <w:bookmarkEnd w:id="262"/>
      <w:bookmarkStart w:id="263" w:name="_Toc184314414"/>
      <w:bookmarkEnd w:id="263"/>
      <w:bookmarkStart w:id="264" w:name="_Toc184310324"/>
      <w:bookmarkEnd w:id="264"/>
      <w:bookmarkStart w:id="265" w:name="_Toc184310320"/>
      <w:bookmarkEnd w:id="265"/>
      <w:bookmarkStart w:id="266" w:name="_Toc184312131"/>
      <w:bookmarkEnd w:id="266"/>
      <w:bookmarkStart w:id="267" w:name="_Toc184308074"/>
      <w:bookmarkEnd w:id="267"/>
      <w:bookmarkStart w:id="268" w:name="_Toc184313310"/>
      <w:bookmarkEnd w:id="268"/>
      <w:bookmarkStart w:id="269" w:name="_Toc184310296"/>
      <w:bookmarkEnd w:id="269"/>
      <w:bookmarkStart w:id="270" w:name="_Toc184312071"/>
      <w:bookmarkEnd w:id="270"/>
      <w:bookmarkStart w:id="271" w:name="_Toc184308104"/>
      <w:bookmarkEnd w:id="271"/>
      <w:bookmarkStart w:id="272" w:name="_Toc184313278"/>
      <w:bookmarkEnd w:id="272"/>
      <w:bookmarkStart w:id="273" w:name="_Toc184310332"/>
      <w:bookmarkEnd w:id="273"/>
      <w:bookmarkStart w:id="274" w:name="_Toc184310272"/>
      <w:bookmarkEnd w:id="274"/>
      <w:bookmarkStart w:id="275" w:name="_Toc184310303"/>
      <w:bookmarkEnd w:id="275"/>
      <w:bookmarkStart w:id="276" w:name="_Toc184313279"/>
      <w:bookmarkEnd w:id="276"/>
      <w:bookmarkStart w:id="277" w:name="_Toc184308100"/>
      <w:bookmarkEnd w:id="277"/>
      <w:bookmarkStart w:id="278" w:name="_Toc184310304"/>
      <w:bookmarkEnd w:id="278"/>
      <w:bookmarkStart w:id="279" w:name="_Toc184310312"/>
      <w:bookmarkEnd w:id="279"/>
      <w:bookmarkStart w:id="280" w:name="_Toc184312124"/>
      <w:bookmarkEnd w:id="280"/>
      <w:bookmarkStart w:id="281" w:name="_Toc184308069"/>
      <w:bookmarkEnd w:id="281"/>
      <w:bookmarkStart w:id="282" w:name="_Toc184312077"/>
      <w:bookmarkEnd w:id="282"/>
      <w:bookmarkStart w:id="283" w:name="_Toc184312091"/>
      <w:bookmarkEnd w:id="283"/>
      <w:bookmarkStart w:id="284" w:name="_Toc184314476"/>
      <w:bookmarkEnd w:id="284"/>
      <w:bookmarkStart w:id="285" w:name="_Toc184308099"/>
      <w:bookmarkEnd w:id="285"/>
      <w:bookmarkStart w:id="286" w:name="_Toc184312132"/>
      <w:bookmarkEnd w:id="286"/>
      <w:bookmarkStart w:id="287" w:name="_Toc184314424"/>
      <w:bookmarkEnd w:id="287"/>
      <w:bookmarkStart w:id="288" w:name="_Toc184312104"/>
      <w:bookmarkEnd w:id="288"/>
      <w:bookmarkStart w:id="289" w:name="_Toc184314437"/>
      <w:bookmarkEnd w:id="289"/>
      <w:bookmarkStart w:id="290" w:name="_Toc184314413"/>
      <w:bookmarkEnd w:id="290"/>
      <w:bookmarkStart w:id="291" w:name="_Toc184308077"/>
      <w:bookmarkEnd w:id="291"/>
      <w:bookmarkStart w:id="292" w:name="_Toc184313286"/>
      <w:bookmarkEnd w:id="292"/>
      <w:bookmarkStart w:id="293" w:name="_Toc184312129"/>
      <w:bookmarkEnd w:id="293"/>
      <w:bookmarkStart w:id="294" w:name="_Toc184314475"/>
      <w:bookmarkEnd w:id="294"/>
      <w:bookmarkStart w:id="295" w:name="_Toc184310282"/>
      <w:bookmarkEnd w:id="295"/>
      <w:bookmarkStart w:id="296" w:name="_Toc184313246"/>
      <w:bookmarkEnd w:id="296"/>
      <w:bookmarkStart w:id="297" w:name="_Toc184312084"/>
      <w:bookmarkEnd w:id="297"/>
      <w:bookmarkStart w:id="298" w:name="_Toc184312136"/>
      <w:bookmarkEnd w:id="298"/>
      <w:bookmarkStart w:id="299" w:name="_Toc184313291"/>
      <w:bookmarkEnd w:id="299"/>
      <w:bookmarkStart w:id="300" w:name="_Toc184310314"/>
      <w:bookmarkEnd w:id="300"/>
      <w:bookmarkStart w:id="301" w:name="_Toc184312117"/>
      <w:bookmarkEnd w:id="301"/>
      <w:bookmarkStart w:id="302" w:name="_Toc184314415"/>
      <w:bookmarkEnd w:id="302"/>
      <w:bookmarkStart w:id="303" w:name="_Toc184310294"/>
      <w:bookmarkEnd w:id="303"/>
      <w:bookmarkStart w:id="304" w:name="_Toc184310313"/>
      <w:bookmarkEnd w:id="304"/>
      <w:bookmarkStart w:id="305" w:name="_Toc184308046"/>
      <w:bookmarkEnd w:id="305"/>
      <w:bookmarkStart w:id="306" w:name="_Toc184308101"/>
      <w:bookmarkEnd w:id="306"/>
      <w:bookmarkStart w:id="307" w:name="_Toc184310305"/>
      <w:bookmarkEnd w:id="307"/>
      <w:bookmarkStart w:id="308" w:name="_Toc184314451"/>
      <w:bookmarkEnd w:id="308"/>
      <w:bookmarkStart w:id="309" w:name="_Toc184313282"/>
      <w:bookmarkEnd w:id="309"/>
      <w:bookmarkStart w:id="310" w:name="_Toc184308085"/>
      <w:bookmarkEnd w:id="310"/>
      <w:bookmarkStart w:id="311" w:name="_Toc184308049"/>
      <w:bookmarkEnd w:id="311"/>
      <w:bookmarkStart w:id="312" w:name="_Toc184310273"/>
      <w:bookmarkEnd w:id="312"/>
      <w:bookmarkStart w:id="313" w:name="_Toc184312090"/>
      <w:bookmarkEnd w:id="313"/>
      <w:bookmarkStart w:id="314" w:name="_Toc184312094"/>
      <w:bookmarkEnd w:id="314"/>
      <w:bookmarkStart w:id="315" w:name="_Toc184314467"/>
      <w:bookmarkEnd w:id="315"/>
      <w:bookmarkStart w:id="316" w:name="_Toc184314430"/>
      <w:bookmarkEnd w:id="316"/>
      <w:bookmarkStart w:id="317" w:name="_Toc184312130"/>
      <w:bookmarkEnd w:id="317"/>
      <w:bookmarkStart w:id="318" w:name="_Toc184314472"/>
      <w:bookmarkEnd w:id="318"/>
      <w:bookmarkStart w:id="319" w:name="_Toc184308047"/>
      <w:bookmarkEnd w:id="319"/>
      <w:bookmarkStart w:id="320" w:name="_Toc184313284"/>
      <w:bookmarkEnd w:id="320"/>
      <w:bookmarkStart w:id="321" w:name="_Toc184310288"/>
      <w:bookmarkEnd w:id="321"/>
      <w:bookmarkStart w:id="322" w:name="_Toc184313258"/>
      <w:bookmarkEnd w:id="322"/>
      <w:bookmarkStart w:id="323" w:name="_Toc184313256"/>
      <w:bookmarkEnd w:id="323"/>
      <w:bookmarkStart w:id="324" w:name="_Toc184308080"/>
      <w:bookmarkEnd w:id="324"/>
      <w:bookmarkStart w:id="325" w:name="_Toc184314423"/>
      <w:bookmarkEnd w:id="325"/>
      <w:bookmarkStart w:id="326" w:name="_Toc184313244"/>
      <w:bookmarkEnd w:id="326"/>
      <w:bookmarkStart w:id="327" w:name="_Toc184308071"/>
      <w:bookmarkEnd w:id="327"/>
      <w:bookmarkStart w:id="328" w:name="_Toc184314435"/>
      <w:bookmarkEnd w:id="328"/>
      <w:bookmarkStart w:id="329" w:name="_Toc184310340"/>
      <w:bookmarkEnd w:id="329"/>
      <w:bookmarkStart w:id="330" w:name="_Toc184310310"/>
      <w:bookmarkEnd w:id="330"/>
      <w:bookmarkStart w:id="331" w:name="_Toc184308052"/>
      <w:bookmarkEnd w:id="331"/>
      <w:bookmarkStart w:id="332" w:name="_Toc184310280"/>
      <w:bookmarkEnd w:id="332"/>
      <w:bookmarkStart w:id="333" w:name="_Toc184310327"/>
      <w:bookmarkEnd w:id="333"/>
      <w:bookmarkStart w:id="334" w:name="_Toc184310285"/>
      <w:bookmarkEnd w:id="334"/>
      <w:bookmarkStart w:id="335" w:name="_Toc184313269"/>
      <w:bookmarkEnd w:id="335"/>
      <w:bookmarkStart w:id="336" w:name="_Toc184308060"/>
      <w:bookmarkEnd w:id="336"/>
      <w:bookmarkStart w:id="337" w:name="_Toc184313305"/>
      <w:bookmarkEnd w:id="337"/>
      <w:bookmarkStart w:id="338" w:name="_Toc184312086"/>
      <w:bookmarkEnd w:id="338"/>
      <w:bookmarkStart w:id="339" w:name="_Toc184313285"/>
      <w:bookmarkEnd w:id="339"/>
      <w:bookmarkStart w:id="340" w:name="_Toc184314480"/>
      <w:bookmarkEnd w:id="340"/>
      <w:bookmarkStart w:id="341" w:name="_Toc184313295"/>
      <w:bookmarkEnd w:id="341"/>
      <w:bookmarkStart w:id="342" w:name="_Toc184312126"/>
      <w:bookmarkEnd w:id="342"/>
      <w:bookmarkStart w:id="343" w:name="_Toc184314421"/>
      <w:bookmarkEnd w:id="343"/>
      <w:bookmarkStart w:id="344" w:name="_Toc184310295"/>
      <w:bookmarkEnd w:id="344"/>
      <w:bookmarkStart w:id="345" w:name="_Toc184314429"/>
      <w:bookmarkEnd w:id="345"/>
      <w:bookmarkStart w:id="346" w:name="_Toc184310342"/>
      <w:bookmarkEnd w:id="346"/>
      <w:bookmarkStart w:id="347" w:name="_Toc184313306"/>
      <w:bookmarkEnd w:id="347"/>
      <w:bookmarkStart w:id="348" w:name="_Toc184310319"/>
      <w:bookmarkEnd w:id="348"/>
      <w:bookmarkStart w:id="349" w:name="_Toc184314455"/>
      <w:bookmarkEnd w:id="349"/>
      <w:bookmarkStart w:id="350" w:name="_Toc184308079"/>
      <w:bookmarkEnd w:id="350"/>
      <w:bookmarkStart w:id="351" w:name="_Toc184312103"/>
      <w:bookmarkEnd w:id="351"/>
      <w:bookmarkStart w:id="352" w:name="_Toc184313252"/>
      <w:bookmarkEnd w:id="352"/>
      <w:bookmarkStart w:id="353" w:name="_Toc184310337"/>
      <w:bookmarkEnd w:id="353"/>
      <w:bookmarkStart w:id="354" w:name="_Toc184308075"/>
      <w:bookmarkEnd w:id="354"/>
      <w:bookmarkStart w:id="355" w:name="_Toc184314411"/>
      <w:bookmarkEnd w:id="355"/>
      <w:bookmarkStart w:id="356" w:name="_Toc184310315"/>
      <w:bookmarkEnd w:id="356"/>
      <w:bookmarkStart w:id="357" w:name="_Toc184314471"/>
      <w:bookmarkEnd w:id="357"/>
      <w:bookmarkStart w:id="358" w:name="_Toc184310293"/>
      <w:bookmarkEnd w:id="358"/>
      <w:bookmarkStart w:id="359" w:name="_Toc184308053"/>
      <w:bookmarkEnd w:id="359"/>
      <w:bookmarkStart w:id="360" w:name="_Toc184313309"/>
      <w:bookmarkEnd w:id="360"/>
      <w:bookmarkStart w:id="361" w:name="_Toc184308040"/>
      <w:bookmarkEnd w:id="361"/>
      <w:bookmarkStart w:id="362" w:name="_Toc184308098"/>
      <w:bookmarkEnd w:id="362"/>
      <w:bookmarkStart w:id="363" w:name="_Toc184310298"/>
      <w:bookmarkEnd w:id="363"/>
      <w:bookmarkStart w:id="364" w:name="_Toc184314426"/>
      <w:bookmarkEnd w:id="364"/>
      <w:bookmarkStart w:id="365" w:name="_Toc184312134"/>
      <w:bookmarkEnd w:id="365"/>
      <w:bookmarkStart w:id="366" w:name="_Toc184308073"/>
      <w:bookmarkEnd w:id="366"/>
      <w:bookmarkStart w:id="367" w:name="_Toc184313268"/>
      <w:bookmarkEnd w:id="367"/>
      <w:bookmarkStart w:id="368" w:name="_Toc184313307"/>
      <w:bookmarkEnd w:id="368"/>
      <w:bookmarkStart w:id="369" w:name="_Toc184308039"/>
      <w:bookmarkEnd w:id="369"/>
      <w:bookmarkStart w:id="370" w:name="_Toc184312080"/>
      <w:bookmarkEnd w:id="370"/>
      <w:bookmarkStart w:id="371" w:name="_Toc184313275"/>
      <w:bookmarkEnd w:id="371"/>
      <w:bookmarkStart w:id="372" w:name="_Toc184310274"/>
      <w:bookmarkEnd w:id="372"/>
      <w:bookmarkStart w:id="373" w:name="_Toc184313240"/>
      <w:bookmarkEnd w:id="373"/>
      <w:bookmarkStart w:id="374" w:name="_Toc184310302"/>
      <w:bookmarkEnd w:id="374"/>
      <w:bookmarkStart w:id="375" w:name="_Toc184312088"/>
      <w:bookmarkEnd w:id="375"/>
      <w:bookmarkStart w:id="376" w:name="_Toc184308084"/>
      <w:bookmarkEnd w:id="376"/>
      <w:bookmarkStart w:id="377" w:name="_Toc184310316"/>
      <w:bookmarkEnd w:id="377"/>
      <w:bookmarkStart w:id="378" w:name="_Toc184308062"/>
      <w:bookmarkEnd w:id="378"/>
      <w:bookmarkStart w:id="379" w:name="_Toc184313292"/>
      <w:bookmarkEnd w:id="379"/>
      <w:bookmarkStart w:id="380" w:name="_Toc184310306"/>
      <w:bookmarkEnd w:id="380"/>
      <w:bookmarkStart w:id="381" w:name="_Toc184313283"/>
      <w:bookmarkEnd w:id="381"/>
      <w:bookmarkStart w:id="382" w:name="_Toc184313296"/>
      <w:bookmarkEnd w:id="382"/>
      <w:bookmarkStart w:id="383" w:name="_Toc184308068"/>
      <w:bookmarkEnd w:id="383"/>
      <w:bookmarkStart w:id="384" w:name="_Toc184313255"/>
      <w:bookmarkEnd w:id="384"/>
      <w:bookmarkStart w:id="385" w:name="_Toc184308087"/>
      <w:bookmarkEnd w:id="385"/>
      <w:bookmarkStart w:id="386" w:name="_Toc184308076"/>
      <w:bookmarkEnd w:id="386"/>
      <w:bookmarkStart w:id="387" w:name="_Toc184313308"/>
      <w:bookmarkEnd w:id="387"/>
      <w:bookmarkStart w:id="388" w:name="_Toc184312119"/>
      <w:bookmarkEnd w:id="388"/>
      <w:bookmarkStart w:id="389" w:name="_Toc184308050"/>
      <w:bookmarkEnd w:id="389"/>
      <w:bookmarkStart w:id="390" w:name="_Toc184312138"/>
      <w:bookmarkEnd w:id="390"/>
      <w:bookmarkStart w:id="391" w:name="_Toc184314410"/>
      <w:bookmarkEnd w:id="391"/>
      <w:bookmarkStart w:id="392" w:name="_Toc184313281"/>
      <w:bookmarkEnd w:id="392"/>
      <w:bookmarkStart w:id="393" w:name="_Toc184313271"/>
      <w:bookmarkEnd w:id="393"/>
      <w:bookmarkStart w:id="394" w:name="_Toc184312109"/>
      <w:bookmarkEnd w:id="394"/>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3"/>
        <w:tblW w:w="9560" w:type="dxa"/>
        <w:tblInd w:w="-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4760"/>
        <w:gridCol w:w="620"/>
        <w:gridCol w:w="124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snapToGrid w:val="0"/>
              <w:spacing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序号</w:t>
            </w:r>
          </w:p>
        </w:tc>
        <w:tc>
          <w:tcPr>
            <w:tcW w:w="4760" w:type="dxa"/>
            <w:vAlign w:val="center"/>
          </w:tcPr>
          <w:p>
            <w:pPr>
              <w:snapToGrid w:val="0"/>
              <w:spacing w:line="360" w:lineRule="auto"/>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评标标准</w:t>
            </w:r>
          </w:p>
        </w:tc>
        <w:tc>
          <w:tcPr>
            <w:tcW w:w="620" w:type="dxa"/>
            <w:vAlign w:val="center"/>
          </w:tcPr>
          <w:p>
            <w:pPr>
              <w:snapToGrid w:val="0"/>
              <w:spacing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权重</w:t>
            </w:r>
          </w:p>
        </w:tc>
        <w:tc>
          <w:tcPr>
            <w:tcW w:w="1240" w:type="dxa"/>
            <w:vAlign w:val="center"/>
          </w:tcPr>
          <w:p>
            <w:pPr>
              <w:snapToGrid w:val="0"/>
              <w:spacing w:line="360" w:lineRule="auto"/>
              <w:jc w:val="center"/>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主观分/客观分属性</w:t>
            </w:r>
          </w:p>
        </w:tc>
        <w:tc>
          <w:tcPr>
            <w:tcW w:w="2080" w:type="dxa"/>
          </w:tcPr>
          <w:p>
            <w:pPr>
              <w:snapToGrid w:val="0"/>
              <w:spacing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Cs/>
                <w:color w:val="auto"/>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snapToGrid w:val="0"/>
              <w:spacing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1</w:t>
            </w:r>
          </w:p>
        </w:tc>
        <w:tc>
          <w:tcPr>
            <w:tcW w:w="4760" w:type="dxa"/>
            <w:vAlign w:val="center"/>
          </w:tcPr>
          <w:p>
            <w:pPr>
              <w:jc w:val="left"/>
              <w:outlineLvl w:val="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投标人</w:t>
            </w:r>
            <w:r>
              <w:rPr>
                <w:rFonts w:hint="eastAsia" w:asciiTheme="minorEastAsia" w:hAnsiTheme="minorEastAsia" w:eastAsiaTheme="minorEastAsia" w:cstheme="minorEastAsia"/>
                <w:color w:val="auto"/>
                <w:sz w:val="24"/>
              </w:rPr>
              <w:t>自2020年1月1日</w:t>
            </w:r>
            <w:r>
              <w:rPr>
                <w:rFonts w:hint="eastAsia" w:asciiTheme="minorEastAsia" w:hAnsiTheme="minorEastAsia" w:eastAsiaTheme="minorEastAsia" w:cstheme="minorEastAsia"/>
                <w:color w:val="auto"/>
                <w:sz w:val="24"/>
                <w:lang w:val="en-US" w:eastAsia="zh-CN"/>
              </w:rPr>
              <w:t>至今</w:t>
            </w:r>
            <w:r>
              <w:rPr>
                <w:rFonts w:hint="eastAsia" w:asciiTheme="minorEastAsia" w:hAnsiTheme="minorEastAsia" w:eastAsiaTheme="minorEastAsia" w:cstheme="minorEastAsia"/>
                <w:color w:val="auto"/>
                <w:sz w:val="24"/>
              </w:rPr>
              <w:t>（以合同签订日期为准）承接过的类似项目，每提供一个得</w:t>
            </w:r>
            <w:r>
              <w:rPr>
                <w:rFonts w:hint="eastAsia" w:asciiTheme="minorEastAsia" w:hAnsiTheme="minorEastAsia" w:eastAsiaTheme="minorEastAsia" w:cstheme="minorEastAsia"/>
                <w:color w:val="auto"/>
                <w:sz w:val="24"/>
                <w:lang w:val="en-US" w:eastAsia="zh-CN"/>
              </w:rPr>
              <w:t>0.2</w:t>
            </w:r>
            <w:r>
              <w:rPr>
                <w:rFonts w:hint="eastAsia" w:asciiTheme="minorEastAsia" w:hAnsiTheme="minorEastAsia" w:eastAsiaTheme="minorEastAsia" w:cstheme="minorEastAsia"/>
                <w:color w:val="auto"/>
                <w:sz w:val="24"/>
              </w:rPr>
              <w:t>分，最多得2分。</w:t>
            </w:r>
          </w:p>
          <w:p>
            <w:pPr>
              <w:jc w:val="left"/>
              <w:outlineLvl w:val="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（投标时须提供合同及中标通知书扫描件，未提供或提供不全者不得分）</w:t>
            </w:r>
          </w:p>
        </w:tc>
        <w:tc>
          <w:tcPr>
            <w:tcW w:w="620" w:type="dxa"/>
            <w:vAlign w:val="center"/>
          </w:tcPr>
          <w:p>
            <w:pPr>
              <w:jc w:val="center"/>
              <w:outlineLvl w:val="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w:t>
            </w:r>
          </w:p>
        </w:tc>
        <w:tc>
          <w:tcPr>
            <w:tcW w:w="1240" w:type="dxa"/>
            <w:vAlign w:val="center"/>
          </w:tcPr>
          <w:p>
            <w:pPr>
              <w:snapToGrid w:val="0"/>
              <w:spacing w:line="360" w:lineRule="auto"/>
              <w:jc w:val="center"/>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客观分</w:t>
            </w:r>
          </w:p>
        </w:tc>
        <w:tc>
          <w:tcPr>
            <w:tcW w:w="2080" w:type="dxa"/>
          </w:tcPr>
          <w:p>
            <w:pPr>
              <w:snapToGrid w:val="0"/>
              <w:spacing w:line="360" w:lineRule="auto"/>
              <w:jc w:val="center"/>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snapToGrid w:val="0"/>
              <w:spacing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2</w:t>
            </w:r>
          </w:p>
        </w:tc>
        <w:tc>
          <w:tcPr>
            <w:tcW w:w="4760" w:type="dxa"/>
            <w:vAlign w:val="center"/>
          </w:tcPr>
          <w:p>
            <w:pPr>
              <w:jc w:val="left"/>
              <w:outlineLvl w:val="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具有通过质量管理体系认证证书、环境管理体系认证证书、职业健康安全管理体系认证证书且在有效期内的有1个得1分，最多得3分。</w:t>
            </w:r>
          </w:p>
          <w:p>
            <w:pPr>
              <w:jc w:val="left"/>
              <w:outlineLvl w:val="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（须提供有效期内的认证证书扫描件，否则不得分）</w:t>
            </w:r>
          </w:p>
        </w:tc>
        <w:tc>
          <w:tcPr>
            <w:tcW w:w="620" w:type="dxa"/>
            <w:vAlign w:val="center"/>
          </w:tcPr>
          <w:p>
            <w:pPr>
              <w:jc w:val="center"/>
              <w:outlineLvl w:val="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3</w:t>
            </w:r>
          </w:p>
        </w:tc>
        <w:tc>
          <w:tcPr>
            <w:tcW w:w="1240" w:type="dxa"/>
            <w:vAlign w:val="center"/>
          </w:tcPr>
          <w:p>
            <w:pPr>
              <w:snapToGrid w:val="0"/>
              <w:spacing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客观分</w:t>
            </w:r>
          </w:p>
        </w:tc>
        <w:tc>
          <w:tcPr>
            <w:tcW w:w="2080" w:type="dxa"/>
          </w:tcPr>
          <w:p>
            <w:pPr>
              <w:snapToGrid w:val="0"/>
              <w:spacing w:line="360" w:lineRule="auto"/>
              <w:jc w:val="center"/>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snapToGrid w:val="0"/>
              <w:spacing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3</w:t>
            </w:r>
          </w:p>
        </w:tc>
        <w:tc>
          <w:tcPr>
            <w:tcW w:w="4760" w:type="dxa"/>
            <w:vAlign w:val="center"/>
          </w:tcPr>
          <w:p>
            <w:pPr>
              <w:jc w:val="left"/>
              <w:outlineLvl w:val="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获得过省级及以上行政主管部门颁</w:t>
            </w:r>
            <w:bookmarkStart w:id="521" w:name="_GoBack"/>
            <w:bookmarkEnd w:id="521"/>
            <w:r>
              <w:rPr>
                <w:rFonts w:hint="eastAsia" w:asciiTheme="minorEastAsia" w:hAnsiTheme="minorEastAsia" w:eastAsiaTheme="minorEastAsia" w:cstheme="minorEastAsia"/>
                <w:color w:val="auto"/>
                <w:sz w:val="24"/>
              </w:rPr>
              <w:t>发的荣誉，得4分；获得过市级行政主管部门颁发的荣誉，得2分。（须提供荣誉扫描件，否则不得分）</w:t>
            </w:r>
          </w:p>
        </w:tc>
        <w:tc>
          <w:tcPr>
            <w:tcW w:w="620" w:type="dxa"/>
            <w:vAlign w:val="center"/>
          </w:tcPr>
          <w:p>
            <w:pPr>
              <w:jc w:val="center"/>
              <w:outlineLvl w:val="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4</w:t>
            </w:r>
          </w:p>
        </w:tc>
        <w:tc>
          <w:tcPr>
            <w:tcW w:w="1240" w:type="dxa"/>
            <w:vAlign w:val="center"/>
          </w:tcPr>
          <w:p>
            <w:pPr>
              <w:snapToGrid w:val="0"/>
              <w:spacing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客观分</w:t>
            </w:r>
          </w:p>
        </w:tc>
        <w:tc>
          <w:tcPr>
            <w:tcW w:w="2080" w:type="dxa"/>
          </w:tcPr>
          <w:p>
            <w:pPr>
              <w:snapToGrid w:val="0"/>
              <w:spacing w:line="360" w:lineRule="auto"/>
              <w:jc w:val="center"/>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snapToGrid w:val="0"/>
              <w:spacing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4</w:t>
            </w:r>
          </w:p>
        </w:tc>
        <w:tc>
          <w:tcPr>
            <w:tcW w:w="4760" w:type="dxa"/>
            <w:vAlign w:val="center"/>
          </w:tcPr>
          <w:p>
            <w:pPr>
              <w:jc w:val="left"/>
              <w:outlineLvl w:val="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rPr>
              <w:t>浙江省保安服务企业信用评价A级的的得4分，B级的得2分，C级得1分。（须提供证明文件，否则不得分）</w:t>
            </w:r>
          </w:p>
        </w:tc>
        <w:tc>
          <w:tcPr>
            <w:tcW w:w="620" w:type="dxa"/>
            <w:vAlign w:val="center"/>
          </w:tcPr>
          <w:p>
            <w:pPr>
              <w:jc w:val="center"/>
              <w:outlineLvl w:val="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4</w:t>
            </w:r>
          </w:p>
        </w:tc>
        <w:tc>
          <w:tcPr>
            <w:tcW w:w="1240" w:type="dxa"/>
            <w:vAlign w:val="center"/>
          </w:tcPr>
          <w:p>
            <w:pPr>
              <w:snapToGrid w:val="0"/>
              <w:spacing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客观分</w:t>
            </w:r>
          </w:p>
        </w:tc>
        <w:tc>
          <w:tcPr>
            <w:tcW w:w="2080" w:type="dxa"/>
          </w:tcPr>
          <w:p>
            <w:pPr>
              <w:snapToGrid w:val="0"/>
              <w:spacing w:line="360" w:lineRule="auto"/>
              <w:jc w:val="center"/>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snapToGrid w:val="0"/>
              <w:spacing w:line="360" w:lineRule="auto"/>
              <w:jc w:val="center"/>
              <w:rPr>
                <w:rFonts w:hint="eastAsia" w:asciiTheme="minorEastAsia" w:hAnsiTheme="minorEastAsia" w:eastAsiaTheme="minorEastAsia" w:cstheme="minorEastAsia"/>
                <w:color w:val="auto"/>
                <w:sz w:val="24"/>
                <w:lang w:eastAsia="zh-CN"/>
              </w:rPr>
            </w:pPr>
            <w:r>
              <w:rPr>
                <w:rFonts w:hint="eastAsia" w:asciiTheme="minorEastAsia" w:hAnsiTheme="minorEastAsia" w:eastAsiaTheme="minorEastAsia" w:cstheme="minorEastAsia"/>
                <w:color w:val="auto"/>
                <w:sz w:val="24"/>
                <w:lang w:val="en-US" w:eastAsia="zh-CN"/>
              </w:rPr>
              <w:t>5</w:t>
            </w:r>
          </w:p>
        </w:tc>
        <w:tc>
          <w:tcPr>
            <w:tcW w:w="4760" w:type="dxa"/>
          </w:tcPr>
          <w:p>
            <w:pPr>
              <w:jc w:val="left"/>
              <w:outlineLvl w:val="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项目负责人：</w:t>
            </w:r>
          </w:p>
          <w:p>
            <w:pPr>
              <w:jc w:val="left"/>
              <w:outlineLvl w:val="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①具有十年及以上从事本岗位工作经验的得1分；</w:t>
            </w:r>
          </w:p>
          <w:p>
            <w:pPr>
              <w:jc w:val="left"/>
              <w:outlineLvl w:val="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②具有高级技师（一级保安员）证书的得1分；</w:t>
            </w:r>
          </w:p>
          <w:p>
            <w:pPr>
              <w:jc w:val="left"/>
              <w:outlineLvl w:val="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③具有大学本科学历且是退伍军人的得0.5分；</w:t>
            </w:r>
          </w:p>
          <w:p>
            <w:pPr>
              <w:jc w:val="left"/>
              <w:outlineLvl w:val="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④具有行政主管部门颁发的市级及以上荣誉证书得0.5分。</w:t>
            </w:r>
          </w:p>
          <w:p>
            <w:pPr>
              <w:snapToGrid w:val="0"/>
              <w:spacing w:line="360" w:lineRule="auto"/>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（须提供相关工作经验、证书等证明文件扫描件及本单位近6个月</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2022年8月-2023年2月</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社保缴纳证明）</w:t>
            </w:r>
          </w:p>
        </w:tc>
        <w:tc>
          <w:tcPr>
            <w:tcW w:w="620" w:type="dxa"/>
            <w:vAlign w:val="center"/>
          </w:tcPr>
          <w:p>
            <w:pPr>
              <w:jc w:val="center"/>
              <w:outlineLvl w:val="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kern w:val="2"/>
                <w:sz w:val="24"/>
                <w:szCs w:val="24"/>
                <w:lang w:val="en-US" w:eastAsia="zh-CN" w:bidi="ar-SA"/>
              </w:rPr>
              <w:t>3</w:t>
            </w:r>
          </w:p>
        </w:tc>
        <w:tc>
          <w:tcPr>
            <w:tcW w:w="1240" w:type="dxa"/>
            <w:vAlign w:val="center"/>
          </w:tcPr>
          <w:p>
            <w:pPr>
              <w:snapToGrid w:val="0"/>
              <w:spacing w:line="360" w:lineRule="auto"/>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val="en-US" w:eastAsia="zh-CN"/>
              </w:rPr>
              <w:t>客观分</w:t>
            </w:r>
          </w:p>
        </w:tc>
        <w:tc>
          <w:tcPr>
            <w:tcW w:w="2080" w:type="dxa"/>
          </w:tcPr>
          <w:p>
            <w:pPr>
              <w:snapToGrid w:val="0"/>
              <w:spacing w:line="360" w:lineRule="auto"/>
              <w:jc w:val="center"/>
              <w:rPr>
                <w:rFonts w:hint="eastAsia" w:asciiTheme="minorEastAsia" w:hAnsiTheme="minorEastAsia" w:eastAsiaTheme="minorEastAsia" w:cs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snapToGrid w:val="0"/>
              <w:spacing w:line="360" w:lineRule="auto"/>
              <w:jc w:val="center"/>
              <w:rPr>
                <w:rFonts w:hint="eastAsia" w:cs="仿宋_GB2312" w:asciiTheme="minorEastAsia" w:hAnsiTheme="minorEastAsia" w:eastAsiaTheme="minorEastAsia"/>
                <w:color w:val="0000FF"/>
                <w:sz w:val="24"/>
                <w:lang w:val="en-US" w:eastAsia="zh-CN"/>
              </w:rPr>
            </w:pPr>
            <w:r>
              <w:rPr>
                <w:rFonts w:hint="eastAsia" w:asciiTheme="minorEastAsia" w:hAnsiTheme="minorEastAsia" w:eastAsiaTheme="minorEastAsia" w:cstheme="minorEastAsia"/>
                <w:color w:val="auto"/>
                <w:sz w:val="24"/>
                <w:lang w:val="en-US" w:eastAsia="zh-CN"/>
              </w:rPr>
              <w:t>6</w:t>
            </w:r>
          </w:p>
        </w:tc>
        <w:tc>
          <w:tcPr>
            <w:tcW w:w="4760" w:type="dxa"/>
            <w:vAlign w:val="center"/>
          </w:tcPr>
          <w:p>
            <w:pPr>
              <w:jc w:val="left"/>
              <w:outlineLvl w:val="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项目经理：</w:t>
            </w:r>
          </w:p>
          <w:p>
            <w:pPr>
              <w:jc w:val="left"/>
              <w:outlineLvl w:val="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①具有五年及以上从事本岗位工作经验的得1分；</w:t>
            </w:r>
          </w:p>
          <w:p>
            <w:pPr>
              <w:jc w:val="left"/>
              <w:outlineLvl w:val="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②具有技师（二级保安员）证书的得1分；</w:t>
            </w:r>
          </w:p>
          <w:p>
            <w:pPr>
              <w:jc w:val="left"/>
              <w:outlineLvl w:val="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③具有行政主管部门颁发的市级及以上荣誉证书得1分；具有行业主管部门颁发的市级及以上荣誉证书得0.5分。</w:t>
            </w:r>
          </w:p>
          <w:p>
            <w:pPr>
              <w:jc w:val="left"/>
              <w:outlineLvl w:val="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（须提供</w:t>
            </w:r>
            <w:r>
              <w:rPr>
                <w:rFonts w:hint="eastAsia" w:asciiTheme="minorEastAsia" w:hAnsiTheme="minorEastAsia" w:eastAsiaTheme="minorEastAsia" w:cstheme="minorEastAsia"/>
                <w:color w:val="auto"/>
                <w:sz w:val="24"/>
                <w:lang w:val="en-US" w:eastAsia="zh-CN"/>
              </w:rPr>
              <w:t>-</w:t>
            </w:r>
            <w:r>
              <w:rPr>
                <w:rFonts w:hint="eastAsia" w:asciiTheme="minorEastAsia" w:hAnsiTheme="minorEastAsia" w:eastAsiaTheme="minorEastAsia" w:cstheme="minorEastAsia"/>
                <w:color w:val="auto"/>
                <w:sz w:val="24"/>
              </w:rPr>
              <w:t>相关工作经验、证书等证明文件扫描件及本单位近6个月</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2022年8月-2023年2月</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社保缴纳证明）</w:t>
            </w:r>
          </w:p>
        </w:tc>
        <w:tc>
          <w:tcPr>
            <w:tcW w:w="620" w:type="dxa"/>
            <w:vAlign w:val="center"/>
          </w:tcPr>
          <w:p>
            <w:pPr>
              <w:jc w:val="left"/>
              <w:outlineLvl w:val="0"/>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3</w:t>
            </w:r>
          </w:p>
        </w:tc>
        <w:tc>
          <w:tcPr>
            <w:tcW w:w="1240" w:type="dxa"/>
            <w:vAlign w:val="center"/>
          </w:tcPr>
          <w:p>
            <w:pPr>
              <w:spacing w:line="360" w:lineRule="auto"/>
              <w:jc w:val="center"/>
              <w:outlineLvl w:val="0"/>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auto"/>
                <w:sz w:val="24"/>
                <w:lang w:val="en-US" w:eastAsia="zh-CN"/>
              </w:rPr>
              <w:t>客观分</w:t>
            </w:r>
          </w:p>
        </w:tc>
        <w:tc>
          <w:tcPr>
            <w:tcW w:w="2080" w:type="dxa"/>
            <w:vAlign w:val="center"/>
          </w:tcPr>
          <w:p>
            <w:pPr>
              <w:spacing w:line="360" w:lineRule="auto"/>
              <w:jc w:val="center"/>
              <w:outlineLvl w:val="0"/>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spacing w:line="360" w:lineRule="auto"/>
              <w:jc w:val="center"/>
              <w:outlineLvl w:val="0"/>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7</w:t>
            </w:r>
          </w:p>
        </w:tc>
        <w:tc>
          <w:tcPr>
            <w:tcW w:w="4760" w:type="dxa"/>
            <w:vAlign w:val="center"/>
          </w:tcPr>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保安队长：</w:t>
            </w:r>
          </w:p>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①具有五年及以上从事本岗位工作经验的得1分；</w:t>
            </w:r>
          </w:p>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②具有技师（二级保安员）证书的得1分；</w:t>
            </w:r>
          </w:p>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③具有大学专科学历且是退伍军人的得1分；</w:t>
            </w:r>
          </w:p>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④具有行政主管部门颁发的市级及以上荣誉证书得1分；具有行业主管部门颁发的市级及以上荣誉证书得0.5分。</w:t>
            </w:r>
          </w:p>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（须提供相关工作经验、证书等证明文件扫描件及本单位近6个月</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2022年8月-2023年2月</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社保缴纳证明）</w:t>
            </w:r>
          </w:p>
        </w:tc>
        <w:tc>
          <w:tcPr>
            <w:tcW w:w="620" w:type="dxa"/>
            <w:vAlign w:val="center"/>
          </w:tcPr>
          <w:p>
            <w:pPr>
              <w:jc w:val="left"/>
              <w:outlineLvl w:val="0"/>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4</w:t>
            </w:r>
          </w:p>
        </w:tc>
        <w:tc>
          <w:tcPr>
            <w:tcW w:w="1240" w:type="dxa"/>
            <w:vAlign w:val="center"/>
          </w:tcPr>
          <w:p>
            <w:pPr>
              <w:spacing w:line="360" w:lineRule="auto"/>
              <w:jc w:val="center"/>
              <w:outlineLvl w:val="0"/>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auto"/>
                <w:sz w:val="24"/>
                <w:lang w:val="en-US" w:eastAsia="zh-CN"/>
              </w:rPr>
              <w:t>客观分</w:t>
            </w:r>
          </w:p>
        </w:tc>
        <w:tc>
          <w:tcPr>
            <w:tcW w:w="2080" w:type="dxa"/>
            <w:vAlign w:val="center"/>
          </w:tcPr>
          <w:p>
            <w:pPr>
              <w:spacing w:line="360" w:lineRule="auto"/>
              <w:jc w:val="center"/>
              <w:outlineLvl w:val="0"/>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spacing w:line="360" w:lineRule="auto"/>
              <w:jc w:val="center"/>
              <w:outlineLvl w:val="0"/>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8</w:t>
            </w:r>
          </w:p>
        </w:tc>
        <w:tc>
          <w:tcPr>
            <w:tcW w:w="4760" w:type="dxa"/>
            <w:vAlign w:val="center"/>
          </w:tcPr>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①根据本项目的特点提出合理的理念、管理模式,能够切合实际作出服务定位情况进行打分（分值：0/1/2/3/4/5）</w:t>
            </w:r>
          </w:p>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②遵循安全可行、保密性、安全性、文明服务作出服务目标打分（分值：0/1/2/3/4/5）</w:t>
            </w:r>
          </w:p>
        </w:tc>
        <w:tc>
          <w:tcPr>
            <w:tcW w:w="620" w:type="dxa"/>
            <w:vAlign w:val="center"/>
          </w:tcPr>
          <w:p>
            <w:pPr>
              <w:jc w:val="left"/>
              <w:outlineLvl w:val="0"/>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10</w:t>
            </w:r>
          </w:p>
        </w:tc>
        <w:tc>
          <w:tcPr>
            <w:tcW w:w="1240" w:type="dxa"/>
            <w:vAlign w:val="center"/>
          </w:tcPr>
          <w:p>
            <w:pPr>
              <w:spacing w:line="360" w:lineRule="auto"/>
              <w:jc w:val="center"/>
              <w:outlineLvl w:val="0"/>
              <w:rPr>
                <w:rFonts w:hint="eastAsia" w:cs="仿宋_GB2312" w:asciiTheme="minorEastAsia" w:hAnsiTheme="minorEastAsia" w:eastAsiaTheme="minorEastAsia"/>
                <w:color w:val="auto"/>
                <w:sz w:val="24"/>
                <w:lang w:val="en-US" w:eastAsia="zh-CN"/>
              </w:rPr>
            </w:pPr>
            <w:r>
              <w:rPr>
                <w:rFonts w:hint="eastAsia" w:cs="仿宋_GB2312" w:asciiTheme="minorEastAsia" w:hAnsiTheme="minorEastAsia" w:eastAsiaTheme="minorEastAsia"/>
                <w:color w:val="auto"/>
                <w:sz w:val="24"/>
                <w:lang w:val="en-US" w:eastAsia="zh-CN"/>
              </w:rPr>
              <w:t>主观分</w:t>
            </w:r>
          </w:p>
        </w:tc>
        <w:tc>
          <w:tcPr>
            <w:tcW w:w="2080" w:type="dxa"/>
            <w:vAlign w:val="center"/>
          </w:tcPr>
          <w:p>
            <w:pPr>
              <w:spacing w:line="360" w:lineRule="auto"/>
              <w:jc w:val="center"/>
              <w:outlineLvl w:val="0"/>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spacing w:line="360" w:lineRule="auto"/>
              <w:jc w:val="center"/>
              <w:outlineLvl w:val="0"/>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9</w:t>
            </w:r>
          </w:p>
        </w:tc>
        <w:tc>
          <w:tcPr>
            <w:tcW w:w="4760" w:type="dxa"/>
            <w:vAlign w:val="center"/>
          </w:tcPr>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根据本项目服务质量的承诺及保证措施，根据服务质量标准的承诺水平，公司的综合处理能力等综合</w:t>
            </w:r>
            <w:r>
              <w:rPr>
                <w:rFonts w:hint="eastAsia" w:asciiTheme="minorEastAsia" w:hAnsiTheme="minorEastAsia" w:eastAsiaTheme="minorEastAsia" w:cstheme="minorEastAsia"/>
                <w:color w:val="auto"/>
                <w:sz w:val="24"/>
                <w:lang w:val="en-US" w:eastAsia="zh-CN"/>
              </w:rPr>
              <w:t>能力</w:t>
            </w:r>
            <w:r>
              <w:rPr>
                <w:rFonts w:hint="eastAsia" w:asciiTheme="minorEastAsia" w:hAnsiTheme="minorEastAsia" w:eastAsiaTheme="minorEastAsia" w:cstheme="minorEastAsia"/>
                <w:color w:val="auto"/>
                <w:sz w:val="24"/>
              </w:rPr>
              <w:t>打分</w:t>
            </w:r>
            <w:r>
              <w:rPr>
                <w:rFonts w:hint="eastAsia" w:asciiTheme="minorEastAsia" w:hAnsiTheme="minorEastAsia" w:eastAsiaTheme="minorEastAsia" w:cstheme="minorEastAsia"/>
                <w:color w:val="auto"/>
                <w:sz w:val="24"/>
                <w:lang w:val="en-US" w:eastAsia="zh-CN"/>
              </w:rPr>
              <w:t>（分值：0/1/2/3/4/5/6）</w:t>
            </w:r>
            <w:r>
              <w:rPr>
                <w:rFonts w:hint="eastAsia" w:asciiTheme="minorEastAsia" w:hAnsiTheme="minorEastAsia" w:eastAsiaTheme="minorEastAsia" w:cstheme="minorEastAsia"/>
                <w:color w:val="auto"/>
                <w:sz w:val="24"/>
              </w:rPr>
              <w:t>。</w:t>
            </w:r>
          </w:p>
        </w:tc>
        <w:tc>
          <w:tcPr>
            <w:tcW w:w="620" w:type="dxa"/>
            <w:vAlign w:val="center"/>
          </w:tcPr>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6</w:t>
            </w:r>
          </w:p>
        </w:tc>
        <w:tc>
          <w:tcPr>
            <w:tcW w:w="1240" w:type="dxa"/>
            <w:vAlign w:val="center"/>
          </w:tcPr>
          <w:p>
            <w:pPr>
              <w:spacing w:line="360" w:lineRule="auto"/>
              <w:jc w:val="center"/>
              <w:outlineLvl w:val="0"/>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auto"/>
                <w:sz w:val="24"/>
                <w:lang w:val="en-US" w:eastAsia="zh-CN"/>
              </w:rPr>
              <w:t>主观分</w:t>
            </w:r>
          </w:p>
        </w:tc>
        <w:tc>
          <w:tcPr>
            <w:tcW w:w="2080" w:type="dxa"/>
            <w:vAlign w:val="center"/>
          </w:tcPr>
          <w:p>
            <w:pPr>
              <w:spacing w:line="360" w:lineRule="auto"/>
              <w:jc w:val="center"/>
              <w:outlineLvl w:val="0"/>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10</w:t>
            </w:r>
          </w:p>
        </w:tc>
        <w:tc>
          <w:tcPr>
            <w:tcW w:w="4760" w:type="dxa"/>
            <w:vAlign w:val="center"/>
          </w:tcPr>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①对完善的组织架构，管理流程进行打分（分值：0/1/2/3）</w:t>
            </w:r>
          </w:p>
          <w:p>
            <w:pPr>
              <w:jc w:val="left"/>
              <w:outlineLvl w:val="0"/>
              <w:rPr>
                <w:rFonts w:hint="eastAsia" w:asciiTheme="minorEastAsia" w:hAnsiTheme="minorEastAsia" w:eastAsiaTheme="minorEastAsia" w:cstheme="minorEastAsia"/>
                <w:color w:val="auto"/>
                <w:sz w:val="24"/>
                <w:lang w:val="zh-CN" w:eastAsia="zh-TW"/>
              </w:rPr>
            </w:pPr>
            <w:r>
              <w:rPr>
                <w:rFonts w:hint="eastAsia" w:asciiTheme="minorEastAsia" w:hAnsiTheme="minorEastAsia" w:eastAsiaTheme="minorEastAsia" w:cstheme="minorEastAsia"/>
                <w:color w:val="auto"/>
                <w:sz w:val="24"/>
                <w:lang w:val="en-US" w:eastAsia="zh-CN"/>
              </w:rPr>
              <w:t>②对运作流程图、激励机制、监督机制、自我约束机制、信息反馈渠道及处理机制情况进行打分（分值：0/1/2/3）</w:t>
            </w:r>
          </w:p>
        </w:tc>
        <w:tc>
          <w:tcPr>
            <w:tcW w:w="620" w:type="dxa"/>
            <w:vAlign w:val="center"/>
          </w:tcPr>
          <w:p>
            <w:pPr>
              <w:jc w:val="left"/>
              <w:outlineLvl w:val="0"/>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6</w:t>
            </w:r>
          </w:p>
        </w:tc>
        <w:tc>
          <w:tcPr>
            <w:tcW w:w="1240" w:type="dxa"/>
            <w:vAlign w:val="center"/>
          </w:tcPr>
          <w:p>
            <w:pPr>
              <w:spacing w:line="360" w:lineRule="auto"/>
              <w:jc w:val="center"/>
              <w:outlineLvl w:val="0"/>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auto"/>
                <w:sz w:val="24"/>
                <w:lang w:val="en-US" w:eastAsia="zh-CN"/>
              </w:rPr>
              <w:t>主观分</w:t>
            </w:r>
          </w:p>
        </w:tc>
        <w:tc>
          <w:tcPr>
            <w:tcW w:w="2080" w:type="dxa"/>
            <w:vAlign w:val="center"/>
          </w:tcPr>
          <w:p>
            <w:pPr>
              <w:spacing w:line="360" w:lineRule="auto"/>
              <w:jc w:val="center"/>
              <w:outlineLvl w:val="0"/>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11</w:t>
            </w:r>
          </w:p>
        </w:tc>
        <w:tc>
          <w:tcPr>
            <w:tcW w:w="4760" w:type="dxa"/>
            <w:vAlign w:val="center"/>
          </w:tcPr>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项目人员配置年龄结构、力量、本地化能力、资历、工作经验等情况进行打分（分值：0/1/2/3/4/5/6）。（须提供项目人员所在单位近6个月（2022年8月-2023年2月）社保缴纳证明、人员相关证书等证明文件扫描件。)</w:t>
            </w:r>
          </w:p>
        </w:tc>
        <w:tc>
          <w:tcPr>
            <w:tcW w:w="620" w:type="dxa"/>
            <w:vAlign w:val="center"/>
          </w:tcPr>
          <w:p>
            <w:pPr>
              <w:jc w:val="left"/>
              <w:outlineLvl w:val="0"/>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6</w:t>
            </w:r>
          </w:p>
        </w:tc>
        <w:tc>
          <w:tcPr>
            <w:tcW w:w="1240" w:type="dxa"/>
            <w:vAlign w:val="center"/>
          </w:tcPr>
          <w:p>
            <w:pPr>
              <w:spacing w:line="360" w:lineRule="auto"/>
              <w:jc w:val="center"/>
              <w:outlineLvl w:val="0"/>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auto"/>
                <w:sz w:val="24"/>
                <w:lang w:val="en-US" w:eastAsia="zh-CN"/>
              </w:rPr>
              <w:t>主观分</w:t>
            </w:r>
          </w:p>
        </w:tc>
        <w:tc>
          <w:tcPr>
            <w:tcW w:w="2080" w:type="dxa"/>
            <w:vAlign w:val="center"/>
          </w:tcPr>
          <w:p>
            <w:pPr>
              <w:spacing w:line="360" w:lineRule="auto"/>
              <w:jc w:val="center"/>
              <w:outlineLvl w:val="0"/>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12</w:t>
            </w:r>
          </w:p>
        </w:tc>
        <w:tc>
          <w:tcPr>
            <w:tcW w:w="4760" w:type="dxa"/>
            <w:vAlign w:val="center"/>
          </w:tcPr>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①对投标人列出安全制度打分（分值0/1/2/3/4）</w:t>
            </w:r>
          </w:p>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②对投标人的各岗位管理制度、考核制度进行打分（分值：0/1/2/3/4）</w:t>
            </w:r>
          </w:p>
        </w:tc>
        <w:tc>
          <w:tcPr>
            <w:tcW w:w="620" w:type="dxa"/>
            <w:vAlign w:val="center"/>
          </w:tcPr>
          <w:p>
            <w:pPr>
              <w:jc w:val="left"/>
              <w:outlineLvl w:val="0"/>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8</w:t>
            </w:r>
          </w:p>
        </w:tc>
        <w:tc>
          <w:tcPr>
            <w:tcW w:w="1240" w:type="dxa"/>
            <w:vAlign w:val="center"/>
          </w:tcPr>
          <w:p>
            <w:pPr>
              <w:spacing w:line="360" w:lineRule="auto"/>
              <w:jc w:val="center"/>
              <w:outlineLvl w:val="0"/>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auto"/>
                <w:sz w:val="24"/>
                <w:lang w:val="en-US" w:eastAsia="zh-CN"/>
              </w:rPr>
              <w:t>主观分</w:t>
            </w:r>
          </w:p>
        </w:tc>
        <w:tc>
          <w:tcPr>
            <w:tcW w:w="2080" w:type="dxa"/>
            <w:vAlign w:val="center"/>
          </w:tcPr>
          <w:p>
            <w:pPr>
              <w:spacing w:line="360" w:lineRule="auto"/>
              <w:jc w:val="center"/>
              <w:outlineLvl w:val="0"/>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13</w:t>
            </w:r>
          </w:p>
        </w:tc>
        <w:tc>
          <w:tcPr>
            <w:tcW w:w="4760" w:type="dxa"/>
            <w:vAlign w:val="center"/>
          </w:tcPr>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根据投标人提供的保安管理与服务方案完整且可操作性强得7分，方案完整且可操作性较强得5分，方案阐述一般3分，较差得1分，无方案不得分。</w:t>
            </w:r>
          </w:p>
        </w:tc>
        <w:tc>
          <w:tcPr>
            <w:tcW w:w="620" w:type="dxa"/>
            <w:vAlign w:val="center"/>
          </w:tcPr>
          <w:p>
            <w:pPr>
              <w:jc w:val="left"/>
              <w:outlineLvl w:val="0"/>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7</w:t>
            </w:r>
          </w:p>
        </w:tc>
        <w:tc>
          <w:tcPr>
            <w:tcW w:w="1240" w:type="dxa"/>
            <w:vAlign w:val="center"/>
          </w:tcPr>
          <w:p>
            <w:pPr>
              <w:spacing w:line="360" w:lineRule="auto"/>
              <w:jc w:val="center"/>
              <w:outlineLvl w:val="0"/>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auto"/>
                <w:sz w:val="24"/>
                <w:lang w:val="en-US" w:eastAsia="zh-CN"/>
              </w:rPr>
              <w:t>主观分</w:t>
            </w:r>
          </w:p>
        </w:tc>
        <w:tc>
          <w:tcPr>
            <w:tcW w:w="2080" w:type="dxa"/>
            <w:vAlign w:val="center"/>
          </w:tcPr>
          <w:p>
            <w:pPr>
              <w:spacing w:line="360" w:lineRule="auto"/>
              <w:jc w:val="center"/>
              <w:outlineLvl w:val="0"/>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14</w:t>
            </w:r>
          </w:p>
        </w:tc>
        <w:tc>
          <w:tcPr>
            <w:tcW w:w="4760" w:type="dxa"/>
            <w:vAlign w:val="center"/>
          </w:tcPr>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提供处理突发事件的应急预案，响应速度与时间的情况，进行打分，应急预案切合实际，操作性强的得8分，合理可行的得6分，基本满足的得4分，无预案不得分。</w:t>
            </w:r>
          </w:p>
        </w:tc>
        <w:tc>
          <w:tcPr>
            <w:tcW w:w="620" w:type="dxa"/>
            <w:vAlign w:val="center"/>
          </w:tcPr>
          <w:p>
            <w:pPr>
              <w:jc w:val="left"/>
              <w:outlineLvl w:val="0"/>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8</w:t>
            </w:r>
          </w:p>
        </w:tc>
        <w:tc>
          <w:tcPr>
            <w:tcW w:w="1240" w:type="dxa"/>
            <w:vAlign w:val="center"/>
          </w:tcPr>
          <w:p>
            <w:pPr>
              <w:spacing w:line="360" w:lineRule="auto"/>
              <w:jc w:val="center"/>
              <w:outlineLvl w:val="0"/>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auto"/>
                <w:sz w:val="24"/>
                <w:lang w:val="en-US" w:eastAsia="zh-CN"/>
              </w:rPr>
              <w:t>主观分</w:t>
            </w:r>
          </w:p>
        </w:tc>
        <w:tc>
          <w:tcPr>
            <w:tcW w:w="2080" w:type="dxa"/>
            <w:vAlign w:val="center"/>
          </w:tcPr>
          <w:p>
            <w:pPr>
              <w:spacing w:line="360" w:lineRule="auto"/>
              <w:jc w:val="center"/>
              <w:outlineLvl w:val="0"/>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15</w:t>
            </w:r>
          </w:p>
        </w:tc>
        <w:tc>
          <w:tcPr>
            <w:tcW w:w="4760" w:type="dxa"/>
            <w:vAlign w:val="center"/>
          </w:tcPr>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根据投标人给出的增值服务承诺，适用性、可行性程度如何进行打分（分值：0/1/2/3）</w:t>
            </w:r>
          </w:p>
        </w:tc>
        <w:tc>
          <w:tcPr>
            <w:tcW w:w="620" w:type="dxa"/>
            <w:vAlign w:val="center"/>
          </w:tcPr>
          <w:p>
            <w:pPr>
              <w:jc w:val="left"/>
              <w:outlineLvl w:val="0"/>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3</w:t>
            </w:r>
          </w:p>
        </w:tc>
        <w:tc>
          <w:tcPr>
            <w:tcW w:w="1240" w:type="dxa"/>
            <w:vAlign w:val="center"/>
          </w:tcPr>
          <w:p>
            <w:pPr>
              <w:spacing w:line="360" w:lineRule="auto"/>
              <w:jc w:val="center"/>
              <w:outlineLvl w:val="0"/>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auto"/>
                <w:sz w:val="24"/>
                <w:lang w:val="en-US" w:eastAsia="zh-CN"/>
              </w:rPr>
              <w:t>主观分</w:t>
            </w:r>
          </w:p>
        </w:tc>
        <w:tc>
          <w:tcPr>
            <w:tcW w:w="2080" w:type="dxa"/>
            <w:vAlign w:val="center"/>
          </w:tcPr>
          <w:p>
            <w:pPr>
              <w:spacing w:line="360" w:lineRule="auto"/>
              <w:jc w:val="center"/>
              <w:outlineLvl w:val="0"/>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16</w:t>
            </w:r>
          </w:p>
        </w:tc>
        <w:tc>
          <w:tcPr>
            <w:tcW w:w="4760" w:type="dxa"/>
            <w:vAlign w:val="center"/>
          </w:tcPr>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本项目如遇重大突发事件或大型活动、政府重点工作，根据投标单位提供的特色服务响应进行综合打分。（分值：0/1/2/3）</w:t>
            </w:r>
          </w:p>
        </w:tc>
        <w:tc>
          <w:tcPr>
            <w:tcW w:w="620" w:type="dxa"/>
            <w:vAlign w:val="center"/>
          </w:tcPr>
          <w:p>
            <w:pPr>
              <w:jc w:val="left"/>
              <w:outlineLvl w:val="0"/>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3</w:t>
            </w:r>
          </w:p>
        </w:tc>
        <w:tc>
          <w:tcPr>
            <w:tcW w:w="1240" w:type="dxa"/>
            <w:vAlign w:val="center"/>
          </w:tcPr>
          <w:p>
            <w:pPr>
              <w:spacing w:line="360" w:lineRule="auto"/>
              <w:jc w:val="center"/>
              <w:outlineLvl w:val="0"/>
              <w:rPr>
                <w:rFonts w:cs="仿宋_GB2312" w:asciiTheme="minorEastAsia" w:hAnsiTheme="minorEastAsia" w:eastAsiaTheme="minorEastAsia"/>
                <w:color w:val="0000FF"/>
                <w:sz w:val="24"/>
              </w:rPr>
            </w:pPr>
            <w:r>
              <w:rPr>
                <w:rFonts w:hint="eastAsia" w:cs="仿宋_GB2312" w:asciiTheme="minorEastAsia" w:hAnsiTheme="minorEastAsia" w:eastAsiaTheme="minorEastAsia"/>
                <w:color w:val="auto"/>
                <w:sz w:val="24"/>
                <w:lang w:val="en-US" w:eastAsia="zh-CN"/>
              </w:rPr>
              <w:t>主观分</w:t>
            </w:r>
          </w:p>
        </w:tc>
        <w:tc>
          <w:tcPr>
            <w:tcW w:w="2080" w:type="dxa"/>
            <w:vAlign w:val="center"/>
          </w:tcPr>
          <w:p>
            <w:pPr>
              <w:spacing w:line="360" w:lineRule="auto"/>
              <w:jc w:val="center"/>
              <w:outlineLvl w:val="0"/>
              <w:rPr>
                <w:rFonts w:cs="仿宋_GB2312" w:asciiTheme="minorEastAsia" w:hAnsiTheme="minorEastAsia" w:eastAsiaTheme="minorEastAsia"/>
                <w:color w:val="0000FF"/>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0" w:type="dxa"/>
            <w:vAlign w:val="center"/>
          </w:tcPr>
          <w:p>
            <w:pPr>
              <w:spacing w:line="360" w:lineRule="auto"/>
              <w:jc w:val="center"/>
              <w:outlineLvl w:val="0"/>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17</w:t>
            </w:r>
          </w:p>
        </w:tc>
        <w:tc>
          <w:tcPr>
            <w:tcW w:w="4760" w:type="dxa"/>
            <w:vAlign w:val="center"/>
          </w:tcPr>
          <w:p>
            <w:pPr>
              <w:jc w:val="left"/>
              <w:outlineLvl w:val="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有效投标报价的最低价作为评标基准价，其最低报价为满分；按［投标报价得分=（评标基准价/投标报价）*</w:t>
            </w: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color w:val="auto"/>
                <w:sz w:val="24"/>
              </w:rPr>
              <w:t>0］的计算公式计算。</w:t>
            </w:r>
          </w:p>
          <w:p>
            <w:pPr>
              <w:jc w:val="left"/>
              <w:outlineLvl w:val="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评标过程中，不得去掉报价中的最高报价和最低报价。</w:t>
            </w:r>
          </w:p>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rPr>
              <w:t>因落实政府采购政策需要进行价格调整的，以调整后的价格计算评标基准价和投标报价。</w:t>
            </w:r>
          </w:p>
        </w:tc>
        <w:tc>
          <w:tcPr>
            <w:tcW w:w="620" w:type="dxa"/>
            <w:vAlign w:val="center"/>
          </w:tcPr>
          <w:p>
            <w:pPr>
              <w:jc w:val="center"/>
              <w:outlineLvl w:val="0"/>
              <w:rPr>
                <w:rFonts w:hint="default" w:ascii="仿宋" w:hAnsi="仿宋" w:eastAsia="仿宋" w:cs="仿宋"/>
                <w:kern w:val="2"/>
                <w:sz w:val="24"/>
                <w:szCs w:val="24"/>
                <w:lang w:val="en-US" w:eastAsia="zh-CN" w:bidi="ar-SA"/>
              </w:rPr>
            </w:pPr>
            <w:r>
              <w:rPr>
                <w:rFonts w:hint="eastAsia" w:asciiTheme="minorEastAsia" w:hAnsiTheme="minorEastAsia" w:eastAsiaTheme="minorEastAsia" w:cstheme="minorEastAsia"/>
                <w:color w:val="auto"/>
                <w:sz w:val="24"/>
                <w:lang w:val="en-US" w:eastAsia="zh-CN"/>
              </w:rPr>
              <w:t>20</w:t>
            </w:r>
          </w:p>
        </w:tc>
        <w:tc>
          <w:tcPr>
            <w:tcW w:w="1240" w:type="dxa"/>
            <w:vAlign w:val="center"/>
          </w:tcPr>
          <w:p>
            <w:pPr>
              <w:spacing w:line="360" w:lineRule="auto"/>
              <w:jc w:val="center"/>
              <w:outlineLvl w:val="0"/>
              <w:rPr>
                <w:rFonts w:hint="eastAsia" w:cs="仿宋_GB2312" w:asciiTheme="minorEastAsia" w:hAnsiTheme="minorEastAsia" w:eastAsiaTheme="minorEastAsia"/>
                <w:color w:val="0000FF"/>
                <w:sz w:val="24"/>
                <w:lang w:val="en-US" w:eastAsia="zh-CN"/>
              </w:rPr>
            </w:pPr>
          </w:p>
        </w:tc>
        <w:tc>
          <w:tcPr>
            <w:tcW w:w="2080" w:type="dxa"/>
            <w:vAlign w:val="center"/>
          </w:tcPr>
          <w:p>
            <w:pPr>
              <w:spacing w:line="360" w:lineRule="auto"/>
              <w:jc w:val="center"/>
              <w:outlineLvl w:val="0"/>
              <w:rPr>
                <w:rFonts w:cs="仿宋_GB2312" w:asciiTheme="minorEastAsia" w:hAnsiTheme="minorEastAsia" w:eastAsiaTheme="minorEastAsia"/>
                <w:color w:val="0000FF"/>
                <w:sz w:val="24"/>
              </w:rPr>
            </w:pPr>
          </w:p>
        </w:tc>
      </w:tr>
    </w:tbl>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28"/>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28"/>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28"/>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28"/>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28"/>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28"/>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28"/>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28"/>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3"/>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4"/>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4"/>
        <w:snapToGrid w:val="0"/>
        <w:spacing w:line="360" w:lineRule="auto"/>
        <w:rPr>
          <w:rFonts w:cs="宋体"/>
        </w:rPr>
      </w:pPr>
      <w:r>
        <w:rPr>
          <w:rFonts w:hint="eastAsia" w:cs="宋体"/>
        </w:rPr>
        <w:t>5.1符合专业条件的供应商或者对招标文件作实质响应的供应商不足3家的；</w:t>
      </w:r>
    </w:p>
    <w:p>
      <w:pPr>
        <w:pStyle w:val="24"/>
        <w:snapToGrid w:val="0"/>
        <w:spacing w:line="360" w:lineRule="auto"/>
        <w:rPr>
          <w:rFonts w:cs="宋体"/>
        </w:rPr>
      </w:pPr>
      <w:r>
        <w:rPr>
          <w:rFonts w:hint="eastAsia" w:cs="宋体"/>
        </w:rPr>
        <w:t>5.2出现影响采购公正的违法、违规行为的；</w:t>
      </w:r>
    </w:p>
    <w:p>
      <w:pPr>
        <w:pStyle w:val="24"/>
        <w:snapToGrid w:val="0"/>
        <w:spacing w:line="360" w:lineRule="auto"/>
        <w:rPr>
          <w:rFonts w:cs="宋体"/>
        </w:rPr>
      </w:pPr>
      <w:r>
        <w:rPr>
          <w:rFonts w:hint="eastAsia" w:cs="宋体"/>
        </w:rPr>
        <w:t>5.3投标人的报价均超过了采购预算，采购人不能支付的；</w:t>
      </w:r>
    </w:p>
    <w:p>
      <w:pPr>
        <w:pStyle w:val="24"/>
        <w:snapToGrid w:val="0"/>
        <w:spacing w:line="360" w:lineRule="auto"/>
        <w:rPr>
          <w:rFonts w:cs="宋体"/>
        </w:rPr>
      </w:pPr>
      <w:r>
        <w:rPr>
          <w:rFonts w:hint="eastAsia" w:cs="宋体"/>
        </w:rPr>
        <w:t>5.4因重大变故，采购任务取消的。</w:t>
      </w:r>
    </w:p>
    <w:p>
      <w:pPr>
        <w:pStyle w:val="24"/>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24"/>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24"/>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4"/>
        <w:snapToGrid w:val="0"/>
        <w:spacing w:line="360" w:lineRule="auto"/>
        <w:rPr>
          <w:rFonts w:cs="宋体"/>
        </w:rPr>
      </w:pPr>
      <w:r>
        <w:rPr>
          <w:rFonts w:hint="eastAsia" w:cs="宋体"/>
        </w:rPr>
        <w:t>7.1未确定中标供应商的，终止本次政府采购活动，重新开展政府采购活动。</w:t>
      </w:r>
    </w:p>
    <w:p>
      <w:pPr>
        <w:pStyle w:val="24"/>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7.4政府采购合同已经履行，给采购人、供应商造成损失的，由责任人承担赔偿责任。</w:t>
      </w:r>
    </w:p>
    <w:p>
      <w:pPr>
        <w:pStyle w:val="24"/>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4"/>
        <w:snapToGrid w:val="0"/>
        <w:spacing w:line="360" w:lineRule="auto"/>
        <w:ind w:firstLine="0" w:firstLineChars="0"/>
        <w:rPr>
          <w:rFonts w:cs="宋体"/>
        </w:rPr>
      </w:pPr>
    </w:p>
    <w:bookmarkEnd w:id="27"/>
    <w:p>
      <w:pPr>
        <w:widowControl/>
        <w:adjustRightInd/>
        <w:jc w:val="left"/>
        <w:rPr>
          <w:rFonts w:ascii="宋体" w:hAnsi="宋体" w:cs="宋体"/>
          <w:b/>
          <w:sz w:val="36"/>
          <w:szCs w:val="36"/>
        </w:rPr>
      </w:pPr>
      <w:bookmarkStart w:id="395" w:name="第五部分"/>
      <w:bookmarkStart w:id="396" w:name="_Toc86217003"/>
      <w:r>
        <w:rPr>
          <w:rFonts w:hint="eastAsia" w:ascii="宋体" w:hAnsi="宋体" w:cs="宋体"/>
          <w:b/>
          <w:sz w:val="36"/>
          <w:szCs w:val="36"/>
        </w:rPr>
        <w:t xml:space="preserve"> </w:t>
      </w: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699"/>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3"/>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6"/>
        <w:spacing w:before="120" w:line="22" w:lineRule="atLeast"/>
        <w:rPr>
          <w:rFonts w:ascii="宋体" w:hAnsi="宋体" w:eastAsia="宋体" w:cs="宋体"/>
          <w:szCs w:val="24"/>
        </w:rPr>
      </w:pPr>
    </w:p>
    <w:p>
      <w:pPr>
        <w:pStyle w:val="596"/>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rPr>
          <w:rFonts w:ascii="宋体" w:hAnsi="宋体" w:cs="宋体"/>
          <w:b/>
          <w:sz w:val="24"/>
        </w:r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color w:val="0000FF"/>
          <w:sz w:val="24"/>
          <w:u w:val="single"/>
        </w:rPr>
        <w:t>（采购人）</w:t>
      </w:r>
      <w:r>
        <w:rPr>
          <w:rFonts w:ascii="宋体" w:hAnsi="宋体"/>
          <w:sz w:val="24"/>
          <w:u w:val="single"/>
        </w:rPr>
        <w:t xml:space="preserve">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w:t>
      </w:r>
      <w:r>
        <w:rPr>
          <w:rFonts w:hint="eastAsia" w:ascii="宋体" w:hAnsi="宋体" w:cs="宋体"/>
          <w:color w:val="0000FF"/>
          <w:sz w:val="24"/>
          <w:u w:val="single"/>
        </w:rPr>
        <w:t xml:space="preserve">（项目名称）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ascii="宋体" w:hAnsi="宋体"/>
          <w:color w:val="0000FF"/>
          <w:sz w:val="24"/>
          <w:u w:val="single"/>
        </w:rPr>
        <w:t xml:space="preserve">（采购人） </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7" w:name="_Toc28855"/>
      <w:bookmarkStart w:id="398" w:name="_Toc15367"/>
      <w:bookmarkStart w:id="399" w:name="_Toc22967"/>
      <w:bookmarkStart w:id="400" w:name="_Toc20421"/>
      <w:bookmarkStart w:id="401" w:name="_Toc19273"/>
      <w:r>
        <w:rPr>
          <w:rFonts w:ascii="宋体" w:hAnsi="宋体"/>
          <w:b/>
          <w:sz w:val="24"/>
        </w:rPr>
        <w:t xml:space="preserve">1.1 </w:t>
      </w:r>
      <w:r>
        <w:rPr>
          <w:rFonts w:hint="eastAsia" w:ascii="宋体" w:hAnsi="宋体"/>
          <w:b/>
          <w:sz w:val="24"/>
        </w:rPr>
        <w:t>合同组成部分</w:t>
      </w:r>
      <w:bookmarkEnd w:id="397"/>
      <w:bookmarkEnd w:id="398"/>
      <w:bookmarkEnd w:id="399"/>
      <w:bookmarkEnd w:id="400"/>
      <w:bookmarkEnd w:id="401"/>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2" w:name="_Toc6311"/>
      <w:bookmarkStart w:id="403" w:name="_Toc2918"/>
      <w:bookmarkStart w:id="404" w:name="_Toc18585"/>
      <w:bookmarkStart w:id="405" w:name="_Toc6773"/>
      <w:bookmarkStart w:id="406" w:name="_Toc22185"/>
      <w:r>
        <w:rPr>
          <w:rFonts w:ascii="宋体" w:hAnsi="宋体"/>
          <w:b/>
          <w:sz w:val="24"/>
        </w:rPr>
        <w:t xml:space="preserve">1.2 </w:t>
      </w:r>
      <w:r>
        <w:rPr>
          <w:rFonts w:hint="eastAsia" w:ascii="宋体" w:hAnsi="宋体"/>
          <w:b/>
          <w:sz w:val="24"/>
        </w:rPr>
        <w:t>标的</w:t>
      </w:r>
      <w:bookmarkEnd w:id="402"/>
      <w:bookmarkEnd w:id="403"/>
      <w:bookmarkEnd w:id="404"/>
      <w:bookmarkEnd w:id="405"/>
      <w:bookmarkEnd w:id="406"/>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57"/>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07" w:name="_Toc1386"/>
      <w:bookmarkStart w:id="408" w:name="_Toc5635"/>
      <w:bookmarkStart w:id="409" w:name="_Toc13918"/>
      <w:bookmarkStart w:id="410" w:name="_Toc4929"/>
      <w:bookmarkStart w:id="411" w:name="_Toc21124"/>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7"/>
      <w:bookmarkEnd w:id="408"/>
      <w:bookmarkEnd w:id="409"/>
      <w:bookmarkEnd w:id="410"/>
      <w:bookmarkEnd w:id="411"/>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jc w:val="center"/>
              <w:rPr>
                <w:rFonts w:hAnsi="宋体"/>
                <w:sz w:val="24"/>
                <w:szCs w:val="24"/>
              </w:rPr>
            </w:pPr>
            <w:r>
              <w:rPr>
                <w:rFonts w:hAnsi="宋体"/>
                <w:sz w:val="24"/>
                <w:szCs w:val="24"/>
              </w:rPr>
              <w:t>序号</w:t>
            </w:r>
          </w:p>
        </w:tc>
        <w:tc>
          <w:tcPr>
            <w:tcW w:w="3402" w:type="dxa"/>
            <w:vAlign w:val="center"/>
          </w:tcPr>
          <w:p>
            <w:pPr>
              <w:pStyle w:val="317"/>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317"/>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1201" w:type="dxa"/>
            <w:vAlign w:val="center"/>
          </w:tcPr>
          <w:p>
            <w:pPr>
              <w:pStyle w:val="317"/>
              <w:spacing w:line="560" w:lineRule="exact"/>
              <w:ind w:firstLine="200"/>
              <w:jc w:val="center"/>
              <w:rPr>
                <w:rFonts w:hAnsi="宋体"/>
                <w:sz w:val="24"/>
                <w:szCs w:val="24"/>
              </w:rPr>
            </w:pPr>
          </w:p>
        </w:tc>
        <w:tc>
          <w:tcPr>
            <w:tcW w:w="3402" w:type="dxa"/>
            <w:vAlign w:val="center"/>
          </w:tcPr>
          <w:p>
            <w:pPr>
              <w:pStyle w:val="317"/>
              <w:spacing w:line="560" w:lineRule="exact"/>
              <w:ind w:firstLine="200"/>
              <w:jc w:val="center"/>
              <w:rPr>
                <w:rFonts w:hAnsi="宋体"/>
                <w:sz w:val="24"/>
                <w:szCs w:val="24"/>
              </w:rPr>
            </w:pPr>
          </w:p>
        </w:tc>
        <w:tc>
          <w:tcPr>
            <w:tcW w:w="2552" w:type="dxa"/>
            <w:vAlign w:val="center"/>
          </w:tcPr>
          <w:p>
            <w:pPr>
              <w:pStyle w:val="317"/>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7"/>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317"/>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412" w:name="_Toc3654"/>
      <w:bookmarkStart w:id="413" w:name="_Toc30158"/>
      <w:bookmarkStart w:id="414" w:name="_Toc26916"/>
      <w:bookmarkStart w:id="415" w:name="_Toc30506"/>
      <w:bookmarkStart w:id="416" w:name="_Toc14993"/>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3"/>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412"/>
    <w:bookmarkEnd w:id="413"/>
    <w:bookmarkEnd w:id="414"/>
    <w:bookmarkEnd w:id="415"/>
    <w:bookmarkEnd w:id="416"/>
    <w:p>
      <w:pPr>
        <w:pStyle w:val="957"/>
        <w:spacing w:before="0" w:beforeAutospacing="0" w:after="0" w:afterAutospacing="0" w:line="360" w:lineRule="auto"/>
        <w:ind w:firstLine="480"/>
        <w:rPr>
          <w:b/>
        </w:rPr>
      </w:pPr>
      <w:bookmarkStart w:id="417" w:name="_Toc10340"/>
      <w:bookmarkStart w:id="418" w:name="_Toc22618"/>
      <w:bookmarkStart w:id="419" w:name="_Toc1814"/>
      <w:bookmarkStart w:id="420" w:name="_Toc11108"/>
      <w:bookmarkStart w:id="421" w:name="_Toc8772"/>
      <w:bookmarkStart w:id="422" w:name="_Toc3625"/>
      <w:bookmarkStart w:id="423" w:name="_Toc31421"/>
      <w:bookmarkStart w:id="424" w:name="_Toc4760"/>
      <w:r>
        <w:rPr>
          <w:rFonts w:hint="eastAsia"/>
          <w:b/>
        </w:rPr>
        <w:t>1.4履约保证金</w:t>
      </w:r>
    </w:p>
    <w:p>
      <w:pPr>
        <w:pStyle w:val="957"/>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3"/>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17"/>
      <w:bookmarkEnd w:id="418"/>
      <w:bookmarkEnd w:id="419"/>
      <w:r>
        <w:rPr>
          <w:rFonts w:hint="eastAsia" w:ascii="宋体" w:hAnsi="宋体" w:cs="宋体"/>
          <w:b/>
          <w:sz w:val="24"/>
        </w:rPr>
        <w:t>预付款</w:t>
      </w:r>
    </w:p>
    <w:p>
      <w:pPr>
        <w:pStyle w:val="957"/>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7"/>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7"/>
        <w:spacing w:before="0" w:beforeAutospacing="0" w:after="0" w:afterAutospacing="0" w:line="360" w:lineRule="auto"/>
        <w:ind w:firstLine="480"/>
        <w:rPr>
          <w:b/>
          <w:bCs/>
        </w:rPr>
      </w:pPr>
      <w:r>
        <w:rPr>
          <w:rFonts w:hint="eastAsia"/>
          <w:b/>
          <w:bCs/>
        </w:rPr>
        <w:t>1.6资金支付</w:t>
      </w:r>
    </w:p>
    <w:p>
      <w:pPr>
        <w:pStyle w:val="957"/>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20"/>
      <w:bookmarkEnd w:id="421"/>
      <w:bookmarkEnd w:id="422"/>
      <w:bookmarkEnd w:id="423"/>
      <w:bookmarkEnd w:id="424"/>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25" w:name="_Toc24662"/>
      <w:bookmarkStart w:id="426" w:name="_Toc5698"/>
      <w:bookmarkStart w:id="427" w:name="_Toc2375"/>
      <w:bookmarkStart w:id="428" w:name="_Toc3079"/>
      <w:bookmarkStart w:id="429" w:name="_Toc8586"/>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25"/>
      <w:bookmarkEnd w:id="426"/>
      <w:bookmarkEnd w:id="427"/>
      <w:bookmarkEnd w:id="428"/>
      <w:bookmarkEnd w:id="429"/>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3"/>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430" w:name="_Toc9497"/>
      <w:bookmarkStart w:id="431" w:name="_Toc32454"/>
      <w:bookmarkStart w:id="432" w:name="_Toc30329"/>
      <w:bookmarkStart w:id="433" w:name="_Toc18683"/>
      <w:bookmarkStart w:id="434" w:name="_Toc26807"/>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30"/>
    <w:bookmarkEnd w:id="431"/>
    <w:bookmarkEnd w:id="432"/>
    <w:bookmarkEnd w:id="433"/>
    <w:bookmarkEnd w:id="434"/>
    <w:p>
      <w:pPr>
        <w:spacing w:line="560" w:lineRule="exact"/>
        <w:ind w:firstLine="482" w:firstLineChars="200"/>
        <w:outlineLvl w:val="0"/>
        <w:rPr>
          <w:rFonts w:ascii="宋体" w:hAnsi="宋体" w:cs="宋体"/>
          <w:b/>
          <w:sz w:val="24"/>
        </w:rPr>
      </w:pPr>
      <w:bookmarkStart w:id="435" w:name="_Toc15583"/>
      <w:bookmarkStart w:id="436" w:name="_Toc28375"/>
      <w:bookmarkStart w:id="437" w:name="_Toc16021"/>
      <w:r>
        <w:rPr>
          <w:rFonts w:hint="eastAsia" w:ascii="宋体" w:hAnsi="宋体" w:cs="宋体"/>
          <w:b/>
          <w:sz w:val="24"/>
        </w:rPr>
        <w:t>1.9合同争议的解决</w:t>
      </w:r>
      <w:bookmarkEnd w:id="435"/>
      <w:bookmarkEnd w:id="436"/>
      <w:bookmarkEnd w:id="437"/>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38" w:name="_Toc7245"/>
      <w:bookmarkStart w:id="439" w:name="_Toc15322"/>
      <w:bookmarkStart w:id="440" w:name="_Toc11173"/>
      <w:r>
        <w:rPr>
          <w:rFonts w:hint="eastAsia" w:ascii="宋体" w:hAnsi="宋体" w:cs="宋体"/>
          <w:b/>
          <w:sz w:val="24"/>
        </w:rPr>
        <w:t>2.0 合同生效</w:t>
      </w:r>
      <w:bookmarkEnd w:id="438"/>
      <w:bookmarkEnd w:id="439"/>
      <w:bookmarkEnd w:id="440"/>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699"/>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41" w:name="_Toc31297"/>
      <w:bookmarkStart w:id="442" w:name="_Toc14021"/>
      <w:bookmarkStart w:id="443" w:name="_Toc25079"/>
      <w:bookmarkStart w:id="444" w:name="_Toc19680"/>
      <w:bookmarkStart w:id="445" w:name="_Toc5228"/>
      <w:r>
        <w:rPr>
          <w:rFonts w:ascii="宋体" w:hAnsi="宋体"/>
          <w:b/>
          <w:sz w:val="24"/>
        </w:rPr>
        <w:t>2.1 定义</w:t>
      </w:r>
      <w:bookmarkEnd w:id="441"/>
      <w:bookmarkEnd w:id="442"/>
      <w:bookmarkEnd w:id="443"/>
      <w:bookmarkEnd w:id="444"/>
      <w:bookmarkEnd w:id="445"/>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6" w:name="_Toc19539"/>
      <w:bookmarkStart w:id="447" w:name="_Toc31402"/>
      <w:bookmarkStart w:id="448" w:name="_Toc3769"/>
      <w:bookmarkStart w:id="449" w:name="_Toc16752"/>
      <w:bookmarkStart w:id="450" w:name="_Toc23289"/>
      <w:r>
        <w:rPr>
          <w:rFonts w:ascii="宋体" w:hAnsi="宋体"/>
          <w:b/>
          <w:sz w:val="24"/>
        </w:rPr>
        <w:t>2.2 技术规范</w:t>
      </w:r>
      <w:bookmarkEnd w:id="446"/>
      <w:bookmarkEnd w:id="447"/>
      <w:bookmarkEnd w:id="448"/>
      <w:bookmarkEnd w:id="449"/>
      <w:bookmarkEnd w:id="450"/>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51" w:name="_Toc27945"/>
      <w:bookmarkStart w:id="452" w:name="_Toc13673"/>
      <w:bookmarkStart w:id="453" w:name="_Toc4133"/>
      <w:bookmarkStart w:id="454" w:name="_Toc9161"/>
      <w:bookmarkStart w:id="455" w:name="_Toc12412"/>
      <w:r>
        <w:rPr>
          <w:rFonts w:ascii="宋体" w:hAnsi="宋体"/>
          <w:b/>
          <w:sz w:val="24"/>
        </w:rPr>
        <w:t>2.3 知识产权</w:t>
      </w:r>
      <w:bookmarkEnd w:id="451"/>
      <w:bookmarkEnd w:id="452"/>
      <w:bookmarkEnd w:id="453"/>
      <w:bookmarkEnd w:id="454"/>
      <w:bookmarkEnd w:id="455"/>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6" w:name="_Toc26555"/>
      <w:bookmarkStart w:id="457" w:name="_Toc22011"/>
      <w:bookmarkStart w:id="458" w:name="_Toc32670"/>
      <w:bookmarkStart w:id="459" w:name="_Toc15447"/>
      <w:bookmarkStart w:id="460" w:name="_Toc31233"/>
      <w:r>
        <w:rPr>
          <w:rFonts w:ascii="宋体" w:hAnsi="宋体"/>
          <w:b/>
          <w:sz w:val="24"/>
        </w:rPr>
        <w:t>2.5 结算方式和付款条件</w:t>
      </w:r>
      <w:bookmarkEnd w:id="456"/>
      <w:bookmarkEnd w:id="457"/>
      <w:bookmarkEnd w:id="458"/>
      <w:bookmarkEnd w:id="459"/>
      <w:bookmarkEnd w:id="460"/>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61" w:name="_Toc16163"/>
      <w:bookmarkStart w:id="462" w:name="_Toc18990"/>
      <w:bookmarkStart w:id="463" w:name="_Toc13467"/>
      <w:bookmarkStart w:id="464" w:name="_Toc30507"/>
      <w:bookmarkStart w:id="465" w:name="_Toc13154"/>
      <w:r>
        <w:rPr>
          <w:rFonts w:ascii="宋体" w:hAnsi="宋体"/>
          <w:b/>
          <w:sz w:val="24"/>
        </w:rPr>
        <w:t>2.6 技术资料和保密义务</w:t>
      </w:r>
      <w:bookmarkEnd w:id="461"/>
      <w:bookmarkEnd w:id="462"/>
      <w:bookmarkEnd w:id="463"/>
      <w:bookmarkEnd w:id="464"/>
      <w:bookmarkEnd w:id="465"/>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6" w:name="_Toc19069"/>
      <w:r>
        <w:rPr>
          <w:rFonts w:ascii="宋体" w:hAnsi="宋体"/>
          <w:b/>
          <w:sz w:val="24"/>
        </w:rPr>
        <w:t xml:space="preserve">2.7 </w:t>
      </w:r>
      <w:r>
        <w:rPr>
          <w:rFonts w:hint="eastAsia" w:ascii="宋体" w:hAnsi="宋体"/>
          <w:b/>
          <w:sz w:val="24"/>
        </w:rPr>
        <w:t>质量保证</w:t>
      </w:r>
      <w:bookmarkEnd w:id="466"/>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7" w:name="_Toc22267"/>
      <w:r>
        <w:rPr>
          <w:rFonts w:ascii="宋体" w:hAnsi="宋体"/>
          <w:b/>
          <w:sz w:val="24"/>
        </w:rPr>
        <w:t xml:space="preserve">2.8 </w:t>
      </w:r>
      <w:r>
        <w:rPr>
          <w:rFonts w:hint="eastAsia" w:ascii="宋体" w:hAnsi="宋体"/>
          <w:b/>
          <w:sz w:val="24"/>
        </w:rPr>
        <w:t>延迟履行</w:t>
      </w:r>
      <w:bookmarkEnd w:id="467"/>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68" w:name="_Toc10611"/>
      <w:r>
        <w:rPr>
          <w:rFonts w:ascii="宋体" w:hAnsi="宋体"/>
          <w:b/>
          <w:sz w:val="24"/>
        </w:rPr>
        <w:t xml:space="preserve">2.9 </w:t>
      </w:r>
      <w:r>
        <w:rPr>
          <w:rFonts w:hint="eastAsia" w:ascii="宋体" w:hAnsi="宋体"/>
          <w:b/>
          <w:sz w:val="24"/>
        </w:rPr>
        <w:t>合同变更</w:t>
      </w:r>
      <w:bookmarkEnd w:id="468"/>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9" w:name="_Toc10663"/>
      <w:bookmarkStart w:id="470" w:name="_Toc26689"/>
      <w:bookmarkStart w:id="471" w:name="_Toc23368"/>
      <w:bookmarkStart w:id="472" w:name="_Toc21830"/>
      <w:bookmarkStart w:id="473" w:name="_Toc42"/>
      <w:r>
        <w:rPr>
          <w:rFonts w:ascii="宋体" w:hAnsi="宋体"/>
          <w:b/>
          <w:sz w:val="24"/>
        </w:rPr>
        <w:t>2.10 合同转让和分包</w:t>
      </w:r>
      <w:bookmarkEnd w:id="469"/>
      <w:bookmarkEnd w:id="470"/>
      <w:bookmarkEnd w:id="471"/>
      <w:bookmarkEnd w:id="472"/>
      <w:bookmarkEnd w:id="473"/>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74" w:name="_Toc4720"/>
      <w:bookmarkStart w:id="475" w:name="_Toc32494"/>
      <w:bookmarkStart w:id="476" w:name="_Toc26633"/>
      <w:bookmarkStart w:id="477" w:name="_Toc14371"/>
      <w:bookmarkStart w:id="478" w:name="_Toc25571"/>
      <w:r>
        <w:rPr>
          <w:rFonts w:ascii="宋体" w:hAnsi="宋体"/>
          <w:b/>
          <w:sz w:val="24"/>
        </w:rPr>
        <w:t>2.11 不可抗力</w:t>
      </w:r>
      <w:bookmarkEnd w:id="474"/>
      <w:bookmarkEnd w:id="475"/>
      <w:bookmarkEnd w:id="476"/>
      <w:bookmarkEnd w:id="477"/>
      <w:bookmarkEnd w:id="478"/>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79" w:name="_Toc23854"/>
      <w:bookmarkStart w:id="480" w:name="_Toc25783"/>
      <w:bookmarkStart w:id="481" w:name="_Toc24465"/>
      <w:bookmarkStart w:id="482" w:name="_Toc3638"/>
      <w:bookmarkStart w:id="483" w:name="_Toc14115"/>
      <w:r>
        <w:rPr>
          <w:rFonts w:ascii="宋体" w:hAnsi="宋体"/>
          <w:b/>
          <w:sz w:val="24"/>
        </w:rPr>
        <w:t>2.12 税费</w:t>
      </w:r>
      <w:bookmarkEnd w:id="479"/>
      <w:bookmarkEnd w:id="480"/>
      <w:bookmarkEnd w:id="481"/>
      <w:bookmarkEnd w:id="482"/>
      <w:bookmarkEnd w:id="483"/>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84" w:name="_Toc26883"/>
      <w:bookmarkStart w:id="485" w:name="_Toc7315"/>
      <w:bookmarkStart w:id="486" w:name="_Toc30105"/>
      <w:bookmarkStart w:id="487" w:name="_Toc14814"/>
      <w:bookmarkStart w:id="488" w:name="_Toc25525"/>
      <w:r>
        <w:rPr>
          <w:rFonts w:ascii="宋体" w:hAnsi="宋体"/>
          <w:b/>
          <w:sz w:val="24"/>
        </w:rPr>
        <w:t>2.13 乙方破产</w:t>
      </w:r>
      <w:bookmarkEnd w:id="484"/>
      <w:bookmarkEnd w:id="485"/>
      <w:bookmarkEnd w:id="486"/>
      <w:bookmarkEnd w:id="487"/>
      <w:bookmarkEnd w:id="488"/>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89" w:name="_Toc1123"/>
      <w:bookmarkStart w:id="490" w:name="_Toc2016"/>
      <w:bookmarkStart w:id="491" w:name="_Toc23323"/>
      <w:r>
        <w:rPr>
          <w:rFonts w:ascii="宋体" w:hAnsi="宋体"/>
          <w:b/>
          <w:sz w:val="24"/>
        </w:rPr>
        <w:t>2.14 合同中止、终止</w:t>
      </w:r>
      <w:bookmarkEnd w:id="489"/>
      <w:bookmarkEnd w:id="490"/>
      <w:bookmarkEnd w:id="491"/>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92" w:name="_Toc14525"/>
      <w:bookmarkStart w:id="493" w:name="_Toc1969"/>
      <w:bookmarkStart w:id="494" w:name="_Toc17363"/>
      <w:r>
        <w:rPr>
          <w:rFonts w:ascii="宋体" w:hAnsi="宋体"/>
          <w:b/>
          <w:sz w:val="24"/>
        </w:rPr>
        <w:t>2.15 检验和验收</w:t>
      </w:r>
      <w:bookmarkEnd w:id="492"/>
      <w:bookmarkEnd w:id="493"/>
      <w:bookmarkEnd w:id="494"/>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95" w:name="_Toc12666"/>
      <w:bookmarkStart w:id="496" w:name="_Toc9808"/>
      <w:bookmarkStart w:id="497" w:name="_Toc31892"/>
      <w:bookmarkStart w:id="498" w:name="_Toc25198"/>
      <w:bookmarkStart w:id="499" w:name="_Toc2308"/>
      <w:r>
        <w:rPr>
          <w:rFonts w:ascii="宋体" w:hAnsi="宋体"/>
          <w:b/>
          <w:sz w:val="24"/>
        </w:rPr>
        <w:t>2.16 通知和送达</w:t>
      </w:r>
      <w:bookmarkEnd w:id="495"/>
      <w:bookmarkEnd w:id="496"/>
      <w:bookmarkEnd w:id="497"/>
      <w:bookmarkEnd w:id="498"/>
      <w:bookmarkEnd w:id="499"/>
    </w:p>
    <w:p>
      <w:pPr>
        <w:spacing w:line="560" w:lineRule="exact"/>
        <w:ind w:firstLine="480" w:firstLineChars="200"/>
        <w:rPr>
          <w:rFonts w:ascii="宋体" w:hAnsi="宋体"/>
          <w:sz w:val="24"/>
        </w:rPr>
      </w:pPr>
      <w:bookmarkStart w:id="500" w:name="_Toc27674"/>
      <w:bookmarkStart w:id="501" w:name="_Toc18401"/>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500"/>
      <w:bookmarkEnd w:id="501"/>
    </w:p>
    <w:p>
      <w:pPr>
        <w:spacing w:line="560" w:lineRule="exact"/>
        <w:ind w:firstLine="482" w:firstLineChars="200"/>
        <w:outlineLvl w:val="0"/>
        <w:rPr>
          <w:rFonts w:ascii="宋体" w:hAnsi="宋体"/>
          <w:b/>
          <w:sz w:val="24"/>
        </w:rPr>
      </w:pPr>
      <w:bookmarkStart w:id="502" w:name="_Toc28906"/>
      <w:bookmarkStart w:id="503" w:name="_Toc5063"/>
      <w:bookmarkStart w:id="504" w:name="_Toc27644"/>
      <w:bookmarkStart w:id="505" w:name="_Toc12254"/>
      <w:bookmarkStart w:id="506" w:name="_Toc20808"/>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502"/>
      <w:bookmarkEnd w:id="503"/>
      <w:bookmarkEnd w:id="504"/>
      <w:bookmarkEnd w:id="505"/>
      <w:bookmarkEnd w:id="506"/>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507" w:name="_Toc30599"/>
      <w:bookmarkStart w:id="508" w:name="_Toc18540"/>
      <w:bookmarkStart w:id="509" w:name="_Toc4355"/>
      <w:r>
        <w:rPr>
          <w:rFonts w:hint="eastAsia" w:ascii="宋体" w:hAnsi="宋体" w:cs="宋体"/>
          <w:b/>
          <w:sz w:val="24"/>
        </w:rPr>
        <w:t>2.18 计量单位</w:t>
      </w:r>
      <w:bookmarkEnd w:id="507"/>
      <w:bookmarkEnd w:id="508"/>
      <w:bookmarkEnd w:id="509"/>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10" w:name="_Toc331685784"/>
      <w:r>
        <w:rPr>
          <w:rFonts w:hint="eastAsia" w:ascii="宋体" w:hAnsi="宋体" w:cs="宋体"/>
          <w:b/>
          <w:sz w:val="24"/>
        </w:rPr>
        <w:t xml:space="preserve"> </w:t>
      </w:r>
      <w:bookmarkEnd w:id="510"/>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46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4464" w:type="pct"/>
            <w:vAlign w:val="center"/>
          </w:tcPr>
          <w:p>
            <w:pPr>
              <w:jc w:val="left"/>
              <w:outlineLvl w:val="0"/>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464" w:type="pct"/>
            <w:vAlign w:val="center"/>
          </w:tcPr>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kern w:val="0"/>
                <w:sz w:val="24"/>
              </w:rPr>
              <w:t>1.5.1</w:t>
            </w:r>
          </w:p>
        </w:tc>
        <w:tc>
          <w:tcPr>
            <w:tcW w:w="4464" w:type="pct"/>
            <w:vAlign w:val="center"/>
          </w:tcPr>
          <w:p>
            <w:pPr>
              <w:jc w:val="left"/>
              <w:outlineLvl w:val="0"/>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464" w:type="pct"/>
            <w:vAlign w:val="center"/>
          </w:tcPr>
          <w:p>
            <w:pPr>
              <w:jc w:val="left"/>
              <w:outlineLvl w:val="0"/>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sz w:val="24"/>
                <w:lang w:val="en-US" w:eastAsia="zh-CN"/>
              </w:rPr>
            </w:pPr>
            <w:r>
              <w:rPr>
                <w:rFonts w:hint="eastAsia" w:ascii="宋体" w:hAnsi="宋体" w:cs="宋体"/>
                <w:sz w:val="24"/>
              </w:rPr>
              <w:t>1.5.</w:t>
            </w:r>
            <w:r>
              <w:rPr>
                <w:rFonts w:hint="eastAsia" w:ascii="宋体" w:hAnsi="宋体" w:cs="宋体"/>
                <w:sz w:val="24"/>
                <w:lang w:val="en-US" w:eastAsia="zh-CN"/>
              </w:rPr>
              <w:t>3</w:t>
            </w:r>
          </w:p>
        </w:tc>
        <w:tc>
          <w:tcPr>
            <w:tcW w:w="4464" w:type="pct"/>
            <w:vAlign w:val="center"/>
          </w:tcPr>
          <w:p>
            <w:pPr>
              <w:jc w:val="left"/>
              <w:outlineLvl w:val="0"/>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952"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464" w:type="pct"/>
            <w:vAlign w:val="center"/>
          </w:tcPr>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支付方式：服务外包费每季度结算一次，经采购人考核合格后于下季度10日前支付上季度的服务外包费，人数按实结算，具体支付金额以本次采购成交单价*实际人数为准，支付比例条款以合同签订为准。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ascii="宋体" w:hAnsi="宋体"/>
                <w:sz w:val="24"/>
              </w:rPr>
              <w:t>1.</w:t>
            </w:r>
            <w:r>
              <w:rPr>
                <w:rFonts w:hint="eastAsia" w:ascii="宋体" w:hAnsi="宋体"/>
                <w:sz w:val="24"/>
              </w:rPr>
              <w:t>7</w:t>
            </w:r>
            <w:r>
              <w:rPr>
                <w:rFonts w:ascii="宋体" w:hAnsi="宋体"/>
                <w:sz w:val="24"/>
              </w:rPr>
              <w:t>.1</w:t>
            </w:r>
          </w:p>
        </w:tc>
        <w:tc>
          <w:tcPr>
            <w:tcW w:w="4464" w:type="pct"/>
            <w:vAlign w:val="center"/>
          </w:tcPr>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履行期限：合同签订起至2023年12月31日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ascii="宋体" w:hAnsi="宋体"/>
                <w:sz w:val="24"/>
              </w:rPr>
              <w:t>1.</w:t>
            </w:r>
            <w:r>
              <w:rPr>
                <w:rFonts w:hint="eastAsia" w:ascii="宋体" w:hAnsi="宋体"/>
                <w:sz w:val="24"/>
              </w:rPr>
              <w:t>7</w:t>
            </w:r>
            <w:r>
              <w:rPr>
                <w:rFonts w:ascii="宋体" w:hAnsi="宋体"/>
                <w:sz w:val="24"/>
              </w:rPr>
              <w:t>.2</w:t>
            </w:r>
          </w:p>
        </w:tc>
        <w:tc>
          <w:tcPr>
            <w:tcW w:w="4464" w:type="pct"/>
            <w:vAlign w:val="center"/>
          </w:tcPr>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履行地点：甲方指定地点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ascii="宋体" w:hAnsi="宋体"/>
                <w:sz w:val="24"/>
              </w:rPr>
              <w:t>1.</w:t>
            </w:r>
            <w:r>
              <w:rPr>
                <w:rFonts w:hint="eastAsia" w:ascii="宋体" w:hAnsi="宋体"/>
                <w:sz w:val="24"/>
              </w:rPr>
              <w:t>7</w:t>
            </w:r>
            <w:r>
              <w:rPr>
                <w:rFonts w:ascii="宋体" w:hAnsi="宋体"/>
                <w:sz w:val="24"/>
              </w:rPr>
              <w:t>.3</w:t>
            </w:r>
          </w:p>
        </w:tc>
        <w:tc>
          <w:tcPr>
            <w:tcW w:w="4464" w:type="pct"/>
            <w:vAlign w:val="center"/>
          </w:tcPr>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履行方式：现场履行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4464" w:type="pct"/>
            <w:vAlign w:val="center"/>
          </w:tcPr>
          <w:p>
            <w:pPr>
              <w:jc w:val="left"/>
              <w:outlineLvl w:val="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履行期限：合同签订起至2023年12月31日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4464" w:type="pct"/>
            <w:vAlign w:val="center"/>
          </w:tcPr>
          <w:p>
            <w:pPr>
              <w:jc w:val="left"/>
              <w:outlineLvl w:val="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履行地点：甲方指定地点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4464" w:type="pct"/>
            <w:vAlign w:val="center"/>
          </w:tcPr>
          <w:p>
            <w:pPr>
              <w:jc w:val="left"/>
              <w:outlineLvl w:val="0"/>
              <w:rPr>
                <w:rFonts w:hint="eastAsia" w:asciiTheme="minorEastAsia" w:hAnsiTheme="minorEastAsia" w:eastAsiaTheme="minorEastAsia" w:cstheme="minorEastAsia"/>
                <w:color w:val="auto"/>
                <w:kern w:val="2"/>
                <w:sz w:val="24"/>
                <w:szCs w:val="24"/>
                <w:lang w:val="en-US" w:eastAsia="zh-CN" w:bidi="ar-SA"/>
              </w:rPr>
            </w:pPr>
            <w:r>
              <w:rPr>
                <w:rFonts w:hint="eastAsia" w:asciiTheme="minorEastAsia" w:hAnsiTheme="minorEastAsia" w:eastAsiaTheme="minorEastAsia" w:cstheme="minorEastAsia"/>
                <w:color w:val="auto"/>
                <w:sz w:val="24"/>
                <w:lang w:val="en-US" w:eastAsia="zh-CN"/>
              </w:rPr>
              <w:t>履行方式：现场履行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4464" w:type="pct"/>
            <w:vAlign w:val="center"/>
          </w:tcPr>
          <w:p>
            <w:pPr>
              <w:jc w:val="left"/>
              <w:outlineLvl w:val="0"/>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4464" w:type="pct"/>
            <w:vAlign w:val="center"/>
          </w:tcPr>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1．合同在履行过程中发生争议时，甲方与乙方及时协商解决。协商不成时，在甲方所在地的人民法院进行诉讼。</w:t>
            </w:r>
          </w:p>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2．对于因违反或终止合同而引起的损失、损害的赔偿，由甲方与乙方友好协商解决，经协商仍未能达成一致的，在甲方所地的人民法院进行诉讼。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sz w:val="24"/>
                <w:lang w:val="en-US" w:eastAsia="zh-CN"/>
              </w:rPr>
            </w:pPr>
            <w:r>
              <w:rPr>
                <w:rFonts w:hint="eastAsia" w:ascii="宋体" w:hAnsi="宋体" w:cs="宋体"/>
                <w:sz w:val="24"/>
              </w:rPr>
              <w:t>1.9.</w:t>
            </w:r>
            <w:r>
              <w:rPr>
                <w:rFonts w:hint="eastAsia" w:ascii="宋体" w:hAnsi="宋体" w:cs="宋体"/>
                <w:sz w:val="24"/>
                <w:lang w:val="en-US" w:eastAsia="zh-CN"/>
              </w:rPr>
              <w:t>2</w:t>
            </w:r>
          </w:p>
        </w:tc>
        <w:tc>
          <w:tcPr>
            <w:tcW w:w="4464" w:type="pct"/>
            <w:vAlign w:val="center"/>
          </w:tcPr>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1．合同在履行过程中发生争议时，甲方与乙方及时协商解决。协商不成时，在甲方所在地的人民法院进行诉讼。</w:t>
            </w:r>
          </w:p>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2．对于因违反或终止合同而引起的损失、损害的赔偿，由甲方与乙方友好协商解决，经协商仍未能达成一致的，在甲方所地的人民法院进行诉讼。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cs="宋体"/>
                <w:sz w:val="24"/>
              </w:rPr>
            </w:pPr>
            <w:r>
              <w:rPr>
                <w:rFonts w:ascii="宋体" w:hAnsi="宋体"/>
                <w:sz w:val="24"/>
              </w:rPr>
              <w:t>2.3.2</w:t>
            </w:r>
          </w:p>
        </w:tc>
        <w:tc>
          <w:tcPr>
            <w:tcW w:w="4464" w:type="pct"/>
            <w:vAlign w:val="center"/>
          </w:tcPr>
          <w:p>
            <w:pPr>
              <w:jc w:val="left"/>
              <w:outlineLvl w:val="0"/>
              <w:rPr>
                <w:rFonts w:hint="default"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2.5</w:t>
            </w:r>
          </w:p>
        </w:tc>
        <w:tc>
          <w:tcPr>
            <w:tcW w:w="4464" w:type="pct"/>
            <w:vAlign w:val="center"/>
          </w:tcPr>
          <w:p>
            <w:pPr>
              <w:jc w:val="left"/>
              <w:outlineLvl w:val="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结算方式和付款条件: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ascii="宋体" w:hAnsi="宋体"/>
                <w:sz w:val="24"/>
              </w:rPr>
              <w:t>2.15.3</w:t>
            </w:r>
          </w:p>
        </w:tc>
        <w:tc>
          <w:tcPr>
            <w:tcW w:w="4464" w:type="pct"/>
            <w:vAlign w:val="center"/>
          </w:tcPr>
          <w:p>
            <w:pPr>
              <w:spacing w:line="360" w:lineRule="auto"/>
              <w:rPr>
                <w:rFonts w:hint="eastAsia" w:ascii="宋体" w:hAnsi="宋体" w:cs="宋体"/>
                <w:sz w:val="24"/>
              </w:rPr>
            </w:pPr>
            <w:r>
              <w:rPr>
                <w:rFonts w:hint="eastAsia" w:ascii="宋体" w:hAnsi="宋体" w:cs="宋体"/>
                <w:sz w:val="24"/>
              </w:rPr>
              <w:t>检验和验收标准:</w:t>
            </w:r>
          </w:p>
          <w:p>
            <w:pPr>
              <w:spacing w:line="360" w:lineRule="auto"/>
              <w:rPr>
                <w:rFonts w:hint="eastAsia" w:ascii="宋体" w:hAnsi="宋体" w:cs="宋体"/>
                <w:sz w:val="24"/>
              </w:rPr>
            </w:pPr>
            <w:r>
              <w:rPr>
                <w:rFonts w:hint="eastAsia" w:ascii="宋体" w:hAnsi="宋体" w:cs="宋体"/>
                <w:sz w:val="24"/>
              </w:rPr>
              <w:t xml:space="preserve"> 1、依据《临安区政府采购合同履约和验收管理暂行办法》、采购文件要求、响应文件承诺和国家有关质量标准进行验收。设备试机，设备正常运行。</w:t>
            </w:r>
          </w:p>
          <w:p>
            <w:pPr>
              <w:spacing w:line="360" w:lineRule="auto"/>
              <w:rPr>
                <w:rFonts w:ascii="宋体" w:hAnsi="宋体" w:cs="宋体"/>
                <w:sz w:val="24"/>
              </w:rPr>
            </w:pPr>
            <w:r>
              <w:rPr>
                <w:rFonts w:hint="eastAsia" w:ascii="宋体" w:hAnsi="宋体" w:cs="宋体"/>
                <w:sz w:val="24"/>
              </w:rPr>
              <w:t>2、中标人应按照采购方要求组织验收，验收时中标人须在现场，验收合格后填写验收单。验收费用由中标人负责。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ascii="宋体" w:hAnsi="宋体"/>
                <w:b/>
                <w:sz w:val="24"/>
              </w:rPr>
              <w:t>2.</w:t>
            </w:r>
            <w:r>
              <w:rPr>
                <w:rFonts w:hint="eastAsia" w:ascii="宋体" w:hAnsi="宋体"/>
                <w:b/>
                <w:sz w:val="24"/>
              </w:rPr>
              <w:t>19</w:t>
            </w:r>
          </w:p>
        </w:tc>
        <w:tc>
          <w:tcPr>
            <w:tcW w:w="4464" w:type="pct"/>
            <w:vAlign w:val="center"/>
          </w:tcPr>
          <w:p>
            <w:pPr>
              <w:jc w:val="left"/>
              <w:outlineLvl w:val="0"/>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本合同一式拾玖份，甲方执肆份、各使用方两份，乙方执贰份，代理公司壹份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52" w:hRule="atLeast"/>
        </w:trPr>
        <w:tc>
          <w:tcPr>
            <w:tcW w:w="535" w:type="pct"/>
            <w:tcBorders>
              <w:left w:val="single" w:color="auto" w:sz="4" w:space="0"/>
            </w:tcBorders>
          </w:tcPr>
          <w:p>
            <w:pPr>
              <w:spacing w:line="360" w:lineRule="auto"/>
              <w:rPr>
                <w:rFonts w:ascii="宋体" w:hAnsi="宋体" w:cs="宋体"/>
                <w:sz w:val="24"/>
              </w:rPr>
            </w:pPr>
          </w:p>
        </w:tc>
        <w:tc>
          <w:tcPr>
            <w:tcW w:w="4464" w:type="pct"/>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firstLine="480" w:firstLineChars="200"/>
        <w:jc w:val="center"/>
        <w:outlineLvl w:val="0"/>
        <w:rPr>
          <w:rFonts w:ascii="宋体" w:hAnsi="宋体" w:cs="宋体"/>
          <w:sz w:val="24"/>
        </w:rPr>
      </w:pPr>
    </w:p>
    <w:p>
      <w:pPr>
        <w:rPr>
          <w:rFonts w:hint="eastAsia" w:ascii="宋体" w:hAnsi="宋体" w:cs="宋体"/>
          <w:b/>
          <w:sz w:val="36"/>
          <w:szCs w:val="20"/>
        </w:rPr>
      </w:pPr>
      <w:r>
        <w:rPr>
          <w:rFonts w:hint="eastAsia" w:ascii="宋体" w:hAnsi="宋体" w:cs="宋体"/>
          <w:b/>
          <w:sz w:val="36"/>
          <w:szCs w:val="20"/>
        </w:rPr>
        <w:br w:type="page"/>
      </w: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5"/>
      <w:r>
        <w:rPr>
          <w:rFonts w:hint="eastAsia" w:ascii="宋体" w:hAnsi="宋体" w:cs="宋体"/>
          <w:b/>
          <w:sz w:val="36"/>
          <w:szCs w:val="20"/>
        </w:rPr>
        <w:t xml:space="preserve"> </w:t>
      </w:r>
      <w:bookmarkEnd w:id="396"/>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0000FF"/>
          <w:sz w:val="24"/>
        </w:rPr>
        <w:t>（采购编号）</w:t>
      </w:r>
      <w:r>
        <w:rPr>
          <w:rFonts w:hint="eastAsia" w:ascii="宋体" w:hAnsi="宋体" w:cs="宋体"/>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w:t>
      </w:r>
      <w:r>
        <w:rPr>
          <w:rFonts w:hint="eastAsia" w:ascii="宋体" w:hAnsi="宋体" w:cs="宋体"/>
          <w:b/>
          <w:color w:val="0000FF"/>
          <w:kern w:val="0"/>
          <w:sz w:val="32"/>
          <w:szCs w:val="32"/>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sz w:val="24"/>
        </w:rPr>
      </w:pPr>
      <w:r>
        <w:rPr>
          <w:rFonts w:hint="eastAsia" w:ascii="宋体" w:hAnsi="宋体" w:cs="宋体"/>
          <w:b/>
          <w:sz w:val="24"/>
        </w:rPr>
        <w:t>C、</w:t>
      </w:r>
      <w:r>
        <w:rPr>
          <w:rFonts w:hint="eastAsia" w:ascii="宋体" w:hAnsi="宋体" w:cs="宋体"/>
          <w:sz w:val="24"/>
        </w:rPr>
        <w:t>要求合同分包的，提供分包意向协议（附件6）和中小企业声明函（附件</w:t>
      </w:r>
      <w:r>
        <w:rPr>
          <w:rFonts w:ascii="宋体" w:hAnsi="宋体" w:cs="宋体"/>
          <w:sz w:val="24"/>
        </w:rPr>
        <w:t>7</w:t>
      </w:r>
      <w:r>
        <w:rPr>
          <w:rFonts w:hint="eastAsia" w:ascii="宋体" w:hAnsi="宋体" w:cs="宋体"/>
          <w:sz w:val="24"/>
        </w:rPr>
        <w:t>），分包意向协议中中小企业合同金额应当达到招标公告载明的比例；如果供应商本身提供所有标的均由中小企业承接的，</w:t>
      </w:r>
      <w:r>
        <w:rPr>
          <w:rFonts w:hint="eastAsia" w:ascii="宋体" w:hAnsi="宋体" w:cs="宋体"/>
          <w:color w:val="0000FF"/>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color w:val="0000FF"/>
          <w:sz w:val="24"/>
        </w:rPr>
        <w:t>（采购人）</w:t>
      </w:r>
      <w:r>
        <w:rPr>
          <w:rFonts w:hint="eastAsia" w:ascii="宋体" w:hAnsi="宋体" w:cs="宋体"/>
          <w:sz w:val="24"/>
        </w:rPr>
        <w:t>、（采购代理机构）：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w:t>
      </w:r>
      <w:r>
        <w:rPr>
          <w:rFonts w:hint="eastAsia" w:ascii="宋体" w:hAnsi="宋体" w:cs="宋体"/>
          <w:color w:val="0000FF"/>
          <w:sz w:val="24"/>
        </w:rPr>
        <w:t>（项目名称）</w:t>
      </w:r>
      <w:r>
        <w:rPr>
          <w:rFonts w:hint="eastAsia" w:ascii="宋体" w:hAnsi="宋体" w:cs="宋体"/>
          <w:sz w:val="24"/>
        </w:rPr>
        <w:t>【招标编号</w:t>
      </w:r>
      <w:r>
        <w:rPr>
          <w:rFonts w:hint="eastAsia" w:ascii="宋体" w:hAnsi="宋体" w:cs="宋体"/>
          <w:color w:val="0000FF"/>
          <w:sz w:val="24"/>
        </w:rPr>
        <w:t>：（采购编号）</w:t>
      </w:r>
      <w:r>
        <w:rPr>
          <w:rFonts w:hint="eastAsia" w:ascii="宋体" w:hAnsi="宋体" w:cs="宋体"/>
          <w:sz w:val="24"/>
        </w:rPr>
        <w:t>】招标的有关活动，并对此项目进行投标。为此：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2.1.1承诺函；</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2.1.2</w:t>
      </w:r>
      <w:r>
        <w:rPr>
          <w:rFonts w:hint="eastAsia" w:ascii="宋体" w:hAnsi="宋体" w:cs="宋体"/>
          <w:snapToGrid w:val="0"/>
          <w:kern w:val="28"/>
          <w:sz w:val="24"/>
          <w:szCs w:val="20"/>
        </w:rPr>
        <w:t>联合协议</w:t>
      </w:r>
      <w:bookmarkStart w:id="511" w:name="_Hlk101257010"/>
      <w:r>
        <w:rPr>
          <w:rFonts w:hint="eastAsia" w:ascii="宋体" w:hAnsi="宋体" w:cs="宋体"/>
          <w:color w:val="0000FF"/>
          <w:sz w:val="24"/>
        </w:rPr>
        <w:t>（如果有)</w:t>
      </w:r>
      <w:bookmarkEnd w:id="511"/>
      <w:r>
        <w:rPr>
          <w:rFonts w:hint="eastAsia" w:ascii="宋体" w:hAnsi="宋体" w:cs="宋体"/>
          <w:snapToGrid w:val="0"/>
          <w:color w:val="0000FF"/>
          <w:kern w:val="28"/>
          <w:sz w:val="24"/>
          <w:szCs w:val="20"/>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w:t>
      </w:r>
      <w:r>
        <w:rPr>
          <w:rFonts w:ascii="宋体" w:hAnsi="宋体" w:cs="宋体"/>
          <w:sz w:val="24"/>
        </w:rPr>
        <w:t>.1.3</w:t>
      </w:r>
      <w:r>
        <w:rPr>
          <w:rFonts w:hint="eastAsia" w:ascii="宋体" w:hAnsi="宋体" w:cs="宋体"/>
          <w:sz w:val="24"/>
        </w:rPr>
        <w:t>落实政府采购政策需满足的资格要求</w:t>
      </w:r>
      <w:r>
        <w:rPr>
          <w:rFonts w:hint="eastAsia" w:ascii="宋体" w:hAnsi="宋体" w:cs="宋体"/>
          <w:color w:val="0000FF"/>
          <w:sz w:val="24"/>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2.1.</w:t>
      </w:r>
      <w:r>
        <w:rPr>
          <w:rFonts w:ascii="宋体" w:hAnsi="宋体" w:cs="宋体"/>
          <w:sz w:val="24"/>
        </w:rPr>
        <w:t>4</w:t>
      </w:r>
      <w:r>
        <w:rPr>
          <w:rFonts w:hint="eastAsia" w:ascii="宋体" w:hAnsi="宋体" w:cs="宋体"/>
          <w:sz w:val="24"/>
        </w:rPr>
        <w:t>本项目的特定资格要求。</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color w:val="0000FF"/>
          <w:sz w:val="24"/>
        </w:rPr>
        <w:t>（如果有)</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3"/>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rPr>
        <w:t>（项目名称）【招标编号：（采购编号）】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6"/>
        <w:spacing w:line="360" w:lineRule="auto"/>
        <w:rPr>
          <w:rFonts w:hAnsi="宋体" w:cs="宋体"/>
          <w:bCs/>
          <w:sz w:val="24"/>
        </w:rPr>
      </w:pPr>
      <w:r>
        <w:rPr>
          <w:rFonts w:hint="eastAsia" w:hAnsi="宋体" w:cs="宋体"/>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sz w:val="24"/>
              </w:rPr>
            </w:pPr>
            <w:r>
              <w:rPr>
                <w:rFonts w:hint="eastAsia" w:hAnsi="宋体" w:cs="宋体"/>
                <w:bCs/>
                <w:sz w:val="24"/>
              </w:rPr>
              <w:t>正面：                                 反面：</w:t>
            </w:r>
          </w:p>
          <w:p>
            <w:pPr>
              <w:pStyle w:val="146"/>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rPr>
      </w:pPr>
      <w:r>
        <w:rPr>
          <w:rFonts w:hint="eastAsia" w:ascii="宋体" w:hAnsi="宋体" w:cs="宋体"/>
          <w:b/>
          <w:color w:val="auto"/>
          <w:kern w:val="0"/>
          <w:sz w:val="32"/>
          <w:szCs w:val="32"/>
        </w:rPr>
        <w:t>三、分包意向协议（如果有）</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w:t>
      </w:r>
      <w:r>
        <w:rPr>
          <w:rFonts w:hint="eastAsia" w:ascii="宋体" w:hAnsi="宋体" w:cs="宋体"/>
          <w:kern w:val="0"/>
          <w:sz w:val="24"/>
          <w:lang w:val="zh-CN"/>
        </w:rPr>
        <w:t>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rPr>
        <w:t>（项目名称）</w:t>
      </w:r>
      <w:r>
        <w:rPr>
          <w:rFonts w:hint="eastAsia" w:ascii="宋体" w:hAnsi="宋体" w:cs="宋体"/>
          <w:color w:val="auto"/>
          <w:kern w:val="0"/>
          <w:sz w:val="24"/>
          <w:lang w:val="zh-CN"/>
        </w:rPr>
        <w:t>【招标编号：</w:t>
      </w:r>
      <w:r>
        <w:rPr>
          <w:rFonts w:hint="eastAsia" w:ascii="宋体" w:hAnsi="宋体" w:cs="宋体"/>
          <w:color w:val="auto"/>
          <w:sz w:val="24"/>
        </w:rPr>
        <w:t>（采购编号）】的实施</w:t>
      </w:r>
      <w:r>
        <w:rPr>
          <w:rFonts w:hint="eastAsia" w:ascii="宋体" w:hAnsi="宋体" w:cs="宋体"/>
          <w:color w:val="auto"/>
          <w:kern w:val="0"/>
          <w:sz w:val="24"/>
          <w:lang w:val="zh-CN"/>
        </w:rPr>
        <w:t>。</w:t>
      </w:r>
    </w:p>
    <w:p>
      <w:pPr>
        <w:spacing w:line="360" w:lineRule="auto"/>
        <w:jc w:val="center"/>
        <w:rPr>
          <w:rFonts w:ascii="宋体" w:hAnsi="宋体" w:cs="宋体"/>
          <w:b/>
          <w:color w:val="auto"/>
          <w:kern w:val="0"/>
          <w:sz w:val="24"/>
          <w:lang w:val="zh-CN"/>
        </w:rPr>
      </w:pPr>
      <w:r>
        <w:rPr>
          <w:rFonts w:hint="eastAsia" w:ascii="宋体" w:hAnsi="宋体" w:cs="宋体"/>
          <w:b/>
          <w:color w:val="auto"/>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992"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2268" w:type="dxa"/>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服务范围</w:t>
            </w:r>
          </w:p>
        </w:tc>
        <w:tc>
          <w:tcPr>
            <w:tcW w:w="2410"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2268"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2126"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2127" w:type="dxa"/>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服务人数</w:t>
            </w:r>
          </w:p>
        </w:tc>
        <w:tc>
          <w:tcPr>
            <w:tcW w:w="2126" w:type="dxa"/>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992"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992"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992"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p>
        </w:tc>
        <w:tc>
          <w:tcPr>
            <w:tcW w:w="992"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p>
        </w:tc>
        <w:tc>
          <w:tcPr>
            <w:tcW w:w="992"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8647" w:type="dxa"/>
            <w:gridSpan w:val="4"/>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8647" w:type="dxa"/>
            <w:gridSpan w:val="4"/>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1、投标人需按本表格式填写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采购人将以合同形式有偿取得货物或服务，不接受投标人给予的赠品、回扣或者与采购无关的其他商品、服务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投标文件含有采购人不能接受的附加条件，投标无效</w:t>
      </w:r>
      <w:r>
        <w:rPr>
          <w:rFonts w:hint="eastAsia" w:ascii="宋体" w:hAnsi="宋体" w:cs="宋体"/>
          <w:b/>
          <w:kern w:val="0"/>
          <w:sz w:val="24"/>
          <w:lang w:val="zh-CN"/>
        </w:rPr>
        <w:t>；采购内容未包含在《开标一览表（报价表）》名称栏中，投标人不能作出合理解释的，</w:t>
      </w:r>
      <w:r>
        <w:rPr>
          <w:rFonts w:hint="eastAsia" w:ascii="宋体" w:hAnsi="宋体" w:cs="宋体"/>
          <w:b/>
          <w:kern w:val="0"/>
          <w:sz w:val="24"/>
        </w:rPr>
        <w:t>视为</w:t>
      </w:r>
      <w:r>
        <w:rPr>
          <w:rFonts w:hint="eastAsia" w:ascii="宋体" w:hAnsi="宋体" w:cs="宋体"/>
          <w:b/>
          <w:sz w:val="24"/>
        </w:rPr>
        <w:t>投标文件含有采购人不能接受的附加条件的，投标无效。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FF0000"/>
          <w:kern w:val="0"/>
          <w:sz w:val="24"/>
          <w:lang w:val="zh-CN"/>
        </w:rPr>
      </w:pPr>
      <w:r>
        <w:rPr>
          <w:rFonts w:ascii="宋体" w:hAnsi="宋体" w:cs="宋体"/>
          <w:color w:val="FF0000"/>
          <w:kern w:val="0"/>
          <w:sz w:val="24"/>
          <w:szCs w:val="22"/>
          <w:lang w:val="zh-CN"/>
        </w:rPr>
        <w:t>4</w:t>
      </w:r>
      <w:r>
        <w:rPr>
          <w:rFonts w:hint="eastAsia" w:ascii="宋体" w:hAnsi="宋体" w:cs="宋体"/>
          <w:color w:val="FF0000"/>
          <w:kern w:val="0"/>
          <w:sz w:val="24"/>
          <w:szCs w:val="22"/>
          <w:lang w:val="zh-CN"/>
        </w:rPr>
        <w:t>、</w:t>
      </w:r>
      <w:r>
        <w:rPr>
          <w:rFonts w:hint="eastAsia" w:ascii="宋体" w:hAnsi="宋体" w:cs="宋体"/>
          <w:color w:val="FF0000"/>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kern w:val="0"/>
          <w:sz w:val="24"/>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0"/>
        <w:keepNext w:val="0"/>
        <w:pageBreakBefore w:val="0"/>
        <w:tabs>
          <w:tab w:val="clear" w:pos="720"/>
        </w:tabs>
        <w:snapToGrid w:val="0"/>
        <w:spacing w:before="120" w:after="120"/>
        <w:ind w:firstLine="643"/>
        <w:outlineLvl w:val="9"/>
        <w:rPr>
          <w:rFonts w:ascii="宋体" w:hAnsi="宋体" w:eastAsia="宋体" w:cs="宋体"/>
          <w:b w:val="0"/>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2"/>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12" w:name="OLE_LINK14"/>
      <w:bookmarkStart w:id="513" w:name="OLE_LINK13"/>
      <w:r>
        <w:rPr>
          <w:rFonts w:hint="eastAsia" w:ascii="宋体" w:hAnsi="宋体" w:cs="宋体"/>
          <w:b/>
          <w:spacing w:val="6"/>
          <w:sz w:val="32"/>
          <w:szCs w:val="32"/>
        </w:rPr>
        <w:t>残疾人福利性单位声明函</w:t>
      </w:r>
    </w:p>
    <w:bookmarkEnd w:id="512"/>
    <w:bookmarkEnd w:id="513"/>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w:t>
      </w:r>
      <w:r>
        <w:rPr>
          <w:rFonts w:hint="eastAsia" w:ascii="宋体" w:hAnsi="宋体" w:cs="宋体"/>
          <w:color w:val="auto"/>
          <w:sz w:val="24"/>
        </w:rPr>
        <w:t>，且本单位参加_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__项目采购活动提供</w:t>
      </w:r>
      <w:r>
        <w:rPr>
          <w:rFonts w:hint="eastAsia" w:ascii="宋体" w:hAnsi="宋体" w:cs="宋体"/>
          <w:sz w:val="24"/>
        </w:rPr>
        <w:t>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color w:val="auto"/>
          <w:sz w:val="32"/>
          <w:szCs w:val="32"/>
        </w:rPr>
      </w:pPr>
      <w:r>
        <w:rPr>
          <w:rFonts w:hint="eastAsia" w:ascii="宋体" w:hAnsi="宋体" w:cs="宋体"/>
          <w:b/>
          <w:color w:val="auto"/>
          <w:spacing w:val="6"/>
          <w:sz w:val="32"/>
          <w:szCs w:val="32"/>
        </w:rPr>
        <w:t>附件4：</w:t>
      </w:r>
      <w:r>
        <w:rPr>
          <w:rFonts w:hint="eastAsia" w:ascii="宋体" w:hAnsi="宋体" w:cs="宋体"/>
          <w:b/>
          <w:bCs/>
          <w:color w:val="auto"/>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（采购人）、（采购代理机构）：</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你方组织的（项目名称）【招标编号：（采购编号）】</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right="480" w:firstLine="4080" w:firstLineChars="1700"/>
        <w:rPr>
          <w:rFonts w:ascii="宋体" w:hAnsi="宋体" w:cs="宋体"/>
          <w:color w:val="auto"/>
          <w:sz w:val="24"/>
        </w:rPr>
      </w:pPr>
      <w:r>
        <w:rPr>
          <w:rFonts w:hint="eastAsia" w:ascii="宋体" w:hAnsi="宋体" w:cs="宋体"/>
          <w:color w:val="auto"/>
          <w:sz w:val="24"/>
        </w:rPr>
        <w:t>投标单位（法定名称章）：</w:t>
      </w:r>
    </w:p>
    <w:p>
      <w:pPr>
        <w:ind w:right="1440" w:firstLine="494"/>
        <w:jc w:val="center"/>
        <w:rPr>
          <w:rFonts w:ascii="宋体" w:hAnsi="宋体" w:cs="宋体"/>
          <w:color w:val="auto"/>
          <w:sz w:val="24"/>
        </w:rPr>
      </w:pPr>
      <w:r>
        <w:rPr>
          <w:rFonts w:hint="eastAsia" w:ascii="宋体" w:hAnsi="宋体" w:cs="宋体"/>
          <w:color w:val="auto"/>
          <w:sz w:val="24"/>
        </w:rPr>
        <w:t xml:space="preserve">                              日期：       年     月     日</w:t>
      </w:r>
    </w:p>
    <w:p>
      <w:pPr>
        <w:rPr>
          <w:rFonts w:ascii="宋体" w:hAnsi="宋体" w:cs="宋体"/>
          <w:color w:val="auto"/>
          <w:sz w:val="24"/>
        </w:rPr>
      </w:pPr>
      <w:r>
        <w:rPr>
          <w:rFonts w:hint="eastAsia" w:ascii="宋体" w:hAnsi="宋体" w:cs="宋体"/>
          <w:b/>
          <w:bCs/>
          <w:color w:val="auto"/>
          <w:sz w:val="24"/>
        </w:rPr>
        <w:t>附：</w:t>
      </w:r>
    </w:p>
    <w:p>
      <w:pPr>
        <w:spacing w:line="360" w:lineRule="auto"/>
        <w:rPr>
          <w:rFonts w:ascii="宋体" w:hAnsi="宋体" w:cs="宋体"/>
          <w:bCs/>
          <w:color w:val="auto"/>
          <w:sz w:val="24"/>
        </w:rPr>
      </w:pPr>
      <w:r>
        <w:rPr>
          <w:rFonts w:hint="eastAsia" w:ascii="宋体" w:hAnsi="宋体" w:cs="宋体"/>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rPr>
        <w:t>投标单位法定名称章（印模）                投标单位“XX专用章”（印模）</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kern w:val="0"/>
          <w:sz w:val="32"/>
          <w:szCs w:val="32"/>
          <w:lang w:val="zh-CN"/>
        </w:rPr>
      </w:pPr>
      <w:r>
        <w:rPr>
          <w:rFonts w:hint="eastAsia" w:ascii="宋体" w:hAnsi="宋体" w:cs="宋体"/>
          <w:b/>
          <w:color w:val="auto"/>
          <w:spacing w:val="6"/>
          <w:sz w:val="32"/>
          <w:szCs w:val="32"/>
        </w:rPr>
        <w:t>附件</w:t>
      </w:r>
      <w:r>
        <w:rPr>
          <w:rFonts w:ascii="宋体" w:hAnsi="宋体" w:cs="宋体"/>
          <w:b/>
          <w:color w:val="auto"/>
          <w:spacing w:val="6"/>
          <w:sz w:val="32"/>
          <w:szCs w:val="32"/>
        </w:rPr>
        <w:t>5</w:t>
      </w:r>
      <w:r>
        <w:rPr>
          <w:rFonts w:hint="eastAsia" w:ascii="宋体" w:hAnsi="宋体" w:cs="宋体"/>
          <w:b/>
          <w:color w:val="auto"/>
          <w:spacing w:val="6"/>
          <w:sz w:val="32"/>
          <w:szCs w:val="32"/>
        </w:rPr>
        <w:t>：</w:t>
      </w:r>
      <w:r>
        <w:rPr>
          <w:rFonts w:hint="eastAsia" w:ascii="宋体" w:hAnsi="宋体" w:cs="宋体"/>
          <w:b/>
          <w:color w:val="auto"/>
          <w:kern w:val="0"/>
          <w:sz w:val="32"/>
          <w:szCs w:val="32"/>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三、本次联合投标中，分工如下：</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（联合体成员1）</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w:t>
      </w:r>
      <w:r>
        <w:rPr>
          <w:rFonts w:ascii="宋体" w:hAnsi="宋体" w:cs="宋体"/>
          <w:color w:val="auto"/>
          <w:kern w:val="0"/>
          <w:sz w:val="24"/>
          <w:u w:val="single"/>
        </w:rPr>
        <w:t>2</w:t>
      </w:r>
      <w:r>
        <w:rPr>
          <w:rFonts w:hint="eastAsia" w:ascii="宋体" w:hAnsi="宋体" w:cs="宋体"/>
          <w:color w:val="auto"/>
          <w:kern w:val="0"/>
          <w:sz w:val="24"/>
          <w:u w:val="single"/>
        </w:rPr>
        <w:t>）</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四、联合体成员中小企业合同份额。</w:t>
      </w:r>
    </w:p>
    <w:p>
      <w:pPr>
        <w:snapToGrid w:val="0"/>
        <w:spacing w:line="360" w:lineRule="auto"/>
        <w:ind w:firstLine="576"/>
        <w:rPr>
          <w:rFonts w:ascii="宋体" w:hAnsi="宋体" w:cs="宋体"/>
          <w:b/>
          <w:color w:val="auto"/>
          <w:kern w:val="0"/>
          <w:sz w:val="24"/>
          <w:lang w:val="zh-CN"/>
        </w:rPr>
      </w:pPr>
      <w:r>
        <w:rPr>
          <w:rFonts w:hint="eastAsia" w:ascii="宋体" w:hAnsi="宋体" w:cs="宋体"/>
          <w:color w:val="auto"/>
          <w:kern w:val="0"/>
          <w:sz w:val="24"/>
          <w:lang w:val="zh-CN"/>
        </w:rPr>
        <w:t>1、</w:t>
      </w:r>
      <w:r>
        <w:rPr>
          <w:rFonts w:hint="eastAsia" w:ascii="宋体" w:hAnsi="宋体" w:cs="宋体"/>
          <w:color w:val="auto"/>
          <w:kern w:val="0"/>
          <w:sz w:val="24"/>
          <w:u w:val="single"/>
        </w:rPr>
        <w:t>（</w:t>
      </w:r>
      <w:bookmarkStart w:id="514" w:name="_Hlk101131882"/>
      <w:r>
        <w:rPr>
          <w:rFonts w:hint="eastAsia" w:ascii="宋体" w:hAnsi="宋体" w:cs="宋体"/>
          <w:color w:val="auto"/>
          <w:kern w:val="0"/>
          <w:sz w:val="24"/>
          <w:u w:val="single"/>
        </w:rPr>
        <w:t>联合体成员X</w:t>
      </w:r>
      <w:r>
        <w:rPr>
          <w:rFonts w:ascii="宋体" w:hAnsi="宋体" w:cs="宋体"/>
          <w:color w:val="auto"/>
          <w:kern w:val="0"/>
          <w:sz w:val="24"/>
          <w:u w:val="single"/>
        </w:rPr>
        <w:t>,</w:t>
      </w:r>
      <w:r>
        <w:rPr>
          <w:rFonts w:hint="eastAsia" w:ascii="宋体" w:hAnsi="宋体" w:cs="宋体"/>
          <w:color w:val="auto"/>
          <w:kern w:val="0"/>
          <w:sz w:val="24"/>
          <w:u w:val="single"/>
        </w:rPr>
        <w:t>……</w:t>
      </w:r>
      <w:bookmarkEnd w:id="514"/>
      <w:r>
        <w:rPr>
          <w:rFonts w:hint="eastAsia" w:ascii="宋体" w:hAnsi="宋体" w:cs="宋体"/>
          <w:color w:val="auto"/>
          <w:kern w:val="0"/>
          <w:sz w:val="24"/>
          <w:u w:val="single"/>
        </w:rPr>
        <w:t>）</w:t>
      </w:r>
      <w:r>
        <w:rPr>
          <w:rFonts w:hint="eastAsia" w:ascii="宋体" w:hAnsi="宋体" w:cs="宋体"/>
          <w:color w:val="auto"/>
          <w:kern w:val="0"/>
          <w:sz w:val="24"/>
        </w:rPr>
        <w:t>提供的服务由小微企业承接，其合同份额占到合同总金额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kern w:val="0"/>
          <w:sz w:val="24"/>
          <w:lang w:val="zh-CN"/>
        </w:rPr>
        <w:t>。</w:t>
      </w:r>
      <w:r>
        <w:rPr>
          <w:rFonts w:hint="eastAsia" w:ascii="宋体" w:hAnsi="宋体" w:cs="宋体"/>
          <w:b/>
          <w:color w:val="auto"/>
          <w:kern w:val="0"/>
          <w:sz w:val="24"/>
          <w:lang w:val="zh-CN"/>
        </w:rPr>
        <w:t>（</w:t>
      </w:r>
      <w:bookmarkStart w:id="515" w:name="_Hlk101133598"/>
      <w:r>
        <w:rPr>
          <w:rFonts w:hint="eastAsia" w:ascii="宋体" w:hAnsi="宋体" w:cs="宋体"/>
          <w:b/>
          <w:color w:val="auto"/>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rPr>
        <w:t>拟享受以上价格扣除政策的，填写有关内容。</w:t>
      </w:r>
      <w:bookmarkEnd w:id="515"/>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w:t>
      </w:r>
      <w:bookmarkStart w:id="516" w:name="_Hlk101133173"/>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lang w:val="zh-CN"/>
        </w:rPr>
        <w:t>）</w:t>
      </w:r>
      <w:bookmarkEnd w:id="516"/>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五、如果中标，</w:t>
      </w:r>
      <w:r>
        <w:rPr>
          <w:rFonts w:hint="eastAsia" w:ascii="宋体" w:hAnsi="宋体" w:cs="宋体"/>
          <w:color w:val="auto"/>
          <w:sz w:val="24"/>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六、有关本次联合投标的其他事宜：</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right="960"/>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napToGrid w:val="0"/>
        <w:spacing w:line="360" w:lineRule="auto"/>
        <w:ind w:firstLine="3666" w:firstLineChars="1100"/>
        <w:rPr>
          <w:rFonts w:ascii="宋体" w:hAnsi="宋体" w:cs="宋体"/>
          <w:b/>
          <w:color w:val="auto"/>
          <w:spacing w:val="6"/>
          <w:sz w:val="32"/>
          <w:szCs w:val="32"/>
        </w:rPr>
      </w:pPr>
    </w:p>
    <w:p>
      <w:pPr>
        <w:widowControl/>
        <w:adjustRightInd/>
        <w:jc w:val="left"/>
        <w:rPr>
          <w:rFonts w:ascii="宋体" w:hAnsi="宋体" w:cs="宋体"/>
          <w:b/>
          <w:color w:val="auto"/>
          <w:spacing w:val="6"/>
          <w:sz w:val="32"/>
          <w:szCs w:val="32"/>
        </w:rPr>
      </w:pPr>
      <w:r>
        <w:rPr>
          <w:rFonts w:ascii="宋体" w:hAnsi="宋体" w:cs="宋体"/>
          <w:b/>
          <w:color w:val="auto"/>
          <w:spacing w:val="6"/>
          <w:sz w:val="32"/>
          <w:szCs w:val="32"/>
        </w:rPr>
        <w:br w:type="page"/>
      </w:r>
    </w:p>
    <w:p>
      <w:pPr>
        <w:snapToGrid w:val="0"/>
        <w:spacing w:line="360" w:lineRule="auto"/>
        <w:ind w:firstLine="3666" w:firstLineChars="1100"/>
        <w:rPr>
          <w:rFonts w:ascii="宋体" w:hAnsi="宋体" w:cs="宋体"/>
          <w:b/>
          <w:color w:val="auto"/>
          <w:kern w:val="0"/>
          <w:sz w:val="32"/>
          <w:szCs w:val="32"/>
        </w:rPr>
      </w:pPr>
      <w:r>
        <w:rPr>
          <w:rFonts w:hint="eastAsia" w:ascii="宋体" w:hAnsi="宋体" w:cs="宋体"/>
          <w:b/>
          <w:color w:val="auto"/>
          <w:spacing w:val="6"/>
          <w:sz w:val="32"/>
          <w:szCs w:val="32"/>
        </w:rPr>
        <w:t>附件</w:t>
      </w:r>
      <w:r>
        <w:rPr>
          <w:rFonts w:ascii="宋体" w:hAnsi="宋体" w:cs="宋体"/>
          <w:b/>
          <w:color w:val="auto"/>
          <w:spacing w:val="6"/>
          <w:sz w:val="32"/>
          <w:szCs w:val="32"/>
        </w:rPr>
        <w:t>6</w:t>
      </w:r>
      <w:r>
        <w:rPr>
          <w:rFonts w:hint="eastAsia" w:ascii="宋体" w:hAnsi="宋体" w:cs="宋体"/>
          <w:b/>
          <w:color w:val="auto"/>
          <w:spacing w:val="6"/>
          <w:sz w:val="32"/>
          <w:szCs w:val="32"/>
        </w:rPr>
        <w:t>：</w:t>
      </w:r>
      <w:r>
        <w:rPr>
          <w:rFonts w:hint="eastAsia" w:ascii="宋体" w:hAnsi="宋体" w:cs="宋体"/>
          <w:b/>
          <w:color w:val="auto"/>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中标后以分包方式履行合同的，提供分包意向协议；采购人不同意分包或者投标人中标后不以分包方式履行合同的，则不需要提供。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rPr>
        <w:t>（项目名称）【招标编号：（采购编号）】</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分包给</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w:t>
      </w:r>
      <w:r>
        <w:rPr>
          <w:rFonts w:hint="eastAsia" w:ascii="宋体" w:hAnsi="宋体" w:cs="宋体"/>
          <w:color w:val="auto"/>
          <w:kern w:val="0"/>
          <w:sz w:val="24"/>
          <w:u w:val="single"/>
        </w:rPr>
        <w:t>（分包供应商2名称），</w:t>
      </w:r>
      <w:r>
        <w:rPr>
          <w:rFonts w:hint="eastAsia" w:ascii="宋体" w:hAnsi="宋体" w:cs="宋体"/>
          <w:color w:val="auto"/>
          <w:kern w:val="0"/>
          <w:sz w:val="24"/>
          <w:lang w:val="zh-CN"/>
        </w:rPr>
        <w:t>具备承</w:t>
      </w:r>
      <w:r>
        <w:rPr>
          <w:rFonts w:hint="eastAsia" w:ascii="宋体" w:hAnsi="宋体" w:cs="宋体"/>
          <w:color w:val="auto"/>
          <w:kern w:val="0"/>
          <w:sz w:val="24"/>
        </w:rPr>
        <w:t>担</w:t>
      </w:r>
      <w:r>
        <w:rPr>
          <w:rFonts w:hint="eastAsia" w:ascii="宋体" w:hAnsi="宋体" w:cs="宋体"/>
          <w:color w:val="auto"/>
          <w:kern w:val="0"/>
          <w:sz w:val="24"/>
          <w:u w:val="single"/>
          <w:lang w:val="zh-CN"/>
        </w:rPr>
        <w:t>XX工作内容</w:t>
      </w:r>
      <w:r>
        <w:rPr>
          <w:rFonts w:hint="eastAsia" w:ascii="宋体" w:hAnsi="宋体" w:cs="宋体"/>
          <w:color w:val="auto"/>
          <w:kern w:val="0"/>
          <w:sz w:val="24"/>
          <w:lang w:val="zh-CN"/>
        </w:rPr>
        <w:t>相应资质条件且不得再次分包；</w:t>
      </w:r>
    </w:p>
    <w:p>
      <w:pPr>
        <w:pStyle w:val="3"/>
        <w:ind w:left="664" w:leftChars="316" w:firstLine="229" w:firstLineChars="95"/>
        <w:rPr>
          <w:rFonts w:ascii="宋体" w:hAnsi="宋体" w:eastAsia="宋体" w:cs="宋体"/>
          <w:color w:val="auto"/>
          <w:kern w:val="0"/>
          <w:sz w:val="24"/>
          <w:szCs w:val="24"/>
        </w:rPr>
      </w:pPr>
      <w:r>
        <w:rPr>
          <w:rFonts w:hint="eastAsia" w:ascii="宋体" w:hAnsi="宋体" w:eastAsia="宋体" w:cs="宋体"/>
          <w:color w:val="auto"/>
          <w:kern w:val="0"/>
          <w:sz w:val="24"/>
          <w:szCs w:val="24"/>
        </w:rPr>
        <w:t>……</w:t>
      </w:r>
    </w:p>
    <w:p>
      <w:pPr>
        <w:rPr>
          <w:color w:val="auto"/>
        </w:rPr>
      </w:pPr>
      <w:r>
        <w:rPr>
          <w:rFonts w:hint="eastAsia"/>
          <w:color w:val="auto"/>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二、分包供应商中小企业合同份额</w:t>
      </w:r>
    </w:p>
    <w:p>
      <w:pPr>
        <w:snapToGrid w:val="0"/>
        <w:spacing w:line="360" w:lineRule="auto"/>
        <w:ind w:firstLine="576"/>
        <w:rPr>
          <w:rFonts w:ascii="宋体" w:hAnsi="宋体" w:cs="宋体"/>
          <w:b/>
          <w:color w:val="auto"/>
          <w:kern w:val="0"/>
          <w:sz w:val="24"/>
          <w:lang w:val="zh-CN"/>
        </w:rPr>
      </w:pPr>
      <w:r>
        <w:rPr>
          <w:rFonts w:ascii="宋体" w:hAnsi="宋体" w:cs="宋体"/>
          <w:color w:val="auto"/>
          <w:kern w:val="0"/>
          <w:sz w:val="24"/>
        </w:rPr>
        <w:t>1、</w:t>
      </w:r>
      <w:r>
        <w:rPr>
          <w:rFonts w:hint="eastAsia" w:ascii="宋体" w:hAnsi="宋体" w:cs="宋体"/>
          <w:color w:val="auto"/>
          <w:kern w:val="0"/>
          <w:sz w:val="24"/>
          <w:u w:val="single"/>
        </w:rPr>
        <w:t>（分包供应商X</w:t>
      </w:r>
      <w:r>
        <w:rPr>
          <w:rFonts w:ascii="宋体" w:hAnsi="宋体" w:cs="宋体"/>
          <w:color w:val="auto"/>
          <w:kern w:val="0"/>
          <w:sz w:val="24"/>
          <w:u w:val="single"/>
        </w:rPr>
        <w:t>,</w:t>
      </w:r>
      <w:r>
        <w:rPr>
          <w:rFonts w:hint="eastAsia" w:ascii="宋体" w:hAnsi="宋体" w:cs="宋体"/>
          <w:color w:val="auto"/>
          <w:kern w:val="0"/>
          <w:sz w:val="24"/>
          <w:u w:val="single"/>
        </w:rPr>
        <w:t>……）提供的服务全部由小微企业承接，</w:t>
      </w:r>
      <w:r>
        <w:rPr>
          <w:rFonts w:hint="eastAsia" w:ascii="宋体" w:hAnsi="宋体" w:cs="宋体"/>
          <w:color w:val="auto"/>
          <w:kern w:val="0"/>
          <w:sz w:val="24"/>
        </w:rPr>
        <w:t>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rPr>
        <w:t>。</w:t>
      </w:r>
      <w:r>
        <w:rPr>
          <w:rFonts w:hint="eastAsia" w:ascii="宋体" w:hAnsi="宋体" w:cs="宋体"/>
          <w:b/>
          <w:color w:val="auto"/>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color w:val="auto"/>
          <w:sz w:val="24"/>
        </w:rPr>
        <w:t>2、中小企业合同金额达到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要求合同</w:t>
      </w:r>
      <w:r>
        <w:rPr>
          <w:rFonts w:hint="eastAsia" w:ascii="宋体" w:hAnsi="宋体" w:cs="宋体"/>
          <w:b/>
          <w:bCs/>
          <w:sz w:val="24"/>
        </w:rPr>
        <w:t>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rPr>
        <w:t xml:space="preserve">（采购人） </w:t>
      </w:r>
      <w:r>
        <w:rPr>
          <w:rFonts w:hint="eastAsia" w:ascii="宋体" w:hAnsi="宋体" w:cs="宋体"/>
          <w:color w:val="auto"/>
          <w:sz w:val="24"/>
        </w:rPr>
        <w:t>的</w:t>
      </w:r>
      <w:r>
        <w:rPr>
          <w:rFonts w:hint="eastAsia" w:ascii="宋体" w:hAnsi="宋体" w:cs="宋体"/>
          <w:color w:val="auto"/>
          <w:sz w:val="24"/>
          <w:u w:val="single"/>
        </w:rPr>
        <w:t xml:space="preserve"> （项目名称） </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 xml:space="preserve"> （采购文件中明确的所属行业）</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 xml:space="preserve">（采购文件中明确的所属行业） </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spacing w:line="360" w:lineRule="auto"/>
        <w:ind w:right="1760"/>
        <w:jc w:val="right"/>
        <w:rPr>
          <w:rFonts w:ascii="宋体" w:hAnsi="宋体" w:cs="宋体"/>
          <w:color w:val="auto"/>
          <w:sz w:val="24"/>
        </w:rPr>
      </w:pPr>
      <w:r>
        <w:rPr>
          <w:rFonts w:hint="eastAsia" w:ascii="宋体" w:hAnsi="宋体" w:cs="宋体"/>
          <w:color w:val="auto"/>
          <w:sz w:val="24"/>
        </w:rPr>
        <w:t>投标人名称（电子签名）：</w:t>
      </w:r>
    </w:p>
    <w:p>
      <w:pPr>
        <w:spacing w:line="360" w:lineRule="auto"/>
        <w:ind w:right="1120" w:firstLine="4680" w:firstLineChars="1950"/>
        <w:rPr>
          <w:rFonts w:ascii="宋体" w:hAnsi="宋体" w:cs="宋体"/>
          <w:color w:val="auto"/>
          <w:sz w:val="24"/>
        </w:rPr>
      </w:pPr>
      <w:r>
        <w:rPr>
          <w:rFonts w:hint="eastAsia" w:ascii="宋体" w:hAnsi="宋体" w:cs="宋体"/>
          <w:color w:val="auto"/>
          <w:sz w:val="24"/>
        </w:rPr>
        <w:t>日 期：</w:t>
      </w:r>
    </w:p>
    <w:p>
      <w:pPr>
        <w:spacing w:line="360" w:lineRule="auto"/>
        <w:ind w:firstLine="310" w:firstLineChars="147"/>
        <w:jc w:val="left"/>
        <w:rPr>
          <w:rFonts w:ascii="宋体" w:hAnsi="宋体" w:cs="宋体"/>
          <w:b/>
          <w:szCs w:val="21"/>
        </w:rPr>
      </w:pPr>
      <w:r>
        <w:rPr>
          <w:rFonts w:hint="eastAsia" w:ascii="宋体" w:hAnsi="宋体" w:cs="宋体"/>
          <w:b/>
          <w:color w:val="auto"/>
          <w:szCs w:val="21"/>
        </w:rPr>
        <w:t>从业人员、营业收入、资产总额填报上一年度数据，无上一年</w:t>
      </w:r>
      <w:r>
        <w:rPr>
          <w:rFonts w:hint="eastAsia" w:ascii="宋体" w:hAnsi="宋体" w:cs="宋体"/>
          <w:b/>
          <w:szCs w:val="21"/>
        </w:rPr>
        <w:t>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0000009F" w:csb1="0000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7" w:name="_Toc91899912"/>
    <w:bookmarkStart w:id="518" w:name="_Toc164085800"/>
    <w:bookmarkStart w:id="519" w:name="_Toc131845147"/>
    <w:bookmarkStart w:id="520" w:name="_Toc36110187"/>
    <w:r>
      <w:rPr>
        <w:rFonts w:hint="eastAsia" w:ascii="仿宋_GB2312" w:eastAsia="仿宋_GB2312"/>
        <w:kern w:val="0"/>
        <w:szCs w:val="21"/>
      </w:rPr>
      <w:t xml:space="preserve"> 页</w:t>
    </w:r>
    <w:bookmarkEnd w:id="517"/>
    <w:bookmarkEnd w:id="518"/>
    <w:bookmarkEnd w:id="519"/>
    <w:bookmarkEnd w:id="52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1NDUzMmY2OTQ0Y2RmNjM5YjY3ZGU5NGJlMzQ3OGY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042C5"/>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532C1F"/>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A01181"/>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2E5695"/>
    <w:rsid w:val="3A3651E5"/>
    <w:rsid w:val="3A744481"/>
    <w:rsid w:val="3A8C7BEF"/>
    <w:rsid w:val="3A906246"/>
    <w:rsid w:val="3AB0749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9E371E"/>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5243D9"/>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83D63"/>
    <w:rsid w:val="610A52BC"/>
    <w:rsid w:val="611D2366"/>
    <w:rsid w:val="61421856"/>
    <w:rsid w:val="615227C4"/>
    <w:rsid w:val="61654E3F"/>
    <w:rsid w:val="6182292A"/>
    <w:rsid w:val="619F7F92"/>
    <w:rsid w:val="61CA21A8"/>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FD013A"/>
    <w:rsid w:val="77052AA4"/>
    <w:rsid w:val="77136511"/>
    <w:rsid w:val="77340A39"/>
    <w:rsid w:val="77351FD0"/>
    <w:rsid w:val="77472422"/>
    <w:rsid w:val="777F31F2"/>
    <w:rsid w:val="77D1700D"/>
    <w:rsid w:val="77EC04CC"/>
    <w:rsid w:val="78775729"/>
    <w:rsid w:val="78A42DB0"/>
    <w:rsid w:val="78A656AB"/>
    <w:rsid w:val="78B2245C"/>
    <w:rsid w:val="78E172CC"/>
    <w:rsid w:val="78EA1D1F"/>
    <w:rsid w:val="78FE4148"/>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48733B"/>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6"/>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199"/>
    <w:qFormat/>
    <w:uiPriority w:val="0"/>
    <w:pPr>
      <w:shd w:val="clear" w:color="auto" w:fill="000080"/>
    </w:pPr>
  </w:style>
  <w:style w:type="paragraph" w:styleId="19">
    <w:name w:val="annotation text"/>
    <w:basedOn w:val="1"/>
    <w:link w:val="341"/>
    <w:qFormat/>
    <w:uiPriority w:val="99"/>
    <w:pPr>
      <w:jc w:val="left"/>
    </w:pPr>
  </w:style>
  <w:style w:type="paragraph" w:styleId="20">
    <w:name w:val="Salutation"/>
    <w:basedOn w:val="1"/>
    <w:next w:val="1"/>
    <w:link w:val="295"/>
    <w:qFormat/>
    <w:uiPriority w:val="0"/>
    <w:rPr>
      <w:rFonts w:ascii="仿宋_GB2312" w:eastAsia="仿宋_GB2312"/>
      <w:sz w:val="28"/>
      <w:szCs w:val="20"/>
    </w:rPr>
  </w:style>
  <w:style w:type="paragraph" w:styleId="21">
    <w:name w:val="Body Text 3"/>
    <w:basedOn w:val="1"/>
    <w:link w:val="327"/>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next w:val="1"/>
    <w:link w:val="427"/>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2"/>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178"/>
    <w:qFormat/>
    <w:uiPriority w:val="0"/>
    <w:pPr>
      <w:ind w:left="100" w:leftChars="2500"/>
    </w:pPr>
    <w:rPr>
      <w:rFonts w:ascii="宋体"/>
      <w:sz w:val="24"/>
      <w:szCs w:val="21"/>
      <w:lang w:val="zh-CN"/>
    </w:rPr>
  </w:style>
  <w:style w:type="paragraph" w:styleId="36">
    <w:name w:val="Body Text Indent 2"/>
    <w:basedOn w:val="1"/>
    <w:link w:val="305"/>
    <w:qFormat/>
    <w:uiPriority w:val="0"/>
    <w:pPr>
      <w:spacing w:line="360" w:lineRule="auto"/>
      <w:ind w:firstLine="601"/>
      <w:textAlignment w:val="baseline"/>
    </w:pPr>
    <w:rPr>
      <w:rFonts w:ascii="宋体"/>
      <w:kern w:val="0"/>
      <w:sz w:val="28"/>
      <w:szCs w:val="20"/>
    </w:rPr>
  </w:style>
  <w:style w:type="paragraph" w:styleId="37">
    <w:name w:val="endnote text"/>
    <w:basedOn w:val="1"/>
    <w:link w:val="929"/>
    <w:qFormat/>
    <w:uiPriority w:val="0"/>
    <w:rPr>
      <w:lang w:val="zh-CN"/>
    </w:rPr>
  </w:style>
  <w:style w:type="paragraph" w:styleId="38">
    <w:name w:val="Balloon Text"/>
    <w:basedOn w:val="1"/>
    <w:link w:val="185"/>
    <w:qFormat/>
    <w:uiPriority w:val="0"/>
    <w:rPr>
      <w:sz w:val="18"/>
      <w:szCs w:val="18"/>
    </w:rPr>
  </w:style>
  <w:style w:type="paragraph" w:styleId="39">
    <w:name w:val="footer"/>
    <w:basedOn w:val="1"/>
    <w:link w:val="380"/>
    <w:qFormat/>
    <w:uiPriority w:val="99"/>
    <w:pPr>
      <w:tabs>
        <w:tab w:val="center" w:pos="4153"/>
        <w:tab w:val="right" w:pos="8306"/>
      </w:tabs>
      <w:snapToGrid w:val="0"/>
      <w:jc w:val="left"/>
    </w:pPr>
    <w:rPr>
      <w:sz w:val="18"/>
      <w:szCs w:val="18"/>
    </w:rPr>
  </w:style>
  <w:style w:type="paragraph" w:styleId="40">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307"/>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372"/>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299"/>
    <w:qFormat/>
    <w:uiPriority w:val="0"/>
    <w:pPr>
      <w:spacing w:after="120" w:line="480" w:lineRule="auto"/>
    </w:pPr>
  </w:style>
  <w:style w:type="paragraph" w:styleId="56">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3"/>
    <w:qFormat/>
    <w:uiPriority w:val="0"/>
    <w:rPr>
      <w:b/>
      <w:bCs/>
    </w:rPr>
  </w:style>
  <w:style w:type="paragraph" w:styleId="60">
    <w:name w:val="Body Text First Indent"/>
    <w:basedOn w:val="23"/>
    <w:next w:val="50"/>
    <w:link w:val="318"/>
    <w:qFormat/>
    <w:uiPriority w:val="0"/>
    <w:pPr>
      <w:ind w:firstLine="420"/>
    </w:pPr>
    <w:rPr>
      <w:rFonts w:hAnsi="Calibri" w:cs="Times New Roman"/>
      <w:snapToGrid/>
      <w:szCs w:val="20"/>
    </w:rPr>
  </w:style>
  <w:style w:type="paragraph" w:styleId="61">
    <w:name w:val="Body Text First Indent 2"/>
    <w:basedOn w:val="24"/>
    <w:link w:val="118"/>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59"/>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61"/>
    <w:qFormat/>
    <w:uiPriority w:val="0"/>
    <w:rPr>
      <w:rFonts w:ascii="宋体" w:hAnsi="宋体"/>
      <w:kern w:val="2"/>
      <w:sz w:val="21"/>
      <w:szCs w:val="24"/>
    </w:rPr>
  </w:style>
  <w:style w:type="character" w:customStyle="1" w:styleId="119">
    <w:name w:val="font11"/>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6"/>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8"/>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3"/>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5"/>
    <w:qFormat/>
    <w:uiPriority w:val="0"/>
    <w:rPr>
      <w:rFonts w:ascii="宋体"/>
      <w:kern w:val="2"/>
      <w:sz w:val="24"/>
      <w:szCs w:val="21"/>
      <w:lang w:val="zh-CN"/>
    </w:rPr>
  </w:style>
  <w:style w:type="character" w:customStyle="1" w:styleId="179">
    <w:name w:val="标题 9 Char"/>
    <w:link w:val="11"/>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38"/>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5"/>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18"/>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29"/>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6"/>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6"/>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4"/>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2"/>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58"/>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7"/>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0"/>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6"/>
    <w:qFormat/>
    <w:uiPriority w:val="0"/>
    <w:rPr>
      <w:rFonts w:ascii="黑体" w:hAnsi="Courier New" w:eastAsia="黑体"/>
    </w:rPr>
  </w:style>
  <w:style w:type="character" w:customStyle="1" w:styleId="299">
    <w:name w:val="正文文本 2 Char1"/>
    <w:link w:val="55"/>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6"/>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9"/>
    <w:qFormat/>
    <w:uiPriority w:val="0"/>
    <w:rPr>
      <w:b/>
      <w:bCs/>
      <w:kern w:val="2"/>
      <w:sz w:val="24"/>
      <w:szCs w:val="24"/>
    </w:rPr>
  </w:style>
  <w:style w:type="character" w:customStyle="1" w:styleId="305">
    <w:name w:val="正文文本缩进 2 Char"/>
    <w:link w:val="36"/>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49"/>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60"/>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6"/>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1"/>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19"/>
    <w:qFormat/>
    <w:uiPriority w:val="99"/>
    <w:rPr>
      <w:kern w:val="2"/>
      <w:sz w:val="21"/>
      <w:szCs w:val="24"/>
    </w:rPr>
  </w:style>
  <w:style w:type="character" w:customStyle="1" w:styleId="342">
    <w:name w:val="签名 Char"/>
    <w:link w:val="41"/>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0"/>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2"/>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39"/>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0"/>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5"/>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6"/>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3"/>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3"/>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3"/>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2"/>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4"/>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7"/>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4"/>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3"/>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2"/>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6"/>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3"/>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3"/>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3"/>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2"/>
    <w:qFormat/>
    <w:uiPriority w:val="0"/>
    <w:pPr>
      <w:tabs>
        <w:tab w:val="left" w:pos="840"/>
      </w:tabs>
      <w:adjustRightInd/>
      <w:ind w:left="840" w:hanging="420"/>
    </w:pPr>
  </w:style>
  <w:style w:type="paragraph" w:customStyle="1" w:styleId="623">
    <w:name w:val="样式 标题 2标题2H2Heading 2 HiddenHeading 2 CCBSheading 22nd lev..."/>
    <w:basedOn w:val="3"/>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3"/>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3"/>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2"/>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2"/>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3"/>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4"/>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8"/>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2"/>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2"/>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7"/>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3"/>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76</Pages>
  <Words>34615</Words>
  <Characters>36681</Characters>
  <Lines>281</Lines>
  <Paragraphs>79</Paragraphs>
  <TotalTime>27</TotalTime>
  <ScaleCrop>false</ScaleCrop>
  <LinksUpToDate>false</LinksUpToDate>
  <CharactersWithSpaces>42039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那年那月那日</cp:lastModifiedBy>
  <cp:lastPrinted>2021-12-27T11:06:00Z</cp:lastPrinted>
  <dcterms:modified xsi:type="dcterms:W3CDTF">2023-03-06T08:21:04Z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1EBA42FF3FAC4A35AA39F33DF36B2F51</vt:lpwstr>
  </property>
</Properties>
</file>