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浙江省商务厅越南国际制药展览会项目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HCZX-25399</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浙江省商务厅越南国际制药展览会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25399</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浙江省商务厅越南国际制药展览会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750000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750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浙江省商务厅越南国际制药展览会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浙江省商务厅越南国际制药展览会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9</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w:t>
      </w:r>
      <w:r>
        <w:rPr>
          <w:rFonts w:hint="eastAsia" w:ascii="宋体" w:hAnsi="宋体" w:cs="宋体"/>
          <w:color w:val="auto"/>
          <w:sz w:val="24"/>
          <w:highlight w:val="none"/>
          <w:lang w:eastAsia="zh-CN"/>
        </w:rPr>
        <w:t>87807798</w:t>
      </w: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浙江省商务厅越南国际制药展览会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6AF94A2D">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29768"/>
      <w:bookmarkEnd w:id="16"/>
      <w:bookmarkStart w:id="17" w:name="_Hlt74707468"/>
      <w:bookmarkEnd w:id="17"/>
      <w:bookmarkStart w:id="18" w:name="_Hlt68057669"/>
      <w:bookmarkEnd w:id="18"/>
      <w:bookmarkStart w:id="19" w:name="_Hlt74714665"/>
      <w:bookmarkEnd w:id="19"/>
      <w:bookmarkStart w:id="20" w:name="_Hlt75236101"/>
      <w:bookmarkEnd w:id="20"/>
      <w:bookmarkStart w:id="21" w:name="_Hlt68073093"/>
      <w:bookmarkEnd w:id="21"/>
      <w:bookmarkStart w:id="22" w:name="_Hlt75236011"/>
      <w:bookmarkEnd w:id="22"/>
      <w:bookmarkStart w:id="23" w:name="_Hlt75236290"/>
      <w:bookmarkEnd w:id="23"/>
      <w:bookmarkStart w:id="24" w:name="_Hlt68072998"/>
      <w:bookmarkEnd w:id="24"/>
      <w:bookmarkStart w:id="25" w:name="_Hlt68072990"/>
      <w:bookmarkEnd w:id="25"/>
      <w:bookmarkStart w:id="26" w:name="_Hlt6840382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越南国际制药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771D957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1FD790F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04BB3F6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E22DA5F">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602E120">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越南</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007B06D6">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44"/>
      <w:bookmarkEnd w:id="28"/>
      <w:bookmarkStart w:id="29" w:name="_Toc184310328"/>
      <w:bookmarkEnd w:id="29"/>
      <w:bookmarkStart w:id="30" w:name="_Toc184313252"/>
      <w:bookmarkEnd w:id="30"/>
      <w:bookmarkStart w:id="31" w:name="_Toc184312117"/>
      <w:bookmarkEnd w:id="31"/>
      <w:bookmarkStart w:id="32" w:name="_Toc184310334"/>
      <w:bookmarkEnd w:id="32"/>
      <w:bookmarkStart w:id="33" w:name="_Toc184314431"/>
      <w:bookmarkEnd w:id="33"/>
      <w:bookmarkStart w:id="34" w:name="_Toc184314468"/>
      <w:bookmarkEnd w:id="34"/>
      <w:bookmarkStart w:id="35" w:name="_Toc184308102"/>
      <w:bookmarkEnd w:id="35"/>
      <w:bookmarkStart w:id="36" w:name="_Toc184314454"/>
      <w:bookmarkEnd w:id="36"/>
      <w:bookmarkStart w:id="37" w:name="_Toc184312121"/>
      <w:bookmarkEnd w:id="37"/>
      <w:bookmarkStart w:id="38" w:name="_Toc184310321"/>
      <w:bookmarkEnd w:id="38"/>
      <w:bookmarkStart w:id="39" w:name="_Toc184314427"/>
      <w:bookmarkEnd w:id="39"/>
      <w:bookmarkStart w:id="40" w:name="_Toc184313274"/>
      <w:bookmarkEnd w:id="40"/>
      <w:bookmarkStart w:id="41" w:name="_Toc184310317"/>
      <w:bookmarkEnd w:id="41"/>
      <w:bookmarkStart w:id="42" w:name="_Toc184310318"/>
      <w:bookmarkEnd w:id="42"/>
      <w:bookmarkStart w:id="43" w:name="_Toc184312091"/>
      <w:bookmarkEnd w:id="43"/>
      <w:bookmarkStart w:id="44" w:name="_Toc184310306"/>
      <w:bookmarkEnd w:id="44"/>
      <w:bookmarkStart w:id="45" w:name="_Toc184314482"/>
      <w:bookmarkEnd w:id="45"/>
      <w:bookmarkStart w:id="46" w:name="_Toc184310323"/>
      <w:bookmarkEnd w:id="46"/>
      <w:bookmarkStart w:id="47" w:name="_Toc184308044"/>
      <w:bookmarkEnd w:id="47"/>
      <w:bookmarkStart w:id="48" w:name="_Toc184314424"/>
      <w:bookmarkEnd w:id="48"/>
      <w:bookmarkStart w:id="49" w:name="_Toc184310308"/>
      <w:bookmarkEnd w:id="49"/>
      <w:bookmarkStart w:id="50" w:name="_Toc184313257"/>
      <w:bookmarkEnd w:id="50"/>
      <w:bookmarkStart w:id="51" w:name="_Toc184314422"/>
      <w:bookmarkEnd w:id="51"/>
      <w:bookmarkStart w:id="52" w:name="_Toc184314450"/>
      <w:bookmarkEnd w:id="52"/>
      <w:bookmarkStart w:id="53" w:name="_Toc184313255"/>
      <w:bookmarkEnd w:id="53"/>
      <w:bookmarkStart w:id="54" w:name="_Toc184308062"/>
      <w:bookmarkEnd w:id="54"/>
      <w:bookmarkStart w:id="55" w:name="_Toc184310275"/>
      <w:bookmarkEnd w:id="55"/>
      <w:bookmarkStart w:id="56" w:name="_Toc184314442"/>
      <w:bookmarkEnd w:id="56"/>
      <w:bookmarkStart w:id="57" w:name="_Toc184314480"/>
      <w:bookmarkEnd w:id="57"/>
      <w:bookmarkStart w:id="58" w:name="_Toc184312095"/>
      <w:bookmarkEnd w:id="58"/>
      <w:bookmarkStart w:id="59" w:name="_Toc184308069"/>
      <w:bookmarkEnd w:id="59"/>
      <w:bookmarkStart w:id="60" w:name="_Toc184312108"/>
      <w:bookmarkEnd w:id="60"/>
      <w:bookmarkStart w:id="61" w:name="_Toc184308100"/>
      <w:bookmarkEnd w:id="61"/>
      <w:bookmarkStart w:id="62" w:name="_Toc184314433"/>
      <w:bookmarkEnd w:id="62"/>
      <w:bookmarkStart w:id="63" w:name="_Toc184312076"/>
      <w:bookmarkEnd w:id="63"/>
      <w:bookmarkStart w:id="64" w:name="_Toc184313271"/>
      <w:bookmarkEnd w:id="64"/>
      <w:bookmarkStart w:id="65" w:name="_Toc184310285"/>
      <w:bookmarkEnd w:id="65"/>
      <w:bookmarkStart w:id="66" w:name="_Toc184308061"/>
      <w:bookmarkEnd w:id="66"/>
      <w:bookmarkStart w:id="67" w:name="_Toc184313248"/>
      <w:bookmarkEnd w:id="67"/>
      <w:bookmarkStart w:id="68" w:name="_Toc184310339"/>
      <w:bookmarkEnd w:id="68"/>
      <w:bookmarkStart w:id="69" w:name="_Toc184310278"/>
      <w:bookmarkEnd w:id="69"/>
      <w:bookmarkStart w:id="70" w:name="_Toc184310332"/>
      <w:bookmarkEnd w:id="70"/>
      <w:bookmarkStart w:id="71" w:name="_Toc184308094"/>
      <w:bookmarkEnd w:id="71"/>
      <w:bookmarkStart w:id="72" w:name="_Toc184314429"/>
      <w:bookmarkEnd w:id="72"/>
      <w:bookmarkStart w:id="73" w:name="_Toc184310333"/>
      <w:bookmarkEnd w:id="73"/>
      <w:bookmarkStart w:id="74" w:name="_Toc184308105"/>
      <w:bookmarkEnd w:id="74"/>
      <w:bookmarkStart w:id="75" w:name="_Toc184308081"/>
      <w:bookmarkEnd w:id="75"/>
      <w:bookmarkStart w:id="76" w:name="_Toc184308038"/>
      <w:bookmarkEnd w:id="76"/>
      <w:bookmarkStart w:id="77" w:name="_Toc184313279"/>
      <w:bookmarkEnd w:id="77"/>
      <w:bookmarkStart w:id="78" w:name="_Toc184308101"/>
      <w:bookmarkEnd w:id="78"/>
      <w:bookmarkStart w:id="79" w:name="_Toc184308040"/>
      <w:bookmarkEnd w:id="79"/>
      <w:bookmarkStart w:id="80" w:name="_Toc184310272"/>
      <w:bookmarkEnd w:id="80"/>
      <w:bookmarkStart w:id="81" w:name="_Toc184314445"/>
      <w:bookmarkEnd w:id="81"/>
      <w:bookmarkStart w:id="82" w:name="_Toc184314463"/>
      <w:bookmarkEnd w:id="82"/>
      <w:bookmarkStart w:id="83" w:name="_Toc184314413"/>
      <w:bookmarkEnd w:id="83"/>
      <w:bookmarkStart w:id="84" w:name="_Toc184310316"/>
      <w:bookmarkEnd w:id="84"/>
      <w:bookmarkStart w:id="85" w:name="_Toc184313302"/>
      <w:bookmarkEnd w:id="85"/>
      <w:bookmarkStart w:id="86" w:name="_Toc184308088"/>
      <w:bookmarkEnd w:id="86"/>
      <w:bookmarkStart w:id="87" w:name="_Toc184310291"/>
      <w:bookmarkEnd w:id="87"/>
      <w:bookmarkStart w:id="88" w:name="_Toc184308077"/>
      <w:bookmarkEnd w:id="88"/>
      <w:bookmarkStart w:id="89" w:name="_Toc184312092"/>
      <w:bookmarkEnd w:id="89"/>
      <w:bookmarkStart w:id="90" w:name="_Toc184308075"/>
      <w:bookmarkEnd w:id="90"/>
      <w:bookmarkStart w:id="91" w:name="_Toc184310300"/>
      <w:bookmarkEnd w:id="91"/>
      <w:bookmarkStart w:id="92" w:name="_Toc184313244"/>
      <w:bookmarkEnd w:id="92"/>
      <w:bookmarkStart w:id="93" w:name="_Toc184308083"/>
      <w:bookmarkEnd w:id="93"/>
      <w:bookmarkStart w:id="94" w:name="_Toc184310290"/>
      <w:bookmarkEnd w:id="94"/>
      <w:bookmarkStart w:id="95" w:name="_Toc184314451"/>
      <w:bookmarkEnd w:id="95"/>
      <w:bookmarkStart w:id="96" w:name="_Toc184313285"/>
      <w:bookmarkEnd w:id="96"/>
      <w:bookmarkStart w:id="97" w:name="_Toc184310296"/>
      <w:bookmarkEnd w:id="97"/>
      <w:bookmarkStart w:id="98" w:name="_Toc184308059"/>
      <w:bookmarkEnd w:id="98"/>
      <w:bookmarkStart w:id="99" w:name="_Toc184308070"/>
      <w:bookmarkEnd w:id="99"/>
      <w:bookmarkStart w:id="100" w:name="_Toc184308037"/>
      <w:bookmarkEnd w:id="100"/>
      <w:bookmarkStart w:id="101" w:name="_Toc184308048"/>
      <w:bookmarkEnd w:id="101"/>
      <w:bookmarkStart w:id="102" w:name="_Toc184308072"/>
      <w:bookmarkEnd w:id="102"/>
      <w:bookmarkStart w:id="103" w:name="_Toc184312090"/>
      <w:bookmarkEnd w:id="103"/>
      <w:bookmarkStart w:id="104" w:name="_Toc184314416"/>
      <w:bookmarkEnd w:id="104"/>
      <w:bookmarkStart w:id="105" w:name="_Toc184308071"/>
      <w:bookmarkEnd w:id="105"/>
      <w:bookmarkStart w:id="106" w:name="_Toc184310295"/>
      <w:bookmarkEnd w:id="106"/>
      <w:bookmarkStart w:id="107" w:name="_Toc184310287"/>
      <w:bookmarkEnd w:id="107"/>
      <w:bookmarkStart w:id="108" w:name="_Toc184310312"/>
      <w:bookmarkEnd w:id="108"/>
      <w:bookmarkStart w:id="109" w:name="_Toc184313281"/>
      <w:bookmarkEnd w:id="109"/>
      <w:bookmarkStart w:id="110" w:name="_Toc184312079"/>
      <w:bookmarkEnd w:id="110"/>
      <w:bookmarkStart w:id="111" w:name="_Toc184310314"/>
      <w:bookmarkEnd w:id="111"/>
      <w:bookmarkStart w:id="112" w:name="_Toc184312127"/>
      <w:bookmarkEnd w:id="112"/>
      <w:bookmarkStart w:id="113" w:name="_Toc184313261"/>
      <w:bookmarkEnd w:id="113"/>
      <w:bookmarkStart w:id="114" w:name="_Toc184313291"/>
      <w:bookmarkEnd w:id="114"/>
      <w:bookmarkStart w:id="115" w:name="_Toc184312134"/>
      <w:bookmarkEnd w:id="115"/>
      <w:bookmarkStart w:id="116" w:name="_Toc184310343"/>
      <w:bookmarkEnd w:id="116"/>
      <w:bookmarkStart w:id="117" w:name="_Toc184312087"/>
      <w:bookmarkEnd w:id="117"/>
      <w:bookmarkStart w:id="118" w:name="_Toc184314458"/>
      <w:bookmarkEnd w:id="118"/>
      <w:bookmarkStart w:id="119" w:name="_Toc184312094"/>
      <w:bookmarkEnd w:id="119"/>
      <w:bookmarkStart w:id="120" w:name="_Toc184308064"/>
      <w:bookmarkEnd w:id="120"/>
      <w:bookmarkStart w:id="121" w:name="_Toc184308066"/>
      <w:bookmarkEnd w:id="121"/>
      <w:bookmarkStart w:id="122" w:name="_Toc184310338"/>
      <w:bookmarkEnd w:id="122"/>
      <w:bookmarkStart w:id="123" w:name="_Toc184314438"/>
      <w:bookmarkEnd w:id="123"/>
      <w:bookmarkStart w:id="124" w:name="_Toc184310331"/>
      <w:bookmarkEnd w:id="124"/>
      <w:bookmarkStart w:id="125" w:name="_Toc184314414"/>
      <w:bookmarkEnd w:id="125"/>
      <w:bookmarkStart w:id="126" w:name="_Toc184314410"/>
      <w:bookmarkEnd w:id="126"/>
      <w:bookmarkStart w:id="127" w:name="_Toc184308058"/>
      <w:bookmarkEnd w:id="127"/>
      <w:bookmarkStart w:id="128" w:name="_Toc184312073"/>
      <w:bookmarkEnd w:id="128"/>
      <w:bookmarkStart w:id="129" w:name="_Toc184314481"/>
      <w:bookmarkEnd w:id="129"/>
      <w:bookmarkStart w:id="130" w:name="_Toc184314472"/>
      <w:bookmarkEnd w:id="130"/>
      <w:bookmarkStart w:id="131" w:name="_Toc184308086"/>
      <w:bookmarkEnd w:id="131"/>
      <w:bookmarkStart w:id="132" w:name="_Toc184308078"/>
      <w:bookmarkEnd w:id="132"/>
      <w:bookmarkStart w:id="133" w:name="_Toc184308053"/>
      <w:bookmarkEnd w:id="133"/>
      <w:bookmarkStart w:id="134" w:name="_Toc184308073"/>
      <w:bookmarkEnd w:id="134"/>
      <w:bookmarkStart w:id="135" w:name="_Toc184313273"/>
      <w:bookmarkEnd w:id="135"/>
      <w:bookmarkStart w:id="136" w:name="_Toc184314419"/>
      <w:bookmarkEnd w:id="136"/>
      <w:bookmarkStart w:id="137" w:name="_Toc184310302"/>
      <w:bookmarkEnd w:id="137"/>
      <w:bookmarkStart w:id="138" w:name="_Toc184310305"/>
      <w:bookmarkEnd w:id="138"/>
      <w:bookmarkStart w:id="139" w:name="_Toc184313253"/>
      <w:bookmarkEnd w:id="139"/>
      <w:bookmarkStart w:id="140" w:name="_Toc184314473"/>
      <w:bookmarkEnd w:id="140"/>
      <w:bookmarkStart w:id="141" w:name="_Toc184313298"/>
      <w:bookmarkEnd w:id="141"/>
      <w:bookmarkStart w:id="142" w:name="_Toc184312120"/>
      <w:bookmarkEnd w:id="142"/>
      <w:bookmarkStart w:id="143" w:name="_Toc184313242"/>
      <w:bookmarkEnd w:id="143"/>
      <w:bookmarkStart w:id="144" w:name="_Toc184312138"/>
      <w:bookmarkEnd w:id="144"/>
      <w:bookmarkStart w:id="145" w:name="_Toc184313245"/>
      <w:bookmarkEnd w:id="145"/>
      <w:bookmarkStart w:id="146" w:name="_Toc184313249"/>
      <w:bookmarkEnd w:id="146"/>
      <w:bookmarkStart w:id="147" w:name="_Toc184314440"/>
      <w:bookmarkEnd w:id="147"/>
      <w:bookmarkStart w:id="148" w:name="_Toc184308036"/>
      <w:bookmarkEnd w:id="148"/>
      <w:bookmarkStart w:id="149" w:name="_Toc184314477"/>
      <w:bookmarkEnd w:id="149"/>
      <w:bookmarkStart w:id="150" w:name="_Toc184310307"/>
      <w:bookmarkEnd w:id="150"/>
      <w:bookmarkStart w:id="151" w:name="_Toc184313256"/>
      <w:bookmarkEnd w:id="151"/>
      <w:bookmarkStart w:id="152" w:name="_Toc184308052"/>
      <w:bookmarkEnd w:id="152"/>
      <w:bookmarkStart w:id="153" w:name="_Toc184313276"/>
      <w:bookmarkEnd w:id="153"/>
      <w:bookmarkStart w:id="154" w:name="_Toc184312131"/>
      <w:bookmarkEnd w:id="154"/>
      <w:bookmarkStart w:id="155" w:name="_Toc184312122"/>
      <w:bookmarkEnd w:id="155"/>
      <w:bookmarkStart w:id="156" w:name="_Toc184313241"/>
      <w:bookmarkEnd w:id="156"/>
      <w:bookmarkStart w:id="157" w:name="_Toc184312069"/>
      <w:bookmarkEnd w:id="157"/>
      <w:bookmarkStart w:id="158" w:name="_Toc184314457"/>
      <w:bookmarkEnd w:id="158"/>
      <w:bookmarkStart w:id="159" w:name="_Toc184312086"/>
      <w:bookmarkEnd w:id="159"/>
      <w:bookmarkStart w:id="160" w:name="_Toc184313307"/>
      <w:bookmarkEnd w:id="160"/>
      <w:bookmarkStart w:id="161" w:name="_Toc184308079"/>
      <w:bookmarkEnd w:id="161"/>
      <w:bookmarkStart w:id="162" w:name="_Toc184310341"/>
      <w:bookmarkEnd w:id="162"/>
      <w:bookmarkStart w:id="163" w:name="_Toc184313306"/>
      <w:bookmarkEnd w:id="163"/>
      <w:bookmarkStart w:id="164" w:name="_Toc184308085"/>
      <w:bookmarkEnd w:id="164"/>
      <w:bookmarkStart w:id="165" w:name="_Toc184308108"/>
      <w:bookmarkEnd w:id="165"/>
      <w:bookmarkStart w:id="166" w:name="_Toc184310313"/>
      <w:bookmarkEnd w:id="166"/>
      <w:bookmarkStart w:id="167" w:name="_Toc184312085"/>
      <w:bookmarkEnd w:id="167"/>
      <w:bookmarkStart w:id="168" w:name="_Toc184310297"/>
      <w:bookmarkEnd w:id="168"/>
      <w:bookmarkStart w:id="169" w:name="_Toc184310325"/>
      <w:bookmarkEnd w:id="169"/>
      <w:bookmarkStart w:id="170" w:name="_Toc184312097"/>
      <w:bookmarkEnd w:id="170"/>
      <w:bookmarkStart w:id="171" w:name="_Toc184312128"/>
      <w:bookmarkEnd w:id="171"/>
      <w:bookmarkStart w:id="172" w:name="_Toc184308099"/>
      <w:bookmarkEnd w:id="172"/>
      <w:bookmarkStart w:id="173" w:name="_Toc184312070"/>
      <w:bookmarkEnd w:id="173"/>
      <w:bookmarkStart w:id="174" w:name="_Toc184313277"/>
      <w:bookmarkEnd w:id="174"/>
      <w:bookmarkStart w:id="175" w:name="_Toc184314437"/>
      <w:bookmarkEnd w:id="175"/>
      <w:bookmarkStart w:id="176" w:name="_Toc184312080"/>
      <w:bookmarkEnd w:id="176"/>
      <w:bookmarkStart w:id="177" w:name="_Toc184308089"/>
      <w:bookmarkEnd w:id="177"/>
      <w:bookmarkStart w:id="178" w:name="_Toc184310286"/>
      <w:bookmarkEnd w:id="178"/>
      <w:bookmarkStart w:id="179" w:name="_Toc184313304"/>
      <w:bookmarkEnd w:id="179"/>
      <w:bookmarkStart w:id="180" w:name="_Toc184312109"/>
      <w:bookmarkEnd w:id="180"/>
      <w:bookmarkStart w:id="181" w:name="_Toc184312132"/>
      <w:bookmarkEnd w:id="181"/>
      <w:bookmarkStart w:id="182" w:name="_Toc184314452"/>
      <w:bookmarkEnd w:id="182"/>
      <w:bookmarkStart w:id="183" w:name="_Toc184308091"/>
      <w:bookmarkEnd w:id="183"/>
      <w:bookmarkStart w:id="184" w:name="_Toc184310299"/>
      <w:bookmarkEnd w:id="184"/>
      <w:bookmarkStart w:id="185" w:name="_Toc184314420"/>
      <w:bookmarkEnd w:id="185"/>
      <w:bookmarkStart w:id="186" w:name="_Toc184313251"/>
      <w:bookmarkEnd w:id="186"/>
      <w:bookmarkStart w:id="187" w:name="_Toc184313247"/>
      <w:bookmarkEnd w:id="187"/>
      <w:bookmarkStart w:id="188" w:name="_Toc184313308"/>
      <w:bookmarkEnd w:id="188"/>
      <w:bookmarkStart w:id="189" w:name="_Toc184313258"/>
      <w:bookmarkEnd w:id="189"/>
      <w:bookmarkStart w:id="190" w:name="_Toc184314475"/>
      <w:bookmarkEnd w:id="190"/>
      <w:bookmarkStart w:id="191" w:name="_Toc184313262"/>
      <w:bookmarkEnd w:id="191"/>
      <w:bookmarkStart w:id="192" w:name="_Toc184314426"/>
      <w:bookmarkEnd w:id="192"/>
      <w:bookmarkStart w:id="193" w:name="_Toc184312103"/>
      <w:bookmarkEnd w:id="193"/>
      <w:bookmarkStart w:id="194" w:name="_Toc184314439"/>
      <w:bookmarkEnd w:id="194"/>
      <w:bookmarkStart w:id="195" w:name="_Toc184314446"/>
      <w:bookmarkEnd w:id="195"/>
      <w:bookmarkStart w:id="196" w:name="_Toc184308096"/>
      <w:bookmarkEnd w:id="196"/>
      <w:bookmarkStart w:id="197" w:name="_Toc184313268"/>
      <w:bookmarkEnd w:id="197"/>
      <w:bookmarkStart w:id="198" w:name="_Toc184313272"/>
      <w:bookmarkEnd w:id="198"/>
      <w:bookmarkStart w:id="199" w:name="_Toc184312137"/>
      <w:bookmarkEnd w:id="199"/>
      <w:bookmarkStart w:id="200" w:name="_Toc184308084"/>
      <w:bookmarkEnd w:id="200"/>
      <w:bookmarkStart w:id="201" w:name="_Toc184312075"/>
      <w:bookmarkEnd w:id="201"/>
      <w:bookmarkStart w:id="202" w:name="_Toc184308055"/>
      <w:bookmarkEnd w:id="202"/>
      <w:bookmarkStart w:id="203" w:name="_Toc184312100"/>
      <w:bookmarkEnd w:id="203"/>
      <w:bookmarkStart w:id="204" w:name="_Toc184314444"/>
      <w:bookmarkEnd w:id="204"/>
      <w:bookmarkStart w:id="205" w:name="_Toc184312082"/>
      <w:bookmarkEnd w:id="205"/>
      <w:bookmarkStart w:id="206" w:name="_Toc184308107"/>
      <w:bookmarkEnd w:id="206"/>
      <w:bookmarkStart w:id="207" w:name="_Toc184308092"/>
      <w:bookmarkEnd w:id="207"/>
      <w:bookmarkStart w:id="208" w:name="_Toc184313246"/>
      <w:bookmarkEnd w:id="208"/>
      <w:bookmarkStart w:id="209" w:name="_Toc184308080"/>
      <w:bookmarkEnd w:id="209"/>
      <w:bookmarkStart w:id="210" w:name="_Toc184313275"/>
      <w:bookmarkEnd w:id="210"/>
      <w:bookmarkStart w:id="211" w:name="_Toc184308076"/>
      <w:bookmarkEnd w:id="211"/>
      <w:bookmarkStart w:id="212" w:name="_Toc184310281"/>
      <w:bookmarkEnd w:id="212"/>
      <w:bookmarkStart w:id="213" w:name="_Toc184312125"/>
      <w:bookmarkEnd w:id="213"/>
      <w:bookmarkStart w:id="214" w:name="_Toc184314417"/>
      <w:bookmarkEnd w:id="214"/>
      <w:bookmarkStart w:id="215" w:name="_Toc184310337"/>
      <w:bookmarkEnd w:id="215"/>
      <w:bookmarkStart w:id="216" w:name="_Toc184308042"/>
      <w:bookmarkEnd w:id="216"/>
      <w:bookmarkStart w:id="217" w:name="_Toc184310311"/>
      <w:bookmarkEnd w:id="217"/>
      <w:bookmarkStart w:id="218" w:name="_Toc184313303"/>
      <w:bookmarkEnd w:id="218"/>
      <w:bookmarkStart w:id="219" w:name="_Toc184314435"/>
      <w:bookmarkEnd w:id="219"/>
      <w:bookmarkStart w:id="220" w:name="_Toc184312089"/>
      <w:bookmarkEnd w:id="220"/>
      <w:bookmarkStart w:id="221" w:name="_Toc184308050"/>
      <w:bookmarkEnd w:id="221"/>
      <w:bookmarkStart w:id="222" w:name="_Toc184310309"/>
      <w:bookmarkEnd w:id="222"/>
      <w:bookmarkStart w:id="223" w:name="_Toc184313287"/>
      <w:bookmarkEnd w:id="223"/>
      <w:bookmarkStart w:id="224" w:name="_Toc184308104"/>
      <w:bookmarkEnd w:id="224"/>
      <w:bookmarkStart w:id="225" w:name="_Toc184313239"/>
      <w:bookmarkEnd w:id="225"/>
      <w:bookmarkStart w:id="226" w:name="_Toc184314470"/>
      <w:bookmarkEnd w:id="226"/>
      <w:bookmarkStart w:id="227" w:name="_Toc184310298"/>
      <w:bookmarkEnd w:id="227"/>
      <w:bookmarkStart w:id="228" w:name="_Toc184313240"/>
      <w:bookmarkEnd w:id="228"/>
      <w:bookmarkStart w:id="229" w:name="_Toc184312126"/>
      <w:bookmarkEnd w:id="229"/>
      <w:bookmarkStart w:id="230" w:name="_Toc184312104"/>
      <w:bookmarkEnd w:id="230"/>
      <w:bookmarkStart w:id="231" w:name="_Toc184312106"/>
      <w:bookmarkEnd w:id="231"/>
      <w:bookmarkStart w:id="232" w:name="_Toc184312098"/>
      <w:bookmarkEnd w:id="232"/>
      <w:bookmarkStart w:id="233" w:name="_Toc184312074"/>
      <w:bookmarkEnd w:id="233"/>
      <w:bookmarkStart w:id="234" w:name="_Toc184314453"/>
      <w:bookmarkEnd w:id="234"/>
      <w:bookmarkStart w:id="235" w:name="_Toc184312081"/>
      <w:bookmarkEnd w:id="235"/>
      <w:bookmarkStart w:id="236" w:name="_Toc184313280"/>
      <w:bookmarkEnd w:id="236"/>
      <w:bookmarkStart w:id="237" w:name="_Toc184308039"/>
      <w:bookmarkEnd w:id="237"/>
      <w:bookmarkStart w:id="238" w:name="_Toc184313260"/>
      <w:bookmarkEnd w:id="238"/>
      <w:bookmarkStart w:id="239" w:name="_Toc184312116"/>
      <w:bookmarkEnd w:id="239"/>
      <w:bookmarkStart w:id="240" w:name="_Toc184312111"/>
      <w:bookmarkEnd w:id="240"/>
      <w:bookmarkStart w:id="241" w:name="_Toc184314476"/>
      <w:bookmarkEnd w:id="241"/>
      <w:bookmarkStart w:id="242" w:name="_Toc184314411"/>
      <w:bookmarkEnd w:id="242"/>
      <w:bookmarkStart w:id="243" w:name="_Toc184314459"/>
      <w:bookmarkEnd w:id="243"/>
      <w:bookmarkStart w:id="244" w:name="_Toc184310283"/>
      <w:bookmarkEnd w:id="244"/>
      <w:bookmarkStart w:id="245" w:name="_Toc184313294"/>
      <w:bookmarkEnd w:id="245"/>
      <w:bookmarkStart w:id="246" w:name="_Toc184310284"/>
      <w:bookmarkEnd w:id="246"/>
      <w:bookmarkStart w:id="247" w:name="_Toc184312093"/>
      <w:bookmarkEnd w:id="247"/>
      <w:bookmarkStart w:id="248" w:name="_Toc184310276"/>
      <w:bookmarkEnd w:id="248"/>
      <w:bookmarkStart w:id="249" w:name="_Toc184312124"/>
      <w:bookmarkEnd w:id="249"/>
      <w:bookmarkStart w:id="250" w:name="_Toc184314469"/>
      <w:bookmarkEnd w:id="250"/>
      <w:bookmarkStart w:id="251" w:name="_Toc184312099"/>
      <w:bookmarkEnd w:id="251"/>
      <w:bookmarkStart w:id="252" w:name="_Toc184314425"/>
      <w:bookmarkEnd w:id="252"/>
      <w:bookmarkStart w:id="253" w:name="_Toc184314430"/>
      <w:bookmarkEnd w:id="253"/>
      <w:bookmarkStart w:id="254" w:name="_Toc184313290"/>
      <w:bookmarkEnd w:id="254"/>
      <w:bookmarkStart w:id="255" w:name="_Toc184314455"/>
      <w:bookmarkEnd w:id="255"/>
      <w:bookmarkStart w:id="256" w:name="_Toc184313305"/>
      <w:bookmarkEnd w:id="256"/>
      <w:bookmarkStart w:id="257" w:name="_Toc184312072"/>
      <w:bookmarkEnd w:id="257"/>
      <w:bookmarkStart w:id="258" w:name="_Toc184313265"/>
      <w:bookmarkEnd w:id="258"/>
      <w:bookmarkStart w:id="259" w:name="_Toc184313282"/>
      <w:bookmarkEnd w:id="259"/>
      <w:bookmarkStart w:id="260" w:name="_Toc184310330"/>
      <w:bookmarkEnd w:id="260"/>
      <w:bookmarkStart w:id="261" w:name="_Toc184314474"/>
      <w:bookmarkEnd w:id="261"/>
      <w:bookmarkStart w:id="262" w:name="_Toc184313263"/>
      <w:bookmarkEnd w:id="262"/>
      <w:bookmarkStart w:id="263" w:name="_Toc184312110"/>
      <w:bookmarkEnd w:id="263"/>
      <w:bookmarkStart w:id="264" w:name="_Toc184312136"/>
      <w:bookmarkEnd w:id="264"/>
      <w:bookmarkStart w:id="265" w:name="_Toc184310294"/>
      <w:bookmarkEnd w:id="265"/>
      <w:bookmarkStart w:id="266" w:name="_Toc184314432"/>
      <w:bookmarkEnd w:id="266"/>
      <w:bookmarkStart w:id="267" w:name="_Toc184313286"/>
      <w:bookmarkEnd w:id="267"/>
      <w:bookmarkStart w:id="268" w:name="_Toc184314412"/>
      <w:bookmarkEnd w:id="268"/>
      <w:bookmarkStart w:id="269" w:name="_Toc184310340"/>
      <w:bookmarkEnd w:id="269"/>
      <w:bookmarkStart w:id="270" w:name="_Toc184310320"/>
      <w:bookmarkEnd w:id="270"/>
      <w:bookmarkStart w:id="271" w:name="_Toc184313292"/>
      <w:bookmarkEnd w:id="271"/>
      <w:bookmarkStart w:id="272" w:name="_Toc184310335"/>
      <w:bookmarkEnd w:id="272"/>
      <w:bookmarkStart w:id="273" w:name="_Toc184310319"/>
      <w:bookmarkEnd w:id="273"/>
      <w:bookmarkStart w:id="274" w:name="_Toc184314464"/>
      <w:bookmarkEnd w:id="274"/>
      <w:bookmarkStart w:id="275" w:name="_Toc184310273"/>
      <w:bookmarkEnd w:id="275"/>
      <w:bookmarkStart w:id="276" w:name="_Toc184308045"/>
      <w:bookmarkEnd w:id="276"/>
      <w:bookmarkStart w:id="277" w:name="_Toc184310292"/>
      <w:bookmarkEnd w:id="277"/>
      <w:bookmarkStart w:id="278" w:name="_Toc184308067"/>
      <w:bookmarkEnd w:id="278"/>
      <w:bookmarkStart w:id="279" w:name="_Toc184308051"/>
      <w:bookmarkEnd w:id="279"/>
      <w:bookmarkStart w:id="280" w:name="_Toc184314418"/>
      <w:bookmarkEnd w:id="280"/>
      <w:bookmarkStart w:id="281" w:name="_Toc184313299"/>
      <w:bookmarkEnd w:id="281"/>
      <w:bookmarkStart w:id="282" w:name="_Toc184313269"/>
      <w:bookmarkEnd w:id="282"/>
      <w:bookmarkStart w:id="283" w:name="_Toc184314447"/>
      <w:bookmarkEnd w:id="283"/>
      <w:bookmarkStart w:id="284" w:name="_Toc184308054"/>
      <w:bookmarkEnd w:id="284"/>
      <w:bookmarkStart w:id="285" w:name="_Toc184310289"/>
      <w:bookmarkEnd w:id="285"/>
      <w:bookmarkStart w:id="286" w:name="_Toc184312084"/>
      <w:bookmarkEnd w:id="286"/>
      <w:bookmarkStart w:id="287" w:name="_Toc184314436"/>
      <w:bookmarkEnd w:id="287"/>
      <w:bookmarkStart w:id="288" w:name="_Toc184314461"/>
      <w:bookmarkEnd w:id="288"/>
      <w:bookmarkStart w:id="289" w:name="_Toc184313270"/>
      <w:bookmarkEnd w:id="289"/>
      <w:bookmarkStart w:id="290" w:name="_Toc184312088"/>
      <w:bookmarkEnd w:id="290"/>
      <w:bookmarkStart w:id="291" w:name="_Toc184308082"/>
      <w:bookmarkEnd w:id="291"/>
      <w:bookmarkStart w:id="292" w:name="_Toc184314443"/>
      <w:bookmarkEnd w:id="292"/>
      <w:bookmarkStart w:id="293" w:name="_Toc184310304"/>
      <w:bookmarkEnd w:id="293"/>
      <w:bookmarkStart w:id="294" w:name="_Toc184314421"/>
      <w:bookmarkEnd w:id="294"/>
      <w:bookmarkStart w:id="295" w:name="_Toc184310324"/>
      <w:bookmarkEnd w:id="295"/>
      <w:bookmarkStart w:id="296" w:name="_Toc184310280"/>
      <w:bookmarkEnd w:id="296"/>
      <w:bookmarkStart w:id="297" w:name="_Toc184313300"/>
      <w:bookmarkEnd w:id="297"/>
      <w:bookmarkStart w:id="298" w:name="_Toc184312119"/>
      <w:bookmarkEnd w:id="298"/>
      <w:bookmarkStart w:id="299" w:name="_Toc184314441"/>
      <w:bookmarkEnd w:id="299"/>
      <w:bookmarkStart w:id="300" w:name="_Toc184310279"/>
      <w:bookmarkEnd w:id="300"/>
      <w:bookmarkStart w:id="301" w:name="_Toc184313243"/>
      <w:bookmarkEnd w:id="301"/>
      <w:bookmarkStart w:id="302" w:name="_Toc184312118"/>
      <w:bookmarkEnd w:id="302"/>
      <w:bookmarkStart w:id="303" w:name="_Toc184312115"/>
      <w:bookmarkEnd w:id="303"/>
      <w:bookmarkStart w:id="304" w:name="_Toc184314456"/>
      <w:bookmarkEnd w:id="304"/>
      <w:bookmarkStart w:id="305" w:name="_Toc184312135"/>
      <w:bookmarkEnd w:id="305"/>
      <w:bookmarkStart w:id="306" w:name="_Toc184312067"/>
      <w:bookmarkEnd w:id="306"/>
      <w:bookmarkStart w:id="307" w:name="_Toc184308049"/>
      <w:bookmarkEnd w:id="307"/>
      <w:bookmarkStart w:id="308" w:name="_Toc184313250"/>
      <w:bookmarkEnd w:id="308"/>
      <w:bookmarkStart w:id="309" w:name="_Toc184308074"/>
      <w:bookmarkEnd w:id="309"/>
      <w:bookmarkStart w:id="310" w:name="_Toc184308047"/>
      <w:bookmarkEnd w:id="310"/>
      <w:bookmarkStart w:id="311" w:name="_Toc184308093"/>
      <w:bookmarkEnd w:id="311"/>
      <w:bookmarkStart w:id="312" w:name="_Toc184310288"/>
      <w:bookmarkEnd w:id="312"/>
      <w:bookmarkStart w:id="313" w:name="_Toc184312113"/>
      <w:bookmarkEnd w:id="313"/>
      <w:bookmarkStart w:id="314" w:name="_Toc184308106"/>
      <w:bookmarkEnd w:id="314"/>
      <w:bookmarkStart w:id="315" w:name="_Toc184314415"/>
      <w:bookmarkEnd w:id="315"/>
      <w:bookmarkStart w:id="316" w:name="_Toc184308090"/>
      <w:bookmarkEnd w:id="316"/>
      <w:bookmarkStart w:id="317" w:name="_Toc184312105"/>
      <w:bookmarkEnd w:id="317"/>
      <w:bookmarkStart w:id="318" w:name="_Toc184314423"/>
      <w:bookmarkEnd w:id="318"/>
      <w:bookmarkStart w:id="319" w:name="_Toc184314428"/>
      <w:bookmarkEnd w:id="319"/>
      <w:bookmarkStart w:id="320" w:name="_Toc184310282"/>
      <w:bookmarkEnd w:id="320"/>
      <w:bookmarkStart w:id="321" w:name="_Toc184308060"/>
      <w:bookmarkEnd w:id="321"/>
      <w:bookmarkStart w:id="322" w:name="_Toc184312139"/>
      <w:bookmarkEnd w:id="322"/>
      <w:bookmarkStart w:id="323" w:name="_Toc184314467"/>
      <w:bookmarkEnd w:id="323"/>
      <w:bookmarkStart w:id="324" w:name="_Toc184313238"/>
      <w:bookmarkEnd w:id="324"/>
      <w:bookmarkStart w:id="325" w:name="_Toc184314448"/>
      <w:bookmarkEnd w:id="325"/>
      <w:bookmarkStart w:id="326" w:name="_Toc184314465"/>
      <w:bookmarkEnd w:id="326"/>
      <w:bookmarkStart w:id="327" w:name="_Toc184312068"/>
      <w:bookmarkEnd w:id="327"/>
      <w:bookmarkStart w:id="328" w:name="_Toc184310310"/>
      <w:bookmarkEnd w:id="328"/>
      <w:bookmarkStart w:id="329" w:name="_Toc184314462"/>
      <w:bookmarkEnd w:id="329"/>
      <w:bookmarkStart w:id="330" w:name="_Toc184312130"/>
      <w:bookmarkEnd w:id="330"/>
      <w:bookmarkStart w:id="331" w:name="_Toc184313254"/>
      <w:bookmarkEnd w:id="331"/>
      <w:bookmarkStart w:id="332" w:name="_Toc184314466"/>
      <w:bookmarkEnd w:id="332"/>
      <w:bookmarkStart w:id="333" w:name="_Toc184313289"/>
      <w:bookmarkEnd w:id="333"/>
      <w:bookmarkStart w:id="334" w:name="_Toc184310277"/>
      <w:bookmarkEnd w:id="334"/>
      <w:bookmarkStart w:id="335" w:name="_Toc184314478"/>
      <w:bookmarkEnd w:id="335"/>
      <w:bookmarkStart w:id="336" w:name="_Toc184308057"/>
      <w:bookmarkEnd w:id="336"/>
      <w:bookmarkStart w:id="337" w:name="_Toc184312133"/>
      <w:bookmarkEnd w:id="337"/>
      <w:bookmarkStart w:id="338" w:name="_Toc184313296"/>
      <w:bookmarkEnd w:id="338"/>
      <w:bookmarkStart w:id="339" w:name="_Toc184312114"/>
      <w:bookmarkEnd w:id="339"/>
      <w:bookmarkStart w:id="340" w:name="_Toc184312112"/>
      <w:bookmarkEnd w:id="340"/>
      <w:bookmarkStart w:id="341" w:name="_Toc184310293"/>
      <w:bookmarkEnd w:id="341"/>
      <w:bookmarkStart w:id="342" w:name="_Toc184310274"/>
      <w:bookmarkEnd w:id="342"/>
      <w:bookmarkStart w:id="343" w:name="_Toc184312096"/>
      <w:bookmarkEnd w:id="343"/>
      <w:bookmarkStart w:id="344" w:name="_Toc184308046"/>
      <w:bookmarkEnd w:id="344"/>
      <w:bookmarkStart w:id="345" w:name="_Toc184308056"/>
      <w:bookmarkEnd w:id="345"/>
      <w:bookmarkStart w:id="346" w:name="_Toc184308095"/>
      <w:bookmarkEnd w:id="346"/>
      <w:bookmarkStart w:id="347" w:name="_Toc184312077"/>
      <w:bookmarkEnd w:id="347"/>
      <w:bookmarkStart w:id="348" w:name="_Toc184312102"/>
      <w:bookmarkEnd w:id="348"/>
      <w:bookmarkStart w:id="349" w:name="_Toc184313288"/>
      <w:bookmarkEnd w:id="349"/>
      <w:bookmarkStart w:id="350" w:name="_Toc184312101"/>
      <w:bookmarkEnd w:id="350"/>
      <w:bookmarkStart w:id="351" w:name="_Toc184313283"/>
      <w:bookmarkEnd w:id="351"/>
      <w:bookmarkStart w:id="352" w:name="_Toc184312129"/>
      <w:bookmarkEnd w:id="352"/>
      <w:bookmarkStart w:id="353" w:name="_Toc184308087"/>
      <w:bookmarkEnd w:id="353"/>
      <w:bookmarkStart w:id="354" w:name="_Toc184308063"/>
      <w:bookmarkEnd w:id="354"/>
      <w:bookmarkStart w:id="355" w:name="_Toc184312107"/>
      <w:bookmarkEnd w:id="355"/>
      <w:bookmarkStart w:id="356" w:name="_Toc184314434"/>
      <w:bookmarkEnd w:id="356"/>
      <w:bookmarkStart w:id="357" w:name="_Toc184312071"/>
      <w:bookmarkEnd w:id="357"/>
      <w:bookmarkStart w:id="358" w:name="_Toc184313278"/>
      <w:bookmarkEnd w:id="358"/>
      <w:bookmarkStart w:id="359" w:name="_Toc184310342"/>
      <w:bookmarkEnd w:id="359"/>
      <w:bookmarkStart w:id="360" w:name="_Toc184312083"/>
      <w:bookmarkEnd w:id="360"/>
      <w:bookmarkStart w:id="361" w:name="_Toc184313295"/>
      <w:bookmarkEnd w:id="361"/>
      <w:bookmarkStart w:id="362" w:name="_Toc184308041"/>
      <w:bookmarkEnd w:id="362"/>
      <w:bookmarkStart w:id="363" w:name="_Toc184310336"/>
      <w:bookmarkEnd w:id="363"/>
      <w:bookmarkStart w:id="364" w:name="_Toc184308043"/>
      <w:bookmarkEnd w:id="364"/>
      <w:bookmarkStart w:id="365" w:name="_Toc184310301"/>
      <w:bookmarkEnd w:id="365"/>
      <w:bookmarkStart w:id="366" w:name="_Toc184314449"/>
      <w:bookmarkEnd w:id="366"/>
      <w:bookmarkStart w:id="367" w:name="_Toc184312078"/>
      <w:bookmarkEnd w:id="367"/>
      <w:bookmarkStart w:id="368" w:name="_Toc184310329"/>
      <w:bookmarkEnd w:id="368"/>
      <w:bookmarkStart w:id="369" w:name="_Toc184313266"/>
      <w:bookmarkEnd w:id="369"/>
      <w:bookmarkStart w:id="370" w:name="_Toc184308097"/>
      <w:bookmarkEnd w:id="370"/>
      <w:bookmarkStart w:id="371" w:name="_Toc184314479"/>
      <w:bookmarkEnd w:id="371"/>
      <w:bookmarkStart w:id="372" w:name="_Toc184310327"/>
      <w:bookmarkEnd w:id="372"/>
      <w:bookmarkStart w:id="373" w:name="_Toc184313310"/>
      <w:bookmarkEnd w:id="373"/>
      <w:bookmarkStart w:id="374" w:name="_Toc184310322"/>
      <w:bookmarkEnd w:id="374"/>
      <w:bookmarkStart w:id="375" w:name="_Toc184310303"/>
      <w:bookmarkEnd w:id="375"/>
      <w:bookmarkStart w:id="376" w:name="_Toc184313301"/>
      <w:bookmarkEnd w:id="376"/>
      <w:bookmarkStart w:id="377" w:name="_Toc184308065"/>
      <w:bookmarkEnd w:id="377"/>
      <w:bookmarkStart w:id="378" w:name="_Toc184308068"/>
      <w:bookmarkEnd w:id="378"/>
      <w:bookmarkStart w:id="379" w:name="_Toc184313264"/>
      <w:bookmarkEnd w:id="379"/>
      <w:bookmarkStart w:id="380" w:name="_Toc184313284"/>
      <w:bookmarkEnd w:id="380"/>
      <w:bookmarkStart w:id="381" w:name="_Toc184313297"/>
      <w:bookmarkEnd w:id="381"/>
      <w:bookmarkStart w:id="382" w:name="_Toc184308098"/>
      <w:bookmarkEnd w:id="382"/>
      <w:bookmarkStart w:id="383" w:name="_Toc184312123"/>
      <w:bookmarkEnd w:id="383"/>
      <w:bookmarkStart w:id="384" w:name="_Toc184314460"/>
      <w:bookmarkEnd w:id="384"/>
      <w:bookmarkStart w:id="385" w:name="_Toc184308103"/>
      <w:bookmarkEnd w:id="385"/>
      <w:bookmarkStart w:id="386" w:name="_Toc184310326"/>
      <w:bookmarkEnd w:id="386"/>
      <w:bookmarkStart w:id="387" w:name="_Toc184314471"/>
      <w:bookmarkEnd w:id="387"/>
      <w:bookmarkStart w:id="388" w:name="_Toc184313267"/>
      <w:bookmarkEnd w:id="388"/>
      <w:bookmarkStart w:id="389" w:name="_Toc184310315"/>
      <w:bookmarkEnd w:id="389"/>
      <w:bookmarkStart w:id="390" w:name="_Toc184313259"/>
      <w:bookmarkEnd w:id="390"/>
      <w:bookmarkStart w:id="391" w:name="_Toc184313293"/>
      <w:bookmarkEnd w:id="391"/>
      <w:bookmarkStart w:id="392" w:name="_Toc184313309"/>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浙江省商务厅越南国际制药展览会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25399</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浙江省商务厅越南国际制药展览会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25399</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25399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25399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浙江省商务厅越南国际制药展览会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【招标编号：HCZX-25399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浙江省商务厅越南国际制药展览会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25399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25399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25399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31845147"/>
    <w:bookmarkStart w:id="404" w:name="_Toc3611018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3912CF"/>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ED0ED7"/>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12353A"/>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6A1DFC"/>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B3850"/>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5001</Words>
  <Characters>5424</Characters>
  <Lines>274</Lines>
  <Paragraphs>77</Paragraphs>
  <TotalTime>0</TotalTime>
  <ScaleCrop>false</ScaleCrop>
  <LinksUpToDate>false</LinksUpToDate>
  <CharactersWithSpaces>5781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2025-07-07T13:19:02Z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