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浙江省商务厅2025浙江国际贸易（埃及）展览会项目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HCZX-25434</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浙江省商务厅2025浙江国际贸易（埃及）展览会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bookmarkStart w:id="406" w:name="_GoBack"/>
      <w:bookmarkEnd w:id="406"/>
      <w:r>
        <w:rPr>
          <w:rStyle w:val="77"/>
          <w:rFonts w:hint="eastAsia" w:ascii="宋体" w:hAnsi="宋体" w:cs="宋体"/>
          <w:snapToGrid/>
          <w:color w:val="auto"/>
          <w:kern w:val="2"/>
          <w:sz w:val="24"/>
          <w:szCs w:val="24"/>
          <w:highlight w:val="none"/>
          <w:lang w:val="en-US" w:eastAsia="zh-CN"/>
        </w:rPr>
        <w:t>7月24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25434</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浙江省商务厅2025浙江国际贸易（埃及）展览会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3200000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3200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浙江省商务厅2025浙江国际贸易（埃及）展览会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浙江省商务厅2025浙江国际贸易（埃及）展览会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浙江省商务厅2025浙江国际贸易（埃及）展览会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E931944">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74730295"/>
      <w:bookmarkEnd w:id="17"/>
      <w:bookmarkStart w:id="18" w:name="_Hlt75236011"/>
      <w:bookmarkEnd w:id="18"/>
      <w:bookmarkStart w:id="19" w:name="_Hlt74707468"/>
      <w:bookmarkEnd w:id="19"/>
      <w:bookmarkStart w:id="20" w:name="_Hlt68072990"/>
      <w:bookmarkEnd w:id="20"/>
      <w:bookmarkStart w:id="21" w:name="_Hlt68057669"/>
      <w:bookmarkEnd w:id="21"/>
      <w:bookmarkStart w:id="22" w:name="_Hlt68403820"/>
      <w:bookmarkEnd w:id="22"/>
      <w:bookmarkStart w:id="23" w:name="_Hlt75236101"/>
      <w:bookmarkEnd w:id="23"/>
      <w:bookmarkStart w:id="24" w:name="_Hlt74714665"/>
      <w:bookmarkEnd w:id="24"/>
      <w:bookmarkStart w:id="25" w:name="_Hlt75236290"/>
      <w:bookmarkEnd w:id="25"/>
      <w:bookmarkStart w:id="26" w:name="_Hlt747297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为深入贯彻落实中央经济工作会议上提出关于“扩大高水平对外开放”的会议精神，以及省委省政府关于稳外贸的工作部署，进一步加强浙江与非洲地区的经贸往来与合作，深入实施“品质浙货 行销天下”工程，积极应对国际市场变化，浙江省商务厅将组织我省相关企业参加2025浙江国际贸易（埃及）展览会。全面推动我省企业出国 (境) 参展，帮助我省企业拓市场、抢订单，培育外贸新增长点。</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2527F40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主办方要求，须在规定时间内能落实在埃及国际电力、照明及新能源展览会中举办“2025浙江国际贸易（埃及）展览会”且完成不少于50个（含）展位，完成招展、宣传、展区设计搭建、展品运输、证件办理、安全保障等各个项目环节，整体方案应切实可行，确保企业顺利参展，高效务实。</w:t>
      </w:r>
    </w:p>
    <w:p w14:paraId="1CD7A26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2.根据主办方要求，视情组织其他相关活动；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3.根据主办方要求，在规定时间内做好后期总结、评估等其他工作。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223E6B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1.具备丰富会展经验和较强组展承办能力的专业团队，有多年承办展会的经验，与境内外著名国际展览公司有丰富的合作经验，有专业展会组织渠道和广泛的涉外接待服务经验，无违法不良记录。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4605DDC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、展区</w:t>
      </w:r>
      <w:r>
        <w:rPr>
          <w:rFonts w:hint="eastAsia" w:ascii="宋体" w:hAnsi="宋体" w:eastAsia="宋体" w:cs="宋体"/>
          <w:b/>
          <w:bCs/>
          <w:sz w:val="21"/>
          <w:szCs w:val="21"/>
          <w:highlight w:val="none"/>
        </w:rPr>
        <w:t>设计和施工要求</w:t>
      </w:r>
      <w:r>
        <w:rPr>
          <w:rFonts w:hint="eastAsia" w:ascii="宋体" w:hAnsi="宋体" w:eastAsia="宋体" w:cs="宋体"/>
          <w:b/>
          <w:bCs/>
          <w:sz w:val="21"/>
          <w:szCs w:val="21"/>
          <w:highlight w:val="none"/>
          <w:lang w:eastAsia="zh-CN"/>
        </w:rPr>
        <w:t>：</w:t>
      </w:r>
    </w:p>
    <w:p w14:paraId="724EE2E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1.主题鲜明，突出实效。展区主体结构要紧扣主题，大气、协调、明亮、特色鲜明，充分体现浙江特色和时代气息；展区内要简洁、通透、明亮，兼顾区域分布，利用图片、文字、模型等，根据主办方要求，进行多角度、多层次、全方位的展示。 </w:t>
      </w:r>
    </w:p>
    <w:p w14:paraId="016846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sz w:val="21"/>
          <w:szCs w:val="21"/>
          <w:highlight w:val="none"/>
          <w:lang w:eastAsia="zh-CN"/>
        </w:rPr>
        <w:t>2.简约布展，注重环保。以简单实用为原则，在满足展示的基础上，突出洽谈功能。布展材料要以节能环保材料为主。</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821BB8F">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249FCD8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cs="宋体" w:asciiTheme="minorEastAsia" w:hAnsiTheme="minorEastAsia"/>
                <w:color w:val="000000"/>
                <w:kern w:val="0"/>
                <w:sz w:val="21"/>
                <w:szCs w:val="21"/>
                <w:highlight w:val="none"/>
                <w:lang w:val="en-US" w:eastAsia="zh-CN"/>
              </w:rPr>
              <w:t>埃及</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E8803A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79"/>
      <w:bookmarkEnd w:id="28"/>
      <w:bookmarkStart w:id="29" w:name="_Toc184310307"/>
      <w:bookmarkEnd w:id="29"/>
      <w:bookmarkStart w:id="30" w:name="_Toc184308066"/>
      <w:bookmarkEnd w:id="30"/>
      <w:bookmarkStart w:id="31" w:name="_Toc184314415"/>
      <w:bookmarkEnd w:id="31"/>
      <w:bookmarkStart w:id="32" w:name="_Toc184310274"/>
      <w:bookmarkEnd w:id="32"/>
      <w:bookmarkStart w:id="33" w:name="_Toc184313302"/>
      <w:bookmarkEnd w:id="33"/>
      <w:bookmarkStart w:id="34" w:name="_Toc184308063"/>
      <w:bookmarkEnd w:id="34"/>
      <w:bookmarkStart w:id="35" w:name="_Toc184313242"/>
      <w:bookmarkEnd w:id="35"/>
      <w:bookmarkStart w:id="36" w:name="_Toc184310314"/>
      <w:bookmarkEnd w:id="36"/>
      <w:bookmarkStart w:id="37" w:name="_Toc184310301"/>
      <w:bookmarkEnd w:id="37"/>
      <w:bookmarkStart w:id="38" w:name="_Toc184312129"/>
      <w:bookmarkEnd w:id="38"/>
      <w:bookmarkStart w:id="39" w:name="_Toc184312123"/>
      <w:bookmarkEnd w:id="39"/>
      <w:bookmarkStart w:id="40" w:name="_Toc184308037"/>
      <w:bookmarkEnd w:id="40"/>
      <w:bookmarkStart w:id="41" w:name="_Toc184314448"/>
      <w:bookmarkEnd w:id="41"/>
      <w:bookmarkStart w:id="42" w:name="_Toc184312101"/>
      <w:bookmarkEnd w:id="42"/>
      <w:bookmarkStart w:id="43" w:name="_Toc184310302"/>
      <w:bookmarkEnd w:id="43"/>
      <w:bookmarkStart w:id="44" w:name="_Toc184313274"/>
      <w:bookmarkEnd w:id="44"/>
      <w:bookmarkStart w:id="45" w:name="_Toc184310300"/>
      <w:bookmarkEnd w:id="45"/>
      <w:bookmarkStart w:id="46" w:name="_Toc184313267"/>
      <w:bookmarkEnd w:id="46"/>
      <w:bookmarkStart w:id="47" w:name="_Toc184310322"/>
      <w:bookmarkEnd w:id="47"/>
      <w:bookmarkStart w:id="48" w:name="_Toc184312111"/>
      <w:bookmarkEnd w:id="48"/>
      <w:bookmarkStart w:id="49" w:name="_Toc184313289"/>
      <w:bookmarkEnd w:id="49"/>
      <w:bookmarkStart w:id="50" w:name="_Toc184313293"/>
      <w:bookmarkEnd w:id="50"/>
      <w:bookmarkStart w:id="51" w:name="_Toc184314433"/>
      <w:bookmarkEnd w:id="51"/>
      <w:bookmarkStart w:id="52" w:name="_Toc184314473"/>
      <w:bookmarkEnd w:id="52"/>
      <w:bookmarkStart w:id="53" w:name="_Toc184314482"/>
      <w:bookmarkEnd w:id="53"/>
      <w:bookmarkStart w:id="54" w:name="_Toc184310291"/>
      <w:bookmarkEnd w:id="54"/>
      <w:bookmarkStart w:id="55" w:name="_Toc184312112"/>
      <w:bookmarkEnd w:id="55"/>
      <w:bookmarkStart w:id="56" w:name="_Toc184313260"/>
      <w:bookmarkEnd w:id="56"/>
      <w:bookmarkStart w:id="57" w:name="_Toc184314416"/>
      <w:bookmarkEnd w:id="57"/>
      <w:bookmarkStart w:id="58" w:name="_Toc184314460"/>
      <w:bookmarkEnd w:id="58"/>
      <w:bookmarkStart w:id="59" w:name="_Toc184313287"/>
      <w:bookmarkEnd w:id="59"/>
      <w:bookmarkStart w:id="60" w:name="_Toc184314422"/>
      <w:bookmarkEnd w:id="60"/>
      <w:bookmarkStart w:id="61" w:name="_Toc184310339"/>
      <w:bookmarkEnd w:id="61"/>
      <w:bookmarkStart w:id="62" w:name="_Toc184310321"/>
      <w:bookmarkEnd w:id="62"/>
      <w:bookmarkStart w:id="63" w:name="_Toc184310328"/>
      <w:bookmarkEnd w:id="63"/>
      <w:bookmarkStart w:id="64" w:name="_Toc184308100"/>
      <w:bookmarkEnd w:id="64"/>
      <w:bookmarkStart w:id="65" w:name="_Toc184313298"/>
      <w:bookmarkEnd w:id="65"/>
      <w:bookmarkStart w:id="66" w:name="_Toc184313264"/>
      <w:bookmarkEnd w:id="66"/>
      <w:bookmarkStart w:id="67" w:name="_Toc184313301"/>
      <w:bookmarkEnd w:id="67"/>
      <w:bookmarkStart w:id="68" w:name="_Toc184308043"/>
      <w:bookmarkEnd w:id="68"/>
      <w:bookmarkStart w:id="69" w:name="_Toc184308062"/>
      <w:bookmarkEnd w:id="69"/>
      <w:bookmarkStart w:id="70" w:name="_Toc184314466"/>
      <w:bookmarkEnd w:id="70"/>
      <w:bookmarkStart w:id="71" w:name="_Toc184310332"/>
      <w:bookmarkEnd w:id="71"/>
      <w:bookmarkStart w:id="72" w:name="_Toc184312102"/>
      <w:bookmarkEnd w:id="72"/>
      <w:bookmarkStart w:id="73" w:name="_Toc184308057"/>
      <w:bookmarkEnd w:id="73"/>
      <w:bookmarkStart w:id="74" w:name="_Toc184312127"/>
      <w:bookmarkEnd w:id="74"/>
      <w:bookmarkStart w:id="75" w:name="_Toc184310327"/>
      <w:bookmarkEnd w:id="75"/>
      <w:bookmarkStart w:id="76" w:name="_Toc184310341"/>
      <w:bookmarkEnd w:id="76"/>
      <w:bookmarkStart w:id="77" w:name="_Toc184308059"/>
      <w:bookmarkEnd w:id="77"/>
      <w:bookmarkStart w:id="78" w:name="_Toc184310290"/>
      <w:bookmarkEnd w:id="78"/>
      <w:bookmarkStart w:id="79" w:name="_Toc184312114"/>
      <w:bookmarkEnd w:id="79"/>
      <w:bookmarkStart w:id="80" w:name="_Toc184308090"/>
      <w:bookmarkEnd w:id="80"/>
      <w:bookmarkStart w:id="81" w:name="_Toc184312083"/>
      <w:bookmarkEnd w:id="81"/>
      <w:bookmarkStart w:id="82" w:name="_Toc184310334"/>
      <w:bookmarkEnd w:id="82"/>
      <w:bookmarkStart w:id="83" w:name="_Toc184310295"/>
      <w:bookmarkEnd w:id="83"/>
      <w:bookmarkStart w:id="84" w:name="_Toc184312121"/>
      <w:bookmarkEnd w:id="84"/>
      <w:bookmarkStart w:id="85" w:name="_Toc184312095"/>
      <w:bookmarkEnd w:id="85"/>
      <w:bookmarkStart w:id="86" w:name="_Toc184314454"/>
      <w:bookmarkEnd w:id="86"/>
      <w:bookmarkStart w:id="87" w:name="_Toc184313241"/>
      <w:bookmarkEnd w:id="87"/>
      <w:bookmarkStart w:id="88" w:name="_Toc184313266"/>
      <w:bookmarkEnd w:id="88"/>
      <w:bookmarkStart w:id="89" w:name="_Toc184314423"/>
      <w:bookmarkEnd w:id="89"/>
      <w:bookmarkStart w:id="90" w:name="_Toc184314462"/>
      <w:bookmarkEnd w:id="90"/>
      <w:bookmarkStart w:id="91" w:name="_Toc184312099"/>
      <w:bookmarkEnd w:id="91"/>
      <w:bookmarkStart w:id="92" w:name="_Toc184312108"/>
      <w:bookmarkEnd w:id="92"/>
      <w:bookmarkStart w:id="93" w:name="_Toc184313259"/>
      <w:bookmarkEnd w:id="93"/>
      <w:bookmarkStart w:id="94" w:name="_Toc184313307"/>
      <w:bookmarkEnd w:id="94"/>
      <w:bookmarkStart w:id="95" w:name="_Toc184310309"/>
      <w:bookmarkEnd w:id="95"/>
      <w:bookmarkStart w:id="96" w:name="_Toc184312122"/>
      <w:bookmarkEnd w:id="96"/>
      <w:bookmarkStart w:id="97" w:name="_Toc184308058"/>
      <w:bookmarkEnd w:id="97"/>
      <w:bookmarkStart w:id="98" w:name="_Toc184308060"/>
      <w:bookmarkEnd w:id="98"/>
      <w:bookmarkStart w:id="99" w:name="_Toc184313296"/>
      <w:bookmarkEnd w:id="99"/>
      <w:bookmarkStart w:id="100" w:name="_Toc184308107"/>
      <w:bookmarkEnd w:id="100"/>
      <w:bookmarkStart w:id="101" w:name="_Toc184313256"/>
      <w:bookmarkEnd w:id="101"/>
      <w:bookmarkStart w:id="102" w:name="_Toc184313238"/>
      <w:bookmarkEnd w:id="102"/>
      <w:bookmarkStart w:id="103" w:name="_Toc184308095"/>
      <w:bookmarkEnd w:id="103"/>
      <w:bookmarkStart w:id="104" w:name="_Toc184313284"/>
      <w:bookmarkEnd w:id="104"/>
      <w:bookmarkStart w:id="105" w:name="_Toc184314480"/>
      <w:bookmarkEnd w:id="105"/>
      <w:bookmarkStart w:id="106" w:name="_Toc184312073"/>
      <w:bookmarkEnd w:id="106"/>
      <w:bookmarkStart w:id="107" w:name="_Toc184308098"/>
      <w:bookmarkEnd w:id="107"/>
      <w:bookmarkStart w:id="108" w:name="_Toc184314461"/>
      <w:bookmarkEnd w:id="108"/>
      <w:bookmarkStart w:id="109" w:name="_Toc184308039"/>
      <w:bookmarkEnd w:id="109"/>
      <w:bookmarkStart w:id="110" w:name="_Toc184313240"/>
      <w:bookmarkEnd w:id="110"/>
      <w:bookmarkStart w:id="111" w:name="_Toc184312134"/>
      <w:bookmarkEnd w:id="111"/>
      <w:bookmarkStart w:id="112" w:name="_Toc184310338"/>
      <w:bookmarkEnd w:id="112"/>
      <w:bookmarkStart w:id="113" w:name="_Toc184310317"/>
      <w:bookmarkEnd w:id="113"/>
      <w:bookmarkStart w:id="114" w:name="_Toc184314470"/>
      <w:bookmarkEnd w:id="114"/>
      <w:bookmarkStart w:id="115" w:name="_Toc184313254"/>
      <w:bookmarkEnd w:id="115"/>
      <w:bookmarkStart w:id="116" w:name="_Toc184308083"/>
      <w:bookmarkEnd w:id="116"/>
      <w:bookmarkStart w:id="117" w:name="_Toc184312074"/>
      <w:bookmarkEnd w:id="117"/>
      <w:bookmarkStart w:id="118" w:name="_Toc184312077"/>
      <w:bookmarkEnd w:id="118"/>
      <w:bookmarkStart w:id="119" w:name="_Toc184313246"/>
      <w:bookmarkEnd w:id="119"/>
      <w:bookmarkStart w:id="120" w:name="_Toc184308065"/>
      <w:bookmarkEnd w:id="120"/>
      <w:bookmarkStart w:id="121" w:name="_Toc184308079"/>
      <w:bookmarkEnd w:id="121"/>
      <w:bookmarkStart w:id="122" w:name="_Toc184313244"/>
      <w:bookmarkEnd w:id="122"/>
      <w:bookmarkStart w:id="123" w:name="_Toc184308050"/>
      <w:bookmarkEnd w:id="123"/>
      <w:bookmarkStart w:id="124" w:name="_Toc184312138"/>
      <w:bookmarkEnd w:id="124"/>
      <w:bookmarkStart w:id="125" w:name="_Toc184313278"/>
      <w:bookmarkEnd w:id="125"/>
      <w:bookmarkStart w:id="126" w:name="_Toc184313295"/>
      <w:bookmarkEnd w:id="126"/>
      <w:bookmarkStart w:id="127" w:name="_Toc184312130"/>
      <w:bookmarkEnd w:id="127"/>
      <w:bookmarkStart w:id="128" w:name="_Toc184310278"/>
      <w:bookmarkEnd w:id="128"/>
      <w:bookmarkStart w:id="129" w:name="_Toc184308048"/>
      <w:bookmarkEnd w:id="129"/>
      <w:bookmarkStart w:id="130" w:name="_Toc184313272"/>
      <w:bookmarkEnd w:id="130"/>
      <w:bookmarkStart w:id="131" w:name="_Toc184310316"/>
      <w:bookmarkEnd w:id="131"/>
      <w:bookmarkStart w:id="132" w:name="_Toc184313239"/>
      <w:bookmarkEnd w:id="132"/>
      <w:bookmarkStart w:id="133" w:name="_Toc184314468"/>
      <w:bookmarkEnd w:id="133"/>
      <w:bookmarkStart w:id="134" w:name="_Toc184312104"/>
      <w:bookmarkEnd w:id="134"/>
      <w:bookmarkStart w:id="135" w:name="_Toc184314475"/>
      <w:bookmarkEnd w:id="135"/>
      <w:bookmarkStart w:id="136" w:name="_Toc184308040"/>
      <w:bookmarkEnd w:id="136"/>
      <w:bookmarkStart w:id="137" w:name="_Toc184312090"/>
      <w:bookmarkEnd w:id="137"/>
      <w:bookmarkStart w:id="138" w:name="_Toc184310275"/>
      <w:bookmarkEnd w:id="138"/>
      <w:bookmarkStart w:id="139" w:name="_Toc184314445"/>
      <w:bookmarkEnd w:id="139"/>
      <w:bookmarkStart w:id="140" w:name="_Toc184312081"/>
      <w:bookmarkEnd w:id="140"/>
      <w:bookmarkStart w:id="141" w:name="_Toc184310277"/>
      <w:bookmarkEnd w:id="141"/>
      <w:bookmarkStart w:id="142" w:name="_Toc184308093"/>
      <w:bookmarkEnd w:id="142"/>
      <w:bookmarkStart w:id="143" w:name="_Toc184308101"/>
      <w:bookmarkEnd w:id="143"/>
      <w:bookmarkStart w:id="144" w:name="_Toc184310333"/>
      <w:bookmarkEnd w:id="144"/>
      <w:bookmarkStart w:id="145" w:name="_Toc184310284"/>
      <w:bookmarkEnd w:id="145"/>
      <w:bookmarkStart w:id="146" w:name="_Toc184313258"/>
      <w:bookmarkEnd w:id="146"/>
      <w:bookmarkStart w:id="147" w:name="_Toc184312124"/>
      <w:bookmarkEnd w:id="147"/>
      <w:bookmarkStart w:id="148" w:name="_Toc184314413"/>
      <w:bookmarkEnd w:id="148"/>
      <w:bookmarkStart w:id="149" w:name="_Toc184308056"/>
      <w:bookmarkEnd w:id="149"/>
      <w:bookmarkStart w:id="150" w:name="_Toc184308055"/>
      <w:bookmarkEnd w:id="150"/>
      <w:bookmarkStart w:id="151" w:name="_Toc184312089"/>
      <w:bookmarkEnd w:id="151"/>
      <w:bookmarkStart w:id="152" w:name="_Toc184313245"/>
      <w:bookmarkEnd w:id="152"/>
      <w:bookmarkStart w:id="153" w:name="_Toc184314442"/>
      <w:bookmarkEnd w:id="153"/>
      <w:bookmarkStart w:id="154" w:name="_Toc184314429"/>
      <w:bookmarkEnd w:id="154"/>
      <w:bookmarkStart w:id="155" w:name="_Toc184308103"/>
      <w:bookmarkEnd w:id="155"/>
      <w:bookmarkStart w:id="156" w:name="_Toc184310272"/>
      <w:bookmarkEnd w:id="156"/>
      <w:bookmarkStart w:id="157" w:name="_Toc184308087"/>
      <w:bookmarkEnd w:id="157"/>
      <w:bookmarkStart w:id="158" w:name="_Toc184310326"/>
      <w:bookmarkEnd w:id="158"/>
      <w:bookmarkStart w:id="159" w:name="_Toc184308072"/>
      <w:bookmarkEnd w:id="159"/>
      <w:bookmarkStart w:id="160" w:name="_Toc184313271"/>
      <w:bookmarkEnd w:id="160"/>
      <w:bookmarkStart w:id="161" w:name="_Toc184308081"/>
      <w:bookmarkEnd w:id="161"/>
      <w:bookmarkStart w:id="162" w:name="_Toc184314463"/>
      <w:bookmarkEnd w:id="162"/>
      <w:bookmarkStart w:id="163" w:name="_Toc184310280"/>
      <w:bookmarkEnd w:id="163"/>
      <w:bookmarkStart w:id="164" w:name="_Toc184308069"/>
      <w:bookmarkEnd w:id="164"/>
      <w:bookmarkStart w:id="165" w:name="_Toc184312116"/>
      <w:bookmarkEnd w:id="165"/>
      <w:bookmarkStart w:id="166" w:name="_Toc184310285"/>
      <w:bookmarkEnd w:id="166"/>
      <w:bookmarkStart w:id="167" w:name="_Toc184308096"/>
      <w:bookmarkEnd w:id="167"/>
      <w:bookmarkStart w:id="168" w:name="_Toc184313251"/>
      <w:bookmarkEnd w:id="168"/>
      <w:bookmarkStart w:id="169" w:name="_Toc184308105"/>
      <w:bookmarkEnd w:id="169"/>
      <w:bookmarkStart w:id="170" w:name="_Toc184312093"/>
      <w:bookmarkEnd w:id="170"/>
      <w:bookmarkStart w:id="171" w:name="_Toc184312070"/>
      <w:bookmarkEnd w:id="171"/>
      <w:bookmarkStart w:id="172" w:name="_Toc184314451"/>
      <w:bookmarkEnd w:id="172"/>
      <w:bookmarkStart w:id="173" w:name="_Toc184313299"/>
      <w:bookmarkEnd w:id="173"/>
      <w:bookmarkStart w:id="174" w:name="_Toc184312126"/>
      <w:bookmarkEnd w:id="174"/>
      <w:bookmarkStart w:id="175" w:name="_Toc184312067"/>
      <w:bookmarkEnd w:id="175"/>
      <w:bookmarkStart w:id="176" w:name="_Toc184310340"/>
      <w:bookmarkEnd w:id="176"/>
      <w:bookmarkStart w:id="177" w:name="_Toc184312079"/>
      <w:bookmarkEnd w:id="177"/>
      <w:bookmarkStart w:id="178" w:name="_Toc184312072"/>
      <w:bookmarkEnd w:id="178"/>
      <w:bookmarkStart w:id="179" w:name="_Toc184308038"/>
      <w:bookmarkEnd w:id="179"/>
      <w:bookmarkStart w:id="180" w:name="_Toc184310296"/>
      <w:bookmarkEnd w:id="180"/>
      <w:bookmarkStart w:id="181" w:name="_Toc184312110"/>
      <w:bookmarkEnd w:id="181"/>
      <w:bookmarkStart w:id="182" w:name="_Toc184310318"/>
      <w:bookmarkEnd w:id="182"/>
      <w:bookmarkStart w:id="183" w:name="_Toc184310336"/>
      <w:bookmarkEnd w:id="183"/>
      <w:bookmarkStart w:id="184" w:name="_Toc184314436"/>
      <w:bookmarkEnd w:id="184"/>
      <w:bookmarkStart w:id="185" w:name="_Toc184310281"/>
      <w:bookmarkEnd w:id="185"/>
      <w:bookmarkStart w:id="186" w:name="_Toc184312076"/>
      <w:bookmarkEnd w:id="186"/>
      <w:bookmarkStart w:id="187" w:name="_Toc184313243"/>
      <w:bookmarkEnd w:id="187"/>
      <w:bookmarkStart w:id="188" w:name="_Toc184313250"/>
      <w:bookmarkEnd w:id="188"/>
      <w:bookmarkStart w:id="189" w:name="_Toc184310319"/>
      <w:bookmarkEnd w:id="189"/>
      <w:bookmarkStart w:id="190" w:name="_Toc184310292"/>
      <w:bookmarkEnd w:id="190"/>
      <w:bookmarkStart w:id="191" w:name="_Toc184312088"/>
      <w:bookmarkEnd w:id="191"/>
      <w:bookmarkStart w:id="192" w:name="_Toc184314435"/>
      <w:bookmarkEnd w:id="192"/>
      <w:bookmarkStart w:id="193" w:name="_Toc184308091"/>
      <w:bookmarkEnd w:id="193"/>
      <w:bookmarkStart w:id="194" w:name="_Toc184314412"/>
      <w:bookmarkEnd w:id="194"/>
      <w:bookmarkStart w:id="195" w:name="_Toc184314444"/>
      <w:bookmarkEnd w:id="195"/>
      <w:bookmarkStart w:id="196" w:name="_Toc184314455"/>
      <w:bookmarkEnd w:id="196"/>
      <w:bookmarkStart w:id="197" w:name="_Toc184308067"/>
      <w:bookmarkEnd w:id="197"/>
      <w:bookmarkStart w:id="198" w:name="_Toc184310287"/>
      <w:bookmarkEnd w:id="198"/>
      <w:bookmarkStart w:id="199" w:name="_Toc184313268"/>
      <w:bookmarkEnd w:id="199"/>
      <w:bookmarkStart w:id="200" w:name="_Toc184310311"/>
      <w:bookmarkEnd w:id="200"/>
      <w:bookmarkStart w:id="201" w:name="_Toc184313292"/>
      <w:bookmarkEnd w:id="201"/>
      <w:bookmarkStart w:id="202" w:name="_Toc184313285"/>
      <w:bookmarkEnd w:id="202"/>
      <w:bookmarkStart w:id="203" w:name="_Toc184308051"/>
      <w:bookmarkEnd w:id="203"/>
      <w:bookmarkStart w:id="204" w:name="_Toc184312084"/>
      <w:bookmarkEnd w:id="204"/>
      <w:bookmarkStart w:id="205" w:name="_Toc184310343"/>
      <w:bookmarkEnd w:id="205"/>
      <w:bookmarkStart w:id="206" w:name="_Toc184312106"/>
      <w:bookmarkEnd w:id="206"/>
      <w:bookmarkStart w:id="207" w:name="_Toc184313269"/>
      <w:bookmarkEnd w:id="207"/>
      <w:bookmarkStart w:id="208" w:name="_Toc184312085"/>
      <w:bookmarkEnd w:id="208"/>
      <w:bookmarkStart w:id="209" w:name="_Toc184312086"/>
      <w:bookmarkEnd w:id="209"/>
      <w:bookmarkStart w:id="210" w:name="_Toc184313247"/>
      <w:bookmarkEnd w:id="210"/>
      <w:bookmarkStart w:id="211" w:name="_Toc184312115"/>
      <w:bookmarkEnd w:id="211"/>
      <w:bookmarkStart w:id="212" w:name="_Toc184308049"/>
      <w:bookmarkEnd w:id="212"/>
      <w:bookmarkStart w:id="213" w:name="_Toc184310313"/>
      <w:bookmarkEnd w:id="213"/>
      <w:bookmarkStart w:id="214" w:name="_Toc184314456"/>
      <w:bookmarkEnd w:id="214"/>
      <w:bookmarkStart w:id="215" w:name="_Toc184313257"/>
      <w:bookmarkEnd w:id="215"/>
      <w:bookmarkStart w:id="216" w:name="_Toc184314420"/>
      <w:bookmarkEnd w:id="216"/>
      <w:bookmarkStart w:id="217" w:name="_Toc184313275"/>
      <w:bookmarkEnd w:id="217"/>
      <w:bookmarkStart w:id="218" w:name="_Toc184308082"/>
      <w:bookmarkEnd w:id="218"/>
      <w:bookmarkStart w:id="219" w:name="_Toc184313290"/>
      <w:bookmarkEnd w:id="219"/>
      <w:bookmarkStart w:id="220" w:name="_Toc184312097"/>
      <w:bookmarkEnd w:id="220"/>
      <w:bookmarkStart w:id="221" w:name="_Toc184313305"/>
      <w:bookmarkEnd w:id="221"/>
      <w:bookmarkStart w:id="222" w:name="_Toc184310320"/>
      <w:bookmarkEnd w:id="222"/>
      <w:bookmarkStart w:id="223" w:name="_Toc184314418"/>
      <w:bookmarkEnd w:id="223"/>
      <w:bookmarkStart w:id="224" w:name="_Toc184308064"/>
      <w:bookmarkEnd w:id="224"/>
      <w:bookmarkStart w:id="225" w:name="_Toc184314432"/>
      <w:bookmarkEnd w:id="225"/>
      <w:bookmarkStart w:id="226" w:name="_Toc184314452"/>
      <w:bookmarkEnd w:id="226"/>
      <w:bookmarkStart w:id="227" w:name="_Toc184312075"/>
      <w:bookmarkEnd w:id="227"/>
      <w:bookmarkStart w:id="228" w:name="_Toc184313262"/>
      <w:bookmarkEnd w:id="228"/>
      <w:bookmarkStart w:id="229" w:name="_Toc184310276"/>
      <w:bookmarkEnd w:id="229"/>
      <w:bookmarkStart w:id="230" w:name="_Toc184310279"/>
      <w:bookmarkEnd w:id="230"/>
      <w:bookmarkStart w:id="231" w:name="_Toc184314464"/>
      <w:bookmarkEnd w:id="231"/>
      <w:bookmarkStart w:id="232" w:name="_Toc184312103"/>
      <w:bookmarkEnd w:id="232"/>
      <w:bookmarkStart w:id="233" w:name="_Toc184312135"/>
      <w:bookmarkEnd w:id="233"/>
      <w:bookmarkStart w:id="234" w:name="_Toc184313303"/>
      <w:bookmarkEnd w:id="234"/>
      <w:bookmarkStart w:id="235" w:name="_Toc184312119"/>
      <w:bookmarkEnd w:id="235"/>
      <w:bookmarkStart w:id="236" w:name="_Toc184312118"/>
      <w:bookmarkEnd w:id="236"/>
      <w:bookmarkStart w:id="237" w:name="_Toc184310299"/>
      <w:bookmarkEnd w:id="237"/>
      <w:bookmarkStart w:id="238" w:name="_Toc184312080"/>
      <w:bookmarkEnd w:id="238"/>
      <w:bookmarkStart w:id="239" w:name="_Toc184313270"/>
      <w:bookmarkEnd w:id="239"/>
      <w:bookmarkStart w:id="240" w:name="_Toc184308104"/>
      <w:bookmarkEnd w:id="240"/>
      <w:bookmarkStart w:id="241" w:name="_Toc184312136"/>
      <w:bookmarkEnd w:id="241"/>
      <w:bookmarkStart w:id="242" w:name="_Toc184312098"/>
      <w:bookmarkEnd w:id="242"/>
      <w:bookmarkStart w:id="243" w:name="_Toc184314439"/>
      <w:bookmarkEnd w:id="243"/>
      <w:bookmarkStart w:id="244" w:name="_Toc184308076"/>
      <w:bookmarkEnd w:id="244"/>
      <w:bookmarkStart w:id="245" w:name="_Toc184314459"/>
      <w:bookmarkEnd w:id="245"/>
      <w:bookmarkStart w:id="246" w:name="_Toc184308089"/>
      <w:bookmarkEnd w:id="246"/>
      <w:bookmarkStart w:id="247" w:name="_Toc184313304"/>
      <w:bookmarkEnd w:id="247"/>
      <w:bookmarkStart w:id="248" w:name="_Toc184313286"/>
      <w:bookmarkEnd w:id="248"/>
      <w:bookmarkStart w:id="249" w:name="_Toc184308054"/>
      <w:bookmarkEnd w:id="249"/>
      <w:bookmarkStart w:id="250" w:name="_Toc184312082"/>
      <w:bookmarkEnd w:id="250"/>
      <w:bookmarkStart w:id="251" w:name="_Toc184310283"/>
      <w:bookmarkEnd w:id="251"/>
      <w:bookmarkStart w:id="252" w:name="_Toc184313300"/>
      <w:bookmarkEnd w:id="252"/>
      <w:bookmarkStart w:id="253" w:name="_Toc184308094"/>
      <w:bookmarkEnd w:id="253"/>
      <w:bookmarkStart w:id="254" w:name="_Toc184308077"/>
      <w:bookmarkEnd w:id="254"/>
      <w:bookmarkStart w:id="255" w:name="_Toc184308092"/>
      <w:bookmarkEnd w:id="255"/>
      <w:bookmarkStart w:id="256" w:name="_Toc184310325"/>
      <w:bookmarkEnd w:id="256"/>
      <w:bookmarkStart w:id="257" w:name="_Toc184312128"/>
      <w:bookmarkEnd w:id="257"/>
      <w:bookmarkStart w:id="258" w:name="_Toc184310298"/>
      <w:bookmarkEnd w:id="258"/>
      <w:bookmarkStart w:id="259" w:name="_Toc184312109"/>
      <w:bookmarkEnd w:id="259"/>
      <w:bookmarkStart w:id="260" w:name="_Toc184308099"/>
      <w:bookmarkEnd w:id="260"/>
      <w:bookmarkStart w:id="261" w:name="_Toc184314441"/>
      <w:bookmarkEnd w:id="261"/>
      <w:bookmarkStart w:id="262" w:name="_Toc184313294"/>
      <w:bookmarkEnd w:id="262"/>
      <w:bookmarkStart w:id="263" w:name="_Toc184314437"/>
      <w:bookmarkEnd w:id="263"/>
      <w:bookmarkStart w:id="264" w:name="_Toc184314446"/>
      <w:bookmarkEnd w:id="264"/>
      <w:bookmarkStart w:id="265" w:name="_Toc184310324"/>
      <w:bookmarkEnd w:id="265"/>
      <w:bookmarkStart w:id="266" w:name="_Toc184308042"/>
      <w:bookmarkEnd w:id="266"/>
      <w:bookmarkStart w:id="267" w:name="_Toc184312100"/>
      <w:bookmarkEnd w:id="267"/>
      <w:bookmarkStart w:id="268" w:name="_Toc184310337"/>
      <w:bookmarkEnd w:id="268"/>
      <w:bookmarkStart w:id="269" w:name="_Toc184310312"/>
      <w:bookmarkEnd w:id="269"/>
      <w:bookmarkStart w:id="270" w:name="_Toc184314425"/>
      <w:bookmarkEnd w:id="270"/>
      <w:bookmarkStart w:id="271" w:name="_Toc184314411"/>
      <w:bookmarkEnd w:id="271"/>
      <w:bookmarkStart w:id="272" w:name="_Toc184310273"/>
      <w:bookmarkEnd w:id="272"/>
      <w:bookmarkStart w:id="273" w:name="_Toc184312132"/>
      <w:bookmarkEnd w:id="273"/>
      <w:bookmarkStart w:id="274" w:name="_Toc184313280"/>
      <w:bookmarkEnd w:id="274"/>
      <w:bookmarkStart w:id="275" w:name="_Toc184310286"/>
      <w:bookmarkEnd w:id="275"/>
      <w:bookmarkStart w:id="276" w:name="_Toc184310297"/>
      <w:bookmarkEnd w:id="276"/>
      <w:bookmarkStart w:id="277" w:name="_Toc184310344"/>
      <w:bookmarkEnd w:id="277"/>
      <w:bookmarkStart w:id="278" w:name="_Toc184313248"/>
      <w:bookmarkEnd w:id="278"/>
      <w:bookmarkStart w:id="279" w:name="_Toc184313308"/>
      <w:bookmarkEnd w:id="279"/>
      <w:bookmarkStart w:id="280" w:name="_Toc184308084"/>
      <w:bookmarkEnd w:id="280"/>
      <w:bookmarkStart w:id="281" w:name="_Toc184308061"/>
      <w:bookmarkEnd w:id="281"/>
      <w:bookmarkStart w:id="282" w:name="_Toc184314476"/>
      <w:bookmarkEnd w:id="282"/>
      <w:bookmarkStart w:id="283" w:name="_Toc184312125"/>
      <w:bookmarkEnd w:id="283"/>
      <w:bookmarkStart w:id="284" w:name="_Toc184314417"/>
      <w:bookmarkEnd w:id="284"/>
      <w:bookmarkStart w:id="285" w:name="_Toc184314414"/>
      <w:bookmarkEnd w:id="285"/>
      <w:bookmarkStart w:id="286" w:name="_Toc184312137"/>
      <w:bookmarkEnd w:id="286"/>
      <w:bookmarkStart w:id="287" w:name="_Toc184314443"/>
      <w:bookmarkEnd w:id="287"/>
      <w:bookmarkStart w:id="288" w:name="_Toc184314426"/>
      <w:bookmarkEnd w:id="288"/>
      <w:bookmarkStart w:id="289" w:name="_Toc184312105"/>
      <w:bookmarkEnd w:id="289"/>
      <w:bookmarkStart w:id="290" w:name="_Toc184314419"/>
      <w:bookmarkEnd w:id="290"/>
      <w:bookmarkStart w:id="291" w:name="_Toc184308047"/>
      <w:bookmarkEnd w:id="291"/>
      <w:bookmarkStart w:id="292" w:name="_Toc184308070"/>
      <w:bookmarkEnd w:id="292"/>
      <w:bookmarkStart w:id="293" w:name="_Toc184312068"/>
      <w:bookmarkEnd w:id="293"/>
      <w:bookmarkStart w:id="294" w:name="_Toc184313277"/>
      <w:bookmarkEnd w:id="294"/>
      <w:bookmarkStart w:id="295" w:name="_Toc184308080"/>
      <w:bookmarkEnd w:id="295"/>
      <w:bookmarkStart w:id="296" w:name="_Toc184314450"/>
      <w:bookmarkEnd w:id="296"/>
      <w:bookmarkStart w:id="297" w:name="_Toc184314453"/>
      <w:bookmarkEnd w:id="297"/>
      <w:bookmarkStart w:id="298" w:name="_Toc184313255"/>
      <w:bookmarkEnd w:id="298"/>
      <w:bookmarkStart w:id="299" w:name="_Toc184314477"/>
      <w:bookmarkEnd w:id="299"/>
      <w:bookmarkStart w:id="300" w:name="_Toc184308044"/>
      <w:bookmarkEnd w:id="300"/>
      <w:bookmarkStart w:id="301" w:name="_Toc184312096"/>
      <w:bookmarkEnd w:id="301"/>
      <w:bookmarkStart w:id="302" w:name="_Toc184314465"/>
      <w:bookmarkEnd w:id="302"/>
      <w:bookmarkStart w:id="303" w:name="_Toc184308097"/>
      <w:bookmarkEnd w:id="303"/>
      <w:bookmarkStart w:id="304" w:name="_Toc184314469"/>
      <w:bookmarkEnd w:id="304"/>
      <w:bookmarkStart w:id="305" w:name="_Toc184308052"/>
      <w:bookmarkEnd w:id="305"/>
      <w:bookmarkStart w:id="306" w:name="_Toc184314427"/>
      <w:bookmarkEnd w:id="306"/>
      <w:bookmarkStart w:id="307" w:name="_Toc184312120"/>
      <w:bookmarkEnd w:id="307"/>
      <w:bookmarkStart w:id="308" w:name="_Toc184314457"/>
      <w:bookmarkEnd w:id="308"/>
      <w:bookmarkStart w:id="309" w:name="_Toc184314431"/>
      <w:bookmarkEnd w:id="309"/>
      <w:bookmarkStart w:id="310" w:name="_Toc184312139"/>
      <w:bookmarkEnd w:id="310"/>
      <w:bookmarkStart w:id="311" w:name="_Toc184314449"/>
      <w:bookmarkEnd w:id="311"/>
      <w:bookmarkStart w:id="312" w:name="_Toc184310308"/>
      <w:bookmarkEnd w:id="312"/>
      <w:bookmarkStart w:id="313" w:name="_Toc184314438"/>
      <w:bookmarkEnd w:id="313"/>
      <w:bookmarkStart w:id="314" w:name="_Toc184313249"/>
      <w:bookmarkEnd w:id="314"/>
      <w:bookmarkStart w:id="315" w:name="_Toc184308053"/>
      <w:bookmarkEnd w:id="315"/>
      <w:bookmarkStart w:id="316" w:name="_Toc184314410"/>
      <w:bookmarkEnd w:id="316"/>
      <w:bookmarkStart w:id="317" w:name="_Toc184312092"/>
      <w:bookmarkEnd w:id="317"/>
      <w:bookmarkStart w:id="318" w:name="_Toc184313306"/>
      <w:bookmarkEnd w:id="318"/>
      <w:bookmarkStart w:id="319" w:name="_Toc184310305"/>
      <w:bookmarkEnd w:id="319"/>
      <w:bookmarkStart w:id="320" w:name="_Toc184312131"/>
      <w:bookmarkEnd w:id="320"/>
      <w:bookmarkStart w:id="321" w:name="_Toc184312113"/>
      <w:bookmarkEnd w:id="321"/>
      <w:bookmarkStart w:id="322" w:name="_Toc184314458"/>
      <w:bookmarkEnd w:id="322"/>
      <w:bookmarkStart w:id="323" w:name="_Toc184314440"/>
      <w:bookmarkEnd w:id="323"/>
      <w:bookmarkStart w:id="324" w:name="_Toc184313265"/>
      <w:bookmarkEnd w:id="324"/>
      <w:bookmarkStart w:id="325" w:name="_Toc184310342"/>
      <w:bookmarkEnd w:id="325"/>
      <w:bookmarkStart w:id="326" w:name="_Toc184310293"/>
      <w:bookmarkEnd w:id="326"/>
      <w:bookmarkStart w:id="327" w:name="_Toc184310288"/>
      <w:bookmarkEnd w:id="327"/>
      <w:bookmarkStart w:id="328" w:name="_Toc184313309"/>
      <w:bookmarkEnd w:id="328"/>
      <w:bookmarkStart w:id="329" w:name="_Toc184308073"/>
      <w:bookmarkEnd w:id="329"/>
      <w:bookmarkStart w:id="330" w:name="_Toc184310315"/>
      <w:bookmarkEnd w:id="330"/>
      <w:bookmarkStart w:id="331" w:name="_Toc184310329"/>
      <w:bookmarkEnd w:id="331"/>
      <w:bookmarkStart w:id="332" w:name="_Toc184310303"/>
      <w:bookmarkEnd w:id="332"/>
      <w:bookmarkStart w:id="333" w:name="_Toc184313291"/>
      <w:bookmarkEnd w:id="333"/>
      <w:bookmarkStart w:id="334" w:name="_Toc184310330"/>
      <w:bookmarkEnd w:id="334"/>
      <w:bookmarkStart w:id="335" w:name="_Toc184308071"/>
      <w:bookmarkEnd w:id="335"/>
      <w:bookmarkStart w:id="336" w:name="_Toc184314471"/>
      <w:bookmarkEnd w:id="336"/>
      <w:bookmarkStart w:id="337" w:name="_Toc184312087"/>
      <w:bookmarkEnd w:id="337"/>
      <w:bookmarkStart w:id="338" w:name="_Toc184314467"/>
      <w:bookmarkEnd w:id="338"/>
      <w:bookmarkStart w:id="339" w:name="_Toc184308075"/>
      <w:bookmarkEnd w:id="339"/>
      <w:bookmarkStart w:id="340" w:name="_Toc184308046"/>
      <w:bookmarkEnd w:id="340"/>
      <w:bookmarkStart w:id="341" w:name="_Toc184313288"/>
      <w:bookmarkEnd w:id="341"/>
      <w:bookmarkStart w:id="342" w:name="_Toc184308088"/>
      <w:bookmarkEnd w:id="342"/>
      <w:bookmarkStart w:id="343" w:name="_Toc184310310"/>
      <w:bookmarkEnd w:id="343"/>
      <w:bookmarkStart w:id="344" w:name="_Toc184313297"/>
      <w:bookmarkEnd w:id="344"/>
      <w:bookmarkStart w:id="345" w:name="_Toc184312094"/>
      <w:bookmarkEnd w:id="345"/>
      <w:bookmarkStart w:id="346" w:name="_Toc184314421"/>
      <w:bookmarkEnd w:id="346"/>
      <w:bookmarkStart w:id="347" w:name="_Toc184313276"/>
      <w:bookmarkEnd w:id="347"/>
      <w:bookmarkStart w:id="348" w:name="_Toc184313281"/>
      <w:bookmarkEnd w:id="348"/>
      <w:bookmarkStart w:id="349" w:name="_Toc184313310"/>
      <w:bookmarkEnd w:id="349"/>
      <w:bookmarkStart w:id="350" w:name="_Toc184314424"/>
      <w:bookmarkEnd w:id="350"/>
      <w:bookmarkStart w:id="351" w:name="_Toc184310331"/>
      <w:bookmarkEnd w:id="351"/>
      <w:bookmarkStart w:id="352" w:name="_Toc184310282"/>
      <w:bookmarkEnd w:id="352"/>
      <w:bookmarkStart w:id="353" w:name="_Toc184314481"/>
      <w:bookmarkEnd w:id="353"/>
      <w:bookmarkStart w:id="354" w:name="_Toc184312117"/>
      <w:bookmarkEnd w:id="354"/>
      <w:bookmarkStart w:id="355" w:name="_Toc184308085"/>
      <w:bookmarkEnd w:id="355"/>
      <w:bookmarkStart w:id="356" w:name="_Toc184312091"/>
      <w:bookmarkEnd w:id="356"/>
      <w:bookmarkStart w:id="357" w:name="_Toc184308102"/>
      <w:bookmarkEnd w:id="357"/>
      <w:bookmarkStart w:id="358" w:name="_Toc184312107"/>
      <w:bookmarkEnd w:id="358"/>
      <w:bookmarkStart w:id="359" w:name="_Toc184308086"/>
      <w:bookmarkEnd w:id="359"/>
      <w:bookmarkStart w:id="360" w:name="_Toc184312078"/>
      <w:bookmarkEnd w:id="360"/>
      <w:bookmarkStart w:id="361" w:name="_Toc184313273"/>
      <w:bookmarkEnd w:id="361"/>
      <w:bookmarkStart w:id="362" w:name="_Toc184310306"/>
      <w:bookmarkEnd w:id="362"/>
      <w:bookmarkStart w:id="363" w:name="_Toc184313282"/>
      <w:bookmarkEnd w:id="363"/>
      <w:bookmarkStart w:id="364" w:name="_Toc184308036"/>
      <w:bookmarkEnd w:id="364"/>
      <w:bookmarkStart w:id="365" w:name="_Toc184313263"/>
      <w:bookmarkEnd w:id="365"/>
      <w:bookmarkStart w:id="366" w:name="_Toc184310294"/>
      <w:bookmarkEnd w:id="366"/>
      <w:bookmarkStart w:id="367" w:name="_Toc184314430"/>
      <w:bookmarkEnd w:id="367"/>
      <w:bookmarkStart w:id="368" w:name="_Toc184314479"/>
      <w:bookmarkEnd w:id="368"/>
      <w:bookmarkStart w:id="369" w:name="_Toc184312133"/>
      <w:bookmarkEnd w:id="369"/>
      <w:bookmarkStart w:id="370" w:name="_Toc184314428"/>
      <w:bookmarkEnd w:id="370"/>
      <w:bookmarkStart w:id="371" w:name="_Toc184313283"/>
      <w:bookmarkEnd w:id="371"/>
      <w:bookmarkStart w:id="372" w:name="_Toc184313261"/>
      <w:bookmarkEnd w:id="372"/>
      <w:bookmarkStart w:id="373" w:name="_Toc184308106"/>
      <w:bookmarkEnd w:id="373"/>
      <w:bookmarkStart w:id="374" w:name="_Toc184314474"/>
      <w:bookmarkEnd w:id="374"/>
      <w:bookmarkStart w:id="375" w:name="_Toc184308108"/>
      <w:bookmarkEnd w:id="375"/>
      <w:bookmarkStart w:id="376" w:name="_Toc184308041"/>
      <w:bookmarkEnd w:id="376"/>
      <w:bookmarkStart w:id="377" w:name="_Toc184308078"/>
      <w:bookmarkEnd w:id="377"/>
      <w:bookmarkStart w:id="378" w:name="_Toc184312069"/>
      <w:bookmarkEnd w:id="378"/>
      <w:bookmarkStart w:id="379" w:name="_Toc184314434"/>
      <w:bookmarkEnd w:id="379"/>
      <w:bookmarkStart w:id="380" w:name="_Toc184310289"/>
      <w:bookmarkEnd w:id="380"/>
      <w:bookmarkStart w:id="381" w:name="_Toc184314447"/>
      <w:bookmarkEnd w:id="381"/>
      <w:bookmarkStart w:id="382" w:name="_Toc184310335"/>
      <w:bookmarkEnd w:id="382"/>
      <w:bookmarkStart w:id="383" w:name="_Toc184308068"/>
      <w:bookmarkEnd w:id="383"/>
      <w:bookmarkStart w:id="384" w:name="_Toc184310304"/>
      <w:bookmarkEnd w:id="384"/>
      <w:bookmarkStart w:id="385" w:name="_Toc184308074"/>
      <w:bookmarkEnd w:id="385"/>
      <w:bookmarkStart w:id="386" w:name="_Toc184308045"/>
      <w:bookmarkEnd w:id="386"/>
      <w:bookmarkStart w:id="387" w:name="_Toc184312071"/>
      <w:bookmarkEnd w:id="387"/>
      <w:bookmarkStart w:id="388" w:name="_Toc184314478"/>
      <w:bookmarkEnd w:id="388"/>
      <w:bookmarkStart w:id="389" w:name="_Toc184313253"/>
      <w:bookmarkEnd w:id="389"/>
      <w:bookmarkStart w:id="390" w:name="_Toc184314472"/>
      <w:bookmarkEnd w:id="390"/>
      <w:bookmarkStart w:id="391" w:name="_Toc184313252"/>
      <w:bookmarkEnd w:id="391"/>
      <w:bookmarkStart w:id="392" w:name="_Toc184310323"/>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519FAC9D">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总体策划方案，要求针对本项目的采购内容，设计和制定项目策划方案，包括但不限于境内招展、境外宣传、展品运输、证件办理等，整体方案应切实可行、简练精要；</w:t>
            </w:r>
          </w:p>
          <w:p w14:paraId="7BCB4D0A">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1、方案要求符合展会的目标要求（5分）</w:t>
            </w:r>
          </w:p>
          <w:p w14:paraId="029A5C93">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2、进度要求（5分）</w:t>
            </w:r>
          </w:p>
          <w:p w14:paraId="753B87FC">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3、体现针对性及专业性（5分）</w:t>
            </w:r>
          </w:p>
          <w:p w14:paraId="6AE4872F">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4、科学合理性和可操作性（5分）。</w:t>
            </w:r>
          </w:p>
          <w:p w14:paraId="29B49560">
            <w:pPr>
              <w:pStyle w:val="6"/>
              <w:spacing w:line="240" w:lineRule="auto"/>
              <w:ind w:firstLine="0"/>
              <w:jc w:val="left"/>
              <w:rPr>
                <w:rFonts w:ascii="宋体" w:hAnsi="宋体" w:cs="宋体"/>
                <w:color w:val="auto"/>
                <w:szCs w:val="21"/>
                <w:highlight w:val="none"/>
              </w:rPr>
            </w:pPr>
            <w:r>
              <w:rPr>
                <w:rFonts w:hint="eastAsia" w:hAnsi="宋体" w:cs="宋体"/>
                <w:color w:val="auto"/>
                <w:sz w:val="21"/>
                <w:szCs w:val="21"/>
              </w:rPr>
              <w:t>单项打分范围：5、4、3、2、1、0。</w:t>
            </w:r>
            <w:r>
              <w:rPr>
                <w:rFonts w:hint="eastAsia" w:hAnsi="宋体" w:cs="宋体"/>
                <w:b/>
                <w:bCs/>
                <w:color w:val="auto"/>
                <w:sz w:val="21"/>
                <w:szCs w:val="21"/>
              </w:rPr>
              <w:t>（注：提供总体策划方案）</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center"/>
          </w:tcPr>
          <w:p w14:paraId="1AF0F33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实施进度计划：</w:t>
            </w:r>
          </w:p>
          <w:p w14:paraId="26587EA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0B1F9A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shd w:val="clear" w:color="auto" w:fill="auto"/>
            <w:vAlign w:val="center"/>
          </w:tcPr>
          <w:p w14:paraId="2AA9C23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rPr>
            </w:pPr>
            <w:r>
              <w:rPr>
                <w:rFonts w:hint="eastAsia"/>
                <w:sz w:val="21"/>
                <w:szCs w:val="21"/>
                <w:highlight w:val="none"/>
              </w:rPr>
              <w:t>布展搭建</w:t>
            </w:r>
            <w:r>
              <w:rPr>
                <w:rFonts w:hint="eastAsia"/>
                <w:sz w:val="21"/>
                <w:szCs w:val="21"/>
                <w:highlight w:val="none"/>
                <w:lang w:eastAsia="zh-CN"/>
              </w:rPr>
              <w:t>：</w:t>
            </w:r>
            <w:r>
              <w:rPr>
                <w:rFonts w:hint="eastAsia"/>
                <w:sz w:val="21"/>
                <w:szCs w:val="21"/>
                <w:highlight w:val="none"/>
              </w:rPr>
              <w:t>针对展会项目业务需求，拟定的展位设计方案及设计图、效果图等，突出“品质</w:t>
            </w:r>
            <w:r>
              <w:rPr>
                <w:rFonts w:hint="eastAsia"/>
                <w:sz w:val="21"/>
                <w:szCs w:val="21"/>
                <w:highlight w:val="none"/>
                <w:lang w:val="en-US" w:eastAsia="zh-CN"/>
              </w:rPr>
              <w:t xml:space="preserve">浙货 </w:t>
            </w:r>
            <w:r>
              <w:rPr>
                <w:rFonts w:hint="eastAsia"/>
                <w:sz w:val="21"/>
                <w:szCs w:val="21"/>
                <w:highlight w:val="none"/>
              </w:rPr>
              <w:t>行销天下”的主题，方式和形式上有突破和创新，并力求大方、简洁、高雅，施工符合当地质量规定要求，确保施工安全。</w:t>
            </w:r>
          </w:p>
          <w:p w14:paraId="05BDE96C">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1、</w:t>
            </w:r>
            <w:r>
              <w:rPr>
                <w:rFonts w:hint="eastAsia"/>
                <w:sz w:val="21"/>
                <w:szCs w:val="21"/>
                <w:highlight w:val="none"/>
              </w:rPr>
              <w:t>其中整体造型设计</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7BB46866">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2、品质浙货</w:t>
            </w:r>
            <w:r>
              <w:rPr>
                <w:rFonts w:hint="eastAsia"/>
                <w:sz w:val="21"/>
                <w:szCs w:val="21"/>
                <w:highlight w:val="none"/>
              </w:rPr>
              <w:t>等元素体现</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3BFC77AD">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3、</w:t>
            </w:r>
            <w:r>
              <w:rPr>
                <w:rFonts w:hint="eastAsia"/>
                <w:sz w:val="21"/>
                <w:szCs w:val="21"/>
                <w:highlight w:val="none"/>
              </w:rPr>
              <w:t>功能多元化</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16F56E5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4、</w:t>
            </w:r>
            <w:r>
              <w:rPr>
                <w:rFonts w:hint="eastAsia"/>
                <w:sz w:val="21"/>
                <w:szCs w:val="21"/>
                <w:highlight w:val="none"/>
                <w:lang w:eastAsia="zh-CN"/>
              </w:rPr>
              <w:t>使用材料</w:t>
            </w:r>
            <w:r>
              <w:rPr>
                <w:rFonts w:hint="eastAsia"/>
                <w:sz w:val="21"/>
                <w:szCs w:val="21"/>
                <w:highlight w:val="none"/>
              </w:rPr>
              <w:t>环保</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56B4CBE1">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color w:val="auto"/>
                <w:sz w:val="21"/>
                <w:szCs w:val="21"/>
              </w:rPr>
              <w:t>单项打分范围：2、1、0。</w:t>
            </w:r>
            <w:r>
              <w:rPr>
                <w:rFonts w:hint="eastAsia"/>
                <w:b/>
                <w:bCs/>
                <w:sz w:val="21"/>
                <w:szCs w:val="21"/>
                <w:highlight w:val="none"/>
                <w:lang w:val="en-US" w:eastAsia="zh-CN"/>
              </w:rPr>
              <w:t>（注：提供</w:t>
            </w:r>
            <w:r>
              <w:rPr>
                <w:rFonts w:hint="eastAsia"/>
                <w:b/>
                <w:bCs/>
                <w:sz w:val="21"/>
                <w:szCs w:val="21"/>
                <w:highlight w:val="none"/>
              </w:rPr>
              <w:t>布展搭建</w:t>
            </w:r>
            <w:r>
              <w:rPr>
                <w:rFonts w:hint="eastAsia"/>
                <w:b/>
                <w:bCs/>
                <w:sz w:val="21"/>
                <w:szCs w:val="21"/>
                <w:highlight w:val="none"/>
                <w:lang w:eastAsia="zh-CN"/>
              </w:rPr>
              <w:t>方案</w:t>
            </w:r>
            <w:r>
              <w:rPr>
                <w:rFonts w:hint="eastAsia"/>
                <w:b/>
                <w:bCs/>
                <w:sz w:val="21"/>
                <w:szCs w:val="21"/>
                <w:highlight w:val="none"/>
                <w:lang w:val="en-US" w:eastAsia="zh-CN"/>
              </w:rPr>
              <w:t>）</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8</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center"/>
          </w:tcPr>
          <w:p w14:paraId="74600AB5">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支持资源</w:t>
            </w:r>
            <w:r>
              <w:rPr>
                <w:rFonts w:hint="eastAsia" w:ascii="宋体" w:hAnsi="宋体" w:eastAsia="宋体" w:cs="宋体"/>
                <w:sz w:val="21"/>
                <w:szCs w:val="21"/>
                <w:highlight w:val="none"/>
                <w:lang w:eastAsia="zh-CN"/>
              </w:rPr>
              <w:t>情况</w:t>
            </w:r>
            <w:r>
              <w:rPr>
                <w:rFonts w:hint="eastAsia" w:ascii="宋体" w:hAnsi="宋体" w:eastAsia="宋体" w:cs="宋体"/>
                <w:sz w:val="21"/>
                <w:szCs w:val="21"/>
                <w:highlight w:val="none"/>
              </w:rPr>
              <w:t>：</w:t>
            </w:r>
          </w:p>
          <w:p w14:paraId="215855A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与境</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外行业展会</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、专业商协会的合作情况（5分）</w:t>
            </w:r>
          </w:p>
          <w:p w14:paraId="02B29F4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具备邀请相当数量专业采购商和有影响力嘉宾的能力，</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提供类似</w:t>
            </w:r>
            <w:r>
              <w:rPr>
                <w:rFonts w:hint="eastAsia" w:ascii="宋体" w:hAnsi="宋体" w:eastAsia="宋体" w:cs="宋体"/>
                <w:sz w:val="21"/>
                <w:szCs w:val="21"/>
                <w:highlight w:val="none"/>
                <w:lang w:val="en-US" w:eastAsia="zh-CN"/>
              </w:rPr>
              <w:t>境外</w:t>
            </w:r>
            <w:r>
              <w:rPr>
                <w:rFonts w:hint="eastAsia" w:ascii="宋体" w:hAnsi="宋体" w:eastAsia="宋体" w:cs="宋体"/>
                <w:sz w:val="21"/>
                <w:szCs w:val="21"/>
                <w:highlight w:val="none"/>
              </w:rPr>
              <w:t>采购商名单（5分）</w:t>
            </w:r>
          </w:p>
          <w:p w14:paraId="2EEE5B55">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b/>
                <w:bCs/>
                <w:sz w:val="21"/>
                <w:szCs w:val="21"/>
                <w:highlight w:val="none"/>
                <w:lang w:val="en-US" w:eastAsia="zh-CN"/>
              </w:rPr>
              <w:t>（</w:t>
            </w:r>
            <w:r>
              <w:rPr>
                <w:rFonts w:hint="eastAsia" w:ascii="宋体" w:hAnsi="宋体" w:eastAsia="宋体" w:cs="宋体"/>
                <w:b/>
                <w:bCs/>
                <w:sz w:val="21"/>
                <w:szCs w:val="21"/>
                <w:highlight w:val="none"/>
                <w:lang w:eastAsia="zh-CN"/>
              </w:rPr>
              <w:t>注：</w:t>
            </w:r>
            <w:r>
              <w:rPr>
                <w:rFonts w:hint="eastAsia" w:ascii="宋体" w:hAnsi="宋体" w:cs="宋体"/>
                <w:b/>
                <w:bCs/>
                <w:sz w:val="21"/>
                <w:szCs w:val="21"/>
                <w:highlight w:val="none"/>
                <w:lang w:eastAsia="zh-CN"/>
              </w:rPr>
              <w:t>提供相关证明材料</w:t>
            </w:r>
            <w:r>
              <w:rPr>
                <w:rFonts w:hint="eastAsia"/>
                <w:b/>
                <w:bCs/>
                <w:sz w:val="21"/>
                <w:szCs w:val="21"/>
                <w:highlight w:val="none"/>
                <w:lang w:val="en-US" w:eastAsia="zh-CN"/>
              </w:rPr>
              <w:t>）</w:t>
            </w:r>
          </w:p>
        </w:tc>
        <w:tc>
          <w:tcPr>
            <w:tcW w:w="741" w:type="dxa"/>
            <w:vAlign w:val="center"/>
          </w:tcPr>
          <w:p w14:paraId="7D049430">
            <w:pPr>
              <w:jc w:val="center"/>
              <w:rPr>
                <w:rFonts w:hint="default" w:ascii="宋体" w:hAnsi="宋体" w:cs="宋体"/>
                <w:color w:val="auto"/>
                <w:szCs w:val="21"/>
                <w:highlight w:val="none"/>
                <w:lang w:val="en-US"/>
              </w:rPr>
            </w:pPr>
            <w:r>
              <w:rPr>
                <w:rFonts w:hint="eastAsia"/>
                <w:lang w:val="en-US" w:eastAsia="zh-CN"/>
              </w:rPr>
              <w:t>10</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center"/>
          </w:tcPr>
          <w:p w14:paraId="37E79688">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68B58468">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3FAFFE1D">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61C34E54">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0A90736D">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5600F69C">
            <w:pPr>
              <w:jc w:val="left"/>
              <w:rPr>
                <w:color w:val="auto"/>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p w14:paraId="08D916E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注：提供相关保障措施</w:t>
            </w:r>
            <w:r>
              <w:rPr>
                <w:rFonts w:hint="eastAsia" w:ascii="宋体" w:hAnsi="宋体" w:eastAsia="宋体" w:cs="宋体"/>
                <w:b/>
                <w:bCs/>
                <w:sz w:val="21"/>
                <w:szCs w:val="21"/>
                <w:highlight w:val="none"/>
                <w:lang w:val="en-US" w:eastAsia="zh-CN"/>
              </w:rPr>
              <w:t>）</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center"/>
          </w:tcPr>
          <w:p w14:paraId="53336784">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p>
          <w:p w14:paraId="43589E5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73606DEF">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）：项目组人员的</w:t>
            </w:r>
            <w:r>
              <w:rPr>
                <w:rFonts w:hint="eastAsia"/>
                <w:sz w:val="21"/>
                <w:szCs w:val="21"/>
                <w:highlight w:val="none"/>
                <w:lang w:val="en-US" w:eastAsia="zh-CN"/>
              </w:rPr>
              <w:t>数量、</w:t>
            </w:r>
            <w:r>
              <w:rPr>
                <w:rFonts w:hint="eastAsia"/>
                <w:sz w:val="21"/>
                <w:szCs w:val="21"/>
                <w:highlight w:val="none"/>
                <w:lang w:eastAsia="zh-CN"/>
              </w:rPr>
              <w:t>履历、业绩、能力，能满足项目实施需要，项目负责人需具有有效中级（含）以上职称（2分）；项目组成员应具备与本项目内容有关专业的中级（含）以上职称，每满足一项得</w:t>
            </w:r>
            <w:r>
              <w:rPr>
                <w:rFonts w:hint="eastAsia"/>
                <w:sz w:val="21"/>
                <w:szCs w:val="21"/>
                <w:highlight w:val="none"/>
                <w:lang w:val="en-US" w:eastAsia="zh-CN"/>
              </w:rPr>
              <w:t>1</w:t>
            </w:r>
            <w:r>
              <w:rPr>
                <w:rFonts w:hint="eastAsia"/>
                <w:sz w:val="21"/>
                <w:szCs w:val="21"/>
                <w:highlight w:val="none"/>
                <w:lang w:eastAsia="zh-CN"/>
              </w:rPr>
              <w:t>分，不能满足不得分；</w:t>
            </w:r>
          </w:p>
          <w:p w14:paraId="5C7B3FC6">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center"/>
          </w:tcPr>
          <w:p w14:paraId="48DE1D18">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szCs w:val="21"/>
                <w:highlight w:val="none"/>
              </w:rPr>
            </w:pPr>
            <w:r>
              <w:rPr>
                <w:rFonts w:hint="eastAsia" w:ascii="宋体" w:hAnsi="宋体" w:eastAsia="宋体" w:cs="宋体"/>
                <w:sz w:val="21"/>
                <w:szCs w:val="21"/>
                <w:highlight w:val="none"/>
              </w:rPr>
              <w:t>在确保</w:t>
            </w:r>
            <w:r>
              <w:rPr>
                <w:rFonts w:hint="eastAsia" w:ascii="宋体" w:hAnsi="宋体" w:eastAsia="宋体" w:cs="宋体"/>
                <w:sz w:val="21"/>
                <w:szCs w:val="21"/>
                <w:highlight w:val="none"/>
                <w:lang w:val="en-US" w:eastAsia="zh-CN"/>
              </w:rPr>
              <w:t>完成</w:t>
            </w:r>
            <w:r>
              <w:rPr>
                <w:rFonts w:hint="eastAsia" w:ascii="宋体" w:hAnsi="宋体" w:eastAsia="宋体" w:cs="宋体"/>
                <w:sz w:val="21"/>
                <w:szCs w:val="21"/>
                <w:highlight w:val="none"/>
              </w:rPr>
              <w:t>主办方要求</w:t>
            </w:r>
            <w:r>
              <w:rPr>
                <w:rFonts w:hint="eastAsia" w:ascii="宋体" w:hAnsi="宋体" w:eastAsia="宋体" w:cs="宋体"/>
                <w:sz w:val="21"/>
                <w:szCs w:val="21"/>
                <w:highlight w:val="none"/>
                <w:lang w:val="en-US" w:eastAsia="zh-CN"/>
              </w:rPr>
              <w:t>的工作外</w:t>
            </w:r>
            <w:r>
              <w:rPr>
                <w:rFonts w:hint="eastAsia" w:ascii="宋体" w:hAnsi="宋体" w:eastAsia="宋体" w:cs="宋体"/>
                <w:sz w:val="21"/>
                <w:szCs w:val="21"/>
                <w:highlight w:val="none"/>
              </w:rPr>
              <w:t>，同时</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1812F1B0">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sz w:val="21"/>
                <w:szCs w:val="21"/>
              </w:rPr>
              <w:t>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4</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57667EB7">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浙江省商务厅2025浙江国际贸易（埃及）展览会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25434</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浙江省商务厅2025浙江国际贸易（埃及）展览会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25434</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浙江省商务厅2025浙江国际贸易（埃及）展览会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【招标编号：HCZX-25434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70A2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DA8D1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0BF73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039D3F1B">
            <w:pPr>
              <w:spacing w:line="360" w:lineRule="auto"/>
              <w:jc w:val="center"/>
              <w:rPr>
                <w:rFonts w:ascii="宋体" w:hAnsi="宋体" w:cs="宋体"/>
                <w:b/>
                <w:color w:val="auto"/>
                <w:sz w:val="24"/>
                <w:highlight w:val="none"/>
              </w:rPr>
            </w:pPr>
          </w:p>
          <w:p w14:paraId="143F7E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85C6B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45FB724">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1DFEC7D9">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EE54387">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E3D97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CCF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083BAB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C998D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4F95B8B0">
            <w:pPr>
              <w:snapToGrid w:val="0"/>
              <w:spacing w:line="360" w:lineRule="auto"/>
              <w:jc w:val="center"/>
              <w:rPr>
                <w:rFonts w:ascii="宋体" w:hAnsi="宋体" w:cs="宋体"/>
                <w:color w:val="auto"/>
                <w:sz w:val="24"/>
                <w:highlight w:val="none"/>
              </w:rPr>
            </w:pPr>
          </w:p>
        </w:tc>
        <w:tc>
          <w:tcPr>
            <w:tcW w:w="928" w:type="dxa"/>
            <w:vAlign w:val="center"/>
          </w:tcPr>
          <w:p w14:paraId="45C1C4F9">
            <w:pPr>
              <w:spacing w:line="360" w:lineRule="auto"/>
              <w:jc w:val="center"/>
              <w:rPr>
                <w:rFonts w:ascii="宋体" w:hAnsi="宋体" w:cs="宋体"/>
                <w:color w:val="auto"/>
                <w:sz w:val="24"/>
                <w:highlight w:val="none"/>
              </w:rPr>
            </w:pPr>
          </w:p>
        </w:tc>
        <w:tc>
          <w:tcPr>
            <w:tcW w:w="1092" w:type="dxa"/>
            <w:vAlign w:val="center"/>
          </w:tcPr>
          <w:p w14:paraId="4D4FD449">
            <w:pPr>
              <w:spacing w:line="360" w:lineRule="auto"/>
              <w:jc w:val="center"/>
              <w:rPr>
                <w:rFonts w:ascii="宋体" w:hAnsi="宋体" w:cs="宋体"/>
                <w:color w:val="auto"/>
                <w:sz w:val="24"/>
                <w:highlight w:val="none"/>
              </w:rPr>
            </w:pPr>
          </w:p>
        </w:tc>
        <w:tc>
          <w:tcPr>
            <w:tcW w:w="720" w:type="dxa"/>
            <w:vAlign w:val="center"/>
          </w:tcPr>
          <w:p w14:paraId="2531FE1F">
            <w:pPr>
              <w:spacing w:line="360" w:lineRule="auto"/>
              <w:jc w:val="center"/>
              <w:rPr>
                <w:rFonts w:ascii="宋体" w:hAnsi="宋体" w:cs="宋体"/>
                <w:color w:val="auto"/>
                <w:sz w:val="24"/>
                <w:highlight w:val="none"/>
              </w:rPr>
            </w:pPr>
          </w:p>
        </w:tc>
        <w:tc>
          <w:tcPr>
            <w:tcW w:w="996" w:type="dxa"/>
            <w:vAlign w:val="center"/>
          </w:tcPr>
          <w:p w14:paraId="57CA959A">
            <w:pPr>
              <w:spacing w:line="360" w:lineRule="auto"/>
              <w:jc w:val="center"/>
              <w:rPr>
                <w:rFonts w:ascii="宋体" w:hAnsi="宋体" w:cs="宋体"/>
                <w:color w:val="auto"/>
                <w:sz w:val="24"/>
                <w:highlight w:val="none"/>
              </w:rPr>
            </w:pPr>
          </w:p>
        </w:tc>
        <w:tc>
          <w:tcPr>
            <w:tcW w:w="1178" w:type="dxa"/>
            <w:vAlign w:val="center"/>
          </w:tcPr>
          <w:p w14:paraId="53B7353A">
            <w:pPr>
              <w:spacing w:line="360" w:lineRule="auto"/>
              <w:jc w:val="center"/>
              <w:rPr>
                <w:rFonts w:ascii="宋体" w:hAnsi="宋体" w:cs="宋体"/>
                <w:color w:val="auto"/>
                <w:sz w:val="24"/>
                <w:highlight w:val="none"/>
              </w:rPr>
            </w:pPr>
          </w:p>
        </w:tc>
      </w:tr>
      <w:tr w14:paraId="6243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900C4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40AB5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6954153A">
            <w:pPr>
              <w:snapToGrid w:val="0"/>
              <w:spacing w:line="360" w:lineRule="auto"/>
              <w:jc w:val="center"/>
              <w:rPr>
                <w:rFonts w:ascii="宋体" w:hAnsi="宋体" w:cs="宋体"/>
                <w:color w:val="auto"/>
                <w:sz w:val="24"/>
                <w:highlight w:val="none"/>
              </w:rPr>
            </w:pPr>
          </w:p>
        </w:tc>
        <w:tc>
          <w:tcPr>
            <w:tcW w:w="928" w:type="dxa"/>
            <w:vAlign w:val="center"/>
          </w:tcPr>
          <w:p w14:paraId="522EB75F">
            <w:pPr>
              <w:spacing w:line="360" w:lineRule="auto"/>
              <w:jc w:val="center"/>
              <w:rPr>
                <w:rFonts w:ascii="宋体" w:hAnsi="宋体" w:cs="宋体"/>
                <w:color w:val="auto"/>
                <w:sz w:val="24"/>
                <w:highlight w:val="none"/>
              </w:rPr>
            </w:pPr>
          </w:p>
        </w:tc>
        <w:tc>
          <w:tcPr>
            <w:tcW w:w="1092" w:type="dxa"/>
            <w:vAlign w:val="center"/>
          </w:tcPr>
          <w:p w14:paraId="3B50C52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25F576C5">
            <w:pPr>
              <w:spacing w:line="360" w:lineRule="auto"/>
              <w:jc w:val="center"/>
              <w:rPr>
                <w:rFonts w:ascii="宋体" w:hAnsi="宋体" w:cs="宋体"/>
                <w:color w:val="auto"/>
                <w:sz w:val="24"/>
                <w:highlight w:val="none"/>
              </w:rPr>
            </w:pPr>
          </w:p>
        </w:tc>
        <w:tc>
          <w:tcPr>
            <w:tcW w:w="996" w:type="dxa"/>
            <w:vAlign w:val="center"/>
          </w:tcPr>
          <w:p w14:paraId="511ABA90">
            <w:pPr>
              <w:spacing w:line="360" w:lineRule="auto"/>
              <w:jc w:val="center"/>
              <w:rPr>
                <w:rFonts w:ascii="宋体" w:hAnsi="宋体" w:cs="宋体"/>
                <w:color w:val="auto"/>
                <w:sz w:val="24"/>
                <w:highlight w:val="none"/>
              </w:rPr>
            </w:pPr>
          </w:p>
        </w:tc>
        <w:tc>
          <w:tcPr>
            <w:tcW w:w="1178" w:type="dxa"/>
            <w:vAlign w:val="center"/>
          </w:tcPr>
          <w:p w14:paraId="4393F8A3">
            <w:pPr>
              <w:spacing w:line="360" w:lineRule="auto"/>
              <w:jc w:val="center"/>
              <w:rPr>
                <w:rFonts w:ascii="宋体" w:hAnsi="宋体" w:cs="宋体"/>
                <w:color w:val="auto"/>
                <w:sz w:val="24"/>
                <w:highlight w:val="none"/>
              </w:rPr>
            </w:pPr>
          </w:p>
        </w:tc>
      </w:tr>
      <w:tr w14:paraId="312F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ACEC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04B8CC0">
            <w:pPr>
              <w:snapToGrid w:val="0"/>
              <w:spacing w:line="360" w:lineRule="auto"/>
              <w:jc w:val="center"/>
              <w:rPr>
                <w:rFonts w:ascii="宋体" w:hAnsi="宋体" w:cs="宋体"/>
                <w:color w:val="auto"/>
                <w:sz w:val="24"/>
                <w:highlight w:val="none"/>
              </w:rPr>
            </w:pPr>
          </w:p>
        </w:tc>
        <w:tc>
          <w:tcPr>
            <w:tcW w:w="2696" w:type="dxa"/>
            <w:vAlign w:val="center"/>
          </w:tcPr>
          <w:p w14:paraId="662B9636">
            <w:pPr>
              <w:snapToGrid w:val="0"/>
              <w:spacing w:line="360" w:lineRule="auto"/>
              <w:jc w:val="center"/>
              <w:rPr>
                <w:rFonts w:ascii="宋体" w:hAnsi="宋体" w:cs="宋体"/>
                <w:color w:val="auto"/>
                <w:sz w:val="24"/>
                <w:highlight w:val="none"/>
              </w:rPr>
            </w:pPr>
          </w:p>
        </w:tc>
        <w:tc>
          <w:tcPr>
            <w:tcW w:w="928" w:type="dxa"/>
            <w:vAlign w:val="center"/>
          </w:tcPr>
          <w:p w14:paraId="639CA8CC">
            <w:pPr>
              <w:spacing w:line="360" w:lineRule="auto"/>
              <w:jc w:val="center"/>
              <w:rPr>
                <w:rFonts w:ascii="宋体" w:hAnsi="宋体" w:cs="宋体"/>
                <w:color w:val="auto"/>
                <w:sz w:val="24"/>
                <w:highlight w:val="none"/>
              </w:rPr>
            </w:pPr>
          </w:p>
        </w:tc>
        <w:tc>
          <w:tcPr>
            <w:tcW w:w="1092" w:type="dxa"/>
            <w:vAlign w:val="center"/>
          </w:tcPr>
          <w:p w14:paraId="3C24102F">
            <w:pPr>
              <w:spacing w:line="360" w:lineRule="auto"/>
              <w:jc w:val="center"/>
              <w:rPr>
                <w:rFonts w:ascii="宋体" w:hAnsi="宋体" w:cs="宋体"/>
                <w:color w:val="auto"/>
                <w:sz w:val="24"/>
                <w:highlight w:val="none"/>
              </w:rPr>
            </w:pPr>
          </w:p>
        </w:tc>
        <w:tc>
          <w:tcPr>
            <w:tcW w:w="720" w:type="dxa"/>
            <w:vAlign w:val="center"/>
          </w:tcPr>
          <w:p w14:paraId="46F28324">
            <w:pPr>
              <w:spacing w:line="360" w:lineRule="auto"/>
              <w:jc w:val="center"/>
              <w:rPr>
                <w:rFonts w:ascii="宋体" w:hAnsi="宋体" w:cs="宋体"/>
                <w:color w:val="auto"/>
                <w:sz w:val="24"/>
                <w:highlight w:val="none"/>
              </w:rPr>
            </w:pPr>
          </w:p>
        </w:tc>
        <w:tc>
          <w:tcPr>
            <w:tcW w:w="996" w:type="dxa"/>
            <w:vAlign w:val="center"/>
          </w:tcPr>
          <w:p w14:paraId="0662BB2C">
            <w:pPr>
              <w:spacing w:line="360" w:lineRule="auto"/>
              <w:jc w:val="center"/>
              <w:rPr>
                <w:rFonts w:ascii="宋体" w:hAnsi="宋体" w:cs="宋体"/>
                <w:color w:val="auto"/>
                <w:sz w:val="24"/>
                <w:highlight w:val="none"/>
              </w:rPr>
            </w:pPr>
          </w:p>
        </w:tc>
        <w:tc>
          <w:tcPr>
            <w:tcW w:w="1178" w:type="dxa"/>
            <w:vAlign w:val="center"/>
          </w:tcPr>
          <w:p w14:paraId="1B45DA4A">
            <w:pPr>
              <w:spacing w:line="360" w:lineRule="auto"/>
              <w:jc w:val="center"/>
              <w:rPr>
                <w:rFonts w:ascii="宋体" w:hAnsi="宋体" w:cs="宋体"/>
                <w:color w:val="auto"/>
                <w:sz w:val="24"/>
                <w:highlight w:val="none"/>
              </w:rPr>
            </w:pPr>
          </w:p>
        </w:tc>
      </w:tr>
      <w:tr w14:paraId="3CE4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0BC24F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5E6F3A7F">
            <w:pPr>
              <w:spacing w:line="360" w:lineRule="auto"/>
              <w:jc w:val="center"/>
              <w:rPr>
                <w:rFonts w:ascii="宋体" w:hAnsi="宋体" w:cs="宋体"/>
                <w:color w:val="auto"/>
                <w:sz w:val="24"/>
                <w:highlight w:val="none"/>
              </w:rPr>
            </w:pPr>
          </w:p>
        </w:tc>
      </w:tr>
      <w:tr w14:paraId="409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54B42C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543C6F3A">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浙江省商务厅2025浙江国际贸易（埃及）展览会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25434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AB26B"/>
    <w:multiLevelType w:val="singleLevel"/>
    <w:tmpl w:val="86CAB26B"/>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4318EA"/>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5D1B0A"/>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03AA8"/>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BEC5A46"/>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8E7BE2"/>
    <w:rsid w:val="2B9845BD"/>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803638"/>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9C033C"/>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594180"/>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2CF49C2"/>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13861</Words>
  <Characters>14965</Characters>
  <Lines>274</Lines>
  <Paragraphs>77</Paragraphs>
  <TotalTime>0</TotalTime>
  <ScaleCrop>false</ScaleCrop>
  <LinksUpToDate>false</LinksUpToDate>
  <CharactersWithSpaces>15397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2025-06-30T08:13:37Z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