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rPr>
          <w:rFonts w:hint="eastAsia" w:ascii="宋体" w:hAnsi="宋体" w:eastAsia="宋体" w:cs="宋体"/>
          <w:b/>
          <w:color w:val="auto"/>
          <w:sz w:val="48"/>
          <w:szCs w:val="48"/>
          <w:highlight w:val="none"/>
        </w:rPr>
      </w:pPr>
      <w:bookmarkStart w:id="559" w:name="_GoBack"/>
    </w:p>
    <w:p>
      <w:pPr>
        <w:adjustRightInd/>
        <w:spacing w:line="360" w:lineRule="auto"/>
        <w:jc w:val="center"/>
        <w:rPr>
          <w:rFonts w:hint="eastAsia" w:ascii="宋体" w:hAnsi="宋体" w:eastAsia="宋体" w:cs="宋体"/>
          <w:b/>
          <w:color w:val="auto"/>
          <w:sz w:val="48"/>
          <w:szCs w:val="48"/>
          <w:highlight w:val="none"/>
        </w:rPr>
      </w:pPr>
      <w:r>
        <w:rPr>
          <w:rFonts w:hint="eastAsia" w:ascii="宋体" w:hAnsi="宋体" w:cs="宋体"/>
          <w:b/>
          <w:color w:val="auto"/>
          <w:sz w:val="48"/>
          <w:szCs w:val="48"/>
          <w:highlight w:val="none"/>
          <w:lang w:eastAsia="zh-CN"/>
        </w:rPr>
        <w:t>新职校校园维修改造工程三期能效提升节能改造示范项目之光伏设施设备采购项目（第二次）</w:t>
      </w:r>
    </w:p>
    <w:p>
      <w:pPr>
        <w:adjustRightInd/>
        <w:spacing w:line="360" w:lineRule="auto"/>
        <w:jc w:val="center"/>
        <w:rPr>
          <w:rFonts w:hint="eastAsia" w:ascii="宋体" w:hAnsi="宋体" w:eastAsia="宋体" w:cs="宋体"/>
          <w:color w:val="auto"/>
          <w:sz w:val="48"/>
          <w:szCs w:val="48"/>
          <w:highlight w:val="none"/>
        </w:rPr>
      </w:pPr>
    </w:p>
    <w:p>
      <w:pPr>
        <w:adjustRightInd/>
        <w:spacing w:line="360" w:lineRule="auto"/>
        <w:jc w:val="center"/>
        <w:rPr>
          <w:rFonts w:hint="eastAsia" w:ascii="宋体" w:hAnsi="宋体" w:eastAsia="宋体" w:cs="宋体"/>
          <w:color w:val="auto"/>
          <w:sz w:val="48"/>
          <w:szCs w:val="48"/>
          <w:highlight w:val="none"/>
        </w:rPr>
      </w:pPr>
    </w:p>
    <w:p>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 xml:space="preserve">招标文件 </w:t>
      </w:r>
    </w:p>
    <w:p>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（电子招投标）</w:t>
      </w:r>
    </w:p>
    <w:p>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编号</w:t>
      </w:r>
      <w:r>
        <w:rPr>
          <w:rFonts w:hint="eastAsia" w:ascii="宋体" w:hAnsi="宋体" w:cs="宋体"/>
          <w:color w:val="auto"/>
          <w:sz w:val="30"/>
          <w:szCs w:val="30"/>
          <w:highlight w:val="none"/>
          <w:lang w:eastAsia="zh-CN"/>
        </w:rPr>
        <w:t>：JD2023BF-187-01</w:t>
      </w:r>
      <w:r>
        <w:rPr>
          <w:rFonts w:hint="eastAsia" w:ascii="宋体" w:hAnsi="宋体" w:eastAsia="宋体" w:cs="宋体"/>
          <w:color w:val="auto"/>
          <w:sz w:val="30"/>
          <w:szCs w:val="30"/>
          <w:highlight w:val="none"/>
          <w:lang w:val="en-US" w:eastAsia="zh-CN"/>
        </w:rPr>
        <w:t xml:space="preserve"> </w:t>
      </w:r>
    </w:p>
    <w:p>
      <w:pPr>
        <w:adjustRightInd/>
        <w:spacing w:line="360" w:lineRule="auto"/>
        <w:rPr>
          <w:rFonts w:hint="eastAsia" w:ascii="宋体" w:hAnsi="宋体" w:eastAsia="宋体" w:cs="宋体"/>
          <w:color w:val="auto"/>
          <w:sz w:val="28"/>
          <w:szCs w:val="20"/>
          <w:highlight w:val="none"/>
        </w:rPr>
      </w:pPr>
    </w:p>
    <w:p>
      <w:pPr>
        <w:spacing w:line="360" w:lineRule="auto"/>
        <w:jc w:val="center"/>
        <w:rPr>
          <w:rFonts w:hint="eastAsia" w:ascii="宋体" w:hAnsi="宋体" w:eastAsia="宋体" w:cs="宋体"/>
          <w:b/>
          <w:color w:val="auto"/>
          <w:sz w:val="44"/>
          <w:szCs w:val="44"/>
          <w:highlight w:val="none"/>
        </w:rPr>
      </w:pPr>
    </w:p>
    <w:p>
      <w:pPr>
        <w:spacing w:line="360" w:lineRule="auto"/>
        <w:jc w:val="center"/>
        <w:rPr>
          <w:rFonts w:hint="eastAsia" w:ascii="宋体" w:hAnsi="宋体" w:eastAsia="宋体" w:cs="宋体"/>
          <w:b/>
          <w:color w:val="auto"/>
          <w:sz w:val="44"/>
          <w:szCs w:val="44"/>
          <w:highlight w:val="none"/>
        </w:rPr>
      </w:pPr>
    </w:p>
    <w:p>
      <w:pPr>
        <w:spacing w:line="360" w:lineRule="auto"/>
        <w:jc w:val="center"/>
        <w:rPr>
          <w:rFonts w:hint="eastAsia" w:ascii="宋体" w:hAnsi="宋体" w:eastAsia="宋体" w:cs="宋体"/>
          <w:color w:val="auto"/>
          <w:sz w:val="24"/>
          <w:highlight w:val="none"/>
        </w:rPr>
      </w:pPr>
    </w:p>
    <w:p>
      <w:pPr>
        <w:pStyle w:val="4"/>
        <w:rPr>
          <w:rFonts w:hint="eastAsia" w:ascii="宋体" w:hAnsi="宋体" w:eastAsia="宋体" w:cs="宋体"/>
          <w:color w:val="auto"/>
          <w:sz w:val="24"/>
          <w:highlight w:val="none"/>
        </w:rPr>
      </w:pPr>
    </w:p>
    <w:p>
      <w:pPr>
        <w:rPr>
          <w:rFonts w:hint="eastAsia"/>
          <w:color w:val="auto"/>
          <w:highlight w:val="none"/>
        </w:rPr>
      </w:pPr>
    </w:p>
    <w:p>
      <w:pPr>
        <w:spacing w:line="360" w:lineRule="auto"/>
        <w:jc w:val="center"/>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32"/>
          <w:szCs w:val="32"/>
          <w:highlight w:val="none"/>
        </w:rPr>
      </w:pPr>
    </w:p>
    <w:p>
      <w:pPr>
        <w:snapToGrid w:val="0"/>
        <w:spacing w:line="360" w:lineRule="auto"/>
        <w:jc w:val="center"/>
        <w:rPr>
          <w:rFonts w:hint="eastAsia" w:ascii="宋体" w:hAnsi="宋体" w:eastAsia="宋体" w:cs="宋体"/>
          <w:bCs/>
          <w:color w:val="auto"/>
          <w:sz w:val="32"/>
          <w:szCs w:val="32"/>
          <w:highlight w:val="none"/>
          <w:lang w:eastAsia="zh-CN"/>
        </w:rPr>
      </w:pPr>
      <w:r>
        <w:rPr>
          <w:rFonts w:hint="eastAsia" w:ascii="宋体" w:hAnsi="宋体" w:eastAsia="宋体" w:cs="宋体"/>
          <w:bCs/>
          <w:color w:val="auto"/>
          <w:sz w:val="32"/>
          <w:szCs w:val="32"/>
          <w:highlight w:val="none"/>
        </w:rPr>
        <w:t>采购人：</w:t>
      </w:r>
      <w:r>
        <w:rPr>
          <w:rFonts w:hint="eastAsia" w:ascii="宋体" w:hAnsi="宋体" w:cs="宋体"/>
          <w:bCs/>
          <w:color w:val="auto"/>
          <w:sz w:val="32"/>
          <w:szCs w:val="32"/>
          <w:highlight w:val="none"/>
          <w:lang w:eastAsia="zh-CN"/>
        </w:rPr>
        <w:t>建德市新安江职业学校</w:t>
      </w:r>
    </w:p>
    <w:p>
      <w:pPr>
        <w:snapToGrid w:val="0"/>
        <w:spacing w:line="360" w:lineRule="auto"/>
        <w:jc w:val="center"/>
        <w:rPr>
          <w:rFonts w:hint="eastAsia" w:ascii="宋体" w:hAnsi="宋体" w:eastAsia="宋体" w:cs="宋体"/>
          <w:bCs/>
          <w:color w:val="auto"/>
          <w:sz w:val="32"/>
          <w:szCs w:val="32"/>
          <w:highlight w:val="none"/>
          <w:lang w:eastAsia="zh-CN"/>
        </w:rPr>
      </w:pPr>
      <w:r>
        <w:rPr>
          <w:rFonts w:hint="eastAsia" w:ascii="宋体" w:hAnsi="宋体" w:eastAsia="宋体" w:cs="宋体"/>
          <w:bCs/>
          <w:color w:val="auto"/>
          <w:sz w:val="32"/>
          <w:szCs w:val="32"/>
          <w:highlight w:val="none"/>
        </w:rPr>
        <w:t>采购代理机构：</w:t>
      </w:r>
      <w:r>
        <w:rPr>
          <w:rFonts w:hint="eastAsia" w:ascii="宋体" w:hAnsi="宋体" w:cs="宋体"/>
          <w:bCs/>
          <w:color w:val="auto"/>
          <w:sz w:val="32"/>
          <w:szCs w:val="32"/>
          <w:highlight w:val="none"/>
          <w:lang w:eastAsia="zh-CN"/>
        </w:rPr>
        <w:t>欧邦工程管理集团有限公司</w:t>
      </w:r>
    </w:p>
    <w:p>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二〇二三年</w:t>
      </w:r>
      <w:r>
        <w:rPr>
          <w:rFonts w:hint="eastAsia" w:ascii="宋体" w:hAnsi="宋体" w:cs="宋体"/>
          <w:bCs/>
          <w:color w:val="auto"/>
          <w:sz w:val="32"/>
          <w:szCs w:val="32"/>
          <w:highlight w:val="none"/>
          <w:lang w:eastAsia="zh-CN"/>
        </w:rPr>
        <w:t>十二</w:t>
      </w:r>
      <w:r>
        <w:rPr>
          <w:rFonts w:hint="eastAsia" w:ascii="宋体" w:hAnsi="宋体" w:eastAsia="宋体" w:cs="宋体"/>
          <w:bCs/>
          <w:color w:val="auto"/>
          <w:sz w:val="32"/>
          <w:szCs w:val="32"/>
          <w:highlight w:val="none"/>
        </w:rPr>
        <w:t>月</w:t>
      </w:r>
      <w:r>
        <w:rPr>
          <w:rFonts w:hint="eastAsia" w:ascii="宋体" w:hAnsi="宋体" w:cs="宋体"/>
          <w:bCs/>
          <w:color w:val="auto"/>
          <w:sz w:val="32"/>
          <w:szCs w:val="32"/>
          <w:highlight w:val="none"/>
          <w:lang w:eastAsia="zh-CN"/>
        </w:rPr>
        <w:t>十八</w:t>
      </w:r>
      <w:r>
        <w:rPr>
          <w:rFonts w:hint="eastAsia" w:ascii="宋体" w:hAnsi="宋体" w:eastAsia="宋体" w:cs="宋体"/>
          <w:bCs/>
          <w:color w:val="auto"/>
          <w:sz w:val="32"/>
          <w:szCs w:val="32"/>
          <w:highlight w:val="none"/>
        </w:rPr>
        <w:t>日</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pPr>
        <w:spacing w:line="360" w:lineRule="auto"/>
        <w:jc w:val="center"/>
        <w:rPr>
          <w:rFonts w:hint="eastAsia" w:ascii="宋体" w:hAnsi="宋体" w:eastAsia="宋体" w:cs="宋体"/>
          <w:color w:val="auto"/>
          <w:sz w:val="24"/>
          <w:highlight w:val="none"/>
        </w:rPr>
      </w:pPr>
    </w:p>
    <w:p>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pPr>
        <w:spacing w:line="360" w:lineRule="auto"/>
        <w:rPr>
          <w:rFonts w:hint="eastAsia" w:ascii="宋体" w:hAnsi="宋体" w:eastAsia="宋体" w:cs="宋体"/>
          <w:color w:val="auto"/>
          <w:sz w:val="32"/>
          <w:szCs w:val="32"/>
          <w:highlight w:val="none"/>
        </w:rPr>
      </w:pPr>
    </w:p>
    <w:p>
      <w:pPr>
        <w:spacing w:line="360" w:lineRule="auto"/>
        <w:rPr>
          <w:rFonts w:hint="eastAsia" w:ascii="宋体" w:hAnsi="宋体" w:eastAsia="宋体" w:cs="宋体"/>
          <w:color w:val="auto"/>
          <w:sz w:val="32"/>
          <w:szCs w:val="32"/>
          <w:highlight w:val="none"/>
        </w:rPr>
      </w:pP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cs="宋体"/>
          <w:color w:val="auto"/>
          <w:sz w:val="24"/>
          <w:highlight w:val="none"/>
          <w:u w:val="single"/>
          <w:lang w:eastAsia="zh-CN"/>
        </w:rPr>
        <w:t>新职校校园维修改造工程三期能效提升节能改造示范项目之光伏设施设备采购项目（第二次）</w:t>
      </w:r>
      <w:r>
        <w:rPr>
          <w:rFonts w:hint="eastAsia" w:ascii="宋体" w:hAnsi="宋体" w:eastAsia="宋体" w:cs="宋体"/>
          <w:color w:val="auto"/>
          <w:sz w:val="24"/>
          <w:highlight w:val="none"/>
        </w:rPr>
        <w:t>招标项目的潜在投标人应在政采云平台（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"https://www.zcygov.cn/）获取（下载）招标文件，并于202%20年%20月%20日%20点%20分00秒" </w:instrText>
      </w:r>
      <w:r>
        <w:rPr>
          <w:rFonts w:hint="eastAsia" w:ascii="宋体" w:hAnsi="宋体" w:eastAsia="宋体" w:cs="宋体"/>
          <w:color w:val="auto"/>
          <w:highlight w:val="none"/>
        </w:rPr>
        <w:fldChar w:fldCharType="separate"/>
      </w:r>
      <w:r>
        <w:rPr>
          <w:rStyle w:val="79"/>
          <w:rFonts w:hint="eastAsia" w:ascii="宋体" w:hAnsi="宋体" w:eastAsia="宋体" w:cs="宋体"/>
          <w:snapToGrid/>
          <w:color w:val="auto"/>
          <w:kern w:val="2"/>
          <w:sz w:val="24"/>
          <w:szCs w:val="24"/>
          <w:highlight w:val="none"/>
        </w:rPr>
        <w:t>https://www.zcygov.cn/）获取（下载）招标文件，并于</w:t>
      </w:r>
      <w:r>
        <w:rPr>
          <w:rStyle w:val="79"/>
          <w:rFonts w:hint="eastAsia" w:ascii="宋体" w:hAnsi="宋体" w:cs="宋体"/>
          <w:snapToGrid/>
          <w:color w:val="auto"/>
          <w:kern w:val="2"/>
          <w:sz w:val="24"/>
          <w:szCs w:val="24"/>
          <w:highlight w:val="none"/>
          <w:lang w:eastAsia="zh-CN"/>
        </w:rPr>
        <w:t xml:space="preserve">2024年 1 月 </w:t>
      </w:r>
      <w:r>
        <w:rPr>
          <w:rStyle w:val="79"/>
          <w:rFonts w:hint="eastAsia" w:ascii="宋体" w:hAnsi="宋体" w:cs="宋体"/>
          <w:snapToGrid/>
          <w:color w:val="auto"/>
          <w:kern w:val="2"/>
          <w:sz w:val="24"/>
          <w:szCs w:val="24"/>
          <w:highlight w:val="none"/>
          <w:lang w:val="en-US" w:eastAsia="zh-CN"/>
        </w:rPr>
        <w:t>8</w:t>
      </w:r>
      <w:r>
        <w:rPr>
          <w:rStyle w:val="79"/>
          <w:rFonts w:hint="eastAsia" w:ascii="宋体" w:hAnsi="宋体" w:cs="宋体"/>
          <w:snapToGrid/>
          <w:color w:val="auto"/>
          <w:kern w:val="2"/>
          <w:sz w:val="24"/>
          <w:szCs w:val="24"/>
          <w:highlight w:val="none"/>
          <w:lang w:eastAsia="zh-CN"/>
        </w:rPr>
        <w:t xml:space="preserve"> 日</w:t>
      </w:r>
      <w:r>
        <w:rPr>
          <w:rStyle w:val="79"/>
          <w:rFonts w:hint="eastAsia" w:ascii="宋体" w:hAnsi="宋体" w:cs="宋体"/>
          <w:snapToGrid/>
          <w:color w:val="auto"/>
          <w:kern w:val="2"/>
          <w:sz w:val="24"/>
          <w:szCs w:val="24"/>
          <w:highlight w:val="none"/>
          <w:lang w:val="en-US" w:eastAsia="zh-CN"/>
        </w:rPr>
        <w:t xml:space="preserve"> 14 </w:t>
      </w:r>
      <w:r>
        <w:rPr>
          <w:rStyle w:val="79"/>
          <w:rFonts w:hint="eastAsia" w:ascii="宋体" w:hAnsi="宋体" w:eastAsia="宋体" w:cs="宋体"/>
          <w:snapToGrid/>
          <w:color w:val="auto"/>
          <w:kern w:val="2"/>
          <w:sz w:val="24"/>
          <w:szCs w:val="24"/>
          <w:highlight w:val="none"/>
        </w:rPr>
        <w:t>点</w:t>
      </w:r>
      <w:r>
        <w:rPr>
          <w:rStyle w:val="79"/>
          <w:rFonts w:hint="eastAsia" w:ascii="宋体" w:hAnsi="宋体" w:cs="宋体"/>
          <w:snapToGrid/>
          <w:color w:val="auto"/>
          <w:kern w:val="2"/>
          <w:sz w:val="24"/>
          <w:szCs w:val="24"/>
          <w:highlight w:val="none"/>
          <w:lang w:val="en-US" w:eastAsia="zh-CN"/>
        </w:rPr>
        <w:t xml:space="preserve">00 </w:t>
      </w:r>
      <w:r>
        <w:rPr>
          <w:rStyle w:val="79"/>
          <w:rFonts w:hint="eastAsia" w:ascii="宋体" w:hAnsi="宋体" w:eastAsia="宋体" w:cs="宋体"/>
          <w:snapToGrid/>
          <w:color w:val="auto"/>
          <w:kern w:val="2"/>
          <w:sz w:val="24"/>
          <w:szCs w:val="24"/>
          <w:highlight w:val="none"/>
        </w:rPr>
        <w:t>分</w:t>
      </w:r>
      <w:r>
        <w:rPr>
          <w:rStyle w:val="79"/>
          <w:rFonts w:hint="eastAsia" w:ascii="宋体" w:hAnsi="宋体" w:eastAsia="宋体" w:cs="宋体"/>
          <w:bCs/>
          <w:snapToGrid/>
          <w:color w:val="auto"/>
          <w:kern w:val="2"/>
          <w:sz w:val="24"/>
          <w:szCs w:val="24"/>
          <w:highlight w:val="none"/>
        </w:rPr>
        <w:t>00秒</w:t>
      </w:r>
      <w:r>
        <w:rPr>
          <w:rStyle w:val="79"/>
          <w:rFonts w:hint="eastAsia" w:ascii="宋体" w:hAnsi="宋体" w:eastAsia="宋体" w:cs="宋体"/>
          <w:bCs/>
          <w:snapToGrid/>
          <w:color w:val="auto"/>
          <w:kern w:val="2"/>
          <w:sz w:val="24"/>
          <w:szCs w:val="24"/>
          <w:highlight w:val="non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pPr>
        <w:spacing w:line="360" w:lineRule="auto"/>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 xml:space="preserve">    项目编号：</w:t>
      </w:r>
      <w:r>
        <w:rPr>
          <w:rFonts w:hint="eastAsia" w:ascii="宋体" w:hAnsi="宋体" w:cs="宋体"/>
          <w:color w:val="auto"/>
          <w:sz w:val="24"/>
          <w:highlight w:val="none"/>
          <w:lang w:eastAsia="zh-CN"/>
        </w:rPr>
        <w:t>JD2023BF-187-01</w:t>
      </w:r>
    </w:p>
    <w:p>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项目名称：</w:t>
      </w:r>
      <w:r>
        <w:rPr>
          <w:rFonts w:hint="eastAsia" w:ascii="宋体" w:hAnsi="宋体" w:cs="宋体"/>
          <w:color w:val="auto"/>
          <w:sz w:val="24"/>
          <w:highlight w:val="none"/>
          <w:lang w:eastAsia="zh-CN"/>
        </w:rPr>
        <w:t>新职校校园维修改造工程三期能效提升节能改造示范项目之光伏设施设备采购项目（第二次）</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预算金额（元）：</w:t>
      </w:r>
      <w:r>
        <w:rPr>
          <w:rFonts w:hint="eastAsia" w:ascii="宋体" w:hAnsi="宋体" w:eastAsia="宋体" w:cs="宋体"/>
          <w:b/>
          <w:color w:val="auto"/>
          <w:sz w:val="24"/>
          <w:highlight w:val="none"/>
          <w:lang w:val="en-US" w:eastAsia="zh-CN"/>
        </w:rPr>
        <w:t>1194000.00</w:t>
      </w:r>
      <w:r>
        <w:rPr>
          <w:rFonts w:hint="eastAsia" w:ascii="宋体" w:hAnsi="宋体" w:eastAsia="宋体" w:cs="宋体"/>
          <w:b/>
          <w:color w:val="auto"/>
          <w:sz w:val="24"/>
          <w:highlight w:val="none"/>
        </w:rPr>
        <w:t xml:space="preserve">    </w:t>
      </w:r>
    </w:p>
    <w:p>
      <w:pPr>
        <w:spacing w:line="360" w:lineRule="auto"/>
        <w:ind w:firstLine="482" w:firstLineChars="200"/>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rPr>
        <w:t>最高限价（元）：</w:t>
      </w:r>
      <w:r>
        <w:rPr>
          <w:rFonts w:hint="eastAsia" w:ascii="宋体" w:hAnsi="宋体" w:eastAsia="宋体" w:cs="宋体"/>
          <w:b/>
          <w:color w:val="auto"/>
          <w:sz w:val="24"/>
          <w:highlight w:val="none"/>
          <w:lang w:val="en-US" w:eastAsia="zh-CN"/>
        </w:rPr>
        <w:t>1194000.00</w:t>
      </w:r>
    </w:p>
    <w:p>
      <w:pPr>
        <w:spacing w:line="360" w:lineRule="auto"/>
        <w:ind w:firstLine="482" w:firstLineChars="200"/>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highlight w:val="none"/>
        </w:rPr>
        <w:t>采购需求：</w:t>
      </w:r>
      <w:r>
        <w:rPr>
          <w:rFonts w:hint="eastAsia" w:ascii="宋体" w:hAnsi="宋体" w:cs="宋体"/>
          <w:snapToGrid/>
          <w:color w:val="auto"/>
          <w:kern w:val="2"/>
          <w:sz w:val="24"/>
          <w:szCs w:val="24"/>
          <w:highlight w:val="none"/>
          <w:lang w:eastAsia="zh-CN"/>
        </w:rPr>
        <w:t>新职校校园维修改造工程三期能效提升节能改造示范项目之光伏设施设备采购项目（第二次），</w:t>
      </w:r>
      <w:r>
        <w:rPr>
          <w:rFonts w:hint="eastAsia" w:hAnsi="宋体" w:cs="宋体"/>
          <w:bCs/>
          <w:snapToGrid/>
          <w:color w:val="auto"/>
          <w:kern w:val="2"/>
          <w:sz w:val="24"/>
          <w:szCs w:val="24"/>
          <w:highlight w:val="none"/>
        </w:rPr>
        <w:t>主要</w:t>
      </w:r>
      <w:r>
        <w:rPr>
          <w:rFonts w:hint="eastAsia" w:hAnsi="宋体" w:cs="宋体"/>
          <w:bCs/>
          <w:snapToGrid/>
          <w:color w:val="auto"/>
          <w:kern w:val="2"/>
          <w:sz w:val="24"/>
          <w:szCs w:val="24"/>
          <w:highlight w:val="none"/>
          <w:lang w:eastAsia="zh-CN"/>
        </w:rPr>
        <w:t>是</w:t>
      </w:r>
      <w:r>
        <w:rPr>
          <w:rFonts w:hint="eastAsia" w:hAnsi="宋体" w:cs="宋体"/>
          <w:bCs/>
          <w:snapToGrid/>
          <w:color w:val="auto"/>
          <w:kern w:val="2"/>
          <w:sz w:val="24"/>
          <w:szCs w:val="24"/>
          <w:highlight w:val="none"/>
          <w:lang w:val="en-US" w:eastAsia="zh-CN"/>
        </w:rPr>
        <w:t>校内道路路灯照明系统改造、太阳能热水器改造、台盆出水龙头改造、光伏系统改造、能耗监测系统建设等工作为主，</w:t>
      </w:r>
      <w:r>
        <w:rPr>
          <w:rFonts w:hint="eastAsia" w:hAnsi="宋体" w:cs="宋体"/>
          <w:bCs/>
          <w:snapToGrid/>
          <w:color w:val="auto"/>
          <w:kern w:val="2"/>
          <w:sz w:val="24"/>
          <w:szCs w:val="24"/>
          <w:highlight w:val="none"/>
        </w:rPr>
        <w:t>（</w:t>
      </w:r>
      <w:r>
        <w:rPr>
          <w:rFonts w:hint="eastAsia" w:hAnsi="宋体" w:cs="宋体"/>
          <w:bCs/>
          <w:snapToGrid/>
          <w:color w:val="auto"/>
          <w:kern w:val="2"/>
          <w:sz w:val="24"/>
          <w:szCs w:val="24"/>
          <w:highlight w:val="none"/>
          <w:lang w:val="zh-CN"/>
        </w:rPr>
        <w:t>包括各种设备的制造、采购、装卸运输、安装调试、备品备件、专用工具、保险、管理费、利润、税金、能效监测、验收及售后等</w:t>
      </w:r>
      <w:r>
        <w:rPr>
          <w:rFonts w:hint="eastAsia" w:hAnsi="宋体" w:cs="宋体"/>
          <w:bCs/>
          <w:snapToGrid/>
          <w:color w:val="auto"/>
          <w:kern w:val="2"/>
          <w:sz w:val="24"/>
          <w:szCs w:val="24"/>
          <w:highlight w:val="none"/>
        </w:rPr>
        <w:t>）</w:t>
      </w:r>
      <w:r>
        <w:rPr>
          <w:rFonts w:hint="eastAsia" w:ascii="宋体" w:hAnsi="宋体" w:eastAsia="宋体" w:cs="宋体"/>
          <w:snapToGrid/>
          <w:color w:val="auto"/>
          <w:kern w:val="2"/>
          <w:sz w:val="24"/>
          <w:szCs w:val="24"/>
          <w:highlight w:val="none"/>
          <w:lang w:eastAsia="zh-CN"/>
        </w:rPr>
        <w:t>，</w:t>
      </w:r>
      <w:r>
        <w:rPr>
          <w:rFonts w:hint="eastAsia" w:ascii="宋体" w:hAnsi="宋体" w:eastAsia="宋体" w:cs="宋体"/>
          <w:snapToGrid/>
          <w:color w:val="auto"/>
          <w:kern w:val="2"/>
          <w:sz w:val="24"/>
          <w:szCs w:val="24"/>
          <w:highlight w:val="none"/>
        </w:rPr>
        <w:t>具体以招标文件第三部分采购需求为准，供应商可点击本公告下方“浏览采购文件”查看采购需求。</w:t>
      </w:r>
    </w:p>
    <w:p>
      <w:pPr>
        <w:pStyle w:val="6"/>
        <w:spacing w:line="360" w:lineRule="auto"/>
        <w:ind w:firstLine="480"/>
        <w:rPr>
          <w:rFonts w:hint="eastAsia" w:ascii="宋体" w:hAnsi="宋体" w:eastAsia="宋体" w:cs="宋体"/>
          <w:b w:val="0"/>
          <w:bCs/>
          <w:snapToGrid/>
          <w:color w:val="auto"/>
          <w:kern w:val="2"/>
          <w:sz w:val="24"/>
          <w:szCs w:val="24"/>
          <w:highlight w:val="none"/>
          <w:lang w:val="en-US" w:eastAsia="zh-CN" w:bidi="ar-SA"/>
        </w:rPr>
      </w:pPr>
      <w:r>
        <w:rPr>
          <w:rFonts w:hint="eastAsia" w:ascii="宋体" w:hAnsi="宋体" w:eastAsia="宋体" w:cs="宋体"/>
          <w:b/>
          <w:snapToGrid/>
          <w:color w:val="auto"/>
          <w:kern w:val="2"/>
          <w:sz w:val="24"/>
          <w:szCs w:val="24"/>
          <w:highlight w:val="none"/>
          <w:lang w:val="en-US" w:eastAsia="zh-CN" w:bidi="ar-SA"/>
        </w:rPr>
        <w:t>合同履约期限：</w:t>
      </w:r>
      <w:r>
        <w:rPr>
          <w:rFonts w:hint="eastAsia" w:ascii="宋体" w:hAnsi="宋体" w:eastAsia="宋体" w:cs="宋体"/>
          <w:bCs/>
          <w:color w:val="auto"/>
          <w:sz w:val="24"/>
          <w:szCs w:val="24"/>
          <w:highlight w:val="none"/>
        </w:rPr>
        <w:t xml:space="preserve"> 自政府采购合同签订生效后收到采购人通知之日40天内完成安装调试并验收通过。</w:t>
      </w:r>
    </w:p>
    <w:p>
      <w:pPr>
        <w:pStyle w:val="6"/>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color w:val="auto"/>
            <w:kern w:val="0"/>
            <w:sz w:val="24"/>
            <w:highlight w:val="none"/>
          </w:rPr>
          <w:id w:val="2035453831"/>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b/>
          <w:color w:val="auto"/>
          <w:sz w:val="24"/>
          <w:highlight w:val="none"/>
        </w:rPr>
        <w:t>是</w:t>
      </w:r>
      <w:r>
        <w:rPr>
          <w:rFonts w:hint="eastAsia" w:ascii="宋体" w:hAnsi="宋体" w:eastAsia="宋体" w:cs="宋体"/>
          <w:b/>
          <w:snapToGrid/>
          <w:color w:val="auto"/>
          <w:kern w:val="2"/>
          <w:sz w:val="24"/>
          <w:highlight w:val="none"/>
        </w:rPr>
        <w:t>；</w:t>
      </w:r>
      <w:sdt>
        <w:sdtPr>
          <w:rPr>
            <w:rFonts w:hint="eastAsia" w:ascii="宋体" w:hAnsi="宋体" w:eastAsia="宋体" w:cs="宋体"/>
            <w:color w:val="auto"/>
            <w:kern w:val="0"/>
            <w:sz w:val="24"/>
            <w:highlight w:val="none"/>
          </w:rPr>
          <w:id w:val="-1765526721"/>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w:t>
      </w:r>
      <w:bookmarkStart w:id="11" w:name="_Hlk101132948"/>
      <w:r>
        <w:rPr>
          <w:rFonts w:hint="eastAsia" w:ascii="宋体" w:hAnsi="宋体" w:eastAsia="宋体" w:cs="宋体"/>
          <w:b/>
          <w:color w:val="auto"/>
          <w:sz w:val="24"/>
          <w:highlight w:val="none"/>
        </w:rPr>
        <w:t>申请人的资格要求</w:t>
      </w:r>
      <w:bookmarkEnd w:id="11"/>
      <w:r>
        <w:rPr>
          <w:rFonts w:hint="eastAsia" w:ascii="宋体" w:hAnsi="宋体" w:eastAsia="宋体" w:cs="宋体"/>
          <w:b/>
          <w:color w:val="auto"/>
          <w:sz w:val="24"/>
          <w:highlight w:val="none"/>
        </w:rPr>
        <w:t>：</w:t>
      </w:r>
    </w:p>
    <w:p>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满足《中华人民共和国政府采购法》第二十二条规定；未被“信用中国”（www.creditchina.gov.cn)、中国政府采购网（www.ccgp.gov.cn）列入失信被执行人、重大税收违法失信主体、政府采购严重违法失信行为记录名单；</w:t>
      </w:r>
    </w:p>
    <w:p>
      <w:pP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2.以联合体形式投标的，提供联合协议(本项目不接受联合体投标或者投标人不以联合体形式投标的，则不需要提供) ；</w:t>
      </w:r>
    </w:p>
    <w:p>
      <w:pP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28616923"/>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（注：不得限制大中型企业与小微企业组成联合体参与投标）</w:t>
      </w:r>
      <w:r>
        <w:rPr>
          <w:rFonts w:hint="eastAsia" w:ascii="宋体" w:hAnsi="宋体" w:eastAsia="宋体" w:cs="宋体"/>
          <w:color w:val="auto"/>
          <w:sz w:val="24"/>
          <w:highlight w:val="none"/>
        </w:rPr>
        <w:t>；</w:t>
      </w:r>
    </w:p>
    <w:p>
      <w:pPr>
        <w:tabs>
          <w:tab w:val="left" w:pos="3769"/>
        </w:tabs>
        <w:spacing w:line="360" w:lineRule="auto"/>
        <w:ind w:firstLine="480" w:firstLineChars="200"/>
        <w:rPr>
          <w:rFonts w:hint="eastAsia" w:ascii="宋体" w:hAnsi="宋体" w:eastAsia="宋体" w:cs="宋体"/>
          <w:color w:val="auto"/>
          <w:sz w:val="24"/>
          <w:highlight w:val="none"/>
          <w:lang w:eastAsia="zh-CN"/>
        </w:rPr>
      </w:pPr>
      <w:sdt>
        <w:sdtPr>
          <w:rPr>
            <w:rFonts w:hint="eastAsia" w:ascii="宋体" w:hAnsi="宋体" w:eastAsia="宋体" w:cs="宋体"/>
            <w:color w:val="auto"/>
            <w:kern w:val="0"/>
            <w:sz w:val="24"/>
            <w:highlight w:val="none"/>
          </w:rPr>
          <w:id w:val="-1024704304"/>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
            <w:sdtPr>
              <w:rPr>
                <w:rFonts w:hint="eastAsia" w:ascii="宋体" w:hAnsi="宋体" w:eastAsia="宋体" w:cs="宋体"/>
                <w:color w:val="auto"/>
                <w:kern w:val="0"/>
                <w:sz w:val="24"/>
                <w:highlight w:val="none"/>
              </w:rPr>
              <w:id w:val="-1024704304"/>
            </w:sdtPr>
            <w:sdtEndPr>
              <w:rPr>
                <w:rFonts w:hint="eastAsia" w:ascii="宋体" w:hAnsi="宋体" w:eastAsia="宋体" w:cs="宋体"/>
                <w:color w:val="auto"/>
                <w:kern w:val="0"/>
                <w:sz w:val="24"/>
                <w:highlight w:val="none"/>
              </w:rPr>
            </w:sdtEndPr>
            <w:sdtContent>
              <w:sdt>
                <w:sdtPr>
                  <w:rPr>
                    <w:rFonts w:hint="eastAsia" w:ascii="宋体" w:hAnsi="宋体" w:cs="宋体"/>
                    <w:color w:val="auto"/>
                    <w:kern w:val="0"/>
                    <w:sz w:val="24"/>
                    <w:highlight w:val="none"/>
                  </w:rPr>
                  <w:id w:val="-1938592979"/>
                </w:sdtPr>
                <w:sdtEndPr>
                  <w:rPr>
                    <w:rFonts w:hint="eastAsia" w:ascii="宋体" w:hAnsi="宋体" w:cs="宋体"/>
                    <w:color w:val="auto"/>
                    <w:kern w:val="0"/>
                    <w:sz w:val="24"/>
                    <w:highlight w:val="none"/>
                  </w:rPr>
                </w:sdtEndPr>
                <w:sdtContent>
                  <w:sdt>
                    <w:sdtPr>
                      <w:rPr>
                        <w:rFonts w:hint="eastAsia" w:ascii="宋体" w:hAnsi="宋体" w:eastAsia="宋体" w:cs="宋体"/>
                        <w:color w:val="auto"/>
                        <w:kern w:val="0"/>
                        <w:sz w:val="24"/>
                        <w:highlight w:val="none"/>
                      </w:rPr>
                      <w:id w:val="-182842570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sdtContent>
              </w:sdt>
            </w:sdtContent>
          </w:sdt>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r>
        <w:rPr>
          <w:rFonts w:hint="eastAsia" w:ascii="宋体" w:hAnsi="宋体" w:eastAsia="宋体" w:cs="宋体"/>
          <w:color w:val="auto"/>
          <w:sz w:val="24"/>
          <w:highlight w:val="none"/>
          <w:lang w:eastAsia="zh-CN"/>
        </w:rPr>
        <w:tab/>
      </w:r>
    </w:p>
    <w:p>
      <w:pPr>
        <w:spacing w:line="360" w:lineRule="auto"/>
        <w:ind w:firstLine="897" w:firstLineChars="374"/>
        <w:rPr>
          <w:rFonts w:hint="eastAsia" w:ascii="宋体" w:hAnsi="宋体" w:eastAsia="宋体" w:cs="宋体"/>
          <w:color w:val="auto"/>
          <w:sz w:val="24"/>
          <w:highlight w:val="none"/>
          <w:u w:val="single"/>
        </w:rPr>
      </w:pPr>
      <w:sdt>
        <w:sdtPr>
          <w:rPr>
            <w:rFonts w:hint="eastAsia" w:ascii="宋体" w:hAnsi="宋体" w:eastAsia="宋体" w:cs="宋体"/>
            <w:color w:val="auto"/>
            <w:kern w:val="0"/>
            <w:sz w:val="24"/>
            <w:highlight w:val="none"/>
          </w:rPr>
          <w:id w:val="-924730588"/>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82842570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sdtContent>
      </w:sdt>
      <w:r>
        <w:rPr>
          <w:rFonts w:hint="eastAsia" w:ascii="宋体" w:hAnsi="宋体" w:eastAsia="宋体" w:cs="宋体"/>
          <w:color w:val="auto"/>
          <w:sz w:val="24"/>
          <w:highlight w:val="none"/>
        </w:rPr>
        <w:t>货物全部由符合政策要求的中小企业制造，提供中小企业声明函；</w:t>
      </w:r>
    </w:p>
    <w:p>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15260493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货物全部由符合政策要求的小微企业制造，提供中小企业声明函；</w:t>
      </w:r>
    </w:p>
    <w:p>
      <w:pPr>
        <w:spacing w:line="360" w:lineRule="auto"/>
        <w:ind w:firstLine="456" w:firstLineChars="200"/>
        <w:rPr>
          <w:rFonts w:hint="eastAsia" w:ascii="宋体" w:hAnsi="宋体" w:eastAsia="宋体" w:cs="宋体"/>
          <w:color w:val="auto"/>
          <w:sz w:val="24"/>
          <w:highlight w:val="none"/>
        </w:rPr>
      </w:pPr>
      <w:bookmarkStart w:id="12" w:name="_Hlk101132524"/>
      <w:sdt>
        <w:sdtPr>
          <w:rPr>
            <w:rFonts w:hint="eastAsia" w:ascii="宋体" w:hAnsi="宋体" w:eastAsia="宋体" w:cs="宋体"/>
            <w:color w:val="auto"/>
            <w:spacing w:val="-6"/>
            <w:kern w:val="0"/>
            <w:sz w:val="24"/>
            <w:highlight w:val="none"/>
          </w:rPr>
          <w:id w:val="-1985607795"/>
        </w:sdtPr>
        <w:sdtEndPr>
          <w:rPr>
            <w:rFonts w:hint="eastAsia" w:ascii="宋体" w:hAnsi="宋体" w:eastAsia="宋体" w:cs="宋体"/>
            <w:color w:val="auto"/>
            <w:spacing w:val="-6"/>
            <w:kern w:val="0"/>
            <w:sz w:val="24"/>
            <w:highlight w:val="none"/>
          </w:rPr>
        </w:sdtEndPr>
        <w:sdtContent>
          <w:r>
            <w:rPr>
              <w:rFonts w:hint="eastAsia" w:ascii="宋体" w:hAnsi="宋体" w:eastAsia="宋体" w:cs="宋体"/>
              <w:color w:val="auto"/>
              <w:spacing w:val="-6"/>
              <w:kern w:val="0"/>
              <w:sz w:val="24"/>
              <w:highlight w:val="none"/>
            </w:rPr>
            <w:t>☐</w:t>
          </w:r>
        </w:sdtContent>
      </w:sdt>
      <w:r>
        <w:rPr>
          <w:rFonts w:hint="eastAsia" w:ascii="宋体" w:hAnsi="宋体" w:eastAsia="宋体" w:cs="宋体"/>
          <w:color w:val="auto"/>
          <w:spacing w:val="-6"/>
          <w:sz w:val="24"/>
          <w:highlight w:val="none"/>
        </w:rPr>
        <w:t>要求以联合体形式参加，提供联合协议和中小企业声明函，联合协议中中小企业合同金额应当达到</w:t>
      </w:r>
      <w:r>
        <w:rPr>
          <w:rFonts w:hint="eastAsia" w:ascii="宋体" w:hAnsi="宋体" w:eastAsia="宋体" w:cs="宋体"/>
          <w:color w:val="auto"/>
          <w:spacing w:val="-6"/>
          <w:sz w:val="24"/>
          <w:highlight w:val="none"/>
          <w:u w:val="single"/>
          <w:lang w:val="en-US" w:eastAsia="zh-CN"/>
        </w:rPr>
        <w:t xml:space="preserve">  </w:t>
      </w:r>
      <w:r>
        <w:rPr>
          <w:rFonts w:hint="eastAsia" w:ascii="宋体" w:hAnsi="宋体" w:eastAsia="宋体" w:cs="宋体"/>
          <w:color w:val="auto"/>
          <w:spacing w:val="-6"/>
          <w:sz w:val="24"/>
          <w:highlight w:val="none"/>
          <w:u w:val="single"/>
        </w:rPr>
        <w:t>%</w:t>
      </w:r>
      <w:r>
        <w:rPr>
          <w:rFonts w:hint="eastAsia" w:ascii="宋体" w:hAnsi="宋体" w:eastAsia="宋体" w:cs="宋体"/>
          <w:color w:val="auto"/>
          <w:spacing w:val="-6"/>
          <w:sz w:val="24"/>
          <w:highlight w:val="none"/>
        </w:rPr>
        <w:t>，其中小微企业合同金额应当达到</w:t>
      </w:r>
      <w:r>
        <w:rPr>
          <w:rFonts w:hint="eastAsia" w:ascii="宋体" w:hAnsi="宋体" w:eastAsia="宋体" w:cs="宋体"/>
          <w:color w:val="auto"/>
          <w:spacing w:val="-6"/>
          <w:sz w:val="24"/>
          <w:highlight w:val="none"/>
          <w:u w:val="single"/>
          <w:lang w:val="en-US" w:eastAsia="zh-CN"/>
        </w:rPr>
        <w:t xml:space="preserve">  </w:t>
      </w:r>
      <w:r>
        <w:rPr>
          <w:rFonts w:hint="eastAsia" w:ascii="宋体" w:hAnsi="宋体" w:eastAsia="宋体" w:cs="宋体"/>
          <w:color w:val="auto"/>
          <w:spacing w:val="-6"/>
          <w:sz w:val="24"/>
          <w:highlight w:val="none"/>
          <w:u w:val="single"/>
        </w:rPr>
        <w:t>%</w:t>
      </w:r>
      <w:r>
        <w:rPr>
          <w:rFonts w:hint="eastAsia" w:ascii="宋体" w:hAnsi="宋体" w:eastAsia="宋体" w:cs="宋体"/>
          <w:color w:val="auto"/>
          <w:spacing w:val="-6"/>
          <w:sz w:val="24"/>
          <w:highlight w:val="none"/>
        </w:rPr>
        <w:t>;</w:t>
      </w:r>
      <w:r>
        <w:rPr>
          <w:rFonts w:hint="eastAsia" w:ascii="宋体" w:hAnsi="宋体" w:eastAsia="宋体" w:cs="宋体"/>
          <w:color w:val="auto"/>
          <w:spacing w:val="-6"/>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pacing w:val="-6"/>
          <w:sz w:val="24"/>
          <w:highlight w:val="none"/>
        </w:rPr>
        <w:t>；</w:t>
      </w:r>
    </w:p>
    <w:bookmarkEnd w:id="12"/>
    <w:p>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4630645"/>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要求合同分包，提供分包意向协议和中小企业声明函，分包意向协议中中小企业合同金额应当</w:t>
      </w:r>
      <w:r>
        <w:rPr>
          <w:rFonts w:hint="eastAsia" w:ascii="宋体" w:hAnsi="宋体" w:cs="宋体"/>
          <w:color w:val="auto"/>
          <w:sz w:val="24"/>
          <w:highlight w:val="none"/>
          <w:lang w:eastAsia="zh-CN"/>
        </w:rPr>
        <w:t>达到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 xml:space="preserve"> ，其中小微企业合同金额应当达到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 xml:space="preserve"> ;</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w:t>
      </w:r>
      <w:r>
        <w:rPr>
          <w:rFonts w:hint="eastAsia" w:ascii="宋体" w:hAnsi="宋体" w:cs="宋体"/>
          <w:color w:val="auto"/>
          <w:sz w:val="24"/>
          <w:highlight w:val="none"/>
          <w:lang w:val="en-US" w:eastAsia="zh-CN"/>
        </w:rPr>
        <w:t>无</w:t>
      </w:r>
      <w:r>
        <w:rPr>
          <w:rFonts w:hint="eastAsia" w:ascii="宋体" w:hAnsi="宋体" w:eastAsia="宋体" w:cs="宋体"/>
          <w:color w:val="auto"/>
          <w:sz w:val="24"/>
          <w:highlight w:val="none"/>
        </w:rPr>
        <w:t>；</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cs="宋体"/>
          <w:b/>
          <w:color w:val="auto"/>
          <w:sz w:val="24"/>
          <w:highlight w:val="none"/>
          <w:lang w:eastAsia="zh-CN"/>
        </w:rPr>
        <w:t>：</w:t>
      </w:r>
      <w:r>
        <w:rPr>
          <w:rFonts w:hint="eastAsia" w:ascii="宋体" w:hAnsi="宋体" w:eastAsia="宋体" w:cs="宋体"/>
          <w:color w:val="auto"/>
          <w:sz w:val="24"/>
          <w:highlight w:val="none"/>
        </w:rPr>
        <w:t>至</w:t>
      </w:r>
      <w:r>
        <w:rPr>
          <w:rFonts w:hint="eastAsia" w:ascii="宋体" w:hAnsi="宋体" w:cs="宋体"/>
          <w:color w:val="auto"/>
          <w:sz w:val="24"/>
          <w:highlight w:val="none"/>
          <w:u w:val="single"/>
          <w:lang w:val="en-US" w:eastAsia="zh-CN"/>
        </w:rPr>
        <w:t>2024</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 xml:space="preserve">1 </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 xml:space="preserve"> 8 </w:t>
      </w:r>
      <w:r>
        <w:rPr>
          <w:rFonts w:hint="eastAsia" w:ascii="宋体" w:hAnsi="宋体" w:eastAsia="宋体" w:cs="宋体"/>
          <w:color w:val="auto"/>
          <w:sz w:val="24"/>
          <w:highlight w:val="none"/>
          <w:u w:val="single"/>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Fonts w:hint="eastAsia" w:ascii="宋体" w:hAnsi="宋体" w:cs="宋体"/>
          <w:color w:val="auto"/>
          <w:sz w:val="24"/>
          <w:highlight w:val="none"/>
          <w:u w:val="single"/>
          <w:lang w:eastAsia="zh-CN"/>
        </w:rPr>
        <w:t>2024年 1 月 8 日 14 点 00 分00秒</w:t>
      </w:r>
      <w:r>
        <w:rPr>
          <w:rFonts w:hint="eastAsia" w:ascii="宋体" w:hAnsi="宋体" w:eastAsia="宋体" w:cs="宋体"/>
          <w:color w:val="auto"/>
          <w:sz w:val="24"/>
          <w:highlight w:val="none"/>
        </w:rPr>
        <w:t>（北京时间）</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pP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Fonts w:hint="eastAsia" w:ascii="宋体" w:hAnsi="宋体" w:cs="宋体"/>
          <w:b w:val="0"/>
          <w:bCs/>
          <w:color w:val="auto"/>
          <w:sz w:val="24"/>
          <w:highlight w:val="none"/>
          <w:u w:val="single"/>
          <w:lang w:eastAsia="zh-CN"/>
        </w:rPr>
        <w:t xml:space="preserve">2024年 1 月 </w:t>
      </w:r>
      <w:r>
        <w:rPr>
          <w:rFonts w:hint="eastAsia" w:ascii="宋体" w:hAnsi="宋体" w:cs="宋体"/>
          <w:b w:val="0"/>
          <w:bCs/>
          <w:color w:val="auto"/>
          <w:sz w:val="24"/>
          <w:highlight w:val="none"/>
          <w:u w:val="single"/>
          <w:lang w:val="en-US" w:eastAsia="zh-CN"/>
        </w:rPr>
        <w:t>8</w:t>
      </w:r>
      <w:r>
        <w:rPr>
          <w:rFonts w:hint="eastAsia" w:ascii="宋体" w:hAnsi="宋体" w:cs="宋体"/>
          <w:b w:val="0"/>
          <w:bCs/>
          <w:color w:val="auto"/>
          <w:sz w:val="24"/>
          <w:highlight w:val="none"/>
          <w:u w:val="single"/>
          <w:lang w:eastAsia="zh-CN"/>
        </w:rPr>
        <w:t xml:space="preserve"> 日</w:t>
      </w:r>
      <w:r>
        <w:rPr>
          <w:rFonts w:hint="eastAsia" w:ascii="宋体" w:hAnsi="宋体" w:cs="宋体"/>
          <w:b w:val="0"/>
          <w:bCs/>
          <w:color w:val="auto"/>
          <w:sz w:val="24"/>
          <w:highlight w:val="none"/>
          <w:u w:val="single"/>
          <w:lang w:val="en-US" w:eastAsia="zh-CN"/>
        </w:rPr>
        <w:t>14</w:t>
      </w:r>
      <w:r>
        <w:rPr>
          <w:rFonts w:hint="eastAsia" w:ascii="宋体" w:hAnsi="宋体" w:eastAsia="宋体" w:cs="宋体"/>
          <w:b w:val="0"/>
          <w:bCs/>
          <w:color w:val="auto"/>
          <w:sz w:val="24"/>
          <w:highlight w:val="none"/>
          <w:u w:val="single"/>
        </w:rPr>
        <w:t>点</w:t>
      </w:r>
      <w:r>
        <w:rPr>
          <w:rFonts w:hint="eastAsia" w:ascii="宋体" w:hAnsi="宋体" w:cs="宋体"/>
          <w:b w:val="0"/>
          <w:bCs/>
          <w:color w:val="auto"/>
          <w:sz w:val="24"/>
          <w:highlight w:val="none"/>
          <w:u w:val="single"/>
          <w:lang w:val="en-US" w:eastAsia="zh-CN"/>
        </w:rPr>
        <w:t xml:space="preserve">00 </w:t>
      </w:r>
      <w:r>
        <w:rPr>
          <w:rFonts w:hint="eastAsia" w:ascii="宋体" w:hAnsi="宋体" w:eastAsia="宋体" w:cs="宋体"/>
          <w:b w:val="0"/>
          <w:bCs/>
          <w:color w:val="auto"/>
          <w:sz w:val="24"/>
          <w:highlight w:val="none"/>
          <w:u w:val="single"/>
        </w:rPr>
        <w:t>分00秒</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p>
    <w:p>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4.其他事项：</w:t>
      </w:r>
      <w:r>
        <w:rPr>
          <w:rFonts w:hint="eastAsia" w:ascii="宋体" w:hAnsi="宋体" w:cs="宋体"/>
          <w:color w:val="auto"/>
          <w:sz w:val="24"/>
          <w:highlight w:val="none"/>
        </w:rPr>
        <w:t>（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w:t>
      </w:r>
      <w:r>
        <w:rPr>
          <w:rFonts w:hint="eastAsia" w:ascii="宋体" w:hAnsi="宋体" w:eastAsia="宋体" w:cs="宋体"/>
          <w:color w:val="auto"/>
          <w:kern w:val="2"/>
          <w:sz w:val="24"/>
          <w:szCs w:val="24"/>
          <w:highlight w:val="none"/>
          <w:lang w:val="en-US" w:eastAsia="zh-CN" w:bidi="ar-SA"/>
        </w:rPr>
        <w:t xml:space="preserve">  </w:t>
      </w:r>
      <w:r>
        <w:rPr>
          <w:rFonts w:hint="eastAsia" w:ascii="宋体" w:hAnsi="宋体" w:eastAsia="宋体" w:cs="宋体"/>
          <w:b/>
          <w:bCs/>
          <w:color w:val="auto"/>
          <w:sz w:val="24"/>
          <w:highlight w:val="none"/>
          <w:lang w:val="en-US" w:eastAsia="zh-CN"/>
        </w:rPr>
        <w:t>1.采购人信息</w:t>
      </w:r>
      <w:r>
        <w:rPr>
          <w:rFonts w:hint="eastAsia" w:ascii="宋体" w:hAnsi="宋体" w:eastAsia="宋体" w:cs="宋体"/>
          <w:color w:val="auto"/>
          <w:sz w:val="24"/>
          <w:highlight w:val="none"/>
          <w:lang w:val="en-US" w:eastAsia="zh-CN"/>
        </w:rPr>
        <w:t>           </w:t>
      </w:r>
    </w:p>
    <w:p>
      <w:pPr>
        <w:spacing w:line="360"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  称：</w:t>
      </w:r>
      <w:r>
        <w:rPr>
          <w:rFonts w:hint="eastAsia" w:ascii="宋体" w:hAnsi="宋体" w:cs="宋体"/>
          <w:color w:val="auto"/>
          <w:sz w:val="24"/>
          <w:highlight w:val="none"/>
          <w:lang w:val="en-US" w:eastAsia="zh-CN"/>
        </w:rPr>
        <w:t>建德市新安江职业学校</w:t>
      </w:r>
      <w:r>
        <w:rPr>
          <w:rFonts w:hint="eastAsia" w:ascii="宋体" w:hAnsi="宋体" w:eastAsia="宋体" w:cs="宋体"/>
          <w:color w:val="auto"/>
          <w:sz w:val="24"/>
          <w:highlight w:val="none"/>
          <w:lang w:val="en-US" w:eastAsia="zh-CN"/>
        </w:rPr>
        <w:t>              </w:t>
      </w:r>
    </w:p>
    <w:p>
      <w:pPr>
        <w:spacing w:line="360"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地  址：</w:t>
      </w:r>
      <w:r>
        <w:rPr>
          <w:rFonts w:hint="eastAsia" w:ascii="宋体" w:hAnsi="宋体" w:cs="宋体"/>
          <w:color w:val="auto"/>
          <w:sz w:val="24"/>
          <w:highlight w:val="none"/>
          <w:lang w:val="en-US" w:eastAsia="zh-CN"/>
        </w:rPr>
        <w:t>建德市洋溪街道国香路68号</w:t>
      </w:r>
      <w:r>
        <w:rPr>
          <w:rFonts w:hint="eastAsia" w:ascii="宋体" w:hAnsi="宋体" w:eastAsia="宋体" w:cs="宋体"/>
          <w:color w:val="auto"/>
          <w:sz w:val="24"/>
          <w:highlight w:val="none"/>
          <w:lang w:val="en-US" w:eastAsia="zh-CN"/>
        </w:rPr>
        <w:t xml:space="preserve">             </w:t>
      </w:r>
    </w:p>
    <w:p>
      <w:pPr>
        <w:spacing w:line="360"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传  真：/             </w:t>
      </w:r>
    </w:p>
    <w:p>
      <w:pPr>
        <w:spacing w:line="360"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项目联系人（询问）：</w:t>
      </w:r>
      <w:r>
        <w:rPr>
          <w:rFonts w:hint="eastAsia" w:ascii="宋体" w:hAnsi="宋体" w:cs="宋体"/>
          <w:color w:val="auto"/>
          <w:sz w:val="24"/>
          <w:highlight w:val="none"/>
          <w:lang w:val="en-US" w:eastAsia="zh-CN"/>
        </w:rPr>
        <w:t xml:space="preserve">刘强  </w:t>
      </w:r>
      <w:r>
        <w:rPr>
          <w:rFonts w:hint="eastAsia" w:ascii="宋体" w:hAnsi="宋体" w:eastAsia="宋体" w:cs="宋体"/>
          <w:color w:val="auto"/>
          <w:sz w:val="24"/>
          <w:highlight w:val="none"/>
          <w:lang w:val="en-US" w:eastAsia="zh-CN"/>
        </w:rPr>
        <w:t xml:space="preserve">               </w:t>
      </w:r>
    </w:p>
    <w:p>
      <w:pPr>
        <w:spacing w:line="360"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项目联系方式（询问）</w:t>
      </w:r>
      <w:r>
        <w:rPr>
          <w:rFonts w:hint="eastAsia" w:ascii="宋体" w:hAnsi="宋体" w:cs="宋体"/>
          <w:color w:val="auto"/>
          <w:sz w:val="24"/>
          <w:highlight w:val="none"/>
          <w:lang w:val="en-US" w:eastAsia="zh-CN"/>
        </w:rPr>
        <w:t xml:space="preserve">：15372044548 </w:t>
      </w:r>
      <w:r>
        <w:rPr>
          <w:rFonts w:hint="eastAsia" w:ascii="宋体" w:hAnsi="宋体" w:eastAsia="宋体" w:cs="宋体"/>
          <w:color w:val="auto"/>
          <w:sz w:val="24"/>
          <w:highlight w:val="none"/>
          <w:lang w:val="en-US" w:eastAsia="zh-CN"/>
        </w:rPr>
        <w:t>         </w:t>
      </w:r>
    </w:p>
    <w:p>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    质疑联系人：</w:t>
      </w:r>
      <w:r>
        <w:rPr>
          <w:rFonts w:hint="eastAsia" w:ascii="宋体" w:hAnsi="宋体" w:cs="宋体"/>
          <w:color w:val="auto"/>
          <w:sz w:val="24"/>
          <w:highlight w:val="none"/>
          <w:lang w:val="en-US" w:eastAsia="zh-CN"/>
        </w:rPr>
        <w:t xml:space="preserve">夏凉   </w:t>
      </w:r>
      <w:r>
        <w:rPr>
          <w:rFonts w:hint="eastAsia" w:ascii="宋体" w:hAnsi="宋体" w:eastAsia="宋体" w:cs="宋体"/>
          <w:color w:val="auto"/>
          <w:sz w:val="24"/>
          <w:highlight w:val="none"/>
          <w:lang w:val="en-US" w:eastAsia="zh-CN"/>
        </w:rPr>
        <w:t>             </w:t>
      </w:r>
    </w:p>
    <w:p>
      <w:pPr>
        <w:spacing w:line="360" w:lineRule="auto"/>
        <w:ind w:firstLine="48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质疑联系方式：</w:t>
      </w:r>
      <w:r>
        <w:rPr>
          <w:rFonts w:hint="eastAsia" w:ascii="宋体" w:hAnsi="宋体" w:cs="宋体"/>
          <w:color w:val="auto"/>
          <w:sz w:val="24"/>
          <w:highlight w:val="none"/>
          <w:lang w:val="en-US" w:eastAsia="zh-CN"/>
        </w:rPr>
        <w:t xml:space="preserve">13067857860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bCs/>
          <w:color w:val="auto"/>
          <w:sz w:val="24"/>
          <w:highlight w:val="none"/>
        </w:rPr>
        <w:t xml:space="preserve">2.采购代理机构信息 </w:t>
      </w:r>
      <w:r>
        <w:rPr>
          <w:rFonts w:hint="eastAsia" w:ascii="宋体" w:hAnsi="宋体" w:eastAsia="宋体" w:cs="宋体"/>
          <w:color w:val="auto"/>
          <w:sz w:val="24"/>
          <w:highlight w:val="none"/>
        </w:rPr>
        <w:t xml:space="preserve">           </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    称：</w:t>
      </w:r>
      <w:r>
        <w:rPr>
          <w:rFonts w:hint="eastAsia" w:ascii="宋体" w:hAnsi="宋体" w:cs="宋体"/>
          <w:color w:val="auto"/>
          <w:sz w:val="24"/>
          <w:highlight w:val="none"/>
          <w:lang w:val="en-US" w:eastAsia="zh-CN"/>
        </w:rPr>
        <w:t>欧邦工程管理集团有限公司</w:t>
      </w:r>
    </w:p>
    <w:p>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eastAsia="宋体" w:cs="宋体"/>
          <w:color w:val="auto"/>
          <w:sz w:val="24"/>
          <w:highlight w:val="none"/>
          <w:lang w:val="en-US" w:eastAsia="zh-CN"/>
        </w:rPr>
        <w:t>地    址：</w:t>
      </w:r>
      <w:r>
        <w:rPr>
          <w:rFonts w:hint="eastAsia" w:ascii="宋体" w:hAnsi="宋体" w:cs="宋体"/>
          <w:color w:val="auto"/>
          <w:sz w:val="24"/>
          <w:highlight w:val="none"/>
          <w:lang w:val="en-US" w:eastAsia="zh-CN"/>
        </w:rPr>
        <w:t>浙江省建德市新安江街道红枫商场15号二层</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传    真：0571-</w:t>
      </w:r>
      <w:r>
        <w:rPr>
          <w:rFonts w:hint="eastAsia" w:ascii="宋体" w:hAnsi="宋体" w:cs="宋体"/>
          <w:color w:val="auto"/>
          <w:sz w:val="24"/>
          <w:highlight w:val="none"/>
          <w:lang w:val="en-US" w:eastAsia="zh-CN"/>
        </w:rPr>
        <w:t>64797180</w:t>
      </w:r>
      <w:r>
        <w:rPr>
          <w:rFonts w:hint="eastAsia" w:ascii="宋体" w:hAnsi="宋体" w:eastAsia="宋体" w:cs="宋体"/>
          <w:color w:val="auto"/>
          <w:sz w:val="24"/>
          <w:highlight w:val="none"/>
          <w:lang w:val="en-US" w:eastAsia="zh-CN"/>
        </w:rPr>
        <w:t xml:space="preserve">             </w:t>
      </w:r>
    </w:p>
    <w:p>
      <w:pPr>
        <w:spacing w:line="360" w:lineRule="auto"/>
        <w:ind w:firstLine="480" w:firstLineChars="200"/>
        <w:rPr>
          <w:rFonts w:hint="default" w:ascii="宋体" w:hAnsi="宋体" w:cs="宋体"/>
          <w:color w:val="auto"/>
          <w:sz w:val="24"/>
          <w:highlight w:val="none"/>
          <w:lang w:val="en-US" w:eastAsia="zh-CN"/>
        </w:rPr>
      </w:pPr>
      <w:r>
        <w:rPr>
          <w:rFonts w:hint="eastAsia" w:ascii="宋体" w:hAnsi="宋体" w:eastAsia="宋体" w:cs="宋体"/>
          <w:color w:val="auto"/>
          <w:sz w:val="24"/>
          <w:highlight w:val="none"/>
          <w:lang w:val="en-US" w:eastAsia="zh-CN"/>
        </w:rPr>
        <w:t>项目联系人（询问）：</w:t>
      </w:r>
      <w:r>
        <w:rPr>
          <w:rFonts w:hint="eastAsia" w:ascii="宋体" w:hAnsi="宋体" w:cs="宋体"/>
          <w:color w:val="auto"/>
          <w:sz w:val="24"/>
          <w:highlight w:val="none"/>
          <w:lang w:val="en-US" w:eastAsia="zh-CN"/>
        </w:rPr>
        <w:t>李昕淼</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项目联系方式（询问）：</w:t>
      </w:r>
      <w:r>
        <w:rPr>
          <w:rFonts w:hint="eastAsia" w:ascii="宋体" w:hAnsi="宋体" w:cs="宋体"/>
          <w:color w:val="auto"/>
          <w:sz w:val="24"/>
          <w:highlight w:val="none"/>
          <w:lang w:val="en-US" w:eastAsia="zh-CN"/>
        </w:rPr>
        <w:t>15372041892</w:t>
      </w:r>
      <w:r>
        <w:rPr>
          <w:rFonts w:hint="eastAsia" w:ascii="宋体" w:hAnsi="宋体" w:eastAsia="宋体" w:cs="宋体"/>
          <w:color w:val="auto"/>
          <w:sz w:val="24"/>
          <w:highlight w:val="none"/>
          <w:lang w:val="en-US" w:eastAsia="zh-CN"/>
        </w:rPr>
        <w:t xml:space="preserve">  </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质疑联系人：</w:t>
      </w:r>
      <w:r>
        <w:rPr>
          <w:rFonts w:hint="eastAsia" w:ascii="宋体" w:hAnsi="宋体" w:cs="宋体"/>
          <w:color w:val="auto"/>
          <w:sz w:val="24"/>
          <w:highlight w:val="none"/>
          <w:lang w:val="en-US" w:eastAsia="zh-CN"/>
        </w:rPr>
        <w:t>张仲奎</w:t>
      </w:r>
    </w:p>
    <w:p>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质疑联系方式：</w:t>
      </w:r>
      <w:r>
        <w:rPr>
          <w:rFonts w:hint="eastAsia" w:ascii="宋体" w:hAnsi="宋体" w:cs="宋体"/>
          <w:color w:val="auto"/>
          <w:sz w:val="24"/>
          <w:highlight w:val="none"/>
          <w:lang w:val="en-US" w:eastAsia="zh-CN"/>
        </w:rPr>
        <w:t>18268883544</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3.同级政府采购监督管理部门</w:t>
      </w:r>
      <w:r>
        <w:rPr>
          <w:rFonts w:hint="eastAsia" w:ascii="宋体" w:hAnsi="宋体" w:eastAsia="宋体" w:cs="宋体"/>
          <w:color w:val="auto"/>
          <w:sz w:val="24"/>
          <w:highlight w:val="none"/>
        </w:rPr>
        <w:t xml:space="preserve">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cs="宋体" w:eastAsiaTheme="minorEastAsia"/>
          <w:color w:val="auto"/>
          <w:sz w:val="24"/>
          <w:highlight w:val="none"/>
        </w:rPr>
        <w:t>建德市财政局、浙江省政府采购行政裁决服务中心（杭州）</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cs="宋体" w:eastAsiaTheme="minorEastAsia"/>
          <w:color w:val="auto"/>
          <w:sz w:val="24"/>
          <w:highlight w:val="none"/>
        </w:rPr>
        <w:t>杭州市上城区四季青街道新业路市民之家G03办公室（快递仅限ems或顺丰）</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 ：朱女士、王女士</w:t>
      </w:r>
    </w:p>
    <w:p>
      <w:pPr>
        <w:spacing w:line="360" w:lineRule="auto"/>
        <w:ind w:firstLine="480" w:firstLineChars="200"/>
        <w:rPr>
          <w:rFonts w:hint="eastAsia" w:ascii="宋体" w:hAnsi="宋体" w:cs="宋体" w:eastAsiaTheme="minorEastAsia"/>
          <w:color w:val="auto"/>
          <w:sz w:val="24"/>
          <w:highlight w:val="none"/>
        </w:rPr>
      </w:pPr>
      <w:r>
        <w:rPr>
          <w:rFonts w:hint="eastAsia" w:ascii="宋体" w:hAnsi="宋体" w:eastAsia="宋体" w:cs="宋体"/>
          <w:color w:val="auto"/>
          <w:sz w:val="24"/>
          <w:highlight w:val="none"/>
        </w:rPr>
        <w:t>监督投诉电话：</w:t>
      </w:r>
      <w:r>
        <w:rPr>
          <w:rFonts w:hint="eastAsia" w:ascii="宋体" w:hAnsi="宋体" w:cs="宋体" w:eastAsiaTheme="minorEastAsia"/>
          <w:color w:val="auto"/>
          <w:sz w:val="24"/>
          <w:highlight w:val="none"/>
        </w:rPr>
        <w:t>0571-85252453</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pP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5"/>
        <w:tblW w:w="902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5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7" w:hRule="atLeast"/>
          <w:tblHeader/>
        </w:trPr>
        <w:tc>
          <w:tcPr>
            <w:tcW w:w="629" w:type="dxa"/>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550"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48" w:hRule="atLeast"/>
          <w:tblHeader/>
        </w:trPr>
        <w:tc>
          <w:tcPr>
            <w:tcW w:w="629" w:type="dxa"/>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项目属性与核心产品</w:t>
            </w:r>
          </w:p>
        </w:tc>
        <w:tc>
          <w:tcPr>
            <w:tcW w:w="6550" w:type="dxa"/>
            <w:vAlign w:val="center"/>
          </w:tcPr>
          <w:p>
            <w:pPr>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lang w:val="en-US"/>
              </w:rPr>
            </w:pPr>
            <w:r>
              <w:rPr>
                <w:rFonts w:hint="eastAsia" w:ascii="宋体" w:hAnsi="宋体" w:eastAsia="宋体" w:cs="宋体"/>
                <w:color w:val="auto"/>
                <w:sz w:val="24"/>
                <w:highlight w:val="none"/>
              </w:rPr>
              <w:t>货物类，单一产品或</w:t>
            </w:r>
            <w:r>
              <w:rPr>
                <w:rFonts w:hint="eastAsia" w:ascii="宋体" w:hAnsi="宋体" w:eastAsia="宋体" w:cs="宋体"/>
                <w:color w:val="auto"/>
                <w:kern w:val="0"/>
                <w:sz w:val="24"/>
                <w:highlight w:val="none"/>
              </w:rPr>
              <w:t>核心产品为</w:t>
            </w:r>
            <w:r>
              <w:rPr>
                <w:rFonts w:hint="eastAsia" w:ascii="宋体" w:hAnsi="宋体" w:eastAsia="宋体" w:cs="宋体"/>
                <w:color w:val="auto"/>
                <w:kern w:val="0"/>
                <w:sz w:val="24"/>
                <w:highlight w:val="none"/>
                <w:lang w:eastAsia="zh-CN"/>
              </w:rPr>
              <w:t>：</w:t>
            </w:r>
            <w:r>
              <w:rPr>
                <w:rFonts w:hint="eastAsia" w:ascii="宋体" w:hAnsi="宋体" w:cs="宋体"/>
                <w:color w:val="auto"/>
                <w:sz w:val="24"/>
                <w:highlight w:val="none"/>
                <w:u w:val="single"/>
                <w:lang w:val="en-US" w:eastAsia="zh-CN"/>
              </w:rPr>
              <w:t>太阳能路灯、太阳能热水器、台盆出水龙头、光伏系统、能耗监测等。</w:t>
            </w:r>
            <w:r>
              <w:rPr>
                <w:rFonts w:hint="eastAsia" w:ascii="宋体" w:hAnsi="宋体" w:eastAsia="宋体" w:cs="宋体"/>
                <w:color w:val="auto"/>
                <w:kern w:val="0"/>
                <w:sz w:val="24"/>
                <w:highlight w:val="none"/>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70" w:hRule="atLeast"/>
          <w:tblHeader/>
        </w:trPr>
        <w:tc>
          <w:tcPr>
            <w:tcW w:w="629" w:type="dxa"/>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采购标的及其对应的中小企业划分标准所属行业</w:t>
            </w:r>
          </w:p>
        </w:tc>
        <w:tc>
          <w:tcPr>
            <w:tcW w:w="6550" w:type="dxa"/>
            <w:vAlign w:val="center"/>
          </w:tcPr>
          <w:p>
            <w:pPr>
              <w:numPr>
                <w:ilvl w:val="0"/>
                <w:numId w:val="0"/>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1、太阳能路灯</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rPr>
              <w:t>行业</w:t>
            </w:r>
            <w:r>
              <w:rPr>
                <w:rFonts w:hint="eastAsia" w:ascii="宋体" w:hAnsi="宋体" w:eastAsia="宋体" w:cs="宋体"/>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2、太阳能集热管，属于</w:t>
            </w:r>
            <w:r>
              <w:rPr>
                <w:rFonts w:hint="eastAsia" w:ascii="宋体" w:hAnsi="宋体" w:eastAsia="宋体" w:cs="宋体"/>
                <w:color w:val="auto"/>
                <w:sz w:val="24"/>
                <w:szCs w:val="24"/>
                <w:highlight w:val="none"/>
                <w:u w:val="single"/>
                <w:lang w:val="en-US" w:eastAsia="zh-CN"/>
              </w:rPr>
              <w:t>工业</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3、太阳能集热器，属于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4、太阳能支架，属于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5、保温水箱，属于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6、太阳能循环泵，属于</w:t>
            </w:r>
            <w:r>
              <w:rPr>
                <w:rFonts w:hint="eastAsia" w:ascii="宋体" w:hAnsi="宋体" w:eastAsia="宋体" w:cs="宋体"/>
                <w:color w:val="auto"/>
                <w:sz w:val="24"/>
                <w:szCs w:val="24"/>
                <w:highlight w:val="none"/>
                <w:u w:val="single"/>
                <w:lang w:val="en-US" w:eastAsia="zh-CN"/>
              </w:rPr>
              <w:t xml:space="preserve"> 工业</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7、恒压变频泵，属于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8、太阳能循环管道，属于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9、闸阀，属于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10、止回阀，属于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11、电磁阀，属于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12、自动感应出水龙头，属于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13、光伏改造系统组建，属于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14、逆变器，属于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15、水泥墩，属于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支架，属于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17、</w:t>
            </w:r>
            <w:r>
              <w:rPr>
                <w:rFonts w:hint="eastAsia" w:ascii="宋体" w:hAnsi="宋体" w:eastAsia="宋体" w:cs="宋体"/>
                <w:color w:val="auto"/>
                <w:sz w:val="24"/>
                <w:szCs w:val="24"/>
                <w:highlight w:val="none"/>
                <w:lang w:val="en-US" w:eastAsia="zh-CN"/>
              </w:rPr>
              <w:t>并网柜，属于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w:t>
            </w:r>
            <w:r>
              <w:rPr>
                <w:rFonts w:hint="eastAsia" w:ascii="宋体" w:hAnsi="宋体" w:eastAsia="宋体" w:cs="宋体"/>
                <w:color w:val="auto"/>
                <w:sz w:val="24"/>
                <w:szCs w:val="24"/>
                <w:highlight w:val="none"/>
                <w:lang w:val="en-US" w:eastAsia="zh-CN"/>
              </w:rPr>
              <w:t>直流线，属于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19、</w:t>
            </w:r>
            <w:r>
              <w:rPr>
                <w:rFonts w:hint="eastAsia" w:ascii="宋体" w:hAnsi="宋体" w:eastAsia="宋体" w:cs="宋体"/>
                <w:color w:val="auto"/>
                <w:sz w:val="24"/>
                <w:szCs w:val="24"/>
                <w:highlight w:val="none"/>
                <w:lang w:val="en-US" w:eastAsia="zh-CN"/>
              </w:rPr>
              <w:t>交流电缆，属于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w:t>
            </w:r>
            <w:r>
              <w:rPr>
                <w:rFonts w:hint="eastAsia" w:ascii="宋体" w:hAnsi="宋体" w:eastAsia="宋体" w:cs="宋体"/>
                <w:color w:val="auto"/>
                <w:sz w:val="24"/>
                <w:szCs w:val="24"/>
                <w:highlight w:val="none"/>
                <w:lang w:val="en-US" w:eastAsia="zh-CN"/>
              </w:rPr>
              <w:t>桥架，属于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21、</w:t>
            </w:r>
            <w:r>
              <w:rPr>
                <w:rFonts w:hint="eastAsia" w:ascii="宋体" w:hAnsi="宋体" w:eastAsia="宋体" w:cs="宋体"/>
                <w:color w:val="auto"/>
                <w:sz w:val="24"/>
                <w:szCs w:val="24"/>
                <w:highlight w:val="none"/>
                <w:lang w:val="en-US" w:eastAsia="zh-CN"/>
              </w:rPr>
              <w:t>接地，属于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能耗监测系统软件，属于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zh-CN"/>
              </w:rPr>
              <w:t>交换机，属于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抄表采集系统，属于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zh-CN"/>
              </w:rPr>
              <w:t>多表远传设备，属于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26、</w:t>
            </w:r>
            <w:r>
              <w:rPr>
                <w:rFonts w:hint="eastAsia" w:ascii="宋体" w:hAnsi="宋体" w:eastAsia="宋体" w:cs="宋体"/>
                <w:color w:val="auto"/>
                <w:sz w:val="24"/>
                <w:szCs w:val="24"/>
                <w:highlight w:val="none"/>
                <w:lang w:val="en-US" w:eastAsia="zh-CN"/>
              </w:rPr>
              <w:t>抄表采集系统1，属于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抄表采集系统2，属于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default"/>
                <w:color w:val="auto"/>
                <w:highlight w:val="none"/>
                <w:lang w:val="en-US" w:eastAsia="zh-CN"/>
              </w:rPr>
            </w:pPr>
            <w:r>
              <w:rPr>
                <w:rFonts w:hint="eastAsia" w:ascii="宋体" w:hAnsi="宋体" w:eastAsia="宋体" w:cs="宋体"/>
                <w:color w:val="auto"/>
                <w:sz w:val="24"/>
                <w:szCs w:val="24"/>
                <w:highlight w:val="none"/>
                <w:lang w:val="en-US" w:eastAsia="zh-CN"/>
              </w:rPr>
              <w:t>28、配线，属于</w:t>
            </w:r>
            <w:r>
              <w:rPr>
                <w:rFonts w:hint="eastAsia" w:ascii="宋体" w:hAnsi="宋体" w:eastAsia="宋体" w:cs="宋体"/>
                <w:color w:val="auto"/>
                <w:sz w:val="24"/>
                <w:szCs w:val="24"/>
                <w:highlight w:val="none"/>
                <w:u w:val="single"/>
                <w:lang w:val="en-US" w:eastAsia="zh-CN"/>
              </w:rPr>
              <w:t xml:space="preserve"> 工业  </w:t>
            </w:r>
            <w:r>
              <w:rPr>
                <w:rFonts w:hint="eastAsia" w:ascii="宋体" w:hAnsi="宋体" w:eastAsia="宋体" w:cs="宋体"/>
                <w:color w:val="auto"/>
                <w:sz w:val="24"/>
                <w:szCs w:val="24"/>
                <w:highlight w:val="none"/>
                <w:lang w:val="en-US" w:eastAsia="zh-CN"/>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20" w:hRule="atLeast"/>
          <w:tblHeader/>
        </w:trPr>
        <w:tc>
          <w:tcPr>
            <w:tcW w:w="629" w:type="dxa"/>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550" w:type="dxa"/>
            <w:vAlign w:val="center"/>
          </w:tcPr>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82842570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本项目不允许采购进口产品。</w:t>
            </w:r>
          </w:p>
          <w:p>
            <w:pPr>
              <w:spacing w:line="360" w:lineRule="auto"/>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52852824"/>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可以就采购进口产品。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25" w:hRule="atLeast"/>
          <w:tblHeader/>
        </w:trPr>
        <w:tc>
          <w:tcPr>
            <w:tcW w:w="629"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vAlign w:val="center"/>
          </w:tcPr>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550" w:type="dxa"/>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7286927"/>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27633135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00A8"/>
                    </w:r>
                  </w:sdtContent>
                </w:sdt>
                <w:r>
                  <w:rPr>
                    <w:rFonts w:hint="eastAsia" w:ascii="宋体" w:hAnsi="宋体" w:eastAsia="宋体" w:cs="宋体"/>
                    <w:color w:val="auto"/>
                    <w:kern w:val="0"/>
                    <w:sz w:val="24"/>
                    <w:highlight w:val="none"/>
                  </w:rPr>
                  <w:t xml:space="preserve"> </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lang w:val="en-US" w:eastAsia="zh-CN"/>
              </w:rPr>
              <w:t xml:space="preserve">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工作分包。</w:t>
            </w:r>
          </w:p>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27633135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00FE"/>
                </w:r>
              </w:sdtContent>
            </w:sdt>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10" w:hRule="atLeast"/>
          <w:tblHeader/>
        </w:trPr>
        <w:tc>
          <w:tcPr>
            <w:tcW w:w="629" w:type="dxa"/>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550" w:type="dxa"/>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2966419"/>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27633135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00FE"/>
                    </w:r>
                  </w:sdtContent>
                </w:sdt>
                <w:r>
                  <w:rPr>
                    <w:rFonts w:hint="eastAsia" w:ascii="宋体" w:hAnsi="宋体" w:eastAsia="宋体" w:cs="宋体"/>
                    <w:color w:val="auto"/>
                    <w:kern w:val="0"/>
                    <w:sz w:val="24"/>
                    <w:highlight w:val="none"/>
                  </w:rPr>
                  <w:t xml:space="preserve"> </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pPr>
              <w:spacing w:line="360" w:lineRule="auto"/>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999802974"/>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时间：,地点：，联系人：，联系方式：</w:t>
            </w:r>
            <w:r>
              <w:rPr>
                <w:rFonts w:hint="eastAsia" w:ascii="宋体" w:hAnsi="宋体" w:eastAsia="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550" w:type="dxa"/>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639946486"/>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
                  <w:sdtPr>
                    <w:rPr>
                      <w:rFonts w:hint="eastAsia" w:ascii="宋体" w:hAnsi="宋体" w:eastAsia="宋体" w:cs="宋体"/>
                      <w:color w:val="auto"/>
                      <w:kern w:val="0"/>
                      <w:sz w:val="24"/>
                      <w:highlight w:val="none"/>
                    </w:rPr>
                    <w:id w:val="-127633135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00FE"/>
                    </w:r>
                  </w:sdtContent>
                </w:sdt>
                <w:r>
                  <w:rPr>
                    <w:rFonts w:hint="eastAsia" w:ascii="宋体" w:hAnsi="宋体" w:eastAsia="宋体" w:cs="宋体"/>
                    <w:color w:val="auto"/>
                    <w:kern w:val="0"/>
                    <w:sz w:val="24"/>
                    <w:highlight w:val="none"/>
                  </w:rPr>
                  <w:t xml:space="preserve"> </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026831988"/>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B要求提供，</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评标办法</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sdt>
              <w:sdtPr>
                <w:rPr>
                  <w:rFonts w:hint="eastAsia" w:ascii="宋体" w:hAnsi="宋体" w:eastAsia="宋体" w:cs="宋体"/>
                  <w:color w:val="auto"/>
                  <w:kern w:val="0"/>
                  <w:sz w:val="24"/>
                  <w:highlight w:val="none"/>
                </w:rPr>
                <w:id w:val="1303421454"/>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否；</w:t>
            </w:r>
            <w:sdt>
              <w:sdtPr>
                <w:rPr>
                  <w:rFonts w:hint="eastAsia" w:ascii="宋体" w:hAnsi="宋体" w:eastAsia="宋体" w:cs="宋体"/>
                  <w:color w:val="auto"/>
                  <w:kern w:val="0"/>
                  <w:sz w:val="24"/>
                  <w:highlight w:val="none"/>
                </w:rPr>
                <w:id w:val="1621728433"/>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kern w:val="0"/>
                <w:sz w:val="24"/>
                <w:highlight w:val="none"/>
              </w:rPr>
              <w:t>；地点：；联系人</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vAlign w:val="center"/>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550" w:type="dxa"/>
            <w:vAlign w:val="center"/>
          </w:tcPr>
          <w:p>
            <w:pPr>
              <w:spacing w:line="360" w:lineRule="auto"/>
              <w:ind w:firstLine="120" w:firstLineChars="50"/>
              <w:rPr>
                <w:rFonts w:ascii="宋体" w:hAnsi="宋体" w:cs="宋体"/>
                <w:color w:val="auto"/>
                <w:sz w:val="24"/>
                <w:highlight w:val="none"/>
              </w:rPr>
            </w:pPr>
            <w:sdt>
              <w:sdtPr>
                <w:rPr>
                  <w:rFonts w:hint="eastAsia" w:ascii="宋体" w:hAnsi="宋体" w:eastAsia="宋体" w:cs="宋体"/>
                  <w:color w:val="auto"/>
                  <w:kern w:val="0"/>
                  <w:sz w:val="24"/>
                  <w:highlight w:val="none"/>
                </w:rPr>
                <w:id w:val="-1859348549"/>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276331357"/>
                    <w:showingPlcHdr/>
                  </w:sdtPr>
                  <w:sdtEndPr>
                    <w:rPr>
                      <w:rFonts w:hint="eastAsia" w:ascii="宋体" w:hAnsi="宋体" w:eastAsia="宋体" w:cs="宋体"/>
                      <w:color w:val="auto"/>
                      <w:kern w:val="0"/>
                      <w:sz w:val="24"/>
                      <w:highlight w:val="none"/>
                    </w:rPr>
                  </w:sdtEndPr>
                  <w:sdtContent/>
                </w:sdt>
              </w:sdtContent>
            </w:sdt>
            <w:r>
              <w:rPr>
                <w:rFonts w:ascii="Wingdings" w:hAnsi="Wingdings" w:cs="宋体"/>
                <w:color w:val="auto"/>
                <w:kern w:val="0"/>
                <w:sz w:val="24"/>
                <w:highlight w:val="none"/>
              </w:rPr>
              <w:sym w:font="Wingdings" w:char="00FE"/>
            </w:r>
            <w:r>
              <w:rPr>
                <w:rFonts w:hint="eastAsia" w:ascii="宋体" w:hAnsi="宋体" w:cs="宋体"/>
                <w:color w:val="auto"/>
                <w:sz w:val="24"/>
                <w:highlight w:val="none"/>
              </w:rPr>
              <w:t>A不组织。</w:t>
            </w:r>
          </w:p>
          <w:p>
            <w:pPr>
              <w:spacing w:line="360" w:lineRule="auto"/>
              <w:rPr>
                <w:rFonts w:ascii="宋体" w:hAnsi="宋体" w:cs="宋体"/>
                <w:color w:val="auto"/>
                <w:sz w:val="24"/>
                <w:highlight w:val="none"/>
              </w:rPr>
            </w:pPr>
            <w:r>
              <w:rPr>
                <w:rFonts w:ascii="Wingdings" w:hAnsi="Wingdings" w:cs="宋体"/>
                <w:color w:val="auto"/>
                <w:kern w:val="0"/>
                <w:sz w:val="24"/>
                <w:highlight w:val="none"/>
              </w:rPr>
              <w:sym w:font="Wingdings" w:char="00A8"/>
            </w:r>
            <w:r>
              <w:rPr>
                <w:rFonts w:hint="eastAsia" w:ascii="宋体" w:hAnsi="宋体" w:cs="宋体"/>
                <w:color w:val="auto"/>
                <w:sz w:val="24"/>
                <w:highlight w:val="none"/>
              </w:rPr>
              <w:t>B组织。</w:t>
            </w:r>
          </w:p>
          <w:p>
            <w:pPr>
              <w:spacing w:line="360" w:lineRule="auto"/>
              <w:rPr>
                <w:rFonts w:ascii="宋体" w:hAnsi="宋体" w:cs="宋体"/>
                <w:color w:val="auto"/>
                <w:sz w:val="24"/>
                <w:highlight w:val="none"/>
              </w:rPr>
            </w:pPr>
            <w:r>
              <w:rPr>
                <w:rFonts w:hint="eastAsia" w:ascii="宋体" w:hAnsi="宋体" w:cs="宋体"/>
                <w:color w:val="auto"/>
                <w:sz w:val="24"/>
                <w:highlight w:val="none"/>
              </w:rPr>
              <w:t>产品演示注意事项：</w:t>
            </w:r>
          </w:p>
          <w:p>
            <w:pPr>
              <w:spacing w:line="360" w:lineRule="auto"/>
              <w:rPr>
                <w:rFonts w:ascii="宋体" w:hAnsi="宋体" w:cs="宋体"/>
                <w:color w:val="auto"/>
                <w:sz w:val="24"/>
                <w:highlight w:val="none"/>
              </w:rPr>
            </w:pPr>
            <w:r>
              <w:rPr>
                <w:rFonts w:hint="eastAsia" w:ascii="宋体" w:hAnsi="宋体" w:cs="宋体"/>
                <w:color w:val="auto"/>
                <w:sz w:val="24"/>
                <w:highlight w:val="none"/>
              </w:rPr>
              <w:t>（1）演示产品为：</w:t>
            </w:r>
          </w:p>
          <w:p>
            <w:pPr>
              <w:spacing w:line="360" w:lineRule="auto"/>
              <w:rPr>
                <w:rFonts w:ascii="宋体" w:hAnsi="宋体" w:cs="宋体"/>
                <w:color w:val="auto"/>
                <w:sz w:val="24"/>
                <w:highlight w:val="none"/>
              </w:rPr>
            </w:pPr>
            <w:r>
              <w:rPr>
                <w:rFonts w:ascii="宋体" w:hAnsi="宋体" w:cs="宋体"/>
                <w:color w:val="auto"/>
                <w:sz w:val="24"/>
                <w:highlight w:val="none"/>
              </w:rPr>
              <w:t>（</w:t>
            </w:r>
            <w:r>
              <w:rPr>
                <w:rFonts w:hint="eastAsia" w:ascii="宋体" w:hAnsi="宋体" w:cs="宋体"/>
                <w:color w:val="auto"/>
                <w:sz w:val="24"/>
                <w:highlight w:val="none"/>
              </w:rPr>
              <w:t>2</w:t>
            </w:r>
            <w:r>
              <w:rPr>
                <w:rFonts w:ascii="宋体" w:hAnsi="宋体" w:cs="宋体"/>
                <w:color w:val="auto"/>
                <w:sz w:val="24"/>
                <w:highlight w:val="none"/>
              </w:rPr>
              <w:t>）</w:t>
            </w:r>
            <w:r>
              <w:rPr>
                <w:rFonts w:hint="eastAsia" w:ascii="宋体" w:hAnsi="宋体" w:cs="宋体"/>
                <w:color w:val="auto"/>
                <w:sz w:val="24"/>
                <w:highlight w:val="none"/>
              </w:rPr>
              <w:t>本项目须进行产品演示，具体要求见招标文件“招标需求”、“评标办法及评分标准”演示相关内容。</w:t>
            </w:r>
          </w:p>
          <w:p>
            <w:pPr>
              <w:snapToGrid w:val="0"/>
              <w:spacing w:line="360" w:lineRule="auto"/>
              <w:rPr>
                <w:rFonts w:ascii="宋体" w:hAnsi="宋体" w:cs="宋体"/>
                <w:color w:val="auto"/>
                <w:kern w:val="0"/>
                <w:sz w:val="24"/>
                <w:highlight w:val="none"/>
              </w:rPr>
            </w:pPr>
            <w:r>
              <w:rPr>
                <w:rFonts w:ascii="宋体" w:hAnsi="宋体" w:cs="宋体"/>
                <w:color w:val="auto"/>
                <w:sz w:val="24"/>
                <w:highlight w:val="none"/>
              </w:rPr>
              <w:t>（</w:t>
            </w:r>
            <w:r>
              <w:rPr>
                <w:rFonts w:hint="eastAsia" w:ascii="宋体" w:hAnsi="宋体" w:cs="宋体"/>
                <w:color w:val="auto"/>
                <w:sz w:val="24"/>
                <w:highlight w:val="none"/>
              </w:rPr>
              <w:t>3</w:t>
            </w:r>
            <w:r>
              <w:rPr>
                <w:rFonts w:ascii="宋体" w:hAnsi="宋体" w:cs="宋体"/>
                <w:color w:val="auto"/>
                <w:sz w:val="24"/>
                <w:highlight w:val="none"/>
              </w:rPr>
              <w:t>）</w:t>
            </w:r>
            <w:r>
              <w:rPr>
                <w:rFonts w:hint="eastAsia" w:ascii="宋体" w:hAnsi="宋体" w:cs="宋体"/>
                <w:color w:val="auto"/>
                <w:kern w:val="0"/>
                <w:sz w:val="24"/>
                <w:highlight w:val="none"/>
              </w:rPr>
              <w:t>在评标时安排每个投标人进行方案讲解演示。每个投标人时间不超过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人。讲解演示结束后按要求解答评标委员会提问。</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（4）方案讲解演示按以下方式：采云平台在线讲解演示。政采云平台在线讲解需投标人根据政采云平台操作要求做好准备工作，提前完善软硬件配置环境。</w:t>
            </w:r>
          </w:p>
          <w:p>
            <w:pPr>
              <w:snapToGrid w:val="0"/>
              <w:spacing w:line="360" w:lineRule="auto"/>
              <w:rPr>
                <w:rFonts w:hint="eastAsia" w:ascii="宋体" w:hAnsi="宋体" w:eastAsia="宋体" w:cs="宋体"/>
                <w:b/>
                <w:color w:val="auto"/>
                <w:kern w:val="0"/>
                <w:sz w:val="24"/>
                <w:highlight w:val="none"/>
                <w:lang w:val="zh-CN"/>
              </w:rPr>
            </w:pPr>
            <w:r>
              <w:rPr>
                <w:rFonts w:hint="eastAsia" w:ascii="宋体" w:hAnsi="宋体" w:cs="宋体"/>
                <w:color w:val="auto"/>
                <w:kern w:val="0"/>
                <w:sz w:val="24"/>
                <w:highlight w:val="none"/>
              </w:rPr>
              <w:t>注：投标</w:t>
            </w:r>
            <w:r>
              <w:rPr>
                <w:rFonts w:ascii="宋体" w:hAnsi="宋体" w:cs="宋体"/>
                <w:color w:val="auto"/>
                <w:kern w:val="0"/>
                <w:sz w:val="24"/>
                <w:highlight w:val="none"/>
              </w:rPr>
              <w:t>人在开标前自行先熟悉政采</w:t>
            </w:r>
            <w:r>
              <w:rPr>
                <w:rFonts w:hint="eastAsia" w:ascii="宋体" w:hAnsi="宋体" w:cs="宋体"/>
                <w:color w:val="auto"/>
                <w:kern w:val="0"/>
                <w:sz w:val="24"/>
                <w:highlight w:val="none"/>
              </w:rPr>
              <w:t>云</w:t>
            </w:r>
            <w:r>
              <w:rPr>
                <w:rFonts w:ascii="宋体" w:hAnsi="宋体" w:cs="宋体"/>
                <w:color w:val="auto"/>
                <w:kern w:val="0"/>
                <w:sz w:val="24"/>
                <w:highlight w:val="none"/>
              </w:rPr>
              <w:t>平台的在线演示功能模块操作，</w:t>
            </w:r>
            <w:r>
              <w:rPr>
                <w:rFonts w:hint="eastAsia" w:ascii="宋体" w:hAnsi="宋体" w:cs="宋体"/>
                <w:color w:val="auto"/>
                <w:kern w:val="0"/>
                <w:sz w:val="24"/>
                <w:highlight w:val="none"/>
              </w:rPr>
              <w:t>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blHeader/>
        </w:trPr>
        <w:tc>
          <w:tcPr>
            <w:tcW w:w="629" w:type="dxa"/>
            <w:vMerge w:val="restart"/>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vMerge w:val="restart"/>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550"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1" w:hRule="atLeast"/>
          <w:tblHeader/>
        </w:trPr>
        <w:tc>
          <w:tcPr>
            <w:tcW w:w="629" w:type="dxa"/>
            <w:vMerge w:val="continue"/>
          </w:tcPr>
          <w:p>
            <w:pPr>
              <w:snapToGrid w:val="0"/>
              <w:spacing w:line="360" w:lineRule="auto"/>
              <w:jc w:val="center"/>
              <w:rPr>
                <w:rFonts w:hint="eastAsia" w:ascii="宋体" w:hAnsi="宋体" w:eastAsia="宋体" w:cs="宋体"/>
                <w:color w:val="auto"/>
                <w:sz w:val="24"/>
                <w:highlight w:val="none"/>
              </w:rPr>
            </w:pPr>
          </w:p>
        </w:tc>
        <w:tc>
          <w:tcPr>
            <w:tcW w:w="1843" w:type="dxa"/>
            <w:vMerge w:val="continue"/>
            <w:vAlign w:val="center"/>
          </w:tcPr>
          <w:p>
            <w:pPr>
              <w:snapToGrid w:val="0"/>
              <w:spacing w:line="360" w:lineRule="auto"/>
              <w:jc w:val="center"/>
              <w:rPr>
                <w:rFonts w:hint="eastAsia" w:ascii="宋体" w:hAnsi="宋体" w:eastAsia="宋体" w:cs="宋体"/>
                <w:b/>
                <w:color w:val="auto"/>
                <w:sz w:val="24"/>
                <w:highlight w:val="none"/>
              </w:rPr>
            </w:pPr>
          </w:p>
        </w:tc>
        <w:tc>
          <w:tcPr>
            <w:tcW w:w="6550"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550" w:type="dxa"/>
            <w:vAlign w:val="center"/>
          </w:tcPr>
          <w:p>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665" w:hRule="atLeast"/>
          <w:tblHeader/>
        </w:trPr>
        <w:tc>
          <w:tcPr>
            <w:tcW w:w="629" w:type="dxa"/>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550" w:type="dxa"/>
            <w:vAlign w:val="center"/>
          </w:tcPr>
          <w:p>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b/>
                <w:bCs/>
                <w:color w:val="auto"/>
                <w:kern w:val="0"/>
                <w:sz w:val="24"/>
                <w:highlight w:val="none"/>
                <w:lang w:val="zh-CN"/>
              </w:rPr>
              <w:t>投标文件</w:t>
            </w:r>
            <w:r>
              <w:rPr>
                <w:rFonts w:hint="eastAsia" w:ascii="宋体" w:hAnsi="宋体" w:eastAsia="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提醒：验收时检测费用由</w:t>
            </w:r>
            <w:r>
              <w:rPr>
                <w:rFonts w:hint="eastAsia" w:ascii="宋体" w:hAnsi="宋体" w:eastAsia="宋体" w:cs="宋体"/>
                <w:b/>
                <w:color w:val="auto"/>
                <w:kern w:val="0"/>
                <w:sz w:val="24"/>
                <w:highlight w:val="none"/>
              </w:rPr>
              <w:t>中标</w:t>
            </w:r>
            <w:r>
              <w:rPr>
                <w:rFonts w:hint="eastAsia" w:ascii="宋体" w:hAnsi="宋体" w:eastAsia="宋体" w:cs="宋体"/>
                <w:b/>
                <w:color w:val="auto"/>
                <w:kern w:val="0"/>
                <w:sz w:val="24"/>
                <w:highlight w:val="none"/>
                <w:lang w:val="zh-CN"/>
              </w:rPr>
              <w:t>人承担，包含在投标总价中。</w:t>
            </w:r>
          </w:p>
          <w:p>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投标报价超过招标文件中规定的预算金额或者最高限价的</w:t>
            </w:r>
            <w:r>
              <w:rPr>
                <w:rFonts w:hint="eastAsia" w:ascii="宋体" w:hAnsi="宋体" w:cs="宋体"/>
                <w:b/>
                <w:color w:val="auto"/>
                <w:kern w:val="0"/>
                <w:sz w:val="24"/>
                <w:highlight w:val="none"/>
                <w:lang w:val="zh-CN"/>
              </w:rPr>
              <w:t>；</w:t>
            </w:r>
          </w:p>
          <w:p>
            <w:pPr>
              <w:spacing w:line="360" w:lineRule="auto"/>
              <w:ind w:firstLine="241" w:firstLineChars="100"/>
              <w:rPr>
                <w:rFonts w:hint="eastAsia" w:ascii="宋体" w:hAnsi="宋体" w:eastAsia="宋体" w:cs="宋体"/>
                <w:b/>
                <w:color w:val="auto"/>
                <w:sz w:val="24"/>
                <w:highlight w:val="none"/>
                <w:lang w:eastAsia="zh-CN"/>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lang w:eastAsia="zh-CN"/>
              </w:rPr>
              <w:t>；</w:t>
            </w:r>
          </w:p>
          <w:p>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73" w:hRule="atLeast"/>
          <w:tblHeader/>
        </w:trPr>
        <w:tc>
          <w:tcPr>
            <w:tcW w:w="629" w:type="dxa"/>
            <w:vAlign w:val="center"/>
          </w:tcPr>
          <w:p>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11</w:t>
            </w:r>
          </w:p>
        </w:tc>
        <w:tc>
          <w:tcPr>
            <w:tcW w:w="1843" w:type="dxa"/>
            <w:vAlign w:val="center"/>
          </w:tcPr>
          <w:p>
            <w:pPr>
              <w:snapToGrid w:val="0"/>
              <w:spacing w:line="240" w:lineRule="auto"/>
              <w:jc w:val="center"/>
              <w:rPr>
                <w:rFonts w:hint="eastAsia" w:ascii="宋体" w:hAnsi="宋体" w:cs="宋体"/>
                <w:b/>
                <w:color w:val="auto"/>
                <w:sz w:val="24"/>
                <w:highlight w:val="none"/>
              </w:rPr>
            </w:pPr>
            <w:r>
              <w:rPr>
                <w:rFonts w:hint="eastAsia" w:ascii="宋体" w:hAnsi="宋体" w:cs="宋体"/>
                <w:b/>
                <w:color w:val="auto"/>
                <w:sz w:val="24"/>
                <w:highlight w:val="none"/>
              </w:rPr>
              <w:t>中小企业信用</w:t>
            </w:r>
          </w:p>
          <w:p>
            <w:pPr>
              <w:snapToGrid w:val="0"/>
              <w:jc w:val="center"/>
              <w:rPr>
                <w:rFonts w:hint="eastAsia" w:ascii="宋体" w:hAnsi="宋体" w:eastAsia="宋体" w:cs="宋体"/>
                <w:color w:val="auto"/>
                <w:kern w:val="2"/>
                <w:sz w:val="21"/>
                <w:szCs w:val="24"/>
                <w:highlight w:val="none"/>
                <w:lang w:val="en-US" w:eastAsia="zh-CN" w:bidi="ar-SA"/>
              </w:rPr>
            </w:pPr>
            <w:r>
              <w:rPr>
                <w:rFonts w:hint="eastAsia" w:ascii="宋体" w:hAnsi="宋体" w:cs="宋体"/>
                <w:b/>
                <w:color w:val="auto"/>
                <w:sz w:val="24"/>
                <w:highlight w:val="none"/>
              </w:rPr>
              <w:t>融资</w:t>
            </w:r>
          </w:p>
        </w:tc>
        <w:tc>
          <w:tcPr>
            <w:tcW w:w="6550" w:type="dxa"/>
            <w:vAlign w:val="center"/>
          </w:tcPr>
          <w:p>
            <w:pPr>
              <w:spacing w:line="360" w:lineRule="auto"/>
              <w:ind w:firstLine="480" w:firstLineChars="200"/>
              <w:jc w:val="left"/>
              <w:rPr>
                <w:rFonts w:hint="eastAsia" w:ascii="宋体" w:hAnsi="宋体" w:eastAsia="宋体" w:cs="宋体"/>
                <w:color w:val="auto"/>
                <w:kern w:val="2"/>
                <w:sz w:val="21"/>
                <w:szCs w:val="24"/>
                <w:highlight w:val="none"/>
                <w:lang w:val="en-US" w:eastAsia="zh-CN" w:bidi="ar-SA"/>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r>
              <w:rPr>
                <w:rFonts w:hint="eastAsia" w:cs="宋体" w:asciiTheme="minorEastAsia" w:hAnsiTheme="minorEastAsia" w:eastAsiaTheme="minorEastAsia"/>
                <w:snapToGrid w:val="0"/>
                <w:color w:val="auto"/>
                <w:kern w:val="28"/>
                <w:sz w:val="24"/>
                <w:highlight w:val="none"/>
              </w:rPr>
              <w:t>具体可咨询建德市财政局采购办，联系电话：0571-89606885.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vAlign w:val="center"/>
          </w:tcPr>
          <w:p>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12</w:t>
            </w:r>
          </w:p>
        </w:tc>
        <w:tc>
          <w:tcPr>
            <w:tcW w:w="1843" w:type="dxa"/>
            <w:vAlign w:val="center"/>
          </w:tcPr>
          <w:p>
            <w:pPr>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 xml:space="preserve">备份投标文件送达地点和签收人员 </w:t>
            </w:r>
          </w:p>
        </w:tc>
        <w:tc>
          <w:tcPr>
            <w:tcW w:w="6550" w:type="dxa"/>
            <w:vAlign w:val="center"/>
          </w:tcPr>
          <w:p>
            <w:pPr>
              <w:pStyle w:val="35"/>
              <w:spacing w:line="360" w:lineRule="auto"/>
              <w:rPr>
                <w:rFonts w:hint="eastAsia" w:ascii="宋体" w:hAnsi="宋体" w:eastAsia="宋体" w:cs="宋体"/>
                <w:snapToGrid w:val="0"/>
                <w:color w:val="auto"/>
                <w:kern w:val="28"/>
                <w:sz w:val="24"/>
                <w:szCs w:val="21"/>
                <w:highlight w:val="none"/>
                <w:lang w:val="en-US" w:eastAsia="zh-CN" w:bidi="ar-SA"/>
              </w:rPr>
            </w:pPr>
            <w:r>
              <w:rPr>
                <w:rFonts w:hint="eastAsia" w:ascii="宋体" w:hAnsi="宋体" w:eastAsia="宋体" w:cs="宋体"/>
                <w:snapToGrid w:val="0"/>
                <w:color w:val="auto"/>
                <w:kern w:val="28"/>
                <w:sz w:val="24"/>
                <w:szCs w:val="24"/>
                <w:highlight w:val="none"/>
                <w:lang w:val="en-US" w:eastAsia="zh-CN" w:bidi="ar-SA"/>
              </w:rPr>
              <w:t>备份投标文件送达地点：</w:t>
            </w:r>
            <w:r>
              <w:rPr>
                <w:rFonts w:hint="eastAsia" w:ascii="宋体" w:hAnsi="宋体" w:eastAsia="宋体" w:cs="宋体"/>
                <w:snapToGrid w:val="0"/>
                <w:color w:val="auto"/>
                <w:kern w:val="28"/>
                <w:sz w:val="24"/>
                <w:szCs w:val="24"/>
                <w:highlight w:val="none"/>
                <w:u w:val="single"/>
                <w:lang w:val="en-US" w:eastAsia="zh-CN" w:bidi="ar-SA"/>
              </w:rPr>
              <w:t>浙江省建德市新安江街道红枫商场15号二层</w:t>
            </w:r>
            <w:r>
              <w:rPr>
                <w:rFonts w:hint="eastAsia" w:ascii="宋体" w:hAnsi="宋体" w:eastAsia="宋体" w:cs="宋体"/>
                <w:snapToGrid w:val="0"/>
                <w:color w:val="auto"/>
                <w:kern w:val="28"/>
                <w:sz w:val="24"/>
                <w:szCs w:val="24"/>
                <w:highlight w:val="none"/>
                <w:lang w:val="en-US" w:eastAsia="zh-CN" w:bidi="ar-SA"/>
              </w:rPr>
              <w:t>；备份投标文件签收人员联系电话：</w:t>
            </w:r>
            <w:r>
              <w:rPr>
                <w:rFonts w:hint="eastAsia" w:ascii="宋体" w:hAnsi="宋体" w:eastAsia="宋体" w:cs="宋体"/>
                <w:snapToGrid w:val="0"/>
                <w:color w:val="auto"/>
                <w:kern w:val="28"/>
                <w:sz w:val="24"/>
                <w:szCs w:val="24"/>
                <w:highlight w:val="none"/>
                <w:u w:val="single"/>
                <w:lang w:val="en-US" w:eastAsia="zh-CN" w:bidi="ar-SA"/>
              </w:rPr>
              <w:t>张仲奎、18268883544</w:t>
            </w:r>
            <w:r>
              <w:rPr>
                <w:rFonts w:hint="eastAsia" w:ascii="宋体" w:hAnsi="宋体" w:eastAsia="宋体" w:cs="宋体"/>
                <w:snapToGrid w:val="0"/>
                <w:color w:val="auto"/>
                <w:kern w:val="28"/>
                <w:sz w:val="24"/>
                <w:szCs w:val="24"/>
                <w:highlight w:val="none"/>
                <w:lang w:val="en-US" w:eastAsia="zh-CN" w:bidi="ar-SA"/>
              </w:rPr>
              <w:t>。</w:t>
            </w:r>
            <w:r>
              <w:rPr>
                <w:rFonts w:hint="eastAsia" w:ascii="宋体" w:hAnsi="宋体" w:eastAsia="宋体" w:cs="宋体"/>
                <w:b/>
                <w:bCs/>
                <w:snapToGrid w:val="0"/>
                <w:color w:val="auto"/>
                <w:kern w:val="28"/>
                <w:sz w:val="24"/>
                <w:szCs w:val="24"/>
                <w:highlight w:val="none"/>
                <w:lang w:val="en-US" w:eastAsia="zh-CN" w:bidi="ar-SA"/>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40" w:hRule="atLeast"/>
          <w:tblHeader/>
        </w:trPr>
        <w:tc>
          <w:tcPr>
            <w:tcW w:w="629" w:type="dxa"/>
            <w:vAlign w:val="center"/>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3</w:t>
            </w:r>
          </w:p>
        </w:tc>
        <w:tc>
          <w:tcPr>
            <w:tcW w:w="1843" w:type="dxa"/>
            <w:vAlign w:val="center"/>
          </w:tcPr>
          <w:p>
            <w:pPr>
              <w:snapToGrid w:val="0"/>
              <w:spacing w:line="360" w:lineRule="auto"/>
              <w:jc w:val="center"/>
              <w:rPr>
                <w:rFonts w:hint="eastAsia" w:ascii="宋体" w:hAnsi="宋体" w:eastAsia="宋体" w:cs="宋体"/>
                <w:b/>
                <w:color w:val="auto"/>
                <w:sz w:val="24"/>
                <w:highlight w:val="none"/>
              </w:rPr>
            </w:pPr>
            <w:r>
              <w:rPr>
                <w:rFonts w:hint="eastAsia" w:cs="宋体" w:asciiTheme="minorEastAsia" w:hAnsiTheme="minorEastAsia" w:eastAsiaTheme="minorEastAsia"/>
                <w:b/>
                <w:color w:val="auto"/>
                <w:sz w:val="24"/>
                <w:highlight w:val="none"/>
              </w:rPr>
              <w:t>采购代理服务费</w:t>
            </w:r>
          </w:p>
        </w:tc>
        <w:tc>
          <w:tcPr>
            <w:tcW w:w="6550" w:type="dxa"/>
            <w:vAlign w:val="center"/>
          </w:tcPr>
          <w:sdt>
            <w:sdtPr>
              <w:rPr>
                <w:rFonts w:hint="eastAsia" w:cs="宋体" w:asciiTheme="minorEastAsia" w:hAnsiTheme="minorEastAsia" w:eastAsiaTheme="minorEastAsia"/>
                <w:color w:val="auto"/>
                <w:kern w:val="0"/>
                <w:sz w:val="24"/>
                <w:highlight w:val="none"/>
              </w:rPr>
              <w:id w:val="876584110"/>
            </w:sdtPr>
            <w:sdtEndPr>
              <w:rPr>
                <w:rFonts w:hint="eastAsia" w:cs="宋体" w:asciiTheme="minorEastAsia" w:hAnsiTheme="minorEastAsia" w:eastAsiaTheme="minorEastAsia"/>
                <w:color w:val="auto"/>
                <w:kern w:val="0"/>
                <w:sz w:val="24"/>
                <w:highlight w:val="none"/>
              </w:rPr>
            </w:sdtEndPr>
            <w:sdtContent>
              <w:p>
                <w:pPr>
                  <w:spacing w:line="360" w:lineRule="auto"/>
                  <w:ind w:firstLine="480" w:firstLineChars="200"/>
                  <w:rPr>
                    <w:rFonts w:hint="eastAsia"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876584110"/>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A本项目不收取采购代理服务费。</w:t>
                </w:r>
              </w:p>
              <w:p>
                <w:pPr>
                  <w:spacing w:line="360" w:lineRule="auto"/>
                  <w:rPr>
                    <w:rFonts w:hint="eastAsia" w:ascii="宋体" w:hAnsi="宋体" w:eastAsia="宋体" w:cs="宋体"/>
                    <w:color w:val="auto"/>
                    <w:sz w:val="24"/>
                    <w:highlight w:val="none"/>
                  </w:rPr>
                </w:pPr>
                <w:r>
                  <w:rPr>
                    <w:rFonts w:hint="eastAsia" w:cs="宋体" w:asciiTheme="minorEastAsia" w:hAnsiTheme="minorEastAsia" w:eastAsiaTheme="minorEastAsia"/>
                    <w:color w:val="auto"/>
                    <w:kern w:val="0"/>
                    <w:sz w:val="24"/>
                    <w:highlight w:val="none"/>
                  </w:rPr>
                  <w:t xml:space="preserve"> </w:t>
                </w:r>
                <w:sdt>
                  <w:sdtPr>
                    <w:rPr>
                      <w:rFonts w:hint="eastAsia" w:cs="宋体" w:asciiTheme="minorEastAsia" w:hAnsiTheme="minorEastAsia" w:eastAsiaTheme="minorEastAsia"/>
                      <w:color w:val="auto"/>
                      <w:kern w:val="0"/>
                      <w:sz w:val="24"/>
                      <w:highlight w:val="none"/>
                    </w:rPr>
                    <w:id w:val="876584111"/>
                  </w:sdtPr>
                  <w:sdtEndPr>
                    <w:rPr>
                      <w:rFonts w:hint="eastAsia" w:cs="宋体" w:asciiTheme="minorEastAsia" w:hAnsiTheme="minorEastAsia" w:eastAsiaTheme="minorEastAsia"/>
                      <w:color w:val="auto"/>
                      <w:kern w:val="0"/>
                      <w:sz w:val="24"/>
                      <w:highlight w:val="none"/>
                    </w:rPr>
                  </w:sdtEndPr>
                  <w:sdtContent>
                    <w:sdt>
                      <w:sdtPr>
                        <w:rPr>
                          <w:rFonts w:hint="eastAsia" w:cs="宋体" w:asciiTheme="minorEastAsia" w:hAnsiTheme="minorEastAsia" w:eastAsiaTheme="minorEastAsia"/>
                          <w:color w:val="auto"/>
                          <w:kern w:val="0"/>
                          <w:sz w:val="24"/>
                          <w:highlight w:val="none"/>
                        </w:rPr>
                        <w:id w:val="-101030195"/>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lang w:val="en-US" w:eastAsia="zh-CN"/>
                          </w:rPr>
                          <w:t xml:space="preserve">   </w:t>
                        </w:r>
                        <w:r>
                          <w:rPr>
                            <w:rFonts w:hint="eastAsia" w:cs="宋体" w:asciiTheme="minorEastAsia" w:hAnsiTheme="minorEastAsia" w:eastAsiaTheme="minorEastAsia"/>
                            <w:color w:val="auto"/>
                            <w:kern w:val="0"/>
                            <w:sz w:val="24"/>
                            <w:highlight w:val="none"/>
                          </w:rPr>
                          <w:sym w:font="Wingdings" w:char="00FE"/>
                        </w:r>
                      </w:sdtContent>
                    </w:sdt>
                  </w:sdtContent>
                </w:sdt>
                <w:r>
                  <w:rPr>
                    <w:rFonts w:hint="eastAsia" w:cs="宋体" w:asciiTheme="minorEastAsia" w:hAnsiTheme="minorEastAsia" w:eastAsiaTheme="minorEastAsia"/>
                    <w:color w:val="auto"/>
                    <w:kern w:val="0"/>
                    <w:sz w:val="24"/>
                    <w:highlight w:val="none"/>
                  </w:rPr>
                  <w:t>B本项目收取采购代理服务费。响应总报价应包含采购服务费，采购服务费按国家发展计划委员会计价格[2002]1980 号文《招标代理服务费管理暂行办法》及发改办价格[2003]857号文 收费标准（货物类）计取，人民币</w:t>
                </w:r>
                <w:r>
                  <w:rPr>
                    <w:rFonts w:hint="eastAsia" w:cs="宋体" w:asciiTheme="minorEastAsia" w:hAnsiTheme="minorEastAsia" w:eastAsiaTheme="minorEastAsia"/>
                    <w:color w:val="auto"/>
                    <w:kern w:val="0"/>
                    <w:sz w:val="24"/>
                    <w:highlight w:val="none"/>
                    <w:lang w:val="en-US" w:eastAsia="zh-CN"/>
                  </w:rPr>
                  <w:t>壹万壹仟玖佰玖拾叁</w:t>
                </w:r>
                <w:r>
                  <w:rPr>
                    <w:rFonts w:hint="eastAsia" w:cs="宋体" w:asciiTheme="minorEastAsia" w:hAnsiTheme="minorEastAsia" w:eastAsiaTheme="minorEastAsia"/>
                    <w:color w:val="auto"/>
                    <w:kern w:val="0"/>
                    <w:sz w:val="24"/>
                    <w:highlight w:val="none"/>
                  </w:rPr>
                  <w:fldChar w:fldCharType="begin"/>
                </w:r>
                <w:r>
                  <w:rPr>
                    <w:rFonts w:hint="eastAsia" w:cs="宋体" w:asciiTheme="minorEastAsia" w:hAnsiTheme="minorEastAsia" w:eastAsiaTheme="minorEastAsia"/>
                    <w:color w:val="auto"/>
                    <w:kern w:val="0"/>
                    <w:sz w:val="24"/>
                    <w:highlight w:val="none"/>
                  </w:rPr>
                  <w:instrText xml:space="preserve"> = 6900 \* CHINESENUM4 \* MERGEFORMAT </w:instrText>
                </w:r>
                <w:r>
                  <w:rPr>
                    <w:rFonts w:hint="eastAsia" w:cs="宋体" w:asciiTheme="minorEastAsia" w:hAnsiTheme="minorEastAsia" w:eastAsiaTheme="minorEastAsia"/>
                    <w:color w:val="auto"/>
                    <w:kern w:val="0"/>
                    <w:sz w:val="24"/>
                    <w:highlight w:val="none"/>
                  </w:rPr>
                  <w:fldChar w:fldCharType="separate"/>
                </w:r>
                <w:r>
                  <w:rPr>
                    <w:rFonts w:hint="eastAsia" w:cs="宋体" w:asciiTheme="minorEastAsia" w:hAnsiTheme="minorEastAsia" w:eastAsiaTheme="minorEastAsia"/>
                    <w:color w:val="auto"/>
                    <w:kern w:val="0"/>
                    <w:sz w:val="24"/>
                    <w:highlight w:val="none"/>
                  </w:rPr>
                  <w:t>元整</w:t>
                </w:r>
                <w:r>
                  <w:rPr>
                    <w:rFonts w:hint="eastAsia" w:cs="宋体" w:asciiTheme="minorEastAsia" w:hAnsiTheme="minorEastAsia" w:eastAsiaTheme="minorEastAsia"/>
                    <w:color w:val="auto"/>
                    <w:kern w:val="0"/>
                    <w:sz w:val="24"/>
                    <w:highlight w:val="none"/>
                  </w:rPr>
                  <w:fldChar w:fldCharType="end"/>
                </w:r>
                <w:r>
                  <w:rPr>
                    <w:rFonts w:hint="eastAsia" w:cs="宋体" w:asciiTheme="minorEastAsia" w:hAnsiTheme="minorEastAsia" w:eastAsiaTheme="minorEastAsia"/>
                    <w:color w:val="auto"/>
                    <w:kern w:val="0"/>
                    <w:sz w:val="24"/>
                    <w:highlight w:val="none"/>
                  </w:rPr>
                  <w:t>（¥</w:t>
                </w:r>
                <w:r>
                  <w:rPr>
                    <w:rFonts w:hint="eastAsia" w:cs="宋体" w:asciiTheme="minorEastAsia" w:hAnsiTheme="minorEastAsia" w:eastAsiaTheme="minorEastAsia"/>
                    <w:color w:val="auto"/>
                    <w:kern w:val="0"/>
                    <w:sz w:val="24"/>
                    <w:highlight w:val="none"/>
                    <w:lang w:eastAsia="zh-CN"/>
                  </w:rPr>
                  <w:t>：</w:t>
                </w:r>
                <w:r>
                  <w:rPr>
                    <w:rFonts w:hint="eastAsia" w:cs="宋体" w:asciiTheme="minorEastAsia" w:hAnsiTheme="minorEastAsia" w:eastAsiaTheme="minorEastAsia"/>
                    <w:color w:val="auto"/>
                    <w:kern w:val="0"/>
                    <w:sz w:val="24"/>
                    <w:highlight w:val="none"/>
                  </w:rPr>
                  <w:t>11993.00元），由</w:t>
                </w:r>
                <w:r>
                  <w:rPr>
                    <w:rFonts w:hint="eastAsia" w:cs="宋体" w:asciiTheme="minorEastAsia" w:hAnsiTheme="minorEastAsia" w:eastAsiaTheme="minorEastAsia"/>
                    <w:color w:val="auto"/>
                    <w:kern w:val="0"/>
                    <w:sz w:val="24"/>
                    <w:highlight w:val="none"/>
                    <w:lang w:eastAsia="zh-CN"/>
                  </w:rPr>
                  <w:t>中标供应商</w:t>
                </w:r>
                <w:r>
                  <w:rPr>
                    <w:rFonts w:hint="eastAsia" w:cs="宋体" w:asciiTheme="minorEastAsia" w:hAnsiTheme="minorEastAsia" w:eastAsiaTheme="minorEastAsia"/>
                    <w:color w:val="auto"/>
                    <w:kern w:val="0"/>
                    <w:sz w:val="24"/>
                    <w:highlight w:val="none"/>
                  </w:rPr>
                  <w:t>在领取</w:t>
                </w:r>
                <w:r>
                  <w:rPr>
                    <w:rFonts w:hint="eastAsia" w:cs="宋体" w:asciiTheme="minorEastAsia" w:hAnsiTheme="minorEastAsia" w:eastAsiaTheme="minorEastAsia"/>
                    <w:color w:val="auto"/>
                    <w:kern w:val="0"/>
                    <w:sz w:val="24"/>
                    <w:highlight w:val="none"/>
                    <w:lang w:eastAsia="zh-CN"/>
                  </w:rPr>
                  <w:t>中标</w:t>
                </w:r>
                <w:r>
                  <w:rPr>
                    <w:rFonts w:hint="eastAsia" w:cs="宋体" w:asciiTheme="minorEastAsia" w:hAnsiTheme="minorEastAsia" w:eastAsiaTheme="minorEastAsia"/>
                    <w:color w:val="auto"/>
                    <w:kern w:val="0"/>
                    <w:sz w:val="24"/>
                    <w:highlight w:val="none"/>
                  </w:rPr>
                  <w:t>通知书时支付给采购代理公司。</w:t>
                </w:r>
              </w:p>
            </w:sdtContent>
          </w:sdt>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4</w:t>
            </w:r>
          </w:p>
        </w:tc>
        <w:tc>
          <w:tcPr>
            <w:tcW w:w="1843" w:type="dxa"/>
            <w:vMerge w:val="restart"/>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550" w:type="dxa"/>
            <w:vAlign w:val="center"/>
          </w:tcPr>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continue"/>
            <w:vAlign w:val="center"/>
          </w:tcPr>
          <w:p>
            <w:pPr>
              <w:snapToGrid w:val="0"/>
              <w:spacing w:line="360" w:lineRule="auto"/>
              <w:jc w:val="center"/>
              <w:rPr>
                <w:rFonts w:hint="eastAsia" w:ascii="宋体" w:hAnsi="宋体" w:eastAsia="宋体" w:cs="宋体"/>
                <w:color w:val="auto"/>
                <w:sz w:val="24"/>
                <w:highlight w:val="none"/>
              </w:rPr>
            </w:pPr>
          </w:p>
        </w:tc>
        <w:tc>
          <w:tcPr>
            <w:tcW w:w="1843" w:type="dxa"/>
            <w:vMerge w:val="continue"/>
            <w:vAlign w:val="center"/>
          </w:tcPr>
          <w:p>
            <w:pPr>
              <w:snapToGrid w:val="0"/>
              <w:spacing w:line="360" w:lineRule="auto"/>
              <w:jc w:val="center"/>
              <w:rPr>
                <w:rFonts w:hint="eastAsia" w:ascii="宋体" w:hAnsi="宋体" w:eastAsia="宋体" w:cs="宋体"/>
                <w:b/>
                <w:color w:val="auto"/>
                <w:sz w:val="24"/>
                <w:highlight w:val="none"/>
              </w:rPr>
            </w:pPr>
          </w:p>
        </w:tc>
        <w:tc>
          <w:tcPr>
            <w:tcW w:w="6550" w:type="dxa"/>
            <w:vAlign w:val="center"/>
          </w:tcPr>
          <w:p>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369766551"/>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052570136"/>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bl>
    <w:p>
      <w:pPr>
        <w:snapToGrid w:val="0"/>
        <w:spacing w:line="360" w:lineRule="auto"/>
        <w:jc w:val="center"/>
        <w:rPr>
          <w:rFonts w:hint="eastAsia" w:ascii="宋体" w:hAnsi="宋体" w:eastAsia="宋体" w:cs="宋体"/>
          <w:b/>
          <w:color w:val="auto"/>
          <w:sz w:val="32"/>
          <w:szCs w:val="20"/>
          <w:highlight w:val="none"/>
        </w:rPr>
      </w:pPr>
    </w:p>
    <w:bookmarkEnd w:id="10"/>
    <w:p>
      <w:pPr>
        <w:adjustRightInd/>
        <w:spacing w:line="360" w:lineRule="auto"/>
        <w:ind w:firstLine="3845" w:firstLineChars="1197"/>
        <w:outlineLvl w:val="0"/>
        <w:rPr>
          <w:rFonts w:hint="eastAsia" w:ascii="宋体" w:hAnsi="宋体" w:eastAsia="宋体" w:cs="宋体"/>
          <w:b/>
          <w:color w:val="auto"/>
          <w:sz w:val="32"/>
          <w:szCs w:val="20"/>
          <w:highlight w:val="none"/>
        </w:rPr>
      </w:pPr>
      <w:bookmarkStart w:id="13" w:name="_Toc164416483"/>
      <w:bookmarkStart w:id="14" w:name="第三部分"/>
      <w:r>
        <w:rPr>
          <w:rFonts w:hint="eastAsia" w:ascii="宋体" w:hAnsi="宋体" w:eastAsia="宋体" w:cs="宋体"/>
          <w:b/>
          <w:color w:val="auto"/>
          <w:sz w:val="32"/>
          <w:szCs w:val="20"/>
          <w:highlight w:val="none"/>
        </w:rPr>
        <w:t>一、总则</w:t>
      </w:r>
    </w:p>
    <w:p>
      <w:pPr>
        <w:snapToGrid w:val="0"/>
        <w:spacing w:line="360" w:lineRule="auto"/>
        <w:ind w:firstLine="361" w:firstLineChars="15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2.定义</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“采购代理机构”系指招标公告中载明的本项目的采购代理机构。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2.6“电子交易平台”系指本项目政府采购活动所依托的政府采购云平台（https://www.zcygov.cn/）。</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sdt>
        <w:sdtPr>
          <w:rPr>
            <w:rFonts w:hint="eastAsia" w:ascii="宋体" w:hAnsi="宋体" w:eastAsia="宋体" w:cs="宋体"/>
            <w:color w:val="auto"/>
            <w:kern w:val="0"/>
            <w:sz w:val="24"/>
            <w:highlight w:val="none"/>
          </w:rPr>
          <w:id w:val="512970236"/>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512970236"/>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82842570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sdtContent>
          </w:sdt>
        </w:sdtContent>
      </w:sdt>
      <w:r>
        <w:rPr>
          <w:rFonts w:hint="eastAsia" w:ascii="宋体" w:hAnsi="宋体" w:eastAsia="宋体" w:cs="宋体"/>
          <w:color w:val="auto"/>
          <w:sz w:val="24"/>
          <w:highlight w:val="none"/>
        </w:rPr>
        <w:t>”系指适用本项目的要求，“</w:t>
      </w:r>
      <w:sdt>
        <w:sdtPr>
          <w:rPr>
            <w:rFonts w:hint="eastAsia" w:ascii="宋体" w:hAnsi="宋体" w:eastAsia="宋体" w:cs="宋体"/>
            <w:color w:val="auto"/>
            <w:kern w:val="0"/>
            <w:sz w:val="24"/>
            <w:highlight w:val="none"/>
          </w:rPr>
          <w:id w:val="404888855"/>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3.采购项目需要落实的政府采购政策</w:t>
      </w:r>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eastAsia="宋体" w:cs="宋体"/>
          <w:color w:val="auto"/>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eastAsia="宋体" w:cs="宋体"/>
          <w:color w:val="auto"/>
          <w:sz w:val="24"/>
          <w:highlight w:val="none"/>
        </w:rPr>
        <w:t>联合协议或者分包意向协议约定小微企业的合同份额占到合同总金额30%以上的</w:t>
      </w:r>
      <w:bookmarkEnd w:id="16"/>
      <w:r>
        <w:rPr>
          <w:rFonts w:hint="eastAsia" w:ascii="宋体" w:hAnsi="宋体" w:eastAsia="宋体" w:cs="宋体"/>
          <w:color w:val="auto"/>
          <w:sz w:val="24"/>
          <w:highlight w:val="none"/>
        </w:rPr>
        <w:t>，对联合体或者大中型企业的报价给予6%的扣除，用扣除后的价格参加评审。组成联合体或者接受分包的小微企业与联合体内其他企业、分包企业之间存在直接控股、管理关系的，不享受价格扣除优惠政策。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3.5平等对待内外资企业和符合条件的破产重整企业</w:t>
      </w:r>
    </w:p>
    <w:p>
      <w:pPr>
        <w:spacing w:line="360" w:lineRule="auto"/>
        <w:ind w:firstLine="480" w:firstLineChars="200"/>
        <w:rPr>
          <w:rFonts w:hint="eastAsia" w:ascii="宋体" w:hAnsi="宋体" w:eastAsia="宋体" w:cs="宋体"/>
          <w:b/>
          <w:color w:val="auto"/>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r>
        <w:rPr>
          <w:rFonts w:hint="eastAsia" w:ascii="宋体" w:hAnsi="宋体" w:eastAsia="宋体" w:cs="宋体"/>
          <w:color w:val="auto"/>
          <w:sz w:val="24"/>
          <w:highlight w:val="none"/>
        </w:rPr>
        <w:cr/>
      </w:r>
      <w:r>
        <w:rPr>
          <w:rFonts w:hint="eastAsia" w:ascii="宋体" w:hAnsi="宋体" w:eastAsia="宋体" w:cs="宋体"/>
          <w:b/>
          <w:color w:val="auto"/>
          <w:highlight w:val="none"/>
        </w:rPr>
        <w:t>4. 询问、质疑、投诉</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4.1在线询问、质疑、投诉</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4.2供应商询问</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4.3供应商质疑</w:t>
      </w:r>
    </w:p>
    <w:p>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6"/>
        <w:spacing w:line="360" w:lineRule="auto"/>
        <w:ind w:firstLine="480" w:firstLineChars="200"/>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4.3.2.1对招标文件提出质疑的，质疑期限为供应商获得招标文件之日或者招标文件公告期限届满之日起计算。</w:t>
      </w:r>
    </w:p>
    <w:p>
      <w:pPr>
        <w:pStyle w:val="35"/>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4.3.2.2对采购过程提出质疑的，质疑期限为各采购程序环节结束之日起计算。4.3.2.3对采购结果提出质疑的，质疑期限自采购结果公告期限届满之日起计算。</w:t>
      </w:r>
    </w:p>
    <w:p>
      <w:pPr>
        <w:pStyle w:val="35"/>
        <w:spacing w:line="360" w:lineRule="auto"/>
        <w:ind w:firstLine="456"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pacing w:val="-6"/>
          <w:kern w:val="0"/>
          <w:sz w:val="24"/>
          <w:highlight w:val="none"/>
          <w:lang w:val="zh-CN"/>
        </w:rPr>
        <w:t>4.3.3</w:t>
      </w:r>
      <w:r>
        <w:rPr>
          <w:rFonts w:hint="eastAsia" w:ascii="宋体" w:hAnsi="宋体" w:eastAsia="宋体" w:cs="宋体"/>
          <w:color w:val="auto"/>
          <w:spacing w:val="-6"/>
          <w:sz w:val="24"/>
          <w:highlight w:val="none"/>
        </w:rPr>
        <w:t>供应商提出质疑应当提交质疑函和必要的证明材料。质疑函应当包括下列内容：</w:t>
      </w:r>
    </w:p>
    <w:p>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4.3.3.1供应商的姓名或者名称、地址、邮编、联系人及联系电话；</w:t>
      </w:r>
    </w:p>
    <w:p>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4.3.3.2质疑项目的名称、编号；</w:t>
      </w:r>
    </w:p>
    <w:p>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4.3.3.3具体、明确的质疑事项和与质疑事项相关的请求；</w:t>
      </w:r>
    </w:p>
    <w:p>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4.3.3.4事实依据；</w:t>
      </w:r>
    </w:p>
    <w:p>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4.3.3.5必要的法律依据；</w:t>
      </w:r>
    </w:p>
    <w:p>
      <w:pPr>
        <w:pStyle w:val="35"/>
        <w:spacing w:line="360" w:lineRule="auto"/>
        <w:ind w:firstLine="960" w:firstLineChars="4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4.3.3.6提出质疑的日期。</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4.3.4对同一采购程序环节的质疑，供应商须在法定质疑期内一次性提出。</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.6询问或者质疑事项可能影响采购结果的，采购人应当暂停签订合同，已经签订合同的，应当中止履行合同。</w:t>
      </w:r>
    </w:p>
    <w:p>
      <w:pPr>
        <w:pStyle w:val="889"/>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4.4供应商投诉</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4.4.3供应商投诉应当有明确的请求和必要的证明材料。</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4.4.4 以联合体形式参加政府采购活动的，其投诉应当由组成联合体的所有供应商共同提出。</w:t>
      </w:r>
    </w:p>
    <w:p>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pPr>
        <w:pStyle w:val="13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6.1已获取招标文件的潜在投标人，若有问题需要澄清，应于投标截止时间前，以书面形式向采购代理机构提出。</w:t>
      </w:r>
    </w:p>
    <w:p>
      <w:pPr>
        <w:pStyle w:val="13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rPr>
          <w:rFonts w:hint="eastAsia" w:ascii="宋体" w:hAnsi="宋体" w:eastAsia="宋体" w:cs="宋体"/>
          <w:color w:val="auto"/>
          <w:sz w:val="18"/>
          <w:szCs w:val="18"/>
          <w:highlight w:val="none"/>
          <w:lang w:val="en-US"/>
        </w:rPr>
      </w:pPr>
    </w:p>
    <w:p>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5"/>
        <w:spacing w:line="360" w:lineRule="auto"/>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pPr>
        <w:pStyle w:val="6"/>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pPr>
        <w:snapToGrid w:val="0"/>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11.1资格文件：</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11.1.1符合参加政府采购活动应当具备的一般条件的承诺函；</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11.1.2</w:t>
      </w:r>
      <w:bookmarkStart w:id="17" w:name="_Hlk101259339"/>
      <w:r>
        <w:rPr>
          <w:rFonts w:hint="eastAsia" w:ascii="宋体" w:hAnsi="宋体" w:eastAsia="宋体" w:cs="宋体"/>
          <w:snapToGrid w:val="0"/>
          <w:color w:val="auto"/>
          <w:kern w:val="28"/>
          <w:sz w:val="24"/>
          <w:szCs w:val="20"/>
          <w:highlight w:val="none"/>
        </w:rPr>
        <w:t>联合协议</w:t>
      </w:r>
      <w:bookmarkEnd w:id="17"/>
      <w:r>
        <w:rPr>
          <w:rFonts w:hint="eastAsia" w:ascii="宋体" w:hAnsi="宋体" w:eastAsia="宋体" w:cs="宋体"/>
          <w:snapToGrid w:val="0"/>
          <w:color w:val="auto"/>
          <w:kern w:val="28"/>
          <w:sz w:val="24"/>
          <w:szCs w:val="20"/>
          <w:highlight w:val="none"/>
        </w:rPr>
        <w:t>（如果有)；</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11.1.3落实政府采购政策需满足的资格要求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如果有</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w:t>
      </w:r>
    </w:p>
    <w:p>
      <w:pPr>
        <w:snapToGrid w:val="0"/>
        <w:spacing w:line="360" w:lineRule="auto"/>
        <w:ind w:firstLine="482" w:firstLineChars="2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11.</w:t>
      </w:r>
      <w:r>
        <w:rPr>
          <w:rFonts w:hint="eastAsia" w:ascii="宋体" w:hAnsi="宋体" w:eastAsia="宋体" w:cs="宋体"/>
          <w:b/>
          <w:bCs/>
          <w:color w:val="auto"/>
          <w:sz w:val="24"/>
          <w:highlight w:val="none"/>
        </w:rPr>
        <w:t>2商务技术</w:t>
      </w:r>
      <w:r>
        <w:rPr>
          <w:rFonts w:hint="eastAsia" w:ascii="宋体" w:hAnsi="宋体" w:eastAsia="宋体" w:cs="宋体"/>
          <w:b/>
          <w:bCs/>
          <w:color w:val="auto"/>
          <w:sz w:val="24"/>
          <w:highlight w:val="none"/>
          <w:lang w:val="zh-CN"/>
        </w:rPr>
        <w:t>文件：</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11.2.1投标函；</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11.2.2授权委托书或法定代表人（单位负责人、自然人本人）身份证明；</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11.2.4符合性审查资料；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11.2.5评标标准相应的商务技术资料；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11.2.6投标标的清单；</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11.2.7商务技术偏离表；</w:t>
      </w:r>
    </w:p>
    <w:p>
      <w:pPr>
        <w:snapToGrid w:val="0"/>
        <w:spacing w:line="360" w:lineRule="auto"/>
        <w:ind w:firstLine="960" w:firstLineChars="4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pPr>
        <w:snapToGrid w:val="0"/>
        <w:spacing w:line="360" w:lineRule="auto"/>
        <w:ind w:firstLine="482" w:firstLineChars="200"/>
        <w:rPr>
          <w:rFonts w:hint="eastAsia" w:ascii="宋体" w:hAnsi="宋体" w:eastAsia="宋体" w:cs="宋体"/>
          <w:b/>
          <w:bCs/>
          <w:color w:val="auto"/>
          <w:sz w:val="24"/>
          <w:highlight w:val="none"/>
          <w:u w:val="single"/>
          <w:lang w:val="zh-CN"/>
        </w:rPr>
      </w:pPr>
      <w:r>
        <w:rPr>
          <w:rFonts w:hint="eastAsia" w:ascii="宋体" w:hAnsi="宋体" w:eastAsia="宋体" w:cs="宋体"/>
          <w:b/>
          <w:bCs/>
          <w:color w:val="auto"/>
          <w:kern w:val="0"/>
          <w:sz w:val="24"/>
          <w:highlight w:val="none"/>
          <w:lang w:val="zh-CN"/>
        </w:rPr>
        <w:t>11.</w:t>
      </w:r>
      <w:r>
        <w:rPr>
          <w:rFonts w:hint="eastAsia" w:ascii="宋体" w:hAnsi="宋体" w:eastAsia="宋体" w:cs="宋体"/>
          <w:b/>
          <w:bCs/>
          <w:color w:val="auto"/>
          <w:kern w:val="0"/>
          <w:sz w:val="24"/>
          <w:highlight w:val="none"/>
        </w:rPr>
        <w:t>3</w:t>
      </w:r>
      <w:r>
        <w:rPr>
          <w:rFonts w:hint="eastAsia" w:ascii="宋体" w:hAnsi="宋体" w:eastAsia="宋体" w:cs="宋体"/>
          <w:b/>
          <w:bCs/>
          <w:color w:val="auto"/>
          <w:sz w:val="24"/>
          <w:highlight w:val="none"/>
        </w:rPr>
        <w:t>报价文件：</w:t>
      </w:r>
    </w:p>
    <w:p>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pPr>
        <w:pStyle w:val="4"/>
        <w:ind w:left="664" w:leftChars="316" w:firstLine="228" w:firstLineChars="95"/>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11.3.2中小企业声明函（如果有）。</w:t>
      </w:r>
    </w:p>
    <w:p>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pPr>
        <w:spacing w:line="360" w:lineRule="auto"/>
        <w:ind w:firstLine="723" w:firstLineChars="3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投标人提供虚假材料投标的，投标无效。</w:t>
      </w:r>
    </w:p>
    <w:p>
      <w:pPr>
        <w:pStyle w:val="133"/>
        <w:snapToGrid w:val="0"/>
        <w:spacing w:before="0"/>
        <w:ind w:firstLine="0" w:firstLineChars="0"/>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pPr>
        <w:pStyle w:val="133"/>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pPr>
        <w:pStyle w:val="13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3"/>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pPr>
        <w:pStyle w:val="13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pPr>
        <w:pStyle w:val="133"/>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pPr>
        <w:pStyle w:val="35"/>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但采购人、采购代理机构不强制或变相强制投标人提交备份投标文件。</w:t>
      </w:r>
    </w:p>
    <w:p>
      <w:pPr>
        <w:pStyle w:val="35"/>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w:t>
      </w:r>
      <w:r>
        <w:rPr>
          <w:rFonts w:hint="eastAsia" w:ascii="宋体" w:hAnsi="宋体" w:eastAsia="宋体" w:cs="宋体"/>
          <w:color w:val="auto"/>
          <w:sz w:val="24"/>
          <w:highlight w:val="none"/>
        </w:rPr>
        <w:t>DVD光盘等存储介质</w:t>
      </w:r>
      <w:r>
        <w:rPr>
          <w:rFonts w:hint="eastAsia" w:ascii="宋体"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存储、密封规定的备份投标文件将被视为无效或者被拒绝接收。</w:t>
      </w:r>
    </w:p>
    <w:p>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highlight w:val="none"/>
        </w:rPr>
        <w:t>招标文件第二部分投标人须知前附表规定的备份投标文件送达地点；</w:t>
      </w:r>
      <w:r>
        <w:rPr>
          <w:rFonts w:hint="eastAsia" w:ascii="宋体" w:hAnsi="宋体" w:eastAsia="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pPr>
        <w:pStyle w:val="35"/>
        <w:spacing w:line="360" w:lineRule="auto"/>
        <w:ind w:firstLine="479" w:firstLineChars="19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pPr>
        <w:pStyle w:val="13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pPr>
        <w:pStyle w:val="26"/>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w:t>
      </w:r>
      <w:r>
        <w:rPr>
          <w:rFonts w:hint="eastAsia" w:ascii="宋体" w:hAnsi="宋体" w:eastAsia="宋体" w:cs="宋体"/>
          <w:color w:val="auto"/>
          <w:highlight w:val="none"/>
        </w:rPr>
        <w:t>4.2规定</w:t>
      </w:r>
      <w:r>
        <w:rPr>
          <w:rFonts w:hint="eastAsia" w:ascii="宋体" w:hAnsi="宋体" w:eastAsia="宋体" w:cs="宋体"/>
          <w:color w:val="auto"/>
          <w:szCs w:val="21"/>
          <w:highlight w:val="none"/>
        </w:rPr>
        <w:t>的情形之一的，投标无效：</w:t>
      </w:r>
    </w:p>
    <w:p>
      <w:pPr>
        <w:pStyle w:val="13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pPr>
        <w:pStyle w:val="13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pPr>
        <w:pStyle w:val="13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33"/>
        <w:spacing w:before="0"/>
        <w:ind w:firstLine="643"/>
        <w:rPr>
          <w:rFonts w:hint="eastAsia" w:ascii="宋体" w:hAnsi="宋体" w:eastAsia="宋体" w:cs="宋体"/>
          <w:b/>
          <w:color w:val="auto"/>
          <w:sz w:val="32"/>
          <w:highlight w:val="none"/>
        </w:rPr>
      </w:pPr>
    </w:p>
    <w:p>
      <w:pPr>
        <w:pStyle w:val="133"/>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pPr>
        <w:pStyle w:val="558"/>
        <w:spacing w:before="0" w:line="360" w:lineRule="auto"/>
        <w:ind w:left="0" w:firstLine="241" w:firstLineChars="10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p>
    <w:p>
      <w:pPr>
        <w:pStyle w:val="558"/>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18.1采购代理机构按照招标文件规定的时间通过电子交易平台组织开标，所有投标人均应当准时在线参加。投标人不足3家的，不得开标。</w:t>
      </w:r>
    </w:p>
    <w:p>
      <w:pPr>
        <w:pStyle w:val="558"/>
        <w:spacing w:before="0" w:line="360" w:lineRule="auto"/>
        <w:ind w:left="0" w:firstLine="240" w:firstLineChars="1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pPr>
        <w:pStyle w:val="558"/>
        <w:spacing w:before="0" w:line="360" w:lineRule="auto"/>
        <w:ind w:left="0" w:firstLine="240" w:firstLineChars="100"/>
        <w:contextualSpacing/>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19.1</w:t>
      </w:r>
      <w:r>
        <w:rPr>
          <w:rFonts w:hint="eastAsia" w:ascii="宋体" w:hAnsi="宋体" w:eastAsia="宋体" w:cs="宋体"/>
          <w:color w:val="auto"/>
          <w:sz w:val="24"/>
          <w:highlight w:val="none"/>
        </w:rPr>
        <w:t>采购人或采购代理机构依据法律法规和招标文件的规定，对投标人的资格进行审查。</w:t>
      </w:r>
    </w:p>
    <w:p>
      <w:pPr>
        <w:pStyle w:val="133"/>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19.2投标人未按照招标文件要求提供与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pPr>
        <w:pStyle w:val="133"/>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3对未通过资格审查的投标人，采购人或采购代理机构告知其未通过的原因。</w:t>
      </w:r>
    </w:p>
    <w:p>
      <w:pPr>
        <w:pStyle w:val="133"/>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4合格投标人不足3家的，不再评标。</w:t>
      </w:r>
    </w:p>
    <w:p>
      <w:pPr>
        <w:pStyle w:val="13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pPr>
        <w:pStyle w:val="133"/>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20.1信用信息查询渠道及截止时间：采购代理机构将在资格审查时通过“信用中国”网站(www.creditchina.gov.cn)、中国政府采购网(www.ccgp.gov.cn)渠道查询投标人接受资格审查时的信用记录。</w:t>
      </w:r>
    </w:p>
    <w:p>
      <w:pPr>
        <w:pStyle w:val="133"/>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pPr>
        <w:pStyle w:val="133"/>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20.3信用信息的使用规则：经查询列入失信被执行人名单、重大税收违法失信主体、政府采购严重违法失信行为记录名单的投标人将被拒绝参与政府采购活动。</w:t>
      </w:r>
    </w:p>
    <w:p>
      <w:pPr>
        <w:pStyle w:val="133"/>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pPr>
        <w:pStyle w:val="133"/>
        <w:spacing w:before="0"/>
        <w:ind w:firstLine="0" w:firstLineChars="0"/>
        <w:rPr>
          <w:rFonts w:hint="eastAsia" w:ascii="宋体" w:hAnsi="宋体" w:eastAsia="宋体" w:cs="宋体"/>
          <w:color w:val="auto"/>
          <w:kern w:val="0"/>
          <w:szCs w:val="24"/>
          <w:highlight w:val="none"/>
        </w:rPr>
      </w:pPr>
    </w:p>
    <w:p>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pPr>
        <w:spacing w:line="360" w:lineRule="auto"/>
        <w:rPr>
          <w:rFonts w:hint="eastAsia" w:ascii="宋体" w:hAnsi="宋体" w:eastAsia="宋体" w:cs="宋体"/>
          <w:b/>
          <w:color w:val="auto"/>
          <w:sz w:val="24"/>
          <w:highlight w:val="none"/>
        </w:rPr>
      </w:pPr>
      <w:bookmarkStart w:id="18" w:name="_Toc91899903"/>
      <w:r>
        <w:rPr>
          <w:rFonts w:hint="eastAsia" w:ascii="宋体" w:hAnsi="宋体" w:eastAsia="宋体" w:cs="宋体"/>
          <w:b/>
          <w:color w:val="auto"/>
          <w:sz w:val="24"/>
          <w:highlight w:val="none"/>
        </w:rPr>
        <w:t>21.</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pPr>
        <w:spacing w:line="360" w:lineRule="auto"/>
        <w:rPr>
          <w:rFonts w:hint="eastAsia" w:ascii="宋体" w:hAnsi="宋体" w:eastAsia="宋体" w:cs="宋体"/>
          <w:b/>
          <w:color w:val="auto"/>
          <w:sz w:val="24"/>
          <w:highlight w:val="none"/>
        </w:rPr>
      </w:pPr>
    </w:p>
    <w:p>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pPr>
        <w:pStyle w:val="133"/>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33"/>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pPr>
        <w:snapToGrid w:val="0"/>
        <w:spacing w:line="360" w:lineRule="auto"/>
        <w:ind w:left="120" w:leftChars="57" w:firstLine="482" w:firstLineChars="150"/>
        <w:jc w:val="center"/>
        <w:rPr>
          <w:rFonts w:hint="eastAsia" w:ascii="宋体" w:hAnsi="宋体" w:eastAsia="宋体" w:cs="宋体"/>
          <w:b/>
          <w:color w:val="auto"/>
          <w:sz w:val="32"/>
          <w:highlight w:val="none"/>
        </w:rPr>
      </w:pPr>
    </w:p>
    <w:p>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3"/>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3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pPr>
        <w:pStyle w:val="13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33"/>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25.5采购合同由采购人与中标供应商根据招标文件、投标文件等内容通过政府采购电子交易平台在线签订，自动备案。</w:t>
      </w:r>
    </w:p>
    <w:p>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pStyle w:val="4"/>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4"/>
        <w:rPr>
          <w:rFonts w:hint="eastAsia" w:ascii="宋体" w:hAnsi="宋体" w:eastAsia="宋体" w:cs="宋体"/>
          <w:color w:val="auto"/>
          <w:highlight w:val="none"/>
        </w:rPr>
      </w:pPr>
      <w:r>
        <w:rPr>
          <w:rFonts w:hint="eastAsia" w:ascii="宋体" w:hAnsi="宋体" w:eastAsia="宋体" w:cs="宋体"/>
          <w:color w:val="auto"/>
          <w:sz w:val="24"/>
          <w:highlight w:val="none"/>
          <w:lang w:val="en-US"/>
        </w:rPr>
        <w:t>27.预付款</w:t>
      </w:r>
    </w:p>
    <w:p>
      <w:pPr>
        <w:adjustRightInd/>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rPr>
          <w:rFonts w:hint="eastAsia" w:ascii="宋体" w:hAnsi="宋体" w:eastAsia="宋体" w:cs="宋体"/>
          <w:color w:val="auto"/>
          <w:highlight w:val="none"/>
        </w:rPr>
      </w:pPr>
    </w:p>
    <w:p>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pPr>
        <w:pStyle w:val="133"/>
        <w:snapToGrid w:val="0"/>
        <w:spacing w:before="0"/>
        <w:ind w:firstLine="0" w:firstLineChars="0"/>
        <w:rPr>
          <w:rFonts w:hint="eastAsia" w:ascii="宋体" w:hAnsi="宋体" w:eastAsia="宋体" w:cs="宋体"/>
          <w:color w:val="auto"/>
          <w:highlight w:val="none"/>
        </w:rPr>
      </w:pPr>
      <w:r>
        <w:rPr>
          <w:rFonts w:hint="eastAsia" w:ascii="宋体" w:hAnsi="宋体" w:eastAsia="宋体" w:cs="宋体"/>
          <w:b/>
          <w:bCs/>
          <w:color w:val="auto"/>
          <w:highlight w:val="none"/>
        </w:rPr>
        <w:t>2</w:t>
      </w:r>
      <w:r>
        <w:rPr>
          <w:rFonts w:hint="eastAsia" w:ascii="宋体" w:hAnsi="宋体" w:eastAsia="宋体" w:cs="宋体"/>
          <w:b/>
          <w:bCs/>
          <w:color w:val="auto"/>
          <w:szCs w:val="24"/>
          <w:highlight w:val="none"/>
        </w:rPr>
        <w:t>8</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采购过程中出现以下情形，导致电子交易平台无法正常运行，或者无法保证电子交易的公平、公正和安全时，采购代理机构可中止电子交易活动：</w:t>
      </w:r>
    </w:p>
    <w:p>
      <w:pPr>
        <w:pStyle w:val="13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28.1电子交易平台发生故障而无法登录访问的； </w:t>
      </w:r>
    </w:p>
    <w:p>
      <w:pPr>
        <w:pStyle w:val="13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28.2电子交易平台应用或数据库出现错误，不能进行正常操作的；</w:t>
      </w:r>
    </w:p>
    <w:p>
      <w:pPr>
        <w:pStyle w:val="13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28.3电子交易平台发现严重安全漏洞，有潜在泄密危险的；</w:t>
      </w:r>
    </w:p>
    <w:p>
      <w:pPr>
        <w:pStyle w:val="13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28.4病毒发作导致不能进行正常操作的； </w:t>
      </w:r>
    </w:p>
    <w:p>
      <w:pPr>
        <w:pStyle w:val="13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28.5其他无法保证电子交易的公平、公正和安全的情况。</w:t>
      </w:r>
    </w:p>
    <w:p>
      <w:pPr>
        <w:pStyle w:val="133"/>
        <w:snapToGrid w:val="0"/>
        <w:spacing w:before="0"/>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宋体" w:hAnsi="宋体" w:eastAsia="宋体" w:cs="宋体"/>
          <w:color w:val="auto"/>
          <w:sz w:val="24"/>
          <w:highlight w:val="none"/>
        </w:rPr>
      </w:pPr>
    </w:p>
    <w:p>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pPr>
        <w:pStyle w:val="26"/>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30.验收</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pPr>
        <w:tabs>
          <w:tab w:val="left" w:pos="0"/>
        </w:tabs>
        <w:spacing w:line="360" w:lineRule="auto"/>
        <w:ind w:firstLine="480"/>
        <w:rPr>
          <w:rFonts w:hint="eastAsia" w:ascii="宋体" w:hAnsi="宋体" w:eastAsia="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9" w:name="_Hlt75236101"/>
      <w:bookmarkEnd w:id="19"/>
      <w:bookmarkStart w:id="20" w:name="_Hlt68072998"/>
      <w:bookmarkEnd w:id="20"/>
      <w:bookmarkStart w:id="21" w:name="_Hlt68403820"/>
      <w:bookmarkEnd w:id="21"/>
      <w:bookmarkStart w:id="22" w:name="_Hlt75236011"/>
      <w:bookmarkEnd w:id="22"/>
      <w:bookmarkStart w:id="23" w:name="_Hlt74729768"/>
      <w:bookmarkEnd w:id="23"/>
      <w:bookmarkStart w:id="24" w:name="_Hlt74707468"/>
      <w:bookmarkEnd w:id="24"/>
      <w:bookmarkStart w:id="25" w:name="_Hlt74730295"/>
      <w:bookmarkEnd w:id="25"/>
      <w:bookmarkStart w:id="26" w:name="_Hlt74714665"/>
      <w:bookmarkEnd w:id="26"/>
      <w:bookmarkStart w:id="27" w:name="_Hlt68073093"/>
      <w:bookmarkEnd w:id="27"/>
      <w:bookmarkStart w:id="28" w:name="_Hlt68057669"/>
      <w:bookmarkEnd w:id="28"/>
      <w:bookmarkStart w:id="29" w:name="_Hlt68072990"/>
      <w:bookmarkEnd w:id="29"/>
      <w:bookmarkStart w:id="30" w:name="_Hlt75236290"/>
      <w:bookmarkEnd w:id="30"/>
    </w:p>
    <w:bookmarkEnd w:id="13"/>
    <w:bookmarkEnd w:id="14"/>
    <w:p>
      <w:pPr>
        <w:spacing w:line="360" w:lineRule="auto"/>
        <w:jc w:val="center"/>
        <w:outlineLvl w:val="0"/>
        <w:rPr>
          <w:rFonts w:hint="eastAsia" w:ascii="宋体" w:hAnsi="宋体" w:eastAsia="宋体" w:cs="宋体"/>
          <w:b/>
          <w:color w:val="auto"/>
          <w:sz w:val="36"/>
          <w:szCs w:val="36"/>
          <w:highlight w:val="none"/>
        </w:rPr>
      </w:pPr>
      <w:bookmarkStart w:id="31" w:name="第四部分"/>
      <w:r>
        <w:rPr>
          <w:rFonts w:hint="eastAsia" w:ascii="宋体" w:hAnsi="宋体" w:eastAsia="宋体" w:cs="宋体"/>
          <w:b/>
          <w:color w:val="auto"/>
          <w:sz w:val="36"/>
          <w:szCs w:val="36"/>
          <w:highlight w:val="none"/>
        </w:rPr>
        <w:t>第三部分   采购需求</w:t>
      </w:r>
    </w:p>
    <w:p>
      <w:pPr>
        <w:keepNext w:val="0"/>
        <w:keepLines w:val="0"/>
        <w:pageBreakBefore w:val="0"/>
        <w:kinsoku/>
        <w:wordWrap/>
        <w:overflowPunct/>
        <w:topLinePunct w:val="0"/>
        <w:autoSpaceDE/>
        <w:autoSpaceDN/>
        <w:bidi w:val="0"/>
        <w:adjustRightInd w:val="0"/>
        <w:snapToGrid/>
        <w:spacing w:line="400" w:lineRule="exact"/>
        <w:jc w:val="left"/>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一、</w:t>
      </w:r>
      <w:r>
        <w:rPr>
          <w:rFonts w:hint="eastAsia" w:ascii="宋体" w:hAnsi="宋体" w:eastAsia="宋体" w:cs="宋体"/>
          <w:b/>
          <w:color w:val="auto"/>
          <w:sz w:val="28"/>
          <w:szCs w:val="28"/>
          <w:highlight w:val="none"/>
        </w:rPr>
        <w:t>采购内容及数量</w:t>
      </w:r>
    </w:p>
    <w:tbl>
      <w:tblPr>
        <w:tblStyle w:val="65"/>
        <w:tblpPr w:leftFromText="180" w:rightFromText="180" w:vertAnchor="text" w:horzAnchor="page" w:tblpX="1336" w:tblpY="396"/>
        <w:tblOverlap w:val="never"/>
        <w:tblW w:w="555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2458"/>
        <w:gridCol w:w="2315"/>
        <w:gridCol w:w="900"/>
        <w:gridCol w:w="825"/>
        <w:gridCol w:w="1474"/>
        <w:gridCol w:w="7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400"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01"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项目名称</w:t>
            </w:r>
          </w:p>
        </w:tc>
        <w:tc>
          <w:tcPr>
            <w:tcW w:w="1226"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主要</w:t>
            </w:r>
            <w:r>
              <w:rPr>
                <w:rFonts w:hint="eastAsia" w:ascii="宋体" w:hAnsi="宋体" w:eastAsia="宋体" w:cs="宋体"/>
                <w:b/>
                <w:color w:val="auto"/>
                <w:sz w:val="24"/>
                <w:highlight w:val="none"/>
                <w:lang w:val="en-US" w:eastAsia="zh-CN"/>
              </w:rPr>
              <w:t>技术参数</w:t>
            </w:r>
            <w:r>
              <w:rPr>
                <w:rFonts w:hint="eastAsia" w:ascii="宋体" w:hAnsi="宋体" w:eastAsia="宋体" w:cs="宋体"/>
                <w:b/>
                <w:color w:val="auto"/>
                <w:sz w:val="24"/>
                <w:highlight w:val="none"/>
              </w:rPr>
              <w:t>要求</w:t>
            </w:r>
          </w:p>
        </w:tc>
        <w:tc>
          <w:tcPr>
            <w:tcW w:w="476"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单位</w:t>
            </w:r>
          </w:p>
        </w:tc>
        <w:tc>
          <w:tcPr>
            <w:tcW w:w="436"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780"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预算总价</w:t>
            </w:r>
          </w:p>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（元）</w:t>
            </w:r>
          </w:p>
        </w:tc>
        <w:tc>
          <w:tcPr>
            <w:tcW w:w="377"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00"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01"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left"/>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新职校校园维修改造工程三期能效提升节能改造示范项目之光伏设施设备采购项目（第二次）</w:t>
            </w:r>
          </w:p>
        </w:tc>
        <w:tc>
          <w:tcPr>
            <w:tcW w:w="1226"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详见“二.采购需求”</w:t>
            </w:r>
          </w:p>
        </w:tc>
        <w:tc>
          <w:tcPr>
            <w:tcW w:w="476"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项</w:t>
            </w:r>
          </w:p>
        </w:tc>
        <w:tc>
          <w:tcPr>
            <w:tcW w:w="436"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p>
        </w:tc>
        <w:tc>
          <w:tcPr>
            <w:tcW w:w="780"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1194000</w:t>
            </w:r>
            <w:r>
              <w:rPr>
                <w:rFonts w:hint="eastAsia" w:ascii="宋体" w:hAnsi="宋体" w:eastAsia="宋体" w:cs="宋体"/>
                <w:color w:val="auto"/>
                <w:sz w:val="24"/>
                <w:highlight w:val="none"/>
                <w:lang w:val="en-US" w:eastAsia="zh-CN"/>
              </w:rPr>
              <w:t>.00</w:t>
            </w:r>
          </w:p>
        </w:tc>
        <w:tc>
          <w:tcPr>
            <w:tcW w:w="377" w:type="pct"/>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5000" w:type="pct"/>
            <w:gridSpan w:val="7"/>
            <w:vAlign w:val="center"/>
          </w:tcPr>
          <w:p>
            <w:pPr>
              <w:keepNext w:val="0"/>
              <w:keepLines w:val="0"/>
              <w:pageBreakBefore w:val="0"/>
              <w:widowControl/>
              <w:tabs>
                <w:tab w:val="left" w:pos="360"/>
              </w:tabs>
              <w:kinsoku/>
              <w:wordWrap/>
              <w:overflowPunct/>
              <w:topLinePunct w:val="0"/>
              <w:autoSpaceDE/>
              <w:autoSpaceDN/>
              <w:bidi w:val="0"/>
              <w:adjustRightInd w:val="0"/>
              <w:snapToGrid/>
              <w:spacing w:line="400" w:lineRule="exact"/>
              <w:jc w:val="both"/>
              <w:textAlignment w:val="auto"/>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预算总价</w:t>
            </w:r>
            <w:r>
              <w:rPr>
                <w:rFonts w:hint="eastAsia" w:ascii="宋体" w:hAnsi="宋体" w:eastAsia="宋体" w:cs="宋体"/>
                <w:b/>
                <w:color w:val="auto"/>
                <w:sz w:val="24"/>
                <w:highlight w:val="none"/>
                <w:u w:val="none"/>
              </w:rPr>
              <w:t>：人民币（大写）：</w:t>
            </w:r>
            <w:r>
              <w:rPr>
                <w:rFonts w:hint="eastAsia" w:ascii="宋体" w:hAnsi="宋体" w:cs="宋体"/>
                <w:b/>
                <w:color w:val="auto"/>
                <w:sz w:val="24"/>
                <w:highlight w:val="none"/>
                <w:u w:val="none"/>
                <w:lang w:val="en-US" w:eastAsia="zh-CN"/>
              </w:rPr>
              <w:t>壹佰壹拾玖万肆仟</w:t>
            </w:r>
            <w:r>
              <w:rPr>
                <w:rFonts w:hint="eastAsia" w:ascii="宋体" w:hAnsi="宋体" w:eastAsia="宋体" w:cs="宋体"/>
                <w:b/>
                <w:color w:val="auto"/>
                <w:sz w:val="24"/>
                <w:highlight w:val="none"/>
                <w:u w:val="none"/>
              </w:rPr>
              <w:t>元整</w:t>
            </w:r>
            <w:r>
              <w:rPr>
                <w:rFonts w:hint="eastAsia" w:ascii="宋体" w:hAnsi="宋体" w:eastAsia="宋体" w:cs="宋体"/>
                <w:color w:val="auto"/>
                <w:sz w:val="24"/>
                <w:highlight w:val="none"/>
                <w:u w:val="none"/>
              </w:rPr>
              <w:t>（</w:t>
            </w:r>
            <w:r>
              <w:rPr>
                <w:rFonts w:hint="eastAsia" w:ascii="宋体" w:hAnsi="宋体" w:eastAsia="宋体" w:cs="宋体"/>
                <w:b/>
                <w:bCs/>
                <w:color w:val="auto"/>
                <w:kern w:val="0"/>
                <w:sz w:val="24"/>
                <w:highlight w:val="none"/>
                <w:u w:val="none"/>
              </w:rPr>
              <w:t>￥</w:t>
            </w:r>
            <w:r>
              <w:rPr>
                <w:rFonts w:hint="eastAsia" w:ascii="宋体" w:hAnsi="宋体" w:cs="宋体"/>
                <w:b/>
                <w:bCs/>
                <w:color w:val="auto"/>
                <w:kern w:val="0"/>
                <w:sz w:val="24"/>
                <w:highlight w:val="none"/>
                <w:u w:val="none"/>
                <w:lang w:val="en-US" w:eastAsia="zh-CN"/>
              </w:rPr>
              <w:t>1194000</w:t>
            </w:r>
            <w:r>
              <w:rPr>
                <w:rFonts w:hint="eastAsia" w:ascii="宋体" w:hAnsi="宋体" w:eastAsia="宋体" w:cs="宋体"/>
                <w:b/>
                <w:bCs/>
                <w:color w:val="auto"/>
                <w:kern w:val="0"/>
                <w:sz w:val="24"/>
                <w:highlight w:val="none"/>
                <w:u w:val="none"/>
                <w:lang w:eastAsia="zh-CN"/>
              </w:rPr>
              <w:t>.00</w:t>
            </w:r>
            <w:r>
              <w:rPr>
                <w:rFonts w:hint="eastAsia" w:ascii="宋体" w:hAnsi="宋体" w:eastAsia="宋体" w:cs="宋体"/>
                <w:b/>
                <w:bCs/>
                <w:color w:val="auto"/>
                <w:kern w:val="0"/>
                <w:sz w:val="24"/>
                <w:highlight w:val="none"/>
                <w:u w:val="none"/>
              </w:rPr>
              <w:t>元</w:t>
            </w:r>
            <w:r>
              <w:rPr>
                <w:rFonts w:hint="eastAsia" w:ascii="宋体" w:hAnsi="宋体" w:eastAsia="宋体" w:cs="宋体"/>
                <w:color w:val="auto"/>
                <w:sz w:val="24"/>
                <w:highlight w:val="none"/>
                <w:u w:val="none"/>
              </w:rPr>
              <w:t>）</w:t>
            </w:r>
          </w:p>
        </w:tc>
      </w:tr>
    </w:tbl>
    <w:p>
      <w:pPr>
        <w:rPr>
          <w:rFonts w:hint="eastAsia"/>
          <w:color w:val="auto"/>
          <w:highlight w:val="none"/>
        </w:rPr>
      </w:pPr>
    </w:p>
    <w:p>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本项目为交钥匙项目，以上总金额</w:t>
      </w:r>
      <w:r>
        <w:rPr>
          <w:rFonts w:hint="eastAsia" w:ascii="宋体" w:hAnsi="宋体" w:cs="宋体"/>
          <w:color w:val="auto"/>
          <w:sz w:val="24"/>
          <w:szCs w:val="24"/>
          <w:highlight w:val="none"/>
          <w:lang w:eastAsia="zh-CN"/>
        </w:rPr>
        <w:t>包括各种</w:t>
      </w:r>
      <w:r>
        <w:rPr>
          <w:rFonts w:hint="eastAsia" w:ascii="宋体" w:hAnsi="宋体" w:eastAsia="宋体" w:cs="宋体"/>
          <w:color w:val="auto"/>
          <w:sz w:val="24"/>
          <w:szCs w:val="24"/>
          <w:highlight w:val="none"/>
        </w:rPr>
        <w:t>设备的制造、采购、装卸运输、安装调试、备品备件、专用工具、保险、管理费、利润、税金、能效监测、验收及售后等完成该项目的所有费用，以及其它需供应商承担的费用及潜在满足采购人监管要求可能涉及的一切费用。</w:t>
      </w:r>
    </w:p>
    <w:p>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本项目是杭州市公共建筑能效提升重点城市建设示范项目，中标人负责本项目通过建德市、杭州市能效提升示范城市验收，节能率达到15%以上。</w:t>
      </w:r>
    </w:p>
    <w:p>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ascii="宋体" w:hAnsi="宋体" w:eastAsia="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val="0"/>
        <w:snapToGrid/>
        <w:ind w:firstLine="420" w:firstLineChars="200"/>
        <w:textAlignment w:val="auto"/>
        <w:rPr>
          <w:rFonts w:hint="eastAsia" w:ascii="宋体" w:hAnsi="宋体" w:eastAsia="宋体" w:cs="宋体"/>
          <w:color w:val="auto"/>
          <w:highlight w:val="none"/>
          <w:lang w:val="en-US" w:eastAsia="zh-CN"/>
        </w:rPr>
      </w:pPr>
    </w:p>
    <w:p>
      <w:pPr>
        <w:spacing w:line="360" w:lineRule="auto"/>
        <w:jc w:val="left"/>
        <w:outlineLvl w:val="0"/>
        <w:rPr>
          <w:rFonts w:hint="eastAsia" w:ascii="宋体" w:hAnsi="宋体" w:eastAsia="宋体" w:cs="宋体"/>
          <w:b/>
          <w:color w:val="auto"/>
          <w:sz w:val="36"/>
          <w:szCs w:val="36"/>
          <w:highlight w:val="none"/>
        </w:rPr>
      </w:pPr>
    </w:p>
    <w:p>
      <w:pPr>
        <w:pStyle w:val="2"/>
        <w:ind w:left="0" w:leftChars="0" w:firstLine="0" w:firstLineChars="0"/>
        <w:rPr>
          <w:rFonts w:hint="eastAsia" w:ascii="宋体" w:hAnsi="宋体" w:eastAsia="宋体" w:cs="宋体"/>
          <w:b/>
          <w:color w:val="auto"/>
          <w:kern w:val="2"/>
          <w:sz w:val="28"/>
          <w:szCs w:val="28"/>
          <w:highlight w:val="none"/>
          <w:lang w:val="en-US" w:eastAsia="zh-CN" w:bidi="ar-SA"/>
        </w:rPr>
      </w:pPr>
    </w:p>
    <w:p>
      <w:pPr>
        <w:pStyle w:val="2"/>
        <w:ind w:left="0" w:leftChars="0" w:firstLine="0" w:firstLineChars="0"/>
        <w:rPr>
          <w:rFonts w:hint="eastAsia" w:ascii="宋体" w:hAnsi="宋体" w:eastAsia="宋体" w:cs="宋体"/>
          <w:b/>
          <w:color w:val="auto"/>
          <w:kern w:val="2"/>
          <w:sz w:val="28"/>
          <w:szCs w:val="28"/>
          <w:highlight w:val="none"/>
          <w:lang w:val="en-US" w:eastAsia="zh-CN" w:bidi="ar-SA"/>
        </w:rPr>
      </w:pPr>
    </w:p>
    <w:p>
      <w:pPr>
        <w:pStyle w:val="2"/>
        <w:ind w:left="0" w:leftChars="0" w:firstLine="0" w:firstLineChars="0"/>
        <w:rPr>
          <w:rFonts w:hint="eastAsia" w:ascii="宋体" w:hAnsi="宋体" w:eastAsia="宋体" w:cs="宋体"/>
          <w:b/>
          <w:color w:val="auto"/>
          <w:kern w:val="2"/>
          <w:sz w:val="28"/>
          <w:szCs w:val="28"/>
          <w:highlight w:val="none"/>
          <w:lang w:val="en-US" w:eastAsia="zh-CN" w:bidi="ar-SA"/>
        </w:rPr>
      </w:pPr>
    </w:p>
    <w:p>
      <w:pPr>
        <w:pStyle w:val="2"/>
        <w:ind w:left="0" w:leftChars="0" w:firstLine="0" w:firstLineChars="0"/>
        <w:rPr>
          <w:rFonts w:hint="eastAsia" w:ascii="宋体" w:hAnsi="宋体" w:eastAsia="宋体" w:cs="宋体"/>
          <w:b/>
          <w:color w:val="auto"/>
          <w:kern w:val="2"/>
          <w:sz w:val="28"/>
          <w:szCs w:val="28"/>
          <w:highlight w:val="none"/>
          <w:lang w:val="en-US" w:eastAsia="zh-CN" w:bidi="ar-SA"/>
        </w:rPr>
      </w:pPr>
    </w:p>
    <w:p>
      <w:pPr>
        <w:pStyle w:val="2"/>
        <w:ind w:left="0" w:leftChars="0" w:firstLine="0" w:firstLineChars="0"/>
        <w:rPr>
          <w:rFonts w:hint="eastAsia" w:ascii="宋体" w:hAnsi="宋体" w:eastAsia="宋体" w:cs="宋体"/>
          <w:b/>
          <w:color w:val="auto"/>
          <w:kern w:val="2"/>
          <w:sz w:val="28"/>
          <w:szCs w:val="28"/>
          <w:highlight w:val="none"/>
          <w:lang w:val="en-US" w:eastAsia="zh-CN" w:bidi="ar-SA"/>
        </w:rPr>
      </w:pPr>
    </w:p>
    <w:p>
      <w:pPr>
        <w:pStyle w:val="2"/>
        <w:ind w:left="0" w:leftChars="0" w:firstLine="0" w:firstLineChars="0"/>
        <w:rPr>
          <w:rFonts w:hint="eastAsia" w:ascii="宋体" w:hAnsi="宋体" w:eastAsia="宋体" w:cs="宋体"/>
          <w:b/>
          <w:color w:val="auto"/>
          <w:kern w:val="2"/>
          <w:sz w:val="28"/>
          <w:szCs w:val="28"/>
          <w:highlight w:val="none"/>
          <w:lang w:val="en-US" w:eastAsia="zh-CN" w:bidi="ar-SA"/>
        </w:rPr>
      </w:pPr>
    </w:p>
    <w:p>
      <w:pPr>
        <w:pStyle w:val="2"/>
        <w:ind w:left="0" w:leftChars="0" w:firstLine="0" w:firstLineChars="0"/>
        <w:rPr>
          <w:rFonts w:hint="eastAsia" w:ascii="宋体" w:hAnsi="宋体" w:eastAsia="宋体" w:cs="宋体"/>
          <w:b/>
          <w:color w:val="auto"/>
          <w:kern w:val="2"/>
          <w:sz w:val="28"/>
          <w:szCs w:val="28"/>
          <w:highlight w:val="none"/>
          <w:lang w:val="en-US" w:eastAsia="zh-CN" w:bidi="ar-SA"/>
        </w:rPr>
      </w:pPr>
    </w:p>
    <w:p>
      <w:pPr>
        <w:pStyle w:val="2"/>
        <w:ind w:left="0" w:leftChars="0" w:firstLine="0" w:firstLineChars="0"/>
        <w:rPr>
          <w:rFonts w:hint="eastAsia" w:ascii="宋体" w:hAnsi="宋体" w:eastAsia="宋体" w:cs="宋体"/>
          <w:b/>
          <w:color w:val="auto"/>
          <w:kern w:val="2"/>
          <w:sz w:val="28"/>
          <w:szCs w:val="28"/>
          <w:highlight w:val="none"/>
          <w:lang w:val="en-US" w:eastAsia="zh-CN" w:bidi="ar-SA"/>
        </w:rPr>
      </w:pPr>
    </w:p>
    <w:p>
      <w:pPr>
        <w:pStyle w:val="2"/>
        <w:ind w:left="0" w:leftChars="0" w:firstLine="0" w:firstLineChars="0"/>
        <w:rPr>
          <w:rFonts w:hint="eastAsia" w:ascii="宋体" w:hAnsi="宋体" w:eastAsia="宋体" w:cs="宋体"/>
          <w:b/>
          <w:color w:val="auto"/>
          <w:kern w:val="2"/>
          <w:sz w:val="28"/>
          <w:szCs w:val="28"/>
          <w:highlight w:val="none"/>
          <w:lang w:val="en-US" w:eastAsia="zh-CN" w:bidi="ar-SA"/>
        </w:rPr>
      </w:pPr>
    </w:p>
    <w:p>
      <w:pPr>
        <w:pStyle w:val="4"/>
        <w:tabs>
          <w:tab w:val="clear" w:pos="432"/>
        </w:tabs>
        <w:ind w:left="0" w:leftChars="0" w:firstLine="0" w:firstLineChars="0"/>
        <w:rPr>
          <w:rFonts w:hint="default" w:asciiTheme="minorEastAsia" w:hAnsiTheme="minorEastAsia" w:eastAsiaTheme="minorEastAsia" w:cstheme="minorEastAsia"/>
          <w:b w:val="0"/>
          <w:bCs w:val="0"/>
          <w:color w:val="auto"/>
          <w:sz w:val="24"/>
          <w:highlight w:val="none"/>
          <w:lang w:val="en-US" w:eastAsia="zh-CN"/>
        </w:rPr>
      </w:pPr>
      <w:r>
        <w:rPr>
          <w:rFonts w:hint="eastAsia" w:asciiTheme="minorEastAsia" w:hAnsiTheme="minorEastAsia" w:eastAsiaTheme="minorEastAsia" w:cstheme="minorEastAsia"/>
          <w:b/>
          <w:bCs/>
          <w:color w:val="auto"/>
          <w:sz w:val="28"/>
          <w:szCs w:val="28"/>
          <w:highlight w:val="none"/>
          <w:lang w:val="en-US" w:eastAsia="zh-CN"/>
        </w:rPr>
        <w:t>二、采购需求</w:t>
      </w:r>
    </w:p>
    <w:p>
      <w:pPr>
        <w:pStyle w:val="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lang w:val="en-US" w:eastAsia="zh-CN"/>
        </w:rPr>
        <w:t>1、</w:t>
      </w:r>
      <w:r>
        <w:rPr>
          <w:rFonts w:hint="eastAsia" w:asciiTheme="minorEastAsia" w:hAnsiTheme="minorEastAsia" w:eastAsiaTheme="minorEastAsia" w:cstheme="minorEastAsia"/>
          <w:b/>
          <w:bCs/>
          <w:color w:val="auto"/>
          <w:sz w:val="24"/>
          <w:highlight w:val="none"/>
        </w:rPr>
        <w:t>校内道路路灯照明系统改造：</w:t>
      </w:r>
    </w:p>
    <w:p>
      <w:pPr>
        <w:pStyle w:val="4"/>
        <w:tabs>
          <w:tab w:val="clear" w:pos="432"/>
        </w:tabs>
        <w:ind w:left="12" w:leftChars="0" w:firstLine="408" w:firstLineChars="0"/>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计划改造范围为校内道路路灯，将改造范围内的全部普通路</w:t>
      </w:r>
      <w:r>
        <w:rPr>
          <w:rFonts w:hint="eastAsia" w:asciiTheme="minorEastAsia" w:hAnsiTheme="minorEastAsia" w:eastAsiaTheme="minorEastAsia" w:cstheme="minorEastAsia"/>
          <w:b w:val="0"/>
          <w:bCs w:val="0"/>
          <w:color w:val="auto"/>
          <w:sz w:val="24"/>
          <w:highlight w:val="none"/>
          <w:lang w:eastAsia="zh-CN"/>
        </w:rPr>
        <w:t>灯</w:t>
      </w:r>
      <w:r>
        <w:rPr>
          <w:rFonts w:hint="eastAsia" w:asciiTheme="minorEastAsia" w:hAnsiTheme="minorEastAsia" w:eastAsiaTheme="minorEastAsia" w:cstheme="minorEastAsia"/>
          <w:b w:val="0"/>
          <w:bCs w:val="0"/>
          <w:color w:val="auto"/>
          <w:sz w:val="24"/>
          <w:highlight w:val="none"/>
        </w:rPr>
        <w:t>改造为太阳能路灯，照明功率密度降低，照度满足要求。</w:t>
      </w:r>
    </w:p>
    <w:p>
      <w:pPr>
        <w:pStyle w:val="4"/>
        <w:ind w:left="433" w:leftChars="202" w:hanging="9" w:hangingChars="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技术参数：</w:t>
      </w:r>
    </w:p>
    <w:p>
      <w:pPr>
        <w:pStyle w:val="4"/>
        <w:ind w:left="433" w:leftChars="202" w:hanging="9" w:hangingChars="4"/>
        <w:rPr>
          <w:rFonts w:hint="eastAsia" w:asciiTheme="minorEastAsia" w:hAnsiTheme="minorEastAsia" w:eastAsiaTheme="minorEastAsia" w:cstheme="minorEastAsia"/>
          <w:b w:val="0"/>
          <w:bCs w:val="0"/>
          <w:color w:val="auto"/>
          <w:sz w:val="24"/>
          <w:highlight w:val="none"/>
          <w:lang w:eastAsia="zh-CN"/>
        </w:rPr>
      </w:pPr>
      <w:r>
        <w:rPr>
          <w:rFonts w:hint="eastAsia" w:asciiTheme="minorEastAsia" w:hAnsiTheme="minorEastAsia" w:eastAsiaTheme="minorEastAsia" w:cstheme="minorEastAsia"/>
          <w:b w:val="0"/>
          <w:bCs w:val="0"/>
          <w:color w:val="auto"/>
          <w:sz w:val="24"/>
          <w:highlight w:val="none"/>
        </w:rPr>
        <w:t>3.5米太阳能板60瓦，光源60瓦，锂电池50AH。具体清单附后</w:t>
      </w:r>
      <w:r>
        <w:rPr>
          <w:rFonts w:hint="eastAsia" w:asciiTheme="minorEastAsia" w:hAnsiTheme="minorEastAsia" w:eastAsiaTheme="minorEastAsia" w:cstheme="minorEastAsia"/>
          <w:b w:val="0"/>
          <w:bCs w:val="0"/>
          <w:color w:val="auto"/>
          <w:sz w:val="24"/>
          <w:highlight w:val="none"/>
          <w:lang w:eastAsia="zh-CN"/>
        </w:rPr>
        <w:t>。</w:t>
      </w:r>
    </w:p>
    <w:p>
      <w:pPr>
        <w:pStyle w:val="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2、太阳能热水器改造：</w:t>
      </w:r>
    </w:p>
    <w:p>
      <w:pPr>
        <w:pStyle w:val="4"/>
        <w:ind w:left="433" w:leftChars="202" w:hanging="9" w:hangingChars="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对原太阳能热水系统主要部件进行全面更新，重点更换以下部件：</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1）、太阳能集热管及集热器，因产品寿命期限因素，全部更换；</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2）、保温水箱检测保温效果，检查发现漏水渗水，更换新保温水箱；</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3）、循环水泵及循环管道检查，存在老化及保温失效情况，全部更换；</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4）、供热水增压泵建议更换为变频恒压系统，如此更节能热水使用更舒适；</w:t>
      </w:r>
    </w:p>
    <w:p>
      <w:pPr>
        <w:pStyle w:val="4"/>
        <w:rPr>
          <w:rFonts w:hint="eastAsia" w:asciiTheme="minorEastAsia" w:hAnsiTheme="minorEastAsia" w:eastAsiaTheme="minorEastAsia" w:cstheme="minorEastAsia"/>
          <w:b w:val="0"/>
          <w:bCs w:val="0"/>
          <w:color w:val="auto"/>
          <w:sz w:val="24"/>
          <w:highlight w:val="none"/>
          <w:lang w:eastAsia="zh-CN"/>
        </w:rPr>
      </w:pPr>
      <w:r>
        <w:rPr>
          <w:rFonts w:hint="eastAsia" w:asciiTheme="minorEastAsia" w:hAnsiTheme="minorEastAsia" w:eastAsiaTheme="minorEastAsia" w:cstheme="minorEastAsia"/>
          <w:b w:val="0"/>
          <w:bCs w:val="0"/>
          <w:color w:val="auto"/>
          <w:sz w:val="24"/>
          <w:highlight w:val="none"/>
        </w:rPr>
        <w:t>5）、太阳能支架检查加固，其中包含去锈防锈刷漆等;</w:t>
      </w:r>
      <w:r>
        <w:rPr>
          <w:rFonts w:hint="eastAsia" w:asciiTheme="minorEastAsia" w:hAnsiTheme="minorEastAsia" w:eastAsiaTheme="minorEastAsia" w:cstheme="minorEastAsia"/>
          <w:b/>
          <w:bCs/>
          <w:color w:val="auto"/>
          <w:sz w:val="24"/>
          <w:highlight w:val="none"/>
        </w:rPr>
        <w:t>具体清单附后</w:t>
      </w:r>
      <w:r>
        <w:rPr>
          <w:rFonts w:hint="eastAsia" w:asciiTheme="minorEastAsia" w:hAnsiTheme="minorEastAsia" w:eastAsiaTheme="minorEastAsia" w:cstheme="minorEastAsia"/>
          <w:b/>
          <w:bCs/>
          <w:color w:val="auto"/>
          <w:sz w:val="24"/>
          <w:highlight w:val="none"/>
          <w:lang w:eastAsia="zh-CN"/>
        </w:rPr>
        <w:t>。</w:t>
      </w:r>
    </w:p>
    <w:p>
      <w:pPr>
        <w:pStyle w:val="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3、台盆出水龙头改造：</w:t>
      </w:r>
    </w:p>
    <w:p>
      <w:pPr>
        <w:pStyle w:val="4"/>
        <w:tabs>
          <w:tab w:val="left" w:pos="0"/>
          <w:tab w:val="clear" w:pos="432"/>
        </w:tabs>
        <w:ind w:left="17" w:leftChars="8" w:firstLine="684" w:firstLineChars="285"/>
        <w:rPr>
          <w:rFonts w:hint="eastAsia" w:asciiTheme="minorEastAsia" w:hAnsiTheme="minorEastAsia" w:eastAsiaTheme="minorEastAsia" w:cstheme="minorEastAsia"/>
          <w:b w:val="0"/>
          <w:bCs w:val="0"/>
          <w:color w:val="auto"/>
          <w:sz w:val="24"/>
          <w:highlight w:val="none"/>
          <w:lang w:eastAsia="zh-CN"/>
        </w:rPr>
      </w:pPr>
      <w:r>
        <w:rPr>
          <w:rFonts w:hint="eastAsia" w:asciiTheme="minorEastAsia" w:hAnsiTheme="minorEastAsia" w:eastAsiaTheme="minorEastAsia" w:cstheme="minorEastAsia"/>
          <w:b w:val="0"/>
          <w:bCs w:val="0"/>
          <w:color w:val="auto"/>
          <w:sz w:val="24"/>
          <w:highlight w:val="none"/>
        </w:rPr>
        <w:t>现台盆龙头为手动开关，由于人员粗心或责任心不强，经常会有忘关龙头的情况发生</w:t>
      </w:r>
      <w:r>
        <w:rPr>
          <w:rFonts w:hint="eastAsia" w:asciiTheme="minorEastAsia" w:hAnsiTheme="minorEastAsia" w:eastAsiaTheme="minorEastAsia" w:cstheme="minorEastAsia"/>
          <w:b w:val="0"/>
          <w:bCs w:val="0"/>
          <w:color w:val="auto"/>
          <w:sz w:val="24"/>
          <w:highlight w:val="none"/>
          <w:lang w:eastAsia="zh-CN"/>
        </w:rPr>
        <w:t>，</w:t>
      </w:r>
      <w:r>
        <w:rPr>
          <w:rFonts w:hint="eastAsia" w:asciiTheme="minorEastAsia" w:hAnsiTheme="minorEastAsia" w:eastAsiaTheme="minorEastAsia" w:cstheme="minorEastAsia"/>
          <w:b w:val="0"/>
          <w:bCs w:val="0"/>
          <w:color w:val="auto"/>
          <w:sz w:val="24"/>
          <w:highlight w:val="none"/>
        </w:rPr>
        <w:t>导致浪费水资源的情况发生。计划将所有公区台盆龙头改造为自动感应出水龙头，达到节水的目的。具体参数如下：感应龙头，使用温度：0-55℃，感应距离10CM+15%，原龙头拆除、新龙头安装、调试。</w:t>
      </w:r>
      <w:r>
        <w:rPr>
          <w:rFonts w:hint="eastAsia" w:asciiTheme="minorEastAsia" w:hAnsiTheme="minorEastAsia" w:eastAsiaTheme="minorEastAsia" w:cstheme="minorEastAsia"/>
          <w:b/>
          <w:bCs/>
          <w:color w:val="auto"/>
          <w:sz w:val="24"/>
          <w:highlight w:val="none"/>
        </w:rPr>
        <w:t>具体清单附后</w:t>
      </w:r>
      <w:r>
        <w:rPr>
          <w:rFonts w:hint="eastAsia" w:asciiTheme="minorEastAsia" w:hAnsiTheme="minorEastAsia" w:eastAsiaTheme="minorEastAsia" w:cstheme="minorEastAsia"/>
          <w:b/>
          <w:bCs/>
          <w:color w:val="auto"/>
          <w:sz w:val="24"/>
          <w:highlight w:val="none"/>
          <w:lang w:eastAsia="zh-CN"/>
        </w:rPr>
        <w:t>。</w:t>
      </w:r>
    </w:p>
    <w:p>
      <w:pPr>
        <w:pStyle w:val="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4、光伏系统改造：</w:t>
      </w:r>
    </w:p>
    <w:p>
      <w:pPr>
        <w:pStyle w:val="4"/>
        <w:tabs>
          <w:tab w:val="clear" w:pos="432"/>
        </w:tabs>
        <w:ind w:left="0" w:leftChars="0" w:firstLine="468" w:firstLineChars="195"/>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本工程总装机容量为137.02kWp，选用620Wp单晶硅组件221块。球场本工程采用自发自用，余电上网方式。建筑可上人屋面建造需符合光伏荷载条件，光伏部分采用BAPV方式建设。</w:t>
      </w:r>
    </w:p>
    <w:p>
      <w:pPr>
        <w:pStyle w:val="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（一）光伏组件选型</w:t>
      </w:r>
    </w:p>
    <w:p>
      <w:pPr>
        <w:pStyle w:val="4"/>
        <w:tabs>
          <w:tab w:val="clear" w:pos="432"/>
        </w:tabs>
        <w:ind w:left="0" w:leftChars="0" w:firstLine="468" w:firstLineChars="195"/>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单晶硅光伏组件是最早出现、工艺最成熟的太阳能光伏组件，也是光伏组件大规模生产中效率最高的。大规模生产的单晶硅光伏组件可达到17～21%。</w:t>
      </w:r>
    </w:p>
    <w:p>
      <w:pPr>
        <w:pStyle w:val="4"/>
        <w:tabs>
          <w:tab w:val="left" w:pos="0"/>
          <w:tab w:val="clear" w:pos="432"/>
        </w:tabs>
        <w:ind w:left="13" w:leftChars="6" w:firstLine="410" w:firstLineChars="171"/>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单晶硅光伏组件的性价比最高，多晶硅次之，薄膜组件最低，综合考虑财务效益、土地节约、实际应用经验以及产品供应情况的因素，建议本项目选择国内现在应用中占据主流的单晶硅光伏组件。</w:t>
      </w:r>
    </w:p>
    <w:p>
      <w:pPr>
        <w:pStyle w:val="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（二）逆变器选型</w:t>
      </w:r>
    </w:p>
    <w:p>
      <w:pPr>
        <w:pStyle w:val="4"/>
        <w:tabs>
          <w:tab w:val="clear" w:pos="432"/>
        </w:tabs>
        <w:ind w:left="-7" w:leftChars="0" w:firstLine="427" w:firstLineChars="178"/>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作为光伏发电系统中将直流电转换为交流电的关键设备之一，其选型对于发电系统的转换效率和可靠性具有重要作用。</w:t>
      </w:r>
    </w:p>
    <w:p>
      <w:pPr>
        <w:pStyle w:val="4"/>
        <w:ind w:left="0" w:leftChars="0" w:firstLine="480" w:firstLineChars="200"/>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一般情况下，单台逆变器越大，单位造价相对较低，但是单台逆变器容量过大，在故障的情况下对整个系统出力影响较大，并网逆变器单台容量目前国产最大可达到1MW，考虑到单台逆变器的体积以及系统为屋顶系统，组件方阵的排布和接线方便，可考虑采用单台容量较少的组串逆变器。</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bCs/>
          <w:color w:val="auto"/>
          <w:sz w:val="24"/>
          <w:highlight w:val="none"/>
        </w:rPr>
        <w:t>（三）电缆</w:t>
      </w:r>
    </w:p>
    <w:p>
      <w:pPr>
        <w:pStyle w:val="4"/>
        <w:tabs>
          <w:tab w:val="left" w:pos="0"/>
          <w:tab w:val="clear" w:pos="432"/>
        </w:tabs>
        <w:ind w:left="13" w:leftChars="6" w:firstLine="410" w:firstLineChars="171"/>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在工程中使用符合技术文件要求的电缆，在方阵与方阵之间的电缆采用耐压等级高，绝缘性能好，机械强度大，抗紫外线的光伏专用电缆；在汇流箱输出到配电室以及交流输出侧使用铜芯耐火、阻燃电力电缆。</w:t>
      </w:r>
    </w:p>
    <w:p>
      <w:pPr>
        <w:pStyle w:val="4"/>
        <w:ind w:left="433" w:leftChars="202" w:hanging="9" w:hangingChars="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1）光伏专用电缆</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电缆的绝缘性能：绝缘：XLP（E18）；护套：XLP（EM8）；</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电缆的耐热阻燃性能：阻燃：单根垂直燃烧（IEC60332-1）；</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电缆的防潮、防火：耐气候性：UV（UVISO 4892-2A）；耐臭氧：（IEC60811-2-1）；</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电缆的敷设方式：空气中；</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电缆芯的类型（铜芯、铝芯）：铜芯。</w:t>
      </w:r>
    </w:p>
    <w:p>
      <w:pPr>
        <w:pStyle w:val="4"/>
        <w:ind w:left="433" w:leftChars="202" w:hanging="9" w:hangingChars="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2）电力电缆</w:t>
      </w:r>
    </w:p>
    <w:p>
      <w:pPr>
        <w:pStyle w:val="4"/>
        <w:tabs>
          <w:tab w:val="left" w:pos="0"/>
          <w:tab w:val="clear" w:pos="432"/>
        </w:tabs>
        <w:ind w:left="13" w:leftChars="6" w:firstLine="410" w:firstLineChars="171"/>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电力电缆宜使用阻燃铜芯交联聚乙烯绝缘聚氯乙烯护套电力电缆，阻燃电缆有别于普通电缆，具有以下优点：</w:t>
      </w:r>
    </w:p>
    <w:p>
      <w:pPr>
        <w:pStyle w:val="4"/>
        <w:tabs>
          <w:tab w:val="left" w:pos="0"/>
          <w:tab w:val="clear" w:pos="432"/>
        </w:tabs>
        <w:ind w:left="13" w:leftChars="6" w:firstLine="410" w:firstLineChars="171"/>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lang w:val="en-US" w:eastAsia="zh-CN"/>
        </w:rPr>
        <w:t>1.</w:t>
      </w:r>
      <w:r>
        <w:rPr>
          <w:rFonts w:hint="eastAsia" w:asciiTheme="minorEastAsia" w:hAnsiTheme="minorEastAsia" w:eastAsiaTheme="minorEastAsia" w:cstheme="minorEastAsia"/>
          <w:b w:val="0"/>
          <w:bCs w:val="0"/>
          <w:color w:val="auto"/>
          <w:sz w:val="24"/>
          <w:highlight w:val="none"/>
        </w:rPr>
        <w:t>交联聚乙烯绝缘电力电缆具有高机械强度、耐环境应力好、优良的电气性能和耐化学腐蚀等特点，重量轻，结构简便，使用方便。</w:t>
      </w:r>
    </w:p>
    <w:p>
      <w:pPr>
        <w:pStyle w:val="4"/>
        <w:ind w:left="13" w:leftChars="6" w:firstLine="410" w:firstLineChars="171"/>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lang w:val="en-US" w:eastAsia="zh-CN"/>
        </w:rPr>
        <w:t>2.</w:t>
      </w:r>
      <w:r>
        <w:rPr>
          <w:rFonts w:hint="eastAsia" w:asciiTheme="minorEastAsia" w:hAnsiTheme="minorEastAsia" w:eastAsiaTheme="minorEastAsia" w:cstheme="minorEastAsia"/>
          <w:b w:val="0"/>
          <w:bCs w:val="0"/>
          <w:color w:val="auto"/>
          <w:sz w:val="24"/>
          <w:highlight w:val="none"/>
        </w:rPr>
        <w:t>阻燃型电缆的主要特点是电缆不易着火或着火时延燃仅局限在一定范围内，适用于电缆敷设密集程度较高的发电站、地铁、隧道、高层建筑、大型工矿企业、油田、煤矿等场所。</w:t>
      </w:r>
    </w:p>
    <w:p>
      <w:pPr>
        <w:pStyle w:val="4"/>
        <w:tabs>
          <w:tab w:val="left" w:pos="0"/>
          <w:tab w:val="clear" w:pos="432"/>
        </w:tabs>
        <w:ind w:left="17" w:leftChars="8" w:firstLine="684" w:firstLineChars="285"/>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val="0"/>
          <w:bCs w:val="0"/>
          <w:color w:val="auto"/>
          <w:sz w:val="24"/>
          <w:highlight w:val="none"/>
        </w:rPr>
        <w:t>耐火型电缆的主要特点是电缆除了能在正常的工作条件下传输电力外，电缆在着火燃烧时仍能保持一定时间的正常运行，适用于核电站、地铁、隧道、高层建筑等与防火安全和消防救生有关的地方。</w:t>
      </w:r>
    </w:p>
    <w:p>
      <w:pPr>
        <w:pStyle w:val="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（四）配电柜</w:t>
      </w:r>
    </w:p>
    <w:p>
      <w:pPr>
        <w:pStyle w:val="4"/>
        <w:tabs>
          <w:tab w:val="left" w:pos="0"/>
          <w:tab w:val="clear" w:pos="432"/>
        </w:tabs>
        <w:ind w:left="0" w:leftChars="0" w:firstLine="420" w:firstLineChars="0"/>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为了方便日后对系统的调试、检查与维护，选用交流配电柜将从逆变器敷设过来的电缆线，经过计量后引接到市电并网点并网。交流配电柜主要由交流断路器、交流防雷器、计量电表、电流互感器和熔断器等组成。</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交流配电柜的特性：</w:t>
      </w:r>
    </w:p>
    <w:p>
      <w:pPr>
        <w:pStyle w:val="4"/>
        <w:ind w:left="437" w:leftChars="88" w:hanging="252" w:hangingChars="105"/>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●防护等级IP30,室内安装；</w:t>
      </w:r>
    </w:p>
    <w:p>
      <w:pPr>
        <w:pStyle w:val="4"/>
        <w:ind w:left="437" w:leftChars="88" w:hanging="252" w:hangingChars="105"/>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●安装操作简便；</w:t>
      </w:r>
    </w:p>
    <w:p>
      <w:pPr>
        <w:pStyle w:val="4"/>
        <w:ind w:left="437" w:leftChars="88" w:hanging="252" w:hangingChars="105"/>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●宽交流电压输入范围；</w:t>
      </w:r>
    </w:p>
    <w:p>
      <w:pPr>
        <w:pStyle w:val="4"/>
        <w:ind w:left="437" w:leftChars="88" w:hanging="252" w:hangingChars="105"/>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●具有过流保护、过载保护、极限分段和短路保护；</w:t>
      </w:r>
    </w:p>
    <w:p>
      <w:pPr>
        <w:pStyle w:val="4"/>
        <w:tabs>
          <w:tab w:val="clear" w:pos="432"/>
        </w:tabs>
        <w:ind w:left="17" w:leftChars="8" w:firstLine="165" w:firstLineChars="69"/>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●采用液晶屏显示三相电压、三相电流、三相有功功率、三相有功功率、三相功率因数、复费率电能、开关量输入和输出状态、频率、四象限电能；</w:t>
      </w:r>
    </w:p>
    <w:p>
      <w:pPr>
        <w:pStyle w:val="4"/>
        <w:ind w:left="437" w:leftChars="88" w:hanging="252" w:hangingChars="105"/>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具备可编程测量、显示、数字通讯等功能，具备标准的RS485 通信接口。</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bCs/>
          <w:color w:val="auto"/>
          <w:sz w:val="24"/>
          <w:highlight w:val="none"/>
        </w:rPr>
        <w:t>（五）其他</w:t>
      </w:r>
    </w:p>
    <w:p>
      <w:pPr>
        <w:pStyle w:val="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1、制定完善的发电系统实时监控方案。</w:t>
      </w:r>
    </w:p>
    <w:p>
      <w:pPr>
        <w:pStyle w:val="4"/>
        <w:rPr>
          <w:rFonts w:hint="eastAsia" w:asciiTheme="minorEastAsia" w:hAnsiTheme="minorEastAsia" w:eastAsiaTheme="minorEastAsia" w:cstheme="minorEastAsia"/>
          <w:b/>
          <w:bCs/>
          <w:color w:val="auto"/>
          <w:sz w:val="24"/>
          <w:highlight w:val="none"/>
          <w:lang w:eastAsia="zh-CN"/>
        </w:rPr>
      </w:pPr>
      <w:r>
        <w:rPr>
          <w:rFonts w:hint="eastAsia" w:asciiTheme="minorEastAsia" w:hAnsiTheme="minorEastAsia" w:eastAsiaTheme="minorEastAsia" w:cstheme="minorEastAsia"/>
          <w:b/>
          <w:bCs/>
          <w:color w:val="auto"/>
          <w:sz w:val="24"/>
          <w:highlight w:val="none"/>
        </w:rPr>
        <w:t>具体清单附后</w:t>
      </w:r>
      <w:r>
        <w:rPr>
          <w:rFonts w:hint="eastAsia" w:asciiTheme="minorEastAsia" w:hAnsiTheme="minorEastAsia" w:eastAsiaTheme="minorEastAsia" w:cstheme="minorEastAsia"/>
          <w:b/>
          <w:bCs/>
          <w:color w:val="auto"/>
          <w:sz w:val="24"/>
          <w:highlight w:val="none"/>
          <w:lang w:eastAsia="zh-CN"/>
        </w:rPr>
        <w:t>。</w:t>
      </w:r>
    </w:p>
    <w:p>
      <w:pPr>
        <w:pStyle w:val="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5、能耗监测系统建设：</w:t>
      </w:r>
    </w:p>
    <w:p>
      <w:pPr>
        <w:pStyle w:val="4"/>
        <w:tabs>
          <w:tab w:val="clear" w:pos="432"/>
        </w:tabs>
        <w:ind w:left="0" w:leftChars="0" w:firstLine="420" w:firstLineChars="0"/>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大楼消耗的能源主要为电。该项目能耗监测系统主要对大楼的用电量进行监测。计量方式采用二级计量，即对各用能现场的表计进行分类、分项计量，以实现对能耗的实时采集与监控，所有计量仪表均通过总线进行组网，对现场各监测点能耗状况实现集中监控与管理。</w:t>
      </w:r>
    </w:p>
    <w:p>
      <w:pPr>
        <w:pStyle w:val="4"/>
        <w:tabs>
          <w:tab w:val="clear" w:pos="432"/>
        </w:tabs>
        <w:ind w:left="0" w:leftChars="0" w:firstLine="420" w:firstLineChars="0"/>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本项目为公共建筑能耗监测系统工程，主要目标是通过对办公楼的用电量进行分项计量，数据采集、上传，数据分析，找出在运行过程中存在的问题，持续改进，提高用能管理水平，最终到达节能的目的。</w:t>
      </w:r>
    </w:p>
    <w:p>
      <w:pPr>
        <w:pStyle w:val="4"/>
        <w:ind w:left="433" w:leftChars="202" w:hanging="9" w:hangingChars="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项目的主要功能须有以下几个方面：</w:t>
      </w:r>
    </w:p>
    <w:p>
      <w:pPr>
        <w:pStyle w:val="4"/>
        <w:tabs>
          <w:tab w:val="clear" w:pos="432"/>
        </w:tabs>
        <w:ind w:left="13" w:leftChars="6" w:firstLine="410" w:firstLineChars="171"/>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1.搭建节能监管软件平台，并实现将建筑能耗数据同步上传至浙江省国家机关办公建筑与大型公共建筑节能监管平台。</w:t>
      </w:r>
    </w:p>
    <w:p>
      <w:pPr>
        <w:pStyle w:val="4"/>
        <w:tabs>
          <w:tab w:val="clear" w:pos="432"/>
        </w:tabs>
        <w:ind w:left="13" w:leftChars="6" w:firstLine="410" w:firstLineChars="171"/>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2.满足国家对公建能耗统计、分项计量和能耗报表上传的要求，进行建筑能耗数据的分析。</w:t>
      </w:r>
    </w:p>
    <w:p>
      <w:pPr>
        <w:pStyle w:val="4"/>
        <w:ind w:left="433" w:leftChars="202" w:hanging="9" w:hangingChars="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3.实现建筑能源系统管理由粗放型转变为精细型的科学管理。</w:t>
      </w:r>
    </w:p>
    <w:p>
      <w:pPr>
        <w:pStyle w:val="4"/>
        <w:ind w:left="433" w:leftChars="202" w:hanging="9" w:hangingChars="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4.实现建筑节能系统的持续节能运行，降低能源费用。</w:t>
      </w:r>
    </w:p>
    <w:p>
      <w:pPr>
        <w:pStyle w:val="4"/>
        <w:ind w:left="433" w:leftChars="202" w:hanging="9" w:hangingChars="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5.实现对能源系统的低效率、故障运行的监测和诊断。</w:t>
      </w:r>
    </w:p>
    <w:p>
      <w:pPr>
        <w:pStyle w:val="4"/>
        <w:ind w:left="433" w:leftChars="202" w:hanging="9" w:hangingChars="4"/>
        <w:rPr>
          <w:rFonts w:hint="eastAsia" w:asciiTheme="minorEastAsia" w:hAnsiTheme="minorEastAsia" w:eastAsiaTheme="minorEastAsia" w:cstheme="minorEastAsia"/>
          <w:b w:val="0"/>
          <w:bCs w:val="0"/>
          <w:color w:val="auto"/>
          <w:sz w:val="24"/>
          <w:highlight w:val="none"/>
        </w:rPr>
      </w:pPr>
      <w:r>
        <w:rPr>
          <w:rFonts w:hint="eastAsia" w:asciiTheme="minorEastAsia" w:hAnsiTheme="minorEastAsia" w:eastAsiaTheme="minorEastAsia" w:cstheme="minorEastAsia"/>
          <w:b w:val="0"/>
          <w:bCs w:val="0"/>
          <w:color w:val="auto"/>
          <w:sz w:val="24"/>
          <w:highlight w:val="none"/>
        </w:rPr>
        <w:t>6.实现建筑节能的量化评价。现校区内尚未安装能耗计量。</w:t>
      </w:r>
    </w:p>
    <w:p>
      <w:pPr>
        <w:pStyle w:val="2"/>
        <w:ind w:left="0" w:leftChars="0" w:firstLine="0" w:firstLineChars="0"/>
        <w:rPr>
          <w:rFonts w:hint="eastAsia" w:asciiTheme="minorEastAsia" w:hAnsiTheme="minorEastAsia" w:eastAsiaTheme="minorEastAsia" w:cstheme="minorEastAsia"/>
          <w:b/>
          <w:bCs/>
          <w:color w:val="auto"/>
          <w:sz w:val="24"/>
          <w:highlight w:val="none"/>
          <w:lang w:eastAsia="zh-CN"/>
        </w:rPr>
      </w:pPr>
      <w:r>
        <w:rPr>
          <w:rFonts w:hint="eastAsia" w:asciiTheme="minorEastAsia" w:hAnsiTheme="minorEastAsia" w:eastAsiaTheme="minorEastAsia" w:cstheme="minorEastAsia"/>
          <w:b/>
          <w:bCs/>
          <w:color w:val="auto"/>
          <w:sz w:val="24"/>
          <w:highlight w:val="none"/>
        </w:rPr>
        <w:t>具体清单附后</w:t>
      </w:r>
      <w:r>
        <w:rPr>
          <w:rFonts w:hint="eastAsia" w:asciiTheme="minorEastAsia" w:hAnsiTheme="minorEastAsia" w:eastAsiaTheme="minorEastAsia" w:cstheme="minorEastAsia"/>
          <w:b/>
          <w:bCs/>
          <w:color w:val="auto"/>
          <w:sz w:val="24"/>
          <w:highlight w:val="none"/>
          <w:lang w:eastAsia="zh-CN"/>
        </w:rPr>
        <w:t>。</w:t>
      </w:r>
    </w:p>
    <w:p>
      <w:pPr>
        <w:pStyle w:val="2"/>
        <w:numPr>
          <w:ilvl w:val="0"/>
          <w:numId w:val="1"/>
        </w:numPr>
        <w:ind w:left="0" w:leftChars="0" w:firstLine="0" w:firstLineChars="0"/>
        <w:rPr>
          <w:rFonts w:hint="eastAsia" w:asciiTheme="minorEastAsia" w:hAnsiTheme="minorEastAsia" w:eastAsiaTheme="minorEastAsia" w:cstheme="minorEastAsia"/>
          <w:b/>
          <w:bCs/>
          <w:color w:val="auto"/>
          <w:sz w:val="24"/>
          <w:highlight w:val="none"/>
          <w:lang w:val="en-US" w:eastAsia="zh-CN"/>
        </w:rPr>
      </w:pPr>
      <w:r>
        <w:rPr>
          <w:rFonts w:hint="eastAsia" w:asciiTheme="minorEastAsia" w:hAnsiTheme="minorEastAsia" w:eastAsiaTheme="minorEastAsia" w:cstheme="minorEastAsia"/>
          <w:b/>
          <w:bCs/>
          <w:color w:val="auto"/>
          <w:sz w:val="24"/>
          <w:highlight w:val="none"/>
          <w:lang w:val="en-US" w:eastAsia="zh-CN"/>
        </w:rPr>
        <w:t>采购清单</w:t>
      </w:r>
    </w:p>
    <w:tbl>
      <w:tblPr>
        <w:tblStyle w:val="65"/>
        <w:tblW w:w="10690" w:type="dxa"/>
        <w:tblInd w:w="-7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35"/>
        <w:gridCol w:w="1201"/>
        <w:gridCol w:w="5418"/>
        <w:gridCol w:w="647"/>
        <w:gridCol w:w="856"/>
        <w:gridCol w:w="869"/>
        <w:gridCol w:w="10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3"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名称</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规格型号及具体参数</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单位</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数量</w:t>
            </w:r>
          </w:p>
        </w:tc>
        <w:tc>
          <w:tcPr>
            <w:tcW w:w="869" w:type="dxa"/>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预算单价（元）</w:t>
            </w:r>
          </w:p>
        </w:tc>
        <w:tc>
          <w:tcPr>
            <w:tcW w:w="1064" w:type="dxa"/>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预算总价（元）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8757" w:type="dxa"/>
            <w:gridSpan w:val="5"/>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一、照明系统改造</w:t>
            </w:r>
          </w:p>
        </w:tc>
        <w:tc>
          <w:tcPr>
            <w:tcW w:w="869" w:type="dxa"/>
            <w:shd w:val="clear" w:color="auto" w:fill="auto"/>
            <w:noWrap/>
            <w:vAlign w:val="center"/>
          </w:tcPr>
          <w:p>
            <w:pPr>
              <w:rPr>
                <w:rFonts w:hint="eastAsia" w:ascii="宋体" w:hAnsi="宋体" w:eastAsia="宋体" w:cs="宋体"/>
                <w:i w:val="0"/>
                <w:iCs w:val="0"/>
                <w:color w:val="auto"/>
                <w:sz w:val="21"/>
                <w:szCs w:val="21"/>
                <w:highlight w:val="none"/>
                <w:u w:val="none"/>
              </w:rPr>
            </w:pPr>
          </w:p>
        </w:tc>
        <w:tc>
          <w:tcPr>
            <w:tcW w:w="1064" w:type="dxa"/>
            <w:shd w:val="clear" w:color="auto" w:fill="auto"/>
            <w:noWrap/>
            <w:vAlign w:val="center"/>
          </w:tcPr>
          <w:p>
            <w:pP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635"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201"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太阳能路灯</w:t>
            </w: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1、 </w:t>
            </w:r>
            <w:r>
              <w:rPr>
                <w:rStyle w:val="267"/>
                <w:color w:val="auto"/>
                <w:sz w:val="21"/>
                <w:szCs w:val="21"/>
                <w:highlight w:val="none"/>
                <w:lang w:val="en-US" w:eastAsia="zh-CN" w:bidi="ar"/>
              </w:rPr>
              <w:t>电池板，60W，多晶高效太阳能电池片，转换效率 20%以上，输出功率衰减10年90%以内,20 年 80%以内，使用寿命 20 年以上；</w:t>
            </w:r>
          </w:p>
        </w:tc>
        <w:tc>
          <w:tcPr>
            <w:tcW w:w="647"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856"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w:t>
            </w:r>
          </w:p>
        </w:tc>
        <w:tc>
          <w:tcPr>
            <w:tcW w:w="869"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200</w:t>
            </w:r>
          </w:p>
        </w:tc>
        <w:tc>
          <w:tcPr>
            <w:tcW w:w="1064"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122</w:t>
            </w:r>
            <w:r>
              <w:rPr>
                <w:rFonts w:hint="eastAsia" w:ascii="宋体" w:hAnsi="宋体" w:eastAsia="宋体" w:cs="宋体"/>
                <w:i w:val="0"/>
                <w:iCs w:val="0"/>
                <w:color w:val="auto"/>
                <w:kern w:val="0"/>
                <w:sz w:val="21"/>
                <w:szCs w:val="21"/>
                <w:highlight w:val="none"/>
                <w:u w:val="none"/>
                <w:lang w:val="en-US" w:eastAsia="zh-CN" w:bidi="ar"/>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0" w:hRule="atLeast"/>
        </w:trPr>
        <w:tc>
          <w:tcPr>
            <w:tcW w:w="635"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center"/>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2、 </w:t>
            </w:r>
            <w:r>
              <w:rPr>
                <w:rStyle w:val="267"/>
                <w:color w:val="auto"/>
                <w:sz w:val="21"/>
                <w:szCs w:val="21"/>
                <w:highlight w:val="none"/>
                <w:lang w:val="en-US" w:eastAsia="zh-CN" w:bidi="ar"/>
              </w:rPr>
              <w:t>锂电池，50AH，环境温度-20℃条件下充放电效率不低于 65%，40℃环境下充放电效率不低于 95%，-10℃至 40℃环境 下免维护连续工作 3 年后电池容量衰减不超过 30%，正常使用寿命≥8 年，90%放电深度循环次数不低 于 2000 次，防护等级 IP65 以上, 全密封防水设计使用寿命 5-8 年；</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 w:hRule="atLeast"/>
        </w:trPr>
        <w:tc>
          <w:tcPr>
            <w:tcW w:w="635"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center"/>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3、 </w:t>
            </w:r>
            <w:r>
              <w:rPr>
                <w:rStyle w:val="267"/>
                <w:color w:val="auto"/>
                <w:sz w:val="21"/>
                <w:szCs w:val="21"/>
                <w:highlight w:val="none"/>
                <w:lang w:val="en-US" w:eastAsia="zh-CN" w:bidi="ar"/>
              </w:rPr>
              <w:t>控制器，智能 PMW 防水控制器，内置恒流源，灯头无需另配电源防水，防护等级：IP67，过充、过放，过流， 过压保护光控开，时控关，延时功能，可 3 段控制，夜间节能模式设置设计使用寿命 3 年以上 优先 太阳能；</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2" w:hRule="atLeast"/>
        </w:trPr>
        <w:tc>
          <w:tcPr>
            <w:tcW w:w="635"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center"/>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4、 </w:t>
            </w:r>
            <w:r>
              <w:rPr>
                <w:rStyle w:val="267"/>
                <w:color w:val="auto"/>
                <w:sz w:val="21"/>
                <w:szCs w:val="21"/>
                <w:highlight w:val="none"/>
                <w:lang w:val="en-US" w:eastAsia="zh-CN" w:bidi="ar"/>
              </w:rPr>
              <w:t>主光源；60W，优秀的配光技术，使用寿命 50000 小时以上，单颗流明：130-140LM/W，应用在路 灯灯具上，可以使灯具的发光角度发生偏移，提升了路边的照明利用率；根据矩形的长宽比可以产生 长宽比为 2：1 的光斑，这样相邻的光斑之间则不会出现阴影，可以在路面上形成一条明亮的照度均匀 的光带，因而更符合现在的交通道路的照明设计；</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9" w:hRule="atLeast"/>
        </w:trPr>
        <w:tc>
          <w:tcPr>
            <w:tcW w:w="635"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center"/>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5、 </w:t>
            </w:r>
            <w:r>
              <w:rPr>
                <w:rStyle w:val="267"/>
                <w:color w:val="auto"/>
                <w:sz w:val="21"/>
                <w:szCs w:val="21"/>
                <w:highlight w:val="none"/>
                <w:lang w:val="en-US" w:eastAsia="zh-CN" w:bidi="ar"/>
              </w:rPr>
              <w:t>灯壳，灯头壳体材料采用压铸铝压制成型，反光罩采用公有制铝板，通过专用模具拉伸而成，表面氧化，具 有强度高、亮度好，并保证具有理想的配光曲线。透光罩采用钢化玻璃经热压成型，具有强度高、重量 轻点优点。整体采用模块安装方式、便于维护、使用、防水等。防护等级 IP65 以上；</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5" w:hRule="atLeast"/>
        </w:trPr>
        <w:tc>
          <w:tcPr>
            <w:tcW w:w="635"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center"/>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6、 </w:t>
            </w:r>
            <w:r>
              <w:rPr>
                <w:rStyle w:val="267"/>
                <w:color w:val="auto"/>
                <w:sz w:val="21"/>
                <w:szCs w:val="21"/>
                <w:highlight w:val="none"/>
                <w:lang w:val="en-US" w:eastAsia="zh-CN" w:bidi="ar"/>
              </w:rPr>
              <w:t>灯杆，3.5m，上下口径： 60-120 厚度2.1 法兰260-10 出臂0.85米 3.5米高度 优质钢板，一次性卷杆成型，自动 埋弧焊接技术热镀锌+静电喷塑高温烘烤，塑粉附着力强杆锌层厚度大于 85um，喷塑厚度大于 130um 支 臂长度：120cm，安装口径：60mm 电池板支架：1.角铁散件，便于运输，2.焊接支架易于安装经盐雾 模拟海边的使用条件，耐腐蚀性强，使用寿命 30 年。</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8757" w:type="dxa"/>
            <w:gridSpan w:val="5"/>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二、太阳能热水器改造</w:t>
            </w:r>
          </w:p>
        </w:tc>
        <w:tc>
          <w:tcPr>
            <w:tcW w:w="869" w:type="dxa"/>
            <w:shd w:val="clear" w:color="auto" w:fill="auto"/>
            <w:noWrap/>
            <w:vAlign w:val="center"/>
          </w:tcPr>
          <w:p>
            <w:pPr>
              <w:rPr>
                <w:rFonts w:hint="eastAsia" w:ascii="宋体" w:hAnsi="宋体" w:eastAsia="宋体" w:cs="宋体"/>
                <w:i w:val="0"/>
                <w:iCs w:val="0"/>
                <w:color w:val="auto"/>
                <w:sz w:val="21"/>
                <w:szCs w:val="21"/>
                <w:highlight w:val="none"/>
                <w:u w:val="none"/>
              </w:rPr>
            </w:pPr>
          </w:p>
        </w:tc>
        <w:tc>
          <w:tcPr>
            <w:tcW w:w="1064" w:type="dxa"/>
            <w:shd w:val="clear" w:color="auto" w:fill="auto"/>
            <w:noWrap/>
            <w:vAlign w:val="center"/>
          </w:tcPr>
          <w:p>
            <w:pP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太阳能集热管</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太阳透射比：t≥0.91(AM1.5);太阳吸收比：a≥0.91(AM1.5);半球发射比：∑h≤0.043(80℃±5℃）</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支</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2000</w:t>
            </w:r>
          </w:p>
        </w:tc>
        <w:tc>
          <w:tcPr>
            <w:tcW w:w="869" w:type="dxa"/>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140</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r>
              <w:rPr>
                <w:rFonts w:hint="eastAsia" w:ascii="宋体" w:hAnsi="宋体" w:cs="宋体"/>
                <w:i w:val="0"/>
                <w:iCs w:val="0"/>
                <w:color w:val="auto"/>
                <w:kern w:val="0"/>
                <w:sz w:val="21"/>
                <w:szCs w:val="21"/>
                <w:highlight w:val="none"/>
                <w:u w:val="none"/>
                <w:lang w:val="en-US" w:eastAsia="zh-CN" w:bidi="ar"/>
              </w:rPr>
              <w:t>80</w:t>
            </w:r>
            <w:r>
              <w:rPr>
                <w:rFonts w:hint="eastAsia" w:ascii="宋体" w:hAnsi="宋体" w:eastAsia="宋体" w:cs="宋体"/>
                <w:i w:val="0"/>
                <w:iCs w:val="0"/>
                <w:color w:val="auto"/>
                <w:kern w:val="0"/>
                <w:sz w:val="21"/>
                <w:szCs w:val="21"/>
                <w:highlight w:val="none"/>
                <w:u w:val="none"/>
                <w:lang w:val="en-US" w:eastAsia="zh-CN" w:bidi="ar"/>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太阳能集热器</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内胆304不锈钢厚0.31mm，夹层聚氨酯恒温发泡厚45mm,外胆彩钢板0.31mm</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1053</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50544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太阳能支架</w:t>
            </w:r>
          </w:p>
        </w:tc>
        <w:tc>
          <w:tcPr>
            <w:tcW w:w="541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L40*40*4热镀锌角钢现场焊接</w:t>
            </w:r>
          </w:p>
        </w:tc>
        <w:tc>
          <w:tcPr>
            <w:tcW w:w="64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批</w:t>
            </w:r>
          </w:p>
        </w:tc>
        <w:tc>
          <w:tcPr>
            <w:tcW w:w="85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686.56</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686.56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保温水箱</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内胆304不锈钢厚0.5mm，夹层聚氨酯恒温发泡厚50mm,外胆201不锈钢0.6mm</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只</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8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8800</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太阳能循环泵</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Q=12m³、H=15m</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台</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8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4647.8</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9295.6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恒压变频泵</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Q=15m³、H=22m</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台</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8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6578</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13156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太阳能循环管道</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薄壁不锈钢卡压管道</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批</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8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16408.9</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32817.8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闸阀</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DN25</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只</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w:t>
            </w:r>
          </w:p>
        </w:tc>
        <w:tc>
          <w:tcPr>
            <w:tcW w:w="8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68</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闸阀</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DN40</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只</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w:t>
            </w:r>
          </w:p>
        </w:tc>
        <w:tc>
          <w:tcPr>
            <w:tcW w:w="8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121.9</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1950.4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止回阀</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DN40</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只</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8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130.4</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1043.2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电磁阀</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DN25</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只</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8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263.6</w:t>
            </w:r>
          </w:p>
        </w:tc>
        <w:tc>
          <w:tcPr>
            <w:tcW w:w="1064"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1054.4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8757" w:type="dxa"/>
            <w:gridSpan w:val="5"/>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三、台盆出水龙头改造</w:t>
            </w:r>
          </w:p>
        </w:tc>
        <w:tc>
          <w:tcPr>
            <w:tcW w:w="869" w:type="dxa"/>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自动感应出水龙头</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感应龙头，使用温度：0-55℃，感应距离10CM+15%</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台</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90</w:t>
            </w:r>
          </w:p>
        </w:tc>
        <w:tc>
          <w:tcPr>
            <w:tcW w:w="869" w:type="dxa"/>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1100</w:t>
            </w:r>
          </w:p>
        </w:tc>
        <w:tc>
          <w:tcPr>
            <w:tcW w:w="1064" w:type="dxa"/>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99000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8757" w:type="dxa"/>
            <w:gridSpan w:val="5"/>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四、光伏系统改造</w:t>
            </w:r>
          </w:p>
        </w:tc>
        <w:tc>
          <w:tcPr>
            <w:tcW w:w="869" w:type="dxa"/>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9"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组件</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最大功率620Wp；最佳工作电流Imp13.5；最佳工作电压Vmp45.93；短路电流14.19A；开路电压55.58V；组件效率22.18%；最大系统电压1500VDC；尺寸结构2465×1134×35mm；温度范围-40℃～+85℃；承受冰雹符合 GB/T9535-1998（IEC61215）要求；重量34.6Kg</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片</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221</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1255</w:t>
            </w:r>
          </w:p>
        </w:tc>
        <w:tc>
          <w:tcPr>
            <w:tcW w:w="1064"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277355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逆变器</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最大直流电压1100Vdc；启动电压200V；满载MPP电压范围600~850V；最大输入电流45A；最大功率跟踪器路数8；额定输出功率125kW；最大交流输出电流198.5A；额定电网电压400Vac；允许电网电压340~440Vac；额定电网频率50Hz,60Hz/±5Hz；总电流波形畸变率&lt; 3% ；功率因素0.8（滞后）~0.8（滞前）；最大效率；98.7%；欧洲效率98.5%；防护等级IP66；夜间自耗电＜1W；允许环境温度-30~+60℃；冷却方式智能风冷；允许相对湿度0~100%，无冷凝；允许最高海拔4000m；标准通讯方式USB、RS485；可选通讯方式GPRS、4G；外形尺寸（宽x高x深）970x640x345mm；净重34kg</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台</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28450</w:t>
            </w:r>
          </w:p>
        </w:tc>
        <w:tc>
          <w:tcPr>
            <w:tcW w:w="1064"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28450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水泥墩</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C25预制</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300</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75</w:t>
            </w:r>
          </w:p>
        </w:tc>
        <w:tc>
          <w:tcPr>
            <w:tcW w:w="1064"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支架</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国标热镀锌</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批</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38645</w:t>
            </w:r>
          </w:p>
        </w:tc>
        <w:tc>
          <w:tcPr>
            <w:tcW w:w="1064"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38645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并网柜</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200千瓦并网柜</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台</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14500</w:t>
            </w:r>
          </w:p>
        </w:tc>
        <w:tc>
          <w:tcPr>
            <w:tcW w:w="1064"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直流线</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pv1-F  1*4</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2000</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w:t>
            </w:r>
          </w:p>
        </w:tc>
        <w:tc>
          <w:tcPr>
            <w:tcW w:w="1064"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交流电缆</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ZRYJV3*120+1*70</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100</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380</w:t>
            </w:r>
          </w:p>
        </w:tc>
        <w:tc>
          <w:tcPr>
            <w:tcW w:w="1064"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桥架</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100*100/200*100铝合金</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批</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137.02</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76</w:t>
            </w:r>
          </w:p>
        </w:tc>
        <w:tc>
          <w:tcPr>
            <w:tcW w:w="1064"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10413.52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120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接地</w:t>
            </w:r>
          </w:p>
        </w:tc>
        <w:tc>
          <w:tcPr>
            <w:tcW w:w="5418"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40*4扁铁</w:t>
            </w:r>
          </w:p>
        </w:tc>
        <w:tc>
          <w:tcPr>
            <w:tcW w:w="647"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批</w:t>
            </w:r>
          </w:p>
        </w:tc>
        <w:tc>
          <w:tcPr>
            <w:tcW w:w="856"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137.02</w:t>
            </w:r>
          </w:p>
        </w:tc>
        <w:tc>
          <w:tcPr>
            <w:tcW w:w="869" w:type="dxa"/>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76</w:t>
            </w:r>
          </w:p>
        </w:tc>
        <w:tc>
          <w:tcPr>
            <w:tcW w:w="1064" w:type="dxa"/>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10413.52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8757" w:type="dxa"/>
            <w:gridSpan w:val="5"/>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五、能耗监测系统</w:t>
            </w:r>
          </w:p>
        </w:tc>
        <w:tc>
          <w:tcPr>
            <w:tcW w:w="869" w:type="dxa"/>
            <w:shd w:val="clear" w:color="auto" w:fill="auto"/>
            <w:noWrap/>
            <w:vAlign w:val="center"/>
          </w:tcPr>
          <w:p>
            <w:pPr>
              <w:rPr>
                <w:rFonts w:hint="eastAsia" w:ascii="宋体" w:hAnsi="宋体" w:eastAsia="宋体" w:cs="宋体"/>
                <w:i w:val="0"/>
                <w:iCs w:val="0"/>
                <w:color w:val="auto"/>
                <w:sz w:val="21"/>
                <w:szCs w:val="21"/>
                <w:highlight w:val="none"/>
                <w:u w:val="none"/>
              </w:rPr>
            </w:pPr>
          </w:p>
        </w:tc>
        <w:tc>
          <w:tcPr>
            <w:tcW w:w="1064" w:type="dxa"/>
            <w:shd w:val="clear" w:color="auto" w:fill="auto"/>
            <w:noWrap/>
            <w:vAlign w:val="center"/>
          </w:tcPr>
          <w:p>
            <w:pP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restart"/>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201" w:type="dxa"/>
            <w:vMerge w:val="restart"/>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软件</w:t>
            </w:r>
          </w:p>
        </w:tc>
        <w:tc>
          <w:tcPr>
            <w:tcW w:w="5418" w:type="dxa"/>
            <w:shd w:val="clear" w:color="auto" w:fill="FFFFFF"/>
            <w:vAlign w:val="top"/>
          </w:tcPr>
          <w:p>
            <w:pPr>
              <w:keepNext w:val="0"/>
              <w:keepLines w:val="0"/>
              <w:widowControl/>
              <w:suppressLineNumbers w:val="0"/>
              <w:jc w:val="left"/>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1.名 称：系统软件</w:t>
            </w:r>
          </w:p>
        </w:tc>
        <w:tc>
          <w:tcPr>
            <w:tcW w:w="647"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856"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869"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5000</w:t>
            </w:r>
          </w:p>
        </w:tc>
        <w:tc>
          <w:tcPr>
            <w:tcW w:w="1064"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0"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both"/>
              <w:rPr>
                <w:rFonts w:hint="eastAsia" w:ascii="宋体" w:hAnsi="宋体" w:eastAsia="宋体" w:cs="宋体"/>
                <w:i w:val="0"/>
                <w:iCs w:val="0"/>
                <w:color w:val="auto"/>
                <w:sz w:val="21"/>
                <w:szCs w:val="21"/>
                <w:highlight w:val="none"/>
                <w:u w:val="none"/>
              </w:rPr>
            </w:pPr>
          </w:p>
        </w:tc>
        <w:tc>
          <w:tcPr>
            <w:tcW w:w="5418" w:type="dxa"/>
            <w:shd w:val="clear" w:color="auto" w:fill="FFFFFF"/>
            <w:vAlign w:val="top"/>
          </w:tcPr>
          <w:p>
            <w:pPr>
              <w:keepNext w:val="0"/>
              <w:keepLines w:val="0"/>
              <w:widowControl/>
              <w:suppressLineNumbers w:val="0"/>
              <w:jc w:val="left"/>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2.规 格：能耗监测系统管理平台软件基于B/S结构的建筑级能源管理软件平台，按需弹性扩展；支持海量数据采集，可实现大数据并发处理，支持对数据访问的角色控制；支持在线动态配置和修改现场控制逻辑；支持在线图形化逻辑编制和即时生效。满足以下功能需求：系统平台能耗数据采集子功能，要求能实现与大量能耗采集器的并行通讯，完成能耗数据的接收、预处理和存储功能，实现对建筑能耗采集设备的集中管理、配置、状态监控。</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both"/>
              <w:rPr>
                <w:rFonts w:hint="eastAsia" w:ascii="宋体" w:hAnsi="宋体" w:eastAsia="宋体" w:cs="宋体"/>
                <w:i w:val="0"/>
                <w:iCs w:val="0"/>
                <w:color w:val="auto"/>
                <w:sz w:val="21"/>
                <w:szCs w:val="21"/>
                <w:highlight w:val="none"/>
                <w:u w:val="none"/>
              </w:rPr>
            </w:pPr>
          </w:p>
        </w:tc>
        <w:tc>
          <w:tcPr>
            <w:tcW w:w="5418" w:type="dxa"/>
            <w:shd w:val="clear" w:color="auto" w:fill="FFFFFF"/>
            <w:vAlign w:val="top"/>
          </w:tcPr>
          <w:p>
            <w:pPr>
              <w:keepNext w:val="0"/>
              <w:keepLines w:val="0"/>
              <w:widowControl/>
              <w:suppressLineNumbers w:val="0"/>
              <w:jc w:val="left"/>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系统软件功能:(1)用户可通过首页查看概况、用能总貌、用电比例、各类型能源总用能趋势等信息；(2)为用户提供监控区域内所有建筑的统一能耗监测功能；(3)为用户提供监控区域内所有机构的统一能耗监测功能；(4)实现能效分析包括建筑分析、机构分析；(5)实现数据查询和导出数据；(6)实现对所有建筑或者机构的相关能耗指标进行排名</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35" w:type="dxa"/>
            <w:vMerge w:val="restart"/>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2</w:t>
            </w:r>
          </w:p>
        </w:tc>
        <w:tc>
          <w:tcPr>
            <w:tcW w:w="1201" w:type="dxa"/>
            <w:vMerge w:val="restart"/>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交换机</w:t>
            </w:r>
          </w:p>
        </w:tc>
        <w:tc>
          <w:tcPr>
            <w:tcW w:w="5418" w:type="dxa"/>
            <w:shd w:val="clear" w:color="auto" w:fill="FFFFFF"/>
            <w:vAlign w:val="top"/>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1.名 称：交换机</w:t>
            </w:r>
          </w:p>
        </w:tc>
        <w:tc>
          <w:tcPr>
            <w:tcW w:w="647"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台</w:t>
            </w:r>
          </w:p>
        </w:tc>
        <w:tc>
          <w:tcPr>
            <w:tcW w:w="856"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869"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786</w:t>
            </w:r>
          </w:p>
        </w:tc>
        <w:tc>
          <w:tcPr>
            <w:tcW w:w="1064"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2.功 能：网络系统 速率：10/100/1000Mbps端口数量:16个1000Mbps端口，交换机类型：快速以太网交换</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restart"/>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3</w:t>
            </w:r>
          </w:p>
        </w:tc>
        <w:tc>
          <w:tcPr>
            <w:tcW w:w="1201" w:type="dxa"/>
            <w:vMerge w:val="restart"/>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抄表采集系统</w:t>
            </w: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1.名 称：抄表采集系统</w:t>
            </w:r>
          </w:p>
        </w:tc>
        <w:tc>
          <w:tcPr>
            <w:tcW w:w="647"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台</w:t>
            </w:r>
          </w:p>
        </w:tc>
        <w:tc>
          <w:tcPr>
            <w:tcW w:w="856"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869"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6500</w:t>
            </w:r>
          </w:p>
        </w:tc>
        <w:tc>
          <w:tcPr>
            <w:tcW w:w="1064"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2.类 别：数据采集器箱内安装 1、10/100M 自适应以太网接口，2KV 电磁隔离；支持静态或动态 IP 获取；</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3、独立的 Console接口，USB或者RS232；1-2个M-BUS工作串口；</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4、支持Mod-bus通讯协议，且必须同时支持DL/T645-1997或CJ/T188-2004或GB/T19582-2008标准的通信协议；</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5、支持不少于对128个数据采集点进行数据采集；</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6、波特率：1200-115200bps；</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7、高精度RTC；</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8、内嵌大容量存储介质(2GB)，支持FAT16、FAT32文件系统；</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9、内置硬件看门狗；</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10、硬件恢复缺省网络参数；</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11、电压范围 +9V～+24V 直流；</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12、系统功耗低，全速允许功耗小于8W；</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13、工作温度：-20～+70℃；存储温度：-45～+85℃；湿度：5% - 95% RH，无凝露；支持远程升级。</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restart"/>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4</w:t>
            </w:r>
          </w:p>
        </w:tc>
        <w:tc>
          <w:tcPr>
            <w:tcW w:w="1201" w:type="dxa"/>
            <w:vMerge w:val="restart"/>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多表远传设备</w:t>
            </w: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1、电压、电流规格：3*220/380V,3*1.5(6)A；</w:t>
            </w:r>
          </w:p>
        </w:tc>
        <w:tc>
          <w:tcPr>
            <w:tcW w:w="647"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台</w:t>
            </w:r>
          </w:p>
        </w:tc>
        <w:tc>
          <w:tcPr>
            <w:tcW w:w="856"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w:t>
            </w:r>
          </w:p>
        </w:tc>
        <w:tc>
          <w:tcPr>
            <w:tcW w:w="869"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776</w:t>
            </w:r>
          </w:p>
        </w:tc>
        <w:tc>
          <w:tcPr>
            <w:tcW w:w="1064"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24056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2、频率：50Hz±5%Hz；</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3、应具有电流、电压（相电压、线电压）、功率、功率因数、频率、等实时电参量测量功能，测量准确度不低于0.5级；</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4、具有正反向有功电能计量，四象限无功电能计量，最大需量记录功能，有功电能准确度不低于0.5级，无功电能准确度不低于2级；</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5、采用RS485接口，通讯规约符合DL/T645-2007《多功能电能表通信规约》或MODBUS-RTU通信协议，采用MODBUS-RTU通信协议时，通信波特率1200-19200bps可设，默认9600bps；</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6、嵌入式安装。</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restart"/>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5</w:t>
            </w:r>
          </w:p>
        </w:tc>
        <w:tc>
          <w:tcPr>
            <w:tcW w:w="1201" w:type="dxa"/>
            <w:vMerge w:val="restart"/>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抄表采集系统1</w:t>
            </w: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1.名 称：电表柜</w:t>
            </w:r>
          </w:p>
        </w:tc>
        <w:tc>
          <w:tcPr>
            <w:tcW w:w="647"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856"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869"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1256</w:t>
            </w:r>
          </w:p>
        </w:tc>
        <w:tc>
          <w:tcPr>
            <w:tcW w:w="1064"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2.类 别：其他：电表柜，尺寸现场情况定制</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restart"/>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6</w:t>
            </w:r>
          </w:p>
        </w:tc>
        <w:tc>
          <w:tcPr>
            <w:tcW w:w="1201" w:type="dxa"/>
            <w:vMerge w:val="restart"/>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抄表采集系统2</w:t>
            </w: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1.名 称：采集器专用箱</w:t>
            </w:r>
          </w:p>
        </w:tc>
        <w:tc>
          <w:tcPr>
            <w:tcW w:w="647"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856"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869"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887</w:t>
            </w:r>
          </w:p>
        </w:tc>
        <w:tc>
          <w:tcPr>
            <w:tcW w:w="1064"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2.类 别：明装控制箱，尺寸现场情况定制</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restart"/>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7</w:t>
            </w:r>
          </w:p>
        </w:tc>
        <w:tc>
          <w:tcPr>
            <w:tcW w:w="1201" w:type="dxa"/>
            <w:vMerge w:val="restart"/>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互感器</w:t>
            </w: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1、名称：电流互感器</w:t>
            </w:r>
          </w:p>
        </w:tc>
        <w:tc>
          <w:tcPr>
            <w:tcW w:w="647"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856"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w:t>
            </w:r>
          </w:p>
        </w:tc>
        <w:tc>
          <w:tcPr>
            <w:tcW w:w="869"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238</w:t>
            </w:r>
          </w:p>
        </w:tc>
        <w:tc>
          <w:tcPr>
            <w:tcW w:w="1064"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7378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2、其他：BH-0.66  0.5级</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restart"/>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8</w:t>
            </w:r>
          </w:p>
        </w:tc>
        <w:tc>
          <w:tcPr>
            <w:tcW w:w="1201" w:type="dxa"/>
            <w:vMerge w:val="restart"/>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配线</w:t>
            </w: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1.名 称：穿多芯软导线</w:t>
            </w:r>
          </w:p>
        </w:tc>
        <w:tc>
          <w:tcPr>
            <w:tcW w:w="647"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m</w:t>
            </w:r>
          </w:p>
        </w:tc>
        <w:tc>
          <w:tcPr>
            <w:tcW w:w="856" w:type="dxa"/>
            <w:vMerge w:val="restart"/>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800</w:t>
            </w:r>
          </w:p>
        </w:tc>
        <w:tc>
          <w:tcPr>
            <w:tcW w:w="869"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10.6</w:t>
            </w:r>
          </w:p>
        </w:tc>
        <w:tc>
          <w:tcPr>
            <w:tcW w:w="1064" w:type="dxa"/>
            <w:vMerge w:val="restart"/>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2.配线形式：</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35" w:type="dxa"/>
            <w:vMerge w:val="continue"/>
            <w:shd w:val="clear" w:color="auto" w:fill="FFFFFF"/>
            <w:vAlign w:val="center"/>
          </w:tcPr>
          <w:p>
            <w:pPr>
              <w:jc w:val="left"/>
              <w:rPr>
                <w:rFonts w:hint="eastAsia" w:ascii="宋体" w:hAnsi="宋体" w:eastAsia="宋体" w:cs="宋体"/>
                <w:i w:val="0"/>
                <w:iCs w:val="0"/>
                <w:color w:val="auto"/>
                <w:sz w:val="21"/>
                <w:szCs w:val="21"/>
                <w:highlight w:val="none"/>
                <w:u w:val="none"/>
              </w:rPr>
            </w:pPr>
          </w:p>
        </w:tc>
        <w:tc>
          <w:tcPr>
            <w:tcW w:w="1201" w:type="dxa"/>
            <w:vMerge w:val="continue"/>
            <w:shd w:val="clear" w:color="auto" w:fill="auto"/>
            <w:vAlign w:val="center"/>
          </w:tcPr>
          <w:p>
            <w:pPr>
              <w:jc w:val="left"/>
              <w:rPr>
                <w:rFonts w:hint="eastAsia" w:ascii="宋体" w:hAnsi="宋体" w:eastAsia="宋体" w:cs="宋体"/>
                <w:i w:val="0"/>
                <w:iCs w:val="0"/>
                <w:color w:val="auto"/>
                <w:sz w:val="21"/>
                <w:szCs w:val="21"/>
                <w:highlight w:val="none"/>
                <w:u w:val="none"/>
              </w:rPr>
            </w:pPr>
          </w:p>
        </w:tc>
        <w:tc>
          <w:tcPr>
            <w:tcW w:w="5418" w:type="dxa"/>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3.配线型号：RVVP2*1.5</w:t>
            </w:r>
          </w:p>
        </w:tc>
        <w:tc>
          <w:tcPr>
            <w:tcW w:w="647"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56" w:type="dxa"/>
            <w:vMerge w:val="continue"/>
            <w:shd w:val="clear" w:color="auto" w:fill="FFFFFF"/>
            <w:vAlign w:val="center"/>
          </w:tcPr>
          <w:p>
            <w:pPr>
              <w:jc w:val="center"/>
              <w:rPr>
                <w:rFonts w:hint="eastAsia" w:ascii="宋体" w:hAnsi="宋体" w:eastAsia="宋体" w:cs="宋体"/>
                <w:i w:val="0"/>
                <w:iCs w:val="0"/>
                <w:color w:val="auto"/>
                <w:sz w:val="21"/>
                <w:szCs w:val="21"/>
                <w:highlight w:val="none"/>
                <w:u w:val="none"/>
              </w:rPr>
            </w:pPr>
          </w:p>
        </w:tc>
        <w:tc>
          <w:tcPr>
            <w:tcW w:w="869"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c>
          <w:tcPr>
            <w:tcW w:w="1064" w:type="dxa"/>
            <w:vMerge w:val="continue"/>
            <w:shd w:val="clear" w:color="auto" w:fill="auto"/>
            <w:noWrap/>
            <w:vAlign w:val="center"/>
          </w:tcPr>
          <w:p>
            <w:pPr>
              <w:jc w:val="center"/>
              <w:rPr>
                <w:rFonts w:hint="eastAsia" w:ascii="宋体" w:hAnsi="宋体" w:eastAsia="宋体" w:cs="宋体"/>
                <w:i w:val="0"/>
                <w:iCs w:val="0"/>
                <w:color w:val="auto"/>
                <w:sz w:val="21"/>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8757" w:type="dxa"/>
            <w:gridSpan w:val="5"/>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合计</w:t>
            </w:r>
          </w:p>
        </w:tc>
        <w:tc>
          <w:tcPr>
            <w:tcW w:w="869" w:type="dxa"/>
            <w:shd w:val="clear" w:color="auto" w:fill="auto"/>
            <w:noWrap/>
            <w:vAlign w:val="center"/>
          </w:tcPr>
          <w:p>
            <w:pPr>
              <w:rPr>
                <w:rFonts w:hint="eastAsia" w:ascii="宋体" w:hAnsi="宋体" w:eastAsia="宋体" w:cs="宋体"/>
                <w:i w:val="0"/>
                <w:iCs w:val="0"/>
                <w:color w:val="auto"/>
                <w:sz w:val="21"/>
                <w:szCs w:val="21"/>
                <w:highlight w:val="none"/>
                <w:u w:val="none"/>
              </w:rPr>
            </w:pPr>
          </w:p>
        </w:tc>
        <w:tc>
          <w:tcPr>
            <w:tcW w:w="1064" w:type="dxa"/>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1194000</w:t>
            </w:r>
          </w:p>
        </w:tc>
      </w:tr>
    </w:tbl>
    <w:p>
      <w:pPr>
        <w:pStyle w:val="2"/>
        <w:numPr>
          <w:ilvl w:val="0"/>
          <w:numId w:val="0"/>
        </w:numPr>
        <w:ind w:leftChars="0"/>
        <w:rPr>
          <w:rFonts w:hint="default" w:asciiTheme="minorEastAsia" w:hAnsiTheme="minorEastAsia" w:eastAsiaTheme="minorEastAsia" w:cstheme="minorEastAsia"/>
          <w:b/>
          <w:bCs/>
          <w:color w:val="auto"/>
          <w:sz w:val="24"/>
          <w:highlight w:val="none"/>
          <w:lang w:val="en-US" w:eastAsia="zh-CN"/>
        </w:rPr>
      </w:pPr>
    </w:p>
    <w:p>
      <w:pPr>
        <w:pStyle w:val="2"/>
        <w:ind w:left="0" w:leftChars="0" w:firstLine="0" w:firstLineChars="0"/>
        <w:rPr>
          <w:rFonts w:hint="eastAsia" w:asciiTheme="minorEastAsia" w:hAnsiTheme="minorEastAsia" w:eastAsiaTheme="minorEastAsia" w:cstheme="minorEastAsia"/>
          <w:b/>
          <w:bCs/>
          <w:color w:val="auto"/>
          <w:kern w:val="2"/>
          <w:sz w:val="24"/>
          <w:szCs w:val="32"/>
          <w:highlight w:val="none"/>
          <w:lang w:val="en-US" w:eastAsia="zh-CN" w:bidi="ar-SA"/>
        </w:rPr>
      </w:pPr>
      <w:r>
        <w:rPr>
          <w:rFonts w:hint="eastAsia" w:asciiTheme="minorEastAsia" w:hAnsiTheme="minorEastAsia" w:eastAsiaTheme="minorEastAsia" w:cstheme="minorEastAsia"/>
          <w:b/>
          <w:bCs/>
          <w:color w:val="auto"/>
          <w:kern w:val="2"/>
          <w:sz w:val="24"/>
          <w:szCs w:val="32"/>
          <w:highlight w:val="none"/>
          <w:lang w:val="en-US" w:eastAsia="zh-CN" w:bidi="ar-SA"/>
        </w:rPr>
        <w:t>三、商务要求</w:t>
      </w:r>
    </w:p>
    <w:p>
      <w:pPr>
        <w:autoSpaceDE w:val="0"/>
        <w:autoSpaceDN w:val="0"/>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1.采购设备的总体要求</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1）必须符合招标文件(包括补充更正，如有)的技术要求和配置；必须是国内相应制造厂商生产并提供的原装合格产品；必须是2023年1月1日以后生产的、符合国家质量技术标准的设备。</w:t>
      </w:r>
    </w:p>
    <w:p>
      <w:pPr>
        <w:autoSpaceDE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2）售后服务按国家市场监督管理总局和国家其他有关规定执行，国家没有规定的按厂商规定执行。国家规定标准低于厂商标准的按厂商标准执行，</w:t>
      </w:r>
      <w:r>
        <w:rPr>
          <w:rFonts w:hint="eastAsia" w:ascii="宋体" w:hAnsi="宋体" w:cs="宋体"/>
          <w:color w:val="auto"/>
          <w:kern w:val="0"/>
          <w:sz w:val="24"/>
          <w:highlight w:val="none"/>
        </w:rPr>
        <w:t>但最低免费整体质保服务期不得少于3年。</w:t>
      </w:r>
    </w:p>
    <w:p>
      <w:pPr>
        <w:autoSpaceDE w:val="0"/>
        <w:autoSpaceDN w:val="0"/>
        <w:snapToGrid w:val="0"/>
        <w:spacing w:line="360" w:lineRule="auto"/>
        <w:ind w:firstLine="482" w:firstLineChars="200"/>
        <w:textAlignment w:val="bottom"/>
        <w:rPr>
          <w:rFonts w:ascii="宋体" w:hAnsi="宋体" w:cs="宋体"/>
          <w:b/>
          <w:color w:val="auto"/>
          <w:sz w:val="24"/>
          <w:highlight w:val="none"/>
        </w:rPr>
      </w:pPr>
      <w:r>
        <w:rPr>
          <w:rFonts w:hint="eastAsia" w:ascii="宋体" w:hAnsi="宋体" w:cs="宋体"/>
          <w:b/>
          <w:color w:val="auto"/>
          <w:sz w:val="24"/>
          <w:highlight w:val="none"/>
        </w:rPr>
        <w:t>2.售后服务</w:t>
      </w:r>
    </w:p>
    <w:p>
      <w:pPr>
        <w:autoSpaceDE w:val="0"/>
        <w:autoSpaceDN w:val="0"/>
        <w:snapToGrid w:val="0"/>
        <w:spacing w:line="360" w:lineRule="auto"/>
        <w:ind w:firstLine="480" w:firstLineChars="200"/>
        <w:textAlignment w:val="bottom"/>
        <w:rPr>
          <w:rFonts w:hint="default" w:eastAsia="仿宋_GB2312"/>
          <w:color w:val="auto"/>
          <w:highlight w:val="none"/>
          <w:lang w:val="en-US" w:eastAsia="zh-CN"/>
        </w:rPr>
      </w:pPr>
      <w:r>
        <w:rPr>
          <w:rFonts w:hint="eastAsia" w:ascii="宋体" w:hAnsi="宋体" w:cs="宋体"/>
          <w:color w:val="auto"/>
          <w:sz w:val="24"/>
          <w:highlight w:val="none"/>
        </w:rPr>
        <w:t>1）本项目提供≥</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年的质保期（其中①光伏组件10年工艺质保，10年功率有限质保；②逆变器质保期5年；③整机系统质保5年。）（若设备原厂商提供更长质保期，则按最长的质保期执行），质保期从验收合格交付使用之日起算；质量保修期内提供至少1名工程师跟踪服务支持，确保设备系统稳定运行。 质保期内因不能排除的故障而影响工作的情况每发生一次，其质保期相应延长60天，质保期内因设备本身缺陷造成各种故障应由卖方免费技术服务和维修。</w:t>
      </w:r>
    </w:p>
    <w:p>
      <w:pPr>
        <w:autoSpaceDE w:val="0"/>
        <w:autoSpaceDN w:val="0"/>
        <w:snapToGrid w:val="0"/>
        <w:spacing w:line="360" w:lineRule="auto"/>
        <w:ind w:firstLine="480" w:firstLineChars="200"/>
        <w:textAlignment w:val="bottom"/>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）在设备（或系统）整个使用期内，</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应确保正常使用，在接到</w:t>
      </w:r>
      <w:r>
        <w:rPr>
          <w:rFonts w:hint="eastAsia" w:ascii="宋体" w:hAnsi="宋体" w:cs="宋体"/>
          <w:color w:val="auto"/>
          <w:sz w:val="24"/>
          <w:highlight w:val="none"/>
          <w:lang w:eastAsia="zh-CN"/>
        </w:rPr>
        <w:t>采购单位</w:t>
      </w:r>
      <w:r>
        <w:rPr>
          <w:rFonts w:hint="eastAsia" w:ascii="宋体" w:hAnsi="宋体" w:cs="宋体"/>
          <w:color w:val="auto"/>
          <w:sz w:val="24"/>
          <w:highlight w:val="none"/>
        </w:rPr>
        <w:t>维修要求后在</w:t>
      </w:r>
      <w:r>
        <w:rPr>
          <w:rFonts w:hint="eastAsia" w:ascii="宋体" w:hAnsi="宋体" w:cs="宋体"/>
          <w:color w:val="auto"/>
          <w:sz w:val="24"/>
          <w:highlight w:val="none"/>
          <w:u w:val="single"/>
          <w:lang w:val="en-US" w:eastAsia="zh-CN"/>
        </w:rPr>
        <w:t>1</w:t>
      </w:r>
      <w:r>
        <w:rPr>
          <w:rFonts w:hint="eastAsia" w:ascii="宋体" w:hAnsi="宋体" w:cs="宋体"/>
          <w:color w:val="auto"/>
          <w:sz w:val="24"/>
          <w:highlight w:val="none"/>
          <w:u w:val="single"/>
        </w:rPr>
        <w:t>小时</w:t>
      </w:r>
      <w:r>
        <w:rPr>
          <w:rFonts w:hint="eastAsia" w:ascii="宋体" w:hAnsi="宋体" w:cs="宋体"/>
          <w:color w:val="auto"/>
          <w:sz w:val="24"/>
          <w:highlight w:val="none"/>
        </w:rPr>
        <w:t>内响应并提出解决方案，</w:t>
      </w:r>
      <w:r>
        <w:rPr>
          <w:rFonts w:hint="eastAsia" w:ascii="宋体" w:hAnsi="宋体" w:cs="宋体"/>
          <w:color w:val="auto"/>
          <w:sz w:val="24"/>
          <w:highlight w:val="none"/>
          <w:u w:val="single"/>
        </w:rPr>
        <w:t>2小时</w:t>
      </w:r>
      <w:r>
        <w:rPr>
          <w:rFonts w:hint="eastAsia" w:ascii="宋体" w:hAnsi="宋体" w:cs="宋体"/>
          <w:color w:val="auto"/>
          <w:sz w:val="24"/>
          <w:highlight w:val="none"/>
        </w:rPr>
        <w:t>内到达现场对故障进行处理，维修过程中所需材料中标供应商在接到通知后应及时提供，最长不超过</w:t>
      </w:r>
      <w:r>
        <w:rPr>
          <w:rFonts w:hint="eastAsia" w:ascii="宋体" w:hAnsi="宋体" w:cs="宋体"/>
          <w:color w:val="auto"/>
          <w:sz w:val="24"/>
          <w:highlight w:val="none"/>
          <w:u w:val="single"/>
        </w:rPr>
        <w:t>24小时</w:t>
      </w:r>
      <w:r>
        <w:rPr>
          <w:rFonts w:hint="eastAsia" w:ascii="宋体" w:hAnsi="宋体" w:cs="宋体"/>
          <w:color w:val="auto"/>
          <w:sz w:val="24"/>
          <w:highlight w:val="none"/>
        </w:rPr>
        <w:t>必须送达</w:t>
      </w:r>
      <w:r>
        <w:rPr>
          <w:rFonts w:hint="eastAsia" w:ascii="宋体" w:hAnsi="宋体" w:cs="宋体"/>
          <w:color w:val="auto"/>
          <w:sz w:val="24"/>
          <w:highlight w:val="none"/>
          <w:lang w:eastAsia="zh-CN"/>
        </w:rPr>
        <w:t>采购单位</w:t>
      </w:r>
      <w:r>
        <w:rPr>
          <w:rFonts w:hint="eastAsia" w:ascii="宋体" w:hAnsi="宋体" w:cs="宋体"/>
          <w:color w:val="auto"/>
          <w:sz w:val="24"/>
          <w:highlight w:val="none"/>
        </w:rPr>
        <w:t>。若</w:t>
      </w:r>
      <w:r>
        <w:rPr>
          <w:rFonts w:hint="eastAsia" w:ascii="宋体" w:hAnsi="宋体" w:cs="宋体"/>
          <w:color w:val="auto"/>
          <w:sz w:val="24"/>
          <w:highlight w:val="none"/>
          <w:u w:val="single"/>
        </w:rPr>
        <w:t>24小时</w:t>
      </w:r>
      <w:r>
        <w:rPr>
          <w:rFonts w:hint="eastAsia" w:ascii="宋体" w:hAnsi="宋体" w:cs="宋体"/>
          <w:color w:val="auto"/>
          <w:sz w:val="24"/>
          <w:highlight w:val="none"/>
        </w:rPr>
        <w:t>内无法修复的，应</w:t>
      </w:r>
      <w:r>
        <w:rPr>
          <w:rFonts w:hint="eastAsia" w:ascii="宋体" w:hAnsi="宋体" w:cs="宋体"/>
          <w:color w:val="auto"/>
          <w:sz w:val="24"/>
          <w:highlight w:val="none"/>
          <w:u w:val="single"/>
        </w:rPr>
        <w:t>48小时</w:t>
      </w:r>
      <w:r>
        <w:rPr>
          <w:rFonts w:hint="eastAsia" w:ascii="宋体" w:hAnsi="宋体" w:cs="宋体"/>
          <w:color w:val="auto"/>
          <w:sz w:val="24"/>
          <w:highlight w:val="none"/>
        </w:rPr>
        <w:t>内提供相应备用设备并负责安装调试，为此，</w:t>
      </w:r>
      <w:r>
        <w:rPr>
          <w:rFonts w:hint="eastAsia" w:ascii="宋体" w:hAnsi="宋体" w:cs="宋体"/>
          <w:color w:val="auto"/>
          <w:sz w:val="24"/>
          <w:highlight w:val="none"/>
          <w:lang w:eastAsia="zh-CN"/>
        </w:rPr>
        <w:t>投标</w:t>
      </w:r>
      <w:r>
        <w:rPr>
          <w:rFonts w:hint="eastAsia" w:ascii="宋体" w:hAnsi="宋体" w:cs="宋体"/>
          <w:color w:val="auto"/>
          <w:sz w:val="24"/>
          <w:highlight w:val="none"/>
        </w:rPr>
        <w:t>供应商应提供相应承诺书。</w:t>
      </w:r>
    </w:p>
    <w:p>
      <w:pPr>
        <w:spacing w:line="360" w:lineRule="auto"/>
        <w:ind w:firstLine="240" w:firstLineChars="100"/>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 xml:space="preserve">  </w:t>
      </w:r>
      <w:r>
        <w:rPr>
          <w:rFonts w:hint="eastAsia" w:ascii="宋体" w:hAnsi="宋体" w:cs="宋体"/>
          <w:b w:val="0"/>
          <w:bCs w:val="0"/>
          <w:color w:val="auto"/>
          <w:kern w:val="2"/>
          <w:sz w:val="24"/>
          <w:szCs w:val="24"/>
          <w:highlight w:val="none"/>
          <w:lang w:val="en-US" w:eastAsia="zh-CN" w:bidi="ar-SA"/>
        </w:rPr>
        <w:t>3</w:t>
      </w:r>
      <w:r>
        <w:rPr>
          <w:rFonts w:hint="eastAsia" w:ascii="宋体" w:hAnsi="宋体" w:cs="宋体"/>
          <w:color w:val="auto"/>
          <w:sz w:val="24"/>
          <w:highlight w:val="none"/>
        </w:rPr>
        <w:t>）</w:t>
      </w:r>
      <w:r>
        <w:rPr>
          <w:rFonts w:hint="eastAsia" w:ascii="宋体" w:hAnsi="宋体" w:eastAsia="宋体" w:cs="宋体"/>
          <w:b w:val="0"/>
          <w:bCs w:val="0"/>
          <w:color w:val="auto"/>
          <w:kern w:val="2"/>
          <w:sz w:val="24"/>
          <w:szCs w:val="24"/>
          <w:highlight w:val="none"/>
          <w:lang w:val="en-US" w:eastAsia="zh-CN" w:bidi="ar-SA"/>
        </w:rPr>
        <w:t>供应商在投标文件中须说明保修期内提供的服务计划。</w:t>
      </w:r>
    </w:p>
    <w:p>
      <w:pPr>
        <w:spacing w:line="360" w:lineRule="auto"/>
        <w:ind w:firstLine="480" w:firstLineChars="200"/>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eastAsia="宋体" w:cs="宋体"/>
          <w:b w:val="0"/>
          <w:bCs w:val="0"/>
          <w:color w:val="auto"/>
          <w:kern w:val="2"/>
          <w:sz w:val="24"/>
          <w:szCs w:val="24"/>
          <w:highlight w:val="none"/>
          <w:lang w:val="en-US" w:eastAsia="zh-CN" w:bidi="ar-SA"/>
        </w:rPr>
        <w:t>在质保期内，中标供应商应负责对其提供的设备进行现场维修、损坏件更换，不收取额外费用，响应时间必须满足采购人工作正常运行的要求。质保期满后，供应商提供跟踪服务，若需更换零配件，采购方只承担更换零配件的成本费，其余费用均由中标人承担。</w:t>
      </w:r>
    </w:p>
    <w:p>
      <w:pPr>
        <w:spacing w:line="360" w:lineRule="auto"/>
        <w:ind w:firstLine="480" w:firstLineChars="200"/>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ascii="宋体" w:hAnsi="宋体" w:eastAsia="宋体" w:cs="宋体"/>
          <w:b w:val="0"/>
          <w:bCs w:val="0"/>
          <w:color w:val="auto"/>
          <w:kern w:val="2"/>
          <w:sz w:val="24"/>
          <w:szCs w:val="24"/>
          <w:highlight w:val="none"/>
          <w:lang w:val="en-US" w:eastAsia="zh-CN" w:bidi="ar-SA"/>
        </w:rPr>
        <w:t>对提供的设备，供应商产品更新换代，不再批量生产该产品，也必须随时有备品零配件供应，并提供终身技术服务。</w:t>
      </w:r>
    </w:p>
    <w:p>
      <w:pPr>
        <w:spacing w:line="360" w:lineRule="auto"/>
        <w:ind w:firstLine="480" w:firstLineChars="200"/>
        <w:jc w:val="left"/>
        <w:rPr>
          <w:rFonts w:hint="eastAsia" w:ascii="宋体" w:hAnsi="宋体" w:cs="宋体"/>
          <w:b/>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w:t>
      </w:r>
      <w:r>
        <w:rPr>
          <w:rFonts w:hint="eastAsia" w:ascii="宋体" w:hAnsi="宋体" w:eastAsia="宋体" w:cs="宋体"/>
          <w:b w:val="0"/>
          <w:bCs w:val="0"/>
          <w:color w:val="auto"/>
          <w:kern w:val="2"/>
          <w:sz w:val="24"/>
          <w:szCs w:val="24"/>
          <w:highlight w:val="none"/>
          <w:lang w:val="en-US" w:eastAsia="zh-CN" w:bidi="ar-SA"/>
        </w:rPr>
        <w:t>如供应商未达到以上要求，视为违约，采购方有权要求无条件退货，一切费用将由供应商承担。</w:t>
      </w:r>
    </w:p>
    <w:p>
      <w:pPr>
        <w:autoSpaceDE w:val="0"/>
        <w:autoSpaceDN w:val="0"/>
        <w:snapToGrid w:val="0"/>
        <w:spacing w:line="360" w:lineRule="auto"/>
        <w:ind w:firstLine="482" w:firstLineChars="200"/>
        <w:textAlignment w:val="bottom"/>
        <w:rPr>
          <w:rFonts w:ascii="宋体" w:hAnsi="宋体" w:cs="宋体"/>
          <w:b/>
          <w:color w:val="auto"/>
          <w:sz w:val="24"/>
          <w:highlight w:val="none"/>
        </w:rPr>
      </w:pPr>
      <w:r>
        <w:rPr>
          <w:rFonts w:hint="eastAsia" w:ascii="宋体" w:hAnsi="宋体" w:cs="宋体"/>
          <w:b/>
          <w:color w:val="auto"/>
          <w:sz w:val="24"/>
          <w:highlight w:val="none"/>
          <w:lang w:val="en-US" w:eastAsia="zh-CN"/>
        </w:rPr>
        <w:t>3</w:t>
      </w:r>
      <w:r>
        <w:rPr>
          <w:rFonts w:hint="eastAsia" w:ascii="宋体" w:hAnsi="宋体" w:cs="宋体"/>
          <w:b/>
          <w:color w:val="auto"/>
          <w:sz w:val="24"/>
          <w:highlight w:val="none"/>
        </w:rPr>
        <w:t>.培训</w:t>
      </w:r>
    </w:p>
    <w:p>
      <w:pPr>
        <w:autoSpaceDE w:val="0"/>
        <w:autoSpaceDN w:val="0"/>
        <w:snapToGrid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投标单位应提供相应的培训计划，详细说明培训的方式、地点、人数、时间等实质性内容。</w:t>
      </w:r>
    </w:p>
    <w:p>
      <w:pPr>
        <w:autoSpaceDE w:val="0"/>
        <w:autoSpaceDN w:val="0"/>
        <w:snapToGrid w:val="0"/>
        <w:spacing w:line="360" w:lineRule="auto"/>
        <w:ind w:firstLine="482" w:firstLineChars="200"/>
        <w:textAlignment w:val="bottom"/>
        <w:rPr>
          <w:rFonts w:ascii="宋体" w:hAnsi="宋体" w:cs="宋体"/>
          <w:b/>
          <w:color w:val="auto"/>
          <w:sz w:val="24"/>
          <w:highlight w:val="none"/>
        </w:rPr>
      </w:pP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.完成时间</w:t>
      </w:r>
    </w:p>
    <w:p>
      <w:pPr>
        <w:widowControl/>
        <w:autoSpaceDE w:val="0"/>
        <w:autoSpaceDN w:val="0"/>
        <w:spacing w:line="360" w:lineRule="auto"/>
        <w:ind w:firstLine="480" w:firstLineChars="200"/>
        <w:textAlignment w:val="bottom"/>
        <w:rPr>
          <w:rFonts w:ascii="宋体" w:hAnsi="宋体" w:cs="宋体"/>
          <w:b/>
          <w:bCs/>
          <w:color w:val="auto"/>
          <w:sz w:val="24"/>
          <w:highlight w:val="none"/>
        </w:rPr>
      </w:pPr>
      <w:r>
        <w:rPr>
          <w:rFonts w:hint="eastAsia" w:ascii="宋体" w:hAnsi="宋体" w:cs="宋体"/>
          <w:color w:val="auto"/>
          <w:sz w:val="24"/>
          <w:highlight w:val="none"/>
        </w:rPr>
        <w:t>1）完成时间：自政府采购合同签订生效后收到采购人通知之日40天内完成安装调试并验收通过。如在规定的时间内由于中标人的原因不能完成交货的，中标人应承担由此给采购人造成的损失。</w:t>
      </w:r>
    </w:p>
    <w:p>
      <w:pPr>
        <w:widowControl/>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2）安装地点：由采购单位指定。</w:t>
      </w:r>
    </w:p>
    <w:p>
      <w:pPr>
        <w:widowControl/>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3）安装标准：符合我国国家有关技术规范要求和技术标准，所有的设备必须保证安装到位。</w:t>
      </w:r>
    </w:p>
    <w:p>
      <w:pPr>
        <w:widowControl/>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4）中标供应商免费提供中标设备的安装服务。</w:t>
      </w:r>
    </w:p>
    <w:p>
      <w:pPr>
        <w:widowControl/>
        <w:autoSpaceDE w:val="0"/>
        <w:autoSpaceDN w:val="0"/>
        <w:spacing w:line="360" w:lineRule="auto"/>
        <w:ind w:firstLine="480" w:firstLineChars="200"/>
        <w:textAlignment w:val="bottom"/>
        <w:rPr>
          <w:rFonts w:ascii="宋体" w:hAnsi="宋体" w:cs="宋体"/>
          <w:b/>
          <w:color w:val="auto"/>
          <w:sz w:val="24"/>
          <w:highlight w:val="none"/>
        </w:rPr>
      </w:pPr>
      <w:r>
        <w:rPr>
          <w:rFonts w:hint="eastAsia" w:ascii="宋体" w:hAnsi="宋体" w:cs="宋体"/>
          <w:color w:val="auto"/>
          <w:sz w:val="24"/>
          <w:highlight w:val="none"/>
        </w:rPr>
        <w:t>5）投标单位应在投标文件中应提供安装计划、对安装场地和环境的要求。</w:t>
      </w:r>
    </w:p>
    <w:p>
      <w:pPr>
        <w:autoSpaceDE w:val="0"/>
        <w:autoSpaceDN w:val="0"/>
        <w:snapToGrid w:val="0"/>
        <w:spacing w:line="360" w:lineRule="auto"/>
        <w:ind w:firstLine="482" w:firstLineChars="200"/>
        <w:textAlignment w:val="bottom"/>
        <w:rPr>
          <w:rFonts w:ascii="宋体" w:hAnsi="宋体" w:cs="宋体"/>
          <w:b/>
          <w:color w:val="auto"/>
          <w:sz w:val="24"/>
          <w:highlight w:val="none"/>
        </w:rPr>
      </w:pP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.项目款的结算</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采购人根据合同、投标文件等资料进行验收。</w:t>
      </w:r>
    </w:p>
    <w:p>
      <w:pPr>
        <w:autoSpaceDE w:val="0"/>
        <w:autoSpaceDN w:val="0"/>
        <w:snapToGrid w:val="0"/>
        <w:spacing w:line="360" w:lineRule="auto"/>
        <w:ind w:firstLine="480" w:firstLineChars="200"/>
        <w:textAlignment w:val="bottom"/>
        <w:rPr>
          <w:rFonts w:ascii="宋体" w:hAnsi="宋体" w:cs="宋体"/>
          <w:b/>
          <w:color w:val="auto"/>
          <w:sz w:val="24"/>
          <w:highlight w:val="none"/>
        </w:rPr>
      </w:pPr>
      <w:r>
        <w:rPr>
          <w:rFonts w:hint="eastAsia" w:ascii="宋体" w:hAnsi="宋体" w:cs="宋体"/>
          <w:color w:val="auto"/>
          <w:sz w:val="24"/>
          <w:highlight w:val="none"/>
        </w:rPr>
        <w:t>合同签订生效以及具备实施条件后7个工作日内由采购人向供应商支付合同总价50%的预付款；在规定时间内项目安装调试经采购人验收通过并收到发票后5个工作日内支付剩余合同价的50%。结算时中标人将结款申请1份、发票原件及复印件1份、合同复印件1份和经方验收确认的《建德市政府采购验收反馈表》（还需提供验收报告）提交采购人，采购人应自收到发票后5个工作日内支付相应款项。</w:t>
      </w:r>
    </w:p>
    <w:p>
      <w:pPr>
        <w:spacing w:line="360" w:lineRule="auto"/>
        <w:ind w:firstLine="482" w:firstLineChars="200"/>
        <w:rPr>
          <w:rFonts w:ascii="宋体" w:hAnsi="宋体" w:cs="宋体"/>
          <w:b/>
          <w:color w:val="auto"/>
          <w:sz w:val="24"/>
          <w:highlight w:val="none"/>
        </w:rPr>
      </w:pPr>
      <w:r>
        <w:rPr>
          <w:rFonts w:hint="eastAsia" w:ascii="宋体" w:hAnsi="宋体" w:cs="宋体"/>
          <w:b/>
          <w:bCs/>
          <w:color w:val="auto"/>
          <w:sz w:val="24"/>
          <w:highlight w:val="none"/>
          <w:lang w:val="en-US" w:eastAsia="zh-CN"/>
        </w:rPr>
        <w:t>6</w:t>
      </w:r>
      <w:r>
        <w:rPr>
          <w:rFonts w:hint="eastAsia" w:ascii="宋体" w:hAnsi="宋体" w:cs="宋体"/>
          <w:b/>
          <w:bCs/>
          <w:color w:val="auto"/>
          <w:sz w:val="24"/>
          <w:highlight w:val="none"/>
        </w:rPr>
        <w:t>.</w:t>
      </w:r>
      <w:r>
        <w:rPr>
          <w:rStyle w:val="356"/>
          <w:rFonts w:hint="default" w:cs="宋体"/>
          <w:bCs/>
          <w:color w:val="auto"/>
          <w:highlight w:val="none"/>
        </w:rPr>
        <w:t>履约保证金</w:t>
      </w:r>
      <w:r>
        <w:rPr>
          <w:rStyle w:val="356"/>
          <w:rFonts w:hint="eastAsia" w:cs="宋体"/>
          <w:bCs/>
          <w:color w:val="auto"/>
          <w:highlight w:val="none"/>
        </w:rPr>
        <w:t>：</w:t>
      </w:r>
      <w:r>
        <w:rPr>
          <w:rStyle w:val="356"/>
          <w:rFonts w:hint="eastAsia" w:cs="宋体"/>
          <w:b w:val="0"/>
          <w:bCs w:val="0"/>
          <w:color w:val="auto"/>
          <w:highlight w:val="none"/>
          <w:u w:val="none"/>
        </w:rPr>
        <w:t>1.本项目收取履约保证金为合同金额1%。需要收取保证金的供应商在正式合同签订生效之日起7个工作日内，缴纳保证金至甲方指定账户（可采用银行、保险公司出具保函形式提交）。在验收合格后经回访正常后凭正式收款收据、履约保证金缴款凭证复印件办理结算手续。</w:t>
      </w:r>
    </w:p>
    <w:p>
      <w:pPr>
        <w:autoSpaceDE w:val="0"/>
        <w:autoSpaceDN w:val="0"/>
        <w:snapToGrid w:val="0"/>
        <w:spacing w:line="360" w:lineRule="auto"/>
        <w:ind w:firstLine="482" w:firstLineChars="200"/>
        <w:textAlignment w:val="bottom"/>
        <w:rPr>
          <w:rFonts w:ascii="宋体" w:hAnsi="宋体" w:cs="宋体"/>
          <w:b/>
          <w:color w:val="auto"/>
          <w:sz w:val="24"/>
          <w:highlight w:val="none"/>
        </w:rPr>
      </w:pPr>
      <w:r>
        <w:rPr>
          <w:rFonts w:hint="eastAsia" w:ascii="宋体" w:hAnsi="宋体" w:cs="宋体"/>
          <w:b/>
          <w:color w:val="auto"/>
          <w:sz w:val="24"/>
          <w:highlight w:val="none"/>
          <w:lang w:val="en-US" w:eastAsia="zh-CN"/>
        </w:rPr>
        <w:t>7</w:t>
      </w:r>
      <w:r>
        <w:rPr>
          <w:rFonts w:hint="eastAsia" w:ascii="宋体" w:hAnsi="宋体" w:cs="宋体"/>
          <w:b/>
          <w:color w:val="auto"/>
          <w:sz w:val="24"/>
          <w:highlight w:val="none"/>
        </w:rPr>
        <w:t>.验收</w:t>
      </w:r>
    </w:p>
    <w:p>
      <w:pPr>
        <w:autoSpaceDE w:val="0"/>
        <w:autoSpaceDN w:val="0"/>
        <w:snapToGrid w:val="0"/>
        <w:spacing w:line="360" w:lineRule="auto"/>
        <w:ind w:firstLine="480" w:firstLineChars="200"/>
        <w:textAlignment w:val="bottom"/>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中标供应商应提供系统设备的有效检验材料，经采购单位认可后，与合同的技术指标一起作为验收标准。采购单位对系统设备验收合格后，在《建德市政府采购验收反馈表》上签署意见并加盖单位公章。验收中发现系统设备达不到验收标准或合同规定的技术指标，中标供应商必须更换，并负担由此给采购单位造成的损失，直到验收合格为止。</w:t>
      </w:r>
    </w:p>
    <w:p>
      <w:pPr>
        <w:autoSpaceDE w:val="0"/>
        <w:autoSpaceDN w:val="0"/>
        <w:snapToGrid w:val="0"/>
        <w:spacing w:line="360" w:lineRule="auto"/>
        <w:ind w:firstLine="480" w:firstLineChars="200"/>
        <w:textAlignment w:val="bottom"/>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2.本项目是杭州市公共建筑能效提升重点城市建设示范项目，中标人负责本项目通过建德市、杭州市能效提升示范城市验收，节能率达到15%以上。</w:t>
      </w:r>
    </w:p>
    <w:p>
      <w:pPr>
        <w:autoSpaceDE w:val="0"/>
        <w:autoSpaceDN w:val="0"/>
        <w:snapToGrid w:val="0"/>
        <w:spacing w:line="360" w:lineRule="auto"/>
        <w:ind w:firstLine="480" w:firstLineChars="200"/>
        <w:textAlignment w:val="bottom"/>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3.投标供应商应于投标书中提供系统设备的验收标准和检测办法，并在验收中提供买方认可的相应检测手段，验收标准应符合中国有关的国家、地方、行业的标准，如若中标，经采购单位确认后作为验收的依据。</w:t>
      </w:r>
    </w:p>
    <w:p>
      <w:pPr>
        <w:autoSpaceDE w:val="0"/>
        <w:autoSpaceDN w:val="0"/>
        <w:snapToGrid w:val="0"/>
        <w:spacing w:line="360" w:lineRule="auto"/>
        <w:ind w:firstLine="480" w:firstLineChars="200"/>
        <w:textAlignment w:val="bottom"/>
        <w:rPr>
          <w:rFonts w:hint="eastAsia" w:ascii="宋体" w:hAnsi="宋体" w:eastAsia="宋体" w:cs="宋体"/>
          <w:b/>
          <w:color w:val="auto"/>
          <w:sz w:val="36"/>
          <w:szCs w:val="36"/>
          <w:highlight w:val="none"/>
        </w:rPr>
      </w:pPr>
      <w:r>
        <w:rPr>
          <w:rFonts w:hint="eastAsia" w:ascii="宋体" w:hAnsi="宋体" w:eastAsia="宋体" w:cs="宋体"/>
          <w:color w:val="auto"/>
          <w:sz w:val="24"/>
          <w:highlight w:val="none"/>
          <w:lang w:val="en-US" w:eastAsia="zh-CN"/>
        </w:rPr>
        <w:t>4.验收费用由中标供应商承担。</w:t>
      </w:r>
    </w:p>
    <w:p>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column"/>
      </w:r>
      <w:r>
        <w:rPr>
          <w:rFonts w:hint="eastAsia" w:ascii="宋体" w:hAnsi="宋体" w:eastAsia="宋体" w:cs="宋体"/>
          <w:b/>
          <w:color w:val="auto"/>
          <w:sz w:val="36"/>
          <w:szCs w:val="36"/>
          <w:highlight w:val="none"/>
        </w:rPr>
        <w:t xml:space="preserve">第四部分   </w:t>
      </w:r>
      <w:bookmarkStart w:id="32" w:name="_Toc184314413"/>
      <w:bookmarkEnd w:id="32"/>
      <w:bookmarkStart w:id="33" w:name="_Toc184310272"/>
      <w:bookmarkEnd w:id="33"/>
      <w:bookmarkStart w:id="34" w:name="_Toc184313246"/>
      <w:bookmarkEnd w:id="34"/>
      <w:bookmarkStart w:id="35" w:name="_Toc184313296"/>
      <w:bookmarkEnd w:id="35"/>
      <w:bookmarkStart w:id="36" w:name="_Toc184312123"/>
      <w:bookmarkEnd w:id="36"/>
      <w:bookmarkStart w:id="37" w:name="_Toc184312094"/>
      <w:bookmarkEnd w:id="37"/>
      <w:bookmarkStart w:id="38" w:name="_Toc184310327"/>
      <w:bookmarkEnd w:id="38"/>
      <w:bookmarkStart w:id="39" w:name="_Toc184314446"/>
      <w:bookmarkEnd w:id="39"/>
      <w:bookmarkStart w:id="40" w:name="_Toc184314449"/>
      <w:bookmarkEnd w:id="40"/>
      <w:bookmarkStart w:id="41" w:name="_Toc184314448"/>
      <w:bookmarkEnd w:id="41"/>
      <w:bookmarkStart w:id="42" w:name="_Toc184313269"/>
      <w:bookmarkEnd w:id="42"/>
      <w:bookmarkStart w:id="43" w:name="_Toc184312086"/>
      <w:bookmarkEnd w:id="43"/>
      <w:bookmarkStart w:id="44" w:name="_Toc184308091"/>
      <w:bookmarkEnd w:id="44"/>
      <w:bookmarkStart w:id="45" w:name="_Toc184314457"/>
      <w:bookmarkEnd w:id="45"/>
      <w:bookmarkStart w:id="46" w:name="_Toc184308060"/>
      <w:bookmarkEnd w:id="46"/>
      <w:bookmarkStart w:id="47" w:name="_Toc184308076"/>
      <w:bookmarkEnd w:id="47"/>
      <w:bookmarkStart w:id="48" w:name="_Toc184314466"/>
      <w:bookmarkEnd w:id="48"/>
      <w:bookmarkStart w:id="49" w:name="_Toc184313266"/>
      <w:bookmarkEnd w:id="49"/>
      <w:bookmarkStart w:id="50" w:name="_Toc184313282"/>
      <w:bookmarkEnd w:id="50"/>
      <w:bookmarkStart w:id="51" w:name="_Toc184308056"/>
      <w:bookmarkEnd w:id="51"/>
      <w:bookmarkStart w:id="52" w:name="_Toc184310319"/>
      <w:bookmarkEnd w:id="52"/>
      <w:bookmarkStart w:id="53" w:name="_Toc184313275"/>
      <w:bookmarkEnd w:id="53"/>
      <w:bookmarkStart w:id="54" w:name="_Toc184314419"/>
      <w:bookmarkEnd w:id="54"/>
      <w:bookmarkStart w:id="55" w:name="_Toc184310342"/>
      <w:bookmarkEnd w:id="55"/>
      <w:bookmarkStart w:id="56" w:name="_Toc184314444"/>
      <w:bookmarkEnd w:id="56"/>
      <w:bookmarkStart w:id="57" w:name="_Toc184308055"/>
      <w:bookmarkEnd w:id="57"/>
      <w:bookmarkStart w:id="58" w:name="_Toc184308050"/>
      <w:bookmarkEnd w:id="58"/>
      <w:bookmarkStart w:id="59" w:name="_Toc184310321"/>
      <w:bookmarkEnd w:id="59"/>
      <w:bookmarkStart w:id="60" w:name="_Toc184312100"/>
      <w:bookmarkEnd w:id="60"/>
      <w:bookmarkStart w:id="61" w:name="_Toc184312121"/>
      <w:bookmarkEnd w:id="61"/>
      <w:bookmarkStart w:id="62" w:name="_Toc184308057"/>
      <w:bookmarkEnd w:id="62"/>
      <w:bookmarkStart w:id="63" w:name="_Toc184310316"/>
      <w:bookmarkEnd w:id="63"/>
      <w:bookmarkStart w:id="64" w:name="_Toc184314461"/>
      <w:bookmarkEnd w:id="64"/>
      <w:bookmarkStart w:id="65" w:name="_Toc184314467"/>
      <w:bookmarkEnd w:id="65"/>
      <w:bookmarkStart w:id="66" w:name="_Toc184312134"/>
      <w:bookmarkEnd w:id="66"/>
      <w:bookmarkStart w:id="67" w:name="_Toc184312072"/>
      <w:bookmarkEnd w:id="67"/>
      <w:bookmarkStart w:id="68" w:name="_Toc184312129"/>
      <w:bookmarkEnd w:id="68"/>
      <w:bookmarkStart w:id="69" w:name="_Toc184313303"/>
      <w:bookmarkEnd w:id="69"/>
      <w:bookmarkStart w:id="70" w:name="_Toc184314480"/>
      <w:bookmarkEnd w:id="70"/>
      <w:bookmarkStart w:id="71" w:name="_Toc184314447"/>
      <w:bookmarkEnd w:id="71"/>
      <w:bookmarkStart w:id="72" w:name="_Toc184312126"/>
      <w:bookmarkEnd w:id="72"/>
      <w:bookmarkStart w:id="73" w:name="_Toc184312109"/>
      <w:bookmarkEnd w:id="73"/>
      <w:bookmarkStart w:id="74" w:name="_Toc184312138"/>
      <w:bookmarkEnd w:id="74"/>
      <w:bookmarkStart w:id="75" w:name="_Toc184308048"/>
      <w:bookmarkEnd w:id="75"/>
      <w:bookmarkStart w:id="76" w:name="_Toc184313286"/>
      <w:bookmarkEnd w:id="76"/>
      <w:bookmarkStart w:id="77" w:name="_Toc184313271"/>
      <w:bookmarkEnd w:id="77"/>
      <w:bookmarkStart w:id="78" w:name="_Toc184310315"/>
      <w:bookmarkEnd w:id="78"/>
      <w:bookmarkStart w:id="79" w:name="_Toc184313295"/>
      <w:bookmarkEnd w:id="79"/>
      <w:bookmarkStart w:id="80" w:name="_Toc184313249"/>
      <w:bookmarkEnd w:id="80"/>
      <w:bookmarkStart w:id="81" w:name="_Toc184310338"/>
      <w:bookmarkEnd w:id="81"/>
      <w:bookmarkStart w:id="82" w:name="_Toc184312075"/>
      <w:bookmarkEnd w:id="82"/>
      <w:bookmarkStart w:id="83" w:name="_Toc184312082"/>
      <w:bookmarkEnd w:id="83"/>
      <w:bookmarkStart w:id="84" w:name="_Toc184308101"/>
      <w:bookmarkEnd w:id="84"/>
      <w:bookmarkStart w:id="85" w:name="_Toc184308104"/>
      <w:bookmarkEnd w:id="85"/>
      <w:bookmarkStart w:id="86" w:name="_Toc184312085"/>
      <w:bookmarkEnd w:id="86"/>
      <w:bookmarkStart w:id="87" w:name="_Toc184312132"/>
      <w:bookmarkEnd w:id="87"/>
      <w:bookmarkStart w:id="88" w:name="_Toc184313262"/>
      <w:bookmarkEnd w:id="88"/>
      <w:bookmarkStart w:id="89" w:name="_Toc184312101"/>
      <w:bookmarkEnd w:id="89"/>
      <w:bookmarkStart w:id="90" w:name="_Toc184308061"/>
      <w:bookmarkEnd w:id="90"/>
      <w:bookmarkStart w:id="91" w:name="_Toc184308094"/>
      <w:bookmarkEnd w:id="91"/>
      <w:bookmarkStart w:id="92" w:name="_Toc184312130"/>
      <w:bookmarkEnd w:id="92"/>
      <w:bookmarkStart w:id="93" w:name="_Toc184313258"/>
      <w:bookmarkEnd w:id="93"/>
      <w:bookmarkStart w:id="94" w:name="_Toc184314463"/>
      <w:bookmarkEnd w:id="94"/>
      <w:bookmarkStart w:id="95" w:name="_Toc184310310"/>
      <w:bookmarkEnd w:id="95"/>
      <w:bookmarkStart w:id="96" w:name="_Toc184310279"/>
      <w:bookmarkEnd w:id="96"/>
      <w:bookmarkStart w:id="97" w:name="_Toc184308089"/>
      <w:bookmarkEnd w:id="97"/>
      <w:bookmarkStart w:id="98" w:name="_Toc184313243"/>
      <w:bookmarkEnd w:id="98"/>
      <w:bookmarkStart w:id="99" w:name="_Toc184314421"/>
      <w:bookmarkEnd w:id="99"/>
      <w:bookmarkStart w:id="100" w:name="_Toc184310336"/>
      <w:bookmarkEnd w:id="100"/>
      <w:bookmarkStart w:id="101" w:name="_Toc184308059"/>
      <w:bookmarkEnd w:id="101"/>
      <w:bookmarkStart w:id="102" w:name="_Toc184310295"/>
      <w:bookmarkEnd w:id="102"/>
      <w:bookmarkStart w:id="103" w:name="_Toc184314451"/>
      <w:bookmarkEnd w:id="103"/>
      <w:bookmarkStart w:id="104" w:name="_Toc184308105"/>
      <w:bookmarkEnd w:id="104"/>
      <w:bookmarkStart w:id="105" w:name="_Toc184312135"/>
      <w:bookmarkEnd w:id="105"/>
      <w:bookmarkStart w:id="106" w:name="_Toc184310276"/>
      <w:bookmarkEnd w:id="106"/>
      <w:bookmarkStart w:id="107" w:name="_Toc184313250"/>
      <w:bookmarkEnd w:id="107"/>
      <w:bookmarkStart w:id="108" w:name="_Toc184310287"/>
      <w:bookmarkEnd w:id="108"/>
      <w:bookmarkStart w:id="109" w:name="_Toc184314450"/>
      <w:bookmarkEnd w:id="109"/>
      <w:bookmarkStart w:id="110" w:name="_Toc184313261"/>
      <w:bookmarkEnd w:id="110"/>
      <w:bookmarkStart w:id="111" w:name="_Toc184313244"/>
      <w:bookmarkEnd w:id="111"/>
      <w:bookmarkStart w:id="112" w:name="_Toc184310324"/>
      <w:bookmarkEnd w:id="112"/>
      <w:bookmarkStart w:id="113" w:name="_Toc184314462"/>
      <w:bookmarkEnd w:id="113"/>
      <w:bookmarkStart w:id="114" w:name="_Toc184308083"/>
      <w:bookmarkEnd w:id="114"/>
      <w:bookmarkStart w:id="115" w:name="_Toc184310341"/>
      <w:bookmarkEnd w:id="115"/>
      <w:bookmarkStart w:id="116" w:name="_Toc184310277"/>
      <w:bookmarkEnd w:id="116"/>
      <w:bookmarkStart w:id="117" w:name="_Toc184308065"/>
      <w:bookmarkEnd w:id="117"/>
      <w:bookmarkStart w:id="118" w:name="_Toc184310304"/>
      <w:bookmarkEnd w:id="118"/>
      <w:bookmarkStart w:id="119" w:name="_Toc184312112"/>
      <w:bookmarkEnd w:id="119"/>
      <w:bookmarkStart w:id="120" w:name="_Toc184310318"/>
      <w:bookmarkEnd w:id="120"/>
      <w:bookmarkStart w:id="121" w:name="_Toc184312090"/>
      <w:bookmarkEnd w:id="121"/>
      <w:bookmarkStart w:id="122" w:name="_Toc184310280"/>
      <w:bookmarkEnd w:id="122"/>
      <w:bookmarkStart w:id="123" w:name="_Toc184313253"/>
      <w:bookmarkEnd w:id="123"/>
      <w:bookmarkStart w:id="124" w:name="_Toc184310334"/>
      <w:bookmarkEnd w:id="124"/>
      <w:bookmarkStart w:id="125" w:name="_Toc184310331"/>
      <w:bookmarkEnd w:id="125"/>
      <w:bookmarkStart w:id="126" w:name="_Toc184308038"/>
      <w:bookmarkEnd w:id="126"/>
      <w:bookmarkStart w:id="127" w:name="_Toc184312128"/>
      <w:bookmarkEnd w:id="127"/>
      <w:bookmarkStart w:id="128" w:name="_Toc184310307"/>
      <w:bookmarkEnd w:id="128"/>
      <w:bookmarkStart w:id="129" w:name="_Toc184313306"/>
      <w:bookmarkEnd w:id="129"/>
      <w:bookmarkStart w:id="130" w:name="_Toc184312067"/>
      <w:bookmarkEnd w:id="130"/>
      <w:bookmarkStart w:id="131" w:name="_Toc184308039"/>
      <w:bookmarkEnd w:id="131"/>
      <w:bookmarkStart w:id="132" w:name="_Toc184314440"/>
      <w:bookmarkEnd w:id="132"/>
      <w:bookmarkStart w:id="133" w:name="_Toc184314465"/>
      <w:bookmarkEnd w:id="133"/>
      <w:bookmarkStart w:id="134" w:name="_Toc184312070"/>
      <w:bookmarkEnd w:id="134"/>
      <w:bookmarkStart w:id="135" w:name="_Toc184308052"/>
      <w:bookmarkEnd w:id="135"/>
      <w:bookmarkStart w:id="136" w:name="_Toc184313248"/>
      <w:bookmarkEnd w:id="136"/>
      <w:bookmarkStart w:id="137" w:name="_Toc184312110"/>
      <w:bookmarkEnd w:id="137"/>
      <w:bookmarkStart w:id="138" w:name="_Toc184308103"/>
      <w:bookmarkEnd w:id="138"/>
      <w:bookmarkStart w:id="139" w:name="_Toc184313284"/>
      <w:bookmarkEnd w:id="139"/>
      <w:bookmarkStart w:id="140" w:name="_Toc184312119"/>
      <w:bookmarkEnd w:id="140"/>
      <w:bookmarkStart w:id="141" w:name="_Toc184314453"/>
      <w:bookmarkEnd w:id="141"/>
      <w:bookmarkStart w:id="142" w:name="_Toc184314435"/>
      <w:bookmarkEnd w:id="142"/>
      <w:bookmarkStart w:id="143" w:name="_Toc184308082"/>
      <w:bookmarkEnd w:id="143"/>
      <w:bookmarkStart w:id="144" w:name="_Toc184314479"/>
      <w:bookmarkEnd w:id="144"/>
      <w:bookmarkStart w:id="145" w:name="_Toc184312098"/>
      <w:bookmarkEnd w:id="145"/>
      <w:bookmarkStart w:id="146" w:name="_Toc184314475"/>
      <w:bookmarkEnd w:id="146"/>
      <w:bookmarkStart w:id="147" w:name="_Toc184314476"/>
      <w:bookmarkEnd w:id="147"/>
      <w:bookmarkStart w:id="148" w:name="_Toc184308075"/>
      <w:bookmarkEnd w:id="148"/>
      <w:bookmarkStart w:id="149" w:name="_Toc184308062"/>
      <w:bookmarkEnd w:id="149"/>
      <w:bookmarkStart w:id="150" w:name="_Toc184313308"/>
      <w:bookmarkEnd w:id="150"/>
      <w:bookmarkStart w:id="151" w:name="_Toc184310325"/>
      <w:bookmarkEnd w:id="151"/>
      <w:bookmarkStart w:id="152" w:name="_Toc184312125"/>
      <w:bookmarkEnd w:id="152"/>
      <w:bookmarkStart w:id="153" w:name="_Toc184313290"/>
      <w:bookmarkEnd w:id="153"/>
      <w:bookmarkStart w:id="154" w:name="_Toc184308099"/>
      <w:bookmarkEnd w:id="154"/>
      <w:bookmarkStart w:id="155" w:name="_Toc184312111"/>
      <w:bookmarkEnd w:id="155"/>
      <w:bookmarkStart w:id="156" w:name="_Toc184310292"/>
      <w:bookmarkEnd w:id="156"/>
      <w:bookmarkStart w:id="157" w:name="_Toc184312088"/>
      <w:bookmarkEnd w:id="157"/>
      <w:bookmarkStart w:id="158" w:name="_Toc184314423"/>
      <w:bookmarkEnd w:id="158"/>
      <w:bookmarkStart w:id="159" w:name="_Toc184310274"/>
      <w:bookmarkEnd w:id="159"/>
      <w:bookmarkStart w:id="160" w:name="_Toc184313263"/>
      <w:bookmarkEnd w:id="160"/>
      <w:bookmarkStart w:id="161" w:name="_Toc184314438"/>
      <w:bookmarkEnd w:id="161"/>
      <w:bookmarkStart w:id="162" w:name="_Toc184312107"/>
      <w:bookmarkEnd w:id="162"/>
      <w:bookmarkStart w:id="163" w:name="_Toc184313302"/>
      <w:bookmarkEnd w:id="163"/>
      <w:bookmarkStart w:id="164" w:name="_Toc184310340"/>
      <w:bookmarkEnd w:id="164"/>
      <w:bookmarkStart w:id="165" w:name="_Toc184310313"/>
      <w:bookmarkEnd w:id="165"/>
      <w:bookmarkStart w:id="166" w:name="_Toc184310339"/>
      <w:bookmarkEnd w:id="166"/>
      <w:bookmarkStart w:id="167" w:name="_Toc184310323"/>
      <w:bookmarkEnd w:id="167"/>
      <w:bookmarkStart w:id="168" w:name="_Toc184310289"/>
      <w:bookmarkEnd w:id="168"/>
      <w:bookmarkStart w:id="169" w:name="_Toc184314452"/>
      <w:bookmarkEnd w:id="169"/>
      <w:bookmarkStart w:id="170" w:name="_Toc184312097"/>
      <w:bookmarkEnd w:id="170"/>
      <w:bookmarkStart w:id="171" w:name="_Toc184312104"/>
      <w:bookmarkEnd w:id="171"/>
      <w:bookmarkStart w:id="172" w:name="_Toc184308095"/>
      <w:bookmarkEnd w:id="172"/>
      <w:bookmarkStart w:id="173" w:name="_Toc184314430"/>
      <w:bookmarkEnd w:id="173"/>
      <w:bookmarkStart w:id="174" w:name="_Toc184312069"/>
      <w:bookmarkEnd w:id="174"/>
      <w:bookmarkStart w:id="175" w:name="_Toc184308072"/>
      <w:bookmarkEnd w:id="175"/>
      <w:bookmarkStart w:id="176" w:name="_Toc184310335"/>
      <w:bookmarkEnd w:id="176"/>
      <w:bookmarkStart w:id="177" w:name="_Toc184312108"/>
      <w:bookmarkEnd w:id="177"/>
      <w:bookmarkStart w:id="178" w:name="_Toc184312127"/>
      <w:bookmarkEnd w:id="178"/>
      <w:bookmarkStart w:id="179" w:name="_Toc184310328"/>
      <w:bookmarkEnd w:id="179"/>
      <w:bookmarkStart w:id="180" w:name="_Toc184308088"/>
      <w:bookmarkEnd w:id="180"/>
      <w:bookmarkStart w:id="181" w:name="_Toc184312078"/>
      <w:bookmarkEnd w:id="181"/>
      <w:bookmarkStart w:id="182" w:name="_Toc184310301"/>
      <w:bookmarkEnd w:id="182"/>
      <w:bookmarkStart w:id="183" w:name="_Toc184310337"/>
      <w:bookmarkEnd w:id="183"/>
      <w:bookmarkStart w:id="184" w:name="_Toc184308085"/>
      <w:bookmarkEnd w:id="184"/>
      <w:bookmarkStart w:id="185" w:name="_Toc184308092"/>
      <w:bookmarkEnd w:id="185"/>
      <w:bookmarkStart w:id="186" w:name="_Toc184313268"/>
      <w:bookmarkEnd w:id="186"/>
      <w:bookmarkStart w:id="187" w:name="_Toc184313292"/>
      <w:bookmarkEnd w:id="187"/>
      <w:bookmarkStart w:id="188" w:name="_Toc184313260"/>
      <w:bookmarkEnd w:id="188"/>
      <w:bookmarkStart w:id="189" w:name="_Toc184308047"/>
      <w:bookmarkEnd w:id="189"/>
      <w:bookmarkStart w:id="190" w:name="_Toc184313254"/>
      <w:bookmarkEnd w:id="190"/>
      <w:bookmarkStart w:id="191" w:name="_Toc184314482"/>
      <w:bookmarkEnd w:id="191"/>
      <w:bookmarkStart w:id="192" w:name="_Toc184314428"/>
      <w:bookmarkEnd w:id="192"/>
      <w:bookmarkStart w:id="193" w:name="_Toc184310322"/>
      <w:bookmarkEnd w:id="193"/>
      <w:bookmarkStart w:id="194" w:name="_Toc184308069"/>
      <w:bookmarkEnd w:id="194"/>
      <w:bookmarkStart w:id="195" w:name="_Toc184313238"/>
      <w:bookmarkEnd w:id="195"/>
      <w:bookmarkStart w:id="196" w:name="_Toc184314420"/>
      <w:bookmarkEnd w:id="196"/>
      <w:bookmarkStart w:id="197" w:name="_Toc184314481"/>
      <w:bookmarkEnd w:id="197"/>
      <w:bookmarkStart w:id="198" w:name="_Toc184314474"/>
      <w:bookmarkEnd w:id="198"/>
      <w:bookmarkStart w:id="199" w:name="_Toc184313241"/>
      <w:bookmarkEnd w:id="199"/>
      <w:bookmarkStart w:id="200" w:name="_Toc184308090"/>
      <w:bookmarkEnd w:id="200"/>
      <w:bookmarkStart w:id="201" w:name="_Toc184313305"/>
      <w:bookmarkEnd w:id="201"/>
      <w:bookmarkStart w:id="202" w:name="_Toc184310298"/>
      <w:bookmarkEnd w:id="202"/>
      <w:bookmarkStart w:id="203" w:name="_Toc184313264"/>
      <w:bookmarkEnd w:id="203"/>
      <w:bookmarkStart w:id="204" w:name="_Toc184313291"/>
      <w:bookmarkEnd w:id="204"/>
      <w:bookmarkStart w:id="205" w:name="_Toc184310314"/>
      <w:bookmarkEnd w:id="205"/>
      <w:bookmarkStart w:id="206" w:name="_Toc184308086"/>
      <w:bookmarkEnd w:id="206"/>
      <w:bookmarkStart w:id="207" w:name="_Toc184313288"/>
      <w:bookmarkEnd w:id="207"/>
      <w:bookmarkStart w:id="208" w:name="_Toc184314436"/>
      <w:bookmarkEnd w:id="208"/>
      <w:bookmarkStart w:id="209" w:name="_Toc184314414"/>
      <w:bookmarkEnd w:id="209"/>
      <w:bookmarkStart w:id="210" w:name="_Toc184314431"/>
      <w:bookmarkEnd w:id="210"/>
      <w:bookmarkStart w:id="211" w:name="_Toc184313239"/>
      <w:bookmarkEnd w:id="211"/>
      <w:bookmarkStart w:id="212" w:name="_Toc184312087"/>
      <w:bookmarkEnd w:id="212"/>
      <w:bookmarkStart w:id="213" w:name="_Toc184314418"/>
      <w:bookmarkEnd w:id="213"/>
      <w:bookmarkStart w:id="214" w:name="_Toc184313251"/>
      <w:bookmarkEnd w:id="214"/>
      <w:bookmarkStart w:id="215" w:name="_Toc184308041"/>
      <w:bookmarkEnd w:id="215"/>
      <w:bookmarkStart w:id="216" w:name="_Toc184312136"/>
      <w:bookmarkEnd w:id="216"/>
      <w:bookmarkStart w:id="217" w:name="_Toc184308068"/>
      <w:bookmarkEnd w:id="217"/>
      <w:bookmarkStart w:id="218" w:name="_Toc184314455"/>
      <w:bookmarkEnd w:id="218"/>
      <w:bookmarkStart w:id="219" w:name="_Toc184310290"/>
      <w:bookmarkEnd w:id="219"/>
      <w:bookmarkStart w:id="220" w:name="_Toc184308064"/>
      <w:bookmarkEnd w:id="220"/>
      <w:bookmarkStart w:id="221" w:name="_Toc184313301"/>
      <w:bookmarkEnd w:id="221"/>
      <w:bookmarkStart w:id="222" w:name="_Toc184313287"/>
      <w:bookmarkEnd w:id="222"/>
      <w:bookmarkStart w:id="223" w:name="_Toc184310308"/>
      <w:bookmarkEnd w:id="223"/>
      <w:bookmarkStart w:id="224" w:name="_Toc184308077"/>
      <w:bookmarkEnd w:id="224"/>
      <w:bookmarkStart w:id="225" w:name="_Toc184308040"/>
      <w:bookmarkEnd w:id="225"/>
      <w:bookmarkStart w:id="226" w:name="_Toc184314471"/>
      <w:bookmarkEnd w:id="226"/>
      <w:bookmarkStart w:id="227" w:name="_Toc184313281"/>
      <w:bookmarkEnd w:id="227"/>
      <w:bookmarkStart w:id="228" w:name="_Toc184308107"/>
      <w:bookmarkEnd w:id="228"/>
      <w:bookmarkStart w:id="229" w:name="_Toc184308097"/>
      <w:bookmarkEnd w:id="229"/>
      <w:bookmarkStart w:id="230" w:name="_Toc184313310"/>
      <w:bookmarkEnd w:id="230"/>
      <w:bookmarkStart w:id="231" w:name="_Toc184314456"/>
      <w:bookmarkEnd w:id="231"/>
      <w:bookmarkStart w:id="232" w:name="_Toc184312133"/>
      <w:bookmarkEnd w:id="232"/>
      <w:bookmarkStart w:id="233" w:name="_Toc184314432"/>
      <w:bookmarkEnd w:id="233"/>
      <w:bookmarkStart w:id="234" w:name="_Toc184308084"/>
      <w:bookmarkEnd w:id="234"/>
      <w:bookmarkStart w:id="235" w:name="_Toc184314470"/>
      <w:bookmarkEnd w:id="235"/>
      <w:bookmarkStart w:id="236" w:name="_Toc184308051"/>
      <w:bookmarkEnd w:id="236"/>
      <w:bookmarkStart w:id="237" w:name="_Toc184308102"/>
      <w:bookmarkEnd w:id="237"/>
      <w:bookmarkStart w:id="238" w:name="_Toc184312092"/>
      <w:bookmarkEnd w:id="238"/>
      <w:bookmarkStart w:id="239" w:name="_Toc184310317"/>
      <w:bookmarkEnd w:id="239"/>
      <w:bookmarkStart w:id="240" w:name="_Toc184312105"/>
      <w:bookmarkEnd w:id="240"/>
      <w:bookmarkStart w:id="241" w:name="_Toc184310291"/>
      <w:bookmarkEnd w:id="241"/>
      <w:bookmarkStart w:id="242" w:name="_Toc184308042"/>
      <w:bookmarkEnd w:id="242"/>
      <w:bookmarkStart w:id="243" w:name="_Toc184310288"/>
      <w:bookmarkEnd w:id="243"/>
      <w:bookmarkStart w:id="244" w:name="_Toc184308044"/>
      <w:bookmarkEnd w:id="244"/>
      <w:bookmarkStart w:id="245" w:name="_Toc184313255"/>
      <w:bookmarkEnd w:id="245"/>
      <w:bookmarkStart w:id="246" w:name="_Toc184310283"/>
      <w:bookmarkEnd w:id="246"/>
      <w:bookmarkStart w:id="247" w:name="_Toc184308045"/>
      <w:bookmarkEnd w:id="247"/>
      <w:bookmarkStart w:id="248" w:name="_Toc184310309"/>
      <w:bookmarkEnd w:id="248"/>
      <w:bookmarkStart w:id="249" w:name="_Toc184312068"/>
      <w:bookmarkEnd w:id="249"/>
      <w:bookmarkStart w:id="250" w:name="_Toc184313265"/>
      <w:bookmarkEnd w:id="250"/>
      <w:bookmarkStart w:id="251" w:name="_Toc184313274"/>
      <w:bookmarkEnd w:id="251"/>
      <w:bookmarkStart w:id="252" w:name="_Toc184313242"/>
      <w:bookmarkEnd w:id="252"/>
      <w:bookmarkStart w:id="253" w:name="_Toc184312076"/>
      <w:bookmarkEnd w:id="253"/>
      <w:bookmarkStart w:id="254" w:name="_Toc184313277"/>
      <w:bookmarkEnd w:id="254"/>
      <w:bookmarkStart w:id="255" w:name="_Toc184310329"/>
      <w:bookmarkEnd w:id="255"/>
      <w:bookmarkStart w:id="256" w:name="_Toc184308108"/>
      <w:bookmarkEnd w:id="256"/>
      <w:bookmarkStart w:id="257" w:name="_Toc184310330"/>
      <w:bookmarkEnd w:id="257"/>
      <w:bookmarkStart w:id="258" w:name="_Toc184312096"/>
      <w:bookmarkEnd w:id="258"/>
      <w:bookmarkStart w:id="259" w:name="_Toc184310312"/>
      <w:bookmarkEnd w:id="259"/>
      <w:bookmarkStart w:id="260" w:name="_Toc184310285"/>
      <w:bookmarkEnd w:id="260"/>
      <w:bookmarkStart w:id="261" w:name="_Toc184312080"/>
      <w:bookmarkEnd w:id="261"/>
      <w:bookmarkStart w:id="262" w:name="_Toc184312102"/>
      <w:bookmarkEnd w:id="262"/>
      <w:bookmarkStart w:id="263" w:name="_Toc184310300"/>
      <w:bookmarkEnd w:id="263"/>
      <w:bookmarkStart w:id="264" w:name="_Toc184312074"/>
      <w:bookmarkEnd w:id="264"/>
      <w:bookmarkStart w:id="265" w:name="_Toc184308073"/>
      <w:bookmarkEnd w:id="265"/>
      <w:bookmarkStart w:id="266" w:name="_Toc184310273"/>
      <w:bookmarkEnd w:id="266"/>
      <w:bookmarkStart w:id="267" w:name="_Toc184314443"/>
      <w:bookmarkEnd w:id="267"/>
      <w:bookmarkStart w:id="268" w:name="_Toc184314411"/>
      <w:bookmarkEnd w:id="268"/>
      <w:bookmarkStart w:id="269" w:name="_Toc184310275"/>
      <w:bookmarkEnd w:id="269"/>
      <w:bookmarkStart w:id="270" w:name="_Toc184310294"/>
      <w:bookmarkEnd w:id="270"/>
      <w:bookmarkStart w:id="271" w:name="_Toc184310302"/>
      <w:bookmarkEnd w:id="271"/>
      <w:bookmarkStart w:id="272" w:name="_Toc184308066"/>
      <w:bookmarkEnd w:id="272"/>
      <w:bookmarkStart w:id="273" w:name="_Toc184313309"/>
      <w:bookmarkEnd w:id="273"/>
      <w:bookmarkStart w:id="274" w:name="_Toc184313257"/>
      <w:bookmarkEnd w:id="274"/>
      <w:bookmarkStart w:id="275" w:name="_Toc184313298"/>
      <w:bookmarkEnd w:id="275"/>
      <w:bookmarkStart w:id="276" w:name="_Toc184314469"/>
      <w:bookmarkEnd w:id="276"/>
      <w:bookmarkStart w:id="277" w:name="_Toc184314422"/>
      <w:bookmarkEnd w:id="277"/>
      <w:bookmarkStart w:id="278" w:name="_Toc184314445"/>
      <w:bookmarkEnd w:id="278"/>
      <w:bookmarkStart w:id="279" w:name="_Toc184314434"/>
      <w:bookmarkEnd w:id="279"/>
      <w:bookmarkStart w:id="280" w:name="_Toc184312116"/>
      <w:bookmarkEnd w:id="280"/>
      <w:bookmarkStart w:id="281" w:name="_Toc184314416"/>
      <w:bookmarkEnd w:id="281"/>
      <w:bookmarkStart w:id="282" w:name="_Toc184312077"/>
      <w:bookmarkEnd w:id="282"/>
      <w:bookmarkStart w:id="283" w:name="_Toc184314417"/>
      <w:bookmarkEnd w:id="283"/>
      <w:bookmarkStart w:id="284" w:name="_Toc184308098"/>
      <w:bookmarkEnd w:id="284"/>
      <w:bookmarkStart w:id="285" w:name="_Toc184308081"/>
      <w:bookmarkEnd w:id="285"/>
      <w:bookmarkStart w:id="286" w:name="_Toc184314458"/>
      <w:bookmarkEnd w:id="286"/>
      <w:bookmarkStart w:id="287" w:name="_Toc184314433"/>
      <w:bookmarkEnd w:id="287"/>
      <w:bookmarkStart w:id="288" w:name="_Toc184310320"/>
      <w:bookmarkEnd w:id="288"/>
      <w:bookmarkStart w:id="289" w:name="_Toc184310293"/>
      <w:bookmarkEnd w:id="289"/>
      <w:bookmarkStart w:id="290" w:name="_Toc184312091"/>
      <w:bookmarkEnd w:id="290"/>
      <w:bookmarkStart w:id="291" w:name="_Toc184312106"/>
      <w:bookmarkEnd w:id="291"/>
      <w:bookmarkStart w:id="292" w:name="_Toc184314424"/>
      <w:bookmarkEnd w:id="292"/>
      <w:bookmarkStart w:id="293" w:name="_Toc184310311"/>
      <w:bookmarkEnd w:id="293"/>
      <w:bookmarkStart w:id="294" w:name="_Toc184314410"/>
      <w:bookmarkEnd w:id="294"/>
      <w:bookmarkStart w:id="295" w:name="_Toc184310303"/>
      <w:bookmarkEnd w:id="295"/>
      <w:bookmarkStart w:id="296" w:name="_Toc184314425"/>
      <w:bookmarkEnd w:id="296"/>
      <w:bookmarkStart w:id="297" w:name="_Toc184308043"/>
      <w:bookmarkEnd w:id="297"/>
      <w:bookmarkStart w:id="298" w:name="_Toc184312139"/>
      <w:bookmarkEnd w:id="298"/>
      <w:bookmarkStart w:id="299" w:name="_Toc184312131"/>
      <w:bookmarkEnd w:id="299"/>
      <w:bookmarkStart w:id="300" w:name="_Toc184314415"/>
      <w:bookmarkEnd w:id="300"/>
      <w:bookmarkStart w:id="301" w:name="_Toc184314439"/>
      <w:bookmarkEnd w:id="301"/>
      <w:bookmarkStart w:id="302" w:name="_Toc184313276"/>
      <w:bookmarkEnd w:id="302"/>
      <w:bookmarkStart w:id="303" w:name="_Toc184313289"/>
      <w:bookmarkEnd w:id="303"/>
      <w:bookmarkStart w:id="304" w:name="_Toc184313252"/>
      <w:bookmarkEnd w:id="304"/>
      <w:bookmarkStart w:id="305" w:name="_Toc184310286"/>
      <w:bookmarkEnd w:id="305"/>
      <w:bookmarkStart w:id="306" w:name="_Toc184314427"/>
      <w:bookmarkEnd w:id="306"/>
      <w:bookmarkStart w:id="307" w:name="_Toc184312118"/>
      <w:bookmarkEnd w:id="307"/>
      <w:bookmarkStart w:id="308" w:name="_Toc184308096"/>
      <w:bookmarkEnd w:id="308"/>
      <w:bookmarkStart w:id="309" w:name="_Toc184314460"/>
      <w:bookmarkEnd w:id="309"/>
      <w:bookmarkStart w:id="310" w:name="_Toc184312120"/>
      <w:bookmarkEnd w:id="310"/>
      <w:bookmarkStart w:id="311" w:name="_Toc184312124"/>
      <w:bookmarkEnd w:id="311"/>
      <w:bookmarkStart w:id="312" w:name="_Toc184313259"/>
      <w:bookmarkEnd w:id="312"/>
      <w:bookmarkStart w:id="313" w:name="_Toc184312084"/>
      <w:bookmarkEnd w:id="313"/>
      <w:bookmarkStart w:id="314" w:name="_Toc184310281"/>
      <w:bookmarkEnd w:id="314"/>
      <w:bookmarkStart w:id="315" w:name="_Toc184310306"/>
      <w:bookmarkEnd w:id="315"/>
      <w:bookmarkStart w:id="316" w:name="_Toc184312095"/>
      <w:bookmarkEnd w:id="316"/>
      <w:bookmarkStart w:id="317" w:name="_Toc184310305"/>
      <w:bookmarkEnd w:id="317"/>
      <w:bookmarkStart w:id="318" w:name="_Toc184310297"/>
      <w:bookmarkEnd w:id="318"/>
      <w:bookmarkStart w:id="319" w:name="_Toc184312115"/>
      <w:bookmarkEnd w:id="319"/>
      <w:bookmarkStart w:id="320" w:name="_Toc184314429"/>
      <w:bookmarkEnd w:id="320"/>
      <w:bookmarkStart w:id="321" w:name="_Toc184312113"/>
      <w:bookmarkEnd w:id="321"/>
      <w:bookmarkStart w:id="322" w:name="_Toc184314454"/>
      <w:bookmarkEnd w:id="322"/>
      <w:bookmarkStart w:id="323" w:name="_Toc184314464"/>
      <w:bookmarkEnd w:id="323"/>
      <w:bookmarkStart w:id="324" w:name="_Toc184308079"/>
      <w:bookmarkEnd w:id="324"/>
      <w:bookmarkStart w:id="325" w:name="_Toc184312117"/>
      <w:bookmarkEnd w:id="325"/>
      <w:bookmarkStart w:id="326" w:name="_Toc184312137"/>
      <w:bookmarkEnd w:id="326"/>
      <w:bookmarkStart w:id="327" w:name="_Toc184308036"/>
      <w:bookmarkEnd w:id="327"/>
      <w:bookmarkStart w:id="328" w:name="_Toc184313245"/>
      <w:bookmarkEnd w:id="328"/>
      <w:bookmarkStart w:id="329" w:name="_Toc184310284"/>
      <w:bookmarkEnd w:id="329"/>
      <w:bookmarkStart w:id="330" w:name="_Toc184308054"/>
      <w:bookmarkEnd w:id="330"/>
      <w:bookmarkStart w:id="331" w:name="_Toc184314477"/>
      <w:bookmarkEnd w:id="331"/>
      <w:bookmarkStart w:id="332" w:name="_Toc184314442"/>
      <w:bookmarkEnd w:id="332"/>
      <w:bookmarkStart w:id="333" w:name="_Toc184313294"/>
      <w:bookmarkEnd w:id="333"/>
      <w:bookmarkStart w:id="334" w:name="_Toc184313297"/>
      <w:bookmarkEnd w:id="334"/>
      <w:bookmarkStart w:id="335" w:name="_Toc184310299"/>
      <w:bookmarkEnd w:id="335"/>
      <w:bookmarkStart w:id="336" w:name="_Toc184308093"/>
      <w:bookmarkEnd w:id="336"/>
      <w:bookmarkStart w:id="337" w:name="_Toc184308049"/>
      <w:bookmarkEnd w:id="337"/>
      <w:bookmarkStart w:id="338" w:name="_Toc184313278"/>
      <w:bookmarkEnd w:id="338"/>
      <w:bookmarkStart w:id="339" w:name="_Toc184313240"/>
      <w:bookmarkEnd w:id="339"/>
      <w:bookmarkStart w:id="340" w:name="_Toc184308070"/>
      <w:bookmarkEnd w:id="340"/>
      <w:bookmarkStart w:id="341" w:name="_Toc184308037"/>
      <w:bookmarkEnd w:id="341"/>
      <w:bookmarkStart w:id="342" w:name="_Toc184312079"/>
      <w:bookmarkEnd w:id="342"/>
      <w:bookmarkStart w:id="343" w:name="_Toc184314472"/>
      <w:bookmarkEnd w:id="343"/>
      <w:bookmarkStart w:id="344" w:name="_Toc184313270"/>
      <w:bookmarkEnd w:id="344"/>
      <w:bookmarkStart w:id="345" w:name="_Toc184310343"/>
      <w:bookmarkEnd w:id="345"/>
      <w:bookmarkStart w:id="346" w:name="_Toc184314426"/>
      <w:bookmarkEnd w:id="346"/>
      <w:bookmarkStart w:id="347" w:name="_Toc184310333"/>
      <w:bookmarkEnd w:id="347"/>
      <w:bookmarkStart w:id="348" w:name="_Toc184313272"/>
      <w:bookmarkEnd w:id="348"/>
      <w:bookmarkStart w:id="349" w:name="_Toc184312099"/>
      <w:bookmarkEnd w:id="349"/>
      <w:bookmarkStart w:id="350" w:name="_Toc184313285"/>
      <w:bookmarkEnd w:id="350"/>
      <w:bookmarkStart w:id="351" w:name="_Toc184310326"/>
      <w:bookmarkEnd w:id="351"/>
      <w:bookmarkStart w:id="352" w:name="_Toc184312114"/>
      <w:bookmarkEnd w:id="352"/>
      <w:bookmarkStart w:id="353" w:name="_Toc184308080"/>
      <w:bookmarkEnd w:id="353"/>
      <w:bookmarkStart w:id="354" w:name="_Toc184313307"/>
      <w:bookmarkEnd w:id="354"/>
      <w:bookmarkStart w:id="355" w:name="_Toc184312071"/>
      <w:bookmarkEnd w:id="355"/>
      <w:bookmarkStart w:id="356" w:name="_Toc184308106"/>
      <w:bookmarkEnd w:id="356"/>
      <w:bookmarkStart w:id="357" w:name="_Toc184312122"/>
      <w:bookmarkEnd w:id="357"/>
      <w:bookmarkStart w:id="358" w:name="_Toc184312083"/>
      <w:bookmarkEnd w:id="358"/>
      <w:bookmarkStart w:id="359" w:name="_Toc184313273"/>
      <w:bookmarkEnd w:id="359"/>
      <w:bookmarkStart w:id="360" w:name="_Toc184308100"/>
      <w:bookmarkEnd w:id="360"/>
      <w:bookmarkStart w:id="361" w:name="_Toc184308046"/>
      <w:bookmarkEnd w:id="361"/>
      <w:bookmarkStart w:id="362" w:name="_Toc184308067"/>
      <w:bookmarkEnd w:id="362"/>
      <w:bookmarkStart w:id="363" w:name="_Toc184312081"/>
      <w:bookmarkEnd w:id="363"/>
      <w:bookmarkStart w:id="364" w:name="_Toc184310344"/>
      <w:bookmarkEnd w:id="364"/>
      <w:bookmarkStart w:id="365" w:name="_Toc184313304"/>
      <w:bookmarkEnd w:id="365"/>
      <w:bookmarkStart w:id="366" w:name="_Toc184314441"/>
      <w:bookmarkEnd w:id="366"/>
      <w:bookmarkStart w:id="367" w:name="_Toc184308053"/>
      <w:bookmarkEnd w:id="367"/>
      <w:bookmarkStart w:id="368" w:name="_Toc184312103"/>
      <w:bookmarkEnd w:id="368"/>
      <w:bookmarkStart w:id="369" w:name="_Toc184310282"/>
      <w:bookmarkEnd w:id="369"/>
      <w:bookmarkStart w:id="370" w:name="_Toc184312089"/>
      <w:bookmarkEnd w:id="370"/>
      <w:bookmarkStart w:id="371" w:name="_Toc184313283"/>
      <w:bookmarkEnd w:id="371"/>
      <w:bookmarkStart w:id="372" w:name="_Toc184308071"/>
      <w:bookmarkEnd w:id="372"/>
      <w:bookmarkStart w:id="373" w:name="_Toc184313299"/>
      <w:bookmarkEnd w:id="373"/>
      <w:bookmarkStart w:id="374" w:name="_Toc184308078"/>
      <w:bookmarkEnd w:id="374"/>
      <w:bookmarkStart w:id="375" w:name="_Toc184310278"/>
      <w:bookmarkEnd w:id="375"/>
      <w:bookmarkStart w:id="376" w:name="_Toc184313293"/>
      <w:bookmarkEnd w:id="376"/>
      <w:bookmarkStart w:id="377" w:name="_Toc184313279"/>
      <w:bookmarkEnd w:id="377"/>
      <w:bookmarkStart w:id="378" w:name="_Toc184314468"/>
      <w:bookmarkEnd w:id="378"/>
      <w:bookmarkStart w:id="379" w:name="_Toc184310332"/>
      <w:bookmarkEnd w:id="379"/>
      <w:bookmarkStart w:id="380" w:name="_Toc184308058"/>
      <w:bookmarkEnd w:id="380"/>
      <w:bookmarkStart w:id="381" w:name="_Toc184313256"/>
      <w:bookmarkEnd w:id="381"/>
      <w:bookmarkStart w:id="382" w:name="_Toc184310296"/>
      <w:bookmarkEnd w:id="382"/>
      <w:bookmarkStart w:id="383" w:name="_Toc184314459"/>
      <w:bookmarkEnd w:id="383"/>
      <w:bookmarkStart w:id="384" w:name="_Toc184308087"/>
      <w:bookmarkEnd w:id="384"/>
      <w:bookmarkStart w:id="385" w:name="_Toc184308074"/>
      <w:bookmarkEnd w:id="385"/>
      <w:bookmarkStart w:id="386" w:name="_Toc184314478"/>
      <w:bookmarkEnd w:id="386"/>
      <w:bookmarkStart w:id="387" w:name="_Toc184314412"/>
      <w:bookmarkEnd w:id="387"/>
      <w:bookmarkStart w:id="388" w:name="_Toc184313280"/>
      <w:bookmarkEnd w:id="388"/>
      <w:bookmarkStart w:id="389" w:name="_Toc184312073"/>
      <w:bookmarkEnd w:id="389"/>
      <w:bookmarkStart w:id="390" w:name="_Toc184314437"/>
      <w:bookmarkEnd w:id="390"/>
      <w:bookmarkStart w:id="391" w:name="_Toc184312093"/>
      <w:bookmarkEnd w:id="391"/>
      <w:bookmarkStart w:id="392" w:name="_Toc184313267"/>
      <w:bookmarkEnd w:id="392"/>
      <w:bookmarkStart w:id="393" w:name="_Toc184314473"/>
      <w:bookmarkEnd w:id="393"/>
      <w:bookmarkStart w:id="394" w:name="_Toc184313247"/>
      <w:bookmarkEnd w:id="394"/>
      <w:bookmarkStart w:id="395" w:name="_Toc184308063"/>
      <w:bookmarkEnd w:id="395"/>
      <w:bookmarkStart w:id="396" w:name="_Toc184313300"/>
      <w:bookmarkEnd w:id="396"/>
      <w:r>
        <w:rPr>
          <w:rFonts w:hint="eastAsia" w:ascii="宋体" w:hAnsi="宋体" w:eastAsia="宋体" w:cs="宋体"/>
          <w:b/>
          <w:color w:val="auto"/>
          <w:sz w:val="36"/>
          <w:szCs w:val="36"/>
          <w:highlight w:val="none"/>
        </w:rPr>
        <w:t>评标办法</w:t>
      </w:r>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6"/>
        <w:tblW w:w="10343" w:type="dxa"/>
        <w:tblInd w:w="-7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5264"/>
        <w:gridCol w:w="855"/>
        <w:gridCol w:w="1315"/>
        <w:gridCol w:w="2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5" w:hRule="atLeast"/>
        </w:trPr>
        <w:tc>
          <w:tcPr>
            <w:tcW w:w="881" w:type="dxa"/>
            <w:noWrap w:val="0"/>
            <w:vAlign w:val="center"/>
          </w:tcPr>
          <w:p>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序号</w:t>
            </w:r>
          </w:p>
        </w:tc>
        <w:tc>
          <w:tcPr>
            <w:tcW w:w="5264" w:type="dxa"/>
            <w:noWrap w:val="0"/>
            <w:vAlign w:val="center"/>
          </w:tcPr>
          <w:p>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评标标准</w:t>
            </w:r>
          </w:p>
        </w:tc>
        <w:tc>
          <w:tcPr>
            <w:tcW w:w="855" w:type="dxa"/>
            <w:noWrap w:val="0"/>
            <w:vAlign w:val="center"/>
          </w:tcPr>
          <w:p>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权重</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Cs/>
                <w:color w:val="auto"/>
                <w:sz w:val="24"/>
                <w:szCs w:val="24"/>
                <w:highlight w:val="none"/>
              </w:rPr>
              <w:t>主观分/客观分属性</w:t>
            </w:r>
          </w:p>
        </w:tc>
        <w:tc>
          <w:tcPr>
            <w:tcW w:w="2028" w:type="dxa"/>
            <w:noWrap w:val="0"/>
            <w:vAlign w:val="top"/>
          </w:tcPr>
          <w:p>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Cs/>
                <w:color w:val="auto"/>
                <w:sz w:val="24"/>
                <w:szCs w:val="24"/>
                <w:highlight w:val="none"/>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881" w:type="dxa"/>
            <w:noWrap w:val="0"/>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1</w:t>
            </w:r>
          </w:p>
        </w:tc>
        <w:tc>
          <w:tcPr>
            <w:tcW w:w="526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textAlignment w:val="auto"/>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kern w:val="0"/>
                <w:sz w:val="24"/>
                <w:highlight w:val="none"/>
              </w:rPr>
              <w:t>投标产品关键技术指标（标有“▲”的指标）必须满足，负偏离废标；对非关键的性能指标及技术参数属负偏离或缺漏项的每项扣</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分，扣完为止。</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1315" w:type="dxa"/>
            <w:noWrap w:val="0"/>
            <w:vAlign w:val="center"/>
          </w:tcPr>
          <w:p>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kern w:val="0"/>
                <w:sz w:val="24"/>
                <w:highlight w:val="none"/>
                <w:lang w:eastAsia="zh-CN"/>
              </w:rPr>
              <w:t>客</w:t>
            </w:r>
            <w:r>
              <w:rPr>
                <w:rFonts w:hint="eastAsia" w:ascii="宋体" w:hAnsi="宋体" w:cs="宋体"/>
                <w:color w:val="auto"/>
                <w:kern w:val="0"/>
                <w:sz w:val="24"/>
                <w:highlight w:val="none"/>
              </w:rPr>
              <w:t>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881" w:type="dxa"/>
            <w:noWrap w:val="0"/>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2</w:t>
            </w:r>
          </w:p>
        </w:tc>
        <w:tc>
          <w:tcPr>
            <w:tcW w:w="5264" w:type="dxa"/>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firstLine="0" w:firstLineChars="0"/>
              <w:jc w:val="left"/>
              <w:textAlignment w:val="auto"/>
              <w:rPr>
                <w:rFonts w:hint="eastAsia" w:ascii="宋体" w:hAnsi="宋体" w:eastAsia="宋体" w:cs="宋体"/>
                <w:color w:val="auto"/>
                <w:sz w:val="24"/>
                <w:highlight w:val="none"/>
              </w:rPr>
            </w:pPr>
            <w:r>
              <w:rPr>
                <w:rFonts w:hint="eastAsia" w:ascii="宋体" w:hAnsi="宋体" w:cs="宋体"/>
                <w:color w:val="auto"/>
                <w:kern w:val="0"/>
                <w:sz w:val="24"/>
                <w:highlight w:val="none"/>
              </w:rPr>
              <w:t>性能指标、技术参数属正偏或高配的、有先进程度的正偏离每项加1分，最高得</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分，无实质性意义的正偏离不加分。（投标文件中需提供对应的检测报告并加盖公章，不提供不得分）</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color w:val="auto"/>
                <w:sz w:val="24"/>
                <w:szCs w:val="24"/>
                <w:highlight w:val="none"/>
                <w:lang w:val="en-US" w:eastAsia="zh-CN"/>
              </w:rPr>
              <w:t>5</w:t>
            </w:r>
          </w:p>
        </w:tc>
        <w:tc>
          <w:tcPr>
            <w:tcW w:w="1315" w:type="dxa"/>
            <w:noWrap w:val="0"/>
            <w:vAlign w:val="center"/>
          </w:tcPr>
          <w:p>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kern w:val="0"/>
                <w:sz w:val="24"/>
                <w:highlight w:val="none"/>
                <w:lang w:eastAsia="zh-CN"/>
              </w:rPr>
              <w:t>客</w:t>
            </w:r>
            <w:r>
              <w:rPr>
                <w:rFonts w:hint="eastAsia" w:ascii="宋体" w:hAnsi="宋体" w:cs="宋体"/>
                <w:color w:val="auto"/>
                <w:kern w:val="0"/>
                <w:sz w:val="24"/>
                <w:highlight w:val="none"/>
              </w:rPr>
              <w:t>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881" w:type="dxa"/>
            <w:noWrap w:val="0"/>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3</w:t>
            </w:r>
          </w:p>
        </w:tc>
        <w:tc>
          <w:tcPr>
            <w:tcW w:w="5264" w:type="dxa"/>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firstLine="0" w:firstLineChars="0"/>
              <w:jc w:val="left"/>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项目背景及现状分析：</w:t>
            </w:r>
          </w:p>
          <w:p>
            <w:pPr>
              <w:keepNext w:val="0"/>
              <w:keepLines w:val="0"/>
              <w:pageBreakBefore w:val="0"/>
              <w:widowControl/>
              <w:kinsoku/>
              <w:wordWrap/>
              <w:overflowPunct/>
              <w:topLinePunct w:val="0"/>
              <w:autoSpaceDE/>
              <w:autoSpaceDN/>
              <w:bidi w:val="0"/>
              <w:adjustRightInd w:val="0"/>
              <w:snapToGrid w:val="0"/>
              <w:spacing w:line="240" w:lineRule="auto"/>
              <w:ind w:left="0" w:leftChars="0" w:firstLine="0" w:firstLineChars="0"/>
              <w:jc w:val="left"/>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对本项目</w:t>
            </w:r>
            <w:r>
              <w:rPr>
                <w:rFonts w:hint="eastAsia" w:ascii="宋体" w:hAnsi="宋体" w:cs="宋体"/>
                <w:color w:val="auto"/>
                <w:kern w:val="0"/>
                <w:sz w:val="24"/>
                <w:highlight w:val="none"/>
                <w:lang w:val="en-US" w:eastAsia="zh-CN"/>
              </w:rPr>
              <w:t>能效提升节能改造政策背景实际情况的了解程度和现状分析到位情况进行打分，最高得4分</w:t>
            </w:r>
            <w:r>
              <w:rPr>
                <w:rFonts w:hint="eastAsia" w:ascii="宋体" w:hAnsi="宋体" w:cs="宋体"/>
                <w:color w:val="auto"/>
                <w:kern w:val="0"/>
                <w:sz w:val="24"/>
                <w:highlight w:val="none"/>
              </w:rPr>
              <w:t>。</w:t>
            </w:r>
          </w:p>
        </w:tc>
        <w:tc>
          <w:tcPr>
            <w:tcW w:w="855" w:type="dxa"/>
            <w:noWrap w:val="0"/>
            <w:vAlign w:val="center"/>
          </w:tcPr>
          <w:p>
            <w:pPr>
              <w:keepNext w:val="0"/>
              <w:keepLines w:val="0"/>
              <w:widowControl/>
              <w:suppressLineNumbers w:val="0"/>
              <w:jc w:val="center"/>
              <w:textAlignment w:val="center"/>
              <w:rPr>
                <w:rFonts w:hint="default" w:ascii="宋体" w:hAnsi="宋体" w:cs="宋体"/>
                <w:i w:val="0"/>
                <w:iCs w:val="0"/>
                <w:color w:val="auto"/>
                <w:kern w:val="0"/>
                <w:sz w:val="24"/>
                <w:szCs w:val="24"/>
                <w:highlight w:val="none"/>
                <w:u w:val="none"/>
                <w:lang w:val="en-US" w:eastAsia="zh-CN" w:bidi="ar"/>
              </w:rPr>
            </w:pPr>
            <w:r>
              <w:rPr>
                <w:rFonts w:hint="eastAsia" w:ascii="宋体" w:hAnsi="宋体" w:cs="宋体"/>
                <w:color w:val="auto"/>
                <w:sz w:val="24"/>
                <w:szCs w:val="24"/>
                <w:highlight w:val="none"/>
                <w:lang w:val="en-US" w:eastAsia="zh-CN"/>
              </w:rPr>
              <w:t>4</w:t>
            </w:r>
          </w:p>
        </w:tc>
        <w:tc>
          <w:tcPr>
            <w:tcW w:w="1315" w:type="dxa"/>
            <w:noWrap w:val="0"/>
            <w:vAlign w:val="center"/>
          </w:tcPr>
          <w:p>
            <w:pPr>
              <w:snapToGrid w:val="0"/>
              <w:spacing w:line="360" w:lineRule="auto"/>
              <w:jc w:val="center"/>
              <w:rPr>
                <w:rFonts w:hint="eastAsia" w:ascii="宋体" w:hAnsi="宋体" w:cs="宋体"/>
                <w:color w:val="auto"/>
                <w:kern w:val="0"/>
                <w:sz w:val="24"/>
                <w:highlight w:val="none"/>
                <w:lang w:eastAsia="zh-CN"/>
              </w:rPr>
            </w:pPr>
            <w:r>
              <w:rPr>
                <w:rFonts w:hint="eastAsia" w:ascii="宋体" w:hAnsi="宋体" w:cs="宋体"/>
                <w:color w:val="auto"/>
                <w:sz w:val="24"/>
                <w:szCs w:val="24"/>
                <w:highlight w:val="none"/>
                <w:lang w:val="en-US" w:eastAsia="zh-CN"/>
              </w:rPr>
              <w:t>主观分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trPr>
        <w:tc>
          <w:tcPr>
            <w:tcW w:w="881" w:type="dxa"/>
            <w:noWrap w:val="0"/>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4</w:t>
            </w:r>
          </w:p>
        </w:tc>
        <w:tc>
          <w:tcPr>
            <w:tcW w:w="526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textAlignment w:val="auto"/>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highlight w:val="none"/>
                <w:lang w:val="en-US" w:eastAsia="zh-CN"/>
              </w:rPr>
              <w:t>投标人根据项目实际情况提供符合项目需求的整体</w:t>
            </w:r>
            <w:r>
              <w:rPr>
                <w:rFonts w:hint="eastAsia" w:ascii="宋体" w:hAnsi="宋体" w:cs="宋体"/>
                <w:color w:val="auto"/>
                <w:sz w:val="24"/>
                <w:highlight w:val="none"/>
              </w:rPr>
              <w:t>供货</w:t>
            </w:r>
            <w:r>
              <w:rPr>
                <w:rFonts w:hint="eastAsia" w:ascii="宋体" w:hAnsi="宋体" w:cs="宋体"/>
                <w:color w:val="auto"/>
                <w:sz w:val="24"/>
                <w:highlight w:val="none"/>
                <w:lang w:val="en-US" w:eastAsia="zh-CN"/>
              </w:rPr>
              <w:t>方案</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0-1分</w:t>
            </w:r>
            <w:r>
              <w:rPr>
                <w:rFonts w:hint="eastAsia" w:ascii="宋体" w:hAnsi="宋体" w:cs="宋体"/>
                <w:color w:val="auto"/>
                <w:sz w:val="24"/>
                <w:highlight w:val="none"/>
                <w:lang w:eastAsia="zh-CN"/>
              </w:rPr>
              <w:t>）</w:t>
            </w:r>
            <w:r>
              <w:rPr>
                <w:rFonts w:hint="eastAsia" w:ascii="宋体" w:hAnsi="宋体" w:cs="宋体"/>
                <w:color w:val="auto"/>
                <w:sz w:val="24"/>
                <w:highlight w:val="none"/>
              </w:rPr>
              <w:t>、专项的施工方案</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0-1分</w:t>
            </w:r>
            <w:r>
              <w:rPr>
                <w:rFonts w:hint="eastAsia" w:ascii="宋体" w:hAnsi="宋体" w:cs="宋体"/>
                <w:color w:val="auto"/>
                <w:sz w:val="24"/>
                <w:highlight w:val="none"/>
                <w:lang w:eastAsia="zh-CN"/>
              </w:rPr>
              <w:t>）</w:t>
            </w:r>
            <w:r>
              <w:rPr>
                <w:rFonts w:hint="eastAsia" w:ascii="宋体" w:hAnsi="宋体" w:cs="宋体"/>
                <w:color w:val="auto"/>
                <w:sz w:val="24"/>
                <w:highlight w:val="none"/>
              </w:rPr>
              <w:t>、安装</w:t>
            </w:r>
            <w:r>
              <w:rPr>
                <w:rFonts w:hint="eastAsia" w:ascii="宋体" w:hAnsi="宋体" w:cs="宋体"/>
                <w:color w:val="auto"/>
                <w:sz w:val="24"/>
                <w:highlight w:val="none"/>
                <w:lang w:val="en-US" w:eastAsia="zh-CN"/>
              </w:rPr>
              <w:t>调试方案</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0-1分</w:t>
            </w:r>
            <w:r>
              <w:rPr>
                <w:rFonts w:hint="eastAsia" w:ascii="宋体" w:hAnsi="宋体" w:cs="宋体"/>
                <w:color w:val="auto"/>
                <w:sz w:val="24"/>
                <w:highlight w:val="none"/>
                <w:lang w:eastAsia="zh-CN"/>
              </w:rPr>
              <w:t>）、</w:t>
            </w:r>
            <w:r>
              <w:rPr>
                <w:rFonts w:hint="eastAsia" w:ascii="宋体" w:hAnsi="宋体" w:cs="宋体"/>
                <w:color w:val="auto"/>
                <w:sz w:val="24"/>
                <w:highlight w:val="none"/>
              </w:rPr>
              <w:t>检验组织方案</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0-1分</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最高得4分。</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trPr>
        <w:tc>
          <w:tcPr>
            <w:tcW w:w="881" w:type="dxa"/>
            <w:noWrap w:val="0"/>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5</w:t>
            </w:r>
          </w:p>
        </w:tc>
        <w:tc>
          <w:tcPr>
            <w:tcW w:w="526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eastAsia="zh-CN"/>
              </w:rPr>
              <w:t>满足安全文明施工要求：安全生产保证体系健全、合理的（</w:t>
            </w:r>
            <w:r>
              <w:rPr>
                <w:rFonts w:hint="eastAsia" w:ascii="宋体" w:hAnsi="宋体" w:cs="宋体"/>
                <w:color w:val="auto"/>
                <w:sz w:val="24"/>
                <w:highlight w:val="none"/>
                <w:lang w:val="en-US" w:eastAsia="zh-CN"/>
              </w:rPr>
              <w:t>0-2分</w:t>
            </w:r>
            <w:r>
              <w:rPr>
                <w:rFonts w:hint="eastAsia" w:ascii="宋体" w:hAnsi="宋体" w:cs="宋体"/>
                <w:color w:val="auto"/>
                <w:sz w:val="24"/>
                <w:highlight w:val="none"/>
                <w:lang w:eastAsia="zh-CN"/>
              </w:rPr>
              <w:t>），文明施工、环保、防尘控制措施到位</w:t>
            </w:r>
            <w:r>
              <w:rPr>
                <w:rFonts w:hint="eastAsia" w:ascii="宋体" w:hAnsi="宋体" w:cs="宋体"/>
                <w:color w:val="auto"/>
                <w:sz w:val="24"/>
                <w:highlight w:val="none"/>
                <w:lang w:val="en-US" w:eastAsia="zh-CN"/>
              </w:rPr>
              <w:t>的（0-2分）</w:t>
            </w:r>
            <w:r>
              <w:rPr>
                <w:rFonts w:hint="eastAsia" w:ascii="宋体" w:hAnsi="宋体" w:cs="宋体"/>
                <w:color w:val="auto"/>
                <w:sz w:val="24"/>
                <w:highlight w:val="none"/>
                <w:lang w:eastAsia="zh-CN"/>
              </w:rPr>
              <w:t>，最高得</w:t>
            </w:r>
            <w:r>
              <w:rPr>
                <w:rFonts w:hint="eastAsia" w:ascii="宋体" w:hAnsi="宋体" w:cs="宋体"/>
                <w:color w:val="auto"/>
                <w:sz w:val="24"/>
                <w:highlight w:val="none"/>
                <w:lang w:val="en-US" w:eastAsia="zh-CN"/>
              </w:rPr>
              <w:t>4分</w:t>
            </w:r>
            <w:r>
              <w:rPr>
                <w:rFonts w:hint="eastAsia" w:ascii="宋体" w:hAnsi="宋体" w:cs="宋体"/>
                <w:color w:val="auto"/>
                <w:sz w:val="24"/>
                <w:highlight w:val="none"/>
                <w:lang w:eastAsia="zh-CN"/>
              </w:rPr>
              <w:t>。</w:t>
            </w:r>
          </w:p>
        </w:tc>
        <w:tc>
          <w:tcPr>
            <w:tcW w:w="855" w:type="dxa"/>
            <w:noWrap w:val="0"/>
            <w:vAlign w:val="center"/>
          </w:tcPr>
          <w:p>
            <w:pPr>
              <w:keepNext w:val="0"/>
              <w:keepLines w:val="0"/>
              <w:widowControl/>
              <w:suppressLineNumbers w:val="0"/>
              <w:jc w:val="center"/>
              <w:textAlignment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881" w:type="dxa"/>
            <w:noWrap w:val="0"/>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6</w:t>
            </w:r>
          </w:p>
        </w:tc>
        <w:tc>
          <w:tcPr>
            <w:tcW w:w="5264" w:type="dxa"/>
            <w:noWrap w:val="0"/>
            <w:vAlign w:val="top"/>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textAlignment w:val="auto"/>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highlight w:val="none"/>
              </w:rPr>
              <w:t>根据项目进度安排是否合理，包括组织机构、工作时间进度表</w:t>
            </w:r>
            <w:r>
              <w:rPr>
                <w:rFonts w:hint="eastAsia" w:ascii="宋体" w:hAnsi="宋体" w:cs="宋体"/>
                <w:color w:val="auto"/>
                <w:sz w:val="24"/>
                <w:highlight w:val="none"/>
                <w:lang w:eastAsia="zh-CN"/>
              </w:rPr>
              <w:t>（包括关键节点和阶段性目标）</w:t>
            </w:r>
            <w:r>
              <w:rPr>
                <w:rFonts w:hint="eastAsia" w:ascii="宋体" w:hAnsi="宋体" w:cs="宋体"/>
                <w:color w:val="auto"/>
                <w:sz w:val="24"/>
                <w:highlight w:val="none"/>
              </w:rPr>
              <w:t>、工作程序和步骤、管理和协调方法等，每项1分，最高得</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分。</w:t>
            </w:r>
          </w:p>
        </w:tc>
        <w:tc>
          <w:tcPr>
            <w:tcW w:w="85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right="0" w:rightChars="0" w:firstLine="240" w:firstLineChars="100"/>
              <w:textAlignment w:val="auto"/>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5" w:hRule="atLeast"/>
        </w:trPr>
        <w:tc>
          <w:tcPr>
            <w:tcW w:w="881" w:type="dxa"/>
            <w:noWrap w:val="0"/>
            <w:vAlign w:val="center"/>
          </w:tcPr>
          <w:p>
            <w:pPr>
              <w:keepNext w:val="0"/>
              <w:keepLines w:val="0"/>
              <w:widowControl/>
              <w:suppressLineNumbers w:val="0"/>
              <w:jc w:val="center"/>
              <w:textAlignment w:val="center"/>
              <w:rPr>
                <w:rFonts w:hint="eastAsia" w:ascii="宋体" w:hAnsi="宋体" w:eastAsia="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7</w:t>
            </w:r>
          </w:p>
        </w:tc>
        <w:tc>
          <w:tcPr>
            <w:tcW w:w="5264" w:type="dxa"/>
            <w:noWrap w:val="0"/>
            <w:vAlign w:val="center"/>
          </w:tcPr>
          <w:p>
            <w:pPr>
              <w:spacing w:line="3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针对本项目能效提升节能改造的安全生产管理组织机构、施工安全管理流程图的完整性、可行性和科学性，是否符合相关规范、是否满足项目要求进行打分。</w:t>
            </w:r>
          </w:p>
          <w:p>
            <w:pPr>
              <w:spacing w:line="3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①内容完整详细、全面、可行性高，满足项目要求得4-5分；</w:t>
            </w:r>
          </w:p>
          <w:p>
            <w:pPr>
              <w:spacing w:line="3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w:t>
            </w:r>
            <w:r>
              <w:rPr>
                <w:rFonts w:hint="eastAsia" w:ascii="宋体" w:hAnsi="宋体" w:cs="宋体"/>
                <w:color w:val="auto"/>
                <w:sz w:val="24"/>
                <w:szCs w:val="24"/>
                <w:highlight w:val="none"/>
                <w:lang w:val="en-US" w:eastAsia="zh-CN"/>
              </w:rPr>
              <w:t>内容</w:t>
            </w:r>
            <w:r>
              <w:rPr>
                <w:rFonts w:hint="eastAsia" w:ascii="宋体" w:hAnsi="宋体" w:eastAsia="宋体" w:cs="宋体"/>
                <w:color w:val="auto"/>
                <w:sz w:val="24"/>
                <w:szCs w:val="24"/>
                <w:highlight w:val="none"/>
                <w:lang w:val="en-US" w:eastAsia="zh-CN"/>
              </w:rPr>
              <w:t>比较完善、较全面，能够良好满足项目需要且无较大缺陷的得2-3分；</w:t>
            </w:r>
          </w:p>
          <w:p>
            <w:pPr>
              <w:spacing w:line="3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w:t>
            </w:r>
            <w:r>
              <w:rPr>
                <w:rFonts w:hint="eastAsia" w:ascii="宋体" w:hAnsi="宋体" w:cs="宋体"/>
                <w:color w:val="auto"/>
                <w:sz w:val="24"/>
                <w:szCs w:val="24"/>
                <w:highlight w:val="none"/>
                <w:lang w:val="en-US" w:eastAsia="zh-CN"/>
              </w:rPr>
              <w:t>内容</w:t>
            </w:r>
            <w:r>
              <w:rPr>
                <w:rFonts w:hint="eastAsia" w:ascii="宋体" w:hAnsi="宋体" w:eastAsia="宋体" w:cs="宋体"/>
                <w:color w:val="auto"/>
                <w:sz w:val="24"/>
                <w:szCs w:val="24"/>
                <w:highlight w:val="none"/>
                <w:lang w:val="en-US" w:eastAsia="zh-CN"/>
              </w:rPr>
              <w:t>简单笼统、涵盖内容少，不能良好满足项目实施的得0-1分。</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5</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881" w:type="dxa"/>
            <w:noWrap w:val="0"/>
            <w:vAlign w:val="center"/>
          </w:tcPr>
          <w:p>
            <w:pPr>
              <w:keepNext w:val="0"/>
              <w:keepLines w:val="0"/>
              <w:widowControl/>
              <w:suppressLineNumbers w:val="0"/>
              <w:jc w:val="center"/>
              <w:textAlignment w:val="center"/>
              <w:rPr>
                <w:rFonts w:hint="eastAsia" w:ascii="宋体" w:hAnsi="宋体" w:eastAsia="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8</w:t>
            </w:r>
          </w:p>
        </w:tc>
        <w:tc>
          <w:tcPr>
            <w:tcW w:w="5264" w:type="dxa"/>
            <w:noWrap w:val="0"/>
            <w:vAlign w:val="center"/>
          </w:tcPr>
          <w:p>
            <w:pPr>
              <w:spacing w:line="30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投标人提供的</w:t>
            </w:r>
            <w:r>
              <w:rPr>
                <w:rFonts w:hint="eastAsia" w:ascii="宋体" w:hAnsi="宋体" w:cs="宋体"/>
                <w:color w:val="auto"/>
                <w:sz w:val="24"/>
                <w:highlight w:val="none"/>
              </w:rPr>
              <w:t>质量保证体系（0-2分）、安全保证体系是否</w:t>
            </w:r>
            <w:r>
              <w:rPr>
                <w:rFonts w:hint="eastAsia" w:ascii="宋体" w:hAnsi="宋体" w:cs="宋体"/>
                <w:color w:val="auto"/>
                <w:sz w:val="24"/>
                <w:highlight w:val="none"/>
                <w:lang w:val="en-US" w:eastAsia="zh-CN"/>
              </w:rPr>
              <w:t>科学合理</w:t>
            </w:r>
            <w:r>
              <w:rPr>
                <w:rFonts w:hint="eastAsia" w:ascii="宋体" w:hAnsi="宋体" w:cs="宋体"/>
                <w:color w:val="auto"/>
                <w:sz w:val="24"/>
                <w:highlight w:val="none"/>
              </w:rPr>
              <w:t>（0-2分），最高得4分。</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4</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81" w:type="dxa"/>
            <w:noWrap w:val="0"/>
            <w:vAlign w:val="center"/>
          </w:tcPr>
          <w:p>
            <w:pPr>
              <w:keepNext w:val="0"/>
              <w:keepLines w:val="0"/>
              <w:widowControl/>
              <w:suppressLineNumbers w:val="0"/>
              <w:jc w:val="center"/>
              <w:textAlignment w:val="center"/>
              <w:rPr>
                <w:rFonts w:hint="eastAsia" w:ascii="宋体" w:hAnsi="宋体" w:eastAsia="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9</w:t>
            </w:r>
          </w:p>
        </w:tc>
        <w:tc>
          <w:tcPr>
            <w:tcW w:w="5264" w:type="dxa"/>
            <w:noWrap w:val="0"/>
            <w:vAlign w:val="center"/>
          </w:tcPr>
          <w:p>
            <w:pPr>
              <w:spacing w:line="30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highlight w:val="none"/>
              </w:rPr>
              <w:t>根据</w:t>
            </w:r>
            <w:r>
              <w:rPr>
                <w:rFonts w:hint="eastAsia" w:ascii="宋体" w:hAnsi="宋体" w:cs="宋体"/>
                <w:color w:val="auto"/>
                <w:sz w:val="24"/>
                <w:highlight w:val="none"/>
                <w:lang w:val="en-US" w:eastAsia="zh-CN"/>
              </w:rPr>
              <w:t>节能改造</w:t>
            </w:r>
            <w:r>
              <w:rPr>
                <w:rFonts w:hint="eastAsia" w:ascii="宋体" w:hAnsi="宋体" w:cs="宋体"/>
                <w:color w:val="auto"/>
                <w:sz w:val="24"/>
                <w:highlight w:val="none"/>
              </w:rPr>
              <w:t>方案</w:t>
            </w:r>
            <w:r>
              <w:rPr>
                <w:rFonts w:hint="eastAsia" w:ascii="宋体" w:hAnsi="宋体" w:cs="宋体"/>
                <w:color w:val="auto"/>
                <w:sz w:val="24"/>
                <w:highlight w:val="none"/>
                <w:lang w:val="en-US" w:eastAsia="zh-CN"/>
              </w:rPr>
              <w:t>的</w:t>
            </w:r>
            <w:r>
              <w:rPr>
                <w:rFonts w:hint="eastAsia" w:ascii="宋体" w:hAnsi="宋体" w:cs="宋体"/>
                <w:color w:val="auto"/>
                <w:sz w:val="24"/>
                <w:highlight w:val="none"/>
              </w:rPr>
              <w:t>详细、完整程度、可行性</w:t>
            </w:r>
            <w:r>
              <w:rPr>
                <w:rFonts w:hint="eastAsia" w:ascii="宋体" w:hAnsi="宋体" w:cs="宋体"/>
                <w:color w:val="auto"/>
                <w:sz w:val="24"/>
                <w:highlight w:val="none"/>
                <w:lang w:val="en-US" w:eastAsia="zh-CN"/>
              </w:rPr>
              <w:t>及先进程度</w:t>
            </w:r>
            <w:r>
              <w:rPr>
                <w:rFonts w:hint="eastAsia" w:ascii="宋体" w:hAnsi="宋体" w:cs="宋体"/>
                <w:color w:val="auto"/>
                <w:sz w:val="24"/>
                <w:highlight w:val="none"/>
              </w:rPr>
              <w:t>进行评分，</w:t>
            </w:r>
            <w:r>
              <w:rPr>
                <w:rFonts w:hint="eastAsia" w:ascii="宋体" w:hAnsi="宋体" w:cs="宋体"/>
                <w:color w:val="auto"/>
                <w:sz w:val="24"/>
                <w:highlight w:val="none"/>
                <w:lang w:val="en-US" w:eastAsia="zh-CN"/>
              </w:rPr>
              <w:t>包括能耗监测系统能耗的配置方案（0-1分）、路灯及照明系统的配置方案（0-1分）、光伏发电系统的配置方案（0-1分）、照明系统的配置方案（0-1分），最高得4分。</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4</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trPr>
        <w:tc>
          <w:tcPr>
            <w:tcW w:w="881" w:type="dxa"/>
            <w:noWrap w:val="0"/>
            <w:vAlign w:val="center"/>
          </w:tcPr>
          <w:p>
            <w:pPr>
              <w:keepNext w:val="0"/>
              <w:keepLines w:val="0"/>
              <w:widowControl/>
              <w:suppressLineNumbers w:val="0"/>
              <w:jc w:val="center"/>
              <w:textAlignment w:val="center"/>
              <w:rPr>
                <w:rFonts w:hint="default" w:ascii="宋体" w:hAnsi="宋体" w:eastAsia="宋体" w:cs="宋体"/>
                <w:snapToGrid/>
                <w:color w:val="auto"/>
                <w:kern w:val="0"/>
                <w:sz w:val="24"/>
                <w:szCs w:val="20"/>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10</w:t>
            </w:r>
          </w:p>
        </w:tc>
        <w:tc>
          <w:tcPr>
            <w:tcW w:w="5264" w:type="dxa"/>
            <w:noWrap w:val="0"/>
            <w:vAlign w:val="center"/>
          </w:tcPr>
          <w:p>
            <w:pPr>
              <w:spacing w:line="300" w:lineRule="exact"/>
              <w:rPr>
                <w:rFonts w:hint="eastAsia" w:ascii="宋体" w:hAnsi="宋体" w:eastAsia="宋体" w:cs="宋体"/>
                <w:snapToGrid/>
                <w:color w:val="auto"/>
                <w:kern w:val="0"/>
                <w:sz w:val="24"/>
                <w:szCs w:val="20"/>
                <w:highlight w:val="none"/>
                <w:lang w:val="en-US" w:eastAsia="zh-CN" w:bidi="ar-SA"/>
              </w:rPr>
            </w:pPr>
            <w:r>
              <w:rPr>
                <w:rFonts w:hint="eastAsia" w:ascii="宋体" w:hAnsi="宋体" w:cs="宋体"/>
                <w:color w:val="auto"/>
                <w:sz w:val="24"/>
                <w:highlight w:val="none"/>
              </w:rPr>
              <w:t>节能计算准确详细，且按《杭州市公共建筑能效提升示范项目管理办法》要求，节能率达到15%</w:t>
            </w:r>
            <w:r>
              <w:rPr>
                <w:rFonts w:hint="eastAsia" w:ascii="宋体" w:hAnsi="宋体" w:cs="宋体"/>
                <w:color w:val="auto"/>
                <w:sz w:val="24"/>
                <w:highlight w:val="none"/>
                <w:lang w:val="en-US" w:eastAsia="zh-CN"/>
              </w:rPr>
              <w:t>及</w:t>
            </w:r>
            <w:r>
              <w:rPr>
                <w:rFonts w:hint="eastAsia" w:ascii="宋体" w:hAnsi="宋体" w:cs="宋体"/>
                <w:color w:val="auto"/>
                <w:sz w:val="24"/>
                <w:highlight w:val="none"/>
              </w:rPr>
              <w:t>以上的得4分。</w:t>
            </w:r>
          </w:p>
        </w:tc>
        <w:tc>
          <w:tcPr>
            <w:tcW w:w="855" w:type="dxa"/>
            <w:noWrap w:val="0"/>
            <w:vAlign w:val="center"/>
          </w:tcPr>
          <w:p>
            <w:pPr>
              <w:keepNext w:val="0"/>
              <w:keepLines w:val="0"/>
              <w:pageBreakBefore w:val="0"/>
              <w:kinsoku/>
              <w:wordWrap/>
              <w:overflowPunct/>
              <w:topLinePunct w:val="0"/>
              <w:autoSpaceDE/>
              <w:autoSpaceDN/>
              <w:bidi w:val="0"/>
              <w:snapToGrid w:val="0"/>
              <w:spacing w:line="440" w:lineRule="exact"/>
              <w:jc w:val="center"/>
              <w:rPr>
                <w:rFonts w:hint="default" w:ascii="宋体" w:hAnsi="宋体" w:eastAsia="宋体" w:cs="宋体"/>
                <w:snapToGrid/>
                <w:color w:val="auto"/>
                <w:kern w:val="0"/>
                <w:sz w:val="24"/>
                <w:szCs w:val="20"/>
                <w:highlight w:val="none"/>
                <w:lang w:val="en-US" w:eastAsia="zh-CN" w:bidi="ar-SA"/>
              </w:rPr>
            </w:pPr>
            <w:r>
              <w:rPr>
                <w:rFonts w:hint="eastAsia" w:ascii="宋体" w:hAnsi="宋体" w:cs="宋体"/>
                <w:snapToGrid/>
                <w:color w:val="auto"/>
                <w:kern w:val="0"/>
                <w:sz w:val="24"/>
                <w:szCs w:val="20"/>
                <w:highlight w:val="none"/>
                <w:lang w:val="en-US" w:eastAsia="zh-CN" w:bidi="ar-SA"/>
              </w:rPr>
              <w:t>4</w:t>
            </w:r>
          </w:p>
        </w:tc>
        <w:tc>
          <w:tcPr>
            <w:tcW w:w="1315" w:type="dxa"/>
            <w:noWrap w:val="0"/>
            <w:vAlign w:val="center"/>
          </w:tcPr>
          <w:p>
            <w:pPr>
              <w:keepNext w:val="0"/>
              <w:keepLines w:val="0"/>
              <w:pageBreakBefore w:val="0"/>
              <w:kinsoku/>
              <w:wordWrap/>
              <w:overflowPunct/>
              <w:topLinePunct w:val="0"/>
              <w:autoSpaceDE/>
              <w:autoSpaceDN/>
              <w:bidi w:val="0"/>
              <w:snapToGrid w:val="0"/>
              <w:spacing w:line="440" w:lineRule="exact"/>
              <w:jc w:val="center"/>
              <w:rPr>
                <w:rFonts w:hint="default" w:ascii="宋体" w:hAnsi="宋体" w:eastAsia="宋体" w:cs="宋体"/>
                <w:snapToGrid/>
                <w:color w:val="auto"/>
                <w:kern w:val="0"/>
                <w:sz w:val="24"/>
                <w:szCs w:val="20"/>
                <w:highlight w:val="none"/>
                <w:lang w:val="en-US" w:eastAsia="zh-CN" w:bidi="ar-SA"/>
              </w:rPr>
            </w:pPr>
            <w:r>
              <w:rPr>
                <w:rFonts w:hint="eastAsia" w:ascii="宋体" w:hAnsi="宋体" w:cs="宋体"/>
                <w:snapToGrid/>
                <w:color w:val="auto"/>
                <w:kern w:val="0"/>
                <w:sz w:val="24"/>
                <w:szCs w:val="20"/>
                <w:highlight w:val="none"/>
                <w:lang w:val="en-US" w:eastAsia="zh-CN" w:bidi="ar-SA"/>
              </w:rPr>
              <w:t>客观分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pPr>
              <w:keepNext w:val="0"/>
              <w:keepLines w:val="0"/>
              <w:widowControl/>
              <w:suppressLineNumbers w:val="0"/>
              <w:jc w:val="center"/>
              <w:textAlignment w:val="center"/>
              <w:rPr>
                <w:rFonts w:hint="default" w:ascii="宋体" w:hAnsi="宋体" w:eastAsia="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11</w:t>
            </w:r>
          </w:p>
        </w:tc>
        <w:tc>
          <w:tcPr>
            <w:tcW w:w="5264" w:type="dxa"/>
            <w:noWrap w:val="0"/>
            <w:vAlign w:val="center"/>
          </w:tcPr>
          <w:p>
            <w:pPr>
              <w:spacing w:line="30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供应商拟派本项目负责人具有高级专业技术职称且具有电气或暖通专业注册设备师的得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其余不得分</w:t>
            </w:r>
            <w:r>
              <w:rPr>
                <w:rFonts w:hint="eastAsia" w:ascii="宋体" w:hAnsi="宋体" w:cs="宋体"/>
                <w:color w:val="auto"/>
                <w:sz w:val="24"/>
                <w:highlight w:val="none"/>
              </w:rPr>
              <w:t>。（须提供相关人员在本单位近3个月社保缴纳证明材料及相关证书复印件并加盖公章）</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客观分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pPr>
              <w:keepNext w:val="0"/>
              <w:keepLines w:val="0"/>
              <w:widowControl/>
              <w:suppressLineNumbers w:val="0"/>
              <w:jc w:val="center"/>
              <w:textAlignment w:val="center"/>
              <w:rPr>
                <w:rFonts w:hint="default" w:ascii="宋体" w:hAnsi="宋体" w:eastAsia="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12</w:t>
            </w:r>
          </w:p>
        </w:tc>
        <w:tc>
          <w:tcPr>
            <w:tcW w:w="5264" w:type="dxa"/>
            <w:noWrap w:val="0"/>
            <w:vAlign w:val="center"/>
          </w:tcPr>
          <w:p>
            <w:pPr>
              <w:spacing w:line="30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供应商拟派本项目组人员（项目负责人除外）具有电气、暖通、智能化专业高级专业技术职称的，每具备一个专业得1分，最高得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w:t>
            </w:r>
            <w:r>
              <w:rPr>
                <w:rFonts w:hint="eastAsia" w:ascii="宋体" w:hAnsi="宋体" w:cs="宋体"/>
                <w:color w:val="auto"/>
                <w:sz w:val="24"/>
                <w:highlight w:val="none"/>
                <w:lang w:eastAsia="zh-CN"/>
              </w:rPr>
              <w:t>。</w:t>
            </w:r>
            <w:r>
              <w:rPr>
                <w:rFonts w:hint="eastAsia" w:ascii="宋体" w:hAnsi="宋体" w:cs="宋体"/>
                <w:color w:val="auto"/>
                <w:sz w:val="24"/>
                <w:highlight w:val="none"/>
              </w:rPr>
              <w:t>（同一人具备多个职称的按一个算）（须提供相关人员在本单位近3个月社保缴纳证明材料及相关证书复印件并加盖公章）</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客观分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881" w:type="dxa"/>
            <w:noWrap w:val="0"/>
            <w:vAlign w:val="center"/>
          </w:tcPr>
          <w:p>
            <w:pPr>
              <w:keepNext w:val="0"/>
              <w:keepLines w:val="0"/>
              <w:widowControl/>
              <w:suppressLineNumbers w:val="0"/>
              <w:jc w:val="center"/>
              <w:textAlignment w:val="center"/>
              <w:rPr>
                <w:rFonts w:hint="default" w:ascii="宋体" w:hAnsi="宋体" w:eastAsia="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13</w:t>
            </w:r>
          </w:p>
        </w:tc>
        <w:tc>
          <w:tcPr>
            <w:tcW w:w="5264" w:type="dxa"/>
            <w:noWrap w:val="0"/>
            <w:vAlign w:val="center"/>
          </w:tcPr>
          <w:p>
            <w:pPr>
              <w:rPr>
                <w:rFonts w:hint="eastAsia" w:ascii="宋体" w:hAnsi="宋体" w:eastAsia="宋体" w:cs="宋体"/>
                <w:color w:val="auto"/>
                <w:kern w:val="0"/>
                <w:sz w:val="24"/>
                <w:szCs w:val="20"/>
                <w:highlight w:val="none"/>
                <w:lang w:val="en-US" w:eastAsia="zh-CN" w:bidi="ar-SA"/>
              </w:rPr>
            </w:pPr>
            <w:r>
              <w:rPr>
                <w:rFonts w:hint="eastAsia" w:ascii="宋体" w:hAnsi="宋体" w:cs="宋体"/>
                <w:color w:val="auto"/>
                <w:sz w:val="24"/>
                <w:highlight w:val="none"/>
              </w:rPr>
              <w:t>响应招标文件质保要求（</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年）的不得分，原厂质保年限每延长一年得</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分，最高得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w:t>
            </w:r>
          </w:p>
        </w:tc>
        <w:tc>
          <w:tcPr>
            <w:tcW w:w="855" w:type="dxa"/>
            <w:noWrap w:val="0"/>
            <w:vAlign w:val="center"/>
          </w:tcPr>
          <w:p>
            <w:pPr>
              <w:ind w:firstLine="240" w:firstLineChars="100"/>
              <w:rPr>
                <w:rFonts w:hint="default" w:ascii="宋体" w:hAnsi="宋体" w:eastAsia="宋体" w:cs="宋体"/>
                <w:color w:val="auto"/>
                <w:kern w:val="0"/>
                <w:sz w:val="24"/>
                <w:szCs w:val="20"/>
                <w:highlight w:val="none"/>
                <w:lang w:val="en-US" w:eastAsia="zh-CN" w:bidi="ar-SA"/>
              </w:rPr>
            </w:pPr>
            <w:r>
              <w:rPr>
                <w:rFonts w:hint="eastAsia" w:ascii="宋体" w:hAnsi="宋体" w:cs="宋体"/>
                <w:color w:val="auto"/>
                <w:kern w:val="0"/>
                <w:sz w:val="24"/>
                <w:szCs w:val="20"/>
                <w:highlight w:val="none"/>
                <w:lang w:val="en-US" w:eastAsia="zh-CN" w:bidi="ar-SA"/>
              </w:rPr>
              <w:t>2</w:t>
            </w:r>
          </w:p>
        </w:tc>
        <w:tc>
          <w:tcPr>
            <w:tcW w:w="1315" w:type="dxa"/>
            <w:noWrap w:val="0"/>
            <w:vAlign w:val="center"/>
          </w:tcPr>
          <w:p>
            <w:pPr>
              <w:ind w:firstLine="240" w:firstLineChars="100"/>
              <w:rPr>
                <w:rFonts w:hint="default" w:ascii="宋体" w:hAnsi="宋体" w:eastAsia="宋体" w:cs="宋体"/>
                <w:color w:val="auto"/>
                <w:kern w:val="0"/>
                <w:sz w:val="24"/>
                <w:szCs w:val="20"/>
                <w:highlight w:val="none"/>
                <w:lang w:val="en-US" w:eastAsia="zh-CN" w:bidi="ar-SA"/>
              </w:rPr>
            </w:pPr>
            <w:r>
              <w:rPr>
                <w:rFonts w:hint="eastAsia" w:ascii="宋体" w:hAnsi="宋体" w:cs="宋体"/>
                <w:color w:val="auto"/>
                <w:kern w:val="0"/>
                <w:sz w:val="24"/>
                <w:szCs w:val="20"/>
                <w:highlight w:val="none"/>
                <w:lang w:val="en-US" w:eastAsia="zh-CN" w:bidi="ar-SA"/>
              </w:rPr>
              <w:t>客观分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pPr>
              <w:keepNext w:val="0"/>
              <w:keepLines w:val="0"/>
              <w:widowControl/>
              <w:suppressLineNumbers w:val="0"/>
              <w:jc w:val="center"/>
              <w:textAlignment w:val="center"/>
              <w:rPr>
                <w:rFonts w:hint="default" w:ascii="宋体" w:hAnsi="宋体" w:eastAsia="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14</w:t>
            </w:r>
          </w:p>
        </w:tc>
        <w:tc>
          <w:tcPr>
            <w:tcW w:w="5264" w:type="dxa"/>
            <w:noWrap w:val="0"/>
            <w:vAlign w:val="center"/>
          </w:tcPr>
          <w:p>
            <w:pP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bidi="ar-SA"/>
              </w:rPr>
              <w:t>投标人提供的具体售后服务方案中：详细服务方案的可行性、完整性以及服务承诺和服务响应、故障处理时效的科学性、有效性，质保期内外的后续技术支持和维护能力等情况进行打分</w:t>
            </w:r>
            <w:r>
              <w:rPr>
                <w:rFonts w:hint="eastAsia" w:ascii="宋体" w:hAnsi="宋体" w:cs="宋体"/>
                <w:color w:val="auto"/>
                <w:kern w:val="0"/>
                <w:sz w:val="24"/>
                <w:szCs w:val="20"/>
                <w:highlight w:val="none"/>
                <w:lang w:val="en-US" w:eastAsia="zh-CN" w:bidi="ar-SA"/>
              </w:rPr>
              <w:t>，最高得4分</w:t>
            </w:r>
            <w:r>
              <w:rPr>
                <w:rFonts w:hint="eastAsia" w:ascii="宋体" w:hAnsi="宋体" w:eastAsia="宋体" w:cs="宋体"/>
                <w:color w:val="auto"/>
                <w:kern w:val="0"/>
                <w:sz w:val="24"/>
                <w:szCs w:val="20"/>
                <w:highlight w:val="none"/>
                <w:lang w:val="en-US" w:eastAsia="zh-CN" w:bidi="ar-SA"/>
              </w:rPr>
              <w:t>。</w:t>
            </w:r>
          </w:p>
        </w:tc>
        <w:tc>
          <w:tcPr>
            <w:tcW w:w="855" w:type="dxa"/>
            <w:noWrap w:val="0"/>
            <w:vAlign w:val="center"/>
          </w:tcPr>
          <w:p>
            <w:pPr>
              <w:ind w:firstLine="240" w:firstLineChars="100"/>
              <w:rPr>
                <w:rFonts w:hint="default" w:ascii="宋体" w:hAnsi="宋体" w:eastAsia="宋体" w:cs="宋体"/>
                <w:color w:val="auto"/>
                <w:kern w:val="0"/>
                <w:sz w:val="24"/>
                <w:szCs w:val="20"/>
                <w:highlight w:val="none"/>
                <w:lang w:val="en-US" w:eastAsia="zh-CN" w:bidi="ar-SA"/>
              </w:rPr>
            </w:pPr>
            <w:r>
              <w:rPr>
                <w:rFonts w:hint="eastAsia" w:ascii="宋体" w:hAnsi="宋体" w:cs="宋体"/>
                <w:color w:val="auto"/>
                <w:kern w:val="0"/>
                <w:sz w:val="24"/>
                <w:szCs w:val="20"/>
                <w:highlight w:val="none"/>
                <w:lang w:val="en-US" w:eastAsia="zh-CN" w:bidi="ar-SA"/>
              </w:rPr>
              <w:t>4</w:t>
            </w:r>
          </w:p>
        </w:tc>
        <w:tc>
          <w:tcPr>
            <w:tcW w:w="1315" w:type="dxa"/>
            <w:noWrap w:val="0"/>
            <w:vAlign w:val="center"/>
          </w:tcPr>
          <w:p>
            <w:pPr>
              <w:ind w:firstLine="240" w:firstLineChars="100"/>
              <w:rPr>
                <w:rFonts w:hint="default" w:ascii="宋体" w:hAnsi="宋体" w:eastAsia="宋体" w:cs="宋体"/>
                <w:color w:val="auto"/>
                <w:kern w:val="0"/>
                <w:sz w:val="24"/>
                <w:szCs w:val="20"/>
                <w:highlight w:val="none"/>
                <w:lang w:val="en-US" w:eastAsia="zh-CN" w:bidi="ar-SA"/>
              </w:rPr>
            </w:pPr>
            <w:r>
              <w:rPr>
                <w:rFonts w:hint="eastAsia" w:ascii="宋体" w:hAnsi="宋体" w:cs="宋体"/>
                <w:color w:val="auto"/>
                <w:kern w:val="0"/>
                <w:sz w:val="24"/>
                <w:szCs w:val="20"/>
                <w:highlight w:val="none"/>
                <w:lang w:val="en-US" w:eastAsia="zh-CN" w:bidi="ar-SA"/>
              </w:rPr>
              <w:t>主观分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881" w:type="dxa"/>
            <w:noWrap w:val="0"/>
            <w:vAlign w:val="center"/>
          </w:tcPr>
          <w:p>
            <w:pPr>
              <w:keepNext w:val="0"/>
              <w:keepLines w:val="0"/>
              <w:widowControl/>
              <w:suppressLineNumbers w:val="0"/>
              <w:jc w:val="center"/>
              <w:textAlignment w:val="center"/>
              <w:rPr>
                <w:rFonts w:hint="default" w:ascii="宋体" w:hAnsi="宋体" w:eastAsia="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15</w:t>
            </w:r>
          </w:p>
        </w:tc>
        <w:tc>
          <w:tcPr>
            <w:tcW w:w="5264" w:type="dxa"/>
            <w:noWrap w:val="0"/>
            <w:vAlign w:val="center"/>
          </w:tcPr>
          <w:p>
            <w:pPr>
              <w:rPr>
                <w:rFonts w:hint="eastAsia" w:ascii="宋体" w:hAnsi="宋体" w:eastAsia="宋体" w:cs="宋体"/>
                <w:color w:val="auto"/>
                <w:kern w:val="0"/>
                <w:sz w:val="24"/>
                <w:szCs w:val="20"/>
                <w:highlight w:val="none"/>
                <w:lang w:val="en-US" w:eastAsia="zh-CN" w:bidi="ar-SA"/>
              </w:rPr>
            </w:pPr>
            <w:r>
              <w:rPr>
                <w:rFonts w:hint="eastAsia" w:ascii="宋体" w:hAnsi="宋体" w:cs="宋体"/>
                <w:color w:val="auto"/>
                <w:sz w:val="24"/>
                <w:szCs w:val="24"/>
                <w:highlight w:val="none"/>
              </w:rPr>
              <w:t>根据培训方案、计划的可行性及合理性情况等进行打分，最高得2分。</w:t>
            </w:r>
          </w:p>
        </w:tc>
        <w:tc>
          <w:tcPr>
            <w:tcW w:w="855" w:type="dxa"/>
            <w:noWrap w:val="0"/>
            <w:vAlign w:val="center"/>
          </w:tcPr>
          <w:p>
            <w:pPr>
              <w:ind w:firstLine="240" w:firstLineChars="100"/>
              <w:rPr>
                <w:rFonts w:hint="default" w:ascii="宋体" w:hAnsi="宋体" w:eastAsia="宋体" w:cs="宋体"/>
                <w:color w:val="auto"/>
                <w:kern w:val="0"/>
                <w:sz w:val="24"/>
                <w:szCs w:val="20"/>
                <w:highlight w:val="none"/>
                <w:lang w:val="en-US" w:eastAsia="zh-CN" w:bidi="ar-SA"/>
              </w:rPr>
            </w:pPr>
            <w:r>
              <w:rPr>
                <w:rFonts w:hint="eastAsia" w:ascii="宋体" w:hAnsi="宋体" w:cs="宋体"/>
                <w:color w:val="auto"/>
                <w:kern w:val="0"/>
                <w:sz w:val="24"/>
                <w:szCs w:val="20"/>
                <w:highlight w:val="none"/>
                <w:lang w:val="en-US" w:eastAsia="zh-CN" w:bidi="ar-SA"/>
              </w:rPr>
              <w:t>2</w:t>
            </w:r>
          </w:p>
        </w:tc>
        <w:tc>
          <w:tcPr>
            <w:tcW w:w="1315" w:type="dxa"/>
            <w:noWrap w:val="0"/>
            <w:vAlign w:val="center"/>
          </w:tcPr>
          <w:p>
            <w:pPr>
              <w:ind w:firstLine="240" w:firstLineChars="100"/>
              <w:rPr>
                <w:rFonts w:hint="default" w:ascii="宋体" w:hAnsi="宋体" w:eastAsia="宋体" w:cs="宋体"/>
                <w:color w:val="auto"/>
                <w:kern w:val="0"/>
                <w:sz w:val="24"/>
                <w:szCs w:val="20"/>
                <w:highlight w:val="none"/>
                <w:lang w:val="en-US" w:eastAsia="zh-CN" w:bidi="ar-SA"/>
              </w:rPr>
            </w:pPr>
            <w:r>
              <w:rPr>
                <w:rFonts w:hint="eastAsia" w:ascii="宋体" w:hAnsi="宋体" w:cs="宋体"/>
                <w:color w:val="auto"/>
                <w:kern w:val="0"/>
                <w:sz w:val="24"/>
                <w:szCs w:val="20"/>
                <w:highlight w:val="none"/>
                <w:lang w:val="en-US" w:eastAsia="zh-CN" w:bidi="ar-SA"/>
              </w:rPr>
              <w:t>主观分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881" w:type="dxa"/>
            <w:noWrap w:val="0"/>
            <w:vAlign w:val="center"/>
          </w:tcPr>
          <w:p>
            <w:pPr>
              <w:keepNext w:val="0"/>
              <w:keepLines w:val="0"/>
              <w:widowControl/>
              <w:suppressLineNumbers w:val="0"/>
              <w:jc w:val="center"/>
              <w:textAlignment w:val="center"/>
              <w:rPr>
                <w:rFonts w:hint="default" w:ascii="宋体" w:hAnsi="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16</w:t>
            </w:r>
          </w:p>
        </w:tc>
        <w:tc>
          <w:tcPr>
            <w:tcW w:w="5264" w:type="dxa"/>
            <w:noWrap w:val="0"/>
            <w:vAlign w:val="center"/>
          </w:tcPr>
          <w:p>
            <w:pP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投标供应商</w:t>
            </w:r>
            <w:r>
              <w:rPr>
                <w:rFonts w:hint="eastAsia" w:ascii="宋体" w:hAnsi="宋体" w:cs="宋体"/>
                <w:bCs/>
                <w:color w:val="auto"/>
                <w:sz w:val="24"/>
                <w:szCs w:val="24"/>
                <w:highlight w:val="none"/>
              </w:rPr>
              <w:t>具备中华人民共和国住房与城乡建设部备案的民用建筑建筑能效测评服务机构证书得</w:t>
            </w:r>
            <w:r>
              <w:rPr>
                <w:rFonts w:hint="eastAsia" w:ascii="宋体" w:hAnsi="宋体" w:cs="宋体"/>
                <w:bCs/>
                <w:color w:val="auto"/>
                <w:sz w:val="24"/>
                <w:szCs w:val="24"/>
                <w:highlight w:val="none"/>
                <w:lang w:val="en-US" w:eastAsia="zh-CN"/>
              </w:rPr>
              <w:t>2</w:t>
            </w:r>
            <w:r>
              <w:rPr>
                <w:rFonts w:hint="eastAsia" w:ascii="宋体" w:hAnsi="宋体" w:cs="宋体"/>
                <w:bCs/>
                <w:color w:val="auto"/>
                <w:sz w:val="24"/>
                <w:szCs w:val="24"/>
                <w:highlight w:val="none"/>
              </w:rPr>
              <w:t>分</w:t>
            </w:r>
            <w:r>
              <w:rPr>
                <w:rFonts w:hint="eastAsia" w:ascii="宋体" w:hAnsi="宋体" w:cs="宋体"/>
                <w:bCs/>
                <w:color w:val="auto"/>
                <w:sz w:val="24"/>
                <w:szCs w:val="24"/>
                <w:highlight w:val="none"/>
                <w:lang w:eastAsia="zh-CN"/>
              </w:rPr>
              <w:t>。</w:t>
            </w:r>
            <w:r>
              <w:rPr>
                <w:rFonts w:hint="eastAsia" w:ascii="宋体" w:hAnsi="宋体" w:cs="宋体"/>
                <w:color w:val="auto"/>
                <w:sz w:val="24"/>
                <w:highlight w:val="none"/>
              </w:rPr>
              <w:t>（提供相关证明材料复印件并加盖公章）</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881" w:type="dxa"/>
            <w:noWrap w:val="0"/>
            <w:vAlign w:val="center"/>
          </w:tcPr>
          <w:p>
            <w:pPr>
              <w:keepNext w:val="0"/>
              <w:keepLines w:val="0"/>
              <w:widowControl/>
              <w:suppressLineNumbers w:val="0"/>
              <w:jc w:val="center"/>
              <w:textAlignment w:val="center"/>
              <w:rPr>
                <w:rFonts w:hint="default" w:ascii="宋体" w:hAnsi="宋体" w:eastAsia="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17</w:t>
            </w:r>
          </w:p>
        </w:tc>
        <w:tc>
          <w:tcPr>
            <w:tcW w:w="5264" w:type="dxa"/>
            <w:noWrap w:val="0"/>
            <w:vAlign w:val="center"/>
          </w:tcPr>
          <w:p>
            <w:pP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投标供应商具备ISO9001质量管理体系认证证书、ISO14000环境管理体系认证证书、ISO45001职业健康安全管理体系认证证书的，每提供一个证书得1分，最高得3分。（提供证书复印件加盖公章）</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315" w:type="dxa"/>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Autospacing="0" w:line="24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881" w:type="dxa"/>
            <w:noWrap w:val="0"/>
            <w:vAlign w:val="center"/>
          </w:tcPr>
          <w:p>
            <w:pPr>
              <w:keepNext w:val="0"/>
              <w:keepLines w:val="0"/>
              <w:widowControl/>
              <w:suppressLineNumbers w:val="0"/>
              <w:jc w:val="center"/>
              <w:textAlignment w:val="center"/>
              <w:rPr>
                <w:rFonts w:hint="default" w:ascii="宋体" w:hAnsi="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18</w:t>
            </w:r>
          </w:p>
        </w:tc>
        <w:tc>
          <w:tcPr>
            <w:tcW w:w="5264" w:type="dxa"/>
            <w:noWrap w:val="0"/>
            <w:vAlign w:val="center"/>
          </w:tcPr>
          <w:p>
            <w:pPr>
              <w:rPr>
                <w:rFonts w:hint="eastAsia" w:ascii="宋体" w:hAnsi="宋体" w:cs="宋体"/>
                <w:color w:val="auto"/>
                <w:sz w:val="24"/>
                <w:highlight w:val="none"/>
              </w:rPr>
            </w:pPr>
            <w:r>
              <w:rPr>
                <w:rFonts w:hint="eastAsia" w:ascii="宋体" w:hAnsi="宋体" w:cs="宋体"/>
                <w:color w:val="auto"/>
                <w:sz w:val="24"/>
                <w:highlight w:val="none"/>
              </w:rPr>
              <w:t>提供所投太阳能路灯</w:t>
            </w:r>
            <w:r>
              <w:rPr>
                <w:rFonts w:hint="eastAsia" w:ascii="宋体" w:hAnsi="宋体" w:cs="宋体"/>
                <w:color w:val="auto"/>
                <w:sz w:val="24"/>
                <w:highlight w:val="none"/>
                <w:lang w:eastAsia="zh-CN"/>
              </w:rPr>
              <w:t>、</w:t>
            </w:r>
            <w:r>
              <w:rPr>
                <w:rFonts w:hint="eastAsia" w:ascii="宋体" w:hAnsi="宋体" w:cs="宋体"/>
                <w:color w:val="auto"/>
                <w:sz w:val="24"/>
                <w:highlight w:val="none"/>
              </w:rPr>
              <w:t>太阳能热水器节能产品认证证书</w:t>
            </w:r>
            <w:r>
              <w:rPr>
                <w:rFonts w:hint="eastAsia" w:ascii="宋体" w:hAnsi="宋体" w:cs="宋体"/>
                <w:color w:val="auto"/>
                <w:sz w:val="24"/>
                <w:highlight w:val="none"/>
                <w:lang w:val="en-US" w:eastAsia="zh-CN"/>
              </w:rPr>
              <w:t>的各得1分，最高得2分。</w:t>
            </w:r>
            <w:r>
              <w:rPr>
                <w:rFonts w:hint="eastAsia" w:ascii="宋体" w:hAnsi="宋体" w:cs="宋体"/>
                <w:color w:val="auto"/>
                <w:sz w:val="24"/>
                <w:highlight w:val="none"/>
              </w:rPr>
              <w:t>（提供</w:t>
            </w:r>
            <w:r>
              <w:rPr>
                <w:rFonts w:hint="eastAsia" w:ascii="宋体" w:hAnsi="宋体" w:cs="宋体"/>
                <w:color w:val="auto"/>
                <w:sz w:val="24"/>
                <w:highlight w:val="none"/>
                <w:lang w:val="en-US" w:eastAsia="zh-CN"/>
              </w:rPr>
              <w:t>证书</w:t>
            </w:r>
            <w:r>
              <w:rPr>
                <w:rFonts w:hint="eastAsia" w:ascii="宋体" w:hAnsi="宋体" w:cs="宋体"/>
                <w:color w:val="auto"/>
                <w:sz w:val="24"/>
                <w:highlight w:val="none"/>
              </w:rPr>
              <w:t>复印件加盖公章）</w:t>
            </w:r>
          </w:p>
        </w:tc>
        <w:tc>
          <w:tcPr>
            <w:tcW w:w="855" w:type="dxa"/>
            <w:noWrap w:val="0"/>
            <w:vAlign w:val="center"/>
          </w:tcPr>
          <w:p>
            <w:pPr>
              <w:keepNext w:val="0"/>
              <w:keepLines w:val="0"/>
              <w:widowControl/>
              <w:suppressLineNumbers w:val="0"/>
              <w:jc w:val="center"/>
              <w:textAlignment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315" w:type="dxa"/>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Autospacing="0" w:line="240" w:lineRule="auto"/>
              <w:ind w:left="0" w:right="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pPr>
              <w:keepNext w:val="0"/>
              <w:keepLines w:val="0"/>
              <w:widowControl/>
              <w:suppressLineNumbers w:val="0"/>
              <w:jc w:val="center"/>
              <w:textAlignment w:val="center"/>
              <w:rPr>
                <w:rFonts w:hint="default" w:ascii="宋体" w:hAnsi="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19</w:t>
            </w:r>
          </w:p>
        </w:tc>
        <w:tc>
          <w:tcPr>
            <w:tcW w:w="5264" w:type="dxa"/>
            <w:noWrap w:val="0"/>
            <w:vAlign w:val="center"/>
          </w:tcPr>
          <w:p>
            <w:pPr>
              <w:spacing w:line="30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投标</w:t>
            </w:r>
            <w:r>
              <w:rPr>
                <w:rFonts w:hint="eastAsia" w:ascii="宋体" w:hAnsi="宋体" w:cs="宋体"/>
                <w:color w:val="auto"/>
                <w:sz w:val="24"/>
                <w:highlight w:val="none"/>
                <w:lang w:val="en-US" w:eastAsia="zh-CN"/>
              </w:rPr>
              <w:t>供应商自2020</w:t>
            </w:r>
            <w:r>
              <w:rPr>
                <w:rFonts w:hint="eastAsia" w:ascii="宋体" w:hAnsi="宋体" w:cs="宋体"/>
                <w:color w:val="auto"/>
                <w:sz w:val="24"/>
                <w:highlight w:val="none"/>
              </w:rPr>
              <w:t>年1月1日以来</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以合同签订时间为准</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完成过</w:t>
            </w:r>
            <w:r>
              <w:rPr>
                <w:rFonts w:hint="eastAsia" w:ascii="宋体" w:hAnsi="宋体" w:cs="宋体"/>
                <w:color w:val="auto"/>
                <w:sz w:val="24"/>
                <w:highlight w:val="none"/>
                <w:lang w:eastAsia="zh-CN"/>
              </w:rPr>
              <w:t>节能改造能效提升</w:t>
            </w:r>
            <w:r>
              <w:rPr>
                <w:rFonts w:hint="eastAsia" w:ascii="宋体" w:hAnsi="宋体" w:cs="宋体"/>
                <w:color w:val="auto"/>
                <w:sz w:val="24"/>
                <w:highlight w:val="none"/>
                <w:lang w:val="en-US" w:eastAsia="zh-CN"/>
              </w:rPr>
              <w:t>业绩的</w:t>
            </w:r>
            <w:r>
              <w:rPr>
                <w:rFonts w:hint="eastAsia" w:ascii="宋体" w:hAnsi="宋体" w:cs="宋体"/>
                <w:color w:val="auto"/>
                <w:sz w:val="24"/>
                <w:highlight w:val="none"/>
                <w:lang w:eastAsia="zh-CN"/>
              </w:rPr>
              <w:t>，</w:t>
            </w:r>
            <w:r>
              <w:rPr>
                <w:rFonts w:hint="eastAsia" w:ascii="宋体" w:hAnsi="宋体" w:cs="宋体"/>
                <w:color w:val="auto"/>
                <w:sz w:val="24"/>
                <w:highlight w:val="none"/>
              </w:rPr>
              <w:t>每提供1个得1分，最高得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w:t>
            </w:r>
            <w:r>
              <w:rPr>
                <w:rFonts w:hint="eastAsia" w:ascii="宋体" w:hAnsi="宋体" w:cs="宋体"/>
                <w:color w:val="auto"/>
                <w:sz w:val="24"/>
                <w:highlight w:val="none"/>
                <w:lang w:eastAsia="zh-CN"/>
              </w:rPr>
              <w:t>。</w:t>
            </w:r>
            <w:r>
              <w:rPr>
                <w:rFonts w:hint="eastAsia" w:ascii="宋体" w:hAnsi="宋体" w:cs="宋体"/>
                <w:color w:val="auto"/>
                <w:sz w:val="24"/>
                <w:highlight w:val="none"/>
              </w:rPr>
              <w:t>（提供合同复印件</w:t>
            </w:r>
            <w:r>
              <w:rPr>
                <w:rFonts w:hint="eastAsia" w:ascii="宋体" w:hAnsi="宋体" w:cs="宋体"/>
                <w:color w:val="auto"/>
                <w:sz w:val="24"/>
                <w:highlight w:val="none"/>
                <w:lang w:val="en-US" w:eastAsia="zh-CN"/>
              </w:rPr>
              <w:t>并加盖公章</w:t>
            </w:r>
            <w:r>
              <w:rPr>
                <w:rFonts w:hint="eastAsia" w:ascii="宋体" w:hAnsi="宋体" w:cs="宋体"/>
                <w:color w:val="auto"/>
                <w:sz w:val="24"/>
                <w:highlight w:val="none"/>
              </w:rPr>
              <w:t>）</w:t>
            </w:r>
          </w:p>
        </w:tc>
        <w:tc>
          <w:tcPr>
            <w:tcW w:w="855" w:type="dxa"/>
            <w:noWrap w:val="0"/>
            <w:vAlign w:val="center"/>
          </w:tcPr>
          <w:p>
            <w:pPr>
              <w:keepNext w:val="0"/>
              <w:keepLines w:val="0"/>
              <w:widowControl/>
              <w:suppressLineNumbers w:val="0"/>
              <w:jc w:val="center"/>
              <w:textAlignment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315" w:type="dxa"/>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Autospacing="0" w:line="24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pPr>
              <w:keepNext w:val="0"/>
              <w:keepLines w:val="0"/>
              <w:widowControl/>
              <w:suppressLineNumbers w:val="0"/>
              <w:jc w:val="center"/>
              <w:textAlignment w:val="center"/>
              <w:rPr>
                <w:rFonts w:hint="default" w:ascii="宋体" w:hAnsi="宋体" w:eastAsia="宋体" w:cs="宋体"/>
                <w:b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u w:val="none"/>
                <w:lang w:val="en-US" w:eastAsia="zh-CN" w:bidi="ar"/>
              </w:rPr>
              <w:t>20</w:t>
            </w:r>
          </w:p>
        </w:tc>
        <w:tc>
          <w:tcPr>
            <w:tcW w:w="5264" w:type="dxa"/>
            <w:noWrap w:val="0"/>
            <w:vAlign w:val="center"/>
          </w:tcPr>
          <w:p>
            <w:pPr>
              <w:pStyle w:val="970"/>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有效投标报价的最低价作为评标基准价，其最低报价为满分；按［投标报价得分=（评标基准价/投标报价）*权重］的计算公式计算。</w:t>
            </w:r>
          </w:p>
          <w:p>
            <w:pPr>
              <w:pStyle w:val="970"/>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评标过程中，不得去掉报价中的最高报价和最低报价。</w:t>
            </w:r>
          </w:p>
          <w:p>
            <w:pPr>
              <w:pStyle w:val="970"/>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6%的扣除，用扣除后的价格参加评审。</w:t>
            </w:r>
          </w:p>
        </w:tc>
        <w:tc>
          <w:tcPr>
            <w:tcW w:w="855" w:type="dxa"/>
            <w:noWrap w:val="0"/>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30</w:t>
            </w:r>
          </w:p>
        </w:tc>
        <w:tc>
          <w:tcPr>
            <w:tcW w:w="1315"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2028" w:type="dxa"/>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outlineLvl w:val="0"/>
              <w:rPr>
                <w:rFonts w:hint="eastAsia" w:ascii="宋体" w:hAnsi="宋体" w:eastAsia="宋体" w:cs="宋体"/>
                <w:color w:val="auto"/>
                <w:sz w:val="24"/>
                <w:szCs w:val="24"/>
                <w:highlight w:val="none"/>
              </w:rPr>
            </w:pPr>
          </w:p>
        </w:tc>
      </w:tr>
    </w:tbl>
    <w:p>
      <w:pPr>
        <w:snapToGrid w:val="0"/>
        <w:spacing w:line="360" w:lineRule="auto"/>
        <w:rPr>
          <w:rFonts w:hint="eastAsia" w:ascii="宋体" w:hAnsi="宋体" w:eastAsia="宋体" w:cs="宋体"/>
          <w:b/>
          <w:color w:val="auto"/>
          <w:sz w:val="32"/>
          <w:highlight w:val="none"/>
        </w:rPr>
      </w:pPr>
      <w:r>
        <w:rPr>
          <w:rFonts w:hint="eastAsia" w:ascii="宋体" w:hAnsi="宋体" w:eastAsia="宋体" w:cs="宋体"/>
          <w:color w:val="auto"/>
          <w:sz w:val="20"/>
          <w:szCs w:val="20"/>
          <w:highlight w:val="none"/>
          <w:shd w:val="clear" w:color="auto" w:fill="FFFFFF"/>
        </w:rPr>
        <w:t> *</w:t>
      </w: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rPr>
        <w:t>投标人编制投标文件（商务技术文件部分）时，建议按此目录（序号和内容）提供评标标准相应的商务技术资料。</w:t>
      </w:r>
    </w:p>
    <w:p>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pPr>
        <w:adjustRightInd/>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2.评标标准：</w:t>
      </w:r>
      <w:r>
        <w:rPr>
          <w:rFonts w:hint="eastAsia" w:ascii="宋体" w:hAnsi="宋体" w:eastAsia="宋体" w:cs="宋体"/>
          <w:color w:val="auto"/>
          <w:kern w:val="0"/>
          <w:sz w:val="24"/>
          <w:highlight w:val="none"/>
        </w:rPr>
        <w:t>见评标办法前附表。</w:t>
      </w:r>
    </w:p>
    <w:p>
      <w:pPr>
        <w:spacing w:line="360" w:lineRule="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pPr>
        <w:pStyle w:val="133"/>
        <w:spacing w:before="0"/>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pPr>
        <w:pStyle w:val="133"/>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pPr>
        <w:pStyle w:val="133"/>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pPr>
        <w:pStyle w:val="133"/>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pPr>
        <w:pStyle w:val="133"/>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pPr>
        <w:pStyle w:val="133"/>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pPr>
        <w:pStyle w:val="133"/>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3"/>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pPr>
        <w:pStyle w:val="133"/>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6"/>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pPr>
        <w:pStyle w:val="4"/>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pPr>
        <w:pStyle w:val="26"/>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废标后，采购代理机构应当将废标理由通知所有投标人。</w:t>
      </w:r>
    </w:p>
    <w:p>
      <w:pPr>
        <w:pStyle w:val="26"/>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6"/>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7.1未确定中标供应商的，终止本次政府采购活动，重新开展政府采购活动。</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7.2已确定中标供应商但尚未签订政府采购合同的，中标结果无效，从合格的中标候选人中另行确定中标供应商；没有合格的中标候选人的，重新开展政府采购活动。</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7.3政府采购合同已签订但尚未履行的，撤销合同，从合格的中标候选人中另行确定中标供应商；没有合格的中标候选人的，重新开展政府采购活动。</w:t>
      </w:r>
    </w:p>
    <w:p>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pPr>
        <w:pStyle w:val="26"/>
        <w:snapToGrid w:val="0"/>
        <w:spacing w:line="360" w:lineRule="auto"/>
        <w:rPr>
          <w:rFonts w:hint="eastAsia" w:ascii="宋体" w:hAnsi="宋体" w:eastAsia="宋体" w:cs="宋体"/>
          <w:b/>
          <w:color w:val="auto"/>
          <w:sz w:val="36"/>
          <w:szCs w:val="36"/>
          <w:highlight w:val="none"/>
        </w:rPr>
      </w:pPr>
      <w:r>
        <w:rPr>
          <w:rFonts w:hint="eastAsia" w:ascii="宋体" w:hAnsi="宋体" w:eastAsia="宋体"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31"/>
      <w:bookmarkStart w:id="397" w:name="第五部分"/>
      <w:bookmarkStart w:id="398" w:name="_Toc86217003"/>
    </w:p>
    <w:p>
      <w:pPr>
        <w:rPr>
          <w:rFonts w:hint="eastAsia" w:ascii="宋体" w:hAnsi="宋体" w:eastAsia="宋体" w:cs="宋体"/>
          <w:b/>
          <w:color w:val="auto"/>
          <w:sz w:val="36"/>
          <w:szCs w:val="36"/>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p>
    <w:p>
      <w:pPr>
        <w:pStyle w:val="4"/>
        <w:rPr>
          <w:rFonts w:hint="eastAsia"/>
          <w:color w:val="auto"/>
          <w:highlight w:val="none"/>
        </w:rPr>
      </w:pPr>
    </w:p>
    <w:p>
      <w:pPr>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pStyle w:val="2"/>
        <w:rPr>
          <w:rFonts w:hint="eastAsia"/>
          <w:color w:val="auto"/>
          <w:highlight w:val="none"/>
        </w:rPr>
      </w:pPr>
    </w:p>
    <w:p>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p>
    <w:p>
      <w:pPr>
        <w:spacing w:line="480" w:lineRule="auto"/>
        <w:jc w:val="center"/>
        <w:rPr>
          <w:rFonts w:hint="eastAsia" w:ascii="宋体" w:hAnsi="宋体" w:eastAsia="宋体" w:cs="宋体"/>
          <w:b/>
          <w:color w:val="auto"/>
          <w:sz w:val="28"/>
          <w:szCs w:val="28"/>
          <w:highlight w:val="none"/>
        </w:rPr>
      </w:pPr>
    </w:p>
    <w:p>
      <w:pPr>
        <w:spacing w:line="480" w:lineRule="auto"/>
        <w:jc w:val="center"/>
        <w:rPr>
          <w:rFonts w:hint="eastAsia" w:ascii="宋体" w:hAnsi="宋体" w:eastAsia="宋体" w:cs="宋体"/>
          <w:b/>
          <w:color w:val="auto"/>
          <w:sz w:val="36"/>
          <w:szCs w:val="36"/>
          <w:highlight w:val="none"/>
        </w:rPr>
      </w:pPr>
    </w:p>
    <w:p>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（货物类）</w:t>
      </w:r>
    </w:p>
    <w:p>
      <w:pPr>
        <w:pStyle w:val="703"/>
        <w:ind w:firstLine="2843" w:firstLineChars="1180"/>
        <w:rPr>
          <w:rFonts w:hint="eastAsia" w:ascii="宋体" w:hAnsi="宋体" w:eastAsia="宋体" w:cs="宋体"/>
          <w:b/>
          <w:color w:val="auto"/>
          <w:szCs w:val="24"/>
          <w:highlight w:val="none"/>
        </w:rPr>
      </w:pPr>
    </w:p>
    <w:p>
      <w:pPr>
        <w:pStyle w:val="703"/>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pPr>
        <w:pStyle w:val="703"/>
        <w:rPr>
          <w:rFonts w:hint="eastAsia" w:ascii="宋体" w:hAnsi="宋体" w:eastAsia="宋体" w:cs="宋体"/>
          <w:color w:val="auto"/>
          <w:szCs w:val="24"/>
          <w:highlight w:val="none"/>
        </w:rPr>
      </w:pPr>
    </w:p>
    <w:p>
      <w:pPr>
        <w:pStyle w:val="703"/>
        <w:rPr>
          <w:rFonts w:hint="eastAsia" w:ascii="宋体" w:hAnsi="宋体" w:eastAsia="宋体" w:cs="宋体"/>
          <w:color w:val="auto"/>
          <w:szCs w:val="24"/>
          <w:highlight w:val="none"/>
        </w:rPr>
      </w:pPr>
    </w:p>
    <w:p>
      <w:pPr>
        <w:spacing w:before="120" w:line="22" w:lineRule="atLeast"/>
        <w:rPr>
          <w:rFonts w:hint="eastAsia" w:ascii="宋体" w:hAnsi="宋体" w:eastAsia="宋体" w:cs="宋体"/>
          <w:color w:val="auto"/>
          <w:sz w:val="24"/>
          <w:highlight w:val="none"/>
        </w:rPr>
      </w:pPr>
    </w:p>
    <w:p>
      <w:pPr>
        <w:spacing w:before="120" w:line="22" w:lineRule="atLeast"/>
        <w:ind w:left="960"/>
        <w:rPr>
          <w:rFonts w:ascii="宋体" w:hAnsi="宋体" w:cs="宋体"/>
          <w:color w:val="auto"/>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pPr>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pPr>
        <w:spacing w:before="120" w:line="22" w:lineRule="atLeast"/>
        <w:ind w:firstLine="960" w:firstLineChars="400"/>
        <w:rPr>
          <w:rFonts w:hint="eastAsia" w:ascii="宋体" w:hAnsi="宋体" w:eastAsia="宋体" w:cs="宋体"/>
          <w:color w:val="auto"/>
          <w:sz w:val="24"/>
          <w:highlight w:val="none"/>
          <w:u w:val="single"/>
        </w:rPr>
      </w:pPr>
    </w:p>
    <w:p>
      <w:pPr>
        <w:widowControl/>
        <w:jc w:val="left"/>
        <w:rPr>
          <w:rFonts w:hint="eastAsia" w:ascii="宋体" w:hAnsi="宋体" w:eastAsia="宋体" w:cs="宋体"/>
          <w:color w:val="auto"/>
          <w:kern w:val="0"/>
          <w:sz w:val="24"/>
          <w:highlight w:val="none"/>
        </w:rPr>
        <w:sectPr>
          <w:pgSz w:w="11907" w:h="16840"/>
          <w:pgMar w:top="1474" w:right="1814" w:bottom="1474" w:left="1814" w:header="851" w:footer="851" w:gutter="0"/>
          <w:cols w:space="720" w:num="1"/>
        </w:sectPr>
      </w:pPr>
    </w:p>
    <w:p>
      <w:pPr>
        <w:spacing w:line="560" w:lineRule="exact"/>
        <w:ind w:firstLine="600" w:firstLineChars="250"/>
        <w:rPr>
          <w:rFonts w:ascii="宋体" w:hAnsi="宋体" w:cs="宋体" w:eastAsiaTheme="minorEastAsia"/>
          <w:color w:val="auto"/>
          <w:sz w:val="24"/>
          <w:highlight w:val="none"/>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eastAsiaTheme="minorEastAsia"/>
          <w:color w:val="auto"/>
          <w:sz w:val="24"/>
          <w:highlight w:val="none"/>
        </w:rPr>
        <w:t>，</w:t>
      </w:r>
      <w:r>
        <w:rPr>
          <w:rFonts w:hint="eastAsia" w:ascii="宋体" w:hAnsi="宋体" w:cs="宋体" w:eastAsiaTheme="minorEastAsia"/>
          <w:color w:val="auto"/>
          <w:sz w:val="24"/>
          <w:highlight w:val="none"/>
          <w:u w:val="single"/>
          <w:lang w:val="en-US" w:eastAsia="zh-CN"/>
        </w:rPr>
        <w:t xml:space="preserve">   </w:t>
      </w:r>
      <w:r>
        <w:rPr>
          <w:rFonts w:hint="eastAsia" w:ascii="宋体" w:hAnsi="宋体" w:cs="宋体" w:eastAsiaTheme="minorEastAsia"/>
          <w:color w:val="auto"/>
          <w:sz w:val="24"/>
          <w:highlight w:val="none"/>
          <w:u w:val="single"/>
          <w:lang w:eastAsia="zh-CN"/>
        </w:rPr>
        <w:t>建德市新安江职业学校</w:t>
      </w:r>
      <w:r>
        <w:rPr>
          <w:rFonts w:hint="eastAsia" w:ascii="宋体" w:hAnsi="宋体" w:cs="宋体" w:eastAsiaTheme="minorEastAsia"/>
          <w:color w:val="auto"/>
          <w:sz w:val="24"/>
          <w:highlight w:val="none"/>
          <w:u w:val="single"/>
          <w:lang w:val="en-US" w:eastAsia="zh-CN"/>
        </w:rPr>
        <w:t xml:space="preserve">  </w:t>
      </w:r>
      <w:r>
        <w:rPr>
          <w:rFonts w:hint="eastAsia" w:ascii="宋体" w:hAnsi="宋体" w:cs="宋体" w:eastAsiaTheme="minorEastAsia"/>
          <w:color w:val="auto"/>
          <w:sz w:val="24"/>
          <w:highlight w:val="none"/>
        </w:rPr>
        <w:t>以</w:t>
      </w:r>
      <w:r>
        <w:rPr>
          <w:rFonts w:hint="eastAsia" w:ascii="宋体" w:hAnsi="宋体" w:cs="宋体" w:eastAsiaTheme="minorEastAsia"/>
          <w:color w:val="auto"/>
          <w:sz w:val="24"/>
          <w:highlight w:val="none"/>
          <w:u w:val="single"/>
          <w:lang w:eastAsia="zh-CN"/>
        </w:rPr>
        <w:t>公开招标</w:t>
      </w:r>
      <w:r>
        <w:rPr>
          <w:rFonts w:hint="eastAsia" w:ascii="宋体" w:hAnsi="宋体" w:cs="宋体" w:eastAsiaTheme="minorEastAsia"/>
          <w:color w:val="auto"/>
          <w:sz w:val="24"/>
          <w:highlight w:val="none"/>
          <w:u w:val="single"/>
          <w:lang w:val="en-US" w:eastAsia="zh-CN"/>
        </w:rPr>
        <w:t>方式</w:t>
      </w:r>
      <w:r>
        <w:rPr>
          <w:rFonts w:hint="eastAsia" w:ascii="宋体" w:hAnsi="宋体" w:cs="宋体" w:eastAsiaTheme="minorEastAsia"/>
          <w:color w:val="auto"/>
          <w:sz w:val="24"/>
          <w:highlight w:val="none"/>
        </w:rPr>
        <w:t>对</w:t>
      </w:r>
      <w:r>
        <w:rPr>
          <w:rFonts w:hint="eastAsia" w:ascii="宋体" w:hAnsi="宋体" w:cs="宋体" w:eastAsiaTheme="minorEastAsia"/>
          <w:color w:val="auto"/>
          <w:sz w:val="24"/>
          <w:highlight w:val="none"/>
          <w:u w:val="single"/>
          <w:lang w:val="en-US" w:eastAsia="zh-CN"/>
        </w:rPr>
        <w:t xml:space="preserve">    </w:t>
      </w:r>
      <w:r>
        <w:rPr>
          <w:rFonts w:hint="eastAsia" w:ascii="宋体" w:hAnsi="宋体" w:cs="宋体"/>
          <w:color w:val="auto"/>
          <w:sz w:val="24"/>
          <w:highlight w:val="none"/>
          <w:u w:val="single"/>
        </w:rPr>
        <w:t>（项目名称、编号）</w:t>
      </w:r>
      <w:r>
        <w:rPr>
          <w:rFonts w:hint="eastAsia" w:ascii="宋体" w:hAnsi="宋体" w:cs="宋体"/>
          <w:color w:val="auto"/>
          <w:sz w:val="24"/>
          <w:highlight w:val="none"/>
          <w:u w:val="single"/>
          <w:lang w:val="en-US" w:eastAsia="zh-CN"/>
        </w:rPr>
        <w:t xml:space="preserve"> </w:t>
      </w:r>
      <w:r>
        <w:rPr>
          <w:rFonts w:hint="eastAsia" w:ascii="宋体" w:hAnsi="宋体" w:cs="宋体" w:eastAsiaTheme="minorEastAsia"/>
          <w:color w:val="auto"/>
          <w:sz w:val="24"/>
          <w:highlight w:val="none"/>
        </w:rPr>
        <w:t>项目进行了采购。经</w:t>
      </w:r>
      <w:r>
        <w:rPr>
          <w:rFonts w:hint="eastAsia" w:ascii="宋体" w:hAnsi="宋体" w:cs="宋体" w:eastAsiaTheme="minorEastAsia"/>
          <w:color w:val="auto"/>
          <w:sz w:val="24"/>
          <w:highlight w:val="none"/>
          <w:u w:val="single"/>
        </w:rPr>
        <w:t xml:space="preserve">   </w:t>
      </w:r>
      <w:r>
        <w:rPr>
          <w:rFonts w:hint="eastAsia" w:ascii="宋体" w:hAnsi="宋体" w:cs="宋体" w:eastAsiaTheme="minorEastAsia"/>
          <w:color w:val="auto"/>
          <w:sz w:val="24"/>
          <w:highlight w:val="none"/>
          <w:u w:val="single"/>
          <w:lang w:eastAsia="zh-CN"/>
        </w:rPr>
        <w:t>项目评标委员会</w:t>
      </w:r>
      <w:r>
        <w:rPr>
          <w:rFonts w:hint="eastAsia" w:ascii="宋体" w:hAnsi="宋体" w:cs="宋体" w:eastAsiaTheme="minorEastAsia"/>
          <w:color w:val="auto"/>
          <w:sz w:val="24"/>
          <w:highlight w:val="none"/>
          <w:u w:val="single"/>
        </w:rPr>
        <w:t xml:space="preserve">   </w:t>
      </w:r>
      <w:r>
        <w:rPr>
          <w:rFonts w:hint="eastAsia" w:ascii="宋体" w:hAnsi="宋体" w:cs="宋体" w:eastAsiaTheme="minorEastAsia"/>
          <w:color w:val="auto"/>
          <w:sz w:val="24"/>
          <w:highlight w:val="none"/>
        </w:rPr>
        <w:t>评定，</w:t>
      </w:r>
      <w:r>
        <w:rPr>
          <w:rFonts w:hint="eastAsia" w:ascii="宋体" w:hAnsi="宋体" w:cs="宋体" w:eastAsiaTheme="minorEastAsia"/>
          <w:color w:val="auto"/>
          <w:sz w:val="24"/>
          <w:highlight w:val="none"/>
          <w:u w:val="single"/>
        </w:rPr>
        <w:t xml:space="preserve">   （中标或者成交供应商名称）</w:t>
      </w:r>
      <w:r>
        <w:rPr>
          <w:rFonts w:hint="eastAsia" w:ascii="宋体" w:hAnsi="宋体" w:cs="宋体" w:eastAsiaTheme="minorEastAsia"/>
          <w:color w:val="auto"/>
          <w:sz w:val="24"/>
          <w:highlight w:val="none"/>
        </w:rPr>
        <w:t>为该项目中标或者成交供应商。现于中标或者成交通知书发出之日起10个工作日内，按照采购文件等确定的事项签订本合同。</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lang w:val="zh-CN"/>
        </w:rPr>
        <w:t>根据《中华人民共和国民法典》《中华人民共和国政府采购法》等相关法律法规之规定，按照平等、自愿、公平、诚实信用和绿色的原则，经</w:t>
      </w:r>
      <w:r>
        <w:rPr>
          <w:rFonts w:hint="eastAsia" w:ascii="宋体" w:hAnsi="宋体" w:cs="宋体" w:eastAsiaTheme="minorEastAsia"/>
          <w:color w:val="auto"/>
          <w:sz w:val="24"/>
          <w:highlight w:val="none"/>
          <w:u w:val="single"/>
        </w:rPr>
        <w:t xml:space="preserve">  </w:t>
      </w:r>
      <w:r>
        <w:rPr>
          <w:rFonts w:hint="eastAsia" w:ascii="宋体" w:hAnsi="宋体" w:cs="宋体" w:eastAsiaTheme="minorEastAsia"/>
          <w:color w:val="auto"/>
          <w:sz w:val="24"/>
          <w:highlight w:val="none"/>
          <w:u w:val="single"/>
          <w:lang w:eastAsia="zh-CN"/>
        </w:rPr>
        <w:t>建德市新安江职业学校</w:t>
      </w:r>
      <w:r>
        <w:rPr>
          <w:rFonts w:hint="eastAsia" w:ascii="宋体" w:hAnsi="宋体" w:cs="宋体" w:eastAsiaTheme="minorEastAsia"/>
          <w:color w:val="auto"/>
          <w:sz w:val="24"/>
          <w:highlight w:val="none"/>
          <w:u w:val="single"/>
          <w:lang w:val="en-US" w:eastAsia="zh-CN"/>
        </w:rPr>
        <w:t xml:space="preserve">  </w:t>
      </w:r>
      <w:r>
        <w:rPr>
          <w:rFonts w:hint="eastAsia" w:ascii="宋体" w:hAnsi="宋体" w:cs="宋体" w:eastAsiaTheme="minorEastAsia"/>
          <w:color w:val="auto"/>
          <w:sz w:val="24"/>
          <w:highlight w:val="none"/>
          <w:lang w:val="zh-CN"/>
        </w:rPr>
        <w:t>(以下简称：甲方)和</w:t>
      </w:r>
      <w:r>
        <w:rPr>
          <w:rFonts w:hint="eastAsia" w:ascii="宋体" w:hAnsi="宋体" w:cs="宋体" w:eastAsiaTheme="minorEastAsia"/>
          <w:color w:val="auto"/>
          <w:sz w:val="24"/>
          <w:highlight w:val="none"/>
          <w:u w:val="single"/>
        </w:rPr>
        <w:t xml:space="preserve">   （中标或者成交供应商名称）   </w:t>
      </w:r>
      <w:r>
        <w:rPr>
          <w:rFonts w:hint="eastAsia" w:ascii="宋体" w:hAnsi="宋体" w:cs="宋体" w:eastAsiaTheme="minorEastAsia"/>
          <w:color w:val="auto"/>
          <w:sz w:val="24"/>
          <w:highlight w:val="none"/>
          <w:lang w:val="zh-CN"/>
        </w:rPr>
        <w:t>(以下简称：乙方)协商一致，约定以下合同</w:t>
      </w:r>
      <w:r>
        <w:rPr>
          <w:rFonts w:hint="eastAsia" w:ascii="宋体" w:hAnsi="宋体" w:cs="宋体" w:eastAsiaTheme="minorEastAsia"/>
          <w:color w:val="auto"/>
          <w:sz w:val="24"/>
          <w:highlight w:val="none"/>
        </w:rPr>
        <w:t>条款，以兹共同遵守、全面履行。</w:t>
      </w:r>
    </w:p>
    <w:p>
      <w:pPr>
        <w:spacing w:line="560" w:lineRule="exact"/>
        <w:ind w:firstLine="482" w:firstLineChars="200"/>
        <w:outlineLvl w:val="0"/>
        <w:rPr>
          <w:rFonts w:ascii="宋体" w:hAnsi="宋体" w:cs="宋体" w:eastAsiaTheme="minorEastAsia"/>
          <w:b/>
          <w:color w:val="auto"/>
          <w:sz w:val="24"/>
          <w:highlight w:val="none"/>
        </w:rPr>
      </w:pPr>
      <w:bookmarkStart w:id="399" w:name="_Toc3029"/>
      <w:bookmarkStart w:id="400" w:name="_Toc2232"/>
      <w:bookmarkStart w:id="401" w:name="_Toc24059"/>
      <w:r>
        <w:rPr>
          <w:rFonts w:hint="eastAsia" w:ascii="宋体" w:hAnsi="宋体" w:cs="宋体" w:eastAsiaTheme="minorEastAsia"/>
          <w:b/>
          <w:color w:val="auto"/>
          <w:sz w:val="24"/>
          <w:highlight w:val="none"/>
        </w:rPr>
        <w:t>1.1 合同组成部分</w:t>
      </w:r>
      <w:bookmarkEnd w:id="399"/>
      <w:bookmarkEnd w:id="400"/>
      <w:bookmarkEnd w:id="401"/>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1.1.1 本合同及其补充合同、变更协议；</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1.1.2 中标或者成交通知书；</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1.1.3 投标或者响应文件（含澄清或者说明文件）；</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1.1.4 采购文件（含澄清或者修改文件）；</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1.1.5 其他相关采购文件。</w:t>
      </w:r>
    </w:p>
    <w:p>
      <w:pPr>
        <w:spacing w:line="560" w:lineRule="exact"/>
        <w:ind w:firstLine="482" w:firstLineChars="200"/>
        <w:outlineLvl w:val="0"/>
        <w:rPr>
          <w:rFonts w:ascii="宋体" w:hAnsi="宋体" w:cs="宋体" w:eastAsiaTheme="minorEastAsia"/>
          <w:b/>
          <w:color w:val="auto"/>
          <w:sz w:val="24"/>
          <w:highlight w:val="none"/>
        </w:rPr>
      </w:pPr>
      <w:bookmarkStart w:id="402" w:name="_Toc21295"/>
      <w:bookmarkStart w:id="403" w:name="_Toc24300"/>
      <w:bookmarkStart w:id="404" w:name="_Toc27126"/>
      <w:r>
        <w:rPr>
          <w:rFonts w:hint="eastAsia" w:ascii="宋体" w:hAnsi="宋体" w:cs="宋体" w:eastAsiaTheme="minorEastAsia"/>
          <w:b/>
          <w:color w:val="auto"/>
          <w:sz w:val="24"/>
          <w:highlight w:val="none"/>
        </w:rPr>
        <w:t>1.2 货物</w:t>
      </w:r>
      <w:bookmarkEnd w:id="402"/>
      <w:bookmarkEnd w:id="403"/>
      <w:bookmarkEnd w:id="404"/>
    </w:p>
    <w:p>
      <w:pPr>
        <w:spacing w:line="560" w:lineRule="exact"/>
        <w:ind w:firstLine="480" w:firstLineChars="200"/>
        <w:rPr>
          <w:rFonts w:ascii="宋体" w:hAnsi="宋体" w:cs="宋体" w:eastAsiaTheme="minorEastAsia"/>
          <w:color w:val="auto"/>
          <w:sz w:val="24"/>
          <w:highlight w:val="none"/>
          <w:u w:val="single"/>
        </w:rPr>
      </w:pPr>
      <w:r>
        <w:rPr>
          <w:rFonts w:hint="eastAsia" w:ascii="宋体" w:hAnsi="宋体" w:cs="宋体" w:eastAsiaTheme="minorEastAsia"/>
          <w:color w:val="auto"/>
          <w:sz w:val="24"/>
          <w:highlight w:val="none"/>
        </w:rPr>
        <w:t>1.2.1 货物名称、品牌、规格型号、花色</w:t>
      </w:r>
      <w:r>
        <w:rPr>
          <w:rFonts w:hint="eastAsia" w:ascii="宋体" w:hAnsi="宋体" w:cs="宋体" w:eastAsiaTheme="minorEastAsia"/>
          <w:color w:val="auto"/>
          <w:sz w:val="24"/>
          <w:highlight w:val="none"/>
          <w:u w:val="single"/>
        </w:rPr>
        <w:t>：</w:t>
      </w:r>
      <w:r>
        <w:rPr>
          <w:rFonts w:hint="eastAsia" w:ascii="宋体" w:hAnsi="宋体" w:cs="宋体" w:eastAsiaTheme="minorEastAsia"/>
          <w:color w:val="auto"/>
          <w:sz w:val="24"/>
          <w:highlight w:val="none"/>
          <w:u w:val="single"/>
          <w:lang w:val="en-US" w:eastAsia="zh-CN"/>
        </w:rPr>
        <w:t xml:space="preserve">                          </w:t>
      </w:r>
      <w:r>
        <w:rPr>
          <w:rFonts w:hint="eastAsia" w:ascii="宋体" w:hAnsi="宋体" w:cs="宋体" w:eastAsiaTheme="minorEastAsia"/>
          <w:color w:val="auto"/>
          <w:sz w:val="24"/>
          <w:highlight w:val="none"/>
          <w:u w:val="single"/>
        </w:rPr>
        <w:t>；</w:t>
      </w:r>
    </w:p>
    <w:p>
      <w:pPr>
        <w:spacing w:line="560" w:lineRule="exact"/>
        <w:ind w:firstLine="480" w:firstLineChars="200"/>
        <w:rPr>
          <w:rFonts w:ascii="宋体" w:hAnsi="宋体" w:cs="宋体" w:eastAsiaTheme="minorEastAsia"/>
          <w:color w:val="auto"/>
          <w:sz w:val="24"/>
          <w:highlight w:val="none"/>
          <w:u w:val="single"/>
        </w:rPr>
      </w:pPr>
      <w:r>
        <w:rPr>
          <w:rFonts w:hint="eastAsia" w:ascii="宋体" w:hAnsi="宋体" w:cs="宋体" w:eastAsiaTheme="minorEastAsia"/>
          <w:color w:val="auto"/>
          <w:sz w:val="24"/>
          <w:highlight w:val="none"/>
        </w:rPr>
        <w:t>1.2.2 货物数量</w:t>
      </w:r>
      <w:r>
        <w:rPr>
          <w:rFonts w:hint="eastAsia" w:ascii="宋体" w:hAnsi="宋体" w:cs="宋体" w:eastAsiaTheme="minorEastAsia"/>
          <w:color w:val="auto"/>
          <w:sz w:val="24"/>
          <w:highlight w:val="none"/>
          <w:u w:val="single"/>
        </w:rPr>
        <w:t>：</w:t>
      </w:r>
      <w:r>
        <w:rPr>
          <w:rFonts w:hint="eastAsia" w:ascii="宋体" w:hAnsi="宋体" w:cs="宋体" w:eastAsiaTheme="minorEastAsia"/>
          <w:color w:val="auto"/>
          <w:sz w:val="24"/>
          <w:highlight w:val="none"/>
          <w:u w:val="single"/>
          <w:lang w:val="en-US" w:eastAsia="zh-CN"/>
        </w:rPr>
        <w:t xml:space="preserve">                                                </w:t>
      </w:r>
      <w:r>
        <w:rPr>
          <w:rFonts w:hint="eastAsia" w:ascii="宋体" w:hAnsi="宋体" w:cs="宋体" w:eastAsiaTheme="minorEastAsia"/>
          <w:color w:val="auto"/>
          <w:sz w:val="24"/>
          <w:highlight w:val="none"/>
          <w:u w:val="single"/>
        </w:rPr>
        <w:t>；</w:t>
      </w:r>
    </w:p>
    <w:p>
      <w:pPr>
        <w:spacing w:line="560" w:lineRule="exact"/>
        <w:ind w:firstLine="480" w:firstLineChars="200"/>
        <w:rPr>
          <w:rFonts w:ascii="宋体" w:hAnsi="宋体" w:cs="宋体" w:eastAsiaTheme="minorEastAsia"/>
          <w:color w:val="auto"/>
          <w:sz w:val="24"/>
          <w:highlight w:val="none"/>
          <w:u w:val="single"/>
        </w:rPr>
      </w:pPr>
      <w:r>
        <w:rPr>
          <w:rFonts w:hint="eastAsia" w:ascii="宋体" w:hAnsi="宋体" w:cs="宋体" w:eastAsiaTheme="minorEastAsia"/>
          <w:color w:val="auto"/>
          <w:sz w:val="24"/>
          <w:highlight w:val="none"/>
        </w:rPr>
        <w:t>1.2.3 货物质量：</w:t>
      </w:r>
      <w:r>
        <w:rPr>
          <w:rFonts w:hint="eastAsia" w:ascii="宋体" w:hAnsi="宋体" w:cs="宋体" w:eastAsiaTheme="minorEastAsia"/>
          <w:color w:val="auto"/>
          <w:sz w:val="24"/>
          <w:highlight w:val="none"/>
          <w:u w:val="single"/>
        </w:rPr>
        <w:t>　　　　　　　　　                      　      ；</w:t>
      </w:r>
    </w:p>
    <w:p>
      <w:pPr>
        <w:spacing w:line="560" w:lineRule="exact"/>
        <w:ind w:firstLine="482" w:firstLineChars="200"/>
        <w:outlineLvl w:val="0"/>
        <w:rPr>
          <w:rFonts w:ascii="宋体" w:hAnsi="宋体" w:cs="宋体" w:eastAsiaTheme="minorEastAsia"/>
          <w:b/>
          <w:color w:val="auto"/>
          <w:sz w:val="24"/>
          <w:highlight w:val="none"/>
        </w:rPr>
      </w:pPr>
      <w:bookmarkStart w:id="405" w:name="_Toc21551"/>
      <w:bookmarkStart w:id="406" w:name="_Toc21631"/>
      <w:bookmarkStart w:id="407" w:name="_Toc23292"/>
      <w:r>
        <w:rPr>
          <w:rFonts w:hint="eastAsia" w:ascii="宋体" w:hAnsi="宋体" w:cs="宋体" w:eastAsiaTheme="minorEastAsia"/>
          <w:b/>
          <w:color w:val="auto"/>
          <w:sz w:val="24"/>
          <w:highlight w:val="none"/>
        </w:rPr>
        <w:t>1.3 价款</w:t>
      </w:r>
      <w:bookmarkEnd w:id="405"/>
      <w:bookmarkEnd w:id="406"/>
      <w:bookmarkEnd w:id="407"/>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本合同总价（含税）为：</w:t>
      </w:r>
      <w:r>
        <w:rPr>
          <w:rFonts w:hint="eastAsia" w:ascii="宋体" w:hAnsi="宋体" w:cs="宋体" w:eastAsiaTheme="minorEastAsia"/>
          <w:color w:val="auto"/>
          <w:sz w:val="24"/>
          <w:highlight w:val="none"/>
          <w:u w:val="single"/>
        </w:rPr>
        <w:t>￥</w:t>
      </w:r>
      <w:r>
        <w:rPr>
          <w:rFonts w:hint="eastAsia" w:ascii="宋体" w:hAnsi="宋体" w:cs="宋体" w:eastAsiaTheme="minorEastAsia"/>
          <w:color w:val="auto"/>
          <w:sz w:val="24"/>
          <w:highlight w:val="none"/>
          <w:u w:val="single"/>
          <w:lang w:val="en-US" w:eastAsia="zh-CN"/>
        </w:rPr>
        <w:t xml:space="preserve">      </w:t>
      </w:r>
      <w:r>
        <w:rPr>
          <w:rFonts w:hint="eastAsia" w:ascii="宋体" w:hAnsi="宋体" w:cs="宋体" w:eastAsiaTheme="minorEastAsia"/>
          <w:color w:val="auto"/>
          <w:sz w:val="24"/>
          <w:highlight w:val="none"/>
          <w:u w:val="single"/>
        </w:rPr>
        <w:t>元</w:t>
      </w:r>
      <w:r>
        <w:rPr>
          <w:rFonts w:hint="eastAsia" w:ascii="宋体" w:hAnsi="宋体" w:cs="宋体" w:eastAsiaTheme="minorEastAsia"/>
          <w:color w:val="auto"/>
          <w:sz w:val="24"/>
          <w:highlight w:val="none"/>
        </w:rPr>
        <w:t>（</w:t>
      </w:r>
      <w:r>
        <w:rPr>
          <w:rFonts w:hint="eastAsia" w:ascii="宋体" w:hAnsi="宋体" w:cs="宋体" w:eastAsiaTheme="minorEastAsia"/>
          <w:color w:val="auto"/>
          <w:sz w:val="24"/>
          <w:highlight w:val="none"/>
          <w:u w:val="single"/>
        </w:rPr>
        <w:t>大写：</w:t>
      </w:r>
      <w:r>
        <w:rPr>
          <w:rFonts w:hint="eastAsia" w:ascii="宋体" w:hAnsi="宋体" w:cs="宋体" w:eastAsiaTheme="minorEastAsia"/>
          <w:color w:val="auto"/>
          <w:sz w:val="24"/>
          <w:highlight w:val="none"/>
          <w:u w:val="single"/>
          <w:lang w:val="en-US" w:eastAsia="zh-CN"/>
        </w:rPr>
        <w:t xml:space="preserve">              </w:t>
      </w:r>
      <w:r>
        <w:rPr>
          <w:rFonts w:hint="eastAsia" w:ascii="宋体" w:hAnsi="宋体" w:cs="宋体" w:eastAsiaTheme="minorEastAsia"/>
          <w:color w:val="auto"/>
          <w:sz w:val="24"/>
          <w:highlight w:val="none"/>
          <w:u w:val="single"/>
        </w:rPr>
        <w:t>元人民币</w:t>
      </w:r>
      <w:r>
        <w:rPr>
          <w:rFonts w:hint="eastAsia" w:ascii="宋体" w:hAnsi="宋体" w:cs="宋体" w:eastAsiaTheme="minorEastAsia"/>
          <w:color w:val="auto"/>
          <w:sz w:val="24"/>
          <w:highlight w:val="none"/>
        </w:rPr>
        <w:t>）。</w:t>
      </w:r>
    </w:p>
    <w:p>
      <w:pPr>
        <w:spacing w:line="560" w:lineRule="exact"/>
        <w:ind w:firstLine="480" w:firstLineChars="200"/>
        <w:rPr>
          <w:rFonts w:ascii="宋体" w:hAnsi="宋体" w:cs="宋体" w:eastAsiaTheme="minorEastAsia"/>
          <w:color w:val="auto"/>
          <w:sz w:val="24"/>
          <w:highlight w:val="none"/>
          <w:u w:val="single"/>
        </w:rPr>
      </w:pPr>
      <w:r>
        <w:rPr>
          <w:rFonts w:hint="eastAsia" w:ascii="宋体" w:hAnsi="宋体" w:cs="宋体" w:eastAsiaTheme="minorEastAsia"/>
          <w:color w:val="auto"/>
          <w:sz w:val="24"/>
          <w:highlight w:val="none"/>
        </w:rPr>
        <w:t>分项价格：</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jc w:val="center"/>
              <w:rPr>
                <w:rFonts w:hAnsi="宋体" w:cs="宋体" w:eastAsiaTheme="minorEastAsia"/>
                <w:color w:val="auto"/>
                <w:sz w:val="24"/>
                <w:szCs w:val="24"/>
                <w:highlight w:val="none"/>
              </w:rPr>
            </w:pPr>
            <w:r>
              <w:rPr>
                <w:rFonts w:hint="eastAsia" w:hAnsi="宋体" w:cs="宋体" w:eastAsiaTheme="minorEastAsia"/>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r>
              <w:rPr>
                <w:rFonts w:hint="eastAsia" w:hAnsi="宋体" w:cs="宋体" w:eastAsiaTheme="minorEastAsia"/>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jc w:val="center"/>
              <w:rPr>
                <w:rFonts w:hAnsi="宋体" w:cs="宋体" w:eastAsiaTheme="minorEastAsia"/>
                <w:color w:val="auto"/>
                <w:sz w:val="24"/>
                <w:szCs w:val="24"/>
                <w:highlight w:val="none"/>
              </w:rPr>
            </w:pPr>
            <w:r>
              <w:rPr>
                <w:rFonts w:hint="eastAsia" w:hAnsi="宋体" w:cs="宋体" w:eastAsiaTheme="minorEastAsia"/>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r>
              <w:rPr>
                <w:rFonts w:hint="eastAsia" w:hAnsi="宋体" w:cs="宋体" w:eastAsiaTheme="minorEastAsia"/>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21"/>
              <w:spacing w:line="560" w:lineRule="exact"/>
              <w:ind w:firstLine="200"/>
              <w:jc w:val="center"/>
              <w:rPr>
                <w:rFonts w:hAnsi="宋体" w:cs="宋体" w:eastAsiaTheme="minorEastAsia"/>
                <w:color w:val="auto"/>
                <w:sz w:val="24"/>
                <w:szCs w:val="24"/>
                <w:highlight w:val="none"/>
              </w:rPr>
            </w:pPr>
          </w:p>
        </w:tc>
      </w:tr>
    </w:tbl>
    <w:p>
      <w:pPr>
        <w:pStyle w:val="960"/>
        <w:spacing w:before="0" w:beforeAutospacing="0" w:after="0" w:afterAutospacing="0" w:line="360" w:lineRule="auto"/>
        <w:ind w:firstLine="480"/>
        <w:rPr>
          <w:rFonts w:eastAsiaTheme="minorEastAsia"/>
          <w:b/>
          <w:color w:val="auto"/>
          <w:highlight w:val="none"/>
        </w:rPr>
      </w:pPr>
      <w:bookmarkStart w:id="408" w:name="_Toc10340"/>
      <w:bookmarkStart w:id="409" w:name="_Toc22618"/>
      <w:bookmarkStart w:id="410" w:name="_Toc1814"/>
      <w:r>
        <w:rPr>
          <w:rFonts w:hint="eastAsia" w:eastAsiaTheme="minorEastAsia"/>
          <w:b/>
          <w:color w:val="auto"/>
          <w:highlight w:val="none"/>
        </w:rPr>
        <w:t>1.4履约保证金</w:t>
      </w:r>
    </w:p>
    <w:p>
      <w:pPr>
        <w:pStyle w:val="960"/>
        <w:spacing w:before="0" w:beforeAutospacing="0" w:after="0" w:afterAutospacing="0" w:line="360" w:lineRule="auto"/>
        <w:ind w:firstLine="480"/>
        <w:rPr>
          <w:rFonts w:eastAsiaTheme="minorEastAsia"/>
          <w:color w:val="auto"/>
          <w:highlight w:val="none"/>
        </w:rPr>
      </w:pPr>
      <w:r>
        <w:rPr>
          <w:rFonts w:hint="eastAsia" w:eastAsiaTheme="minorEastAsia"/>
          <w:color w:val="auto"/>
          <w:highlight w:val="none"/>
        </w:rPr>
        <w:t>乙方</w:t>
      </w:r>
      <w:r>
        <w:rPr>
          <w:rFonts w:hint="eastAsia" w:eastAsiaTheme="minorEastAsia"/>
          <w:color w:val="auto"/>
          <w:highlight w:val="none"/>
          <w:u w:val="single"/>
          <w:lang w:val="en-US" w:eastAsia="zh-CN"/>
        </w:rPr>
        <w:t xml:space="preserve">     </w:t>
      </w:r>
      <w:r>
        <w:rPr>
          <w:rFonts w:hint="eastAsia" w:eastAsiaTheme="minorEastAsia"/>
          <w:color w:val="auto"/>
          <w:highlight w:val="none"/>
          <w:u w:val="single"/>
        </w:rPr>
        <w:t>（是</w:t>
      </w:r>
      <w:r>
        <w:rPr>
          <w:rFonts w:hint="eastAsia" w:ascii="仿宋" w:hAnsi="仿宋" w:cs="仿宋" w:eastAsiaTheme="minorEastAsia"/>
          <w:color w:val="auto"/>
          <w:highlight w:val="none"/>
          <w:u w:val="single"/>
        </w:rPr>
        <w:t>/</w:t>
      </w:r>
      <w:r>
        <w:rPr>
          <w:rFonts w:hint="eastAsia" w:eastAsiaTheme="minorEastAsia"/>
          <w:color w:val="auto"/>
          <w:highlight w:val="none"/>
          <w:u w:val="single"/>
        </w:rPr>
        <w:t>否）</w:t>
      </w:r>
      <w:r>
        <w:rPr>
          <w:rFonts w:hint="eastAsia" w:eastAsiaTheme="minorEastAsia"/>
          <w:color w:val="auto"/>
          <w:highlight w:val="none"/>
        </w:rPr>
        <w:t>需要支付履约保证金。若需要支付履约保证金的，则：</w:t>
      </w:r>
    </w:p>
    <w:p>
      <w:pPr>
        <w:spacing w:line="560" w:lineRule="exact"/>
        <w:ind w:firstLine="480" w:firstLineChars="200"/>
        <w:outlineLvl w:val="0"/>
        <w:rPr>
          <w:rFonts w:ascii="宋体" w:hAnsi="宋体" w:cs="宋体" w:eastAsiaTheme="minorEastAsia"/>
          <w:color w:val="auto"/>
          <w:kern w:val="0"/>
          <w:sz w:val="24"/>
          <w:highlight w:val="none"/>
        </w:rPr>
      </w:pPr>
      <w:r>
        <w:rPr>
          <w:rFonts w:hint="eastAsia" w:ascii="宋体" w:hAnsi="宋体" w:cs="宋体" w:eastAsiaTheme="minorEastAsia"/>
          <w:color w:val="auto"/>
          <w:kern w:val="0"/>
          <w:sz w:val="24"/>
          <w:highlight w:val="none"/>
        </w:rPr>
        <w:t>1.4.1履约保证金的比例为合同金额的</w:t>
      </w:r>
      <w:r>
        <w:rPr>
          <w:rFonts w:hint="eastAsia" w:ascii="宋体" w:hAnsi="宋体" w:cs="宋体" w:eastAsiaTheme="minorEastAsia"/>
          <w:color w:val="auto"/>
          <w:kern w:val="0"/>
          <w:sz w:val="24"/>
          <w:highlight w:val="none"/>
          <w:u w:val="single"/>
          <w:lang w:val="en-US" w:eastAsia="zh-CN"/>
        </w:rPr>
        <w:t xml:space="preserve">     </w:t>
      </w:r>
      <w:r>
        <w:rPr>
          <w:rFonts w:hint="eastAsia" w:ascii="宋体" w:hAnsi="宋体" w:cs="宋体" w:eastAsiaTheme="minorEastAsia"/>
          <w:color w:val="auto"/>
          <w:kern w:val="0"/>
          <w:sz w:val="24"/>
          <w:highlight w:val="none"/>
          <w:u w:val="single"/>
        </w:rPr>
        <w:t>%</w:t>
      </w:r>
      <w:r>
        <w:rPr>
          <w:rFonts w:hint="eastAsia" w:ascii="宋体" w:hAnsi="宋体" w:cs="宋体" w:eastAsiaTheme="minorEastAsia"/>
          <w:color w:val="auto"/>
          <w:kern w:val="0"/>
          <w:sz w:val="24"/>
          <w:highlight w:val="none"/>
        </w:rPr>
        <w:t>；</w:t>
      </w:r>
    </w:p>
    <w:p>
      <w:pPr>
        <w:spacing w:line="560" w:lineRule="exact"/>
        <w:ind w:firstLine="480" w:firstLineChars="200"/>
        <w:outlineLvl w:val="0"/>
        <w:rPr>
          <w:rFonts w:ascii="宋体" w:hAnsi="宋体" w:cs="宋体" w:eastAsiaTheme="minorEastAsia"/>
          <w:color w:val="auto"/>
          <w:kern w:val="0"/>
          <w:sz w:val="24"/>
          <w:highlight w:val="none"/>
        </w:rPr>
      </w:pPr>
      <w:r>
        <w:rPr>
          <w:rFonts w:hint="eastAsia" w:ascii="宋体" w:hAnsi="宋体" w:cs="宋体" w:eastAsiaTheme="minorEastAsia"/>
          <w:color w:val="auto"/>
          <w:kern w:val="0"/>
          <w:sz w:val="24"/>
          <w:highlight w:val="none"/>
        </w:rPr>
        <w:t>1.4.2履约保证金支付方式详见</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kern w:val="0"/>
          <w:sz w:val="24"/>
          <w:highlight w:val="none"/>
        </w:rPr>
        <w:t>；</w:t>
      </w:r>
    </w:p>
    <w:p>
      <w:pPr>
        <w:pStyle w:val="4"/>
        <w:tabs>
          <w:tab w:val="left" w:pos="0"/>
          <w:tab w:val="clear" w:pos="432"/>
        </w:tabs>
        <w:spacing w:line="560" w:lineRule="exact"/>
        <w:ind w:left="0" w:firstLine="480" w:firstLineChars="200"/>
        <w:rPr>
          <w:rFonts w:eastAsiaTheme="minorEastAsia"/>
          <w:color w:val="auto"/>
          <w:highlight w:val="none"/>
          <w:lang w:val="en-US"/>
        </w:rPr>
      </w:pPr>
      <w:r>
        <w:rPr>
          <w:rFonts w:hint="eastAsia" w:ascii="宋体" w:hAnsi="宋体" w:cs="宋体" w:eastAsiaTheme="minorEastAsia"/>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pageBreakBefore w:val="0"/>
        <w:kinsoku/>
        <w:wordWrap/>
        <w:overflowPunct/>
        <w:topLinePunct w:val="0"/>
        <w:autoSpaceDE/>
        <w:autoSpaceDN/>
        <w:bidi w:val="0"/>
        <w:snapToGrid/>
        <w:spacing w:line="360" w:lineRule="auto"/>
        <w:ind w:left="0" w:leftChars="0" w:right="0" w:rightChars="0" w:firstLine="480" w:firstLineChars="200"/>
        <w:textAlignment w:val="auto"/>
        <w:outlineLvl w:val="0"/>
        <w:rPr>
          <w:rFonts w:ascii="宋体" w:hAnsi="宋体" w:cs="宋体"/>
          <w:color w:val="auto"/>
          <w:kern w:val="0"/>
          <w:sz w:val="24"/>
          <w:highlight w:val="none"/>
        </w:rPr>
      </w:pPr>
      <w:r>
        <w:rPr>
          <w:rFonts w:hint="eastAsia" w:ascii="宋体" w:hAnsi="宋体" w:cs="宋体" w:eastAsiaTheme="minorEastAsia"/>
          <w:color w:val="auto"/>
          <w:kern w:val="0"/>
          <w:sz w:val="24"/>
          <w:highlight w:val="none"/>
        </w:rPr>
        <w:t xml:space="preserve">1.4.4 </w:t>
      </w:r>
      <w:r>
        <w:rPr>
          <w:rFonts w:hint="eastAsia" w:ascii="宋体" w:hAnsi="宋体" w:cs="宋体"/>
          <w:color w:val="auto"/>
          <w:kern w:val="0"/>
          <w:sz w:val="24"/>
          <w:highlight w:val="none"/>
        </w:rPr>
        <w:t>甲方在项目验收结束后及时退还履约保证金。甲方在项目通过验收之日起</w:t>
      </w:r>
    </w:p>
    <w:p>
      <w:pPr>
        <w:spacing w:line="560" w:lineRule="exact"/>
        <w:ind w:firstLine="480" w:firstLineChars="200"/>
        <w:outlineLvl w:val="0"/>
        <w:rPr>
          <w:rFonts w:eastAsiaTheme="minorEastAsia"/>
          <w:color w:val="auto"/>
          <w:highlight w:val="none"/>
        </w:rPr>
      </w:pP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w:t>
      </w:r>
      <w:r>
        <w:rPr>
          <w:rFonts w:hint="eastAsia" w:ascii="宋体" w:hAnsi="宋体" w:cs="宋体" w:eastAsiaTheme="minorEastAsia"/>
          <w:color w:val="auto"/>
          <w:kern w:val="0"/>
          <w:sz w:val="24"/>
          <w:highlight w:val="none"/>
        </w:rPr>
        <w:t>，逾期退还的，乙方可要求甲方支付违约金，违约金按每迟延退还一日的应退还而未退还金额的</w:t>
      </w:r>
      <w:r>
        <w:rPr>
          <w:rFonts w:hint="eastAsia" w:ascii="宋体" w:hAnsi="宋体" w:cs="宋体" w:eastAsiaTheme="minorEastAsia"/>
          <w:color w:val="auto"/>
          <w:kern w:val="0"/>
          <w:sz w:val="24"/>
          <w:highlight w:val="none"/>
          <w:u w:val="single"/>
        </w:rPr>
        <w:t xml:space="preserve">  0.05（可根据情况修改）</w:t>
      </w:r>
      <w:r>
        <w:rPr>
          <w:rFonts w:hint="eastAsia" w:ascii="宋体" w:hAnsi="宋体" w:cs="宋体" w:eastAsiaTheme="minorEastAsia"/>
          <w:color w:val="auto"/>
          <w:kern w:val="0"/>
          <w:sz w:val="24"/>
          <w:highlight w:val="none"/>
        </w:rPr>
        <w:t>%计算，最高限额为本合同履约保证金的</w:t>
      </w:r>
      <w:r>
        <w:rPr>
          <w:rFonts w:hint="eastAsia" w:ascii="宋体" w:hAnsi="宋体" w:cs="宋体" w:eastAsiaTheme="minorEastAsia"/>
          <w:color w:val="auto"/>
          <w:kern w:val="0"/>
          <w:sz w:val="24"/>
          <w:highlight w:val="none"/>
          <w:u w:val="single"/>
        </w:rPr>
        <w:t xml:space="preserve">  20  </w:t>
      </w:r>
      <w:r>
        <w:rPr>
          <w:rFonts w:hint="eastAsia" w:ascii="宋体" w:hAnsi="宋体" w:cs="宋体" w:eastAsiaTheme="minorEastAsia"/>
          <w:color w:val="auto"/>
          <w:kern w:val="0"/>
          <w:sz w:val="24"/>
          <w:highlight w:val="none"/>
        </w:rPr>
        <w:t xml:space="preserve"> %。</w:t>
      </w:r>
    </w:p>
    <w:p>
      <w:pPr>
        <w:spacing w:line="560" w:lineRule="exact"/>
        <w:ind w:firstLine="482" w:firstLineChars="200"/>
        <w:outlineLvl w:val="0"/>
        <w:rPr>
          <w:rFonts w:ascii="宋体" w:hAnsi="宋体" w:cs="宋体" w:eastAsiaTheme="minorEastAsia"/>
          <w:b/>
          <w:color w:val="auto"/>
          <w:sz w:val="24"/>
          <w:highlight w:val="none"/>
        </w:rPr>
      </w:pPr>
      <w:r>
        <w:rPr>
          <w:rFonts w:hint="eastAsia" w:ascii="宋体" w:hAnsi="宋体" w:cs="宋体" w:eastAsiaTheme="minorEastAsia"/>
          <w:b/>
          <w:color w:val="auto"/>
          <w:sz w:val="24"/>
          <w:highlight w:val="none"/>
        </w:rPr>
        <w:t>1.5</w:t>
      </w:r>
      <w:bookmarkEnd w:id="408"/>
      <w:bookmarkEnd w:id="409"/>
      <w:bookmarkEnd w:id="410"/>
      <w:r>
        <w:rPr>
          <w:rFonts w:hint="eastAsia" w:ascii="宋体" w:hAnsi="宋体" w:cs="宋体" w:eastAsiaTheme="minorEastAsia"/>
          <w:b/>
          <w:color w:val="auto"/>
          <w:sz w:val="24"/>
          <w:highlight w:val="none"/>
        </w:rPr>
        <w:t>预付款</w:t>
      </w:r>
    </w:p>
    <w:p>
      <w:pPr>
        <w:pStyle w:val="96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2"/>
        <w:textAlignment w:val="auto"/>
        <w:rPr>
          <w:rFonts w:eastAsiaTheme="minorEastAsia"/>
          <w:color w:val="auto"/>
          <w:highlight w:val="none"/>
        </w:rPr>
      </w:pPr>
      <w:r>
        <w:rPr>
          <w:rFonts w:hint="eastAsia" w:eastAsiaTheme="minorEastAsia"/>
          <w:color w:val="auto"/>
          <w:highlight w:val="none"/>
        </w:rPr>
        <w:t>甲方</w:t>
      </w:r>
      <w:r>
        <w:rPr>
          <w:rFonts w:hint="eastAsia" w:eastAsiaTheme="minorEastAsia"/>
          <w:color w:val="auto"/>
          <w:highlight w:val="none"/>
          <w:u w:val="single"/>
          <w:lang w:val="en-US" w:eastAsia="zh-CN"/>
        </w:rPr>
        <w:t xml:space="preserve">      </w:t>
      </w:r>
      <w:r>
        <w:rPr>
          <w:rFonts w:hint="eastAsia" w:eastAsiaTheme="minorEastAsia"/>
          <w:color w:val="auto"/>
          <w:highlight w:val="none"/>
          <w:u w:val="single"/>
        </w:rPr>
        <w:t>（是</w:t>
      </w:r>
      <w:r>
        <w:rPr>
          <w:rFonts w:hint="eastAsia" w:ascii="仿宋" w:hAnsi="仿宋" w:cs="仿宋" w:eastAsiaTheme="minorEastAsia"/>
          <w:color w:val="auto"/>
          <w:highlight w:val="none"/>
          <w:u w:val="single"/>
        </w:rPr>
        <w:t>/</w:t>
      </w:r>
      <w:r>
        <w:rPr>
          <w:rFonts w:hint="eastAsia" w:eastAsiaTheme="minorEastAsia"/>
          <w:color w:val="auto"/>
          <w:highlight w:val="none"/>
          <w:u w:val="single"/>
        </w:rPr>
        <w:t>否）</w:t>
      </w:r>
      <w:r>
        <w:rPr>
          <w:rFonts w:hint="eastAsia" w:eastAsiaTheme="minorEastAsia"/>
          <w:color w:val="auto"/>
          <w:highlight w:val="none"/>
        </w:rPr>
        <w:t>需要支付预付款。若需要支付预付款的，则：</w:t>
      </w:r>
    </w:p>
    <w:p>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ascii="宋体" w:hAnsi="宋体" w:cs="宋体" w:eastAsiaTheme="minorEastAsia"/>
          <w:color w:val="auto"/>
          <w:kern w:val="0"/>
          <w:sz w:val="24"/>
          <w:highlight w:val="none"/>
        </w:rPr>
      </w:pPr>
      <w:r>
        <w:rPr>
          <w:rFonts w:hint="eastAsia" w:ascii="宋体" w:hAnsi="宋体" w:cs="宋体" w:eastAsiaTheme="minorEastAsia"/>
          <w:color w:val="auto"/>
          <w:kern w:val="0"/>
          <w:sz w:val="24"/>
          <w:highlight w:val="none"/>
        </w:rPr>
        <w:t>1.5.1预付款比例、支付方式、时间详见</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kern w:val="0"/>
          <w:sz w:val="24"/>
          <w:highlight w:val="none"/>
        </w:rPr>
        <w:t>；</w:t>
      </w:r>
    </w:p>
    <w:p>
      <w:pPr>
        <w:pStyle w:val="960"/>
        <w:spacing w:before="0" w:beforeAutospacing="0" w:after="0" w:afterAutospacing="0" w:line="360" w:lineRule="auto"/>
        <w:ind w:firstLine="480"/>
        <w:rPr>
          <w:rFonts w:eastAsiaTheme="minorEastAsia"/>
          <w:color w:val="auto"/>
          <w:highlight w:val="none"/>
        </w:rPr>
      </w:pPr>
      <w:r>
        <w:rPr>
          <w:rFonts w:hint="eastAsia" w:eastAsiaTheme="minorEastAsia"/>
          <w:color w:val="auto"/>
          <w:highlight w:val="none"/>
        </w:rPr>
        <w:t>1.5.2预付款的扣回方式详见</w:t>
      </w:r>
      <w:r>
        <w:rPr>
          <w:rFonts w:hint="eastAsia" w:eastAsiaTheme="minorEastAsia"/>
          <w:b/>
          <w:i/>
          <w:color w:val="auto"/>
          <w:highlight w:val="none"/>
          <w:u w:val="single"/>
        </w:rPr>
        <w:t>合同专用条款</w:t>
      </w:r>
      <w:r>
        <w:rPr>
          <w:rFonts w:hint="eastAsia" w:eastAsiaTheme="minorEastAsia"/>
          <w:color w:val="auto"/>
          <w:highlight w:val="none"/>
        </w:rPr>
        <w:t>；</w:t>
      </w:r>
    </w:p>
    <w:p>
      <w:pPr>
        <w:pStyle w:val="960"/>
        <w:spacing w:before="0" w:beforeAutospacing="0" w:after="0" w:afterAutospacing="0" w:line="360" w:lineRule="auto"/>
        <w:ind w:firstLine="480"/>
        <w:rPr>
          <w:rFonts w:eastAsiaTheme="minorEastAsia"/>
          <w:color w:val="auto"/>
          <w:highlight w:val="none"/>
          <w:u w:val="single"/>
        </w:rPr>
      </w:pPr>
      <w:r>
        <w:rPr>
          <w:rFonts w:hint="eastAsia" w:eastAsiaTheme="minorEastAsia"/>
          <w:color w:val="auto"/>
          <w:highlight w:val="none"/>
        </w:rPr>
        <w:t>1.5.3预付款的担保措施详见</w:t>
      </w:r>
      <w:r>
        <w:rPr>
          <w:rFonts w:hint="eastAsia" w:eastAsiaTheme="minorEastAsia"/>
          <w:b/>
          <w:i/>
          <w:color w:val="auto"/>
          <w:highlight w:val="none"/>
          <w:u w:val="single"/>
        </w:rPr>
        <w:t>合同专用条款</w:t>
      </w:r>
      <w:r>
        <w:rPr>
          <w:rFonts w:hint="eastAsia" w:eastAsiaTheme="minorEastAsia"/>
          <w:color w:val="auto"/>
          <w:highlight w:val="none"/>
        </w:rPr>
        <w:t>。</w:t>
      </w:r>
    </w:p>
    <w:p>
      <w:pPr>
        <w:pStyle w:val="960"/>
        <w:spacing w:before="0" w:beforeAutospacing="0" w:after="0" w:afterAutospacing="0" w:line="360" w:lineRule="auto"/>
        <w:ind w:firstLine="480"/>
        <w:rPr>
          <w:rFonts w:eastAsiaTheme="minorEastAsia"/>
          <w:b/>
          <w:bCs/>
          <w:color w:val="auto"/>
          <w:highlight w:val="none"/>
        </w:rPr>
      </w:pPr>
      <w:r>
        <w:rPr>
          <w:rFonts w:hint="eastAsia" w:eastAsiaTheme="minorEastAsia"/>
          <w:b/>
          <w:bCs/>
          <w:color w:val="auto"/>
          <w:highlight w:val="none"/>
        </w:rPr>
        <w:t>1.6资金支付</w:t>
      </w:r>
    </w:p>
    <w:p>
      <w:pPr>
        <w:pStyle w:val="960"/>
        <w:spacing w:before="0" w:beforeAutospacing="0" w:after="0" w:afterAutospacing="0" w:line="360" w:lineRule="auto"/>
        <w:ind w:firstLine="480"/>
        <w:rPr>
          <w:rFonts w:eastAsiaTheme="minorEastAsia"/>
          <w:color w:val="auto"/>
          <w:highlight w:val="none"/>
        </w:rPr>
      </w:pPr>
      <w:r>
        <w:rPr>
          <w:rFonts w:hint="eastAsia" w:eastAsiaTheme="minor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1.6.2资金支付的方式、时间和条件详见</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w:t>
      </w:r>
    </w:p>
    <w:p>
      <w:pPr>
        <w:spacing w:line="560" w:lineRule="exact"/>
        <w:ind w:firstLine="482" w:firstLineChars="200"/>
        <w:outlineLvl w:val="0"/>
        <w:rPr>
          <w:rFonts w:ascii="宋体" w:hAnsi="宋体" w:cs="宋体" w:eastAsiaTheme="minorEastAsia"/>
          <w:b/>
          <w:color w:val="auto"/>
          <w:sz w:val="24"/>
          <w:highlight w:val="none"/>
        </w:rPr>
      </w:pPr>
      <w:bookmarkStart w:id="411" w:name="_Toc2846"/>
      <w:bookmarkStart w:id="412" w:name="_Toc19304"/>
      <w:bookmarkStart w:id="413" w:name="_Toc32071"/>
      <w:r>
        <w:rPr>
          <w:rFonts w:hint="eastAsia" w:ascii="宋体" w:hAnsi="宋体" w:cs="宋体" w:eastAsiaTheme="minorEastAsia"/>
          <w:b/>
          <w:color w:val="auto"/>
          <w:sz w:val="24"/>
          <w:highlight w:val="none"/>
        </w:rPr>
        <w:t>1.7货物交付期限、地点和方式</w:t>
      </w:r>
      <w:bookmarkEnd w:id="411"/>
      <w:bookmarkEnd w:id="412"/>
      <w:bookmarkEnd w:id="413"/>
    </w:p>
    <w:p>
      <w:pPr>
        <w:spacing w:line="560" w:lineRule="exact"/>
        <w:ind w:firstLine="480" w:firstLineChars="200"/>
        <w:rPr>
          <w:rFonts w:ascii="宋体" w:hAnsi="宋体" w:cs="宋体" w:eastAsiaTheme="minorEastAsia"/>
          <w:color w:val="auto"/>
          <w:sz w:val="24"/>
          <w:highlight w:val="none"/>
          <w:u w:val="single"/>
        </w:rPr>
      </w:pPr>
      <w:r>
        <w:rPr>
          <w:rFonts w:hint="eastAsia" w:ascii="宋体" w:hAnsi="宋体" w:cs="宋体" w:eastAsiaTheme="minorEastAsia"/>
          <w:color w:val="auto"/>
          <w:sz w:val="24"/>
          <w:highlight w:val="none"/>
        </w:rPr>
        <w:t>1.7.1 交付期限：详见</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1.7.2 交付地点：</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1.7.3 交付方式：</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w:t>
      </w:r>
    </w:p>
    <w:p>
      <w:pPr>
        <w:spacing w:line="560" w:lineRule="exact"/>
        <w:ind w:firstLine="482" w:firstLineChars="200"/>
        <w:outlineLvl w:val="0"/>
        <w:rPr>
          <w:rFonts w:ascii="宋体" w:hAnsi="宋体" w:cs="宋体" w:eastAsiaTheme="minorEastAsia"/>
          <w:b/>
          <w:color w:val="auto"/>
          <w:sz w:val="24"/>
          <w:highlight w:val="none"/>
        </w:rPr>
      </w:pPr>
      <w:bookmarkStart w:id="414" w:name="_Toc21423"/>
      <w:bookmarkStart w:id="415" w:name="_Toc19554"/>
      <w:bookmarkStart w:id="416" w:name="_Toc27250"/>
      <w:r>
        <w:rPr>
          <w:rFonts w:hint="eastAsia" w:ascii="宋体" w:hAnsi="宋体" w:cs="宋体" w:eastAsiaTheme="minorEastAsia"/>
          <w:b/>
          <w:color w:val="auto"/>
          <w:sz w:val="24"/>
          <w:highlight w:val="none"/>
        </w:rPr>
        <w:t>1.8违约责任</w:t>
      </w:r>
      <w:bookmarkEnd w:id="414"/>
      <w:bookmarkEnd w:id="415"/>
      <w:bookmarkEnd w:id="416"/>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eastAsiaTheme="minorEastAsia"/>
          <w:color w:val="auto"/>
          <w:sz w:val="24"/>
          <w:highlight w:val="none"/>
          <w:u w:val="single"/>
        </w:rPr>
        <w:t xml:space="preserve">  0.05</w:t>
      </w:r>
      <w:r>
        <w:rPr>
          <w:rFonts w:hint="eastAsia" w:ascii="宋体" w:hAnsi="宋体" w:cs="宋体" w:eastAsiaTheme="minorEastAsia"/>
          <w:color w:val="auto"/>
          <w:kern w:val="0"/>
          <w:sz w:val="24"/>
          <w:highlight w:val="none"/>
          <w:u w:val="single"/>
        </w:rPr>
        <w:t>（可根据情况修改）</w:t>
      </w:r>
      <w:r>
        <w:rPr>
          <w:rFonts w:hint="eastAsia" w:ascii="宋体" w:hAnsi="宋体" w:cs="宋体" w:eastAsiaTheme="minorEastAsia"/>
          <w:color w:val="auto"/>
          <w:sz w:val="24"/>
          <w:highlight w:val="none"/>
        </w:rPr>
        <w:t>%计算，最高限额为本合同总价的</w:t>
      </w:r>
      <w:r>
        <w:rPr>
          <w:rFonts w:hint="eastAsia" w:ascii="宋体" w:hAnsi="宋体" w:cs="宋体" w:eastAsiaTheme="minorEastAsia"/>
          <w:color w:val="auto"/>
          <w:sz w:val="24"/>
          <w:highlight w:val="none"/>
          <w:u w:val="single"/>
        </w:rPr>
        <w:t xml:space="preserve"> 20   </w:t>
      </w:r>
      <w:r>
        <w:rPr>
          <w:rFonts w:hint="eastAsia" w:ascii="宋体" w:hAnsi="宋体" w:cs="宋体" w:eastAsiaTheme="minorEastAsia"/>
          <w:color w:val="auto"/>
          <w:sz w:val="24"/>
          <w:highlight w:val="none"/>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1.8.2 除不可抗力外，如果甲方没有按照本合同约定的付款方式付款，那么乙方可要求甲方支付违约金，违约金按每迟延付款一日的应付而未付款的</w:t>
      </w:r>
      <w:r>
        <w:rPr>
          <w:rFonts w:hint="eastAsia" w:ascii="宋体" w:hAnsi="宋体" w:cs="宋体" w:eastAsiaTheme="minorEastAsia"/>
          <w:color w:val="auto"/>
          <w:sz w:val="24"/>
          <w:highlight w:val="none"/>
          <w:u w:val="single"/>
        </w:rPr>
        <w:t xml:space="preserve"> 0.05</w:t>
      </w:r>
      <w:r>
        <w:rPr>
          <w:rFonts w:hint="eastAsia" w:ascii="宋体" w:hAnsi="宋体" w:cs="宋体" w:eastAsiaTheme="minorEastAsia"/>
          <w:color w:val="auto"/>
          <w:kern w:val="0"/>
          <w:sz w:val="24"/>
          <w:highlight w:val="none"/>
          <w:u w:val="single"/>
        </w:rPr>
        <w:t>（可根据情况修改）</w:t>
      </w:r>
      <w:r>
        <w:rPr>
          <w:rFonts w:hint="eastAsia" w:ascii="宋体" w:hAnsi="宋体" w:cs="宋体" w:eastAsiaTheme="minorEastAsia"/>
          <w:color w:val="auto"/>
          <w:sz w:val="24"/>
          <w:highlight w:val="none"/>
        </w:rPr>
        <w:t>%计算，最高限额为本合同总价的</w:t>
      </w:r>
      <w:r>
        <w:rPr>
          <w:rFonts w:hint="eastAsia" w:ascii="宋体" w:hAnsi="宋体" w:cs="宋体" w:eastAsiaTheme="minorEastAsia"/>
          <w:color w:val="auto"/>
          <w:sz w:val="24"/>
          <w:highlight w:val="none"/>
          <w:u w:val="single"/>
        </w:rPr>
        <w:t xml:space="preserve">   20   </w:t>
      </w:r>
      <w:r>
        <w:rPr>
          <w:rFonts w:hint="eastAsia" w:ascii="宋体" w:hAnsi="宋体" w:cs="宋体" w:eastAsiaTheme="minorEastAsia"/>
          <w:color w:val="auto"/>
          <w:sz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1.8.5如果出现政府采购监督管理部门在处理投诉事项期间，书面通知甲方暂停采购活动的情形，或者询问或质疑事项可能影响中标或者成交结果的，导致甲方中止履行合同的情形，均不视为甲方违约。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left="-420" w:leftChars="-200" w:right="-420" w:rightChars="-200" w:firstLine="960" w:firstLineChars="400"/>
        <w:rPr>
          <w:rFonts w:ascii="宋体" w:hAnsi="宋体" w:cs="宋体" w:eastAsiaTheme="minorEastAsia"/>
          <w:color w:val="auto"/>
          <w:highlight w:val="none"/>
        </w:rPr>
      </w:pPr>
      <w:r>
        <w:rPr>
          <w:rFonts w:hint="eastAsia" w:ascii="宋体" w:hAnsi="宋体" w:cs="宋体" w:eastAsiaTheme="minorEastAsia"/>
          <w:color w:val="auto"/>
          <w:sz w:val="24"/>
          <w:highlight w:val="none"/>
        </w:rPr>
        <w:t>1.8.6违约责任</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另有约定的，从其约定。</w:t>
      </w:r>
    </w:p>
    <w:p>
      <w:pPr>
        <w:spacing w:line="560" w:lineRule="exact"/>
        <w:ind w:firstLine="482" w:firstLineChars="200"/>
        <w:outlineLvl w:val="0"/>
        <w:rPr>
          <w:rFonts w:ascii="宋体" w:hAnsi="宋体" w:cs="宋体" w:eastAsiaTheme="minorEastAsia"/>
          <w:b/>
          <w:color w:val="auto"/>
          <w:sz w:val="24"/>
          <w:highlight w:val="none"/>
        </w:rPr>
      </w:pPr>
      <w:bookmarkStart w:id="417" w:name="_Toc15583"/>
      <w:bookmarkStart w:id="418" w:name="_Toc16021"/>
      <w:bookmarkStart w:id="419" w:name="_Toc28375"/>
      <w:r>
        <w:rPr>
          <w:rFonts w:hint="eastAsia" w:ascii="宋体" w:hAnsi="宋体" w:cs="宋体" w:eastAsiaTheme="minorEastAsia"/>
          <w:b/>
          <w:color w:val="auto"/>
          <w:sz w:val="24"/>
          <w:highlight w:val="none"/>
        </w:rPr>
        <w:t>1.9合同争议的解决</w:t>
      </w:r>
      <w:bookmarkEnd w:id="417"/>
      <w:bookmarkEnd w:id="418"/>
      <w:bookmarkEnd w:id="419"/>
    </w:p>
    <w:p>
      <w:pPr>
        <w:spacing w:line="560" w:lineRule="exact"/>
        <w:ind w:left="-61" w:leftChars="-29" w:right="-420" w:rightChars="-200" w:firstLine="240" w:firstLineChars="1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 xml:space="preserve">  本合同履行过程中发生的任何争议，双方当事人均可通过和解或者调解解决；不愿和解、调解或者和解、调解不成的，可以选择以下</w:t>
      </w:r>
      <w:r>
        <w:rPr>
          <w:rFonts w:hint="eastAsia" w:ascii="宋体" w:hAnsi="宋体" w:cs="宋体" w:eastAsiaTheme="minorEastAsia"/>
          <w:color w:val="auto"/>
          <w:sz w:val="24"/>
          <w:highlight w:val="none"/>
          <w:u w:val="single"/>
        </w:rPr>
        <w:t>第</w:t>
      </w:r>
      <w:r>
        <w:rPr>
          <w:rFonts w:hint="eastAsia" w:ascii="宋体" w:hAnsi="宋体" w:cs="宋体" w:eastAsiaTheme="minorEastAsia"/>
          <w:color w:val="auto"/>
          <w:sz w:val="24"/>
          <w:highlight w:val="none"/>
          <w:u w:val="single"/>
          <w:lang w:val="en-US" w:eastAsia="zh-CN"/>
        </w:rPr>
        <w:t xml:space="preserve">     </w:t>
      </w:r>
      <w:r>
        <w:rPr>
          <w:rFonts w:hint="eastAsia" w:ascii="宋体" w:hAnsi="宋体" w:cs="宋体" w:eastAsiaTheme="minorEastAsia"/>
          <w:color w:val="auto"/>
          <w:sz w:val="24"/>
          <w:highlight w:val="none"/>
          <w:u w:val="single"/>
        </w:rPr>
        <w:t>条</w:t>
      </w:r>
      <w:r>
        <w:rPr>
          <w:rFonts w:hint="eastAsia" w:ascii="宋体" w:hAnsi="宋体" w:cs="宋体" w:eastAsiaTheme="minorEastAsia"/>
          <w:color w:val="auto"/>
          <w:sz w:val="24"/>
          <w:highlight w:val="none"/>
        </w:rPr>
        <w:t>款规定的方式解决：</w:t>
      </w:r>
    </w:p>
    <w:p>
      <w:pPr>
        <w:spacing w:line="560" w:lineRule="exact"/>
        <w:ind w:left="-420" w:leftChars="-200" w:right="-420" w:rightChars="-200" w:firstLine="840" w:firstLineChars="35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1.9.1 将争议提交</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仲裁委员会依申请仲裁时其现行有效的仲裁规则裁决；</w:t>
      </w:r>
    </w:p>
    <w:p>
      <w:pPr>
        <w:spacing w:line="560" w:lineRule="exact"/>
        <w:ind w:left="-420" w:leftChars="-200" w:right="-420" w:rightChars="-200" w:firstLine="840" w:firstLineChars="35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1.9.2 向</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人民法院起诉。</w:t>
      </w:r>
    </w:p>
    <w:p>
      <w:pPr>
        <w:spacing w:line="560" w:lineRule="exact"/>
        <w:ind w:firstLine="482" w:firstLineChars="200"/>
        <w:outlineLvl w:val="0"/>
        <w:rPr>
          <w:rFonts w:ascii="宋体" w:hAnsi="宋体" w:cs="宋体" w:eastAsiaTheme="minorEastAsia"/>
          <w:b/>
          <w:color w:val="auto"/>
          <w:sz w:val="24"/>
          <w:highlight w:val="none"/>
        </w:rPr>
      </w:pPr>
      <w:bookmarkStart w:id="420" w:name="_Toc7245"/>
      <w:bookmarkStart w:id="421" w:name="_Toc15322"/>
      <w:bookmarkStart w:id="422" w:name="_Toc11173"/>
      <w:r>
        <w:rPr>
          <w:rFonts w:hint="eastAsia" w:ascii="宋体" w:hAnsi="宋体" w:cs="宋体" w:eastAsiaTheme="minorEastAsia"/>
          <w:b/>
          <w:color w:val="auto"/>
          <w:sz w:val="24"/>
          <w:highlight w:val="none"/>
        </w:rPr>
        <w:t>2.0 合同生效</w:t>
      </w:r>
      <w:bookmarkEnd w:id="420"/>
      <w:bookmarkEnd w:id="421"/>
      <w:bookmarkEnd w:id="422"/>
    </w:p>
    <w:p>
      <w:pPr>
        <w:spacing w:line="560" w:lineRule="exact"/>
        <w:ind w:firstLine="480" w:firstLineChars="200"/>
        <w:rPr>
          <w:rFonts w:ascii="宋体" w:hAnsi="宋体" w:cs="宋体" w:eastAsiaTheme="minorEastAsia"/>
          <w:b/>
          <w:color w:val="auto"/>
          <w:sz w:val="24"/>
          <w:highlight w:val="none"/>
        </w:rPr>
      </w:pPr>
      <w:r>
        <w:rPr>
          <w:rFonts w:hint="eastAsia" w:ascii="宋体" w:hAnsi="宋体" w:cs="宋体" w:eastAsiaTheme="minorEastAsia"/>
          <w:color w:val="auto"/>
          <w:sz w:val="24"/>
          <w:highlight w:val="none"/>
        </w:rPr>
        <w:t>本合同自双方当事人盖章签字时生效。</w:t>
      </w:r>
    </w:p>
    <w:p>
      <w:pPr>
        <w:autoSpaceDE w:val="0"/>
        <w:autoSpaceDN w:val="0"/>
        <w:spacing w:line="560" w:lineRule="exact"/>
        <w:rPr>
          <w:rFonts w:ascii="宋体" w:hAnsi="宋体" w:cs="宋体" w:eastAsiaTheme="minorEastAsia"/>
          <w:color w:val="auto"/>
          <w:sz w:val="24"/>
          <w:highlight w:val="none"/>
          <w:lang w:val="zh-CN"/>
        </w:rPr>
      </w:pPr>
    </w:p>
    <w:p>
      <w:pPr>
        <w:autoSpaceDE w:val="0"/>
        <w:autoSpaceDN w:val="0"/>
        <w:spacing w:line="560" w:lineRule="exact"/>
        <w:rPr>
          <w:rFonts w:ascii="宋体" w:hAnsi="宋体" w:cs="宋体" w:eastAsiaTheme="minorEastAsia"/>
          <w:color w:val="auto"/>
          <w:sz w:val="24"/>
          <w:highlight w:val="none"/>
          <w:lang w:val="zh-CN"/>
        </w:rPr>
      </w:pPr>
      <w:r>
        <w:rPr>
          <w:rFonts w:hint="eastAsia" w:ascii="宋体" w:hAnsi="宋体" w:cs="宋体" w:eastAsiaTheme="minorEastAsia"/>
          <w:b/>
          <w:color w:val="auto"/>
          <w:sz w:val="24"/>
          <w:highlight w:val="none"/>
          <w:lang w:val="zh-CN"/>
        </w:rPr>
        <w:t>甲方</w:t>
      </w:r>
      <w:r>
        <w:rPr>
          <w:rFonts w:hint="eastAsia" w:ascii="宋体" w:hAnsi="宋体" w:cs="宋体" w:eastAsiaTheme="minorEastAsia"/>
          <w:color w:val="auto"/>
          <w:sz w:val="24"/>
          <w:highlight w:val="none"/>
          <w:lang w:val="zh-CN"/>
        </w:rPr>
        <w:t xml:space="preserve">：                             </w:t>
      </w:r>
      <w:r>
        <w:rPr>
          <w:rFonts w:hint="eastAsia" w:ascii="宋体" w:hAnsi="宋体" w:cs="宋体" w:eastAsiaTheme="minorEastAsia"/>
          <w:b/>
          <w:color w:val="auto"/>
          <w:sz w:val="24"/>
          <w:highlight w:val="none"/>
          <w:lang w:val="zh-CN"/>
        </w:rPr>
        <w:t xml:space="preserve">      乙方</w:t>
      </w:r>
      <w:r>
        <w:rPr>
          <w:rFonts w:hint="eastAsia" w:ascii="宋体" w:hAnsi="宋体" w:cs="宋体" w:eastAsiaTheme="minorEastAsia"/>
          <w:color w:val="auto"/>
          <w:sz w:val="24"/>
          <w:highlight w:val="none"/>
          <w:lang w:val="zh-CN"/>
        </w:rPr>
        <w:t>：</w:t>
      </w:r>
    </w:p>
    <w:p>
      <w:pPr>
        <w:autoSpaceDE w:val="0"/>
        <w:autoSpaceDN w:val="0"/>
        <w:spacing w:line="560" w:lineRule="exact"/>
        <w:rPr>
          <w:rFonts w:ascii="宋体" w:hAnsi="宋体" w:cs="宋体" w:eastAsiaTheme="minorEastAsia"/>
          <w:color w:val="auto"/>
          <w:sz w:val="24"/>
          <w:highlight w:val="none"/>
          <w:lang w:val="zh-CN"/>
        </w:rPr>
      </w:pPr>
      <w:r>
        <w:rPr>
          <w:rFonts w:hint="eastAsia" w:ascii="宋体" w:hAnsi="宋体" w:cs="宋体" w:eastAsiaTheme="minorEastAsia"/>
          <w:color w:val="auto"/>
          <w:sz w:val="24"/>
          <w:highlight w:val="none"/>
          <w:lang w:val="zh-CN"/>
        </w:rPr>
        <w:t>统一社会信用代码：                        统一社会信用代码或身份证号码：</w:t>
      </w:r>
    </w:p>
    <w:p>
      <w:pPr>
        <w:autoSpaceDE w:val="0"/>
        <w:autoSpaceDN w:val="0"/>
        <w:spacing w:line="560" w:lineRule="exact"/>
        <w:rPr>
          <w:rFonts w:ascii="宋体" w:hAnsi="宋体" w:cs="宋体" w:eastAsiaTheme="minorEastAsia"/>
          <w:color w:val="auto"/>
          <w:sz w:val="24"/>
          <w:highlight w:val="none"/>
          <w:lang w:val="zh-CN"/>
        </w:rPr>
      </w:pPr>
      <w:r>
        <w:rPr>
          <w:rFonts w:hint="eastAsia" w:ascii="宋体" w:hAnsi="宋体" w:cs="宋体" w:eastAsiaTheme="minorEastAsia"/>
          <w:color w:val="auto"/>
          <w:sz w:val="24"/>
          <w:highlight w:val="none"/>
          <w:lang w:val="zh-CN"/>
        </w:rPr>
        <w:t>住所：                                   住所：</w:t>
      </w:r>
    </w:p>
    <w:p>
      <w:pPr>
        <w:autoSpaceDE w:val="0"/>
        <w:autoSpaceDN w:val="0"/>
        <w:spacing w:line="560" w:lineRule="exact"/>
        <w:rPr>
          <w:rFonts w:ascii="宋体" w:hAnsi="宋体" w:cs="宋体" w:eastAsiaTheme="minorEastAsia"/>
          <w:color w:val="auto"/>
          <w:sz w:val="24"/>
          <w:highlight w:val="none"/>
          <w:lang w:val="zh-CN"/>
        </w:rPr>
      </w:pPr>
      <w:r>
        <w:rPr>
          <w:rFonts w:hint="eastAsia" w:ascii="宋体" w:hAnsi="宋体" w:cs="宋体" w:eastAsiaTheme="minorEastAsia"/>
          <w:color w:val="auto"/>
          <w:sz w:val="24"/>
          <w:highlight w:val="none"/>
          <w:lang w:val="zh-CN"/>
        </w:rPr>
        <w:t>法定代表人或                             法定代表人</w:t>
      </w:r>
    </w:p>
    <w:p>
      <w:pPr>
        <w:autoSpaceDE w:val="0"/>
        <w:autoSpaceDN w:val="0"/>
        <w:spacing w:line="560" w:lineRule="exact"/>
        <w:rPr>
          <w:rFonts w:ascii="宋体" w:hAnsi="宋体" w:cs="宋体" w:eastAsiaTheme="minorEastAsia"/>
          <w:color w:val="auto"/>
          <w:sz w:val="24"/>
          <w:highlight w:val="none"/>
          <w:lang w:val="zh-CN"/>
        </w:rPr>
      </w:pPr>
      <w:r>
        <w:rPr>
          <w:rFonts w:hint="eastAsia" w:ascii="宋体" w:hAnsi="宋体" w:cs="宋体" w:eastAsiaTheme="minorEastAsia"/>
          <w:color w:val="auto"/>
          <w:sz w:val="24"/>
          <w:highlight w:val="none"/>
          <w:lang w:val="zh-CN"/>
        </w:rPr>
        <w:t xml:space="preserve">授权代表（签字）：                        或授权代表（签字）: </w:t>
      </w:r>
    </w:p>
    <w:p>
      <w:pPr>
        <w:autoSpaceDE w:val="0"/>
        <w:autoSpaceDN w:val="0"/>
        <w:spacing w:line="560" w:lineRule="exact"/>
        <w:rPr>
          <w:rFonts w:ascii="宋体" w:hAnsi="宋体" w:cs="宋体" w:eastAsiaTheme="minorEastAsia"/>
          <w:color w:val="auto"/>
          <w:sz w:val="24"/>
          <w:highlight w:val="none"/>
          <w:lang w:val="zh-CN"/>
        </w:rPr>
      </w:pPr>
      <w:r>
        <w:rPr>
          <w:rFonts w:hint="eastAsia" w:ascii="宋体" w:hAnsi="宋体" w:cs="宋体" w:eastAsiaTheme="minorEastAsia"/>
          <w:color w:val="auto"/>
          <w:sz w:val="24"/>
          <w:highlight w:val="none"/>
          <w:lang w:val="zh-CN"/>
        </w:rPr>
        <w:t>联系人：                                 联系人：</w:t>
      </w:r>
    </w:p>
    <w:p>
      <w:pPr>
        <w:autoSpaceDE w:val="0"/>
        <w:autoSpaceDN w:val="0"/>
        <w:spacing w:line="560" w:lineRule="exact"/>
        <w:rPr>
          <w:rFonts w:ascii="宋体" w:hAnsi="宋体" w:cs="宋体" w:eastAsiaTheme="minorEastAsia"/>
          <w:color w:val="auto"/>
          <w:sz w:val="24"/>
          <w:highlight w:val="none"/>
          <w:lang w:val="zh-CN"/>
        </w:rPr>
      </w:pPr>
      <w:r>
        <w:rPr>
          <w:rFonts w:hint="eastAsia" w:ascii="宋体" w:hAnsi="宋体" w:cs="宋体" w:eastAsiaTheme="minorEastAsia"/>
          <w:color w:val="auto"/>
          <w:sz w:val="24"/>
          <w:highlight w:val="none"/>
          <w:lang w:val="zh-CN"/>
        </w:rPr>
        <w:t>约定送达地址：                           约定送达地址：</w:t>
      </w:r>
    </w:p>
    <w:p>
      <w:pPr>
        <w:autoSpaceDE w:val="0"/>
        <w:autoSpaceDN w:val="0"/>
        <w:spacing w:line="560" w:lineRule="exact"/>
        <w:rPr>
          <w:rFonts w:ascii="宋体" w:hAnsi="宋体" w:cs="宋体" w:eastAsiaTheme="minorEastAsia"/>
          <w:color w:val="auto"/>
          <w:sz w:val="24"/>
          <w:highlight w:val="none"/>
          <w:lang w:val="zh-CN"/>
        </w:rPr>
      </w:pPr>
      <w:r>
        <w:rPr>
          <w:rFonts w:hint="eastAsia" w:ascii="宋体" w:hAnsi="宋体" w:cs="宋体" w:eastAsiaTheme="minorEastAsia"/>
          <w:color w:val="auto"/>
          <w:sz w:val="24"/>
          <w:highlight w:val="none"/>
          <w:lang w:val="zh-CN"/>
        </w:rPr>
        <w:t>邮政编码：                               邮政编码：</w:t>
      </w:r>
    </w:p>
    <w:p>
      <w:pPr>
        <w:autoSpaceDE w:val="0"/>
        <w:autoSpaceDN w:val="0"/>
        <w:spacing w:line="560" w:lineRule="exact"/>
        <w:rPr>
          <w:rFonts w:ascii="宋体" w:hAnsi="宋体" w:cs="宋体" w:eastAsiaTheme="minorEastAsia"/>
          <w:color w:val="auto"/>
          <w:sz w:val="24"/>
          <w:highlight w:val="none"/>
          <w:lang w:val="zh-CN"/>
        </w:rPr>
      </w:pPr>
      <w:r>
        <w:rPr>
          <w:rFonts w:hint="eastAsia" w:ascii="宋体" w:hAnsi="宋体" w:cs="宋体" w:eastAsiaTheme="minorEastAsia"/>
          <w:color w:val="auto"/>
          <w:sz w:val="24"/>
          <w:highlight w:val="none"/>
          <w:lang w:val="zh-CN"/>
        </w:rPr>
        <w:t xml:space="preserve">电话:                                    电话: </w:t>
      </w:r>
    </w:p>
    <w:p>
      <w:pPr>
        <w:autoSpaceDE w:val="0"/>
        <w:autoSpaceDN w:val="0"/>
        <w:spacing w:line="560" w:lineRule="exact"/>
        <w:rPr>
          <w:rFonts w:ascii="宋体" w:hAnsi="宋体" w:cs="宋体" w:eastAsiaTheme="minorEastAsia"/>
          <w:color w:val="auto"/>
          <w:sz w:val="24"/>
          <w:highlight w:val="none"/>
          <w:lang w:val="zh-CN"/>
        </w:rPr>
      </w:pPr>
      <w:r>
        <w:rPr>
          <w:rFonts w:hint="eastAsia" w:ascii="宋体" w:hAnsi="宋体" w:cs="宋体" w:eastAsiaTheme="minorEastAsia"/>
          <w:color w:val="auto"/>
          <w:sz w:val="24"/>
          <w:highlight w:val="none"/>
          <w:lang w:val="zh-CN"/>
        </w:rPr>
        <w:t>传真:                                    传真:</w:t>
      </w:r>
    </w:p>
    <w:p>
      <w:pPr>
        <w:autoSpaceDE w:val="0"/>
        <w:autoSpaceDN w:val="0"/>
        <w:spacing w:line="560" w:lineRule="exact"/>
        <w:rPr>
          <w:rFonts w:ascii="宋体" w:hAnsi="宋体" w:cs="宋体" w:eastAsiaTheme="minorEastAsia"/>
          <w:color w:val="auto"/>
          <w:sz w:val="24"/>
          <w:highlight w:val="none"/>
        </w:rPr>
      </w:pPr>
      <w:r>
        <w:rPr>
          <w:rFonts w:hint="eastAsia" w:ascii="宋体" w:hAnsi="宋体" w:cs="宋体" w:eastAsiaTheme="minorEastAsia"/>
          <w:color w:val="auto"/>
          <w:sz w:val="24"/>
          <w:highlight w:val="none"/>
          <w:lang w:val="zh-CN"/>
        </w:rPr>
        <w:t>电子邮箱：                               电子邮箱：</w:t>
      </w:r>
    </w:p>
    <w:p>
      <w:pPr>
        <w:autoSpaceDE w:val="0"/>
        <w:autoSpaceDN w:val="0"/>
        <w:spacing w:line="560" w:lineRule="exact"/>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 xml:space="preserve">开户银行：                               开户银行： </w:t>
      </w:r>
    </w:p>
    <w:p>
      <w:pPr>
        <w:autoSpaceDE w:val="0"/>
        <w:autoSpaceDN w:val="0"/>
        <w:spacing w:line="560" w:lineRule="exact"/>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 xml:space="preserve">开户名称：                               开户名称： </w:t>
      </w:r>
    </w:p>
    <w:p>
      <w:pPr>
        <w:autoSpaceDE w:val="0"/>
        <w:autoSpaceDN w:val="0"/>
        <w:spacing w:line="560" w:lineRule="exact"/>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开户账号：</w:t>
      </w:r>
      <w:r>
        <w:rPr>
          <w:rFonts w:hint="eastAsia" w:ascii="宋体" w:hAnsi="宋体" w:cs="宋体" w:eastAsiaTheme="minorEastAsia"/>
          <w:color w:val="auto"/>
          <w:sz w:val="24"/>
          <w:highlight w:val="none"/>
          <w:lang w:val="en-US" w:eastAsia="zh-CN"/>
        </w:rPr>
        <w:t xml:space="preserve">                               </w:t>
      </w:r>
      <w:r>
        <w:rPr>
          <w:rFonts w:hint="eastAsia" w:ascii="宋体" w:hAnsi="宋体" w:cs="宋体" w:eastAsiaTheme="minorEastAsia"/>
          <w:color w:val="auto"/>
          <w:sz w:val="24"/>
          <w:highlight w:val="none"/>
        </w:rPr>
        <w:t>开户账号：</w:t>
      </w:r>
    </w:p>
    <w:p>
      <w:pPr>
        <w:pStyle w:val="703"/>
        <w:spacing w:line="560" w:lineRule="exact"/>
        <w:ind w:left="0" w:leftChars="0" w:firstLine="0" w:firstLineChars="0"/>
        <w:jc w:val="center"/>
        <w:rPr>
          <w:rFonts w:ascii="宋体" w:hAnsi="宋体" w:cs="宋体" w:eastAsiaTheme="minorEastAsia"/>
          <w:b/>
          <w:color w:val="auto"/>
          <w:szCs w:val="24"/>
          <w:highlight w:val="none"/>
        </w:rPr>
      </w:pPr>
      <w:r>
        <w:rPr>
          <w:rFonts w:hint="eastAsia" w:ascii="宋体" w:hAnsi="宋体" w:cs="宋体" w:eastAsiaTheme="minorEastAsia"/>
          <w:b/>
          <w:color w:val="auto"/>
          <w:szCs w:val="24"/>
          <w:highlight w:val="none"/>
        </w:rPr>
        <w:t>第二部分 合同一般条款</w:t>
      </w:r>
    </w:p>
    <w:p>
      <w:pPr>
        <w:spacing w:line="560" w:lineRule="exact"/>
        <w:ind w:firstLine="482" w:firstLineChars="200"/>
        <w:outlineLvl w:val="0"/>
        <w:rPr>
          <w:rFonts w:ascii="宋体" w:hAnsi="宋体" w:cs="宋体" w:eastAsiaTheme="minorEastAsia"/>
          <w:b/>
          <w:color w:val="auto"/>
          <w:sz w:val="24"/>
          <w:highlight w:val="none"/>
        </w:rPr>
      </w:pPr>
      <w:bookmarkStart w:id="423" w:name="_Toc16917"/>
      <w:bookmarkStart w:id="424" w:name="_Ref467378463"/>
      <w:bookmarkStart w:id="425" w:name="_Ref467379214"/>
      <w:bookmarkStart w:id="426" w:name="_Ref467379205"/>
      <w:bookmarkStart w:id="427" w:name="_Ref467379225"/>
      <w:bookmarkStart w:id="428" w:name="_Toc487900349"/>
      <w:bookmarkStart w:id="429" w:name="_Ref467379094"/>
      <w:bookmarkStart w:id="430" w:name="_Ref467379109"/>
      <w:bookmarkStart w:id="431" w:name="_Toc279701240"/>
      <w:bookmarkStart w:id="432" w:name="_Toc259093669"/>
      <w:bookmarkStart w:id="433" w:name="_Ref467379195"/>
      <w:bookmarkStart w:id="434" w:name="_Ref467379101"/>
      <w:bookmarkStart w:id="435" w:name="_Toc28763"/>
      <w:bookmarkStart w:id="436" w:name="_Toc19614"/>
      <w:bookmarkStart w:id="437" w:name="_Ref467378404"/>
      <w:bookmarkStart w:id="438" w:name="_Ref467378499"/>
      <w:r>
        <w:rPr>
          <w:rFonts w:hint="eastAsia" w:ascii="宋体" w:hAnsi="宋体" w:cs="宋体" w:eastAsiaTheme="minorEastAsia"/>
          <w:b/>
          <w:color w:val="auto"/>
          <w:sz w:val="24"/>
          <w:highlight w:val="none"/>
        </w:rPr>
        <w:t>2.1 定义</w:t>
      </w:r>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本合同中的下列词语应按以下内容进行解释：</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2.1.1 “合同”系指采购人和中标或成交供应商签订的载明双方当事人所达成的协议，并包括所有的附件、附录和构成合同的其他文件。</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2.1.2 “合同价”系指根据合同约定，中标或成交供应商在完全履行合同义务后，采购人应支付给中标或成交供应商的价格。</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2.1.3 “货物”系指中标或成交供应商根据合同约定应向采购人交付的一切各种形态和种类的物品，包括原材料、燃料、设备、机械、仪表、备件、计算机软件、产品等，并包括工具、手册等其他相关资料。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宋体" w:hAnsi="宋体" w:cs="宋体" w:eastAsiaTheme="minorEastAsia"/>
          <w:color w:val="auto"/>
          <w:sz w:val="24"/>
          <w:highlight w:val="none"/>
        </w:rPr>
      </w:pPr>
      <w:bookmarkStart w:id="439" w:name="_Ref467378840"/>
      <w:r>
        <w:rPr>
          <w:rFonts w:hint="eastAsia" w:ascii="宋体" w:hAnsi="宋体" w:cs="宋体" w:eastAsiaTheme="minorEastAsia"/>
          <w:color w:val="auto"/>
          <w:sz w:val="24"/>
          <w:highlight w:val="none"/>
        </w:rPr>
        <w:t>2.1.4 “甲方”系指与中标或成交供应商签署合同的采购人</w:t>
      </w:r>
      <w:bookmarkEnd w:id="439"/>
      <w:r>
        <w:rPr>
          <w:rFonts w:hint="eastAsia" w:ascii="宋体" w:hAnsi="宋体" w:cs="宋体" w:eastAsiaTheme="minorEastAsia"/>
          <w:color w:val="auto"/>
          <w:sz w:val="24"/>
          <w:highlight w:val="none"/>
        </w:rPr>
        <w:t>；采购人委托采购代理机构代表其与乙方签订合同的，采购人的授权委托书作为合同附件。</w:t>
      </w:r>
    </w:p>
    <w:p>
      <w:pPr>
        <w:spacing w:line="560" w:lineRule="exact"/>
        <w:ind w:firstLine="480" w:firstLineChars="200"/>
        <w:rPr>
          <w:rFonts w:ascii="宋体" w:hAnsi="宋体" w:cs="宋体" w:eastAsiaTheme="minorEastAsia"/>
          <w:color w:val="auto"/>
          <w:sz w:val="24"/>
          <w:highlight w:val="none"/>
        </w:rPr>
      </w:pPr>
      <w:bookmarkStart w:id="440" w:name="_Ref467379400"/>
      <w:r>
        <w:rPr>
          <w:rFonts w:hint="eastAsia" w:ascii="宋体" w:hAnsi="宋体" w:cs="宋体" w:eastAsiaTheme="minorEastAsia"/>
          <w:color w:val="auto"/>
          <w:sz w:val="24"/>
          <w:highlight w:val="none"/>
        </w:rPr>
        <w:t>2.1.5 “乙方”系指根据合同约定交付货物的中标或成交供应商</w:t>
      </w:r>
      <w:bookmarkEnd w:id="440"/>
      <w:r>
        <w:rPr>
          <w:rFonts w:hint="eastAsia" w:ascii="宋体" w:hAnsi="宋体" w:cs="宋体" w:eastAsiaTheme="minorEastAsia"/>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eastAsiaTheme="minorEastAsia"/>
          <w:color w:val="auto"/>
          <w:sz w:val="24"/>
          <w:highlight w:val="none"/>
        </w:rPr>
      </w:pPr>
      <w:bookmarkStart w:id="441" w:name="_Ref467379436"/>
      <w:r>
        <w:rPr>
          <w:rFonts w:hint="eastAsia" w:ascii="宋体" w:hAnsi="宋体" w:cs="宋体" w:eastAsiaTheme="minorEastAsia"/>
          <w:color w:val="auto"/>
          <w:sz w:val="24"/>
          <w:highlight w:val="none"/>
        </w:rPr>
        <w:t>2.1.6 “现场”系指合同约定货物将要运至或者安装的地点。</w:t>
      </w:r>
      <w:bookmarkEnd w:id="441"/>
    </w:p>
    <w:p>
      <w:pPr>
        <w:spacing w:line="560" w:lineRule="exact"/>
        <w:ind w:firstLine="482" w:firstLineChars="200"/>
        <w:outlineLvl w:val="0"/>
        <w:rPr>
          <w:rFonts w:ascii="宋体" w:hAnsi="宋体" w:cs="宋体" w:eastAsiaTheme="minorEastAsia"/>
          <w:b/>
          <w:color w:val="auto"/>
          <w:sz w:val="24"/>
          <w:highlight w:val="none"/>
        </w:rPr>
      </w:pPr>
      <w:bookmarkStart w:id="442" w:name="_Toc279701241"/>
      <w:bookmarkStart w:id="443" w:name="_Toc32504"/>
      <w:bookmarkStart w:id="444" w:name="_Toc259093670"/>
      <w:bookmarkStart w:id="445" w:name="_Toc13336"/>
      <w:bookmarkStart w:id="446" w:name="_Toc487900350"/>
      <w:bookmarkStart w:id="447" w:name="_Toc27635"/>
      <w:r>
        <w:rPr>
          <w:rFonts w:hint="eastAsia" w:ascii="宋体" w:hAnsi="宋体" w:cs="宋体" w:eastAsiaTheme="minorEastAsia"/>
          <w:b/>
          <w:color w:val="auto"/>
          <w:sz w:val="24"/>
          <w:highlight w:val="none"/>
        </w:rPr>
        <w:t>2.2 技术规范</w:t>
      </w:r>
      <w:bookmarkEnd w:id="442"/>
      <w:bookmarkEnd w:id="443"/>
      <w:bookmarkEnd w:id="444"/>
      <w:bookmarkEnd w:id="445"/>
      <w:bookmarkEnd w:id="446"/>
      <w:bookmarkEnd w:id="447"/>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eastAsiaTheme="minorEastAsia"/>
          <w:b/>
          <w:color w:val="auto"/>
          <w:sz w:val="24"/>
          <w:highlight w:val="none"/>
        </w:rPr>
      </w:pPr>
      <w:bookmarkStart w:id="448" w:name="_Toc27853"/>
      <w:bookmarkStart w:id="449" w:name="_Toc9829"/>
      <w:bookmarkStart w:id="450" w:name="_Toc31634"/>
      <w:bookmarkStart w:id="451" w:name="_Toc259093671"/>
      <w:bookmarkStart w:id="452" w:name="_Toc279701242"/>
      <w:bookmarkStart w:id="453" w:name="_Toc487900351"/>
      <w:r>
        <w:rPr>
          <w:rFonts w:hint="eastAsia" w:ascii="宋体" w:hAnsi="宋体" w:cs="宋体" w:eastAsiaTheme="minorEastAsia"/>
          <w:b/>
          <w:color w:val="auto"/>
          <w:sz w:val="24"/>
          <w:highlight w:val="none"/>
        </w:rPr>
        <w:t>2.3 知识产权</w:t>
      </w:r>
      <w:bookmarkEnd w:id="448"/>
      <w:bookmarkEnd w:id="449"/>
      <w:bookmarkEnd w:id="450"/>
      <w:bookmarkEnd w:id="451"/>
      <w:bookmarkEnd w:id="452"/>
      <w:bookmarkEnd w:id="453"/>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eastAsiaTheme="minorEastAsia"/>
          <w:color w:val="auto"/>
          <w:sz w:val="24"/>
          <w:highlight w:val="none"/>
        </w:rPr>
        <w:t>乙方还应及时澄清相关信息，使甲方声誉免受损害，甲方保留追责的权利。</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2.3.2具有知识产权的计算机软件等货物的知识产权归属，详见</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w:t>
      </w:r>
    </w:p>
    <w:p>
      <w:pPr>
        <w:spacing w:line="560" w:lineRule="exact"/>
        <w:ind w:firstLine="482" w:firstLineChars="200"/>
        <w:outlineLvl w:val="0"/>
        <w:rPr>
          <w:rFonts w:ascii="宋体" w:hAnsi="宋体" w:cs="宋体" w:eastAsiaTheme="minorEastAsia"/>
          <w:b/>
          <w:color w:val="auto"/>
          <w:sz w:val="24"/>
          <w:highlight w:val="none"/>
        </w:rPr>
      </w:pPr>
      <w:bookmarkStart w:id="454" w:name="_Toc11932"/>
      <w:bookmarkStart w:id="455" w:name="_Toc29149"/>
      <w:bookmarkStart w:id="456" w:name="_Toc4194"/>
      <w:r>
        <w:rPr>
          <w:rFonts w:hint="eastAsia" w:ascii="宋体" w:hAnsi="宋体" w:cs="宋体" w:eastAsiaTheme="minorEastAsia"/>
          <w:b/>
          <w:color w:val="auto"/>
          <w:sz w:val="24"/>
          <w:highlight w:val="none"/>
        </w:rPr>
        <w:t>2.4 包装和装运</w:t>
      </w:r>
      <w:bookmarkEnd w:id="454"/>
      <w:bookmarkEnd w:id="455"/>
      <w:bookmarkEnd w:id="456"/>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2.4.1除</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2.4.3 装运货物的要求和通知，详见</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w:t>
      </w:r>
    </w:p>
    <w:p>
      <w:pPr>
        <w:spacing w:line="560" w:lineRule="exact"/>
        <w:ind w:firstLine="482" w:firstLineChars="200"/>
        <w:outlineLvl w:val="0"/>
        <w:rPr>
          <w:rFonts w:ascii="宋体" w:hAnsi="宋体" w:cs="宋体" w:eastAsiaTheme="minorEastAsia"/>
          <w:b/>
          <w:color w:val="auto"/>
          <w:sz w:val="24"/>
          <w:highlight w:val="none"/>
        </w:rPr>
      </w:pPr>
      <w:bookmarkStart w:id="457" w:name="_Ref467378541"/>
      <w:bookmarkStart w:id="458" w:name="_Ref467379536"/>
      <w:bookmarkStart w:id="459" w:name="_Ref467379527"/>
      <w:bookmarkStart w:id="460" w:name="_Toc487900354"/>
      <w:bookmarkStart w:id="461" w:name="_Toc279701245"/>
      <w:bookmarkStart w:id="462" w:name="_Toc259093674"/>
      <w:bookmarkStart w:id="463" w:name="_Ref467379542"/>
      <w:bookmarkStart w:id="464" w:name="_Ref467378591"/>
      <w:bookmarkStart w:id="465" w:name="_Toc19074"/>
      <w:bookmarkStart w:id="466" w:name="_Toc26182"/>
      <w:bookmarkStart w:id="467" w:name="_Toc30272"/>
      <w:r>
        <w:rPr>
          <w:rFonts w:hint="eastAsia" w:ascii="宋体" w:hAnsi="宋体" w:cs="宋体" w:eastAsiaTheme="minorEastAsia"/>
          <w:b/>
          <w:color w:val="auto"/>
          <w:sz w:val="24"/>
          <w:highlight w:val="none"/>
        </w:rPr>
        <w:t>2.</w:t>
      </w:r>
      <w:bookmarkEnd w:id="457"/>
      <w:bookmarkEnd w:id="458"/>
      <w:bookmarkEnd w:id="459"/>
      <w:bookmarkEnd w:id="460"/>
      <w:bookmarkEnd w:id="461"/>
      <w:bookmarkEnd w:id="462"/>
      <w:bookmarkEnd w:id="463"/>
      <w:bookmarkEnd w:id="464"/>
      <w:r>
        <w:rPr>
          <w:rFonts w:hint="eastAsia" w:ascii="宋体" w:hAnsi="宋体" w:cs="宋体" w:eastAsiaTheme="minorEastAsia"/>
          <w:b/>
          <w:color w:val="auto"/>
          <w:sz w:val="24"/>
          <w:highlight w:val="none"/>
        </w:rPr>
        <w:t>5 履约检查和问题反馈</w:t>
      </w:r>
      <w:bookmarkEnd w:id="465"/>
      <w:bookmarkEnd w:id="466"/>
      <w:bookmarkEnd w:id="467"/>
    </w:p>
    <w:p>
      <w:pPr>
        <w:spacing w:line="560" w:lineRule="exact"/>
        <w:ind w:firstLine="480" w:firstLineChars="200"/>
        <w:rPr>
          <w:rFonts w:ascii="宋体" w:hAnsi="宋体" w:cs="宋体" w:eastAsiaTheme="minorEastAsia"/>
          <w:color w:val="auto"/>
          <w:sz w:val="24"/>
          <w:highlight w:val="none"/>
        </w:rPr>
      </w:pPr>
      <w:bookmarkStart w:id="468" w:name="_Ref467379657"/>
      <w:r>
        <w:rPr>
          <w:rFonts w:hint="eastAsia" w:ascii="宋体" w:hAnsi="宋体" w:cs="宋体" w:eastAsiaTheme="minorEastAsia"/>
          <w:color w:val="auto"/>
          <w:sz w:val="24"/>
          <w:highlight w:val="none"/>
        </w:rPr>
        <w:t>2.5.1</w:t>
      </w:r>
      <w:bookmarkEnd w:id="468"/>
      <w:bookmarkStart w:id="469" w:name="_Toc186431854"/>
      <w:bookmarkStart w:id="470" w:name="_Ref467379807"/>
      <w:bookmarkStart w:id="471" w:name="_Toc259093676"/>
      <w:bookmarkStart w:id="472" w:name="_Toc487900357"/>
      <w:bookmarkStart w:id="473" w:name="_Ref467379793"/>
      <w:bookmarkStart w:id="474" w:name="_Toc279701247"/>
      <w:r>
        <w:rPr>
          <w:rFonts w:hint="eastAsia" w:ascii="宋体" w:hAnsi="宋体" w:cs="宋体" w:eastAsiaTheme="minorEastAsia"/>
          <w:color w:val="auto"/>
          <w:sz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2.5.2 合同履行期间，甲方有权将履行过程中出现的问题反馈给乙方，双方当事人应以书面形式约定需要完善和改进的内容</w:t>
      </w:r>
      <w:bookmarkEnd w:id="469"/>
      <w:bookmarkStart w:id="475" w:name="_Toc186431855"/>
      <w:r>
        <w:rPr>
          <w:rFonts w:hint="eastAsia" w:ascii="宋体" w:hAnsi="宋体" w:cs="宋体" w:eastAsiaTheme="minorEastAsia"/>
          <w:color w:val="auto"/>
          <w:sz w:val="24"/>
          <w:highlight w:val="none"/>
        </w:rPr>
        <w:t>。</w:t>
      </w:r>
    </w:p>
    <w:bookmarkEnd w:id="470"/>
    <w:bookmarkEnd w:id="471"/>
    <w:bookmarkEnd w:id="472"/>
    <w:bookmarkEnd w:id="473"/>
    <w:bookmarkEnd w:id="474"/>
    <w:bookmarkEnd w:id="475"/>
    <w:p>
      <w:pPr>
        <w:spacing w:line="560" w:lineRule="exact"/>
        <w:ind w:firstLine="482" w:firstLineChars="200"/>
        <w:outlineLvl w:val="0"/>
        <w:rPr>
          <w:rFonts w:ascii="宋体" w:hAnsi="宋体" w:cs="宋体" w:eastAsiaTheme="minorEastAsia"/>
          <w:b/>
          <w:color w:val="auto"/>
          <w:sz w:val="24"/>
          <w:highlight w:val="none"/>
        </w:rPr>
      </w:pPr>
      <w:bookmarkStart w:id="476" w:name="_Toc279701248"/>
      <w:bookmarkStart w:id="477" w:name="_Ref467379923"/>
      <w:bookmarkStart w:id="478" w:name="_Toc259093677"/>
      <w:bookmarkStart w:id="479" w:name="_Ref467379852"/>
      <w:bookmarkStart w:id="480" w:name="_Ref467379863"/>
      <w:bookmarkStart w:id="481" w:name="_Toc487900358"/>
      <w:bookmarkStart w:id="482" w:name="_Toc774"/>
      <w:bookmarkStart w:id="483" w:name="_Toc3225"/>
      <w:bookmarkStart w:id="484" w:name="_Toc16110"/>
      <w:r>
        <w:rPr>
          <w:rFonts w:hint="eastAsia" w:ascii="宋体" w:hAnsi="宋体" w:cs="宋体" w:eastAsiaTheme="minorEastAsia"/>
          <w:b/>
          <w:color w:val="auto"/>
          <w:sz w:val="24"/>
          <w:highlight w:val="none"/>
        </w:rPr>
        <w:t>2.6 技术资料</w:t>
      </w:r>
      <w:bookmarkEnd w:id="476"/>
      <w:bookmarkEnd w:id="477"/>
      <w:bookmarkEnd w:id="478"/>
      <w:bookmarkEnd w:id="479"/>
      <w:bookmarkEnd w:id="480"/>
      <w:bookmarkEnd w:id="481"/>
      <w:r>
        <w:rPr>
          <w:rFonts w:hint="eastAsia" w:ascii="宋体" w:hAnsi="宋体" w:cs="宋体" w:eastAsiaTheme="minorEastAsia"/>
          <w:b/>
          <w:color w:val="auto"/>
          <w:sz w:val="24"/>
          <w:highlight w:val="none"/>
        </w:rPr>
        <w:t>和保密义务</w:t>
      </w:r>
      <w:bookmarkEnd w:id="482"/>
      <w:bookmarkEnd w:id="483"/>
      <w:bookmarkEnd w:id="484"/>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2.6.1 乙方有权依据合同约定和项目需要，向甲方了解有关情况，调阅有关资料等，甲方应予积极配合；</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2.6.2 乙方有义务妥善保管和保护由甲方提供的前款信息和资料等；</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eastAsiaTheme="minorEastAsia"/>
          <w:b/>
          <w:color w:val="auto"/>
          <w:sz w:val="24"/>
          <w:highlight w:val="none"/>
        </w:rPr>
      </w:pPr>
      <w:bookmarkStart w:id="485" w:name="_Toc7860"/>
      <w:r>
        <w:rPr>
          <w:rFonts w:hint="eastAsia" w:ascii="宋体" w:hAnsi="宋体" w:cs="宋体" w:eastAsiaTheme="minorEastAsia"/>
          <w:b/>
          <w:color w:val="auto"/>
          <w:sz w:val="24"/>
          <w:highlight w:val="none"/>
        </w:rPr>
        <w:t>2.7 质量保证</w:t>
      </w:r>
      <w:bookmarkEnd w:id="485"/>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eastAsiaTheme="minorEastAsia"/>
          <w:b/>
          <w:color w:val="auto"/>
          <w:sz w:val="24"/>
          <w:highlight w:val="none"/>
        </w:rPr>
      </w:pPr>
      <w:bookmarkStart w:id="486" w:name="_Toc17244"/>
      <w:bookmarkStart w:id="487" w:name="_Toc259093681"/>
      <w:bookmarkStart w:id="488" w:name="_Toc279701252"/>
      <w:bookmarkStart w:id="489" w:name="_Toc487900362"/>
      <w:r>
        <w:rPr>
          <w:rFonts w:hint="eastAsia" w:ascii="宋体" w:hAnsi="宋体" w:cs="宋体" w:eastAsiaTheme="minorEastAsia"/>
          <w:b/>
          <w:color w:val="auto"/>
          <w:sz w:val="24"/>
          <w:highlight w:val="none"/>
        </w:rPr>
        <w:t>2.8 货物的风险负担</w:t>
      </w:r>
      <w:bookmarkEnd w:id="486"/>
    </w:p>
    <w:p>
      <w:pPr>
        <w:spacing w:line="560" w:lineRule="exact"/>
        <w:ind w:firstLine="480" w:firstLineChars="200"/>
        <w:rPr>
          <w:rFonts w:ascii="宋体" w:hAnsi="宋体" w:cs="宋体" w:eastAsiaTheme="minorEastAsia"/>
          <w:b/>
          <w:color w:val="auto"/>
          <w:sz w:val="24"/>
          <w:highlight w:val="none"/>
        </w:rPr>
      </w:pPr>
      <w:r>
        <w:rPr>
          <w:rFonts w:hint="eastAsia" w:ascii="宋体" w:hAnsi="宋体" w:cs="宋体" w:eastAsiaTheme="minorEastAsia"/>
          <w:color w:val="auto"/>
          <w:sz w:val="24"/>
          <w:highlight w:val="none"/>
        </w:rPr>
        <w:t>货物或者在途货物或者交付给第一承运人后的货物毁损、灭失的风险负担详见</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w:t>
      </w:r>
    </w:p>
    <w:p>
      <w:pPr>
        <w:spacing w:line="560" w:lineRule="exact"/>
        <w:ind w:firstLine="482" w:firstLineChars="200"/>
        <w:outlineLvl w:val="0"/>
        <w:rPr>
          <w:rFonts w:ascii="宋体" w:hAnsi="宋体" w:cs="宋体" w:eastAsiaTheme="minorEastAsia"/>
          <w:b/>
          <w:color w:val="auto"/>
          <w:sz w:val="24"/>
          <w:highlight w:val="none"/>
        </w:rPr>
      </w:pPr>
      <w:bookmarkStart w:id="490" w:name="_Toc14055"/>
      <w:r>
        <w:rPr>
          <w:rFonts w:hint="eastAsia" w:ascii="宋体" w:hAnsi="宋体" w:cs="宋体" w:eastAsiaTheme="minorEastAsia"/>
          <w:b/>
          <w:color w:val="auto"/>
          <w:sz w:val="24"/>
          <w:highlight w:val="none"/>
        </w:rPr>
        <w:t>2.9 延迟交货</w:t>
      </w:r>
      <w:bookmarkEnd w:id="487"/>
      <w:bookmarkEnd w:id="488"/>
      <w:bookmarkEnd w:id="489"/>
      <w:bookmarkEnd w:id="490"/>
    </w:p>
    <w:p>
      <w:pPr>
        <w:spacing w:line="560" w:lineRule="exact"/>
        <w:ind w:firstLine="480" w:firstLineChars="200"/>
        <w:rPr>
          <w:rFonts w:ascii="宋体" w:hAnsi="宋体" w:cs="宋体" w:eastAsiaTheme="minorEastAsia"/>
          <w:color w:val="auto"/>
          <w:sz w:val="24"/>
          <w:highlight w:val="none"/>
        </w:rPr>
      </w:pPr>
      <w:r>
        <w:rPr>
          <w:rFonts w:hint="eastAsia" w:ascii="宋体" w:hAnsi="宋体" w:eastAsiaTheme="minorEastAsia"/>
          <w:color w:val="auto"/>
          <w:sz w:val="24"/>
          <w:highlight w:val="none"/>
        </w:rPr>
        <w:t>甲乙双方签订合同后，乙方应按照合同约定履行合同义务，除不可抗力外，乙方不得延迟交货。</w:t>
      </w:r>
      <w:r>
        <w:rPr>
          <w:rFonts w:hint="eastAsia" w:ascii="宋体" w:hAnsi="宋体" w:cs="宋体" w:eastAsiaTheme="minorEastAsia"/>
          <w:color w:val="auto"/>
          <w:sz w:val="24"/>
          <w:highlight w:val="none"/>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宋体" w:hAnsi="宋体" w:cs="宋体" w:eastAsiaTheme="minorEastAsia"/>
          <w:b/>
          <w:color w:val="auto"/>
          <w:sz w:val="24"/>
          <w:highlight w:val="none"/>
        </w:rPr>
      </w:pPr>
      <w:bookmarkStart w:id="491" w:name="_Toc7502"/>
      <w:bookmarkStart w:id="492" w:name="_Toc279701254"/>
      <w:bookmarkStart w:id="493" w:name="_Toc259093683"/>
      <w:bookmarkStart w:id="494" w:name="_Toc487900364"/>
      <w:bookmarkStart w:id="495" w:name="_Ref467378121"/>
      <w:r>
        <w:rPr>
          <w:rFonts w:hint="eastAsia" w:ascii="宋体" w:hAnsi="宋体" w:cs="宋体" w:eastAsiaTheme="minorEastAsia"/>
          <w:b/>
          <w:color w:val="auto"/>
          <w:sz w:val="24"/>
          <w:highlight w:val="none"/>
        </w:rPr>
        <w:t>2.10 合同变更</w:t>
      </w:r>
      <w:bookmarkEnd w:id="491"/>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合同继续履行将损害国家利益和社会公共利益的，双方当事人应当以书面形式变更合同。有过错的一方应当承担赔偿责任，双方当事人都有过错的，各自承担相应的责任。</w:t>
      </w:r>
      <w:bookmarkStart w:id="496" w:name="_Toc279701259"/>
      <w:bookmarkStart w:id="497" w:name="_Toc487900369"/>
      <w:bookmarkStart w:id="498" w:name="_Toc259093688"/>
    </w:p>
    <w:p>
      <w:pPr>
        <w:spacing w:line="560" w:lineRule="exact"/>
        <w:ind w:firstLine="482" w:firstLineChars="200"/>
        <w:outlineLvl w:val="0"/>
        <w:rPr>
          <w:rFonts w:ascii="宋体" w:hAnsi="宋体" w:cs="宋体" w:eastAsiaTheme="minorEastAsia"/>
          <w:b/>
          <w:color w:val="auto"/>
          <w:sz w:val="24"/>
          <w:highlight w:val="none"/>
        </w:rPr>
      </w:pPr>
      <w:bookmarkStart w:id="499" w:name="_Toc22955"/>
      <w:bookmarkStart w:id="500" w:name="_Toc10366"/>
      <w:bookmarkStart w:id="501" w:name="_Toc15237"/>
      <w:r>
        <w:rPr>
          <w:rFonts w:hint="eastAsia" w:ascii="宋体" w:hAnsi="宋体" w:cs="宋体" w:eastAsiaTheme="minorEastAsia"/>
          <w:b/>
          <w:color w:val="auto"/>
          <w:sz w:val="24"/>
          <w:highlight w:val="none"/>
        </w:rPr>
        <w:t>2.11 合同转让</w:t>
      </w:r>
      <w:bookmarkEnd w:id="496"/>
      <w:bookmarkEnd w:id="497"/>
      <w:bookmarkEnd w:id="498"/>
      <w:r>
        <w:rPr>
          <w:rFonts w:hint="eastAsia" w:ascii="宋体" w:hAnsi="宋体" w:cs="宋体" w:eastAsiaTheme="minorEastAsia"/>
          <w:b/>
          <w:color w:val="auto"/>
          <w:sz w:val="24"/>
          <w:highlight w:val="none"/>
        </w:rPr>
        <w:t>和分包</w:t>
      </w:r>
      <w:bookmarkEnd w:id="499"/>
      <w:bookmarkEnd w:id="500"/>
      <w:bookmarkEnd w:id="501"/>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2.11.2乙方采取分包方式履行合同的，甲方可直接向分包供应商支付款项。</w:t>
      </w:r>
    </w:p>
    <w:p>
      <w:pPr>
        <w:spacing w:line="560" w:lineRule="exact"/>
        <w:ind w:firstLine="482" w:firstLineChars="200"/>
        <w:outlineLvl w:val="0"/>
        <w:rPr>
          <w:rFonts w:ascii="宋体" w:hAnsi="宋体" w:cs="宋体" w:eastAsiaTheme="minorEastAsia"/>
          <w:b/>
          <w:color w:val="auto"/>
          <w:sz w:val="24"/>
          <w:highlight w:val="none"/>
        </w:rPr>
      </w:pPr>
      <w:bookmarkStart w:id="502" w:name="_Toc14066"/>
      <w:bookmarkStart w:id="503" w:name="_Toc16508"/>
      <w:bookmarkStart w:id="504" w:name="_Toc13566"/>
      <w:r>
        <w:rPr>
          <w:rFonts w:hint="eastAsia" w:ascii="宋体" w:hAnsi="宋体" w:cs="宋体" w:eastAsiaTheme="minorEastAsia"/>
          <w:b/>
          <w:color w:val="auto"/>
          <w:sz w:val="24"/>
          <w:highlight w:val="none"/>
        </w:rPr>
        <w:t>2.12 不可抗力</w:t>
      </w:r>
      <w:bookmarkEnd w:id="502"/>
      <w:bookmarkEnd w:id="503"/>
      <w:bookmarkEnd w:id="504"/>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2.12.2 因不可抗力致使不能实现合同目的的，当事人可以解除合同；</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2.12.3 因不可抗力致使合同有变更必要的，双方当事人应在</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约定时间内以书面形式变更合同；</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2.12.4受不可抗力影响的一方在不可抗力发生后，应在</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约定时间内以书面形式通知对方当事人，并在</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约定时间内，将有关部门出具的证明文件送达对方当事人。</w:t>
      </w:r>
    </w:p>
    <w:p>
      <w:pPr>
        <w:spacing w:line="560" w:lineRule="exact"/>
        <w:ind w:firstLine="482" w:firstLineChars="200"/>
        <w:outlineLvl w:val="0"/>
        <w:rPr>
          <w:rFonts w:ascii="宋体" w:hAnsi="宋体" w:cs="宋体" w:eastAsiaTheme="minorEastAsia"/>
          <w:b/>
          <w:color w:val="auto"/>
          <w:sz w:val="24"/>
          <w:highlight w:val="none"/>
        </w:rPr>
      </w:pPr>
      <w:bookmarkStart w:id="505" w:name="_Toc259093684"/>
      <w:bookmarkStart w:id="506" w:name="_Toc279701255"/>
      <w:bookmarkStart w:id="507" w:name="_Toc30676"/>
      <w:bookmarkStart w:id="508" w:name="_Toc487900365"/>
      <w:bookmarkStart w:id="509" w:name="_Toc689"/>
      <w:bookmarkStart w:id="510" w:name="_Toc6969"/>
      <w:r>
        <w:rPr>
          <w:rFonts w:hint="eastAsia" w:ascii="宋体" w:hAnsi="宋体" w:cs="宋体" w:eastAsiaTheme="minorEastAsia"/>
          <w:b/>
          <w:color w:val="auto"/>
          <w:sz w:val="24"/>
          <w:highlight w:val="none"/>
        </w:rPr>
        <w:t>2.13 税费</w:t>
      </w:r>
      <w:bookmarkEnd w:id="505"/>
      <w:bookmarkEnd w:id="506"/>
      <w:bookmarkEnd w:id="507"/>
      <w:bookmarkEnd w:id="508"/>
      <w:bookmarkEnd w:id="509"/>
      <w:bookmarkEnd w:id="510"/>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与合同有关的一切税费，均按照中华人民共和国法律的相关规定。</w:t>
      </w:r>
    </w:p>
    <w:p>
      <w:pPr>
        <w:spacing w:line="560" w:lineRule="exact"/>
        <w:ind w:firstLine="482" w:firstLineChars="200"/>
        <w:outlineLvl w:val="0"/>
        <w:rPr>
          <w:rFonts w:ascii="宋体" w:hAnsi="宋体" w:cs="宋体" w:eastAsiaTheme="minorEastAsia"/>
          <w:b/>
          <w:color w:val="auto"/>
          <w:sz w:val="24"/>
          <w:highlight w:val="none"/>
        </w:rPr>
      </w:pPr>
      <w:bookmarkStart w:id="511" w:name="_Toc16959"/>
      <w:bookmarkStart w:id="512" w:name="_Toc7102"/>
      <w:bookmarkStart w:id="513" w:name="_Toc487900368"/>
      <w:bookmarkStart w:id="514" w:name="_Toc8298"/>
      <w:bookmarkStart w:id="515" w:name="_Toc279701258"/>
      <w:bookmarkStart w:id="516" w:name="_Toc259093687"/>
      <w:r>
        <w:rPr>
          <w:rFonts w:hint="eastAsia" w:ascii="宋体" w:hAnsi="宋体" w:cs="宋体" w:eastAsiaTheme="minorEastAsia"/>
          <w:b/>
          <w:color w:val="auto"/>
          <w:sz w:val="24"/>
          <w:highlight w:val="none"/>
        </w:rPr>
        <w:t>2.14乙方破产</w:t>
      </w:r>
      <w:bookmarkEnd w:id="511"/>
      <w:bookmarkEnd w:id="512"/>
      <w:bookmarkEnd w:id="513"/>
      <w:bookmarkEnd w:id="514"/>
      <w:bookmarkEnd w:id="515"/>
      <w:bookmarkEnd w:id="516"/>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eastAsiaTheme="minorEastAsia"/>
          <w:b/>
          <w:color w:val="auto"/>
          <w:sz w:val="24"/>
          <w:highlight w:val="none"/>
        </w:rPr>
      </w:pPr>
      <w:bookmarkStart w:id="517" w:name="_Toc29333"/>
      <w:bookmarkStart w:id="518" w:name="_Toc6134"/>
      <w:bookmarkStart w:id="519" w:name="_Toc15387"/>
      <w:r>
        <w:rPr>
          <w:rFonts w:hint="eastAsia" w:ascii="宋体" w:hAnsi="宋体" w:cs="宋体" w:eastAsiaTheme="minorEastAsia"/>
          <w:b/>
          <w:color w:val="auto"/>
          <w:sz w:val="24"/>
          <w:highlight w:val="none"/>
        </w:rPr>
        <w:t>2.15 合同中止、终止</w:t>
      </w:r>
      <w:bookmarkEnd w:id="517"/>
      <w:bookmarkEnd w:id="518"/>
      <w:bookmarkEnd w:id="519"/>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2.15.1 双方当事人不得擅自中止或者终止合同；</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eastAsiaTheme="minorEastAsia"/>
          <w:b/>
          <w:color w:val="auto"/>
          <w:sz w:val="24"/>
          <w:highlight w:val="none"/>
        </w:rPr>
      </w:pPr>
      <w:bookmarkStart w:id="520" w:name="_Toc6596"/>
      <w:bookmarkStart w:id="521" w:name="_Toc1125"/>
      <w:bookmarkStart w:id="522" w:name="_Toc14563"/>
      <w:r>
        <w:rPr>
          <w:rFonts w:hint="eastAsia" w:ascii="宋体" w:hAnsi="宋体" w:cs="宋体" w:eastAsiaTheme="minorEastAsia"/>
          <w:b/>
          <w:color w:val="auto"/>
          <w:sz w:val="24"/>
          <w:highlight w:val="none"/>
        </w:rPr>
        <w:t>2.16检验和验收</w:t>
      </w:r>
      <w:bookmarkEnd w:id="520"/>
      <w:bookmarkEnd w:id="521"/>
      <w:bookmarkEnd w:id="522"/>
    </w:p>
    <w:p>
      <w:pPr>
        <w:tabs>
          <w:tab w:val="left" w:pos="360"/>
          <w:tab w:val="left" w:pos="540"/>
          <w:tab w:val="left" w:pos="1080"/>
        </w:tabs>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2.16.1货物交付前，乙方应对货物的质量、数量等方面进行详细、全面的检验，并向甲方出具证明货物符合合同约定的文件；货物交付时，甲方在</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约定时间内组织验收，并可依法邀请相关方参加，验收应出具验收书。</w:t>
      </w:r>
    </w:p>
    <w:p>
      <w:pPr>
        <w:tabs>
          <w:tab w:val="left" w:pos="360"/>
          <w:tab w:val="left" w:pos="540"/>
          <w:tab w:val="left" w:pos="1080"/>
        </w:tabs>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2.16.3 检验和验收标准、程序等具体内容以及前述验收书的效力详见</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i/>
          <w:color w:val="auto"/>
          <w:sz w:val="24"/>
          <w:highlight w:val="none"/>
        </w:rPr>
        <w:t>。</w:t>
      </w:r>
    </w:p>
    <w:bookmarkEnd w:id="492"/>
    <w:bookmarkEnd w:id="493"/>
    <w:bookmarkEnd w:id="494"/>
    <w:bookmarkEnd w:id="495"/>
    <w:p>
      <w:pPr>
        <w:spacing w:line="560" w:lineRule="exact"/>
        <w:ind w:firstLine="482" w:firstLineChars="200"/>
        <w:outlineLvl w:val="0"/>
        <w:rPr>
          <w:rFonts w:ascii="宋体" w:hAnsi="宋体" w:cs="宋体" w:eastAsiaTheme="minorEastAsia"/>
          <w:b/>
          <w:color w:val="auto"/>
          <w:sz w:val="24"/>
          <w:highlight w:val="none"/>
        </w:rPr>
      </w:pPr>
      <w:bookmarkStart w:id="523" w:name="_Toc487900371"/>
      <w:bookmarkStart w:id="524" w:name="_Toc259093690"/>
      <w:bookmarkStart w:id="525" w:name="_Toc279701261"/>
      <w:bookmarkStart w:id="526" w:name="_Toc19604"/>
      <w:bookmarkStart w:id="527" w:name="_Toc11284"/>
      <w:bookmarkStart w:id="528" w:name="_Toc25182"/>
      <w:r>
        <w:rPr>
          <w:rFonts w:hint="eastAsia" w:ascii="宋体" w:hAnsi="宋体" w:cs="宋体" w:eastAsiaTheme="minorEastAsia"/>
          <w:b/>
          <w:color w:val="auto"/>
          <w:sz w:val="24"/>
          <w:highlight w:val="none"/>
        </w:rPr>
        <w:t>2.17 通知</w:t>
      </w:r>
      <w:bookmarkEnd w:id="523"/>
      <w:bookmarkEnd w:id="524"/>
      <w:bookmarkEnd w:id="525"/>
      <w:r>
        <w:rPr>
          <w:rFonts w:hint="eastAsia" w:ascii="宋体" w:hAnsi="宋体" w:cs="宋体" w:eastAsiaTheme="minorEastAsia"/>
          <w:b/>
          <w:color w:val="auto"/>
          <w:sz w:val="24"/>
          <w:highlight w:val="none"/>
        </w:rPr>
        <w:t>和送达</w:t>
      </w:r>
      <w:bookmarkEnd w:id="526"/>
      <w:bookmarkEnd w:id="527"/>
      <w:bookmarkEnd w:id="528"/>
    </w:p>
    <w:p>
      <w:pPr>
        <w:spacing w:line="560" w:lineRule="exact"/>
        <w:ind w:firstLine="480" w:firstLineChars="200"/>
        <w:rPr>
          <w:rFonts w:ascii="宋体" w:hAnsi="宋体" w:cs="宋体" w:eastAsiaTheme="minorEastAsia"/>
          <w:color w:val="auto"/>
          <w:sz w:val="24"/>
          <w:highlight w:val="none"/>
        </w:rPr>
      </w:pPr>
      <w:bookmarkStart w:id="529" w:name="_Toc6698"/>
      <w:bookmarkStart w:id="530" w:name="_Toc3135"/>
      <w:bookmarkStart w:id="531" w:name="_Toc259093691"/>
      <w:bookmarkStart w:id="532" w:name="_Toc487900372"/>
      <w:bookmarkStart w:id="533" w:name="_Toc279701262"/>
      <w:r>
        <w:rPr>
          <w:rFonts w:hint="eastAsia" w:ascii="宋体" w:hAnsi="宋体" w:cs="宋体" w:eastAsiaTheme="minorEastAsia"/>
          <w:color w:val="auto"/>
          <w:sz w:val="24"/>
          <w:highlight w:val="none"/>
        </w:rPr>
        <w:t>2.17.1任何一方因履行合同而以合同第一部分尾部所列明的传真或电子邮件 发出的所有通知、文件、材料，均视为已向对方当事人送达；任何一方变更上述送达方式或者地址的，应于</w:t>
      </w:r>
      <w:r>
        <w:rPr>
          <w:rFonts w:hint="eastAsia" w:ascii="宋体" w:hAnsi="宋体" w:cs="宋体" w:eastAsiaTheme="minorEastAsia"/>
          <w:color w:val="auto"/>
          <w:sz w:val="24"/>
          <w:highlight w:val="none"/>
          <w:u w:val="single"/>
        </w:rPr>
        <w:t>3</w:t>
      </w:r>
      <w:r>
        <w:rPr>
          <w:rFonts w:hint="eastAsia" w:ascii="宋体" w:hAnsi="宋体" w:cs="宋体" w:eastAsiaTheme="minorEastAsia"/>
          <w:color w:val="auto"/>
          <w:sz w:val="24"/>
          <w:highlight w:val="none"/>
        </w:rPr>
        <w:t>个工作日内书面通知对方当事人，在对方当事人收到有关变更通知之前，变更前的约定送达方式或者地址仍视为有效。</w:t>
      </w:r>
      <w:bookmarkEnd w:id="529"/>
      <w:bookmarkEnd w:id="530"/>
    </w:p>
    <w:p>
      <w:pPr>
        <w:spacing w:line="560" w:lineRule="exact"/>
        <w:ind w:firstLine="480" w:firstLineChars="200"/>
        <w:rPr>
          <w:rFonts w:ascii="宋体" w:hAnsi="宋体" w:cs="宋体" w:eastAsiaTheme="minorEastAsia"/>
          <w:color w:val="auto"/>
          <w:sz w:val="24"/>
          <w:highlight w:val="none"/>
        </w:rPr>
      </w:pPr>
      <w:bookmarkStart w:id="534" w:name="_Toc23128"/>
      <w:bookmarkStart w:id="535" w:name="_Toc23294"/>
      <w:r>
        <w:rPr>
          <w:rFonts w:hint="eastAsia" w:ascii="宋体" w:hAnsi="宋体" w:cs="宋体" w:eastAsiaTheme="minorEastAsia"/>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4"/>
      <w:bookmarkEnd w:id="535"/>
    </w:p>
    <w:p>
      <w:pPr>
        <w:spacing w:line="560" w:lineRule="exact"/>
        <w:ind w:firstLine="482" w:firstLineChars="200"/>
        <w:outlineLvl w:val="0"/>
        <w:rPr>
          <w:rFonts w:ascii="宋体" w:hAnsi="宋体" w:cs="宋体" w:eastAsiaTheme="minorEastAsia"/>
          <w:b/>
          <w:color w:val="auto"/>
          <w:sz w:val="24"/>
          <w:highlight w:val="none"/>
        </w:rPr>
      </w:pPr>
      <w:bookmarkStart w:id="536" w:name="_Toc30599"/>
      <w:bookmarkStart w:id="537" w:name="_Toc4355"/>
      <w:bookmarkStart w:id="538" w:name="_Toc18540"/>
      <w:r>
        <w:rPr>
          <w:rFonts w:hint="eastAsia" w:ascii="宋体" w:hAnsi="宋体" w:cs="宋体" w:eastAsiaTheme="minorEastAsia"/>
          <w:b/>
          <w:color w:val="auto"/>
          <w:sz w:val="24"/>
          <w:highlight w:val="none"/>
        </w:rPr>
        <w:t>2.18 计量单位</w:t>
      </w:r>
      <w:bookmarkEnd w:id="531"/>
      <w:bookmarkEnd w:id="532"/>
      <w:bookmarkEnd w:id="533"/>
      <w:bookmarkEnd w:id="536"/>
      <w:bookmarkEnd w:id="537"/>
      <w:bookmarkEnd w:id="538"/>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除技术规范中另有规定外,合同的计量单位均使用国家法定计量单位。</w:t>
      </w:r>
    </w:p>
    <w:p>
      <w:pPr>
        <w:spacing w:line="560" w:lineRule="exact"/>
        <w:ind w:firstLine="482" w:firstLineChars="200"/>
        <w:outlineLvl w:val="0"/>
        <w:rPr>
          <w:rFonts w:ascii="宋体" w:hAnsi="宋体" w:cs="宋体" w:eastAsiaTheme="minorEastAsia"/>
          <w:b/>
          <w:color w:val="auto"/>
          <w:sz w:val="24"/>
          <w:highlight w:val="none"/>
        </w:rPr>
      </w:pPr>
      <w:bookmarkStart w:id="539" w:name="_Toc259093692"/>
      <w:bookmarkStart w:id="540" w:name="_Toc487900373"/>
      <w:bookmarkStart w:id="541" w:name="_Toc12773"/>
      <w:bookmarkStart w:id="542" w:name="_Toc10330"/>
      <w:bookmarkStart w:id="543" w:name="_Toc18567"/>
      <w:bookmarkStart w:id="544" w:name="_Toc279701263"/>
      <w:r>
        <w:rPr>
          <w:rFonts w:hint="eastAsia" w:ascii="宋体" w:hAnsi="宋体" w:cs="宋体" w:eastAsiaTheme="minorEastAsia"/>
          <w:b/>
          <w:color w:val="auto"/>
          <w:sz w:val="24"/>
          <w:highlight w:val="none"/>
        </w:rPr>
        <w:t>2.19 合同使用的文字和适用的法律</w:t>
      </w:r>
      <w:bookmarkEnd w:id="539"/>
      <w:bookmarkEnd w:id="540"/>
      <w:bookmarkEnd w:id="541"/>
      <w:bookmarkEnd w:id="542"/>
      <w:bookmarkEnd w:id="543"/>
      <w:bookmarkEnd w:id="544"/>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2.19.1 合同使用汉语书就、变更和解释；</w:t>
      </w:r>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2.19.2 合同适用中华人民共和国法律。</w:t>
      </w:r>
    </w:p>
    <w:p>
      <w:pPr>
        <w:spacing w:line="560" w:lineRule="exact"/>
        <w:ind w:firstLine="482" w:firstLineChars="200"/>
        <w:outlineLvl w:val="0"/>
        <w:rPr>
          <w:rFonts w:ascii="宋体" w:hAnsi="宋体" w:cs="宋体" w:eastAsiaTheme="minorEastAsia"/>
          <w:b/>
          <w:color w:val="auto"/>
          <w:sz w:val="24"/>
          <w:highlight w:val="none"/>
        </w:rPr>
      </w:pPr>
      <w:bookmarkStart w:id="545" w:name="_Toc6885"/>
      <w:bookmarkStart w:id="546" w:name="_Toc19890"/>
      <w:bookmarkStart w:id="547" w:name="_Toc14001"/>
      <w:r>
        <w:rPr>
          <w:rFonts w:hint="eastAsia" w:ascii="宋体" w:hAnsi="宋体" w:cs="宋体" w:eastAsiaTheme="minorEastAsia"/>
          <w:b/>
          <w:color w:val="auto"/>
          <w:sz w:val="24"/>
          <w:highlight w:val="none"/>
        </w:rPr>
        <w:t>2.20 合同份数</w:t>
      </w:r>
      <w:bookmarkEnd w:id="545"/>
      <w:bookmarkEnd w:id="546"/>
      <w:bookmarkEnd w:id="547"/>
    </w:p>
    <w:p>
      <w:pPr>
        <w:spacing w:line="560" w:lineRule="exact"/>
        <w:ind w:firstLine="480" w:firstLineChars="200"/>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合同份数按</w:t>
      </w:r>
      <w:r>
        <w:rPr>
          <w:rFonts w:hint="eastAsia" w:ascii="宋体" w:hAnsi="宋体" w:cs="宋体" w:eastAsiaTheme="minorEastAsia"/>
          <w:b/>
          <w:i/>
          <w:color w:val="auto"/>
          <w:sz w:val="24"/>
          <w:highlight w:val="none"/>
          <w:u w:val="single"/>
        </w:rPr>
        <w:t>合同专用条款</w:t>
      </w:r>
      <w:r>
        <w:rPr>
          <w:rFonts w:hint="eastAsia" w:ascii="宋体" w:hAnsi="宋体" w:cs="宋体" w:eastAsiaTheme="minorEastAsia"/>
          <w:color w:val="auto"/>
          <w:sz w:val="24"/>
          <w:highlight w:val="none"/>
        </w:rPr>
        <w:t>规定，每份均具有同等法律效力。</w:t>
      </w:r>
    </w:p>
    <w:p>
      <w:pPr>
        <w:adjustRightInd/>
        <w:spacing w:line="360" w:lineRule="auto"/>
        <w:ind w:firstLine="2513" w:firstLineChars="1197"/>
        <w:outlineLvl w:val="0"/>
        <w:rPr>
          <w:rFonts w:ascii="宋体" w:hAnsi="宋体" w:cs="宋体" w:eastAsiaTheme="minorEastAsia"/>
          <w:b/>
          <w:color w:val="auto"/>
          <w:highlight w:val="none"/>
        </w:rPr>
      </w:pPr>
      <w:r>
        <w:rPr>
          <w:rFonts w:hint="eastAsia" w:ascii="宋体" w:hAnsi="宋体" w:cs="宋体" w:eastAsiaTheme="minorEastAsia"/>
          <w:color w:val="auto"/>
          <w:kern w:val="0"/>
          <w:highlight w:val="none"/>
        </w:rPr>
        <w:br w:type="page"/>
      </w:r>
      <w:r>
        <w:rPr>
          <w:rFonts w:hint="eastAsia" w:ascii="宋体" w:hAnsi="宋体" w:cs="宋体" w:eastAsiaTheme="minorEastAsia"/>
          <w:b/>
          <w:color w:val="auto"/>
          <w:sz w:val="32"/>
          <w:szCs w:val="20"/>
          <w:highlight w:val="none"/>
        </w:rPr>
        <w:t xml:space="preserve"> 第三部分  合同专用条款</w:t>
      </w:r>
    </w:p>
    <w:p>
      <w:pPr>
        <w:spacing w:line="560" w:lineRule="exact"/>
        <w:ind w:right="-2" w:firstLine="480" w:firstLineChars="200"/>
        <w:rPr>
          <w:rFonts w:ascii="宋体" w:hAnsi="宋体" w:cs="宋体" w:eastAsiaTheme="minorEastAsia"/>
          <w:color w:val="auto"/>
          <w:highlight w:val="none"/>
        </w:rPr>
      </w:pPr>
      <w:r>
        <w:rPr>
          <w:rFonts w:hint="eastAsia" w:ascii="宋体" w:hAnsi="宋体" w:cs="宋体" w:eastAsiaTheme="minorEastAsia"/>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5"/>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534" w:type="pct"/>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1.4.2</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履约保证金：</w:t>
            </w:r>
            <w:r>
              <w:rPr>
                <w:rFonts w:hint="eastAsia" w:ascii="宋体" w:hAnsi="宋体" w:cs="宋体"/>
                <w:color w:val="auto"/>
                <w:sz w:val="24"/>
                <w:highlight w:val="none"/>
                <w:lang w:val="en-US" w:eastAsia="zh-CN"/>
              </w:rPr>
              <w:t>本项目收取履约保证金为合同金额1%。需要收取保证金的供应商在正式合同签订生效之日起7个工作日内，缴纳保证金至甲方指定账户（可采用银行、保险公司出具保函形式提交）。在验收合格后经回访正常后凭正式收款收据、履约保证金缴款凭证复印件办理结算手续</w:t>
            </w:r>
            <w:r>
              <w:rPr>
                <w:rFonts w:hint="eastAsia" w:ascii="宋体" w:hAnsi="宋体" w:cs="宋体"/>
                <w:color w:val="auto"/>
                <w:sz w:val="24"/>
                <w:highlight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1.5.1</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lang w:eastAsia="zh-CN"/>
              </w:rPr>
              <w:t>合同签订生效以及具备实施条件后</w:t>
            </w:r>
            <w:r>
              <w:rPr>
                <w:rFonts w:hint="eastAsia" w:ascii="宋体" w:hAnsi="宋体" w:cs="宋体"/>
                <w:color w:val="auto"/>
                <w:sz w:val="24"/>
                <w:highlight w:val="none"/>
                <w:lang w:val="en-US" w:eastAsia="zh-CN"/>
              </w:rPr>
              <w:t>7个工作日内由采购人向供应商支付合同总价50%的预付款；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 xml:space="preserve">1.5.2 </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1.5.3</w:t>
            </w:r>
          </w:p>
        </w:tc>
        <w:tc>
          <w:tcPr>
            <w:tcW w:w="4534" w:type="pct"/>
            <w:vAlign w:val="center"/>
          </w:tcPr>
          <w:p>
            <w:pPr>
              <w:rPr>
                <w:rFonts w:hint="eastAsia" w:ascii="宋体" w:hAnsi="宋体" w:eastAsia="宋体" w:cs="宋体"/>
                <w:color w:val="auto"/>
                <w:sz w:val="24"/>
                <w:highlight w:val="none"/>
                <w:lang w:eastAsia="zh-CN"/>
              </w:rPr>
            </w:pPr>
            <w:r>
              <w:rPr>
                <w:rFonts w:hint="eastAsia" w:ascii="宋体" w:hAnsi="宋体" w:cs="宋体"/>
                <w:color w:val="auto"/>
                <w:sz w:val="24"/>
                <w:highlight w:val="none"/>
              </w:rPr>
              <w:t>预付款的担保措施</w:t>
            </w:r>
            <w:r>
              <w:rPr>
                <w:rFonts w:hint="eastAsia" w:ascii="宋体" w:hAnsi="宋体" w:cs="宋体"/>
                <w:color w:val="auto"/>
                <w:sz w:val="24"/>
                <w:highlight w:val="none"/>
                <w:lang w:eastAsia="zh-CN"/>
              </w:rPr>
              <w:t>：</w:t>
            </w:r>
            <w:r>
              <w:rPr>
                <w:rFonts w:hint="eastAsia" w:ascii="宋体" w:hAnsi="宋体" w:cs="宋体"/>
                <w:color w:val="auto"/>
                <w:sz w:val="24"/>
                <w:highlight w:val="none"/>
              </w:rPr>
              <w:t>供应商需提供相应金额的预付款保函至采购单位</w:t>
            </w:r>
            <w:r>
              <w:rPr>
                <w:rFonts w:hint="eastAsia" w:ascii="宋体" w:hAnsi="宋体" w:cs="宋体"/>
                <w:color w:val="auto"/>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1.6.2</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甲方根据合同、投标文件等资料进行验收。</w:t>
            </w:r>
          </w:p>
          <w:p>
            <w:pPr>
              <w:rPr>
                <w:rFonts w:ascii="宋体" w:hAnsi="宋体" w:cs="宋体"/>
                <w:color w:val="auto"/>
                <w:sz w:val="24"/>
                <w:highlight w:val="none"/>
              </w:rPr>
            </w:pPr>
            <w:r>
              <w:rPr>
                <w:rFonts w:hint="eastAsia" w:ascii="宋体" w:hAnsi="宋体" w:cs="宋体"/>
                <w:color w:val="auto"/>
                <w:sz w:val="24"/>
                <w:highlight w:val="none"/>
              </w:rPr>
              <w:t>合同签订生效以及具备实施条件后7个工作日内由采购人向供应商支付合同总价50%的预付款；在规定时间内项目安装调试经采购人验收通过后并收到发票后5个工作日内支付剩余合同价的50%。结算时乙方将结款申请1份、发票原件及复印件1份、合同复印件1份和经方验收确认的《建德市政府采购验收反馈表》（还需提供验收报告）提交甲方，甲方应自收到发票后5个工作日内支付相应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1.7.1</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交付期限：自政府采购合同签订生效后收到采购人通知之</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天</w:t>
            </w:r>
            <w:r>
              <w:rPr>
                <w:rFonts w:hint="eastAsia" w:ascii="宋体" w:hAnsi="宋体" w:cs="宋体"/>
                <w:color w:val="auto"/>
                <w:sz w:val="24"/>
                <w:highlight w:val="none"/>
              </w:rPr>
              <w:t>内完成安装调试并验收通过。如在规定的时间内由于乙方的原因不能完成交货的，乙方应承担由此给甲方造成的损失。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1.7.2</w:t>
            </w:r>
          </w:p>
        </w:tc>
        <w:tc>
          <w:tcPr>
            <w:tcW w:w="4534" w:type="pct"/>
            <w:vAlign w:val="center"/>
          </w:tcPr>
          <w:p>
            <w:pPr>
              <w:rPr>
                <w:rFonts w:hint="eastAsia" w:ascii="宋体" w:hAnsi="宋体" w:eastAsia="宋体" w:cs="宋体"/>
                <w:color w:val="auto"/>
                <w:sz w:val="24"/>
                <w:highlight w:val="none"/>
                <w:lang w:eastAsia="zh-CN"/>
              </w:rPr>
            </w:pPr>
            <w:r>
              <w:rPr>
                <w:rFonts w:hint="eastAsia" w:ascii="宋体" w:hAnsi="宋体" w:cs="宋体"/>
                <w:color w:val="auto"/>
                <w:sz w:val="24"/>
                <w:highlight w:val="none"/>
              </w:rPr>
              <w:t>交付地点</w:t>
            </w:r>
            <w:r>
              <w:rPr>
                <w:rFonts w:hint="eastAsia" w:ascii="宋体" w:hAnsi="宋体" w:cs="宋体"/>
                <w:color w:val="auto"/>
                <w:sz w:val="24"/>
                <w:highlight w:val="none"/>
                <w:lang w:eastAsia="zh-CN"/>
              </w:rPr>
              <w:t>：</w:t>
            </w:r>
            <w:r>
              <w:rPr>
                <w:rFonts w:hint="eastAsia" w:ascii="宋体" w:hAnsi="宋体" w:cs="宋体"/>
                <w:color w:val="auto"/>
                <w:sz w:val="24"/>
                <w:highlight w:val="none"/>
              </w:rPr>
              <w:t>由甲方指定</w:t>
            </w:r>
            <w:r>
              <w:rPr>
                <w:rFonts w:hint="eastAsia" w:ascii="宋体" w:hAnsi="宋体" w:cs="宋体"/>
                <w:color w:val="auto"/>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1.7.3</w:t>
            </w:r>
          </w:p>
        </w:tc>
        <w:tc>
          <w:tcPr>
            <w:tcW w:w="4534" w:type="pct"/>
            <w:vAlign w:val="center"/>
          </w:tcPr>
          <w:p>
            <w:pPr>
              <w:rPr>
                <w:rFonts w:hint="eastAsia" w:ascii="宋体" w:hAnsi="宋体" w:eastAsia="宋体" w:cs="宋体"/>
                <w:color w:val="auto"/>
                <w:sz w:val="24"/>
                <w:highlight w:val="none"/>
                <w:lang w:eastAsia="zh-CN"/>
              </w:rPr>
            </w:pPr>
            <w:r>
              <w:rPr>
                <w:rFonts w:hint="eastAsia" w:ascii="宋体" w:hAnsi="宋体" w:cs="宋体"/>
                <w:color w:val="auto"/>
                <w:sz w:val="24"/>
                <w:highlight w:val="none"/>
              </w:rPr>
              <w:t>交付方式：中标供应商免费提供中标设备的安装服务</w:t>
            </w:r>
            <w:r>
              <w:rPr>
                <w:rFonts w:hint="eastAsia" w:ascii="宋体" w:hAnsi="宋体" w:cs="宋体"/>
                <w:color w:val="auto"/>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1.8.6</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违约责任：由于乙方原因(除不可抗力外)不能按期交付合同标的，对超出交付期的每一天，供应商应按合同总价款的万分之五承担违约金，在合同款支付时一次性扣除。若超出交付期十天(含十天)以上的，甲方有权终止合同，履约保证金不予退还。</w:t>
            </w:r>
          </w:p>
          <w:p>
            <w:pPr>
              <w:ind w:firstLine="480" w:firstLineChars="200"/>
              <w:rPr>
                <w:rFonts w:ascii="宋体" w:hAnsi="宋体" w:cs="宋体"/>
                <w:color w:val="auto"/>
                <w:sz w:val="24"/>
                <w:highlight w:val="none"/>
              </w:rPr>
            </w:pPr>
            <w:r>
              <w:rPr>
                <w:rFonts w:hint="eastAsia" w:ascii="宋体" w:hAnsi="宋体" w:cs="宋体"/>
                <w:color w:val="auto"/>
                <w:sz w:val="24"/>
                <w:highlight w:val="none"/>
              </w:rPr>
              <w:t>乙方按合同要求将货物送达甲方后，经验收合格后，甲方超出付款期支付项目款的，每逾一天，甲方应向乙方支付合同金额的万分之五的滞纳金。如遇特殊情况甲方要求推迟供货或验收的，必须事先征得乙方的同意，否则应承担由此给乙方造成的损失。</w:t>
            </w:r>
          </w:p>
          <w:p>
            <w:pPr>
              <w:ind w:firstLine="480" w:firstLineChars="200"/>
              <w:rPr>
                <w:rFonts w:ascii="宋体" w:hAnsi="宋体" w:cs="宋体"/>
                <w:color w:val="auto"/>
                <w:sz w:val="24"/>
                <w:highlight w:val="none"/>
              </w:rPr>
            </w:pPr>
            <w:r>
              <w:rPr>
                <w:rFonts w:hint="eastAsia" w:ascii="宋体" w:hAnsi="宋体" w:cs="宋体"/>
                <w:color w:val="auto"/>
                <w:sz w:val="24"/>
                <w:highlight w:val="none"/>
              </w:rPr>
              <w:t>由于乙方原因导致甲方有重大损失的，责任由乙方承担，并依法追究其经济责任和法律责任。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hint="eastAsia" w:ascii="宋体" w:hAnsi="宋体" w:cs="宋体"/>
                <w:color w:val="auto"/>
                <w:sz w:val="24"/>
                <w:highlight w:val="none"/>
              </w:rPr>
            </w:pPr>
            <w:r>
              <w:rPr>
                <w:rFonts w:hint="eastAsia" w:ascii="宋体" w:hAnsi="宋体" w:cs="宋体"/>
                <w:color w:val="auto"/>
                <w:sz w:val="24"/>
                <w:highlight w:val="none"/>
              </w:rPr>
              <w:t>1.9</w:t>
            </w:r>
          </w:p>
        </w:tc>
        <w:tc>
          <w:tcPr>
            <w:tcW w:w="4534" w:type="pct"/>
            <w:vAlign w:val="center"/>
          </w:tcPr>
          <w:p>
            <w:pPr>
              <w:rPr>
                <w:rFonts w:hint="eastAsia" w:ascii="宋体" w:hAnsi="宋体" w:cs="宋体"/>
                <w:color w:val="auto"/>
                <w:sz w:val="24"/>
                <w:highlight w:val="none"/>
              </w:rPr>
            </w:pPr>
            <w:r>
              <w:rPr>
                <w:rFonts w:hint="eastAsia" w:ascii="宋体" w:hAnsi="宋体" w:cs="宋体"/>
                <w:color w:val="auto"/>
                <w:sz w:val="24"/>
                <w:highlight w:val="none"/>
              </w:rPr>
              <w:t>本合同履行过程中发生的任何争议，双方当事人均可通过和解或者调解解决；不愿和解、调解或者和解、调解不成的，可以选择以下第</w:t>
            </w:r>
            <w:r>
              <w:rPr>
                <w:rFonts w:hint="eastAsia" w:ascii="宋体" w:hAnsi="宋体" w:cs="宋体"/>
                <w:color w:val="auto"/>
                <w:sz w:val="24"/>
                <w:highlight w:val="none"/>
                <w:u w:val="single"/>
              </w:rPr>
              <w:t xml:space="preserve"> 1.9.2 </w:t>
            </w:r>
            <w:r>
              <w:rPr>
                <w:rFonts w:hint="eastAsia" w:ascii="宋体" w:hAnsi="宋体" w:cs="宋体"/>
                <w:color w:val="auto"/>
                <w:sz w:val="24"/>
                <w:highlight w:val="none"/>
              </w:rPr>
              <w:t>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hint="eastAsia" w:ascii="宋体" w:hAnsi="宋体" w:cs="宋体"/>
                <w:color w:val="auto"/>
                <w:sz w:val="24"/>
                <w:highlight w:val="none"/>
              </w:rPr>
            </w:pPr>
            <w:r>
              <w:rPr>
                <w:rFonts w:hint="eastAsia" w:ascii="宋体" w:hAnsi="宋体" w:cs="宋体"/>
                <w:color w:val="auto"/>
                <w:sz w:val="24"/>
                <w:highlight w:val="none"/>
              </w:rPr>
              <w:t>1.9.1</w:t>
            </w:r>
          </w:p>
        </w:tc>
        <w:tc>
          <w:tcPr>
            <w:tcW w:w="4534" w:type="pct"/>
            <w:vAlign w:val="center"/>
          </w:tcPr>
          <w:p>
            <w:pPr>
              <w:rPr>
                <w:rFonts w:hint="eastAsia" w:ascii="宋体" w:hAnsi="宋体" w:cs="宋体"/>
                <w:color w:val="auto"/>
                <w:sz w:val="24"/>
                <w:highlight w:val="none"/>
              </w:rPr>
            </w:pPr>
            <w:r>
              <w:rPr>
                <w:rFonts w:hint="eastAsia" w:ascii="宋体" w:hAnsi="宋体" w:cs="宋体"/>
                <w:color w:val="auto"/>
                <w:sz w:val="24"/>
                <w:highlight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1.9.2</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向</w:t>
            </w:r>
            <w:r>
              <w:rPr>
                <w:rFonts w:hint="eastAsia" w:ascii="宋体" w:hAnsi="宋体" w:cs="宋体"/>
                <w:b/>
                <w:bCs/>
                <w:color w:val="auto"/>
                <w:sz w:val="24"/>
                <w:highlight w:val="none"/>
              </w:rPr>
              <w:t>建德市人民法院</w:t>
            </w:r>
            <w:r>
              <w:rPr>
                <w:rFonts w:hint="eastAsia" w:ascii="宋体" w:hAnsi="宋体" w:cs="宋体"/>
                <w:color w:val="auto"/>
                <w:sz w:val="24"/>
                <w:highlight w:val="none"/>
              </w:rPr>
              <w:t>提出诉讼。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07"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2.3.2</w:t>
            </w:r>
          </w:p>
        </w:tc>
        <w:tc>
          <w:tcPr>
            <w:tcW w:w="4534" w:type="pct"/>
            <w:vAlign w:val="center"/>
          </w:tcPr>
          <w:p>
            <w:pPr>
              <w:ind w:left="-420" w:leftChars="-200" w:right="-420" w:righ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具有知识产权的计算机软件等货物的知识产权归属：</w:t>
            </w:r>
            <w:r>
              <w:rPr>
                <w:rFonts w:hint="eastAsia" w:ascii="宋体" w:hAnsi="宋体" w:cs="宋体"/>
                <w:b/>
                <w:bCs/>
                <w:color w:val="auto"/>
                <w:sz w:val="24"/>
                <w:highlight w:val="none"/>
              </w:rPr>
              <w:t>甲方。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2.4.1</w:t>
            </w:r>
          </w:p>
        </w:tc>
        <w:tc>
          <w:tcPr>
            <w:tcW w:w="4534" w:type="pct"/>
            <w:vAlign w:val="center"/>
          </w:tcPr>
          <w:p>
            <w:pPr>
              <w:ind w:left="-420" w:leftChars="-200" w:right="-420" w:rightChars="-200" w:firstLine="480" w:firstLineChars="200"/>
              <w:rPr>
                <w:rFonts w:ascii="宋体" w:hAnsi="宋体" w:cs="宋体"/>
                <w:color w:val="auto"/>
                <w:sz w:val="24"/>
                <w:highlight w:val="none"/>
              </w:rPr>
            </w:pPr>
            <w:r>
              <w:rPr>
                <w:rFonts w:hint="eastAsia" w:ascii="宋体" w:hAnsi="宋体" w:cs="宋体"/>
                <w:color w:val="auto"/>
                <w:sz w:val="24"/>
                <w:highlight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2.4.3</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装运货物的要求和通知</w:t>
            </w:r>
            <w:r>
              <w:rPr>
                <w:rFonts w:hint="eastAsia" w:ascii="宋体" w:hAnsi="宋体" w:cs="宋体"/>
                <w:color w:val="auto"/>
                <w:sz w:val="24"/>
                <w:highlight w:val="none"/>
                <w:lang w:eastAsia="zh-CN"/>
              </w:rPr>
              <w:t>：</w:t>
            </w:r>
            <w:r>
              <w:rPr>
                <w:rFonts w:hint="eastAsia" w:ascii="宋体" w:hAnsi="宋体" w:cs="宋体"/>
                <w:color w:val="auto"/>
                <w:sz w:val="24"/>
                <w:highlight w:val="none"/>
              </w:rPr>
              <w:t>乙方必须加强本项目运输车辆的管理，凡涉及本项目运输车辆安全的责任均由乙方自行负责。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pPr>
              <w:rPr>
                <w:rFonts w:ascii="宋体" w:hAnsi="宋体" w:cs="宋体"/>
                <w:color w:val="auto"/>
                <w:sz w:val="24"/>
                <w:highlight w:val="none"/>
              </w:rPr>
            </w:pPr>
            <w:r>
              <w:rPr>
                <w:rFonts w:hint="eastAsia" w:ascii="宋体" w:hAnsi="宋体" w:cs="宋体"/>
                <w:color w:val="auto"/>
                <w:sz w:val="24"/>
                <w:highlight w:val="none"/>
              </w:rPr>
              <w:t xml:space="preserve">2.8 </w:t>
            </w:r>
          </w:p>
        </w:tc>
        <w:tc>
          <w:tcPr>
            <w:tcW w:w="4534" w:type="pct"/>
          </w:tcPr>
          <w:p>
            <w:pPr>
              <w:rPr>
                <w:rFonts w:ascii="宋体" w:hAnsi="宋体" w:cs="宋体"/>
                <w:color w:val="auto"/>
                <w:sz w:val="24"/>
                <w:highlight w:val="none"/>
              </w:rPr>
            </w:pPr>
            <w:r>
              <w:rPr>
                <w:rFonts w:hint="eastAsia" w:ascii="宋体" w:hAnsi="宋体" w:cs="宋体"/>
                <w:color w:val="auto"/>
                <w:sz w:val="24"/>
                <w:highlight w:val="none"/>
              </w:rPr>
              <w:t>货物或者在途货物或者交付给第一承运人后的货物毁损、灭失的风险负担由乙方自行负责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2.12.3</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因不可抗力致使合同有变更必要的，双方当事人应在</w:t>
            </w:r>
            <w:r>
              <w:rPr>
                <w:rFonts w:hint="eastAsia" w:ascii="宋体" w:hAnsi="宋体" w:cs="宋体"/>
                <w:b/>
                <w:bCs/>
                <w:i/>
                <w:iCs/>
                <w:color w:val="auto"/>
                <w:sz w:val="24"/>
                <w:highlight w:val="none"/>
                <w:u w:val="single"/>
              </w:rPr>
              <w:t>30日</w:t>
            </w:r>
            <w:r>
              <w:rPr>
                <w:rFonts w:hint="eastAsia" w:ascii="宋体" w:hAnsi="宋体" w:cs="宋体"/>
                <w:color w:val="auto"/>
                <w:sz w:val="24"/>
                <w:highlight w:val="none"/>
              </w:rPr>
              <w:t>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2.12.4</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受不可抗力影响的一方在不可抗力发生后，应在</w:t>
            </w:r>
            <w:r>
              <w:rPr>
                <w:rFonts w:hint="eastAsia" w:ascii="宋体" w:hAnsi="宋体" w:cs="宋体"/>
                <w:b/>
                <w:bCs/>
                <w:i/>
                <w:iCs/>
                <w:color w:val="auto"/>
                <w:sz w:val="24"/>
                <w:highlight w:val="none"/>
                <w:u w:val="single"/>
              </w:rPr>
              <w:t>7日</w:t>
            </w:r>
            <w:r>
              <w:rPr>
                <w:rFonts w:hint="eastAsia" w:ascii="宋体" w:hAnsi="宋体" w:cs="宋体"/>
                <w:color w:val="auto"/>
                <w:sz w:val="24"/>
                <w:highlight w:val="none"/>
              </w:rPr>
              <w:t>内以书面形式通知对方当事人，并在</w:t>
            </w:r>
            <w:r>
              <w:rPr>
                <w:rFonts w:hint="eastAsia" w:ascii="宋体" w:hAnsi="宋体" w:cs="宋体"/>
                <w:b/>
                <w:bCs/>
                <w:i/>
                <w:iCs/>
                <w:color w:val="auto"/>
                <w:sz w:val="24"/>
                <w:highlight w:val="none"/>
                <w:u w:val="single"/>
              </w:rPr>
              <w:t>14日</w:t>
            </w:r>
            <w:r>
              <w:rPr>
                <w:rFonts w:hint="eastAsia" w:ascii="宋体" w:hAnsi="宋体" w:cs="宋体"/>
                <w:color w:val="auto"/>
                <w:sz w:val="24"/>
                <w:highlight w:val="none"/>
              </w:rPr>
              <w:t>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2.16.1</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货物交付前，乙方应对货物的质量、数量等方面进行详细、全面的检验，并向甲方出具证明货物符合合同约定的文件；货物交付时，乙方在</w:t>
            </w:r>
            <w:r>
              <w:rPr>
                <w:rFonts w:hint="eastAsia" w:ascii="宋体" w:hAnsi="宋体" w:cs="宋体"/>
                <w:b/>
                <w:bCs/>
                <w:color w:val="auto"/>
                <w:sz w:val="24"/>
                <w:highlight w:val="none"/>
                <w:u w:val="single"/>
              </w:rPr>
              <w:t>货物安装调试完成3日内</w:t>
            </w:r>
            <w:r>
              <w:rPr>
                <w:rFonts w:hint="eastAsia" w:ascii="宋体" w:hAnsi="宋体" w:cs="宋体"/>
                <w:color w:val="auto"/>
                <w:sz w:val="24"/>
                <w:highlight w:val="none"/>
              </w:rPr>
              <w:t>组织验收，并可依法邀请相关方参加，验收应出具验收书。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2.16.3</w:t>
            </w:r>
          </w:p>
        </w:tc>
        <w:tc>
          <w:tcPr>
            <w:tcW w:w="4534" w:type="pct"/>
            <w:vAlign w:val="center"/>
          </w:tcPr>
          <w:p>
            <w:pPr>
              <w:rPr>
                <w:rFonts w:hint="eastAsia" w:ascii="宋体" w:hAnsi="宋体" w:cs="宋体"/>
                <w:color w:val="auto"/>
                <w:sz w:val="24"/>
                <w:highlight w:val="none"/>
              </w:rPr>
            </w:pPr>
            <w:r>
              <w:rPr>
                <w:rFonts w:hint="eastAsia" w:ascii="宋体" w:hAnsi="宋体" w:cs="宋体"/>
                <w:color w:val="auto"/>
                <w:sz w:val="24"/>
                <w:highlight w:val="none"/>
              </w:rPr>
              <w:t>1.中标供应商应提供系统设备的有效检验材料，经采购单位认可后，与合同的技术指标一起作为验收标准。采购单位对系统设备验收合格后，在《建德市政府采购验收反馈表》上签署意见并加盖单位公章。验收中发现系统设备达不到验收标准或合同规定的技术指标，中标供应商必须更换，并负担由此给采购单位造成的损失，直到验收合格为止。</w:t>
            </w:r>
          </w:p>
          <w:p>
            <w:pPr>
              <w:rPr>
                <w:rFonts w:hint="eastAsia" w:ascii="宋体" w:hAnsi="宋体" w:cs="宋体"/>
                <w:color w:val="auto"/>
                <w:sz w:val="24"/>
                <w:highlight w:val="none"/>
              </w:rPr>
            </w:pPr>
            <w:r>
              <w:rPr>
                <w:rFonts w:hint="eastAsia" w:ascii="宋体" w:hAnsi="宋体" w:cs="宋体"/>
                <w:color w:val="auto"/>
                <w:sz w:val="24"/>
                <w:highlight w:val="none"/>
              </w:rPr>
              <w:t>2.本项目是杭州市公共建筑能效提升重点城市建设示范项目，中标人负责本项目通过建德市、杭州市能效提升示范城市验收，节能率达到15%以上。</w:t>
            </w:r>
          </w:p>
          <w:p>
            <w:pPr>
              <w:rPr>
                <w:rFonts w:hint="eastAsia" w:ascii="宋体" w:hAnsi="宋体" w:cs="宋体"/>
                <w:color w:val="auto"/>
                <w:sz w:val="24"/>
                <w:highlight w:val="none"/>
              </w:rPr>
            </w:pPr>
            <w:r>
              <w:rPr>
                <w:rFonts w:hint="eastAsia" w:ascii="宋体" w:hAnsi="宋体" w:cs="宋体"/>
                <w:color w:val="auto"/>
                <w:sz w:val="24"/>
                <w:highlight w:val="none"/>
              </w:rPr>
              <w:t>3.投标供应商应于投标书中提供系统设备的验收标准和检测办法，并在验收中提供买方认可的相应检测手段，验收标准应符合中国有关的国家、地方、行业的标准，如若中标，经采购单位确认后作为验收的依据。</w:t>
            </w:r>
          </w:p>
          <w:p>
            <w:pPr>
              <w:rPr>
                <w:rFonts w:ascii="宋体" w:hAnsi="宋体" w:cs="宋体"/>
                <w:color w:val="auto"/>
                <w:sz w:val="24"/>
                <w:highlight w:val="none"/>
              </w:rPr>
            </w:pPr>
            <w:r>
              <w:rPr>
                <w:rFonts w:hint="eastAsia" w:ascii="宋体" w:hAnsi="宋体" w:cs="宋体"/>
                <w:color w:val="auto"/>
                <w:sz w:val="24"/>
                <w:highlight w:val="none"/>
              </w:rPr>
              <w:t>4.验收费用由中标供应商承担。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新增</w:t>
            </w:r>
          </w:p>
        </w:tc>
        <w:tc>
          <w:tcPr>
            <w:tcW w:w="4534" w:type="pct"/>
            <w:vAlign w:val="center"/>
          </w:tcPr>
          <w:p>
            <w:pPr>
              <w:rPr>
                <w:rFonts w:hint="eastAsia" w:ascii="宋体" w:hAnsi="宋体" w:cs="宋体"/>
                <w:color w:val="auto"/>
                <w:sz w:val="24"/>
                <w:highlight w:val="none"/>
              </w:rPr>
            </w:pPr>
            <w:r>
              <w:rPr>
                <w:rFonts w:hint="eastAsia" w:ascii="新宋体" w:hAnsi="新宋体" w:eastAsia="新宋体" w:cs="Arial"/>
                <w:color w:val="auto"/>
                <w:kern w:val="0"/>
                <w:sz w:val="24"/>
                <w:highlight w:val="none"/>
              </w:rPr>
              <w:t>屋顶光伏发电系统采取合同能源模式发包，所发电能按合同能源管理模式进行使用：即太阳能光伏电站所发电能首先满足业主方使用需求，由中标人按业主方执行的电价向业主方收取电费，多余部分电能由并入国家电网予以销售</w:t>
            </w:r>
            <w:r>
              <w:rPr>
                <w:rFonts w:hint="eastAsia" w:ascii="新宋体" w:hAnsi="新宋体" w:eastAsia="新宋体" w:cs="Arial"/>
                <w:color w:val="auto"/>
                <w:kern w:val="0"/>
                <w:sz w:val="24"/>
                <w:highlight w:val="none"/>
                <w:lang w:eastAsia="zh-CN"/>
              </w:rPr>
              <w:t>。</w:t>
            </w:r>
            <w:r>
              <w:rPr>
                <w:rFonts w:hint="eastAsia" w:ascii="新宋体" w:hAnsi="新宋体" w:eastAsia="新宋体" w:cs="Arial"/>
                <w:color w:val="auto"/>
                <w:kern w:val="0"/>
                <w:sz w:val="24"/>
                <w:highlight w:val="none"/>
              </w:rPr>
              <w:t>所有电能销售收入由中标人和业主方双方分享</w:t>
            </w:r>
            <w:r>
              <w:rPr>
                <w:rFonts w:hint="eastAsia" w:ascii="新宋体" w:hAnsi="新宋体" w:eastAsia="新宋体" w:cs="Arial"/>
                <w:color w:val="auto"/>
                <w:kern w:val="0"/>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pPr>
              <w:ind w:left="-420" w:leftChars="-200" w:right="-420" w:rightChars="-200" w:firstLine="480" w:firstLineChars="200"/>
              <w:outlineLvl w:val="0"/>
              <w:rPr>
                <w:rFonts w:ascii="宋体" w:hAnsi="宋体" w:cs="宋体"/>
                <w:color w:val="auto"/>
                <w:sz w:val="24"/>
                <w:highlight w:val="none"/>
              </w:rPr>
            </w:pPr>
            <w:r>
              <w:rPr>
                <w:rFonts w:hint="eastAsia" w:ascii="宋体" w:hAnsi="宋体" w:cs="宋体"/>
                <w:color w:val="auto"/>
                <w:sz w:val="24"/>
                <w:highlight w:val="none"/>
              </w:rPr>
              <w:t xml:space="preserve">2.20 </w:t>
            </w:r>
          </w:p>
        </w:tc>
        <w:tc>
          <w:tcPr>
            <w:tcW w:w="4534" w:type="pct"/>
            <w:vAlign w:val="center"/>
          </w:tcPr>
          <w:p>
            <w:pPr>
              <w:rPr>
                <w:rFonts w:ascii="宋体" w:hAnsi="宋体" w:cs="宋体"/>
                <w:color w:val="auto"/>
                <w:sz w:val="24"/>
                <w:highlight w:val="none"/>
              </w:rPr>
            </w:pPr>
            <w:r>
              <w:rPr>
                <w:rFonts w:hint="eastAsia" w:ascii="宋体" w:hAnsi="宋体" w:cs="宋体"/>
                <w:color w:val="auto"/>
                <w:sz w:val="24"/>
                <w:highlight w:val="none"/>
              </w:rPr>
              <w:t>合同份数：本合同壹式陆份，甲、乙双方各执贰份，见证单位壹份，监管部门壹份。</w:t>
            </w:r>
          </w:p>
        </w:tc>
      </w:tr>
    </w:tbl>
    <w:p>
      <w:pPr>
        <w:spacing w:line="360" w:lineRule="auto"/>
        <w:ind w:left="-420" w:leftChars="-200" w:right="-420" w:rightChars="-200" w:firstLine="480" w:firstLineChars="200"/>
        <w:rPr>
          <w:rFonts w:hint="eastAsia" w:ascii="宋体" w:hAnsi="宋体" w:eastAsia="宋体" w:cs="宋体"/>
          <w:color w:val="auto"/>
          <w:sz w:val="24"/>
          <w:highlight w:val="none"/>
        </w:rPr>
      </w:pPr>
    </w:p>
    <w:p>
      <w:pPr>
        <w:spacing w:line="360" w:lineRule="auto"/>
        <w:ind w:left="-420" w:leftChars="-200" w:right="-420" w:rightChars="-200"/>
        <w:rPr>
          <w:rFonts w:hint="eastAsia" w:ascii="宋体" w:hAnsi="宋体" w:eastAsia="宋体" w:cs="宋体"/>
          <w:color w:val="auto"/>
          <w:sz w:val="24"/>
          <w:highlight w:val="none"/>
        </w:rPr>
      </w:pPr>
    </w:p>
    <w:p>
      <w:pPr>
        <w:pStyle w:val="4"/>
        <w:rPr>
          <w:rFonts w:hint="eastAsia" w:ascii="宋体" w:hAnsi="宋体" w:eastAsia="宋体" w:cs="宋体"/>
          <w:color w:val="auto"/>
          <w:highlight w:val="none"/>
        </w:rPr>
      </w:pPr>
    </w:p>
    <w:p>
      <w:pPr>
        <w:rPr>
          <w:rFonts w:hint="eastAsia" w:ascii="宋体" w:hAnsi="宋体" w:eastAsia="宋体" w:cs="宋体"/>
          <w:color w:val="auto"/>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jc w:val="both"/>
        <w:outlineLvl w:val="0"/>
        <w:rPr>
          <w:rFonts w:hint="eastAsia" w:ascii="宋体" w:hAnsi="宋体" w:eastAsia="宋体" w:cs="宋体"/>
          <w:b/>
          <w:color w:val="auto"/>
          <w:sz w:val="36"/>
          <w:szCs w:val="20"/>
          <w:highlight w:val="none"/>
        </w:rPr>
      </w:pPr>
    </w:p>
    <w:p>
      <w:pPr>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7"/>
      <w:bookmarkEnd w:id="398"/>
      <w:r>
        <w:rPr>
          <w:rFonts w:hint="eastAsia" w:ascii="宋体" w:hAnsi="宋体" w:eastAsia="宋体" w:cs="宋体"/>
          <w:b/>
          <w:color w:val="auto"/>
          <w:sz w:val="36"/>
          <w:szCs w:val="20"/>
          <w:highlight w:val="none"/>
        </w:rPr>
        <w:t>应提交的有关格式范例</w:t>
      </w: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pPr>
        <w:snapToGrid w:val="0"/>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pPr>
        <w:snapToGrid w:val="0"/>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建德市新安江职业学校</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欧邦工程管理集团有限公司</w:t>
      </w:r>
      <w:r>
        <w:rPr>
          <w:rFonts w:hint="eastAsia" w:ascii="宋体" w:hAnsi="宋体" w:eastAsia="宋体" w:cs="宋体"/>
          <w:color w:val="auto"/>
          <w:sz w:val="24"/>
          <w:highlight w:val="none"/>
        </w:rPr>
        <w:t>：</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cs="宋体"/>
          <w:color w:val="auto"/>
          <w:sz w:val="24"/>
          <w:highlight w:val="none"/>
          <w:lang w:eastAsia="zh-CN"/>
        </w:rPr>
        <w:t>新职校校园维修改造工程三期能效提升节能改造示范项目之光伏设施设备采购项目（第二次）</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JD2023BF-187-01</w:t>
      </w:r>
      <w:r>
        <w:rPr>
          <w:rFonts w:hint="eastAsia" w:ascii="宋体" w:hAnsi="宋体" w:eastAsia="宋体" w:cs="宋体"/>
          <w:color w:val="auto"/>
          <w:sz w:val="24"/>
          <w:highlight w:val="none"/>
        </w:rPr>
        <w:t>】政府采购活动，郑重承诺：</w:t>
      </w:r>
    </w:p>
    <w:p>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（二）未被信用中国（www.creditchina.gov.cn)、中国政府采购网（www.ccgp.gov.cn）列入失信被执行人、重大税收违法失信主体、政府采购严重违法失信行为记录名单。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pPr>
        <w:snapToGrid w:val="0"/>
        <w:spacing w:line="360" w:lineRule="auto"/>
        <w:ind w:firstLine="5760" w:firstLineChars="24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日</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widowControl/>
        <w:spacing w:line="360" w:lineRule="auto"/>
        <w:jc w:val="both"/>
        <w:rPr>
          <w:rFonts w:hint="eastAsia" w:ascii="宋体" w:hAnsi="宋体" w:eastAsia="宋体" w:cs="宋体"/>
          <w:b/>
          <w:color w:val="auto"/>
          <w:kern w:val="0"/>
          <w:sz w:val="32"/>
          <w:szCs w:val="32"/>
          <w:highlight w:val="none"/>
        </w:rPr>
      </w:pPr>
    </w:p>
    <w:p>
      <w:pPr>
        <w:widowControl/>
        <w:spacing w:line="360" w:lineRule="auto"/>
        <w:ind w:firstLine="643" w:firstLineChars="20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A.专门面向中小企业，货物全部由符合政策要求的中小企业（或小微企业）制造的，提供相应的中小企业声明函（附件7）。 </w:t>
      </w:r>
    </w:p>
    <w:p>
      <w:pPr>
        <w:widowControl/>
        <w:spacing w:line="360" w:lineRule="auto"/>
        <w:ind w:firstLine="480"/>
        <w:jc w:val="left"/>
        <w:rPr>
          <w:rFonts w:hint="eastAsia" w:ascii="宋体" w:hAnsi="宋体" w:eastAsia="宋体" w:cs="宋体"/>
          <w:color w:val="auto"/>
          <w:sz w:val="24"/>
          <w:highlight w:val="none"/>
        </w:rPr>
      </w:pPr>
    </w:p>
    <w:p>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hint="eastAsia" w:ascii="宋体" w:hAnsi="宋体" w:eastAsia="宋体" w:cs="宋体"/>
          <w:color w:val="auto"/>
          <w:sz w:val="24"/>
          <w:highlight w:val="none"/>
        </w:rPr>
      </w:pP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pPr>
        <w:widowControl/>
        <w:spacing w:line="360" w:lineRule="auto"/>
        <w:ind w:left="150"/>
        <w:jc w:val="center"/>
        <w:rPr>
          <w:rFonts w:hint="eastAsia" w:ascii="宋体" w:hAnsi="宋体" w:eastAsia="宋体" w:cs="宋体"/>
          <w:b/>
          <w:color w:val="auto"/>
          <w:kern w:val="0"/>
          <w:sz w:val="32"/>
          <w:szCs w:val="32"/>
          <w:highlight w:val="none"/>
        </w:rPr>
      </w:pPr>
    </w:p>
    <w:p>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pPr>
        <w:rPr>
          <w:rFonts w:hint="eastAsia" w:ascii="宋体" w:hAnsi="宋体" w:eastAsia="宋体" w:cs="宋体"/>
          <w:color w:val="auto"/>
          <w:highlight w:val="none"/>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（6）投标标的清单</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（7）商务技术偏离表</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pStyle w:val="4"/>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snapToGrid w:val="0"/>
        <w:spacing w:line="360" w:lineRule="auto"/>
        <w:ind w:firstLine="3855" w:firstLineChars="1200"/>
        <w:outlineLvl w:val="0"/>
        <w:rPr>
          <w:rFonts w:hint="eastAsia" w:ascii="宋体" w:hAnsi="宋体" w:eastAsia="宋体" w:cs="宋体"/>
          <w:b/>
          <w:color w:val="auto"/>
          <w:kern w:val="0"/>
          <w:sz w:val="32"/>
          <w:szCs w:val="32"/>
          <w:highlight w:val="none"/>
        </w:rPr>
      </w:pPr>
    </w:p>
    <w:p>
      <w:pPr>
        <w:snapToGrid w:val="0"/>
        <w:spacing w:line="360" w:lineRule="auto"/>
        <w:ind w:firstLine="3855" w:firstLineChars="1200"/>
        <w:outlineLvl w:val="0"/>
        <w:rPr>
          <w:rFonts w:hint="eastAsia" w:ascii="宋体" w:hAnsi="宋体" w:eastAsia="宋体" w:cs="宋体"/>
          <w:b/>
          <w:color w:val="auto"/>
          <w:kern w:val="0"/>
          <w:sz w:val="32"/>
          <w:szCs w:val="32"/>
          <w:highlight w:val="none"/>
        </w:rPr>
      </w:pPr>
    </w:p>
    <w:p>
      <w:pPr>
        <w:snapToGrid w:val="0"/>
        <w:spacing w:line="360" w:lineRule="auto"/>
        <w:ind w:firstLine="3855" w:firstLineChars="1200"/>
        <w:outlineLvl w:val="0"/>
        <w:rPr>
          <w:rFonts w:hint="eastAsia" w:ascii="宋体" w:hAnsi="宋体" w:eastAsia="宋体" w:cs="宋体"/>
          <w:b/>
          <w:color w:val="auto"/>
          <w:kern w:val="0"/>
          <w:sz w:val="32"/>
          <w:szCs w:val="32"/>
          <w:highlight w:val="none"/>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snapToGrid w:val="0"/>
        <w:spacing w:line="360" w:lineRule="auto"/>
        <w:ind w:firstLine="3855" w:firstLineChars="1200"/>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pPr>
        <w:snapToGrid w:val="0"/>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建德市新安江职业学校</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欧邦工程管理集团有限公司</w:t>
      </w:r>
      <w:r>
        <w:rPr>
          <w:rFonts w:hint="eastAsia" w:ascii="宋体" w:hAnsi="宋体" w:eastAsia="宋体" w:cs="宋体"/>
          <w:color w:val="auto"/>
          <w:sz w:val="24"/>
          <w:highlight w:val="none"/>
        </w:rPr>
        <w:t>：</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w:t>
      </w:r>
      <w:r>
        <w:rPr>
          <w:rFonts w:hint="eastAsia" w:ascii="宋体" w:hAnsi="宋体" w:cs="宋体"/>
          <w:color w:val="auto"/>
          <w:sz w:val="24"/>
          <w:highlight w:val="none"/>
          <w:lang w:eastAsia="zh-CN"/>
        </w:rPr>
        <w:t>新职校校园维修改造工程三期能效提升节能改造示范项目之光伏设施设备采购项目（第二次）</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JD2023BF-187-01</w:t>
      </w:r>
      <w:r>
        <w:rPr>
          <w:rFonts w:hint="eastAsia" w:ascii="宋体" w:hAnsi="宋体" w:eastAsia="宋体" w:cs="宋体"/>
          <w:color w:val="auto"/>
          <w:sz w:val="24"/>
          <w:highlight w:val="none"/>
        </w:rPr>
        <w:t>】招标的有关活动，并对此项目进行投标。为此：</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w:t>
      </w:r>
      <w:r>
        <w:rPr>
          <w:rFonts w:hint="eastAsia" w:ascii="宋体" w:hAnsi="宋体" w:eastAsia="宋体" w:cs="宋体"/>
          <w:color w:val="auto"/>
          <w:sz w:val="24"/>
          <w:highlight w:val="none"/>
          <w:u w:val="single"/>
        </w:rPr>
        <w:t>起</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天</w:t>
      </w:r>
      <w:r>
        <w:rPr>
          <w:rFonts w:hint="eastAsia" w:ascii="宋体" w:hAnsi="宋体" w:eastAsia="宋体" w:cs="宋体"/>
          <w:color w:val="auto"/>
          <w:sz w:val="24"/>
          <w:highlight w:val="none"/>
        </w:rPr>
        <w:t>（不少于90天）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联合协议（如果有)；</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2商务技术</w:t>
      </w:r>
      <w:r>
        <w:rPr>
          <w:rFonts w:hint="eastAsia" w:ascii="宋体" w:hAnsi="宋体" w:eastAsia="宋体" w:cs="宋体"/>
          <w:color w:val="auto"/>
          <w:sz w:val="24"/>
          <w:highlight w:val="none"/>
          <w:lang w:val="zh-CN"/>
        </w:rPr>
        <w:t>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2.2.5评标标准相应的商务技术资料；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2.2.6投标标的清单；</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4.3按照招标文件要求提交履约保证金（如果有）；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p>
    <w:p>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snapToGrid w:val="0"/>
        <w:spacing w:line="360" w:lineRule="auto"/>
        <w:jc w:val="center"/>
        <w:rPr>
          <w:rFonts w:hint="eastAsia" w:ascii="宋体" w:hAnsi="宋体" w:eastAsia="宋体" w:cs="宋体"/>
          <w:b/>
          <w:color w:val="auto"/>
          <w:kern w:val="0"/>
          <w:sz w:val="32"/>
          <w:szCs w:val="32"/>
          <w:highlight w:val="none"/>
        </w:rPr>
      </w:pPr>
    </w:p>
    <w:p>
      <w:pPr>
        <w:snapToGrid w:val="0"/>
        <w:spacing w:line="360" w:lineRule="auto"/>
        <w:rPr>
          <w:rFonts w:hint="eastAsia" w:ascii="宋体" w:hAnsi="宋体" w:eastAsia="宋体" w:cs="宋体"/>
          <w:color w:val="auto"/>
          <w:sz w:val="24"/>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pPr>
        <w:snapToGrid w:val="0"/>
        <w:spacing w:line="360" w:lineRule="auto"/>
        <w:rPr>
          <w:rFonts w:hint="eastAsia" w:ascii="宋体" w:hAnsi="宋体" w:eastAsia="宋体" w:cs="宋体"/>
          <w:color w:val="auto"/>
          <w:sz w:val="24"/>
          <w:highlight w:val="none"/>
        </w:rPr>
      </w:pPr>
    </w:p>
    <w:p>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p>
    <w:p>
      <w:pPr>
        <w:snapToGrid w:val="0"/>
        <w:spacing w:line="360" w:lineRule="auto"/>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建德市新安江职业学校</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欧邦工程管理集团有限公司</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（姓名）</w:t>
      </w:r>
      <w:r>
        <w:rPr>
          <w:rFonts w:hint="eastAsia" w:ascii="宋体" w:hAnsi="宋体" w:eastAsia="宋体" w:cs="宋体"/>
          <w:color w:val="auto"/>
          <w:kern w:val="0"/>
          <w:sz w:val="24"/>
          <w:highlight w:val="none"/>
          <w:lang w:val="zh-CN"/>
        </w:rPr>
        <w:t>为我方代理人（身份证号码</w:t>
      </w:r>
      <w:r>
        <w:rPr>
          <w:rFonts w:hint="eastAsia" w:ascii="宋体" w:hAnsi="宋体" w:eastAsia="宋体" w:cs="宋体"/>
          <w:color w:val="auto"/>
          <w:kern w:val="0"/>
          <w:sz w:val="24"/>
          <w:highlight w:val="none"/>
          <w:u w:val="single"/>
          <w:lang w:val="zh-CN"/>
        </w:rPr>
        <w:t>：</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，手机</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w:t>
      </w:r>
      <w:r>
        <w:rPr>
          <w:rFonts w:hint="eastAsia" w:ascii="宋体" w:hAnsi="宋体" w:eastAsia="宋体" w:cs="宋体"/>
          <w:color w:val="auto"/>
          <w:kern w:val="0"/>
          <w:sz w:val="24"/>
          <w:highlight w:val="none"/>
          <w:lang w:val="zh-CN"/>
        </w:rPr>
        <w:t>），以我方名义处理</w:t>
      </w:r>
      <w:r>
        <w:rPr>
          <w:rFonts w:hint="eastAsia" w:ascii="宋体" w:hAnsi="宋体" w:cs="宋体"/>
          <w:color w:val="auto"/>
          <w:sz w:val="24"/>
          <w:highlight w:val="none"/>
          <w:lang w:eastAsia="zh-CN"/>
        </w:rPr>
        <w:t>新职校校园维修改造工程三期能效提升节能改造示范项目之光伏设施设备采购项目（第二次）</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JD2023BF-187-01</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年</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日起至</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年</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特此告知。</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授权委托书（适用于联合体投标）</w:t>
      </w:r>
    </w:p>
    <w:p>
      <w:pPr>
        <w:snapToGrid w:val="0"/>
        <w:spacing w:line="360" w:lineRule="auto"/>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建德市新安江职业学校</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欧邦工程管理集团有限公司</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（姓名）</w:t>
      </w:r>
      <w:r>
        <w:rPr>
          <w:rFonts w:hint="eastAsia" w:ascii="宋体" w:hAnsi="宋体" w:eastAsia="宋体" w:cs="宋体"/>
          <w:color w:val="auto"/>
          <w:kern w:val="0"/>
          <w:sz w:val="24"/>
          <w:highlight w:val="none"/>
          <w:lang w:val="zh-CN"/>
        </w:rPr>
        <w:t>为我方代理人（身份证号码</w:t>
      </w:r>
      <w:r>
        <w:rPr>
          <w:rFonts w:hint="eastAsia" w:ascii="宋体" w:hAnsi="宋体" w:eastAsia="宋体" w:cs="宋体"/>
          <w:color w:val="auto"/>
          <w:kern w:val="0"/>
          <w:sz w:val="24"/>
          <w:highlight w:val="none"/>
          <w:u w:val="single"/>
          <w:lang w:val="zh-CN"/>
        </w:rPr>
        <w:t>：</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lang w:val="zh-CN"/>
        </w:rPr>
        <w:t>手机：</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w:t>
      </w:r>
      <w:r>
        <w:rPr>
          <w:rFonts w:hint="eastAsia" w:ascii="宋体" w:hAnsi="宋体" w:eastAsia="宋体" w:cs="宋体"/>
          <w:color w:val="auto"/>
          <w:kern w:val="0"/>
          <w:sz w:val="24"/>
          <w:highlight w:val="none"/>
          <w:lang w:val="zh-CN"/>
        </w:rPr>
        <w:t>，以我方名义处理</w:t>
      </w:r>
      <w:r>
        <w:rPr>
          <w:rFonts w:hint="eastAsia" w:ascii="宋体" w:hAnsi="宋体" w:cs="宋体"/>
          <w:color w:val="auto"/>
          <w:sz w:val="24"/>
          <w:highlight w:val="none"/>
          <w:lang w:eastAsia="zh-CN"/>
        </w:rPr>
        <w:t>新职校校园维修改造工程三期能效提升节能改造示范项目之光伏设施设备采购项目（第二次）</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JD2023BF-187-01</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特此告知。</w:t>
      </w:r>
    </w:p>
    <w:p>
      <w:pPr>
        <w:jc w:val="center"/>
        <w:rPr>
          <w:rFonts w:hint="eastAsia" w:ascii="宋体" w:hAnsi="宋体" w:eastAsia="宋体" w:cs="宋体"/>
          <w:b/>
          <w:color w:val="auto"/>
          <w:kern w:val="0"/>
          <w:sz w:val="32"/>
          <w:szCs w:val="32"/>
          <w:highlight w:val="none"/>
        </w:rPr>
      </w:pPr>
    </w:p>
    <w:p>
      <w:pPr>
        <w:jc w:val="both"/>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rFonts w:hint="eastAsia" w:ascii="宋体" w:hAnsi="宋体" w:eastAsia="宋体" w:cs="宋体"/>
          <w:b/>
          <w:color w:val="auto"/>
          <w:kern w:val="0"/>
          <w:sz w:val="32"/>
          <w:szCs w:val="32"/>
          <w:highlight w:val="none"/>
          <w:lang w:val="zh-CN"/>
        </w:rPr>
      </w:pPr>
      <w:r>
        <w:rPr>
          <w:rFonts w:hint="eastAsia" w:ascii="宋体" w:hAnsi="宋体" w:eastAsia="宋体" w:cs="宋体"/>
          <w:color w:val="auto"/>
          <w:kern w:val="0"/>
          <w:sz w:val="24"/>
          <w:highlight w:val="none"/>
          <w:lang w:val="zh-CN"/>
        </w:rPr>
        <w:t xml:space="preserve">                                               日期：  年  月   日</w:t>
      </w:r>
    </w:p>
    <w:p>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pPr>
        <w:pStyle w:val="151"/>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151"/>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pPr>
              <w:pStyle w:val="151"/>
              <w:adjustRightInd w:val="0"/>
              <w:spacing w:line="360" w:lineRule="auto"/>
              <w:rPr>
                <w:rFonts w:hint="eastAsia" w:ascii="宋体" w:hAnsi="宋体" w:eastAsia="宋体" w:cs="宋体"/>
                <w:bCs/>
                <w:color w:val="auto"/>
                <w:sz w:val="24"/>
                <w:highlight w:val="none"/>
              </w:rPr>
            </w:pPr>
          </w:p>
        </w:tc>
      </w:tr>
    </w:tbl>
    <w:p>
      <w:pPr>
        <w:snapToGrid w:val="0"/>
        <w:spacing w:line="360" w:lineRule="auto"/>
        <w:ind w:firstLine="576"/>
        <w:jc w:val="center"/>
        <w:rPr>
          <w:rFonts w:hint="eastAsia" w:ascii="宋体" w:hAnsi="宋体" w:eastAsia="宋体" w:cs="宋体"/>
          <w:color w:val="auto"/>
          <w:kern w:val="0"/>
          <w:sz w:val="24"/>
          <w:highlight w:val="none"/>
          <w:lang w:val="zh-CN"/>
        </w:rPr>
      </w:pPr>
    </w:p>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snapToGrid w:val="0"/>
        <w:spacing w:line="360" w:lineRule="auto"/>
        <w:ind w:right="480"/>
        <w:rPr>
          <w:rFonts w:hint="eastAsia" w:ascii="宋体" w:hAnsi="宋体" w:eastAsia="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pPr>
        <w:widowControl/>
        <w:spacing w:line="360" w:lineRule="auto"/>
        <w:ind w:firstLine="120" w:firstLineChars="50"/>
        <w:jc w:val="left"/>
        <w:rPr>
          <w:rFonts w:hint="eastAsia" w:ascii="宋体" w:hAnsi="宋体" w:eastAsia="宋体" w:cs="宋体"/>
          <w:color w:val="auto"/>
          <w:sz w:val="24"/>
          <w:highlight w:val="none"/>
        </w:rPr>
      </w:pPr>
      <w:bookmarkStart w:id="548" w:name="_Hlk101169080"/>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highlight w:val="none"/>
        </w:rPr>
        <w:t>]</w:t>
      </w:r>
    </w:p>
    <w:bookmarkEnd w:id="548"/>
    <w:p>
      <w:pPr>
        <w:snapToGrid w:val="0"/>
        <w:spacing w:line="360" w:lineRule="auto"/>
        <w:rPr>
          <w:rFonts w:hint="eastAsia" w:ascii="宋体" w:hAnsi="宋体" w:eastAsia="宋体" w:cs="宋体"/>
          <w:color w:val="auto"/>
          <w:kern w:val="0"/>
          <w:sz w:val="24"/>
          <w:highlight w:val="none"/>
        </w:rPr>
      </w:pPr>
    </w:p>
    <w:p>
      <w:pPr>
        <w:jc w:val="center"/>
        <w:rPr>
          <w:rFonts w:hint="eastAsia" w:ascii="宋体" w:hAnsi="宋体" w:eastAsia="宋体" w:cs="宋体"/>
          <w:b/>
          <w:color w:val="auto"/>
          <w:kern w:val="0"/>
          <w:sz w:val="32"/>
          <w:szCs w:val="32"/>
          <w:highlight w:val="none"/>
        </w:rPr>
      </w:pPr>
    </w:p>
    <w:p>
      <w:pPr>
        <w:pStyle w:val="4"/>
        <w:ind w:left="0" w:leftChars="0" w:firstLine="0" w:firstLineChars="0"/>
        <w:rPr>
          <w:rFonts w:hint="eastAsia" w:ascii="宋体" w:hAnsi="宋体" w:eastAsia="宋体" w:cs="宋体"/>
          <w:color w:val="auto"/>
          <w:highlight w:val="none"/>
          <w:lang w:val="en-US"/>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pPr>
        <w:jc w:val="center"/>
        <w:rPr>
          <w:rFonts w:hint="eastAsia" w:ascii="宋体" w:hAnsi="宋体" w:eastAsia="宋体" w:cs="宋体"/>
          <w:b/>
          <w:color w:val="auto"/>
          <w:kern w:val="0"/>
          <w:sz w:val="32"/>
          <w:szCs w:val="32"/>
          <w:highlight w:val="none"/>
        </w:rPr>
      </w:pPr>
    </w:p>
    <w:tbl>
      <w:tblPr>
        <w:tblStyle w:val="6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tcPr>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pPr>
              <w:rPr>
                <w:rFonts w:hint="eastAsia" w:ascii="宋体" w:hAnsi="宋体" w:eastAsia="宋体" w:cs="宋体"/>
                <w:color w:val="auto"/>
                <w:highlight w:val="none"/>
              </w:rPr>
            </w:pPr>
            <w:r>
              <w:rPr>
                <w:rFonts w:hint="eastAsia" w:ascii="宋体" w:hAnsi="宋体" w:eastAsia="宋体" w:cs="宋体"/>
                <w:color w:val="auto"/>
                <w:sz w:val="24"/>
                <w:highlight w:val="none"/>
                <w:u w:val="single"/>
              </w:rPr>
              <w:t>第</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tcPr>
          <w:p>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w:t>
            </w:r>
            <w:r>
              <w:rPr>
                <w:rFonts w:hint="eastAsia" w:ascii="宋体" w:hAnsi="宋体" w:eastAsia="宋体" w:cs="宋体"/>
                <w:color w:val="auto"/>
                <w:sz w:val="24"/>
                <w:highlight w:val="none"/>
                <w:u w:val="single"/>
              </w:rPr>
              <w:t>第</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2551" w:type="dxa"/>
            <w:vAlign w:val="center"/>
          </w:tcPr>
          <w:p>
            <w:pP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418" w:type="dxa"/>
          </w:tcPr>
          <w:p>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w:t>
            </w:r>
            <w:r>
              <w:rPr>
                <w:rFonts w:hint="eastAsia" w:ascii="宋体" w:hAnsi="宋体" w:eastAsia="宋体" w:cs="宋体"/>
                <w:color w:val="auto"/>
                <w:sz w:val="24"/>
                <w:highlight w:val="none"/>
                <w:u w:val="single"/>
              </w:rPr>
              <w:t>第</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页</w:t>
            </w:r>
          </w:p>
        </w:tc>
      </w:tr>
    </w:tbl>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六、投标标的清单</w:t>
      </w:r>
    </w:p>
    <w:tbl>
      <w:tblPr>
        <w:tblStyle w:val="65"/>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956"/>
        <w:gridCol w:w="1850"/>
        <w:gridCol w:w="1343"/>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9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品牌（如果有）</w:t>
            </w:r>
          </w:p>
        </w:tc>
        <w:tc>
          <w:tcPr>
            <w:tcW w:w="18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规格型号</w:t>
            </w:r>
          </w:p>
        </w:tc>
        <w:tc>
          <w:tcPr>
            <w:tcW w:w="134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95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85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95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85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95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85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highlight w:val="none"/>
              </w:rPr>
            </w:pPr>
          </w:p>
        </w:tc>
      </w:tr>
    </w:tbl>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6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bl>
    <w:p>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pPr>
        <w:jc w:val="center"/>
        <w:rPr>
          <w:rFonts w:hint="eastAsia" w:ascii="宋体" w:hAnsi="宋体" w:eastAsia="宋体" w:cs="宋体"/>
          <w:b/>
          <w:color w:val="auto"/>
          <w:kern w:val="0"/>
          <w:sz w:val="32"/>
          <w:szCs w:val="32"/>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widowControl/>
        <w:adjustRightInd/>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建德市新安江职业学校</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欧邦工程管理集团有限公司</w:t>
      </w:r>
      <w:r>
        <w:rPr>
          <w:rFonts w:hint="eastAsia" w:ascii="宋体" w:hAnsi="宋体" w:eastAsia="宋体" w:cs="宋体"/>
          <w:color w:val="auto"/>
          <w:kern w:val="0"/>
          <w:sz w:val="24"/>
          <w:highlight w:val="none"/>
          <w:lang w:val="zh-CN"/>
        </w:rPr>
        <w:t>：</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pPr>
        <w:spacing w:line="360" w:lineRule="auto"/>
        <w:jc w:val="center"/>
        <w:rPr>
          <w:rFonts w:hint="eastAsia" w:ascii="宋体" w:hAnsi="宋体" w:eastAsia="宋体" w:cs="宋体"/>
          <w:b/>
          <w:bCs/>
          <w:color w:val="auto"/>
          <w:sz w:val="24"/>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spacing w:line="360" w:lineRule="auto"/>
        <w:jc w:val="center"/>
        <w:rPr>
          <w:rFonts w:hint="eastAsia" w:ascii="宋体" w:hAnsi="宋体" w:eastAsia="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numPr>
          <w:ilvl w:val="0"/>
          <w:numId w:val="2"/>
        </w:num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开标一览表（报价表）………………………………………………………（页码）</w:t>
      </w:r>
    </w:p>
    <w:p>
      <w:pPr>
        <w:numPr>
          <w:ilvl w:val="0"/>
          <w:numId w:val="2"/>
        </w:num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中小企业声明函</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如果有</w:t>
      </w:r>
      <w:r>
        <w:rPr>
          <w:rFonts w:hint="eastAsia" w:ascii="宋体" w:hAnsi="宋体" w:eastAsia="宋体" w:cs="宋体"/>
          <w:color w:val="auto"/>
          <w:sz w:val="24"/>
          <w:highlight w:val="none"/>
        </w:rPr>
        <w:t>）…………………………………………………（页码）</w:t>
      </w:r>
    </w:p>
    <w:p>
      <w:pPr>
        <w:pStyle w:val="4"/>
        <w:rPr>
          <w:rFonts w:hint="eastAsia" w:ascii="宋体" w:hAnsi="宋体" w:eastAsia="宋体" w:cs="宋体"/>
          <w:color w:val="auto"/>
          <w:highlight w:val="none"/>
        </w:rPr>
      </w:pPr>
    </w:p>
    <w:p>
      <w:pPr>
        <w:pStyle w:val="4"/>
        <w:numPr>
          <w:ilvl w:val="0"/>
          <w:numId w:val="0"/>
        </w:numPr>
        <w:ind w:leftChars="0"/>
        <w:rPr>
          <w:rFonts w:hint="eastAsia" w:ascii="宋体" w:hAnsi="宋体" w:eastAsia="宋体" w:cs="宋体"/>
          <w:color w:val="auto"/>
          <w:highlight w:val="none"/>
        </w:rPr>
      </w:pPr>
    </w:p>
    <w:p>
      <w:pPr>
        <w:snapToGrid w:val="0"/>
        <w:spacing w:line="360" w:lineRule="auto"/>
        <w:ind w:right="480"/>
        <w:jc w:val="both"/>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建德市新安江职业学校</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欧邦工程管理集团有限公司</w:t>
      </w:r>
      <w:r>
        <w:rPr>
          <w:rFonts w:hint="eastAsia" w:ascii="宋体" w:hAnsi="宋体" w:eastAsia="宋体" w:cs="宋体"/>
          <w:color w:val="auto"/>
          <w:kern w:val="0"/>
          <w:sz w:val="24"/>
          <w:highlight w:val="none"/>
          <w:lang w:val="zh-CN"/>
        </w:rPr>
        <w:t>：</w:t>
      </w:r>
    </w:p>
    <w:p>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新职校校园维修改造工程三期能效提升节能改造示范项目之光伏设施设备采购项目（第二次）</w:t>
      </w:r>
      <w:r>
        <w:rPr>
          <w:rFonts w:hint="eastAsia" w:ascii="宋体" w:hAnsi="宋体" w:eastAsia="宋体" w:cs="宋体"/>
          <w:color w:val="auto"/>
          <w:kern w:val="0"/>
          <w:sz w:val="24"/>
          <w:highlight w:val="none"/>
          <w:lang w:val="zh-CN"/>
        </w:rPr>
        <w:t>【招标编号：</w:t>
      </w:r>
      <w:r>
        <w:rPr>
          <w:rFonts w:hint="eastAsia" w:ascii="宋体" w:hAnsi="宋体" w:cs="宋体"/>
          <w:color w:val="auto"/>
          <w:sz w:val="24"/>
          <w:highlight w:val="none"/>
          <w:lang w:eastAsia="zh-CN"/>
        </w:rPr>
        <w:t>JD2023BF-187-01</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w:t>
      </w:r>
      <w:r>
        <w:rPr>
          <w:rFonts w:hint="eastAsia" w:ascii="宋体" w:hAnsi="宋体" w:cs="宋体"/>
          <w:b/>
          <w:color w:val="auto"/>
          <w:kern w:val="0"/>
          <w:sz w:val="24"/>
          <w:highlight w:val="none"/>
          <w:lang w:val="zh-CN"/>
        </w:rPr>
        <w:t>(单位均为人民币元)</w:t>
      </w:r>
    </w:p>
    <w:tbl>
      <w:tblPr>
        <w:tblStyle w:val="65"/>
        <w:tblW w:w="140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25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417"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843" w:type="dxa"/>
          </w:tcPr>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品牌（如果有）</w:t>
            </w:r>
          </w:p>
        </w:tc>
        <w:tc>
          <w:tcPr>
            <w:tcW w:w="3118"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规格型号</w:t>
            </w:r>
          </w:p>
        </w:tc>
        <w:tc>
          <w:tcPr>
            <w:tcW w:w="993"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559"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单价</w:t>
            </w:r>
          </w:p>
        </w:tc>
        <w:tc>
          <w:tcPr>
            <w:tcW w:w="1984"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合计</w:t>
            </w:r>
          </w:p>
        </w:tc>
        <w:tc>
          <w:tcPr>
            <w:tcW w:w="2557" w:type="dxa"/>
            <w:vAlign w:val="center"/>
          </w:tcPr>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pPr>
              <w:spacing w:line="360" w:lineRule="auto"/>
              <w:jc w:val="center"/>
              <w:rPr>
                <w:rFonts w:hint="eastAsia" w:ascii="宋体" w:hAnsi="宋体" w:eastAsia="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417"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1843" w:type="dxa"/>
            <w:vAlign w:val="center"/>
          </w:tcPr>
          <w:p>
            <w:pPr>
              <w:snapToGrid w:val="0"/>
              <w:spacing w:line="360" w:lineRule="auto"/>
              <w:jc w:val="center"/>
              <w:rPr>
                <w:rFonts w:hint="eastAsia" w:ascii="宋体" w:hAnsi="宋体" w:eastAsia="宋体" w:cs="宋体"/>
                <w:color w:val="auto"/>
                <w:sz w:val="24"/>
                <w:highlight w:val="none"/>
              </w:rPr>
            </w:pPr>
          </w:p>
        </w:tc>
        <w:tc>
          <w:tcPr>
            <w:tcW w:w="3118" w:type="dxa"/>
            <w:vAlign w:val="center"/>
          </w:tcPr>
          <w:p>
            <w:pPr>
              <w:snapToGrid w:val="0"/>
              <w:spacing w:line="360" w:lineRule="auto"/>
              <w:jc w:val="center"/>
              <w:rPr>
                <w:rFonts w:hint="eastAsia" w:ascii="宋体" w:hAnsi="宋体" w:eastAsia="宋体" w:cs="宋体"/>
                <w:color w:val="auto"/>
                <w:sz w:val="24"/>
                <w:highlight w:val="none"/>
              </w:rPr>
            </w:pPr>
          </w:p>
        </w:tc>
        <w:tc>
          <w:tcPr>
            <w:tcW w:w="993" w:type="dxa"/>
            <w:vAlign w:val="center"/>
          </w:tcPr>
          <w:p>
            <w:pPr>
              <w:snapToGrid w:val="0"/>
              <w:spacing w:line="360" w:lineRule="auto"/>
              <w:jc w:val="center"/>
              <w:rPr>
                <w:rFonts w:hint="eastAsia" w:ascii="宋体" w:hAnsi="宋体" w:eastAsia="宋体" w:cs="宋体"/>
                <w:color w:val="auto"/>
                <w:sz w:val="24"/>
                <w:highlight w:val="none"/>
              </w:rPr>
            </w:pPr>
          </w:p>
        </w:tc>
        <w:tc>
          <w:tcPr>
            <w:tcW w:w="1559" w:type="dxa"/>
            <w:vAlign w:val="center"/>
          </w:tcPr>
          <w:p>
            <w:pPr>
              <w:spacing w:line="360" w:lineRule="auto"/>
              <w:jc w:val="center"/>
              <w:rPr>
                <w:rFonts w:hint="eastAsia" w:ascii="宋体" w:hAnsi="宋体" w:eastAsia="宋体" w:cs="宋体"/>
                <w:color w:val="auto"/>
                <w:sz w:val="24"/>
                <w:highlight w:val="none"/>
              </w:rPr>
            </w:pPr>
          </w:p>
        </w:tc>
        <w:tc>
          <w:tcPr>
            <w:tcW w:w="1984" w:type="dxa"/>
            <w:vAlign w:val="center"/>
          </w:tcPr>
          <w:p>
            <w:pPr>
              <w:spacing w:line="360" w:lineRule="auto"/>
              <w:jc w:val="center"/>
              <w:rPr>
                <w:rFonts w:hint="eastAsia" w:ascii="宋体" w:hAnsi="宋体" w:eastAsia="宋体" w:cs="宋体"/>
                <w:color w:val="auto"/>
                <w:sz w:val="24"/>
                <w:highlight w:val="none"/>
              </w:rPr>
            </w:pPr>
          </w:p>
        </w:tc>
        <w:tc>
          <w:tcPr>
            <w:tcW w:w="2557"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417"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1843" w:type="dxa"/>
            <w:vAlign w:val="center"/>
          </w:tcPr>
          <w:p>
            <w:pPr>
              <w:snapToGrid w:val="0"/>
              <w:spacing w:line="360" w:lineRule="auto"/>
              <w:jc w:val="center"/>
              <w:rPr>
                <w:rFonts w:hint="eastAsia" w:ascii="宋体" w:hAnsi="宋体" w:eastAsia="宋体" w:cs="宋体"/>
                <w:color w:val="auto"/>
                <w:sz w:val="24"/>
                <w:highlight w:val="none"/>
              </w:rPr>
            </w:pPr>
          </w:p>
        </w:tc>
        <w:tc>
          <w:tcPr>
            <w:tcW w:w="3118" w:type="dxa"/>
            <w:vAlign w:val="center"/>
          </w:tcPr>
          <w:p>
            <w:pPr>
              <w:snapToGrid w:val="0"/>
              <w:spacing w:line="360" w:lineRule="auto"/>
              <w:jc w:val="center"/>
              <w:rPr>
                <w:rFonts w:hint="eastAsia" w:ascii="宋体" w:hAnsi="宋体" w:eastAsia="宋体" w:cs="宋体"/>
                <w:color w:val="auto"/>
                <w:sz w:val="24"/>
                <w:highlight w:val="none"/>
              </w:rPr>
            </w:pPr>
          </w:p>
        </w:tc>
        <w:tc>
          <w:tcPr>
            <w:tcW w:w="993" w:type="dxa"/>
            <w:vAlign w:val="center"/>
          </w:tcPr>
          <w:p>
            <w:pPr>
              <w:snapToGrid w:val="0"/>
              <w:spacing w:line="360" w:lineRule="auto"/>
              <w:jc w:val="center"/>
              <w:rPr>
                <w:rFonts w:hint="eastAsia" w:ascii="宋体" w:hAnsi="宋体" w:eastAsia="宋体" w:cs="宋体"/>
                <w:color w:val="auto"/>
                <w:sz w:val="24"/>
                <w:highlight w:val="none"/>
              </w:rPr>
            </w:pPr>
          </w:p>
        </w:tc>
        <w:tc>
          <w:tcPr>
            <w:tcW w:w="1559" w:type="dxa"/>
            <w:vAlign w:val="center"/>
          </w:tcPr>
          <w:p>
            <w:pPr>
              <w:spacing w:line="360" w:lineRule="auto"/>
              <w:jc w:val="center"/>
              <w:rPr>
                <w:rFonts w:hint="eastAsia" w:ascii="宋体" w:hAnsi="宋体" w:eastAsia="宋体" w:cs="宋体"/>
                <w:color w:val="auto"/>
                <w:sz w:val="24"/>
                <w:highlight w:val="none"/>
              </w:rPr>
            </w:pPr>
          </w:p>
        </w:tc>
        <w:tc>
          <w:tcPr>
            <w:tcW w:w="1984" w:type="dxa"/>
            <w:vAlign w:val="center"/>
          </w:tcPr>
          <w:p>
            <w:pPr>
              <w:spacing w:line="360" w:lineRule="auto"/>
              <w:jc w:val="center"/>
              <w:rPr>
                <w:rFonts w:hint="eastAsia" w:ascii="宋体" w:hAnsi="宋体" w:eastAsia="宋体" w:cs="宋体"/>
                <w:color w:val="auto"/>
                <w:sz w:val="24"/>
                <w:highlight w:val="none"/>
              </w:rPr>
            </w:pPr>
          </w:p>
        </w:tc>
        <w:tc>
          <w:tcPr>
            <w:tcW w:w="2557"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417" w:type="dxa"/>
            <w:vAlign w:val="center"/>
          </w:tcPr>
          <w:p>
            <w:pPr>
              <w:snapToGrid w:val="0"/>
              <w:spacing w:line="360" w:lineRule="auto"/>
              <w:jc w:val="center"/>
              <w:rPr>
                <w:rFonts w:hint="eastAsia" w:ascii="宋体" w:hAnsi="宋体" w:eastAsia="宋体" w:cs="宋体"/>
                <w:color w:val="auto"/>
                <w:sz w:val="24"/>
                <w:highlight w:val="none"/>
              </w:rPr>
            </w:pPr>
          </w:p>
        </w:tc>
        <w:tc>
          <w:tcPr>
            <w:tcW w:w="1843" w:type="dxa"/>
            <w:vAlign w:val="center"/>
          </w:tcPr>
          <w:p>
            <w:pPr>
              <w:snapToGrid w:val="0"/>
              <w:spacing w:line="360" w:lineRule="auto"/>
              <w:jc w:val="center"/>
              <w:rPr>
                <w:rFonts w:hint="eastAsia" w:ascii="宋体" w:hAnsi="宋体" w:eastAsia="宋体" w:cs="宋体"/>
                <w:color w:val="auto"/>
                <w:sz w:val="24"/>
                <w:highlight w:val="none"/>
              </w:rPr>
            </w:pPr>
          </w:p>
        </w:tc>
        <w:tc>
          <w:tcPr>
            <w:tcW w:w="3118" w:type="dxa"/>
            <w:vAlign w:val="center"/>
          </w:tcPr>
          <w:p>
            <w:pPr>
              <w:snapToGrid w:val="0"/>
              <w:spacing w:line="360" w:lineRule="auto"/>
              <w:jc w:val="center"/>
              <w:rPr>
                <w:rFonts w:hint="eastAsia" w:ascii="宋体" w:hAnsi="宋体" w:eastAsia="宋体" w:cs="宋体"/>
                <w:color w:val="auto"/>
                <w:sz w:val="24"/>
                <w:highlight w:val="none"/>
              </w:rPr>
            </w:pPr>
          </w:p>
        </w:tc>
        <w:tc>
          <w:tcPr>
            <w:tcW w:w="993" w:type="dxa"/>
            <w:vAlign w:val="center"/>
          </w:tcPr>
          <w:p>
            <w:pPr>
              <w:snapToGrid w:val="0"/>
              <w:spacing w:line="360" w:lineRule="auto"/>
              <w:jc w:val="center"/>
              <w:rPr>
                <w:rFonts w:hint="eastAsia" w:ascii="宋体" w:hAnsi="宋体" w:eastAsia="宋体" w:cs="宋体"/>
                <w:color w:val="auto"/>
                <w:sz w:val="24"/>
                <w:highlight w:val="none"/>
              </w:rPr>
            </w:pPr>
          </w:p>
        </w:tc>
        <w:tc>
          <w:tcPr>
            <w:tcW w:w="1559" w:type="dxa"/>
            <w:vAlign w:val="center"/>
          </w:tcPr>
          <w:p>
            <w:pPr>
              <w:spacing w:line="360" w:lineRule="auto"/>
              <w:jc w:val="center"/>
              <w:rPr>
                <w:rFonts w:hint="eastAsia" w:ascii="宋体" w:hAnsi="宋体" w:eastAsia="宋体" w:cs="宋体"/>
                <w:color w:val="auto"/>
                <w:sz w:val="24"/>
                <w:highlight w:val="none"/>
              </w:rPr>
            </w:pPr>
          </w:p>
        </w:tc>
        <w:tc>
          <w:tcPr>
            <w:tcW w:w="1984" w:type="dxa"/>
            <w:vAlign w:val="center"/>
          </w:tcPr>
          <w:p>
            <w:pPr>
              <w:spacing w:line="360" w:lineRule="auto"/>
              <w:jc w:val="center"/>
              <w:rPr>
                <w:rFonts w:hint="eastAsia" w:ascii="宋体" w:hAnsi="宋体" w:eastAsia="宋体" w:cs="宋体"/>
                <w:color w:val="auto"/>
                <w:sz w:val="24"/>
                <w:highlight w:val="none"/>
              </w:rPr>
            </w:pPr>
          </w:p>
        </w:tc>
        <w:tc>
          <w:tcPr>
            <w:tcW w:w="2557"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color w:val="auto"/>
                <w:sz w:val="24"/>
                <w:highlight w:val="none"/>
              </w:rPr>
            </w:pPr>
          </w:p>
        </w:tc>
        <w:tc>
          <w:tcPr>
            <w:tcW w:w="1417" w:type="dxa"/>
            <w:vAlign w:val="center"/>
          </w:tcPr>
          <w:p>
            <w:pPr>
              <w:snapToGrid w:val="0"/>
              <w:spacing w:line="360" w:lineRule="auto"/>
              <w:jc w:val="center"/>
              <w:rPr>
                <w:rFonts w:hint="eastAsia" w:ascii="宋体" w:hAnsi="宋体" w:eastAsia="宋体" w:cs="宋体"/>
                <w:color w:val="auto"/>
                <w:sz w:val="24"/>
                <w:highlight w:val="none"/>
              </w:rPr>
            </w:pPr>
          </w:p>
        </w:tc>
        <w:tc>
          <w:tcPr>
            <w:tcW w:w="1843" w:type="dxa"/>
            <w:vAlign w:val="center"/>
          </w:tcPr>
          <w:p>
            <w:pPr>
              <w:snapToGrid w:val="0"/>
              <w:spacing w:line="360" w:lineRule="auto"/>
              <w:jc w:val="center"/>
              <w:rPr>
                <w:rFonts w:hint="eastAsia" w:ascii="宋体" w:hAnsi="宋体" w:eastAsia="宋体" w:cs="宋体"/>
                <w:color w:val="auto"/>
                <w:sz w:val="24"/>
                <w:highlight w:val="none"/>
              </w:rPr>
            </w:pPr>
          </w:p>
        </w:tc>
        <w:tc>
          <w:tcPr>
            <w:tcW w:w="3118" w:type="dxa"/>
            <w:vAlign w:val="center"/>
          </w:tcPr>
          <w:p>
            <w:pPr>
              <w:snapToGrid w:val="0"/>
              <w:spacing w:line="360" w:lineRule="auto"/>
              <w:jc w:val="center"/>
              <w:rPr>
                <w:rFonts w:hint="eastAsia" w:ascii="宋体" w:hAnsi="宋体" w:eastAsia="宋体" w:cs="宋体"/>
                <w:color w:val="auto"/>
                <w:sz w:val="24"/>
                <w:highlight w:val="none"/>
              </w:rPr>
            </w:pPr>
          </w:p>
        </w:tc>
        <w:tc>
          <w:tcPr>
            <w:tcW w:w="993" w:type="dxa"/>
            <w:vAlign w:val="center"/>
          </w:tcPr>
          <w:p>
            <w:pPr>
              <w:snapToGrid w:val="0"/>
              <w:spacing w:line="360" w:lineRule="auto"/>
              <w:jc w:val="center"/>
              <w:rPr>
                <w:rFonts w:hint="eastAsia" w:ascii="宋体" w:hAnsi="宋体" w:eastAsia="宋体" w:cs="宋体"/>
                <w:color w:val="auto"/>
                <w:sz w:val="24"/>
                <w:highlight w:val="none"/>
              </w:rPr>
            </w:pPr>
          </w:p>
        </w:tc>
        <w:tc>
          <w:tcPr>
            <w:tcW w:w="1559" w:type="dxa"/>
            <w:vAlign w:val="center"/>
          </w:tcPr>
          <w:p>
            <w:pPr>
              <w:spacing w:line="360" w:lineRule="auto"/>
              <w:jc w:val="center"/>
              <w:rPr>
                <w:rFonts w:hint="eastAsia" w:ascii="宋体" w:hAnsi="宋体" w:eastAsia="宋体" w:cs="宋体"/>
                <w:color w:val="auto"/>
                <w:sz w:val="24"/>
                <w:highlight w:val="none"/>
              </w:rPr>
            </w:pPr>
          </w:p>
        </w:tc>
        <w:tc>
          <w:tcPr>
            <w:tcW w:w="1984" w:type="dxa"/>
            <w:vAlign w:val="center"/>
          </w:tcPr>
          <w:p>
            <w:pPr>
              <w:spacing w:line="360" w:lineRule="auto"/>
              <w:jc w:val="center"/>
              <w:rPr>
                <w:rFonts w:hint="eastAsia" w:ascii="宋体" w:hAnsi="宋体" w:eastAsia="宋体" w:cs="宋体"/>
                <w:color w:val="auto"/>
                <w:sz w:val="24"/>
                <w:highlight w:val="none"/>
              </w:rPr>
            </w:pPr>
          </w:p>
        </w:tc>
        <w:tc>
          <w:tcPr>
            <w:tcW w:w="2557"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color w:val="auto"/>
                <w:sz w:val="24"/>
                <w:highlight w:val="none"/>
              </w:rPr>
            </w:pPr>
          </w:p>
        </w:tc>
        <w:tc>
          <w:tcPr>
            <w:tcW w:w="1417" w:type="dxa"/>
            <w:vAlign w:val="center"/>
          </w:tcPr>
          <w:p>
            <w:pPr>
              <w:snapToGrid w:val="0"/>
              <w:spacing w:line="360" w:lineRule="auto"/>
              <w:jc w:val="center"/>
              <w:rPr>
                <w:rFonts w:hint="eastAsia" w:ascii="宋体" w:hAnsi="宋体" w:eastAsia="宋体" w:cs="宋体"/>
                <w:color w:val="auto"/>
                <w:sz w:val="24"/>
                <w:highlight w:val="none"/>
              </w:rPr>
            </w:pPr>
          </w:p>
        </w:tc>
        <w:tc>
          <w:tcPr>
            <w:tcW w:w="1843" w:type="dxa"/>
            <w:vAlign w:val="center"/>
          </w:tcPr>
          <w:p>
            <w:pPr>
              <w:snapToGrid w:val="0"/>
              <w:spacing w:line="360" w:lineRule="auto"/>
              <w:jc w:val="center"/>
              <w:rPr>
                <w:rFonts w:hint="eastAsia" w:ascii="宋体" w:hAnsi="宋体" w:eastAsia="宋体" w:cs="宋体"/>
                <w:color w:val="auto"/>
                <w:sz w:val="24"/>
                <w:highlight w:val="none"/>
              </w:rPr>
            </w:pPr>
          </w:p>
        </w:tc>
        <w:tc>
          <w:tcPr>
            <w:tcW w:w="3118" w:type="dxa"/>
            <w:vAlign w:val="center"/>
          </w:tcPr>
          <w:p>
            <w:pPr>
              <w:snapToGrid w:val="0"/>
              <w:spacing w:line="360" w:lineRule="auto"/>
              <w:jc w:val="center"/>
              <w:rPr>
                <w:rFonts w:hint="eastAsia" w:ascii="宋体" w:hAnsi="宋体" w:eastAsia="宋体" w:cs="宋体"/>
                <w:color w:val="auto"/>
                <w:sz w:val="24"/>
                <w:highlight w:val="none"/>
              </w:rPr>
            </w:pPr>
          </w:p>
        </w:tc>
        <w:tc>
          <w:tcPr>
            <w:tcW w:w="993" w:type="dxa"/>
            <w:vAlign w:val="center"/>
          </w:tcPr>
          <w:p>
            <w:pPr>
              <w:snapToGrid w:val="0"/>
              <w:spacing w:line="360" w:lineRule="auto"/>
              <w:jc w:val="center"/>
              <w:rPr>
                <w:rFonts w:hint="eastAsia" w:ascii="宋体" w:hAnsi="宋体" w:eastAsia="宋体" w:cs="宋体"/>
                <w:color w:val="auto"/>
                <w:sz w:val="24"/>
                <w:highlight w:val="none"/>
              </w:rPr>
            </w:pPr>
          </w:p>
        </w:tc>
        <w:tc>
          <w:tcPr>
            <w:tcW w:w="1559" w:type="dxa"/>
            <w:vAlign w:val="center"/>
          </w:tcPr>
          <w:p>
            <w:pPr>
              <w:spacing w:line="360" w:lineRule="auto"/>
              <w:jc w:val="center"/>
              <w:rPr>
                <w:rFonts w:hint="eastAsia" w:ascii="宋体" w:hAnsi="宋体" w:eastAsia="宋体" w:cs="宋体"/>
                <w:color w:val="auto"/>
                <w:sz w:val="24"/>
                <w:highlight w:val="none"/>
              </w:rPr>
            </w:pPr>
          </w:p>
        </w:tc>
        <w:tc>
          <w:tcPr>
            <w:tcW w:w="1984" w:type="dxa"/>
            <w:vAlign w:val="center"/>
          </w:tcPr>
          <w:p>
            <w:pPr>
              <w:spacing w:line="360" w:lineRule="auto"/>
              <w:jc w:val="center"/>
              <w:rPr>
                <w:rFonts w:hint="eastAsia" w:ascii="宋体" w:hAnsi="宋体" w:eastAsia="宋体" w:cs="宋体"/>
                <w:color w:val="auto"/>
                <w:sz w:val="24"/>
                <w:highlight w:val="none"/>
              </w:rPr>
            </w:pPr>
          </w:p>
        </w:tc>
        <w:tc>
          <w:tcPr>
            <w:tcW w:w="2557"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投标报价（小写）</w:t>
            </w:r>
          </w:p>
        </w:tc>
        <w:tc>
          <w:tcPr>
            <w:tcW w:w="7093" w:type="dxa"/>
            <w:gridSpan w:val="4"/>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投标报价（大写）</w:t>
            </w:r>
          </w:p>
        </w:tc>
        <w:tc>
          <w:tcPr>
            <w:tcW w:w="7093" w:type="dxa"/>
            <w:gridSpan w:val="4"/>
            <w:vAlign w:val="center"/>
          </w:tcPr>
          <w:p>
            <w:pPr>
              <w:spacing w:line="360" w:lineRule="auto"/>
              <w:jc w:val="center"/>
              <w:rPr>
                <w:rFonts w:hint="eastAsia" w:ascii="宋体" w:hAnsi="宋体" w:eastAsia="宋体" w:cs="宋体"/>
                <w:color w:val="auto"/>
                <w:sz w:val="24"/>
                <w:highlight w:val="none"/>
              </w:rPr>
            </w:pPr>
          </w:p>
        </w:tc>
      </w:tr>
    </w:tbl>
    <w:p>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color w:val="auto"/>
          <w:kern w:val="0"/>
          <w:sz w:val="24"/>
          <w:highlight w:val="none"/>
          <w:lang w:val="zh-CN"/>
        </w:rPr>
        <w:t>。</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3、特别提示：采购代理机构将对项目名称和项目编号，中标供应商名称、地址和中标金额，主要中标标的名称、品牌（如果有）、规格型号、数量等予以公示。</w:t>
      </w:r>
    </w:p>
    <w:p>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szCs w:val="22"/>
          <w:highlight w:val="none"/>
          <w:lang w:val="zh-CN"/>
        </w:rPr>
        <w:t>4、</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hint="eastAsia" w:ascii="宋体" w:hAnsi="宋体" w:eastAsia="宋体" w:cs="宋体"/>
          <w:b/>
          <w:color w:val="auto"/>
          <w:kern w:val="0"/>
          <w:sz w:val="24"/>
          <w:highlight w:val="none"/>
        </w:r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w:t>
      </w:r>
      <w:bookmarkStart w:id="549" w:name="_Hlk101259491"/>
      <w:r>
        <w:rPr>
          <w:rFonts w:hint="eastAsia" w:ascii="宋体" w:hAnsi="宋体" w:eastAsia="宋体" w:cs="宋体"/>
          <w:color w:val="auto"/>
          <w:sz w:val="32"/>
          <w:szCs w:val="32"/>
          <w:highlight w:val="none"/>
        </w:rPr>
        <w:t>（如果有）</w:t>
      </w:r>
      <w:bookmarkEnd w:id="549"/>
    </w:p>
    <w:p>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1906" w:h="16838"/>
          <w:pgMar w:top="1247" w:right="1418" w:bottom="1276" w:left="1418" w:header="851" w:footer="992" w:gutter="0"/>
          <w:cols w:space="0" w:num="1"/>
          <w:titlePg/>
          <w:rtlGutter w:val="0"/>
          <w:docGrid w:linePitch="312" w:charSpace="0"/>
        </w:sectPr>
      </w:pPr>
    </w:p>
    <w:p>
      <w:pPr>
        <w:pStyle w:val="3"/>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bookmarkStart w:id="550" w:name="_Toc465665161"/>
      <w:r>
        <w:rPr>
          <w:rFonts w:hint="eastAsia" w:ascii="宋体" w:hAnsi="宋体" w:eastAsia="宋体" w:cs="宋体"/>
          <w:color w:val="auto"/>
          <w:highlight w:val="none"/>
        </w:rPr>
        <w:t>附件</w:t>
      </w:r>
      <w:bookmarkEnd w:id="550"/>
    </w:p>
    <w:p>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pPr>
        <w:spacing w:line="360" w:lineRule="auto"/>
        <w:jc w:val="center"/>
        <w:rPr>
          <w:rFonts w:hint="eastAsia" w:ascii="宋体" w:hAnsi="宋体" w:eastAsia="宋体" w:cs="宋体"/>
          <w:b/>
          <w:color w:val="auto"/>
          <w:spacing w:val="6"/>
          <w:sz w:val="32"/>
          <w:szCs w:val="32"/>
          <w:highlight w:val="none"/>
        </w:rPr>
      </w:pPr>
      <w:bookmarkStart w:id="551" w:name="OLE_LINK13"/>
      <w:bookmarkStart w:id="552" w:name="OLE_LINK14"/>
      <w:r>
        <w:rPr>
          <w:rFonts w:hint="eastAsia" w:ascii="宋体" w:hAnsi="宋体" w:eastAsia="宋体" w:cs="宋体"/>
          <w:b/>
          <w:color w:val="auto"/>
          <w:spacing w:val="6"/>
          <w:sz w:val="32"/>
          <w:szCs w:val="32"/>
          <w:highlight w:val="none"/>
        </w:rPr>
        <w:t>残疾人福利性单位声明函</w:t>
      </w:r>
    </w:p>
    <w:bookmarkEnd w:id="551"/>
    <w:bookmarkEnd w:id="552"/>
    <w:p>
      <w:pPr>
        <w:spacing w:line="360" w:lineRule="auto"/>
        <w:rPr>
          <w:rFonts w:hint="eastAsia" w:ascii="宋体" w:hAnsi="宋体" w:eastAsia="宋体" w:cs="宋体"/>
          <w:b/>
          <w:color w:val="auto"/>
          <w:spacing w:val="6"/>
          <w:sz w:val="30"/>
          <w:szCs w:val="30"/>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lang w:eastAsia="zh-CN"/>
        </w:rPr>
        <w:t>建德市新安江职业学校</w:t>
      </w:r>
      <w:r>
        <w:rPr>
          <w:rFonts w:hint="eastAsia" w:ascii="宋体" w:hAnsi="宋体" w:eastAsia="宋体" w:cs="宋体"/>
          <w:color w:val="auto"/>
          <w:sz w:val="24"/>
          <w:highlight w:val="none"/>
        </w:rPr>
        <w:t>_单位的_</w:t>
      </w:r>
      <w:r>
        <w:rPr>
          <w:rFonts w:hint="eastAsia" w:ascii="宋体" w:hAnsi="宋体" w:cs="宋体"/>
          <w:color w:val="auto"/>
          <w:sz w:val="24"/>
          <w:highlight w:val="none"/>
          <w:u w:val="single"/>
          <w:lang w:eastAsia="zh-CN"/>
        </w:rPr>
        <w:t>新职校校园维修改造工程三期能效提升节能改造示范项目之光伏设施设备采购项目（第二次）</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pPr>
        <w:snapToGrid w:val="0"/>
        <w:spacing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地址：邮编：</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联系人：联系电话：</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 邮编：</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质疑项目的编号：包号：</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p>
    <w:p>
      <w:pPr>
        <w:snapToGrid w:val="0"/>
        <w:spacing w:line="360" w:lineRule="auto"/>
        <w:rPr>
          <w:rFonts w:hint="eastAsia" w:ascii="宋体" w:hAnsi="宋体" w:eastAsia="宋体" w:cs="宋体"/>
          <w:color w:val="auto"/>
          <w:sz w:val="24"/>
          <w:highlight w:val="none"/>
          <w:u w:val="dotted"/>
        </w:rPr>
      </w:pP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jc w:val="center"/>
        <w:rPr>
          <w:rFonts w:hint="eastAsia" w:ascii="宋体" w:hAnsi="宋体" w:eastAsia="宋体" w:cs="宋体"/>
          <w:b/>
          <w:bCs/>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color w:val="auto"/>
          <w:sz w:val="30"/>
          <w:szCs w:val="30"/>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址：邮编：</w:t>
      </w:r>
    </w:p>
    <w:p>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p>
    <w:p>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址：邮编：</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址：邮编：</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联系人：联系电话：</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址：邮编：</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联系人：联系电话：</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采购项目编号：包号：</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投诉人于年月日,向提出质疑，质疑事项为：</w:t>
      </w:r>
    </w:p>
    <w:p>
      <w:pPr>
        <w:spacing w:line="360" w:lineRule="auto"/>
        <w:rPr>
          <w:rFonts w:hint="eastAsia" w:ascii="宋体" w:hAnsi="宋体" w:eastAsia="宋体" w:cs="宋体"/>
          <w:color w:val="auto"/>
          <w:sz w:val="24"/>
          <w:highlight w:val="none"/>
          <w:u w:val="dotted"/>
        </w:rPr>
      </w:pPr>
    </w:p>
    <w:p>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于年月日,就质疑事项作出了答复/没有在法定期限内作出答复。</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p>
    <w:p>
      <w:pPr>
        <w:spacing w:line="360" w:lineRule="auto"/>
        <w:rPr>
          <w:rFonts w:hint="eastAsia" w:ascii="宋体" w:hAnsi="宋体" w:eastAsia="宋体" w:cs="宋体"/>
          <w:color w:val="auto"/>
          <w:sz w:val="24"/>
          <w:highlight w:val="none"/>
          <w:u w:val="dotted"/>
        </w:rPr>
      </w:pP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p>
    <w:p>
      <w:pPr>
        <w:spacing w:line="360" w:lineRule="auto"/>
        <w:rPr>
          <w:rFonts w:hint="eastAsia" w:ascii="宋体" w:hAnsi="宋体" w:eastAsia="宋体" w:cs="宋体"/>
          <w:color w:val="auto"/>
          <w:sz w:val="24"/>
          <w:highlight w:val="none"/>
          <w:u w:val="dotted"/>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p>
    <w:p>
      <w:pPr>
        <w:spacing w:line="360" w:lineRule="auto"/>
        <w:rPr>
          <w:rFonts w:hint="eastAsia" w:ascii="宋体" w:hAnsi="宋体" w:eastAsia="宋体" w:cs="宋体"/>
          <w:color w:val="auto"/>
          <w:sz w:val="24"/>
          <w:highlight w:val="none"/>
          <w:u w:val="singl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eastAsia="宋体" w:cs="宋体"/>
          <w:b/>
          <w:color w:val="auto"/>
          <w:sz w:val="24"/>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pPr>
        <w:spacing w:line="360" w:lineRule="auto"/>
        <w:rPr>
          <w:rFonts w:hint="eastAsia" w:ascii="宋体" w:hAnsi="宋体" w:eastAsia="宋体" w:cs="宋体"/>
          <w:color w:val="auto"/>
          <w:sz w:val="24"/>
          <w:highlight w:val="none"/>
          <w:u w:val="single"/>
        </w:rPr>
      </w:pPr>
    </w:p>
    <w:p>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u w:val="single"/>
          <w:lang w:eastAsia="zh-CN"/>
        </w:rPr>
        <w:t>建德市新安江职业学校</w:t>
      </w:r>
      <w:r>
        <w:rPr>
          <w:rFonts w:hint="eastAsia" w:ascii="宋体" w:hAnsi="宋体" w:eastAsia="宋体" w:cs="宋体"/>
          <w:color w:val="auto"/>
          <w:sz w:val="24"/>
          <w:highlight w:val="none"/>
          <w:u w:val="single"/>
        </w:rPr>
        <w:t>、</w:t>
      </w:r>
      <w:r>
        <w:rPr>
          <w:rFonts w:hint="eastAsia" w:ascii="宋体" w:hAnsi="宋体" w:cs="宋体"/>
          <w:color w:val="auto"/>
          <w:sz w:val="24"/>
          <w:highlight w:val="none"/>
          <w:u w:val="single"/>
          <w:lang w:eastAsia="zh-CN"/>
        </w:rPr>
        <w:t>欧邦工程管理集团有限公司</w:t>
      </w:r>
      <w:r>
        <w:rPr>
          <w:rFonts w:hint="eastAsia" w:ascii="宋体" w:hAnsi="宋体" w:eastAsia="宋体" w:cs="宋体"/>
          <w:color w:val="auto"/>
          <w:sz w:val="24"/>
          <w:highlight w:val="none"/>
          <w:u w:val="singl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w:t>
      </w:r>
      <w:r>
        <w:rPr>
          <w:rFonts w:hint="eastAsia" w:ascii="宋体" w:hAnsi="宋体" w:eastAsia="宋体" w:cs="宋体"/>
          <w:color w:val="auto"/>
          <w:kern w:val="0"/>
          <w:sz w:val="24"/>
          <w:highlight w:val="none"/>
          <w:u w:val="single"/>
          <w:lang w:val="zh-CN"/>
        </w:rPr>
        <w:t>方</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sz w:val="24"/>
          <w:highlight w:val="none"/>
          <w:u w:val="single"/>
        </w:rPr>
        <w:t>(投标人全称)</w:t>
      </w:r>
      <w:r>
        <w:rPr>
          <w:rFonts w:hint="eastAsia" w:ascii="宋体" w:hAnsi="宋体" w:eastAsia="宋体" w:cs="宋体"/>
          <w:color w:val="auto"/>
          <w:sz w:val="24"/>
          <w:highlight w:val="none"/>
        </w:rPr>
        <w:t>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w:t>
      </w:r>
      <w:r>
        <w:rPr>
          <w:rFonts w:hint="eastAsia" w:ascii="宋体" w:hAnsi="宋体" w:cs="宋体"/>
          <w:color w:val="auto"/>
          <w:sz w:val="24"/>
          <w:highlight w:val="none"/>
          <w:lang w:eastAsia="zh-CN"/>
        </w:rPr>
        <w:t>新职校校园维修改造工程三期能效提升节能改造示范项目之光伏设施设备采购项目（第二次）</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JD2023BF-187-01</w:t>
      </w:r>
      <w:r>
        <w:rPr>
          <w:rFonts w:hint="eastAsia" w:ascii="宋体" w:hAnsi="宋体" w:eastAsia="宋体" w:cs="宋体"/>
          <w:color w:val="auto"/>
          <w:sz w:val="24"/>
          <w:highlight w:val="none"/>
        </w:rPr>
        <w:t>】</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2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1kA8/2AAAAAoBAAAPAAAAAAAAAAEAIAAAACIAAABkcnMvZG93bnJldi54bWxQ&#10;SwECFAAUAAAACACHTuJAIJ8nMTACAACDBAAADgAAAAAAAAABACAAAAAnAQAAZHJzL2Uyb0RvYy54&#10;bWxQSwUGAAAAAAYABgBZAQAAyQ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YYKiS8CAACD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CxhgqJLwIAAIM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投标单位法定名称章（印模）                投标单位“XX专用章”（印模）</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both"/>
        <w:rPr>
          <w:rFonts w:hint="eastAsia" w:ascii="宋体" w:hAnsi="宋体" w:eastAsia="宋体" w:cs="宋体"/>
          <w:b/>
          <w:color w:val="auto"/>
          <w:spacing w:val="6"/>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附件5：联合协议</w:t>
      </w:r>
    </w:p>
    <w:p>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cs="宋体"/>
          <w:color w:val="auto"/>
          <w:sz w:val="24"/>
          <w:highlight w:val="none"/>
          <w:lang w:eastAsia="zh-CN"/>
        </w:rPr>
        <w:t>新职校校园维修改造工程三期能效提升节能改造示范项目之光伏设施设备采购项目（第二次）</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JD2023BF-187-01</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投标。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pPr>
        <w:snapToGrid w:val="0"/>
        <w:spacing w:line="360" w:lineRule="auto"/>
        <w:ind w:firstLine="576"/>
        <w:rPr>
          <w:rFonts w:hint="eastAsia" w:ascii="宋体" w:hAnsi="宋体" w:eastAsia="宋体" w:cs="宋体"/>
          <w:color w:val="auto"/>
          <w:kern w:val="0"/>
          <w:sz w:val="24"/>
          <w:highlight w:val="none"/>
          <w:lang w:val="zh-CN"/>
        </w:rPr>
      </w:pPr>
      <w:bookmarkStart w:id="553" w:name="_Hlk101134295"/>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kern w:val="0"/>
          <w:sz w:val="24"/>
          <w:highlight w:val="none"/>
          <w:u w:val="single"/>
          <w:lang w:val="zh-CN"/>
        </w:rPr>
        <w:t>：</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kern w:val="0"/>
          <w:sz w:val="24"/>
          <w:highlight w:val="none"/>
          <w:u w:val="single"/>
          <w:lang w:val="zh-CN"/>
        </w:rPr>
        <w:t>：</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bookmarkEnd w:id="553"/>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（联合体成员X,……）</w:t>
      </w:r>
      <w:r>
        <w:rPr>
          <w:rFonts w:hint="eastAsia" w:ascii="宋体" w:hAnsi="宋体" w:eastAsia="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rPr>
        <w:t>%以</w:t>
      </w:r>
      <w:r>
        <w:rPr>
          <w:rFonts w:hint="eastAsia" w:ascii="宋体" w:hAnsi="宋体" w:eastAsia="宋体" w:cs="宋体"/>
          <w:color w:val="auto"/>
          <w:kern w:val="0"/>
          <w:sz w:val="24"/>
          <w:highlight w:val="none"/>
        </w:rPr>
        <w:t>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（未预留份额专门面向中小企业采购</w:t>
      </w:r>
      <w:r>
        <w:rPr>
          <w:rFonts w:hint="eastAsia" w:ascii="宋体" w:hAnsi="宋体" w:cs="宋体"/>
          <w:b/>
          <w:color w:val="auto"/>
          <w:kern w:val="0"/>
          <w:sz w:val="24"/>
          <w:highlight w:val="none"/>
          <w:lang w:val="zh-CN"/>
        </w:rPr>
        <w:t>的</w:t>
      </w:r>
      <w:r>
        <w:rPr>
          <w:rFonts w:hint="eastAsia" w:ascii="宋体" w:hAnsi="宋体" w:eastAsia="宋体" w:cs="宋体"/>
          <w:b/>
          <w:color w:val="auto"/>
          <w:kern w:val="0"/>
          <w:sz w:val="24"/>
          <w:highlight w:val="none"/>
          <w:lang w:val="zh-CN"/>
        </w:rPr>
        <w:t>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，其中小微企业合同金额达到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both"/>
        <w:rPr>
          <w:rFonts w:hint="eastAsia" w:ascii="宋体" w:hAnsi="宋体" w:eastAsia="宋体" w:cs="宋体"/>
          <w:b/>
          <w:color w:val="auto"/>
          <w:spacing w:val="6"/>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附件6：分包意向协议</w:t>
      </w:r>
    </w:p>
    <w:p>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cs="宋体"/>
          <w:color w:val="auto"/>
          <w:sz w:val="24"/>
          <w:highlight w:val="none"/>
          <w:lang w:eastAsia="zh-CN"/>
        </w:rPr>
        <w:t>新职校校园维修改造工程三期能效提升节能改造示范项目之光伏设施设备采购项目（第二次）</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JD2023BF-187-01</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pPr>
        <w:pStyle w:val="4"/>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（分包供应商X,……）提供的货物全部由小微企业制造，</w:t>
      </w:r>
      <w:r>
        <w:rPr>
          <w:rFonts w:hint="eastAsia" w:ascii="宋体" w:hAnsi="宋体" w:eastAsia="宋体" w:cs="宋体"/>
          <w:color w:val="auto"/>
          <w:kern w:val="0"/>
          <w:sz w:val="24"/>
          <w:highlight w:val="none"/>
        </w:rPr>
        <w:t>其合同份额占到合同总金额</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w:t>
      </w:r>
      <w:r>
        <w:rPr>
          <w:rFonts w:hint="eastAsia" w:ascii="宋体" w:hAnsi="宋体" w:cs="宋体"/>
          <w:b/>
          <w:color w:val="auto"/>
          <w:kern w:val="0"/>
          <w:sz w:val="24"/>
          <w:highlight w:val="none"/>
          <w:lang w:val="zh-CN"/>
        </w:rPr>
        <w:t>的</w:t>
      </w:r>
      <w:r>
        <w:rPr>
          <w:rFonts w:hint="eastAsia" w:ascii="宋体" w:hAnsi="宋体" w:eastAsia="宋体" w:cs="宋体"/>
          <w:b/>
          <w:color w:val="auto"/>
          <w:kern w:val="0"/>
          <w:sz w:val="24"/>
          <w:highlight w:val="none"/>
          <w:lang w:val="zh-CN"/>
        </w:rPr>
        <w:t>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554" w:name="_Hlk101133173"/>
      <w:r>
        <w:rPr>
          <w:rFonts w:hint="eastAsia" w:ascii="宋体" w:hAnsi="宋体" w:eastAsia="宋体" w:cs="宋体"/>
          <w:color w:val="auto"/>
          <w:sz w:val="24"/>
          <w:highlight w:val="none"/>
        </w:rPr>
        <w:t>中小企业合同金额达到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，其中小微企业合同金额达到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bookmarkEnd w:id="554"/>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p>
    <w:p>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w:t>
      </w:r>
    </w:p>
    <w:p>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br w:type="page"/>
      </w:r>
    </w:p>
    <w:p>
      <w:pPr>
        <w:snapToGrid w:val="0"/>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附件7：中小企业声明函</w:t>
      </w:r>
    </w:p>
    <w:p>
      <w:pPr>
        <w:spacing w:line="360" w:lineRule="auto"/>
        <w:jc w:val="center"/>
        <w:rPr>
          <w:rFonts w:hint="eastAsia" w:ascii="宋体" w:hAnsi="宋体" w:eastAsia="宋体" w:cs="宋体"/>
          <w:color w:val="auto"/>
          <w:sz w:val="24"/>
          <w:highlight w:val="none"/>
          <w:u w:val="single"/>
        </w:rPr>
      </w:pPr>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中小企业声明函（货物）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建德市新安江职业学校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的 </w:t>
      </w:r>
      <w:r>
        <w:rPr>
          <w:rFonts w:hint="eastAsia" w:ascii="宋体" w:hAnsi="宋体" w:cs="宋体"/>
          <w:color w:val="auto"/>
          <w:sz w:val="24"/>
          <w:highlight w:val="none"/>
          <w:u w:val="single"/>
          <w:lang w:eastAsia="zh-CN"/>
        </w:rPr>
        <w:t>新职校校园维修改造工程三期能效提升节能改造示范项目之光伏设施设备采购项目（第二次）</w:t>
      </w:r>
      <w:r>
        <w:rPr>
          <w:rFonts w:hint="eastAsia" w:ascii="宋体" w:hAnsi="宋体" w:eastAsia="宋体" w:cs="宋体"/>
          <w:color w:val="auto"/>
          <w:sz w:val="24"/>
          <w:highlight w:val="none"/>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u w:val="single"/>
        </w:rPr>
        <w:t>（标的名称）</w:t>
      </w:r>
      <w:r>
        <w:rPr>
          <w:rFonts w:hint="eastAsia" w:ascii="宋体" w:hAnsi="宋体" w:eastAsia="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eastAsia="宋体" w:cs="宋体"/>
          <w:color w:val="auto"/>
          <w:sz w:val="24"/>
          <w:highlight w:val="none"/>
        </w:rPr>
        <w:t>行业 ；制造商为</w:t>
      </w:r>
      <w:r>
        <w:rPr>
          <w:rFonts w:hint="eastAsia" w:ascii="宋体" w:hAnsi="宋体" w:eastAsia="宋体" w:cs="宋体"/>
          <w:color w:val="auto"/>
          <w:sz w:val="24"/>
          <w:highlight w:val="none"/>
          <w:u w:val="single"/>
        </w:rPr>
        <w:t xml:space="preserve"> （企业名称）</w:t>
      </w:r>
      <w:r>
        <w:rPr>
          <w:rFonts w:hint="eastAsia" w:ascii="宋体" w:hAnsi="宋体" w:eastAsia="宋体" w:cs="宋体"/>
          <w:color w:val="auto"/>
          <w:sz w:val="24"/>
          <w:highlight w:val="none"/>
        </w:rPr>
        <w:t xml:space="preserve"> ，从业人员</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人</w:t>
      </w:r>
      <w:r>
        <w:rPr>
          <w:rFonts w:hint="eastAsia" w:ascii="宋体" w:hAnsi="宋体" w:eastAsia="宋体" w:cs="宋体"/>
          <w:color w:val="auto"/>
          <w:sz w:val="24"/>
          <w:highlight w:val="none"/>
        </w:rPr>
        <w:t>，营业收入为</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万元</w:t>
      </w:r>
      <w:r>
        <w:rPr>
          <w:rFonts w:hint="eastAsia" w:ascii="宋体" w:hAnsi="宋体" w:eastAsia="宋体" w:cs="宋体"/>
          <w:color w:val="auto"/>
          <w:sz w:val="24"/>
          <w:highlight w:val="none"/>
        </w:rPr>
        <w:t>，资产总额为</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万元</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 ，属于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行业 ；制造商为</w:t>
      </w:r>
      <w:r>
        <w:rPr>
          <w:rFonts w:hint="eastAsia" w:ascii="宋体" w:hAnsi="宋体" w:eastAsia="宋体" w:cs="宋体"/>
          <w:color w:val="auto"/>
          <w:sz w:val="24"/>
          <w:highlight w:val="none"/>
          <w:u w:val="single"/>
        </w:rPr>
        <w:t xml:space="preserve"> （企业名称）</w:t>
      </w:r>
      <w:r>
        <w:rPr>
          <w:rFonts w:hint="eastAsia" w:ascii="宋体" w:hAnsi="宋体" w:eastAsia="宋体" w:cs="宋体"/>
          <w:color w:val="auto"/>
          <w:sz w:val="24"/>
          <w:highlight w:val="none"/>
        </w:rPr>
        <w:t xml:space="preserve"> ，从业人员</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人</w:t>
      </w:r>
      <w:r>
        <w:rPr>
          <w:rFonts w:hint="eastAsia" w:ascii="宋体" w:hAnsi="宋体" w:eastAsia="宋体" w:cs="宋体"/>
          <w:color w:val="auto"/>
          <w:sz w:val="24"/>
          <w:highlight w:val="none"/>
        </w:rPr>
        <w:t>，营业收入为</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万元</w:t>
      </w:r>
      <w:r>
        <w:rPr>
          <w:rFonts w:hint="eastAsia" w:ascii="宋体" w:hAnsi="宋体" w:eastAsia="宋体" w:cs="宋体"/>
          <w:color w:val="auto"/>
          <w:sz w:val="24"/>
          <w:highlight w:val="none"/>
        </w:rPr>
        <w:t>，资产总额为</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万元</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pPr>
        <w:snapToGrid w:val="0"/>
        <w:spacing w:line="360" w:lineRule="auto"/>
        <w:ind w:firstLine="5160" w:firstLineChars="21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月日</w:t>
      </w:r>
    </w:p>
    <w:p>
      <w:pPr>
        <w:spacing w:line="360" w:lineRule="auto"/>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w:t>
      </w:r>
      <w:r>
        <w:rPr>
          <w:rFonts w:hint="eastAsia" w:ascii="宋体" w:hAnsi="宋体" w:eastAsia="宋体" w:cs="宋体"/>
          <w:b/>
          <w:bCs/>
          <w:color w:val="auto"/>
          <w:sz w:val="24"/>
          <w:highlight w:val="none"/>
        </w:rPr>
        <w:t>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w:t>
      </w:r>
      <w:r>
        <w:rPr>
          <w:rFonts w:hint="eastAsia" w:ascii="宋体" w:hAnsi="宋体" w:eastAsia="宋体" w:cs="宋体"/>
          <w:color w:val="auto"/>
          <w:sz w:val="24"/>
          <w:highlight w:val="none"/>
        </w:rPr>
        <w:t>声明内容不实的，属于提供虚假材料谋取中标、成交的，依法承担法律责任。</w:t>
      </w:r>
    </w:p>
    <w:p>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hint="eastAsia" w:ascii="宋体" w:hAnsi="宋体" w:eastAsia="宋体" w:cs="宋体"/>
          <w:b/>
          <w:color w:val="auto"/>
          <w:sz w:val="32"/>
          <w:szCs w:val="32"/>
          <w:highlight w:val="none"/>
        </w:rPr>
      </w:pPr>
    </w:p>
    <w:p>
      <w:pPr>
        <w:spacing w:line="360" w:lineRule="auto"/>
        <w:jc w:val="center"/>
        <w:rPr>
          <w:rFonts w:hint="eastAsia" w:ascii="宋体" w:hAnsi="宋体" w:eastAsia="宋体" w:cs="宋体"/>
          <w:b/>
          <w:color w:val="auto"/>
          <w:sz w:val="32"/>
          <w:szCs w:val="32"/>
          <w:highlight w:val="none"/>
        </w:rPr>
      </w:pPr>
    </w:p>
    <w:p>
      <w:pPr>
        <w:spacing w:line="360" w:lineRule="auto"/>
        <w:jc w:val="center"/>
        <w:rPr>
          <w:rFonts w:hint="eastAsia" w:ascii="宋体" w:hAnsi="宋体" w:eastAsia="宋体" w:cs="宋体"/>
          <w:b/>
          <w:color w:val="auto"/>
          <w:sz w:val="32"/>
          <w:szCs w:val="32"/>
          <w:highlight w:val="none"/>
        </w:rPr>
      </w:pPr>
    </w:p>
    <w:p>
      <w:pPr>
        <w:spacing w:line="360" w:lineRule="auto"/>
        <w:jc w:val="center"/>
        <w:rPr>
          <w:rFonts w:hint="eastAsia" w:ascii="宋体" w:hAnsi="宋体" w:eastAsia="宋体" w:cs="宋体"/>
          <w:b/>
          <w:color w:val="auto"/>
          <w:sz w:val="32"/>
          <w:szCs w:val="32"/>
          <w:highlight w:val="none"/>
        </w:rPr>
      </w:pPr>
    </w:p>
    <w:p>
      <w:pPr>
        <w:spacing w:line="360" w:lineRule="auto"/>
        <w:jc w:val="center"/>
        <w:rPr>
          <w:rFonts w:hint="eastAsia" w:ascii="宋体" w:hAnsi="宋体" w:eastAsia="宋体" w:cs="宋体"/>
          <w:b/>
          <w:color w:val="auto"/>
          <w:sz w:val="32"/>
          <w:szCs w:val="32"/>
          <w:highlight w:val="none"/>
        </w:rPr>
      </w:pPr>
    </w:p>
    <w:p>
      <w:pPr>
        <w:spacing w:line="360" w:lineRule="auto"/>
        <w:jc w:val="center"/>
        <w:rPr>
          <w:rFonts w:hint="eastAsia" w:ascii="宋体" w:hAnsi="宋体" w:eastAsia="宋体" w:cs="宋体"/>
          <w:b/>
          <w:color w:val="auto"/>
          <w:sz w:val="32"/>
          <w:szCs w:val="32"/>
          <w:highlight w:val="none"/>
        </w:rPr>
      </w:pPr>
    </w:p>
    <w:p>
      <w:pPr>
        <w:spacing w:line="360" w:lineRule="auto"/>
        <w:jc w:val="center"/>
        <w:rPr>
          <w:rFonts w:hint="eastAsia" w:ascii="宋体" w:hAnsi="宋体" w:eastAsia="宋体" w:cs="宋体"/>
          <w:b/>
          <w:color w:val="auto"/>
          <w:sz w:val="32"/>
          <w:szCs w:val="32"/>
          <w:highlight w:val="none"/>
        </w:rPr>
      </w:pPr>
    </w:p>
    <w:p>
      <w:pPr>
        <w:spacing w:line="360" w:lineRule="auto"/>
        <w:jc w:val="center"/>
        <w:rPr>
          <w:rFonts w:hint="eastAsia" w:ascii="宋体" w:hAnsi="宋体" w:eastAsia="宋体" w:cs="宋体"/>
          <w:b/>
          <w:color w:val="auto"/>
          <w:sz w:val="32"/>
          <w:szCs w:val="32"/>
          <w:highlight w:val="none"/>
        </w:rPr>
      </w:pPr>
    </w:p>
    <w:p>
      <w:pPr>
        <w:spacing w:line="360" w:lineRule="auto"/>
        <w:jc w:val="center"/>
        <w:rPr>
          <w:rFonts w:hint="eastAsia" w:ascii="宋体" w:hAnsi="宋体" w:eastAsia="宋体" w:cs="宋体"/>
          <w:b/>
          <w:color w:val="auto"/>
          <w:sz w:val="32"/>
          <w:szCs w:val="32"/>
          <w:highlight w:val="none"/>
        </w:rPr>
      </w:pPr>
    </w:p>
    <w:p>
      <w:pPr>
        <w:tabs>
          <w:tab w:val="left" w:pos="1048"/>
        </w:tabs>
        <w:bidi w:val="0"/>
        <w:jc w:val="left"/>
        <w:rPr>
          <w:rFonts w:hint="eastAsia"/>
          <w:color w:val="auto"/>
          <w:highlight w:val="none"/>
          <w:lang w:val="en-US" w:eastAsia="zh-CN"/>
        </w:rPr>
      </w:pPr>
    </w:p>
    <w:bookmarkEnd w:id="559"/>
    <w:sectPr>
      <w:headerReference r:id="rId21" w:type="first"/>
      <w:footerReference r:id="rId24" w:type="first"/>
      <w:headerReference r:id="rId20" w:type="default"/>
      <w:footerReference r:id="rId22" w:type="default"/>
      <w:footerReference r:id="rId23" w:type="even"/>
      <w:pgSz w:w="11906" w:h="16838"/>
      <w:pgMar w:top="1247" w:right="1418" w:bottom="1276" w:left="1418"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5"/>
      </w:rPr>
    </w:pPr>
    <w:r>
      <w:fldChar w:fldCharType="begin"/>
    </w:r>
    <w:r>
      <w:rPr>
        <w:rStyle w:val="75"/>
      </w:rPr>
      <w:instrText xml:space="preserve">PAGE  </w:instrText>
    </w:r>
    <w:r>
      <w:fldChar w:fldCharType="end"/>
    </w:r>
  </w:p>
  <w:p>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5"/>
      </w:rPr>
    </w:pPr>
    <w:r>
      <w:fldChar w:fldCharType="begin"/>
    </w:r>
    <w:r>
      <w:rPr>
        <w:rStyle w:val="75"/>
      </w:rPr>
      <w:instrText xml:space="preserve">PAGE  </w:instrText>
    </w:r>
    <w:r>
      <w:fldChar w:fldCharType="end"/>
    </w:r>
  </w:p>
  <w:p>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62</w:t>
    </w:r>
    <w:r>
      <w:rPr>
        <w:rFonts w:hint="eastAsia" w:ascii="仿宋_GB2312" w:eastAsia="仿宋_GB2312"/>
        <w:kern w:val="0"/>
        <w:szCs w:val="21"/>
      </w:rPr>
      <w:fldChar w:fldCharType="end"/>
    </w:r>
    <w:bookmarkStart w:id="555" w:name="_Toc164085800"/>
    <w:bookmarkStart w:id="556" w:name="_Toc131845147"/>
    <w:bookmarkStart w:id="557" w:name="_Toc36110187"/>
    <w:bookmarkStart w:id="558" w:name="_Toc91899912"/>
    <w:r>
      <w:rPr>
        <w:rFonts w:hint="eastAsia" w:ascii="仿宋_GB2312" w:eastAsia="仿宋_GB2312"/>
        <w:kern w:val="0"/>
        <w:szCs w:val="21"/>
      </w:rPr>
      <w:t xml:space="preserve"> 页</w:t>
    </w:r>
    <w:bookmarkEnd w:id="555"/>
    <w:bookmarkEnd w:id="556"/>
    <w:bookmarkEnd w:id="557"/>
    <w:bookmarkEnd w:id="55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4"/>
      </w:pBdr>
      <w:jc w:val="right"/>
      <w:rPr>
        <w:lang w:val="en-US"/>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u w:val="single"/>
      </w:rPr>
    </w:pP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p>
  <w:p>
    <w:pPr>
      <w:pStyle w:val="43"/>
    </w:pPr>
    <w:r>
      <w:rPr>
        <w:rFonts w:hint="eastAsia"/>
        <w:lang w:val="en-US" w:eastAsia="zh-CN"/>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 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u w:val="single"/>
      </w:rPr>
    </w:pP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025495B"/>
    <w:multiLevelType w:val="singleLevel"/>
    <w:tmpl w:val="2025495B"/>
    <w:lvl w:ilvl="0" w:tentative="0">
      <w:start w:val="6"/>
      <w:numFmt w:val="decimal"/>
      <w:suff w:val="nothing"/>
      <w:lvlText w:val="%1、"/>
      <w:lvlJc w:val="left"/>
    </w:lvl>
  </w:abstractNum>
  <w:abstractNum w:abstractNumId="1">
    <w:nsid w:val="2943CF73"/>
    <w:multiLevelType w:val="singleLevel"/>
    <w:tmpl w:val="2943CF73"/>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xODNiNmZjOGY2MzI5YWNiYTc1YTQ2NzZhNjMwOD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3D0E"/>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2589"/>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364"/>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4400"/>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3E89"/>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A0B"/>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07F"/>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453A14"/>
    <w:rsid w:val="01666EB8"/>
    <w:rsid w:val="017936BE"/>
    <w:rsid w:val="01903238"/>
    <w:rsid w:val="019F7441"/>
    <w:rsid w:val="01B37585"/>
    <w:rsid w:val="01D55165"/>
    <w:rsid w:val="01DF6BF8"/>
    <w:rsid w:val="01EC2C57"/>
    <w:rsid w:val="02535CBD"/>
    <w:rsid w:val="025F0711"/>
    <w:rsid w:val="026B2E25"/>
    <w:rsid w:val="02824D4D"/>
    <w:rsid w:val="029307AF"/>
    <w:rsid w:val="02D72B3A"/>
    <w:rsid w:val="02DC4B10"/>
    <w:rsid w:val="02DD76CE"/>
    <w:rsid w:val="02F36323"/>
    <w:rsid w:val="02F5619C"/>
    <w:rsid w:val="0326446A"/>
    <w:rsid w:val="032D5555"/>
    <w:rsid w:val="034462BF"/>
    <w:rsid w:val="036634D2"/>
    <w:rsid w:val="03AC782A"/>
    <w:rsid w:val="03DD35E4"/>
    <w:rsid w:val="04076900"/>
    <w:rsid w:val="041A5A3B"/>
    <w:rsid w:val="041A6372"/>
    <w:rsid w:val="042311BA"/>
    <w:rsid w:val="042B157A"/>
    <w:rsid w:val="045C1E29"/>
    <w:rsid w:val="04611158"/>
    <w:rsid w:val="047544C8"/>
    <w:rsid w:val="047F0FEB"/>
    <w:rsid w:val="048F763B"/>
    <w:rsid w:val="049F330E"/>
    <w:rsid w:val="04A11DD1"/>
    <w:rsid w:val="04AA775C"/>
    <w:rsid w:val="04AF1889"/>
    <w:rsid w:val="04C83B1D"/>
    <w:rsid w:val="04D047D6"/>
    <w:rsid w:val="04D35B8E"/>
    <w:rsid w:val="04D56E5D"/>
    <w:rsid w:val="04EE2134"/>
    <w:rsid w:val="04F66F48"/>
    <w:rsid w:val="05055591"/>
    <w:rsid w:val="05251E14"/>
    <w:rsid w:val="05A16594"/>
    <w:rsid w:val="05A7762D"/>
    <w:rsid w:val="060E5941"/>
    <w:rsid w:val="06110FAF"/>
    <w:rsid w:val="06456265"/>
    <w:rsid w:val="06493CA7"/>
    <w:rsid w:val="065A6178"/>
    <w:rsid w:val="066F1CF3"/>
    <w:rsid w:val="06930BB8"/>
    <w:rsid w:val="06FF0F3B"/>
    <w:rsid w:val="07097292"/>
    <w:rsid w:val="07245D42"/>
    <w:rsid w:val="07264C62"/>
    <w:rsid w:val="074978E1"/>
    <w:rsid w:val="0779354C"/>
    <w:rsid w:val="07823CC2"/>
    <w:rsid w:val="08061376"/>
    <w:rsid w:val="08177D1A"/>
    <w:rsid w:val="08452D77"/>
    <w:rsid w:val="086401F8"/>
    <w:rsid w:val="08751CAA"/>
    <w:rsid w:val="087E4C40"/>
    <w:rsid w:val="089A6D37"/>
    <w:rsid w:val="08A871D0"/>
    <w:rsid w:val="08AE200D"/>
    <w:rsid w:val="08C52CD6"/>
    <w:rsid w:val="08D66AD6"/>
    <w:rsid w:val="08DA33A3"/>
    <w:rsid w:val="08E80F13"/>
    <w:rsid w:val="092E1232"/>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7F4573"/>
    <w:rsid w:val="0A800499"/>
    <w:rsid w:val="0AA374A5"/>
    <w:rsid w:val="0AAB7649"/>
    <w:rsid w:val="0ABC5606"/>
    <w:rsid w:val="0B30404E"/>
    <w:rsid w:val="0B4C6C14"/>
    <w:rsid w:val="0B547599"/>
    <w:rsid w:val="0B5E3467"/>
    <w:rsid w:val="0B631A88"/>
    <w:rsid w:val="0B683D45"/>
    <w:rsid w:val="0B7F3F11"/>
    <w:rsid w:val="0B884417"/>
    <w:rsid w:val="0BBA6DAD"/>
    <w:rsid w:val="0BBF6171"/>
    <w:rsid w:val="0BF6188C"/>
    <w:rsid w:val="0BF73C91"/>
    <w:rsid w:val="0C170175"/>
    <w:rsid w:val="0C2F4DD2"/>
    <w:rsid w:val="0C541E4E"/>
    <w:rsid w:val="0C571A41"/>
    <w:rsid w:val="0C5C1171"/>
    <w:rsid w:val="0C5E1CBC"/>
    <w:rsid w:val="0C615B50"/>
    <w:rsid w:val="0C673C16"/>
    <w:rsid w:val="0C8445DA"/>
    <w:rsid w:val="0C87121B"/>
    <w:rsid w:val="0CC007F7"/>
    <w:rsid w:val="0CC617AC"/>
    <w:rsid w:val="0CE618DF"/>
    <w:rsid w:val="0CFE707A"/>
    <w:rsid w:val="0D063BDA"/>
    <w:rsid w:val="0D08375F"/>
    <w:rsid w:val="0D097FEC"/>
    <w:rsid w:val="0D0B7EE5"/>
    <w:rsid w:val="0D184CFB"/>
    <w:rsid w:val="0D4A7419"/>
    <w:rsid w:val="0D705975"/>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06EB6"/>
    <w:rsid w:val="0FBF3FD2"/>
    <w:rsid w:val="0FBF7FF3"/>
    <w:rsid w:val="10042CED"/>
    <w:rsid w:val="100F6097"/>
    <w:rsid w:val="103A04BC"/>
    <w:rsid w:val="10646583"/>
    <w:rsid w:val="10776EBD"/>
    <w:rsid w:val="107D4B15"/>
    <w:rsid w:val="108A3C80"/>
    <w:rsid w:val="109438D7"/>
    <w:rsid w:val="10C26171"/>
    <w:rsid w:val="10D51697"/>
    <w:rsid w:val="10F33360"/>
    <w:rsid w:val="10FC16EA"/>
    <w:rsid w:val="110F1D40"/>
    <w:rsid w:val="11266F33"/>
    <w:rsid w:val="112D17C0"/>
    <w:rsid w:val="11310212"/>
    <w:rsid w:val="118963A1"/>
    <w:rsid w:val="11933B34"/>
    <w:rsid w:val="11C0791A"/>
    <w:rsid w:val="11C6522A"/>
    <w:rsid w:val="11E104CC"/>
    <w:rsid w:val="11E20309"/>
    <w:rsid w:val="1205095B"/>
    <w:rsid w:val="12255233"/>
    <w:rsid w:val="12530213"/>
    <w:rsid w:val="127723A9"/>
    <w:rsid w:val="12862074"/>
    <w:rsid w:val="12883966"/>
    <w:rsid w:val="129E45B4"/>
    <w:rsid w:val="12D32332"/>
    <w:rsid w:val="12D75C05"/>
    <w:rsid w:val="12D81596"/>
    <w:rsid w:val="12DD4698"/>
    <w:rsid w:val="13072A44"/>
    <w:rsid w:val="135F4BE2"/>
    <w:rsid w:val="137E5CA2"/>
    <w:rsid w:val="139B1A0A"/>
    <w:rsid w:val="139D25C7"/>
    <w:rsid w:val="13BF3CE4"/>
    <w:rsid w:val="13F419F3"/>
    <w:rsid w:val="141008D8"/>
    <w:rsid w:val="14125FE6"/>
    <w:rsid w:val="146D271E"/>
    <w:rsid w:val="14833986"/>
    <w:rsid w:val="14982588"/>
    <w:rsid w:val="149A5AD9"/>
    <w:rsid w:val="14A7619D"/>
    <w:rsid w:val="150536C3"/>
    <w:rsid w:val="150C1963"/>
    <w:rsid w:val="150F1F18"/>
    <w:rsid w:val="151447A0"/>
    <w:rsid w:val="151A266A"/>
    <w:rsid w:val="152B1117"/>
    <w:rsid w:val="154A6454"/>
    <w:rsid w:val="15762120"/>
    <w:rsid w:val="158D108E"/>
    <w:rsid w:val="15B672D7"/>
    <w:rsid w:val="16A8729C"/>
    <w:rsid w:val="16B33777"/>
    <w:rsid w:val="16BC70A7"/>
    <w:rsid w:val="16C6339E"/>
    <w:rsid w:val="172F2D79"/>
    <w:rsid w:val="17557BEF"/>
    <w:rsid w:val="17D349C1"/>
    <w:rsid w:val="17F04282"/>
    <w:rsid w:val="18244F26"/>
    <w:rsid w:val="18272ABF"/>
    <w:rsid w:val="1830729E"/>
    <w:rsid w:val="1870062C"/>
    <w:rsid w:val="18817102"/>
    <w:rsid w:val="18830A15"/>
    <w:rsid w:val="18852B28"/>
    <w:rsid w:val="188B5321"/>
    <w:rsid w:val="188F365D"/>
    <w:rsid w:val="190358EA"/>
    <w:rsid w:val="19932372"/>
    <w:rsid w:val="19A20DD5"/>
    <w:rsid w:val="19AE03F1"/>
    <w:rsid w:val="1A071A03"/>
    <w:rsid w:val="1A1F16AE"/>
    <w:rsid w:val="1A3B5C77"/>
    <w:rsid w:val="1A75281D"/>
    <w:rsid w:val="1A984BAD"/>
    <w:rsid w:val="1AB8220E"/>
    <w:rsid w:val="1AC40468"/>
    <w:rsid w:val="1AE4166C"/>
    <w:rsid w:val="1AF06CFB"/>
    <w:rsid w:val="1AF11B8D"/>
    <w:rsid w:val="1B11359C"/>
    <w:rsid w:val="1B2A271F"/>
    <w:rsid w:val="1B530544"/>
    <w:rsid w:val="1B713184"/>
    <w:rsid w:val="1BA209CF"/>
    <w:rsid w:val="1BB4777D"/>
    <w:rsid w:val="1BD75AB8"/>
    <w:rsid w:val="1BF327F9"/>
    <w:rsid w:val="1C0459C2"/>
    <w:rsid w:val="1C1B3B4A"/>
    <w:rsid w:val="1C24274C"/>
    <w:rsid w:val="1C5A2CC2"/>
    <w:rsid w:val="1C88086E"/>
    <w:rsid w:val="1D036806"/>
    <w:rsid w:val="1D266CE1"/>
    <w:rsid w:val="1D2B7BFD"/>
    <w:rsid w:val="1D3963AF"/>
    <w:rsid w:val="1D44353D"/>
    <w:rsid w:val="1D681BE4"/>
    <w:rsid w:val="1D6A673C"/>
    <w:rsid w:val="1D9247AE"/>
    <w:rsid w:val="1DB567EC"/>
    <w:rsid w:val="1DF51A98"/>
    <w:rsid w:val="1E044BB4"/>
    <w:rsid w:val="1E051CD9"/>
    <w:rsid w:val="1E3453DB"/>
    <w:rsid w:val="1E3D060F"/>
    <w:rsid w:val="1E3F7D2E"/>
    <w:rsid w:val="1E4134E4"/>
    <w:rsid w:val="1E4D4965"/>
    <w:rsid w:val="1E5062B3"/>
    <w:rsid w:val="1E523514"/>
    <w:rsid w:val="1E714A66"/>
    <w:rsid w:val="1E802593"/>
    <w:rsid w:val="1E846C90"/>
    <w:rsid w:val="1E8B6156"/>
    <w:rsid w:val="1E8D0495"/>
    <w:rsid w:val="1EA703CC"/>
    <w:rsid w:val="1EB7330C"/>
    <w:rsid w:val="1F0A0FF3"/>
    <w:rsid w:val="1F42113B"/>
    <w:rsid w:val="1F5771FF"/>
    <w:rsid w:val="1F9754FA"/>
    <w:rsid w:val="1FA94D17"/>
    <w:rsid w:val="1FD52574"/>
    <w:rsid w:val="1FDB508D"/>
    <w:rsid w:val="1FE868A9"/>
    <w:rsid w:val="1FEF6022"/>
    <w:rsid w:val="20034907"/>
    <w:rsid w:val="20173E4B"/>
    <w:rsid w:val="20232C8A"/>
    <w:rsid w:val="204E48BC"/>
    <w:rsid w:val="207D242B"/>
    <w:rsid w:val="208921B3"/>
    <w:rsid w:val="20973DEB"/>
    <w:rsid w:val="20B26522"/>
    <w:rsid w:val="20B44310"/>
    <w:rsid w:val="20E57FD0"/>
    <w:rsid w:val="211116EB"/>
    <w:rsid w:val="214E5B76"/>
    <w:rsid w:val="216133FC"/>
    <w:rsid w:val="21D56769"/>
    <w:rsid w:val="21E52EF3"/>
    <w:rsid w:val="21FB5D7B"/>
    <w:rsid w:val="22015E94"/>
    <w:rsid w:val="220B1C3D"/>
    <w:rsid w:val="221D1D20"/>
    <w:rsid w:val="22211B2E"/>
    <w:rsid w:val="22334A87"/>
    <w:rsid w:val="22583AD4"/>
    <w:rsid w:val="225C0E26"/>
    <w:rsid w:val="22BE6801"/>
    <w:rsid w:val="233500BF"/>
    <w:rsid w:val="23377FF7"/>
    <w:rsid w:val="236B425F"/>
    <w:rsid w:val="23836192"/>
    <w:rsid w:val="23901F29"/>
    <w:rsid w:val="239C0061"/>
    <w:rsid w:val="23B908A4"/>
    <w:rsid w:val="23E95BEF"/>
    <w:rsid w:val="23FD0064"/>
    <w:rsid w:val="245375B0"/>
    <w:rsid w:val="24642C0A"/>
    <w:rsid w:val="2470524B"/>
    <w:rsid w:val="2473032A"/>
    <w:rsid w:val="24B22173"/>
    <w:rsid w:val="24B95AD9"/>
    <w:rsid w:val="24BE24DA"/>
    <w:rsid w:val="24CF5825"/>
    <w:rsid w:val="24D663E6"/>
    <w:rsid w:val="24D77F2B"/>
    <w:rsid w:val="25317B97"/>
    <w:rsid w:val="253B4663"/>
    <w:rsid w:val="258B00E2"/>
    <w:rsid w:val="25A917A6"/>
    <w:rsid w:val="25BE27CC"/>
    <w:rsid w:val="25D90851"/>
    <w:rsid w:val="25F74A5C"/>
    <w:rsid w:val="2628662C"/>
    <w:rsid w:val="262C2CB7"/>
    <w:rsid w:val="262D45DE"/>
    <w:rsid w:val="26436545"/>
    <w:rsid w:val="26871DC8"/>
    <w:rsid w:val="26A53EF9"/>
    <w:rsid w:val="26A94201"/>
    <w:rsid w:val="26AC274F"/>
    <w:rsid w:val="27044A29"/>
    <w:rsid w:val="271D34C8"/>
    <w:rsid w:val="272A0FC6"/>
    <w:rsid w:val="272E14B0"/>
    <w:rsid w:val="275E288B"/>
    <w:rsid w:val="276142BF"/>
    <w:rsid w:val="27783712"/>
    <w:rsid w:val="27907362"/>
    <w:rsid w:val="27C70898"/>
    <w:rsid w:val="27F63B56"/>
    <w:rsid w:val="28013942"/>
    <w:rsid w:val="28333E1D"/>
    <w:rsid w:val="28454BD6"/>
    <w:rsid w:val="28455253"/>
    <w:rsid w:val="284B72B3"/>
    <w:rsid w:val="28551971"/>
    <w:rsid w:val="285B1C53"/>
    <w:rsid w:val="28765CA7"/>
    <w:rsid w:val="288C5DA0"/>
    <w:rsid w:val="288E0F4E"/>
    <w:rsid w:val="289F7086"/>
    <w:rsid w:val="28C32028"/>
    <w:rsid w:val="28CC490F"/>
    <w:rsid w:val="28DE40AA"/>
    <w:rsid w:val="292D0766"/>
    <w:rsid w:val="29345E77"/>
    <w:rsid w:val="294C65AD"/>
    <w:rsid w:val="296548E8"/>
    <w:rsid w:val="29806583"/>
    <w:rsid w:val="298B3C4C"/>
    <w:rsid w:val="29F26D24"/>
    <w:rsid w:val="2A120CB3"/>
    <w:rsid w:val="2A15033F"/>
    <w:rsid w:val="2A1662C1"/>
    <w:rsid w:val="2A1C7367"/>
    <w:rsid w:val="2A2815FA"/>
    <w:rsid w:val="2A302AEF"/>
    <w:rsid w:val="2A34633A"/>
    <w:rsid w:val="2A6D6092"/>
    <w:rsid w:val="2A7D76B4"/>
    <w:rsid w:val="2B437463"/>
    <w:rsid w:val="2B7807EE"/>
    <w:rsid w:val="2B7C41F6"/>
    <w:rsid w:val="2BA50BF7"/>
    <w:rsid w:val="2BBF00EC"/>
    <w:rsid w:val="2BC37CFD"/>
    <w:rsid w:val="2BD5237F"/>
    <w:rsid w:val="2BE536CE"/>
    <w:rsid w:val="2BE758D9"/>
    <w:rsid w:val="2BF346BB"/>
    <w:rsid w:val="2C09049E"/>
    <w:rsid w:val="2C0A653C"/>
    <w:rsid w:val="2C177EDA"/>
    <w:rsid w:val="2C191F85"/>
    <w:rsid w:val="2C2766D0"/>
    <w:rsid w:val="2C550700"/>
    <w:rsid w:val="2C8C707A"/>
    <w:rsid w:val="2CCF6D28"/>
    <w:rsid w:val="2CE82D6F"/>
    <w:rsid w:val="2D007472"/>
    <w:rsid w:val="2D0630BC"/>
    <w:rsid w:val="2D2C1795"/>
    <w:rsid w:val="2D343236"/>
    <w:rsid w:val="2D575011"/>
    <w:rsid w:val="2D720E3E"/>
    <w:rsid w:val="2DCF705B"/>
    <w:rsid w:val="2DD15014"/>
    <w:rsid w:val="2DF72DE4"/>
    <w:rsid w:val="2E0220AF"/>
    <w:rsid w:val="2E4B082A"/>
    <w:rsid w:val="2E5D4E86"/>
    <w:rsid w:val="2E5D790B"/>
    <w:rsid w:val="2E921B81"/>
    <w:rsid w:val="2E9A3C18"/>
    <w:rsid w:val="2EBB0FEE"/>
    <w:rsid w:val="2EC63002"/>
    <w:rsid w:val="2ED94008"/>
    <w:rsid w:val="2F0A6B38"/>
    <w:rsid w:val="2F946CCB"/>
    <w:rsid w:val="2F946FCB"/>
    <w:rsid w:val="2F9A489C"/>
    <w:rsid w:val="2FCC0CD9"/>
    <w:rsid w:val="2FD25781"/>
    <w:rsid w:val="2FDC745C"/>
    <w:rsid w:val="2FFD7934"/>
    <w:rsid w:val="303E08D4"/>
    <w:rsid w:val="305E12B6"/>
    <w:rsid w:val="306A7304"/>
    <w:rsid w:val="30733ACD"/>
    <w:rsid w:val="308C3862"/>
    <w:rsid w:val="309379D8"/>
    <w:rsid w:val="30A270F7"/>
    <w:rsid w:val="30DF1478"/>
    <w:rsid w:val="30EC586F"/>
    <w:rsid w:val="31855F32"/>
    <w:rsid w:val="3192701B"/>
    <w:rsid w:val="319C6071"/>
    <w:rsid w:val="31AC537E"/>
    <w:rsid w:val="31DE42F5"/>
    <w:rsid w:val="31E3679B"/>
    <w:rsid w:val="31E732FD"/>
    <w:rsid w:val="321D0C5A"/>
    <w:rsid w:val="32517576"/>
    <w:rsid w:val="329F3D86"/>
    <w:rsid w:val="32BE5C2C"/>
    <w:rsid w:val="32FB6478"/>
    <w:rsid w:val="33263B3F"/>
    <w:rsid w:val="336963EB"/>
    <w:rsid w:val="33816EEB"/>
    <w:rsid w:val="33952DB0"/>
    <w:rsid w:val="33EB55CD"/>
    <w:rsid w:val="33EC4C02"/>
    <w:rsid w:val="340D2360"/>
    <w:rsid w:val="3410665D"/>
    <w:rsid w:val="341E4107"/>
    <w:rsid w:val="34211214"/>
    <w:rsid w:val="342E63AB"/>
    <w:rsid w:val="349260D6"/>
    <w:rsid w:val="34950E68"/>
    <w:rsid w:val="34986E94"/>
    <w:rsid w:val="34AF62C9"/>
    <w:rsid w:val="34BD6E42"/>
    <w:rsid w:val="34CB4388"/>
    <w:rsid w:val="34D165AB"/>
    <w:rsid w:val="34FA6E12"/>
    <w:rsid w:val="354D7158"/>
    <w:rsid w:val="358B44CD"/>
    <w:rsid w:val="358D5588"/>
    <w:rsid w:val="35C47314"/>
    <w:rsid w:val="36080DFB"/>
    <w:rsid w:val="363A3B40"/>
    <w:rsid w:val="365302AE"/>
    <w:rsid w:val="36607A0A"/>
    <w:rsid w:val="366A124C"/>
    <w:rsid w:val="366E227C"/>
    <w:rsid w:val="366F2E0D"/>
    <w:rsid w:val="367B6A5C"/>
    <w:rsid w:val="36A74ADA"/>
    <w:rsid w:val="36AD60D5"/>
    <w:rsid w:val="36B14785"/>
    <w:rsid w:val="36B224F9"/>
    <w:rsid w:val="36CE5337"/>
    <w:rsid w:val="36EC0CC9"/>
    <w:rsid w:val="373F410B"/>
    <w:rsid w:val="3776648E"/>
    <w:rsid w:val="37EE7094"/>
    <w:rsid w:val="380A7EA0"/>
    <w:rsid w:val="38296C89"/>
    <w:rsid w:val="383002EB"/>
    <w:rsid w:val="38586797"/>
    <w:rsid w:val="385D15DF"/>
    <w:rsid w:val="38BC0149"/>
    <w:rsid w:val="38D0339B"/>
    <w:rsid w:val="38D66725"/>
    <w:rsid w:val="38D87D1C"/>
    <w:rsid w:val="39203503"/>
    <w:rsid w:val="39396CB4"/>
    <w:rsid w:val="393D2C48"/>
    <w:rsid w:val="39636459"/>
    <w:rsid w:val="396B7F6C"/>
    <w:rsid w:val="39B417A9"/>
    <w:rsid w:val="39FC5695"/>
    <w:rsid w:val="3A006D8E"/>
    <w:rsid w:val="3A0B76DD"/>
    <w:rsid w:val="3A0D261A"/>
    <w:rsid w:val="3A0F7762"/>
    <w:rsid w:val="3A3651E5"/>
    <w:rsid w:val="3A744481"/>
    <w:rsid w:val="3A79380C"/>
    <w:rsid w:val="3A7F15EC"/>
    <w:rsid w:val="3A8C7BEF"/>
    <w:rsid w:val="3A906246"/>
    <w:rsid w:val="3AAC74C7"/>
    <w:rsid w:val="3AB57C56"/>
    <w:rsid w:val="3AED6033"/>
    <w:rsid w:val="3B2349B7"/>
    <w:rsid w:val="3B616CFF"/>
    <w:rsid w:val="3B6259F6"/>
    <w:rsid w:val="3B976654"/>
    <w:rsid w:val="3BC01EFC"/>
    <w:rsid w:val="3BCA786A"/>
    <w:rsid w:val="3BD31E2F"/>
    <w:rsid w:val="3BD9330C"/>
    <w:rsid w:val="3BF15831"/>
    <w:rsid w:val="3C105946"/>
    <w:rsid w:val="3C471448"/>
    <w:rsid w:val="3C4944FC"/>
    <w:rsid w:val="3C5F759A"/>
    <w:rsid w:val="3C6C525A"/>
    <w:rsid w:val="3C8504D0"/>
    <w:rsid w:val="3CCE23CB"/>
    <w:rsid w:val="3CD17D17"/>
    <w:rsid w:val="3CE07B72"/>
    <w:rsid w:val="3D3C7F39"/>
    <w:rsid w:val="3D440F09"/>
    <w:rsid w:val="3D4504A0"/>
    <w:rsid w:val="3D7228BB"/>
    <w:rsid w:val="3D8734BB"/>
    <w:rsid w:val="3D891FB8"/>
    <w:rsid w:val="3D9913F0"/>
    <w:rsid w:val="3D9A11D4"/>
    <w:rsid w:val="3DA16D89"/>
    <w:rsid w:val="3DA364BE"/>
    <w:rsid w:val="3DCE5BF4"/>
    <w:rsid w:val="3DE041CB"/>
    <w:rsid w:val="3E0D48F6"/>
    <w:rsid w:val="3E1868B4"/>
    <w:rsid w:val="3E1F0B6E"/>
    <w:rsid w:val="3E377251"/>
    <w:rsid w:val="3E42664B"/>
    <w:rsid w:val="3E5A7334"/>
    <w:rsid w:val="3E7B5D6B"/>
    <w:rsid w:val="3E843E66"/>
    <w:rsid w:val="3E8F51FE"/>
    <w:rsid w:val="3E926F87"/>
    <w:rsid w:val="3E9A59DE"/>
    <w:rsid w:val="3EA348C5"/>
    <w:rsid w:val="3EAF4836"/>
    <w:rsid w:val="3EC33DFA"/>
    <w:rsid w:val="3ED05CD4"/>
    <w:rsid w:val="3EDD1E98"/>
    <w:rsid w:val="3F060E16"/>
    <w:rsid w:val="3F1D1096"/>
    <w:rsid w:val="3F2F0234"/>
    <w:rsid w:val="3F6363FE"/>
    <w:rsid w:val="3F756B8F"/>
    <w:rsid w:val="3F95482B"/>
    <w:rsid w:val="3FCC2E85"/>
    <w:rsid w:val="4019356B"/>
    <w:rsid w:val="404E6FB3"/>
    <w:rsid w:val="40592157"/>
    <w:rsid w:val="406E1CAE"/>
    <w:rsid w:val="407C7C45"/>
    <w:rsid w:val="40955117"/>
    <w:rsid w:val="40A0133A"/>
    <w:rsid w:val="40B437EF"/>
    <w:rsid w:val="40C31A53"/>
    <w:rsid w:val="40FF545D"/>
    <w:rsid w:val="410067C8"/>
    <w:rsid w:val="41133903"/>
    <w:rsid w:val="41144977"/>
    <w:rsid w:val="411C5DE6"/>
    <w:rsid w:val="418F0D2A"/>
    <w:rsid w:val="41911D83"/>
    <w:rsid w:val="41A24E66"/>
    <w:rsid w:val="41D01505"/>
    <w:rsid w:val="42474939"/>
    <w:rsid w:val="424C3C57"/>
    <w:rsid w:val="42613FF3"/>
    <w:rsid w:val="42623F38"/>
    <w:rsid w:val="42660D96"/>
    <w:rsid w:val="428667D2"/>
    <w:rsid w:val="42CD1CE0"/>
    <w:rsid w:val="42E1381E"/>
    <w:rsid w:val="42ED6459"/>
    <w:rsid w:val="42FE58DD"/>
    <w:rsid w:val="43174B3D"/>
    <w:rsid w:val="432F3601"/>
    <w:rsid w:val="433062D1"/>
    <w:rsid w:val="434B790E"/>
    <w:rsid w:val="4360274F"/>
    <w:rsid w:val="43977AB6"/>
    <w:rsid w:val="43A3342B"/>
    <w:rsid w:val="43C77C27"/>
    <w:rsid w:val="43DE09EE"/>
    <w:rsid w:val="44002FAD"/>
    <w:rsid w:val="441445A5"/>
    <w:rsid w:val="448434D9"/>
    <w:rsid w:val="449101DD"/>
    <w:rsid w:val="44DE1391"/>
    <w:rsid w:val="44F322C0"/>
    <w:rsid w:val="451B225C"/>
    <w:rsid w:val="452004DE"/>
    <w:rsid w:val="452410C9"/>
    <w:rsid w:val="45317DFB"/>
    <w:rsid w:val="45441ABB"/>
    <w:rsid w:val="456D3CE4"/>
    <w:rsid w:val="45704CCE"/>
    <w:rsid w:val="4579042C"/>
    <w:rsid w:val="457F0571"/>
    <w:rsid w:val="45851176"/>
    <w:rsid w:val="45C63B94"/>
    <w:rsid w:val="460E7DA5"/>
    <w:rsid w:val="46354038"/>
    <w:rsid w:val="46422483"/>
    <w:rsid w:val="4659254A"/>
    <w:rsid w:val="465B0637"/>
    <w:rsid w:val="465E3F0D"/>
    <w:rsid w:val="466A16E6"/>
    <w:rsid w:val="46756D42"/>
    <w:rsid w:val="46893F2B"/>
    <w:rsid w:val="46C4686E"/>
    <w:rsid w:val="470202F9"/>
    <w:rsid w:val="472745EF"/>
    <w:rsid w:val="477B778F"/>
    <w:rsid w:val="478203EC"/>
    <w:rsid w:val="47A80667"/>
    <w:rsid w:val="47B025FA"/>
    <w:rsid w:val="47E05877"/>
    <w:rsid w:val="4809698F"/>
    <w:rsid w:val="4811697D"/>
    <w:rsid w:val="485E2716"/>
    <w:rsid w:val="487A3E25"/>
    <w:rsid w:val="488B5503"/>
    <w:rsid w:val="48937E21"/>
    <w:rsid w:val="489A0361"/>
    <w:rsid w:val="48B94FF3"/>
    <w:rsid w:val="48BC19D6"/>
    <w:rsid w:val="48E21B70"/>
    <w:rsid w:val="48E37AAB"/>
    <w:rsid w:val="48FD4B4C"/>
    <w:rsid w:val="490A68E0"/>
    <w:rsid w:val="491055FE"/>
    <w:rsid w:val="495F5B3E"/>
    <w:rsid w:val="496F77D7"/>
    <w:rsid w:val="497654FD"/>
    <w:rsid w:val="499670DB"/>
    <w:rsid w:val="49AF152D"/>
    <w:rsid w:val="49B64211"/>
    <w:rsid w:val="49B858A5"/>
    <w:rsid w:val="49E52C6C"/>
    <w:rsid w:val="49F6167F"/>
    <w:rsid w:val="4A064FA0"/>
    <w:rsid w:val="4A16615C"/>
    <w:rsid w:val="4A4424D7"/>
    <w:rsid w:val="4AB82D0F"/>
    <w:rsid w:val="4AC759C7"/>
    <w:rsid w:val="4AE62510"/>
    <w:rsid w:val="4AEB7664"/>
    <w:rsid w:val="4AFD7C19"/>
    <w:rsid w:val="4B0567D1"/>
    <w:rsid w:val="4B236AAE"/>
    <w:rsid w:val="4B4614E8"/>
    <w:rsid w:val="4B475260"/>
    <w:rsid w:val="4B707271"/>
    <w:rsid w:val="4B9739F7"/>
    <w:rsid w:val="4B9A091D"/>
    <w:rsid w:val="4BA4357D"/>
    <w:rsid w:val="4BEE2503"/>
    <w:rsid w:val="4C245A30"/>
    <w:rsid w:val="4CA77949"/>
    <w:rsid w:val="4CB6685F"/>
    <w:rsid w:val="4CC367FE"/>
    <w:rsid w:val="4D077F3C"/>
    <w:rsid w:val="4D123355"/>
    <w:rsid w:val="4D1C6403"/>
    <w:rsid w:val="4D2A3B31"/>
    <w:rsid w:val="4D312C52"/>
    <w:rsid w:val="4D7A7B6F"/>
    <w:rsid w:val="4D905305"/>
    <w:rsid w:val="4D964A72"/>
    <w:rsid w:val="4D9C1254"/>
    <w:rsid w:val="4DA30E74"/>
    <w:rsid w:val="4DC529FE"/>
    <w:rsid w:val="4E265CBE"/>
    <w:rsid w:val="4E333843"/>
    <w:rsid w:val="4E5E2FEC"/>
    <w:rsid w:val="4E793892"/>
    <w:rsid w:val="4E800872"/>
    <w:rsid w:val="4EC569ED"/>
    <w:rsid w:val="4ED50EA1"/>
    <w:rsid w:val="4ED520B7"/>
    <w:rsid w:val="4ED94467"/>
    <w:rsid w:val="4EEC050C"/>
    <w:rsid w:val="4F104EC3"/>
    <w:rsid w:val="4F47354A"/>
    <w:rsid w:val="4F5A37B4"/>
    <w:rsid w:val="4F911C54"/>
    <w:rsid w:val="4FC45634"/>
    <w:rsid w:val="4FE625E0"/>
    <w:rsid w:val="5021480F"/>
    <w:rsid w:val="50962ECB"/>
    <w:rsid w:val="50A42E38"/>
    <w:rsid w:val="50A4577F"/>
    <w:rsid w:val="50B73D1F"/>
    <w:rsid w:val="50BD5BC9"/>
    <w:rsid w:val="50C01D3C"/>
    <w:rsid w:val="50C11EEE"/>
    <w:rsid w:val="50E97CFC"/>
    <w:rsid w:val="50EA0B67"/>
    <w:rsid w:val="50FA4028"/>
    <w:rsid w:val="50FC089B"/>
    <w:rsid w:val="510D65B7"/>
    <w:rsid w:val="511157AB"/>
    <w:rsid w:val="51142088"/>
    <w:rsid w:val="51306F61"/>
    <w:rsid w:val="5142540C"/>
    <w:rsid w:val="51624B84"/>
    <w:rsid w:val="5175118D"/>
    <w:rsid w:val="518832C8"/>
    <w:rsid w:val="519D3C50"/>
    <w:rsid w:val="51A0432A"/>
    <w:rsid w:val="51A86090"/>
    <w:rsid w:val="51B020F0"/>
    <w:rsid w:val="51B7396D"/>
    <w:rsid w:val="51C92095"/>
    <w:rsid w:val="520A5589"/>
    <w:rsid w:val="522E4CC3"/>
    <w:rsid w:val="5244713B"/>
    <w:rsid w:val="525C332D"/>
    <w:rsid w:val="52615633"/>
    <w:rsid w:val="526F4DE4"/>
    <w:rsid w:val="52977FD4"/>
    <w:rsid w:val="52A25790"/>
    <w:rsid w:val="52A96B6F"/>
    <w:rsid w:val="52B45975"/>
    <w:rsid w:val="52D94AA4"/>
    <w:rsid w:val="52EA3A62"/>
    <w:rsid w:val="52F50BB8"/>
    <w:rsid w:val="53097272"/>
    <w:rsid w:val="535138C9"/>
    <w:rsid w:val="53544462"/>
    <w:rsid w:val="5397158E"/>
    <w:rsid w:val="54013861"/>
    <w:rsid w:val="54316AAD"/>
    <w:rsid w:val="54464E65"/>
    <w:rsid w:val="54487265"/>
    <w:rsid w:val="544D6070"/>
    <w:rsid w:val="54605E1E"/>
    <w:rsid w:val="54B3506A"/>
    <w:rsid w:val="54CA0D16"/>
    <w:rsid w:val="54DD4057"/>
    <w:rsid w:val="54E12390"/>
    <w:rsid w:val="54E7490F"/>
    <w:rsid w:val="550764A4"/>
    <w:rsid w:val="550B2BF6"/>
    <w:rsid w:val="55214EB5"/>
    <w:rsid w:val="55364EFD"/>
    <w:rsid w:val="555D4828"/>
    <w:rsid w:val="556E620B"/>
    <w:rsid w:val="557A4C8B"/>
    <w:rsid w:val="558931E1"/>
    <w:rsid w:val="558D5D43"/>
    <w:rsid w:val="55923347"/>
    <w:rsid w:val="55925180"/>
    <w:rsid w:val="55983B1B"/>
    <w:rsid w:val="55A81BA0"/>
    <w:rsid w:val="55A8376B"/>
    <w:rsid w:val="55DC29B6"/>
    <w:rsid w:val="55DD4241"/>
    <w:rsid w:val="560721BC"/>
    <w:rsid w:val="56554CD5"/>
    <w:rsid w:val="566B6D1E"/>
    <w:rsid w:val="57032A2C"/>
    <w:rsid w:val="570F5219"/>
    <w:rsid w:val="575D12B5"/>
    <w:rsid w:val="57610A87"/>
    <w:rsid w:val="57791779"/>
    <w:rsid w:val="577B1140"/>
    <w:rsid w:val="577B7F21"/>
    <w:rsid w:val="577F181B"/>
    <w:rsid w:val="57921984"/>
    <w:rsid w:val="579737F0"/>
    <w:rsid w:val="57AB7B30"/>
    <w:rsid w:val="57AF5251"/>
    <w:rsid w:val="57B26373"/>
    <w:rsid w:val="57B63F04"/>
    <w:rsid w:val="57CD20C2"/>
    <w:rsid w:val="57D675AB"/>
    <w:rsid w:val="57D73717"/>
    <w:rsid w:val="57D95FDD"/>
    <w:rsid w:val="58801DB1"/>
    <w:rsid w:val="588A612D"/>
    <w:rsid w:val="58917D2F"/>
    <w:rsid w:val="5894085C"/>
    <w:rsid w:val="58AE4F0C"/>
    <w:rsid w:val="58B85899"/>
    <w:rsid w:val="58E363A9"/>
    <w:rsid w:val="58F63FB6"/>
    <w:rsid w:val="59091161"/>
    <w:rsid w:val="590D5D3B"/>
    <w:rsid w:val="59166304"/>
    <w:rsid w:val="595E1678"/>
    <w:rsid w:val="596C730B"/>
    <w:rsid w:val="596D5BD4"/>
    <w:rsid w:val="597E3DD8"/>
    <w:rsid w:val="59F80043"/>
    <w:rsid w:val="5A09252F"/>
    <w:rsid w:val="5A0B2778"/>
    <w:rsid w:val="5A2310A7"/>
    <w:rsid w:val="5A2A7C7B"/>
    <w:rsid w:val="5A3E2560"/>
    <w:rsid w:val="5A55415A"/>
    <w:rsid w:val="5A5D3B6E"/>
    <w:rsid w:val="5A637A76"/>
    <w:rsid w:val="5A6D33BA"/>
    <w:rsid w:val="5A75343D"/>
    <w:rsid w:val="5A792B1F"/>
    <w:rsid w:val="5A7A1172"/>
    <w:rsid w:val="5A874767"/>
    <w:rsid w:val="5AA85BE2"/>
    <w:rsid w:val="5AAD6F28"/>
    <w:rsid w:val="5AD63A24"/>
    <w:rsid w:val="5AF6602A"/>
    <w:rsid w:val="5B162640"/>
    <w:rsid w:val="5B230D16"/>
    <w:rsid w:val="5B2E1A1D"/>
    <w:rsid w:val="5B5419FF"/>
    <w:rsid w:val="5B843A1C"/>
    <w:rsid w:val="5B873E3F"/>
    <w:rsid w:val="5B8B2F47"/>
    <w:rsid w:val="5B945AD5"/>
    <w:rsid w:val="5C02690E"/>
    <w:rsid w:val="5C196DA7"/>
    <w:rsid w:val="5C2A048C"/>
    <w:rsid w:val="5C80234E"/>
    <w:rsid w:val="5C8A680C"/>
    <w:rsid w:val="5C991D97"/>
    <w:rsid w:val="5CD9094D"/>
    <w:rsid w:val="5CFD1AAD"/>
    <w:rsid w:val="5D0C4701"/>
    <w:rsid w:val="5D0F0395"/>
    <w:rsid w:val="5D221076"/>
    <w:rsid w:val="5D397964"/>
    <w:rsid w:val="5D526412"/>
    <w:rsid w:val="5D5A391C"/>
    <w:rsid w:val="5D5F10C0"/>
    <w:rsid w:val="5D60077D"/>
    <w:rsid w:val="5D891B7B"/>
    <w:rsid w:val="5D8A79D5"/>
    <w:rsid w:val="5DAD38EE"/>
    <w:rsid w:val="5DDD4A74"/>
    <w:rsid w:val="5E006862"/>
    <w:rsid w:val="5E0207B9"/>
    <w:rsid w:val="5E1834A1"/>
    <w:rsid w:val="5E261785"/>
    <w:rsid w:val="5E4A7017"/>
    <w:rsid w:val="5E552BBA"/>
    <w:rsid w:val="5E611C10"/>
    <w:rsid w:val="5E7A0F3F"/>
    <w:rsid w:val="5E9F4561"/>
    <w:rsid w:val="5EF8767E"/>
    <w:rsid w:val="5EFC7377"/>
    <w:rsid w:val="5EFF76E4"/>
    <w:rsid w:val="5F06174D"/>
    <w:rsid w:val="5F116E01"/>
    <w:rsid w:val="5F3A3602"/>
    <w:rsid w:val="5F45733B"/>
    <w:rsid w:val="5F4D6E91"/>
    <w:rsid w:val="5F6277C6"/>
    <w:rsid w:val="5F6D0B1D"/>
    <w:rsid w:val="5F8D0B82"/>
    <w:rsid w:val="5F8E1258"/>
    <w:rsid w:val="5F8E7868"/>
    <w:rsid w:val="5FCC5339"/>
    <w:rsid w:val="5FE34A5B"/>
    <w:rsid w:val="5FFE1E36"/>
    <w:rsid w:val="60232584"/>
    <w:rsid w:val="6055441C"/>
    <w:rsid w:val="60591C85"/>
    <w:rsid w:val="607330CE"/>
    <w:rsid w:val="60825176"/>
    <w:rsid w:val="60890C34"/>
    <w:rsid w:val="609F2AC4"/>
    <w:rsid w:val="60FA2EE8"/>
    <w:rsid w:val="61054A27"/>
    <w:rsid w:val="610A52BC"/>
    <w:rsid w:val="611D2366"/>
    <w:rsid w:val="61421856"/>
    <w:rsid w:val="615227C4"/>
    <w:rsid w:val="61654E3F"/>
    <w:rsid w:val="616710D4"/>
    <w:rsid w:val="6182292A"/>
    <w:rsid w:val="619F7F92"/>
    <w:rsid w:val="61F94C26"/>
    <w:rsid w:val="62000E56"/>
    <w:rsid w:val="624F3E49"/>
    <w:rsid w:val="62632286"/>
    <w:rsid w:val="62885958"/>
    <w:rsid w:val="62D3227F"/>
    <w:rsid w:val="62F40B65"/>
    <w:rsid w:val="62FC2CFE"/>
    <w:rsid w:val="62FE550B"/>
    <w:rsid w:val="63020468"/>
    <w:rsid w:val="63024505"/>
    <w:rsid w:val="633B057C"/>
    <w:rsid w:val="635600A5"/>
    <w:rsid w:val="635B1DB5"/>
    <w:rsid w:val="63711FED"/>
    <w:rsid w:val="63880DDC"/>
    <w:rsid w:val="638D750D"/>
    <w:rsid w:val="63AC6CC0"/>
    <w:rsid w:val="63B55005"/>
    <w:rsid w:val="64055776"/>
    <w:rsid w:val="64240056"/>
    <w:rsid w:val="643E143A"/>
    <w:rsid w:val="64491666"/>
    <w:rsid w:val="64522FA1"/>
    <w:rsid w:val="648B6EEF"/>
    <w:rsid w:val="64C158BF"/>
    <w:rsid w:val="64CE2EAA"/>
    <w:rsid w:val="652919D1"/>
    <w:rsid w:val="653C3090"/>
    <w:rsid w:val="656E460C"/>
    <w:rsid w:val="657F682A"/>
    <w:rsid w:val="65854376"/>
    <w:rsid w:val="658767BE"/>
    <w:rsid w:val="65892531"/>
    <w:rsid w:val="65C47EB2"/>
    <w:rsid w:val="65D80734"/>
    <w:rsid w:val="66195831"/>
    <w:rsid w:val="662E75B1"/>
    <w:rsid w:val="66342C2E"/>
    <w:rsid w:val="663E784C"/>
    <w:rsid w:val="668B6A45"/>
    <w:rsid w:val="66B31ED6"/>
    <w:rsid w:val="66E81A87"/>
    <w:rsid w:val="67134937"/>
    <w:rsid w:val="672F3F24"/>
    <w:rsid w:val="673E055F"/>
    <w:rsid w:val="67424E02"/>
    <w:rsid w:val="67551CE3"/>
    <w:rsid w:val="675B27B0"/>
    <w:rsid w:val="67A22552"/>
    <w:rsid w:val="67B22DCC"/>
    <w:rsid w:val="67BE71AA"/>
    <w:rsid w:val="67D90273"/>
    <w:rsid w:val="67DE5875"/>
    <w:rsid w:val="67E55852"/>
    <w:rsid w:val="67EB1AB4"/>
    <w:rsid w:val="67FA1285"/>
    <w:rsid w:val="68106CAE"/>
    <w:rsid w:val="68551F4F"/>
    <w:rsid w:val="687C10C9"/>
    <w:rsid w:val="68840C16"/>
    <w:rsid w:val="68876EFB"/>
    <w:rsid w:val="68884654"/>
    <w:rsid w:val="689F444F"/>
    <w:rsid w:val="68B96DBB"/>
    <w:rsid w:val="68CA2805"/>
    <w:rsid w:val="68E937A3"/>
    <w:rsid w:val="691B1729"/>
    <w:rsid w:val="693E15D3"/>
    <w:rsid w:val="69434750"/>
    <w:rsid w:val="69627681"/>
    <w:rsid w:val="6977531D"/>
    <w:rsid w:val="69CC2BFF"/>
    <w:rsid w:val="69FD55B8"/>
    <w:rsid w:val="69FF347E"/>
    <w:rsid w:val="6A0B1C62"/>
    <w:rsid w:val="6A2406C8"/>
    <w:rsid w:val="6A460BBE"/>
    <w:rsid w:val="6A626F1C"/>
    <w:rsid w:val="6AB45056"/>
    <w:rsid w:val="6ADE0BD1"/>
    <w:rsid w:val="6AE96859"/>
    <w:rsid w:val="6B147746"/>
    <w:rsid w:val="6B24787C"/>
    <w:rsid w:val="6B573233"/>
    <w:rsid w:val="6B5B6274"/>
    <w:rsid w:val="6B935D53"/>
    <w:rsid w:val="6BD11451"/>
    <w:rsid w:val="6C196F71"/>
    <w:rsid w:val="6C226FCB"/>
    <w:rsid w:val="6C31226F"/>
    <w:rsid w:val="6C552F0B"/>
    <w:rsid w:val="6C8C67B7"/>
    <w:rsid w:val="6C9D744C"/>
    <w:rsid w:val="6CC32AB9"/>
    <w:rsid w:val="6CD75FEC"/>
    <w:rsid w:val="6D0C0CFD"/>
    <w:rsid w:val="6D167928"/>
    <w:rsid w:val="6D26299B"/>
    <w:rsid w:val="6D3460D9"/>
    <w:rsid w:val="6D4772EC"/>
    <w:rsid w:val="6D9078AF"/>
    <w:rsid w:val="6DA87BD7"/>
    <w:rsid w:val="6DAA3FEF"/>
    <w:rsid w:val="6DBC0C59"/>
    <w:rsid w:val="6DC0172B"/>
    <w:rsid w:val="6DCB690C"/>
    <w:rsid w:val="6DD41A5B"/>
    <w:rsid w:val="6DF43C2E"/>
    <w:rsid w:val="6DF51CA3"/>
    <w:rsid w:val="6E1A0C80"/>
    <w:rsid w:val="6E8335BD"/>
    <w:rsid w:val="6E837BA8"/>
    <w:rsid w:val="6E8E12EF"/>
    <w:rsid w:val="6E972936"/>
    <w:rsid w:val="6ED446C5"/>
    <w:rsid w:val="6F280D81"/>
    <w:rsid w:val="6F2A7D94"/>
    <w:rsid w:val="6F8331F1"/>
    <w:rsid w:val="6F980432"/>
    <w:rsid w:val="6FAE1A09"/>
    <w:rsid w:val="6FCB460C"/>
    <w:rsid w:val="6FD75BF8"/>
    <w:rsid w:val="7036127C"/>
    <w:rsid w:val="704D5D09"/>
    <w:rsid w:val="706061DD"/>
    <w:rsid w:val="707723D0"/>
    <w:rsid w:val="70CD59C6"/>
    <w:rsid w:val="70F5661B"/>
    <w:rsid w:val="711A44A9"/>
    <w:rsid w:val="71360107"/>
    <w:rsid w:val="713B688E"/>
    <w:rsid w:val="717C53B4"/>
    <w:rsid w:val="719F2BF1"/>
    <w:rsid w:val="71AB7A47"/>
    <w:rsid w:val="71D43752"/>
    <w:rsid w:val="71E23DC6"/>
    <w:rsid w:val="71F1796A"/>
    <w:rsid w:val="72154626"/>
    <w:rsid w:val="72262B5D"/>
    <w:rsid w:val="72283FF7"/>
    <w:rsid w:val="722E7212"/>
    <w:rsid w:val="723A0474"/>
    <w:rsid w:val="725923E4"/>
    <w:rsid w:val="72677B41"/>
    <w:rsid w:val="72864BF7"/>
    <w:rsid w:val="729023FC"/>
    <w:rsid w:val="72DF401A"/>
    <w:rsid w:val="730727F4"/>
    <w:rsid w:val="7315792F"/>
    <w:rsid w:val="732C4573"/>
    <w:rsid w:val="732C4E07"/>
    <w:rsid w:val="73487A08"/>
    <w:rsid w:val="73C0646E"/>
    <w:rsid w:val="73CC2623"/>
    <w:rsid w:val="742222F5"/>
    <w:rsid w:val="74476126"/>
    <w:rsid w:val="744F04F5"/>
    <w:rsid w:val="74706664"/>
    <w:rsid w:val="7476433D"/>
    <w:rsid w:val="747F3682"/>
    <w:rsid w:val="749C4185"/>
    <w:rsid w:val="75067759"/>
    <w:rsid w:val="752E6DCD"/>
    <w:rsid w:val="753C37D8"/>
    <w:rsid w:val="7551380D"/>
    <w:rsid w:val="75600BE5"/>
    <w:rsid w:val="7564475C"/>
    <w:rsid w:val="7583797F"/>
    <w:rsid w:val="75AB1070"/>
    <w:rsid w:val="75BC2223"/>
    <w:rsid w:val="75D20F1D"/>
    <w:rsid w:val="75DA2C18"/>
    <w:rsid w:val="75DF2700"/>
    <w:rsid w:val="75F54412"/>
    <w:rsid w:val="761D08E0"/>
    <w:rsid w:val="764240D5"/>
    <w:rsid w:val="765D347C"/>
    <w:rsid w:val="76826699"/>
    <w:rsid w:val="76C87133"/>
    <w:rsid w:val="76CD08D5"/>
    <w:rsid w:val="76DB4B92"/>
    <w:rsid w:val="77052AA4"/>
    <w:rsid w:val="77136511"/>
    <w:rsid w:val="77340A39"/>
    <w:rsid w:val="77351FD0"/>
    <w:rsid w:val="77415918"/>
    <w:rsid w:val="77472422"/>
    <w:rsid w:val="777F31F2"/>
    <w:rsid w:val="77911D71"/>
    <w:rsid w:val="77BD2282"/>
    <w:rsid w:val="77D1700D"/>
    <w:rsid w:val="77EC04CC"/>
    <w:rsid w:val="77F6587F"/>
    <w:rsid w:val="78775729"/>
    <w:rsid w:val="78A42DB0"/>
    <w:rsid w:val="78A656AB"/>
    <w:rsid w:val="78B2245C"/>
    <w:rsid w:val="78E172CC"/>
    <w:rsid w:val="78EA1D1F"/>
    <w:rsid w:val="7904172F"/>
    <w:rsid w:val="790F7E27"/>
    <w:rsid w:val="792A231A"/>
    <w:rsid w:val="792A5C36"/>
    <w:rsid w:val="79316829"/>
    <w:rsid w:val="79493695"/>
    <w:rsid w:val="79554E68"/>
    <w:rsid w:val="797E66A9"/>
    <w:rsid w:val="798518A4"/>
    <w:rsid w:val="79A97383"/>
    <w:rsid w:val="79E27E8B"/>
    <w:rsid w:val="79F850CE"/>
    <w:rsid w:val="79FD443C"/>
    <w:rsid w:val="7A1D1975"/>
    <w:rsid w:val="7A3E5150"/>
    <w:rsid w:val="7A4670D6"/>
    <w:rsid w:val="7A534B63"/>
    <w:rsid w:val="7A615382"/>
    <w:rsid w:val="7A67303B"/>
    <w:rsid w:val="7A715CD2"/>
    <w:rsid w:val="7AAB1D04"/>
    <w:rsid w:val="7ABA4368"/>
    <w:rsid w:val="7AD05746"/>
    <w:rsid w:val="7B0F7299"/>
    <w:rsid w:val="7B1F0E88"/>
    <w:rsid w:val="7B257FFD"/>
    <w:rsid w:val="7B343476"/>
    <w:rsid w:val="7B4F58E7"/>
    <w:rsid w:val="7B5A2978"/>
    <w:rsid w:val="7B5A7E4C"/>
    <w:rsid w:val="7B667AF9"/>
    <w:rsid w:val="7B7468F8"/>
    <w:rsid w:val="7BC01FB0"/>
    <w:rsid w:val="7BD61B65"/>
    <w:rsid w:val="7BEE0103"/>
    <w:rsid w:val="7BEE6EAE"/>
    <w:rsid w:val="7C0A0FE4"/>
    <w:rsid w:val="7C211C0B"/>
    <w:rsid w:val="7C254906"/>
    <w:rsid w:val="7C2B0019"/>
    <w:rsid w:val="7C590818"/>
    <w:rsid w:val="7C6B49A3"/>
    <w:rsid w:val="7C7C10F6"/>
    <w:rsid w:val="7C7D04E4"/>
    <w:rsid w:val="7C853BEA"/>
    <w:rsid w:val="7C881368"/>
    <w:rsid w:val="7CD61022"/>
    <w:rsid w:val="7CE27788"/>
    <w:rsid w:val="7CF74734"/>
    <w:rsid w:val="7D0C32F1"/>
    <w:rsid w:val="7D0F14F9"/>
    <w:rsid w:val="7D0F408D"/>
    <w:rsid w:val="7D491C6C"/>
    <w:rsid w:val="7D5429C0"/>
    <w:rsid w:val="7D5B4A17"/>
    <w:rsid w:val="7D6E6D43"/>
    <w:rsid w:val="7D805373"/>
    <w:rsid w:val="7DB12889"/>
    <w:rsid w:val="7DB57A34"/>
    <w:rsid w:val="7DE60973"/>
    <w:rsid w:val="7DEF0916"/>
    <w:rsid w:val="7E1E5218"/>
    <w:rsid w:val="7E6D5116"/>
    <w:rsid w:val="7E9A4E1F"/>
    <w:rsid w:val="7EA7723A"/>
    <w:rsid w:val="7EF56FBB"/>
    <w:rsid w:val="7EFF6A6C"/>
    <w:rsid w:val="7F0768EB"/>
    <w:rsid w:val="7F143BEC"/>
    <w:rsid w:val="7F277082"/>
    <w:rsid w:val="7F5243ED"/>
    <w:rsid w:val="7F702636"/>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semiHidden/>
    <w:unhideWhenUsed/>
    <w:qFormat/>
    <w:uiPriority w:val="1"/>
  </w:style>
  <w:style w:type="table" w:default="1" w:styleId="65">
    <w:name w:val="Normal Table"/>
    <w:semiHidden/>
    <w:unhideWhenUsed/>
    <w:qFormat/>
    <w:uiPriority w:val="99"/>
    <w:tblPr>
      <w:tblCellMar>
        <w:top w:w="0" w:type="dxa"/>
        <w:left w:w="108" w:type="dxa"/>
        <w:bottom w:w="0" w:type="dxa"/>
        <w:right w:w="108" w:type="dxa"/>
      </w:tblCellMar>
    </w:tblPr>
  </w:style>
  <w:style w:type="paragraph" w:styleId="2">
    <w:name w:val="List Paragraph"/>
    <w:basedOn w:val="1"/>
    <w:qFormat/>
    <w:uiPriority w:val="34"/>
    <w:pPr>
      <w:spacing w:line="360" w:lineRule="auto"/>
      <w:ind w:firstLine="200" w:firstLineChars="200"/>
    </w:pPr>
    <w:rPr>
      <w:rFonts w:eastAsia="楷体_GB2312" w:cs="Lucida Sans"/>
      <w:sz w:val="24"/>
    </w:rPr>
  </w:style>
  <w:style w:type="paragraph" w:styleId="6">
    <w:name w:val="Normal Indent"/>
    <w:basedOn w:val="1"/>
    <w:next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3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4"/>
    <w:qFormat/>
    <w:uiPriority w:val="0"/>
    <w:pPr>
      <w:shd w:val="clear" w:color="auto" w:fill="000080"/>
    </w:pPr>
  </w:style>
  <w:style w:type="paragraph" w:styleId="20">
    <w:name w:val="annotation text"/>
    <w:basedOn w:val="1"/>
    <w:link w:val="345"/>
    <w:qFormat/>
    <w:uiPriority w:val="99"/>
    <w:pPr>
      <w:jc w:val="left"/>
    </w:pPr>
  </w:style>
  <w:style w:type="paragraph" w:styleId="21">
    <w:name w:val="Salutation"/>
    <w:basedOn w:val="1"/>
    <w:next w:val="1"/>
    <w:link w:val="299"/>
    <w:qFormat/>
    <w:uiPriority w:val="0"/>
    <w:rPr>
      <w:rFonts w:ascii="仿宋_GB2312" w:eastAsia="仿宋_GB2312"/>
      <w:sz w:val="28"/>
      <w:szCs w:val="20"/>
    </w:rPr>
  </w:style>
  <w:style w:type="paragraph" w:styleId="22">
    <w:name w:val="Body Text 3"/>
    <w:basedOn w:val="1"/>
    <w:link w:val="331"/>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1"/>
    <w:qFormat/>
    <w:uiPriority w:val="0"/>
    <w:pPr>
      <w:autoSpaceDE w:val="0"/>
      <w:autoSpaceDN w:val="0"/>
      <w:spacing w:line="360" w:lineRule="auto"/>
    </w:pPr>
    <w:rPr>
      <w:rFonts w:ascii="宋体" w:hAnsi="Arial" w:cs="Arial"/>
      <w:snapToGrid w:val="0"/>
      <w:sz w:val="24"/>
      <w:szCs w:val="21"/>
      <w:lang w:val="zh-CN"/>
    </w:rPr>
  </w:style>
  <w:style w:type="paragraph" w:styleId="25">
    <w:name w:val="toc 4"/>
    <w:basedOn w:val="1"/>
    <w:next w:val="1"/>
    <w:qFormat/>
    <w:uiPriority w:val="0"/>
    <w:pPr>
      <w:ind w:left="1260" w:leftChars="600"/>
    </w:pPr>
  </w:style>
  <w:style w:type="paragraph" w:styleId="26">
    <w:name w:val="Body Text Indent"/>
    <w:basedOn w:val="1"/>
    <w:next w:val="27"/>
    <w:link w:val="266"/>
    <w:qFormat/>
    <w:uiPriority w:val="0"/>
    <w:pPr>
      <w:spacing w:line="480" w:lineRule="exact"/>
      <w:ind w:firstLine="480" w:firstLineChars="200"/>
    </w:pPr>
    <w:rPr>
      <w:rFonts w:ascii="宋体" w:hAnsi="宋体"/>
      <w:sz w:val="24"/>
    </w:rPr>
  </w:style>
  <w:style w:type="paragraph" w:styleId="27">
    <w:name w:val="envelope return"/>
    <w:basedOn w:val="1"/>
    <w:qFormat/>
    <w:uiPriority w:val="99"/>
    <w:pPr>
      <w:snapToGrid w:val="0"/>
    </w:pPr>
    <w:rPr>
      <w:rFonts w:ascii="Arial" w:hAnsi="Arial"/>
    </w:r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27"/>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3"/>
    <w:qFormat/>
    <w:uiPriority w:val="0"/>
    <w:pPr>
      <w:ind w:left="100" w:leftChars="2500"/>
    </w:pPr>
    <w:rPr>
      <w:rFonts w:ascii="宋体"/>
      <w:sz w:val="24"/>
      <w:szCs w:val="21"/>
      <w:lang w:val="zh-CN"/>
    </w:rPr>
  </w:style>
  <w:style w:type="paragraph" w:styleId="39">
    <w:name w:val="Body Text Indent 2"/>
    <w:basedOn w:val="1"/>
    <w:link w:val="309"/>
    <w:qFormat/>
    <w:uiPriority w:val="0"/>
    <w:pPr>
      <w:spacing w:line="360" w:lineRule="auto"/>
      <w:ind w:firstLine="601"/>
      <w:textAlignment w:val="baseline"/>
    </w:pPr>
    <w:rPr>
      <w:rFonts w:ascii="宋体"/>
      <w:kern w:val="0"/>
      <w:sz w:val="28"/>
      <w:szCs w:val="20"/>
    </w:rPr>
  </w:style>
  <w:style w:type="paragraph" w:styleId="40">
    <w:name w:val="endnote text"/>
    <w:basedOn w:val="1"/>
    <w:link w:val="932"/>
    <w:qFormat/>
    <w:uiPriority w:val="0"/>
    <w:rPr>
      <w:lang w:val="zh-CN"/>
    </w:rPr>
  </w:style>
  <w:style w:type="paragraph" w:styleId="41">
    <w:name w:val="Balloon Text"/>
    <w:basedOn w:val="1"/>
    <w:link w:val="190"/>
    <w:qFormat/>
    <w:uiPriority w:val="0"/>
    <w:rPr>
      <w:sz w:val="18"/>
      <w:szCs w:val="18"/>
    </w:rPr>
  </w:style>
  <w:style w:type="paragraph" w:styleId="42">
    <w:name w:val="footer"/>
    <w:basedOn w:val="1"/>
    <w:link w:val="384"/>
    <w:qFormat/>
    <w:uiPriority w:val="99"/>
    <w:pPr>
      <w:tabs>
        <w:tab w:val="center" w:pos="4153"/>
        <w:tab w:val="right" w:pos="8306"/>
      </w:tabs>
      <w:snapToGrid w:val="0"/>
      <w:jc w:val="left"/>
    </w:pPr>
    <w:rPr>
      <w:sz w:val="18"/>
      <w:szCs w:val="18"/>
    </w:rPr>
  </w:style>
  <w:style w:type="paragraph" w:styleId="43">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311"/>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6"/>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3"/>
    <w:qFormat/>
    <w:uiPriority w:val="0"/>
    <w:pPr>
      <w:spacing w:after="120" w:line="480" w:lineRule="auto"/>
    </w:pPr>
  </w:style>
  <w:style w:type="paragraph" w:styleId="58">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87"/>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8"/>
    <w:qFormat/>
    <w:uiPriority w:val="0"/>
    <w:rPr>
      <w:b/>
      <w:bCs/>
    </w:rPr>
  </w:style>
  <w:style w:type="paragraph" w:styleId="62">
    <w:name w:val="Body Text First Indent"/>
    <w:basedOn w:val="24"/>
    <w:next w:val="63"/>
    <w:link w:val="322"/>
    <w:qFormat/>
    <w:uiPriority w:val="0"/>
    <w:pPr>
      <w:ind w:firstLine="420"/>
    </w:pPr>
    <w:rPr>
      <w:rFonts w:hAnsi="Calibri" w:cs="Times New Roman"/>
      <w:snapToGrid/>
      <w:szCs w:val="20"/>
    </w:rPr>
  </w:style>
  <w:style w:type="paragraph" w:styleId="63">
    <w:name w:val="Body Text First Indent 2"/>
    <w:basedOn w:val="26"/>
    <w:next w:val="64"/>
    <w:link w:val="123"/>
    <w:qFormat/>
    <w:uiPriority w:val="0"/>
    <w:pPr>
      <w:adjustRightInd/>
      <w:spacing w:after="120" w:line="240" w:lineRule="auto"/>
      <w:ind w:left="420" w:leftChars="200" w:firstLine="210"/>
    </w:pPr>
    <w:rPr>
      <w:sz w:val="21"/>
    </w:rPr>
  </w:style>
  <w:style w:type="paragraph" w:customStyle="1" w:styleId="64">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qFormat/>
    <w:uiPriority w:val="22"/>
    <w:rPr>
      <w:b/>
      <w:bCs/>
    </w:rPr>
  </w:style>
  <w:style w:type="character" w:styleId="74">
    <w:name w:val="endnote reference"/>
    <w:qFormat/>
    <w:uiPriority w:val="0"/>
    <w:rPr>
      <w:vertAlign w:val="superscript"/>
    </w:rPr>
  </w:style>
  <w:style w:type="character" w:styleId="75">
    <w:name w:val="page number"/>
    <w:basedOn w:val="72"/>
    <w:qFormat/>
    <w:uiPriority w:val="0"/>
    <w:rPr>
      <w:rFonts w:ascii="Arial" w:hAnsi="Arial" w:eastAsia="黑体" w:cs="Arial"/>
      <w:snapToGrid w:val="0"/>
      <w:kern w:val="0"/>
      <w:szCs w:val="21"/>
    </w:rPr>
  </w:style>
  <w:style w:type="character" w:styleId="76">
    <w:name w:val="FollowedHyperlink"/>
    <w:qFormat/>
    <w:uiPriority w:val="99"/>
    <w:rPr>
      <w:rFonts w:ascii="Arial" w:hAnsi="Arial" w:eastAsia="黑体" w:cs="Arial"/>
      <w:snapToGrid w:val="0"/>
      <w:color w:val="000000"/>
      <w:kern w:val="0"/>
      <w:sz w:val="18"/>
      <w:szCs w:val="18"/>
      <w:u w:val="none"/>
    </w:rPr>
  </w:style>
  <w:style w:type="character" w:styleId="77">
    <w:name w:val="Emphasis"/>
    <w:qFormat/>
    <w:uiPriority w:val="20"/>
    <w:rPr>
      <w:color w:val="CC0033"/>
    </w:rPr>
  </w:style>
  <w:style w:type="character" w:styleId="78">
    <w:name w:val="line number"/>
    <w:basedOn w:val="72"/>
    <w:qFormat/>
    <w:uiPriority w:val="0"/>
    <w:rPr>
      <w:rFonts w:ascii="Arial" w:hAnsi="Arial" w:eastAsia="黑体" w:cs="Arial"/>
      <w:snapToGrid w:val="0"/>
      <w:kern w:val="0"/>
      <w:szCs w:val="21"/>
    </w:rPr>
  </w:style>
  <w:style w:type="character" w:styleId="79">
    <w:name w:val="Hyperlink"/>
    <w:qFormat/>
    <w:uiPriority w:val="99"/>
    <w:rPr>
      <w:rFonts w:ascii="Arial" w:hAnsi="Arial" w:eastAsia="黑体" w:cs="Arial"/>
      <w:snapToGrid w:val="0"/>
      <w:color w:val="000000"/>
      <w:kern w:val="0"/>
      <w:sz w:val="18"/>
      <w:szCs w:val="18"/>
      <w:u w:val="none"/>
    </w:rPr>
  </w:style>
  <w:style w:type="character" w:styleId="80">
    <w:name w:val="HTML Code"/>
    <w:qFormat/>
    <w:uiPriority w:val="0"/>
    <w:rPr>
      <w:rFonts w:ascii="黑体" w:hAnsi="Courier New" w:eastAsia="黑体" w:cs="楷体_GB2312"/>
      <w:sz w:val="20"/>
      <w:szCs w:val="20"/>
    </w:rPr>
  </w:style>
  <w:style w:type="character" w:styleId="81">
    <w:name w:val="annotation reference"/>
    <w:qFormat/>
    <w:uiPriority w:val="99"/>
    <w:rPr>
      <w:sz w:val="21"/>
      <w:szCs w:val="21"/>
    </w:rPr>
  </w:style>
  <w:style w:type="paragraph" w:customStyle="1" w:styleId="82">
    <w:name w:val="正文1"/>
    <w:basedOn w:val="34"/>
    <w:next w:val="1"/>
    <w:qFormat/>
    <w:uiPriority w:val="0"/>
    <w:pPr>
      <w:ind w:left="0" w:leftChars="0" w:firstLine="480" w:firstLineChars="200"/>
    </w:pPr>
    <w:rPr>
      <w:rFonts w:ascii="仿宋_GB2312" w:hAnsi="Courier New" w:eastAsia="仿宋_GB2312"/>
      <w:kern w:val="28"/>
      <w:sz w:val="24"/>
    </w:rPr>
  </w:style>
  <w:style w:type="paragraph" w:customStyle="1" w:styleId="83">
    <w:name w:val="正文首行缩进2字符"/>
    <w:basedOn w:val="1"/>
    <w:qFormat/>
    <w:uiPriority w:val="0"/>
    <w:pPr>
      <w:widowControl/>
      <w:adjustRightInd w:val="0"/>
    </w:p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1"/>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63"/>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2"/>
    <w:qFormat/>
    <w:uiPriority w:val="0"/>
    <w:rPr>
      <w:rFonts w:ascii="Arial" w:hAnsi="Arial" w:eastAsia="黑体" w:cs="Arial"/>
      <w:snapToGrid w:val="0"/>
      <w:kern w:val="0"/>
      <w:szCs w:val="21"/>
    </w:rPr>
  </w:style>
  <w:style w:type="character" w:customStyle="1" w:styleId="127">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8"/>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9"/>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4"/>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8"/>
    <w:qFormat/>
    <w:uiPriority w:val="0"/>
    <w:rPr>
      <w:rFonts w:ascii="宋体"/>
      <w:kern w:val="2"/>
      <w:sz w:val="24"/>
      <w:szCs w:val="21"/>
      <w:lang w:val="zh-CN"/>
    </w:rPr>
  </w:style>
  <w:style w:type="character" w:customStyle="1" w:styleId="184">
    <w:name w:val="标题 9 Char"/>
    <w:link w:val="12"/>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0"/>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41"/>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6"/>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19"/>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2"/>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32"/>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7"/>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17"/>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仿宋_GB2312" w:eastAsia="仿宋_GB2312" w:cs="仿宋_GB2312"/>
      <w:color w:val="000000"/>
      <w:sz w:val="24"/>
      <w:szCs w:val="24"/>
      <w:lang w:val="en-US" w:eastAsia="zh-CN" w:bidi="ar-SA"/>
    </w:rPr>
  </w:style>
  <w:style w:type="paragraph" w:customStyle="1" w:styleId="237">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
    <w:link w:val="258"/>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6"/>
    <w:qFormat/>
    <w:uiPriority w:val="0"/>
    <w:rPr>
      <w:rFonts w:ascii="宋体" w:hAnsi="宋体"/>
      <w:kern w:val="2"/>
      <w:sz w:val="24"/>
      <w:szCs w:val="24"/>
    </w:rPr>
  </w:style>
  <w:style w:type="character" w:customStyle="1" w:styleId="267">
    <w:name w:val="font01"/>
    <w:basedOn w:val="72"/>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3"/>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0"/>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8"/>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1"/>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8"/>
    <w:qFormat/>
    <w:uiPriority w:val="0"/>
    <w:rPr>
      <w:rFonts w:ascii="黑体" w:hAnsi="Courier New" w:eastAsia="黑体"/>
    </w:rPr>
  </w:style>
  <w:style w:type="character" w:customStyle="1" w:styleId="303">
    <w:name w:val="正文文本 2 Char1"/>
    <w:link w:val="57"/>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7"/>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10"/>
    <w:qFormat/>
    <w:uiPriority w:val="0"/>
    <w:rPr>
      <w:b/>
      <w:bCs/>
      <w:kern w:val="2"/>
      <w:sz w:val="24"/>
      <w:szCs w:val="24"/>
    </w:rPr>
  </w:style>
  <w:style w:type="character" w:customStyle="1" w:styleId="309">
    <w:name w:val="正文文本缩进 2 Char"/>
    <w:link w:val="39"/>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1"/>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2"/>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7"/>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2"/>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0"/>
    <w:qFormat/>
    <w:uiPriority w:val="0"/>
    <w:rPr>
      <w:kern w:val="2"/>
      <w:sz w:val="21"/>
      <w:szCs w:val="24"/>
    </w:rPr>
  </w:style>
  <w:style w:type="character" w:customStyle="1" w:styleId="346">
    <w:name w:val="签名 Char"/>
    <w:link w:val="44"/>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basedOn w:val="72"/>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1"/>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4"/>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2"/>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3"/>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2"/>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6"/>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2">
    <w:name w:val="gray6"/>
    <w:basedOn w:val="72"/>
    <w:qFormat/>
    <w:uiPriority w:val="0"/>
    <w:rPr>
      <w:rFonts w:ascii="Arial" w:hAnsi="Arial" w:eastAsia="黑体" w:cs="Arial"/>
      <w:snapToGrid w:val="0"/>
      <w:kern w:val="0"/>
      <w:szCs w:val="21"/>
    </w:rPr>
  </w:style>
  <w:style w:type="character" w:customStyle="1" w:styleId="433">
    <w:name w:val="hui"/>
    <w:basedOn w:val="72"/>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7"/>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outlineLvl w:val="5"/>
    </w:pPr>
  </w:style>
  <w:style w:type="paragraph" w:customStyle="1" w:styleId="475">
    <w:name w:val="5级标题"/>
    <w:basedOn w:val="476"/>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6">
    <w:name w:val="4级标题"/>
    <w:basedOn w:val="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3"/>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8"/>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7"/>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Lines="50"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7"/>
    <w:next w:val="237"/>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7"/>
    <w:next w:val="237"/>
    <w:qFormat/>
    <w:uiPriority w:val="0"/>
    <w:rPr>
      <w:rFonts w:ascii="宋体" w:eastAsia="宋体" w:cs="Times New Roman"/>
      <w:color w:val="auto"/>
    </w:rPr>
  </w:style>
  <w:style w:type="paragraph" w:customStyle="1" w:styleId="551">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7"/>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7">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Lines="0" w:afterLines="0"/>
      <w:ind w:left="1680"/>
      <w:outlineLvl w:val="2"/>
    </w:pPr>
  </w:style>
  <w:style w:type="paragraph" w:customStyle="1" w:styleId="659">
    <w:name w:val="章标题"/>
    <w:next w:val="641"/>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7"/>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Lines="50"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9"/>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next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6"/>
    <w:qFormat/>
    <w:uiPriority w:val="0"/>
    <w:pPr>
      <w:adjustRightInd/>
      <w:spacing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3"/>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9"/>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30"/>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4"/>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3"/>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40"/>
    <w:qFormat/>
    <w:uiPriority w:val="0"/>
    <w:rPr>
      <w:kern w:val="2"/>
      <w:sz w:val="21"/>
      <w:szCs w:val="24"/>
      <w:lang w:val="zh-CN"/>
    </w:rPr>
  </w:style>
  <w:style w:type="character" w:customStyle="1" w:styleId="933">
    <w:name w:val="无间隔 Char"/>
    <w:link w:val="484"/>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2"/>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Basistekst Batenburg"/>
    <w:basedOn w:val="966"/>
    <w:qFormat/>
    <w:uiPriority w:val="0"/>
  </w:style>
  <w:style w:type="paragraph" w:customStyle="1" w:styleId="966">
    <w:name w:val="Zsysbasis Batenburg"/>
    <w:next w:val="965"/>
    <w:qFormat/>
    <w:uiPriority w:val="0"/>
    <w:pPr>
      <w:spacing w:line="300" w:lineRule="atLeast"/>
    </w:pPr>
    <w:rPr>
      <w:rFonts w:ascii="Times New Roman" w:hAnsi="Times New Roman" w:eastAsia="宋体" w:cs="Times New Roman"/>
      <w:sz w:val="22"/>
      <w:szCs w:val="18"/>
      <w:lang w:val="en-US" w:eastAsia="zh-CN" w:bidi="ar-SA"/>
    </w:rPr>
  </w:style>
  <w:style w:type="character" w:customStyle="1" w:styleId="967">
    <w:name w:val="NormalCharacter"/>
    <w:qFormat/>
    <w:uiPriority w:val="0"/>
    <w:rPr>
      <w:rFonts w:hint="eastAsia" w:ascii="仿宋_GB2312" w:eastAsia="仿宋_GB2312"/>
      <w:b/>
      <w:sz w:val="32"/>
      <w:szCs w:val="32"/>
    </w:rPr>
  </w:style>
  <w:style w:type="paragraph" w:customStyle="1" w:styleId="968">
    <w:name w:val="BodyText1I2"/>
    <w:basedOn w:val="969"/>
    <w:next w:val="1"/>
    <w:qFormat/>
    <w:uiPriority w:val="99"/>
    <w:pPr>
      <w:spacing w:after="120" w:line="240" w:lineRule="auto"/>
      <w:ind w:left="420" w:leftChars="200" w:firstLine="420" w:firstLineChars="200"/>
    </w:pPr>
    <w:rPr>
      <w:sz w:val="21"/>
    </w:rPr>
  </w:style>
  <w:style w:type="paragraph" w:customStyle="1" w:styleId="969">
    <w:name w:val="BodyTextIndent"/>
    <w:basedOn w:val="1"/>
    <w:next w:val="1"/>
    <w:qFormat/>
    <w:uiPriority w:val="99"/>
    <w:pPr>
      <w:spacing w:line="480" w:lineRule="auto"/>
      <w:ind w:firstLine="600"/>
    </w:pPr>
    <w:rPr>
      <w:sz w:val="28"/>
    </w:rPr>
  </w:style>
  <w:style w:type="paragraph" w:customStyle="1" w:styleId="970">
    <w:name w:val="msonospacing"/>
    <w:basedOn w:val="1"/>
    <w:qFormat/>
    <w:uiPriority w:val="0"/>
    <w:rPr>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0672B4D-9256-4782-95A6-08916EF33AD5}">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75</Pages>
  <Words>36810</Words>
  <Characters>38885</Characters>
  <Lines>49</Lines>
  <Paragraphs>84</Paragraphs>
  <TotalTime>32</TotalTime>
  <ScaleCrop>false</ScaleCrop>
  <LinksUpToDate>false</LinksUpToDate>
  <CharactersWithSpaces>40888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安静不安分</cp:lastModifiedBy>
  <cp:lastPrinted>2023-12-18T02:06:46Z</cp:lastPrinted>
  <dcterms:modified xsi:type="dcterms:W3CDTF">2023-12-18T02:14:47Z</dcterms:modified>
  <dc:title>杭州市市民卡扩大发卡工程</dc:title>
  <cp:revision>344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B746CF882FFC4B7DA568433DC2973B74</vt:lpwstr>
  </property>
</Properties>
</file>