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杭州市公安业务网安全服务项目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ZHZB-2024HZGA-02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杭州市公安局</w:t>
      </w:r>
    </w:p>
    <w:p>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浙江正浩招标代理有限公司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6"/>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杭州市公安业务网安全服务项目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25</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ZHZB-2024HZGA-02</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杭州市公安业务网安全服务项目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w:t>
      </w:r>
      <w:bookmarkStart w:id="405" w:name="_GoBack"/>
      <w:bookmarkEnd w:id="405"/>
      <w:r>
        <w:rPr>
          <w:rFonts w:hint="eastAsia" w:ascii="宋体" w:hAnsi="宋体" w:cs="宋体"/>
          <w:b/>
          <w:color w:val="auto"/>
          <w:sz w:val="24"/>
          <w:highlight w:val="none"/>
        </w:rPr>
        <w:t>：</w:t>
      </w:r>
      <w:r>
        <w:rPr>
          <w:rFonts w:hint="eastAsia" w:ascii="宋体" w:hAnsi="宋体" w:cs="宋体"/>
          <w:b w:val="0"/>
          <w:bCs/>
          <w:color w:val="auto"/>
          <w:sz w:val="24"/>
          <w:highlight w:val="none"/>
        </w:rPr>
        <w:t>472万元（其中2024年预算安排250万元）</w:t>
      </w:r>
    </w:p>
    <w:p>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rPr>
        <w:t>杭州市公安业务网安全服务项目，主要工作内容为保证杭州市公安局公安业务网和数据的安全稳定运行，通过采购等保测评服务、数据库审计服务、政务网云日志审计服务、政务网态势感知服务、SaaS化安全服务、公安网安全风险感知服务、公安网桌面云服务、公安网一机两用服务、视频网终端杀毒服务、系统安全检测、网络安全检查、</w:t>
      </w:r>
      <w:r>
        <w:rPr>
          <w:rFonts w:hint="eastAsia" w:hAnsi="宋体" w:cs="宋体"/>
          <w:b w:val="0"/>
          <w:bCs/>
          <w:color w:val="auto"/>
          <w:sz w:val="24"/>
          <w:highlight w:val="none"/>
          <w:lang w:eastAsia="zh-Hans"/>
        </w:rPr>
        <w:t>重</w:t>
      </w:r>
      <w:r>
        <w:rPr>
          <w:rFonts w:hint="eastAsia" w:hAnsi="宋体" w:cs="宋体"/>
          <w:b w:val="0"/>
          <w:bCs/>
          <w:color w:val="auto"/>
          <w:sz w:val="24"/>
          <w:highlight w:val="none"/>
        </w:rPr>
        <w:t>保、应急响应、边界通道租赁服务，提升杭州市公安局公安业务网网络与数据安全的能力。</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pStyle w:val="132"/>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rPr>
        <w:t>2024年6月1日</w:t>
      </w:r>
      <w:r>
        <w:rPr>
          <w:rFonts w:hint="eastAsia" w:ascii="宋体" w:hAnsi="宋体" w:cs="宋体"/>
          <w:b w:val="0"/>
          <w:bCs/>
          <w:color w:val="auto"/>
          <w:highlight w:val="none"/>
          <w:lang w:val="en-US" w:eastAsia="zh-CN"/>
        </w:rPr>
        <w:t>至</w:t>
      </w:r>
      <w:r>
        <w:rPr>
          <w:rFonts w:hint="eastAsia" w:ascii="宋体" w:hAnsi="宋体" w:cs="宋体"/>
          <w:b w:val="0"/>
          <w:bCs/>
          <w:color w:val="auto"/>
          <w:highlight w:val="none"/>
        </w:rPr>
        <w:t>2025年5月31日</w:t>
      </w:r>
    </w:p>
    <w:p>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cs="宋体"/>
            <w:color w:val="auto"/>
            <w:kern w:val="0"/>
            <w:sz w:val="24"/>
            <w:highlight w:val="none"/>
          </w:rPr>
          <w:id w:val="-1521072915"/>
        </w:sdtPr>
        <w:sdtEndPr>
          <w:rPr>
            <w:rFonts w:hint="eastAsia" w:ascii="宋体" w:hAnsi="宋体" w:cs="宋体"/>
            <w:color w:val="auto"/>
            <w:kern w:val="0"/>
            <w:sz w:val="24"/>
            <w:highlight w:val="none"/>
          </w:rPr>
        </w:sdtEndPr>
        <w:sdtContent/>
      </w:sdt>
      <w:r>
        <w:rPr>
          <w:rFonts w:hint="eastAsia" w:ascii="宋体" w:hAnsi="宋体" w:cs="宋体"/>
          <w:color w:val="auto"/>
          <w:kern w:val="0"/>
          <w:sz w:val="24"/>
          <w:highlight w:val="none"/>
        </w:rPr>
        <w:t>要求合同分包，提供分包意向协议和中小企业声明函，分包意向协议中中小企业合同金额应当达到43% ，小微企业合同金额应当达到28% ;如果供应商本身提供所有标的均由中小企业制造、承建或承接，并相应达到了前述比例要求，视同符合了资格条件，无需再向中小企业分包，无需提供分包意向协议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b w:val="0"/>
          <w:bCs/>
          <w:color w:val="auto"/>
          <w:sz w:val="24"/>
          <w:highlight w:val="none"/>
          <w:u w:val="single"/>
        </w:rPr>
        <w:t>2024年4月25日14点00分00秒</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b w:val="0"/>
          <w:bCs/>
          <w:color w:val="auto"/>
          <w:sz w:val="24"/>
          <w:highlight w:val="none"/>
          <w:u w:val="single"/>
        </w:rPr>
        <w:t>2024年4月25日14点00分00秒</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址：杭州市华光路35号</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w:t>
      </w:r>
      <w:r>
        <w:rPr>
          <w:rFonts w:hint="eastAsia" w:ascii="宋体" w:hAnsi="宋体" w:cs="宋体"/>
          <w:color w:val="auto"/>
          <w:sz w:val="24"/>
          <w:highlight w:val="none"/>
          <w:lang w:eastAsia="zh-CN"/>
        </w:rPr>
        <w:t>问）：</w:t>
      </w:r>
      <w:r>
        <w:rPr>
          <w:rFonts w:hint="eastAsia" w:ascii="宋体" w:hAnsi="宋体" w:cs="宋体"/>
          <w:color w:val="auto"/>
          <w:sz w:val="24"/>
          <w:highlight w:val="none"/>
          <w:lang w:val="en-US" w:eastAsia="zh-CN"/>
        </w:rPr>
        <w:t>李</w:t>
      </w:r>
      <w:r>
        <w:rPr>
          <w:rFonts w:hint="eastAsia" w:ascii="宋体" w:hAnsi="宋体" w:cs="宋体"/>
          <w:color w:val="auto"/>
          <w:sz w:val="24"/>
          <w:highlight w:val="none"/>
          <w:lang w:eastAsia="zh-CN"/>
        </w:rPr>
        <w:t>先生</w:t>
      </w:r>
    </w:p>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 xml:space="preserve">    项目联系方式（询问）：0571-8959</w:t>
      </w:r>
      <w:r>
        <w:rPr>
          <w:rFonts w:hint="eastAsia" w:ascii="宋体" w:hAnsi="宋体" w:cs="宋体"/>
          <w:color w:val="auto"/>
          <w:sz w:val="24"/>
          <w:highlight w:val="none"/>
          <w:lang w:val="en-US" w:eastAsia="zh-CN"/>
        </w:rPr>
        <w:t>0197</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质疑联系人：陈先生</w:t>
      </w:r>
    </w:p>
    <w:p>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 xml:space="preserve">    质疑联系方式：0571-8959</w:t>
      </w:r>
      <w:r>
        <w:rPr>
          <w:rFonts w:hint="eastAsia" w:ascii="宋体" w:hAnsi="宋体" w:cs="宋体"/>
          <w:color w:val="auto"/>
          <w:sz w:val="24"/>
          <w:highlight w:val="none"/>
          <w:lang w:val="en-US" w:eastAsia="zh-CN"/>
        </w:rPr>
        <w:t>0205</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浙江正浩招标代理有限公司</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杭州市拱墅区祥园路45号盘石全球数字经济产业园D座409室</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方晨</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18057185267</w:t>
      </w:r>
    </w:p>
    <w:p>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杨倩</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15395821972</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监督投诉电话：电话：0571-85252453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b w:val="0"/>
                <w:bCs w:val="0"/>
                <w:color w:val="auto"/>
                <w:kern w:val="0"/>
                <w:sz w:val="24"/>
                <w:szCs w:val="24"/>
                <w:highlight w:val="none"/>
                <w:u w:val="singl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杭州市公安业务网安全服务项目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rPr>
              <w:t>(</w:t>
            </w:r>
            <w:r>
              <w:rPr>
                <w:rFonts w:hint="eastAsia" w:ascii="宋体" w:hAnsi="宋体" w:cs="宋体"/>
                <w:color w:val="auto"/>
                <w:kern w:val="0"/>
                <w:sz w:val="24"/>
                <w:highlight w:val="none"/>
                <w:u w:val="single"/>
              </w:rPr>
              <w:t>十二）软件和信息技术服务业</w:t>
            </w:r>
            <w:r>
              <w:rPr>
                <w:rFonts w:hint="eastAsia" w:ascii="宋体" w:hAnsi="宋体" w:cs="宋体"/>
                <w:color w:val="auto"/>
                <w:kern w:val="0"/>
                <w:sz w:val="24"/>
                <w:highlight w:val="none"/>
              </w:rPr>
              <w:t>行业；</w:t>
            </w:r>
          </w:p>
          <w:p>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u w:val="none"/>
                <w:lang w:val="en-US"/>
              </w:rPr>
              <w:t>从业人员300人以下或营业收入10000万元以 下的为中小微型企业。其中，从业人员100人及以上，且营业收入1000万元及以上的为中型企业；从业人员10人及以上，且营业收入50万元及以上的为小型企业；从业 人员10人以下或营业收入50万元以下的为微型企业。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等保</w:t>
            </w:r>
            <w:r>
              <w:rPr>
                <w:rFonts w:hint="eastAsia" w:ascii="宋体" w:hAnsi="宋体" w:cs="宋体"/>
                <w:color w:val="auto"/>
                <w:sz w:val="24"/>
                <w:highlight w:val="none"/>
                <w:u w:val="single"/>
                <w:lang w:val="en-US" w:eastAsia="zh-CN"/>
              </w:rPr>
              <w:t>测评</w:t>
            </w:r>
            <w:r>
              <w:rPr>
                <w:rFonts w:hint="eastAsia" w:ascii="宋体" w:hAnsi="宋体" w:cs="宋体"/>
                <w:color w:val="auto"/>
                <w:sz w:val="24"/>
                <w:highlight w:val="none"/>
                <w:u w:val="single"/>
              </w:rPr>
              <w:t>服务、边界通道</w:t>
            </w:r>
            <w:r>
              <w:rPr>
                <w:rFonts w:hint="eastAsia" w:ascii="宋体" w:hAnsi="宋体" w:cs="宋体"/>
                <w:color w:val="auto"/>
                <w:sz w:val="24"/>
                <w:highlight w:val="none"/>
                <w:u w:val="single"/>
                <w:lang w:val="en-US" w:eastAsia="zh-CN"/>
              </w:rPr>
              <w:t>租赁</w:t>
            </w:r>
            <w:r>
              <w:rPr>
                <w:rFonts w:hint="eastAsia" w:ascii="宋体" w:hAnsi="宋体" w:cs="宋体"/>
                <w:color w:val="auto"/>
                <w:sz w:val="24"/>
                <w:highlight w:val="none"/>
                <w:u w:val="single"/>
              </w:rPr>
              <w:t>服务、</w:t>
            </w:r>
            <w:r>
              <w:rPr>
                <w:rFonts w:hint="eastAsia" w:ascii="宋体" w:hAnsi="宋体" w:cs="宋体"/>
                <w:color w:val="auto"/>
                <w:sz w:val="24"/>
                <w:highlight w:val="none"/>
                <w:u w:val="single"/>
                <w:lang w:val="en-US" w:eastAsia="zh-CN"/>
              </w:rPr>
              <w:t>公安网</w:t>
            </w:r>
            <w:r>
              <w:rPr>
                <w:rFonts w:hint="eastAsia" w:ascii="宋体" w:hAnsi="宋体" w:cs="宋体"/>
                <w:color w:val="auto"/>
                <w:sz w:val="24"/>
                <w:highlight w:val="none"/>
                <w:u w:val="single"/>
              </w:rPr>
              <w:t>一机两用</w:t>
            </w:r>
            <w:r>
              <w:rPr>
                <w:rFonts w:hint="eastAsia" w:ascii="宋体" w:hAnsi="宋体" w:cs="宋体"/>
                <w:color w:val="auto"/>
                <w:sz w:val="24"/>
                <w:highlight w:val="none"/>
                <w:u w:val="single"/>
                <w:lang w:val="en-US" w:eastAsia="zh-CN"/>
              </w:rPr>
              <w:t>服务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公安网桌面云服务</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2"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3"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lang w:eastAsia="zh-CN"/>
              </w:rPr>
              <w:t>杭州市拱墅区祥园路45号盘石全球数字经济产业园D座409室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方晨；18057185267</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eastAsia="宋体" w:cs="宋体"/>
                <w:b/>
                <w:bCs/>
                <w:snapToGrid w:val="0"/>
                <w:color w:val="auto"/>
                <w:kern w:val="28"/>
                <w:sz w:val="24"/>
                <w:highlight w:val="none"/>
              </w:rPr>
              <w:t>采购代理机构代理费用</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ascii="仿宋" w:hAnsi="仿宋" w:cs="仿宋"/>
                <w:color w:val="auto"/>
                <w:sz w:val="24"/>
                <w:highlight w:val="none"/>
              </w:rPr>
            </w:pPr>
            <w:r>
              <w:rPr>
                <w:rFonts w:hint="eastAsia" w:ascii="仿宋" w:hAnsi="仿宋" w:cs="仿宋"/>
                <w:color w:val="auto"/>
                <w:sz w:val="24"/>
                <w:highlight w:val="none"/>
              </w:rPr>
              <w:t>中标人需向</w:t>
            </w:r>
            <w:r>
              <w:rPr>
                <w:rFonts w:hint="eastAsia" w:ascii="仿宋" w:hAnsi="仿宋" w:cs="仿宋"/>
                <w:color w:val="auto"/>
                <w:sz w:val="24"/>
                <w:highlight w:val="none"/>
                <w:lang w:eastAsia="zh-CN"/>
              </w:rPr>
              <w:t>浙江正浩招标代理有限公司</w:t>
            </w:r>
            <w:r>
              <w:rPr>
                <w:rFonts w:hint="eastAsia" w:ascii="仿宋" w:hAnsi="仿宋" w:cs="仿宋"/>
                <w:color w:val="auto"/>
                <w:sz w:val="24"/>
                <w:highlight w:val="none"/>
              </w:rPr>
              <w:t>支付招标代理服务费，收费标准为：以中标通知书中确定的中标总金额作为收费的计算基数，按照《关于杭州市招标代理服务收费管理有关问题的通知》(杭价费[2003]148号)文件规定的相应项目收费标准下浮</w:t>
            </w:r>
            <w:r>
              <w:rPr>
                <w:rFonts w:hint="eastAsia" w:ascii="仿宋" w:hAnsi="仿宋" w:cs="仿宋"/>
                <w:color w:val="auto"/>
                <w:sz w:val="24"/>
                <w:highlight w:val="none"/>
                <w:lang w:val="en-US" w:eastAsia="zh-CN"/>
              </w:rPr>
              <w:t>65</w:t>
            </w:r>
            <w:r>
              <w:rPr>
                <w:rFonts w:hint="eastAsia" w:ascii="仿宋" w:hAnsi="仿宋" w:cs="仿宋"/>
                <w:color w:val="auto"/>
                <w:sz w:val="24"/>
                <w:highlight w:val="none"/>
              </w:rPr>
              <w:t>%取费。</w:t>
            </w:r>
          </w:p>
          <w:p>
            <w:pPr>
              <w:keepNext w:val="0"/>
              <w:keepLines w:val="0"/>
              <w:pageBreakBefore w:val="0"/>
              <w:widowControl w:val="0"/>
              <w:kinsoku/>
              <w:wordWrap w:val="0"/>
              <w:overflowPunct/>
              <w:topLinePunct w:val="0"/>
              <w:autoSpaceDE/>
              <w:autoSpaceDN/>
              <w:bidi w:val="0"/>
              <w:adjustRightInd w:val="0"/>
              <w:snapToGrid/>
              <w:spacing w:line="360" w:lineRule="auto"/>
              <w:jc w:val="left"/>
              <w:textAlignment w:val="auto"/>
              <w:rPr>
                <w:rFonts w:hint="eastAsia" w:cs="Arial" w:asciiTheme="minorEastAsia" w:hAnsiTheme="minorEastAsia" w:eastAsiaTheme="minorEastAsia"/>
                <w:color w:val="auto"/>
                <w:kern w:val="0"/>
                <w:sz w:val="24"/>
                <w:highlight w:val="none"/>
              </w:rPr>
            </w:pPr>
            <w:r>
              <w:rPr>
                <w:rFonts w:hint="eastAsia" w:ascii="仿宋" w:hAnsi="仿宋" w:cs="仿宋"/>
                <w:color w:val="auto"/>
                <w:sz w:val="24"/>
                <w:highlight w:val="none"/>
                <w:lang w:val="en-US" w:eastAsia="zh-CN"/>
              </w:rPr>
              <w:t>以上费用由中标人在领取中标通知书时一次性向采购代理机构付清。(开户名：浙江正浩招标代理有限公司,</w:t>
            </w:r>
            <w:r>
              <w:rPr>
                <w:rFonts w:hint="eastAsia" w:ascii="仿宋" w:hAnsi="仿宋" w:cs="仿宋"/>
                <w:color w:val="auto"/>
                <w:sz w:val="24"/>
                <w:highlight w:val="none"/>
              </w:rPr>
              <w:t>开户银行：浙商银行杭州分行营业部；账号：3310010010120101045391</w:t>
            </w:r>
            <w:r>
              <w:rPr>
                <w:rFonts w:hint="eastAsia" w:ascii="仿宋" w:hAnsi="仿宋" w:cs="仿宋"/>
                <w:color w:val="auto"/>
                <w:sz w:val="24"/>
                <w:highlight w:val="none"/>
                <w:lang w:val="en-US" w:eastAsia="zh-CN"/>
              </w:rPr>
              <w:t>)</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pStyle w:val="5"/>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 xml:space="preserve">3.4.3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8"/>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pPr>
        <w:pStyle w:val="888"/>
        <w:shd w:val="clear" w:color="auto" w:fill="FFFFFF"/>
        <w:snapToGrid w:val="0"/>
        <w:spacing w:after="240" w:afterAutospacing="0" w:line="360" w:lineRule="auto"/>
        <w:ind w:firstLine="400"/>
        <w:contextualSpacing/>
        <w:rPr>
          <w:rFonts w:hint="eastAsia"/>
          <w:color w:val="auto"/>
          <w:highlight w:val="none"/>
        </w:rPr>
      </w:pPr>
    </w:p>
    <w:p>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32"/>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pPr>
        <w:pStyle w:val="5"/>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w:t>
      </w:r>
    </w:p>
    <w:p>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color w:val="auto"/>
          <w:sz w:val="32"/>
          <w:highlight w:val="none"/>
        </w:rPr>
      </w:pPr>
    </w:p>
    <w:p>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pPr>
        <w:pStyle w:val="132"/>
        <w:snapToGrid w:val="0"/>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32"/>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w:t>
      </w:r>
      <w:r>
        <w:rPr>
          <w:rFonts w:ascii="宋体" w:hAnsi="宋体" w:cs="宋体"/>
          <w:color w:val="auto"/>
          <w:sz w:val="24"/>
          <w:highlight w:val="none"/>
        </w:rPr>
        <w:t>评标委员会由采购人代表和评审专家组成，成员人数为</w:t>
      </w:r>
      <w:r>
        <w:rPr>
          <w:rFonts w:hint="eastAsia" w:ascii="宋体" w:hAnsi="宋体" w:cs="宋体"/>
          <w:color w:val="auto"/>
          <w:sz w:val="24"/>
          <w:highlight w:val="none"/>
        </w:rPr>
        <w:t>5</w:t>
      </w:r>
      <w:r>
        <w:rPr>
          <w:rFonts w:ascii="宋体" w:hAnsi="宋体" w:cs="宋体"/>
          <w:color w:val="auto"/>
          <w:sz w:val="24"/>
          <w:highlight w:val="none"/>
        </w:rPr>
        <w:t>人（采购人代表</w:t>
      </w:r>
      <w:r>
        <w:rPr>
          <w:rFonts w:hint="eastAsia" w:ascii="宋体" w:hAnsi="宋体" w:cs="宋体"/>
          <w:color w:val="auto"/>
          <w:sz w:val="24"/>
          <w:highlight w:val="none"/>
        </w:rPr>
        <w:t>1人，评标专家4人由采购代理机构从</w:t>
      </w:r>
      <w:r>
        <w:rPr>
          <w:rFonts w:hint="eastAsia" w:ascii="宋体" w:hAnsi="宋体" w:cs="宋体"/>
          <w:color w:val="auto"/>
          <w:sz w:val="24"/>
          <w:highlight w:val="none"/>
          <w:lang w:val="en-US" w:eastAsia="zh-CN"/>
        </w:rPr>
        <w:t>政府</w:t>
      </w:r>
      <w:r>
        <w:rPr>
          <w:rFonts w:hint="eastAsia" w:ascii="宋体" w:hAnsi="宋体" w:cs="宋体"/>
          <w:color w:val="auto"/>
          <w:sz w:val="24"/>
          <w:highlight w:val="none"/>
        </w:rPr>
        <w:t>采购云平台</w:t>
      </w:r>
      <w:r>
        <w:rPr>
          <w:rFonts w:hint="eastAsia"/>
          <w:color w:val="auto"/>
          <w:sz w:val="24"/>
          <w:highlight w:val="none"/>
        </w:rPr>
        <w:t>专家库随机抽取产生</w:t>
      </w:r>
      <w:r>
        <w:rPr>
          <w:rFonts w:hint="eastAsia" w:ascii="宋体" w:hAnsi="宋体" w:cs="宋体"/>
          <w:color w:val="auto"/>
          <w:sz w:val="24"/>
          <w:highlight w:val="none"/>
        </w:rPr>
        <w:t>】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pPr>
        <w:pStyle w:val="132"/>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pPr>
        <w:pStyle w:val="81"/>
        <w:rPr>
          <w:color w:val="auto"/>
          <w:highlight w:val="none"/>
        </w:rPr>
      </w:pP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highlight w:val="none"/>
        </w:rPr>
      </w:pP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30.验收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w:t>
      </w:r>
      <w:r>
        <w:rPr>
          <w:rFonts w:hint="eastAsia" w:ascii="宋体" w:hAnsi="宋体" w:eastAsia="宋体" w:cs="宋体"/>
          <w:color w:val="auto"/>
          <w:sz w:val="24"/>
          <w:highlight w:val="none"/>
        </w:rPr>
        <w:t>采购人委托第三方成立验收小组。投标人应配合采购人组织的专项验收。验收小组由5人单数组成（1人为采购人代表，其余4名由代理机构</w:t>
      </w:r>
      <w:r>
        <w:rPr>
          <w:rFonts w:hint="eastAsia" w:ascii="宋体" w:hAnsi="宋体" w:eastAsia="宋体" w:cs="宋体"/>
          <w:color w:val="auto"/>
          <w:sz w:val="24"/>
          <w:highlight w:val="none"/>
          <w:lang w:val="en-US" w:eastAsia="zh-CN"/>
        </w:rPr>
        <w:t>在政府采购云平台政企区专家库中随机抽取产生</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pPr>
        <w:pStyle w:val="81"/>
        <w:rPr>
          <w:color w:val="auto"/>
          <w:highlight w:val="none"/>
        </w:rPr>
      </w:pP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4707468"/>
      <w:bookmarkEnd w:id="16"/>
      <w:bookmarkStart w:id="17" w:name="_Hlt68073093"/>
      <w:bookmarkEnd w:id="17"/>
      <w:bookmarkStart w:id="18" w:name="_Hlt74729768"/>
      <w:bookmarkEnd w:id="18"/>
      <w:bookmarkStart w:id="19" w:name="_Hlt74730295"/>
      <w:bookmarkEnd w:id="19"/>
      <w:bookmarkStart w:id="20" w:name="_Hlt75236011"/>
      <w:bookmarkEnd w:id="20"/>
      <w:bookmarkStart w:id="21" w:name="_Hlt68403820"/>
      <w:bookmarkEnd w:id="21"/>
      <w:bookmarkStart w:id="22" w:name="_Hlt75236290"/>
      <w:bookmarkEnd w:id="22"/>
      <w:bookmarkStart w:id="23" w:name="_Hlt68072998"/>
      <w:bookmarkEnd w:id="23"/>
      <w:bookmarkStart w:id="24" w:name="_Hlt68072990"/>
      <w:bookmarkEnd w:id="24"/>
      <w:bookmarkStart w:id="25" w:name="_Hlt75236101"/>
      <w:bookmarkEnd w:id="25"/>
      <w:bookmarkStart w:id="26" w:name="_Hlt68057669"/>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公安业务网安全服务项目，主要工作内容为保证杭州市公安局公安业务网和数据的安全稳定运行，通过采购等保测评服务、数据库审计服务、政务网云日志审计服务、政务网态势感知服务、SaaS化安全服务、公安网安全风险感知服务、公安网桌面云服务、公安网一机两用服务、视频网终端杀毒服务、系统安全检测、网络安全检查、</w:t>
      </w:r>
      <w:r>
        <w:rPr>
          <w:rFonts w:hint="eastAsia" w:ascii="宋体" w:hAnsi="宋体" w:eastAsia="宋体" w:cs="宋体"/>
          <w:color w:val="auto"/>
          <w:sz w:val="24"/>
          <w:highlight w:val="none"/>
          <w:lang w:eastAsia="zh-Hans"/>
        </w:rPr>
        <w:t>重</w:t>
      </w:r>
      <w:r>
        <w:rPr>
          <w:rFonts w:hint="eastAsia" w:ascii="宋体" w:hAnsi="宋体" w:eastAsia="宋体" w:cs="宋体"/>
          <w:color w:val="auto"/>
          <w:sz w:val="24"/>
          <w:highlight w:val="none"/>
        </w:rPr>
        <w:t>保、应急响应、边界通道租赁服务，提升杭州市公安局公安业务网网络与数据安全的能力。</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政策依据：</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《中华人民共和国网络安全法》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《中华人民共和国数据安全法》</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《关键信息基础设施安全保护条例》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《GB/T22239-2019 信息安全技术网络安全等级保护基本要求》</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《GB/T 22240-2020 信息安全技术网络安全等级保护定级指南》</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《浙江公安信息网安全管理规定实施细则（试行）》</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《关于切实加强公安网终端“一机两用”安全防范工作的通知》</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《公安信息通信网边界接入平台安全规范-公网信息采集部分》（公科信[2013] 130号）</w:t>
      </w:r>
    </w:p>
    <w:p>
      <w:pPr>
        <w:numPr>
          <w:ilvl w:val="0"/>
          <w:numId w:val="1"/>
        </w:numPr>
        <w:spacing w:line="360" w:lineRule="auto"/>
        <w:jc w:val="left"/>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rPr>
        <w:t>预算金额：</w:t>
      </w:r>
      <w:r>
        <w:rPr>
          <w:rFonts w:hint="eastAsia" w:ascii="宋体" w:hAnsi="宋体" w:eastAsia="宋体" w:cs="宋体"/>
          <w:b/>
          <w:color w:val="auto"/>
          <w:sz w:val="24"/>
          <w:highlight w:val="none"/>
          <w:u w:val="none"/>
        </w:rPr>
        <w:t>472万元（其中2024年预算安排250万元）</w:t>
      </w:r>
    </w:p>
    <w:p>
      <w:pPr>
        <w:pStyle w:val="964"/>
        <w:tabs>
          <w:tab w:val="left" w:pos="0"/>
        </w:tabs>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color w:val="auto"/>
          <w:sz w:val="24"/>
          <w:szCs w:val="24"/>
          <w:highlight w:val="none"/>
        </w:rPr>
        <w:t xml:space="preserve">采购标的是否进口产品：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进口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国产（本项目为服务类</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（四）</w:t>
      </w:r>
      <w:r>
        <w:rPr>
          <w:rFonts w:hint="eastAsia" w:ascii="宋体" w:hAnsi="宋体" w:eastAsia="宋体" w:cs="宋体"/>
          <w:color w:val="auto"/>
          <w:kern w:val="0"/>
          <w:sz w:val="24"/>
          <w:highlight w:val="none"/>
        </w:rPr>
        <w:t>需满足的政府采购政策目标和具体支持对象</w:t>
      </w:r>
    </w:p>
    <w:p>
      <w:pPr>
        <w:spacing w:line="360" w:lineRule="auto"/>
        <w:ind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扶持中小企业</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节能环保</w:t>
      </w:r>
      <w:r>
        <w:rPr>
          <w:rFonts w:hint="eastAsia" w:ascii="宋体" w:hAnsi="宋体" w:eastAsia="宋体" w:cs="宋体"/>
          <w:color w:val="auto"/>
          <w:sz w:val="24"/>
          <w:highlight w:val="none"/>
        </w:rPr>
        <w:sym w:font="Wingdings 2" w:char="0052"/>
      </w:r>
      <w:r>
        <w:rPr>
          <w:rFonts w:hint="eastAsia" w:ascii="宋体" w:hAnsi="宋体" w:eastAsia="宋体" w:cs="宋体"/>
          <w:color w:val="auto"/>
          <w:sz w:val="24"/>
          <w:highlight w:val="none"/>
        </w:rPr>
        <w:t>其他（本项目预留4</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%专门面向中小企业，28%专门面向小微企业）</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（五）拟采购标的的服务要求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000" w:type="pct"/>
            <w:gridSpan w:val="2"/>
          </w:tcPr>
          <w:p>
            <w:pPr>
              <w:pStyle w:val="58"/>
              <w:tabs>
                <w:tab w:val="left" w:pos="432"/>
              </w:tabs>
              <w:adjustRightInd w:val="0"/>
              <w:spacing w:before="0" w:beforeAutospacing="0" w:after="0" w:afterAutospacing="0" w:line="420" w:lineRule="exact"/>
              <w:ind w:left="433" w:leftChars="202" w:hanging="9" w:hangingChars="4"/>
              <w:rPr>
                <w:rFonts w:hint="eastAsia" w:ascii="宋体" w:hAnsi="宋体" w:eastAsia="宋体" w:cs="宋体"/>
                <w:color w:val="auto"/>
                <w:highlight w:val="none"/>
              </w:rPr>
            </w:pPr>
            <w:r>
              <w:rPr>
                <w:rFonts w:hint="eastAsia" w:ascii="宋体" w:hAnsi="宋体" w:eastAsia="宋体" w:cs="宋体"/>
                <w:color w:val="auto"/>
                <w:highlight w:val="none"/>
              </w:rPr>
              <w:t>1、等保测评服务：针对采购人的重要信息系统提供等保测评服务。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2" w:type="pct"/>
          </w:tcPr>
          <w:p>
            <w:pPr>
              <w:adjustRightInd w:val="0"/>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1、对于测评结论符合等保要求的，出具测评报告及整改建议书。</w:t>
            </w:r>
          </w:p>
          <w:p>
            <w:pPr>
              <w:adjustRightIn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2、对于测评结论不符合等保要求的，出具差距分析报告及整改建议书。</w:t>
            </w:r>
          </w:p>
          <w:p>
            <w:pPr>
              <w:adjustRightIn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3、本项目服务期内测评</w:t>
            </w:r>
            <w:r>
              <w:rPr>
                <w:rFonts w:hint="eastAsia" w:ascii="宋体" w:hAnsi="宋体" w:cs="宋体"/>
                <w:color w:val="auto"/>
                <w:sz w:val="24"/>
                <w:highlight w:val="none"/>
                <w:lang w:val="en-US" w:eastAsia="zh-CN"/>
              </w:rPr>
              <w:t>系统</w:t>
            </w:r>
            <w:r>
              <w:rPr>
                <w:rFonts w:hint="eastAsia" w:ascii="宋体" w:hAnsi="宋体" w:eastAsia="宋体" w:cs="宋体"/>
                <w:color w:val="auto"/>
                <w:sz w:val="24"/>
                <w:highlight w:val="none"/>
              </w:rPr>
              <w:t>数量不少于25</w:t>
            </w:r>
            <w:r>
              <w:rPr>
                <w:rFonts w:hint="eastAsia" w:ascii="宋体" w:hAnsi="宋体" w:cs="宋体"/>
                <w:color w:val="auto"/>
                <w:sz w:val="24"/>
                <w:highlight w:val="none"/>
                <w:lang w:val="en-US" w:eastAsia="zh-CN"/>
              </w:rPr>
              <w:t>个</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2" w:type="pct"/>
          </w:tcPr>
          <w:p>
            <w:pPr>
              <w:adjustRightInd w:val="0"/>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1、测评依据：须根据国家标准GB/T 22239-2019：《信息安全技术网络安全等级保护基本要求》要求选取安全基础指标开展检测工作，并出具符合国家相关规范要求的测评报告。</w:t>
            </w:r>
          </w:p>
          <w:p>
            <w:pPr>
              <w:adjustRightIn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实施方案：投标人对具体测评系统详细了解的基础上，编制针对性的等级保护测评整体实施方案，包括项目概述、等保测评范围和内容、项目实施流程、测试过程中需使用测试设备清单、时间安排、阶段性文档提交等。</w:t>
            </w:r>
          </w:p>
          <w:p>
            <w:pPr>
              <w:adjustRightIn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3、运行环境：安全测评需要的运行环境（如场地、网络环境等）由采购人提供，投标人应详细描述需要的运行环境的具体要求。</w:t>
            </w:r>
          </w:p>
          <w:p>
            <w:pPr>
              <w:adjustRightInd w:val="0"/>
              <w:spacing w:line="4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实施流程：投标人应具有等保工具箱、商用密码检测工具、软件测试工具、代码审计工具。本次等级保护测评实施过程中所使用到的工具软件由投标人推荐，需经采购人确认后方由投标人提供并在测评中使用。供应商应在投标文件中详细描述所使用的安全测评工具（软硬件型号、功能和性能描述）、使用的方式和时间、对环境和平台的要求以及使用可能对系统造成的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2" w:type="pct"/>
          </w:tcPr>
          <w:p>
            <w:pPr>
              <w:adjustRightInd w:val="0"/>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《信息系统安全等级保护备案表》（初次测评系统）</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《信息系统安全等级保护定级报告》（初次测评系统）</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《整体测评实施方案》</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《等级保护测评报告》</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《等级保护整改建议书》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000" w:type="pct"/>
            <w:gridSpan w:val="2"/>
          </w:tcPr>
          <w:p>
            <w:pPr>
              <w:adjustRightInd w:val="0"/>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2、数据库审计服务：</w:t>
            </w:r>
            <w:r>
              <w:rPr>
                <w:rFonts w:hint="eastAsia" w:ascii="宋体" w:hAnsi="宋体" w:eastAsia="宋体" w:cs="宋体"/>
                <w:color w:val="auto"/>
                <w:sz w:val="24"/>
                <w:highlight w:val="none"/>
              </w:rPr>
              <w:t>针对杭州市公安局的政务外网、视频专网和公安网提供数据库审计服务，满足等级保护的合规性需求，同时配合相关人工服务对数据库审计内容进行处理，发现存在的问题及时研判、预警、处理，建立完备安全保障机制。对杭州公安各类安全违规事件进行实时监测、实时预警，协助采购人及时、有效开展整改，切实降低各类安全风险，有效减少部、省、市上级网络安全管理职能部门的各类安全事件通报。配合相关人工服务进行日常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2" w:type="pct"/>
          </w:tcPr>
          <w:p>
            <w:pPr>
              <w:adjustRightInd w:val="0"/>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因服务要求，数据库审计服务需提供数据库审计设备。政务网不少于2套（不限制支持的数据库实例个数）、视频专网不少于4台、公安网不少于6台。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2" w:type="pct"/>
          </w:tcPr>
          <w:p>
            <w:pPr>
              <w:adjustRightInd w:val="0"/>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一、该服务需要提供以下的服务要求支持：</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1、模块支持：数据库审计、风险漏洞扫描、状态监控、敏感数据扫描等功能。</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2、数据库类型支持：国际主流数据库： Oracle、MySQL、SQLserver、DB2、Sybase、Informix、Teradata、PostgreSQL、Access、cache等；国产数据库：达梦、南大通用、人大金仓、神通、瀚高等；非关系型数据库：Hive、Hbase、MongoDB等。</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3、攻击识别防御：支持对数据库SQL注入、缓冲区溢出等高危行为的识别防御。能够实时</w:t>
            </w:r>
            <w:r>
              <w:rPr>
                <w:rFonts w:hint="eastAsia" w:ascii="宋体" w:hAnsi="宋体" w:eastAsia="宋体" w:cs="宋体"/>
                <w:color w:val="auto"/>
                <w:sz w:val="24"/>
                <w:highlight w:val="none"/>
                <w:lang w:val="en-US" w:eastAsia="zh-CN"/>
              </w:rPr>
              <w:t>地</w:t>
            </w:r>
            <w:r>
              <w:rPr>
                <w:rFonts w:hint="eastAsia" w:ascii="宋体" w:hAnsi="宋体" w:eastAsia="宋体" w:cs="宋体"/>
                <w:color w:val="auto"/>
                <w:sz w:val="24"/>
                <w:highlight w:val="none"/>
              </w:rPr>
              <w:t>监控所有到数据库的连接信息、操作数、违规数等。管理员可以断开指定的连接。</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4、操作告警记录：对数据库高危操作、误操作等风险操作进行及时告警。对访问数据库的行为进行记录。</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5、数据库审计策略：设备必须自带默认策略(如全审计、攻击特征)，支持自定义策略和规则，方便灵活配置审计规则。能支持不同数据库审计服务进行统一的策略制定、修改。</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6、事件识别：支持以操作类型、时间、IP地址、用户名、主机名、终端名、数据库操作类型、数据库表、影响的行、字符串、认证结果、响应时间等作为事件识别规则。</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7、人工监测：通过网络安全服务专家人工监测分析的手段，对指定数据库执行5x8安全审计，对危险等级较高的威胁情报需在系统预警1小时内完成人工分析验证以甄别误报。</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资源优化调整：按照公安部、公安厅考核要求及采购人管理需要，对杭州公安网络安全管理相关策略及配置进行修改或协调资源组织进行修改调整，确保与上级单位安全事件监测策略的一致性及安全事件监测的全面性。对设备及平台的底层日志与数据库日志进行分析，配合开发工程师对平台资源占用及运行稳定进行调整优化，确保各类网络安全设备及平台的正常运行。</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二、投标人对系统提供服务：</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1、定期巡检：协助采购人每季度至少一次对各类网络安全设备开展或督促组织巡检，对故障设备及软件平台开展运维响应，找到问题源头、联系厂商协调资源，实时排除各类故障、隐患。</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2、资产梳理：配合采购人开展网络安全资产管理，实时掌握各类网络安全相关信息，确保各类网络安全管理制度落到实处。</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技术支持：对采购人及各区县公安信息网安全管理平台中质量不合规的问题数据提供清理服务，每日查看并清理系统中的问题数据，对全市各区县、部门警种的安全管理技术问题提供远程技术支持，配合采购人为全市公安网络安全体系建设完善提供各类技术支持。</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4、数据库审计服务能力须符合GB/T20945-2013《信息安全技术 信息系统安全审计产品技术要求和测评方法》（基本级）要求。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《数据库审计运维总结报告》</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《网络安全巡检服务报告》（按季度提供）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2"/>
          </w:tcPr>
          <w:p>
            <w:pPr>
              <w:adjustRightInd w:val="0"/>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3、政务网云日志审计服务：</w:t>
            </w:r>
            <w:r>
              <w:rPr>
                <w:rFonts w:hint="eastAsia" w:ascii="宋体" w:hAnsi="宋体" w:eastAsia="宋体" w:cs="宋体"/>
                <w:color w:val="auto"/>
                <w:sz w:val="24"/>
                <w:highlight w:val="none"/>
              </w:rPr>
              <w:t>针对杭州市公安局的政务网提供日志审计服务。对网络设备、安全设备、主机和应用系统日志进行全面的标准化处理，及时发现各种安全威胁、异常行为事件，为管理人员提供全局的视角，提供全维度、跨设备、细粒度的关联分析，提供真正可信赖的事件追责依据和业务运行的深度安全，确保业务的不间断运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服务内容</w:t>
            </w:r>
          </w:p>
        </w:tc>
        <w:tc>
          <w:tcPr>
            <w:tcW w:w="4187" w:type="pct"/>
            <w:vAlign w:val="center"/>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因服务要求，政务网云日志审计服务需提供政务网云日志审计设备。提供不少于2套政务网日志审计（每套支持500个日志源授权）。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1、管理设备授权可扩展：可提供授权扩展支持。</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2、大数据联调功能：支持kafka日志接收转发、大数据安全域同步、APT沙箱报告转发等功能。Kafka收发支持SSL加密。</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3、日志代理：以Agent的方式提取日志并收集，能对Agent进行统一管控，包括卸载、升级、启动及停止操作，支持将日志收集策略统一分发。</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4、日志采集能力：可通过接收协议限制日志接收速率，包括Http接收、syslog接收、SNMPtrap接收、TCP接收、WMI接收、aliyun接收。</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日志解析能力：支持对收集的5000+设备类型日志进行解析（标准化、归一化），解析维度多达200+，解析规则可以根据客户要求定制免费扩展。支持解析规则性能以界面列表形式显示，可了解解析耗时、解析成功或失败次数等信息。</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安全评估模型能力：评估模型基于设备故障、认证登录、攻击威胁、可用性、系统脆弱性等纬度加权平均计算总体安全指数。安全评估模型可以显示总体评分、历史评分趋势。安全评估模型各项指标可钻取具体的评分扣分事件。</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7、应用性能监控：通过在目标主机上安装Agent程序，支持监测目标主机的CPU利用率、内存使用率、磁盘使用率、磁盘使用情况、流量等信息（提供</w:t>
            </w:r>
            <w:r>
              <w:rPr>
                <w:rFonts w:hint="eastAsia" w:ascii="宋体" w:hAnsi="宋体" w:cs="宋体"/>
                <w:color w:val="auto"/>
                <w:sz w:val="24"/>
                <w:highlight w:val="none"/>
                <w:lang w:val="en-US" w:eastAsia="zh-CN"/>
              </w:rPr>
              <w:t>具备CMA资质或</w:t>
            </w:r>
            <w:r>
              <w:rPr>
                <w:rFonts w:hint="eastAsia" w:ascii="宋体" w:hAnsi="宋体" w:eastAsia="宋体" w:cs="宋体"/>
                <w:color w:val="auto"/>
                <w:sz w:val="24"/>
                <w:highlight w:val="none"/>
              </w:rPr>
              <w:t>国家权威检测机构</w:t>
            </w:r>
            <w:r>
              <w:rPr>
                <w:rFonts w:hint="eastAsia" w:ascii="宋体" w:hAnsi="宋体" w:cs="宋体"/>
                <w:color w:val="auto"/>
                <w:sz w:val="24"/>
                <w:highlight w:val="none"/>
                <w:lang w:val="en-US" w:eastAsia="zh-CN"/>
              </w:rPr>
              <w:t>认可的第三方机构出具</w:t>
            </w:r>
            <w:r>
              <w:rPr>
                <w:rFonts w:hint="eastAsia" w:ascii="宋体" w:hAnsi="宋体" w:eastAsia="宋体" w:cs="宋体"/>
                <w:color w:val="auto"/>
                <w:sz w:val="24"/>
                <w:highlight w:val="none"/>
              </w:rPr>
              <w:t>的检测报告）。</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8、自定义资产拓扑：支持按照实际的用户环境进行编辑发布并可以和资产进行绑定，拓扑可以显示资产采集的事件数量被采集资产的状态等信息。</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9、资产调研：配合采购人进行各个日志审计接入资产调研，统计资产数量，实时掌握接入资产的状态。</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10、政务网云日志审计服务能力须符合GB/T 20945-2013 《信息安全技术信息系统安全审计产品安全技术要求和测试评价方法》（增强级）、《信息安全技术日志分析产品安全技术要求 GA/T 911-2010》(第三级)要求。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《日志审计运维总结报告》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000" w:type="pct"/>
            <w:gridSpan w:val="2"/>
          </w:tcPr>
          <w:p>
            <w:pPr>
              <w:adjustRightInd w:val="0"/>
              <w:spacing w:line="420" w:lineRule="exact"/>
              <w:ind w:firstLine="241" w:firstLineChars="1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4、政务网态势感知服务：</w:t>
            </w:r>
            <w:r>
              <w:rPr>
                <w:rFonts w:hint="eastAsia" w:ascii="宋体" w:hAnsi="宋体" w:eastAsia="宋体" w:cs="宋体"/>
                <w:color w:val="auto"/>
                <w:sz w:val="24"/>
                <w:highlight w:val="none"/>
              </w:rPr>
              <w:t>针对杭州市公安局的政务网业务系统，集成超大规模存查、大数据实时智能分析、行为分析、多维态势安全视图、安全联动闭环等安全模块。具备异构数据集成、核心数据安全分析、办公应用安全威胁挖掘等前沿大数据智能安全威胁挖掘分析与预警管控能力，提供全局态势感知和业务不间断稳定运行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因服务要求，政务网态势感知服务需提供态势感知系统。提供1套政务网态势感知。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服务要求</w:t>
            </w:r>
          </w:p>
        </w:tc>
        <w:tc>
          <w:tcPr>
            <w:tcW w:w="4187" w:type="pct"/>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支持安全态势的可视化呈现，以大屏的方式从攻击事件、资产安全、追踪溯源、运行监测、重保方案等多个维度进行可视化展示，并可根据“组织架构”筛选大屏展示数据范围，支持自定义大屏轮播时间和大屏轮播顺序。</w:t>
            </w:r>
          </w:p>
          <w:p>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告警监控支持查看告警的基本信息、受害者、攻击者、处置响应、举证全文信息，其中受害者和攻击者支持查看响应ATT&amp;CK矩阵视图，ATT&amp;CK矩阵视图展示支持中文或英文的语言切换，布局支持侧面或下拉两种方式、并支持选择全部技术或子技术的展示等；处置响应支持处置响应闭环出来，可看到处置动作、告警调优、处置结果，及处置记录的全过程记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3、平台内置包括规则模型、关联模型、统计模型、情报模型、AI模型等安全分析模型，用户根据实际需求对上述模型进行添加、编辑、删除、复制等。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安全分析模型支持自定义新增，新添加的模型可选择适用的作用域，如全局通用、单选机构，如选择单选机构即选择应用的组织架构，可通过字段映射、静态值、模板、表达式等多种方式自定义分析模型的告警名称、威胁等级、告警类型、攻击链、可选字段、告警描述、处置建议等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5、支持在告警详情中展示数据血缘关系，包括数据来源、原始日志、规则模型及原始告警，支持原始日志和规则模型的一键跳转，分别查看原始日志数据和相应的模型规则。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支持主机感染勒索病毒、网站被植入webshell、主机感染挖矿木马、主机感染恶意程序、主机被高危漏洞攻陷、主机被外部远控、内网横向攻击、内网横向探测、主机对外扫描、主机对外攻击、主机被爆破成功、发现APT攻击事件等10种以上的内置安全分析场景，针对分析场景支持至少3个任意字段聚合变量检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7、支持通过任务看板查看自动响应任务的数量、任务状态占比、任务趋势；以时间轴方式展示任务进行状态，并可查看每个阶段任务运行的详细信息。</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平台具有统一的安全运营门户，作为重点关注功能的统一入口，如集成态势感知、Sherlock网络星空、通报预警、联动策略、运行监测等多个功能模块，实现平台功能的快速跳转；支持用户配置个人专属的统一门户，可配置项包括门户名称、菜单名称、应用图标等，且菜单内容支持自定义编辑，可链接平台以外的域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《政务网安全分析报告》（按季度提供）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2"/>
          </w:tcPr>
          <w:p>
            <w:pPr>
              <w:adjustRightInd w:val="0"/>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5、SaaS化安全服务：</w:t>
            </w:r>
            <w:r>
              <w:rPr>
                <w:rFonts w:hint="eastAsia" w:ascii="宋体" w:hAnsi="宋体" w:eastAsia="宋体" w:cs="宋体"/>
                <w:color w:val="auto"/>
                <w:sz w:val="24"/>
                <w:highlight w:val="none"/>
              </w:rPr>
              <w:t>针对杭州市公安局的政务网业务系统，提供SaaS化安全服务，快速发现业务系统的安全漏洞和安全隐患。SaaS化安全服务采用零部署云防护方案，具备DDoS清洗和云WAF功能；事后采用大数据分析形成可视化报告和统计分析报表；云监测服务实时准确的监测网站服务质量、安全事件、安全漏洞等多个维度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提供不超过10个主域名的云防护服务（每个主域名+10个子域名）；提供不超过10个主域名的云监测服务。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Hans"/>
              </w:rPr>
              <w:t>服务要求</w:t>
            </w:r>
          </w:p>
        </w:tc>
        <w:tc>
          <w:tcPr>
            <w:tcW w:w="4187" w:type="pct"/>
          </w:tcPr>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一、云防护服务要求：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1、系统基于云化SaaS架构，无需消耗虚拟机资源或本地物理资源，通过云端服务平台完成站点管理，为用户提供云防护服务。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2、支持检查提交的报文是否符合HTTP协议框架，如异常的请求方法、特殊字符、重点字段的缺失、超长报文造成的溢出攻击以及对高危文件的访问等。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3、支持流量监测的功能，基于用户的访问记录，实时检查被访问页面的安全状况，能够发现更深层次的暗链、Webshell等安全事件。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4、日志采集能力：可通过接收协议限制日志接收速率，包括Http接收、syslog接收、SNMPtrap接收、TCP接收、WMI接收、aliyun接收。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5、支持提供攻击防护安全策略，支持对命令注入（包括SQL注入、SQL盲注、代码注入等）、跨站脚本、SSI指令、路径穿越、远程文件包含、WebShell防护。</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6、支持通过微信公众号查看网站整体防护态势，包含受攻击域名排行、攻击类型排行、攻击IP排行、攻击区域分布等状态信息。</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具有云端7*24远程安全专家服务能力，提供7*24小时安全值守和应急响应服务。提供策略优化、配置调整、规则更新、问题处理、技术咨询安全事件通告等常规技术支持服务，实时监测感知持续性攻击、0day攻击等事件，并及时响应和对抗，同时在重大节会期间提供更高级别的安全响应服务。</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二、云监测服务要求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1、全国范围内具备至少20个云监测服务节点。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2、支持大规模漏洞扫描服务能力，云端扫描引擎支持横向扩容，单个扫描任务扫描网站数量可达一万个以上。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3、支持按需提供周期性的网站安全云监测服务报告，报告应能对网站安全运行状况、漏洞情况、安全事件情况进行分析，并提供相应的修复建议以指导用户完成问题处置。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4、支持通过微信公众号实时了解用户名下站点的安全状态，展示漏洞威胁、安全事件和网站可用性相关监测数据。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5、支持通过短信、邮件方式向用户推送相关告警，告警类型包括网站服务质量不佳、安全事件告警、漏洞威胁告警。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《政务网业务系统安全分析报告》（按月度提供）</w:t>
            </w:r>
          </w:p>
          <w:p>
            <w:pPr>
              <w:adjustRightInd w:val="0"/>
              <w:spacing w:line="420" w:lineRule="exact"/>
              <w:ind w:firstLine="240" w:firstLineChars="100"/>
              <w:rPr>
                <w:rFonts w:hint="eastAsia" w:ascii="宋体" w:hAnsi="宋体" w:eastAsia="宋体" w:cs="宋体"/>
                <w:b/>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网站安全云监测服务报告</w:t>
            </w:r>
            <w:r>
              <w:rPr>
                <w:rFonts w:hint="eastAsia" w:ascii="宋体"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2"/>
          </w:tcPr>
          <w:p>
            <w:pPr>
              <w:adjustRightInd w:val="0"/>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6、公安网安全风险感知服务：</w:t>
            </w:r>
            <w:r>
              <w:rPr>
                <w:rFonts w:hint="eastAsia" w:ascii="宋体" w:hAnsi="宋体" w:eastAsia="宋体" w:cs="宋体"/>
                <w:color w:val="auto"/>
                <w:sz w:val="24"/>
                <w:highlight w:val="none"/>
              </w:rPr>
              <w:t>用于强化杭州市公安局公安网安全风险感知能力。提供针对公安网的资产感知、安全基线、漏洞发现、弱口令检测、全流量威胁识别、大知攻击识别、主机安全监测与加固、白名单策略、主机层攻击链可视服务。通过网络流量镜像的方式进行采集并还原，提供流量资源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提供不少于8次的安全风险感知服务支持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该服务需要提供以下的服务要求支持：</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1、网络协议还原：对常见协议识别并还原网络流量，用于取证分析、威胁发现，支持：http、dns、smtp、pop3、imap、webmail、DB2、Oracle、MySQL、sql server、Sybase、SMB、FTP、SNMP、telnet、nfs等。</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文件协议还原:对流量中出现文件传输行为进行发现和还原，并记录文件MD5发送至分析设备，如可执行文件（EXE、DLL、OCX、SYS、COM、apk等）、压缩格式文件（RAR、ZIP、GZ、7Z等）、文档类型文件（word、excel、pdf、rtf、ppt等）。</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3、数据库协议还原：对常见数据库协议的识别或还原：DB2、Oracle、SQL Server、MySQL、PostgreSQL等协议。</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4、会话流量还原：对TCP/UDP会话记录、异常流量会话记录、web访问记录、域名解析、SQL访问记录、邮件行为、登录情况、文件传输、FTP控制通道、SSL加密协商、telnet行为、IM通信等行为描述。</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5、自定义协议还原：支持自定义协议和端口，满足特殊场景下的流量抓取。</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6、攻击检测支持：支持暴力破解检测、Web攻击检测、网络攻击检测</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7、攻击态势：提供全网攻击发现服务，并以态势大屏展现，包括整体网络风险指数、告警总数、攻击次数、攻击IP数、攻击源国家/地区TOP5、攻击态势，并支持自动翻转的攻击全景地图展示。</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8、告警分析：对告警进行深度行为分析，行为包括DNS解析行为、TCP/UDP交互行为、WEB访问行为、传输文件行为。</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威胁分析：对告警从威胁情报、应用安全、系统安全和设备安全的业务场景维度进行二次分析。应用安全的细分维度包括：WEB安全、数据库安全、邮件安全、中间件安全。系统安全的细分维度包括：主机爆破、弱口令、未授权行为、挖矿行为。</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10、脆弱性分析：对全网脆弱性问题进行发现，为保证服务效果，服务厂商需拥有全国性的漏洞响应平台，累计发现10万个以上漏洞。</w:t>
            </w:r>
          </w:p>
          <w:p>
            <w:pPr>
              <w:pStyle w:val="25"/>
              <w:adjustRightIn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产品应以可视化方式提供指定时间段内：被监测网络中的特定主机与其他主机之间的相关联的已知、未知威胁事件与异常网络行为；被监测网络中指定威胁事件影响的主机以及相关联的其他威胁事件与异常网络行为；被监测网络中异常网络行为相关的主机和威胁事件；产品应可以采用智能化和自动化方式将多个相关联和类似的攻击时间进行归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《公安网安全风险感知服务分析报告》（按实际需求提供）</w:t>
            </w:r>
          </w:p>
          <w:p>
            <w:pPr>
              <w:adjustRightInd w:val="0"/>
              <w:spacing w:line="420" w:lineRule="exact"/>
              <w:ind w:firstLine="480" w:firstLineChars="20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2"/>
          </w:tcPr>
          <w:p>
            <w:pPr>
              <w:adjustRightInd w:val="0"/>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7、公安网桌面云服务：</w:t>
            </w:r>
            <w:r>
              <w:rPr>
                <w:rFonts w:hint="eastAsia" w:ascii="宋体" w:hAnsi="宋体" w:eastAsia="宋体" w:cs="宋体"/>
                <w:color w:val="auto"/>
                <w:sz w:val="24"/>
                <w:highlight w:val="none"/>
              </w:rPr>
              <w:t>为保障杭州市公安局公安网访问过程安全可靠，有效防范数据泄露事件发生。通过桌面云技术提供公安日常办公，合作企业人员运维，需要实现分散部署、统一管理、提高运维效率，并通过数据不落地和多维度安全机制，保障访问过程安全可靠。通过超融合技术实现服务器的计算资源、存储资源、网络、安全的虚拟化，并通过容器技术承载本地公安业务系统和数据库，并提供业务网络主页微服务，实现业务系统的安全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因服务要求，公安网桌面云服务需提供瘦终端设备和桌面云授权。</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1、提供不低于300点云桌面授权，不低于35台瘦终端。</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2、平均每个人员使用的资源不低于2核8G内存和300G磁盘空间。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该服务需要提供以下的服务要求支持：</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1、VDI授权类型：每用户授权支持发布个性化桌面、共享式桌面、虚拟应用3种资源类型。</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公安办公软件兼容：可适配杭州市公安局公安日常办公软件，支持公安数据证书，流畅打开公安业务系统，并且可进行视频监控流畅的调阅。要求支持两种以上的Linux虚拟桌面操作系统，其中要包含国产Linux操作系统；为满足日后需求，要求</w:t>
            </w:r>
            <w:r>
              <w:rPr>
                <w:rFonts w:hint="eastAsia" w:ascii="宋体" w:hAnsi="宋体" w:cs="宋体"/>
                <w:color w:val="auto"/>
                <w:sz w:val="24"/>
                <w:highlight w:val="none"/>
                <w:lang w:val="en-US" w:eastAsia="zh-CN"/>
              </w:rPr>
              <w:t>适配</w:t>
            </w:r>
            <w:r>
              <w:rPr>
                <w:rFonts w:hint="eastAsia" w:ascii="宋体" w:hAnsi="宋体" w:eastAsia="宋体" w:cs="宋体"/>
                <w:color w:val="auto"/>
                <w:sz w:val="24"/>
                <w:highlight w:val="none"/>
              </w:rPr>
              <w:t>银河麒麟</w:t>
            </w:r>
            <w:r>
              <w:rPr>
                <w:rFonts w:hint="eastAsia" w:ascii="宋体" w:hAnsi="宋体" w:cs="宋体"/>
                <w:color w:val="auto"/>
                <w:sz w:val="24"/>
                <w:highlight w:val="none"/>
                <w:lang w:val="en-US" w:eastAsia="zh-CN"/>
              </w:rPr>
              <w:t>操作系统</w:t>
            </w:r>
            <w:r>
              <w:rPr>
                <w:rFonts w:hint="eastAsia" w:ascii="宋体" w:hAnsi="宋体" w:eastAsia="宋体" w:cs="宋体"/>
                <w:color w:val="auto"/>
                <w:sz w:val="24"/>
                <w:highlight w:val="none"/>
              </w:rPr>
              <w:t>。</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3、自助快照恢复：当用户自己误操作导致云桌面卡慢、蓝屏、死机或者中病毒的时候，用户通过导航条按钮，可以自助进行系统盘快照还原操作。</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4、云桌面连接可靠性：客户端连接虚拟桌面无需依赖虚拟机IP，在虚拟机网卡被禁用或被更改IP的情况下，云桌面业务不会中断，可防止因误操作而导致连接中断。</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5、身份认证:多认证方式随需组合，包括账号密码、usb-key认证、短信认证、硬件特征绑定、动态口令等。</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7、内置应用管控技术：管理组件实现全方位云桌面管控，可通过黑名单或白名单实现对禁止指定应用、进程的运行或只允许白名单内的应用、进程运行。</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8、资产调研分配：配合采购人进行桌面云资产调研和分配，每周针对桌面云至少开展一次巡检服务，实时掌握桌面云使用情况。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《桌面云月度服务报告》（按月度提供）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2"/>
          </w:tcPr>
          <w:p>
            <w:pPr>
              <w:adjustRightInd w:val="0"/>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8、公安网一机两用服务：</w:t>
            </w:r>
            <w:r>
              <w:rPr>
                <w:rFonts w:hint="eastAsia" w:ascii="宋体" w:hAnsi="宋体" w:eastAsia="宋体" w:cs="宋体"/>
                <w:color w:val="auto"/>
                <w:sz w:val="24"/>
                <w:highlight w:val="none"/>
              </w:rPr>
              <w:t>针对杭州市公安局</w:t>
            </w:r>
            <w:r>
              <w:rPr>
                <w:rFonts w:hint="eastAsia" w:ascii="宋体" w:hAnsi="宋体" w:eastAsia="宋体" w:cs="宋体"/>
                <w:color w:val="auto"/>
                <w:sz w:val="24"/>
                <w:highlight w:val="none"/>
                <w:lang w:eastAsia="zh-Hans"/>
              </w:rPr>
              <w:t>“一机两用”监控系统</w:t>
            </w:r>
            <w:r>
              <w:rPr>
                <w:rFonts w:hint="eastAsia" w:ascii="宋体" w:hAnsi="宋体" w:eastAsia="宋体" w:cs="宋体"/>
                <w:color w:val="auto"/>
                <w:sz w:val="24"/>
                <w:highlight w:val="none"/>
              </w:rPr>
              <w:t>的稳定运行提供对应保障服务。提供对服务器漏洞扫描的准确性确认、对</w:t>
            </w:r>
            <w:r>
              <w:rPr>
                <w:rFonts w:hint="eastAsia" w:ascii="宋体" w:hAnsi="宋体" w:eastAsia="宋体" w:cs="宋体"/>
                <w:color w:val="auto"/>
                <w:sz w:val="24"/>
                <w:highlight w:val="none"/>
                <w:lang w:eastAsia="zh-Hans"/>
              </w:rPr>
              <w:t>监控系统补丁下载率、防病毒软件覆盖率</w:t>
            </w:r>
            <w:r>
              <w:rPr>
                <w:rFonts w:hint="eastAsia" w:ascii="宋体" w:hAnsi="宋体" w:eastAsia="宋体" w:cs="宋体"/>
                <w:color w:val="auto"/>
                <w:sz w:val="24"/>
                <w:highlight w:val="none"/>
              </w:rPr>
              <w:t>等数据的统计。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1、定期巡检服务，为杭州市公安局“一机两用”监控系统提供每月一次的巡检服务。</w:t>
            </w:r>
          </w:p>
          <w:p>
            <w:pPr>
              <w:adjustRightInd w:val="0"/>
              <w:spacing w:line="420" w:lineRule="exact"/>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2、技术支持服务，每月10日至20日使用专用工具对服务器列表进行清理，确保每月服务器漏洞扫描工作的准确性；每月20日至下月10日，使用专用工具对杭州市公安局“一机两用”监控系统注册率、“一机两用”监控系统补丁下载率、防病毒软件覆盖率等公安部考核数据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产品升级服务:及时为采购人“一机两用”监控系统进行版本维护、升级，并为现场升级提供建议方案，协助做好产品的升级工作。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2" w:type="pct"/>
          </w:tcPr>
          <w:p>
            <w:pPr>
              <w:adjustRightInd w:val="0"/>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交付物</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《一机两用巡检服务报告》（按月度提供）</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《一机两用年度维保总结报告》</w:t>
            </w:r>
          </w:p>
          <w:p>
            <w:pPr>
              <w:pStyle w:val="2"/>
              <w:autoSpaceDE/>
              <w:autoSpaceDN/>
              <w:spacing w:line="420" w:lineRule="exact"/>
              <w:ind w:firstLine="480" w:firstLineChars="200"/>
              <w:rPr>
                <w:rFonts w:hint="eastAsia" w:eastAsia="宋体"/>
                <w:highlight w:val="none"/>
                <w:lang w:eastAsia="zh-CN"/>
              </w:rPr>
            </w:pPr>
            <w:r>
              <w:rPr>
                <w:rFonts w:hint="eastAsia" w:hAnsi="宋体" w:cs="宋体"/>
                <w:color w:val="auto"/>
                <w:sz w:val="24"/>
                <w:highlight w:val="none"/>
                <w:lang w:eastAsia="zh-CN"/>
              </w:rPr>
              <w:t>《</w:t>
            </w:r>
            <w:r>
              <w:rPr>
                <w:rFonts w:hint="eastAsia" w:hAnsi="宋体" w:cs="宋体"/>
                <w:color w:val="auto"/>
                <w:sz w:val="24"/>
                <w:highlight w:val="none"/>
                <w:lang w:val="en-US" w:eastAsia="zh-CN"/>
              </w:rPr>
              <w:t>考核技术支持服务报告</w:t>
            </w:r>
            <w:r>
              <w:rPr>
                <w:rFonts w:hint="eastAsia" w:hAnsi="宋体" w:cs="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2"/>
          </w:tcPr>
          <w:p>
            <w:pPr>
              <w:adjustRightInd w:val="0"/>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9、视频网终端杀毒服务：</w:t>
            </w:r>
            <w:r>
              <w:rPr>
                <w:rFonts w:hint="eastAsia" w:ascii="宋体" w:hAnsi="宋体" w:eastAsia="宋体" w:cs="宋体"/>
                <w:color w:val="auto"/>
                <w:sz w:val="24"/>
                <w:highlight w:val="none"/>
              </w:rPr>
              <w:t>针对杭州市公安局视频专网终端进行病毒、木马、恶意软件等进查杀，提供主动防御、补丁管理功能。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因服务要求，视频网终端杀毒服务需提供PC终端和服务器授权。</w:t>
            </w:r>
          </w:p>
          <w:p>
            <w:pPr>
              <w:adjustRightInd w:val="0"/>
              <w:spacing w:line="420" w:lineRule="exact"/>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提供不少于1500点PC终端和250点服务器授权。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该服务需要提供以下的服务要求支持：</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1、国产化杀毒：针对中标麒麟/银河麒麟/普华/深度操作系统进行病毒查杀。</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终端资产梳理统计：对终端PC信息进行收集，包括终端的硬件、软件、操作系统、网络、进程等信息。对接入视频网的PC终端进行统计，统计子网地址段地址使用率，显示地址段范围、大小、网关、已用数、可用数、已安装终端等信息。实时掌握终端杀毒软件的部署状态和运行情况。</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3、病毒库更新：采用杀毒工具支持与浙江省公安厅杀毒软件级联，实时同步病毒库以及杀毒策略。</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4、病毒查杀：要求通过多种杀毒引擎进行查杀，对恶意代码进行有效检测和识别，对已知、未知病毒、病毒变种提供全面检测、拦截和清除能力。提供至少两种杀毒引擎软件著作权。</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5、终端立体防护：对PC终端提供立体防护服务，包含浏览器防护，系统防护，入口防护和隔离防护。</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文件系统防护和访问控制：对所有文件或者程序及文档进行实时监控，提供对终端操作系统之间东西流量访问控制服务，包括基于数据包流向（任意/流入/流出）、协议（TCP/UDP/ICMP/TCP+UDP）、端口和IP的访问控制。</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7、攻击拦截：能够实时检测和拦截攻击行为，包括改写系统关键文件、修改注册表关键键值、感染移动存储介质。支持U盘等移动磁盘设备和电脑硬盘间文件传输检测；支持局域网共享文件传输检测。</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8、黑白名单扫描：支持文件、目录和数字签名自定义黑白名单的方式来管理全网终端的文件。</w:t>
            </w:r>
          </w:p>
          <w:p>
            <w:pPr>
              <w:pStyle w:val="25"/>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9、控制中心支持级联管理，可支持与浙江省公安厅视频专网终端防病毒控制中心级联。</w:t>
            </w:r>
          </w:p>
          <w:p>
            <w:pPr>
              <w:pStyle w:val="25"/>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10、对敲诈者病毒提供专有的防护功能。</w:t>
            </w:r>
          </w:p>
          <w:p>
            <w:pPr>
              <w:pStyle w:val="25"/>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11、支持按CVE编号查询漏洞，支持按KB号查询漏洞，管理员可快速关注高危漏洞，查看漏洞修复情况，如果还有未修复的终端则可立即下发修复任务</w:t>
            </w:r>
          </w:p>
          <w:p>
            <w:pPr>
              <w:pStyle w:val="25"/>
              <w:adjustRightInd w:val="0"/>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12、简化补丁运维工作，支持补丁灰度发布，支持设置对特定分组优先进行补丁分发，自定义测试一段时间后再全网升级，实现补丁自动化运维。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《终端杀毒服务月度报告》（按月度提供）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2"/>
          </w:tcPr>
          <w:p>
            <w:pPr>
              <w:adjustRightInd w:val="0"/>
              <w:spacing w:line="420" w:lineRule="exact"/>
              <w:ind w:firstLine="482" w:firstLineChars="200"/>
              <w:rPr>
                <w:rFonts w:hint="eastAsia" w:ascii="宋体" w:hAnsi="宋体" w:eastAsia="宋体" w:cs="宋体"/>
                <w:color w:val="auto"/>
                <w:sz w:val="24"/>
                <w:highlight w:val="none"/>
                <w:lang w:eastAsia="zh-Hans"/>
              </w:rPr>
            </w:pPr>
            <w:r>
              <w:rPr>
                <w:rFonts w:hint="eastAsia" w:ascii="宋体" w:hAnsi="宋体" w:eastAsia="宋体" w:cs="宋体"/>
                <w:b/>
                <w:color w:val="auto"/>
                <w:sz w:val="24"/>
                <w:highlight w:val="none"/>
              </w:rPr>
              <w:t>10、系统安全检测：</w:t>
            </w:r>
            <w:r>
              <w:rPr>
                <w:rFonts w:hint="eastAsia" w:ascii="宋体" w:hAnsi="宋体" w:eastAsia="宋体" w:cs="宋体"/>
                <w:color w:val="auto"/>
                <w:sz w:val="24"/>
                <w:highlight w:val="none"/>
              </w:rPr>
              <w:t>针对公安信息系统开展安全性测试和整体安全评估。模拟黑客使用的工具、分析方法对信息系统、网站等进行非破坏性质的攻击性测试，由工程师进行深入的手工测试和分析，识别工具弱点扫描无法发现的问题，发现存在的安全漏洞，输出测试报告，针对性提出加固建议，作为漏洞修复和加固整改的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601"/>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不少于6次系统安全检测。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安全架构评估：首先对公安信息系统进行系统分析，分析其网络架构，软件体系以及程序部署等，然后再对新上线系统做系统安全分析，在这之后对系统进行安全建模，明确系统可能来自的各个潜在威胁，之后剖析系统，确认有哪些攻击界面，依次进行安全测试。</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2、系统漏洞扫描：采用具有自主知识产权的漏洞扫描工具对服务范围内各种软硬件设备进行网络层、系统层、数据库、应用层面的扫描与分析，并对具体漏洞提出解决方案。</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3、安全配置检查：根据既定的检查规范及方法，采用人工检查用表（checklist）、脚本程序或基线扫描工具对信息系统中的主机系统、数据库与网络设备的脆弱性进行分析。</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4、应用安全扫描：采用web应用漏洞扫描工具，通过定制的扫描规则，形成安全扫描策略文档，对指定网站进行自动化安全扫描，人工验证扫描结果输出安全扫描报告及修复建议。</w:t>
            </w:r>
          </w:p>
          <w:p>
            <w:pPr>
              <w:adjustRightInd w:val="0"/>
              <w:spacing w:line="420" w:lineRule="exact"/>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5、渗透测试：模拟黑客的攻击方法对系统和网络进行非破坏性质的攻击性测试，通过侵入系统，获取系统控制权并将入侵的过程和细节生成报告进行提交，由此检验系统所存在的安全威胁和风险，并能及时提醒安全管理员完善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《系统安全检测总结报告》（按实际需求提供）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2"/>
          </w:tcPr>
          <w:p>
            <w:pPr>
              <w:adjustRightInd w:val="0"/>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11、网络安全检查：</w:t>
            </w:r>
            <w:r>
              <w:rPr>
                <w:rFonts w:hint="eastAsia" w:ascii="宋体" w:hAnsi="宋体" w:eastAsia="宋体" w:cs="宋体"/>
                <w:color w:val="auto"/>
                <w:sz w:val="24"/>
                <w:highlight w:val="none"/>
              </w:rPr>
              <w:t>在上级网络安全监管部门对杭州市局范围内开展网络安全检查、护网行动等工作前，配合采购人从安全技术、管理和运营等多个维度着手针对全市各警种、区县分局的公安业务系统开展安全检查、协助整改，完善网络安全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601"/>
              <w:rPr>
                <w:rFonts w:hint="eastAsia" w:ascii="宋体" w:hAnsi="宋体" w:eastAsia="宋体" w:cs="宋体"/>
                <w:color w:val="auto"/>
                <w:sz w:val="24"/>
                <w:highlight w:val="none"/>
                <w:lang w:eastAsia="zh-Hans"/>
              </w:rPr>
            </w:pPr>
            <w:r>
              <w:rPr>
                <w:rFonts w:hint="eastAsia" w:ascii="宋体" w:hAnsi="宋体" w:eastAsia="宋体" w:cs="宋体"/>
                <w:color w:val="auto"/>
                <w:kern w:val="0"/>
                <w:sz w:val="24"/>
                <w:highlight w:val="none"/>
              </w:rPr>
              <w:t>不少于3次网络安全检查。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1、在上级部门开展网络安全检查前，能够配合采购人先行开展安全检查，协助整改完成；</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2、在上级部门开展检查期间提供技术支撑配合、值守保障等；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《网络安全检查总结报告》（按实际需求提供）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2"/>
          </w:tcPr>
          <w:p>
            <w:pPr>
              <w:adjustRightInd w:val="0"/>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12、重保</w:t>
            </w:r>
            <w:r>
              <w:rPr>
                <w:rFonts w:hint="eastAsia" w:ascii="宋体" w:hAnsi="宋体" w:eastAsia="宋体" w:cs="宋体"/>
                <w:color w:val="auto"/>
                <w:sz w:val="24"/>
                <w:highlight w:val="none"/>
              </w:rPr>
              <w:t>：在重大活动时期，除驻点人员外，需另派遣不少于1名专业工程师驻场值守，对杭州市公安局重要系统进行安全保障。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不少于3次重大活动安全保障。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针对杭州市公安局重要IT系统资产、包括主机、网络、应用等系统运行维护场景，在项目实施过程中，针对采购人信息安全建设需求，提供相关安全值守，值守工作内容包含但不限于以下内容：信息安全通告、信息安全咨询、对外服务检查、web站点渗透测试、安全漏洞扫描、主机安全检查、业务系统安全监测、安全值守、安全日志分析、应急响应等。针对重大活动安全保障，要求5分钟内电话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《重大活动安全保障总结报告》（按实际需求提供）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000" w:type="pct"/>
            <w:gridSpan w:val="2"/>
          </w:tcPr>
          <w:p>
            <w:pPr>
              <w:adjustRightInd w:val="0"/>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13、应急响应</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发生或可能发生安全事件时，</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应快速响应并到达现场，协助进行安全事件处理，直到安全事件排除。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1、在服务期内，发生或可能发生安全事件时，</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应快速响应并到达现场，协助进行安全事件处理，直到安全事件排除。对于影响业务的安全设备故障，在进行故障处理时，应先考虑业务恢复，然后再彻底解决故障。如</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工程师不能在时限内解决问题，则应调动安全专家协助解决。</w:t>
            </w:r>
          </w:p>
          <w:p>
            <w:pPr>
              <w:adjustRightInd w:val="0"/>
              <w:spacing w:line="420" w:lineRule="exact"/>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2、按需提供应急响应服务，不少于8次。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1、紧急安全事件应急响应（</w:t>
            </w:r>
            <w:r>
              <w:rPr>
                <w:rFonts w:hint="eastAsia" w:ascii="宋体" w:hAnsi="宋体" w:eastAsia="宋体" w:cs="宋体"/>
                <w:color w:val="auto"/>
                <w:sz w:val="24"/>
                <w:highlight w:val="none"/>
              </w:rPr>
              <w:t>网站被篡改或被攻击，网站被仿冒；某个业务全部瘫痪，重要数据丢失或被篡改，核心网络流量严重异常或瘫痪等）。</w:t>
            </w:r>
            <w:r>
              <w:rPr>
                <w:rFonts w:hint="eastAsia" w:ascii="宋体" w:hAnsi="宋体" w:eastAsia="宋体" w:cs="宋体"/>
                <w:color w:val="auto"/>
                <w:sz w:val="24"/>
                <w:highlight w:val="none"/>
                <w:lang w:eastAsia="zh-Hans"/>
              </w:rPr>
              <w:t>接到电话通知后，必须</w:t>
            </w: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Hans"/>
              </w:rPr>
              <w:t>分钟内做出响应，1小时内到达现场。如1小时内无法解决问题，30分钟内</w:t>
            </w:r>
            <w:r>
              <w:rPr>
                <w:rFonts w:hint="eastAsia" w:ascii="宋体" w:hAnsi="宋体" w:eastAsia="宋体" w:cs="宋体"/>
                <w:color w:val="auto"/>
                <w:sz w:val="24"/>
                <w:highlight w:val="none"/>
              </w:rPr>
              <w:t>调动安全专家</w:t>
            </w:r>
            <w:r>
              <w:rPr>
                <w:rFonts w:hint="eastAsia" w:ascii="宋体" w:hAnsi="宋体" w:eastAsia="宋体" w:cs="宋体"/>
                <w:color w:val="auto"/>
                <w:sz w:val="24"/>
                <w:highlight w:val="none"/>
                <w:lang w:eastAsia="zh-Hans"/>
              </w:rPr>
              <w:t>协助解决</w:t>
            </w:r>
            <w:r>
              <w:rPr>
                <w:rFonts w:hint="eastAsia" w:ascii="宋体" w:hAnsi="宋体" w:eastAsia="宋体" w:cs="宋体"/>
                <w:color w:val="auto"/>
                <w:sz w:val="24"/>
                <w:highlight w:val="none"/>
              </w:rPr>
              <w:t>。</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2、严重安全事件应急响应（</w:t>
            </w:r>
            <w:r>
              <w:rPr>
                <w:rFonts w:hint="eastAsia" w:ascii="宋体" w:hAnsi="宋体" w:eastAsia="宋体" w:cs="宋体"/>
                <w:color w:val="auto"/>
                <w:sz w:val="24"/>
                <w:highlight w:val="none"/>
              </w:rPr>
              <w:t>某个业务部分不可用，某个区域出现流量严重异常或瘫痪，安全设备硬件故障造成网络中断，网站访问速度严重变慢等）。</w:t>
            </w:r>
            <w:r>
              <w:rPr>
                <w:rFonts w:hint="eastAsia" w:ascii="宋体" w:hAnsi="宋体" w:eastAsia="宋体" w:cs="宋体"/>
                <w:color w:val="auto"/>
                <w:sz w:val="24"/>
                <w:highlight w:val="none"/>
                <w:lang w:eastAsia="zh-Hans"/>
              </w:rPr>
              <w:t>接到电话通知后，必须</w:t>
            </w: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Hans"/>
              </w:rPr>
              <w:t>分钟内做出响应，2小时内到达现场。如2小时内无法解决问题，1小时内</w:t>
            </w:r>
            <w:r>
              <w:rPr>
                <w:rFonts w:hint="eastAsia" w:ascii="宋体" w:hAnsi="宋体" w:eastAsia="宋体" w:cs="宋体"/>
                <w:color w:val="auto"/>
                <w:sz w:val="24"/>
                <w:highlight w:val="none"/>
              </w:rPr>
              <w:t>调动安全专家</w:t>
            </w:r>
            <w:r>
              <w:rPr>
                <w:rFonts w:hint="eastAsia" w:ascii="宋体" w:hAnsi="宋体" w:eastAsia="宋体" w:cs="宋体"/>
                <w:color w:val="auto"/>
                <w:sz w:val="24"/>
                <w:highlight w:val="none"/>
                <w:lang w:eastAsia="zh-Hans"/>
              </w:rPr>
              <w:t>协助解决</w:t>
            </w:r>
            <w:r>
              <w:rPr>
                <w:rFonts w:hint="eastAsia" w:ascii="宋体" w:hAnsi="宋体" w:eastAsia="宋体" w:cs="宋体"/>
                <w:color w:val="auto"/>
                <w:sz w:val="24"/>
                <w:highlight w:val="none"/>
              </w:rPr>
              <w:t>。</w:t>
            </w:r>
          </w:p>
          <w:p>
            <w:pPr>
              <w:adjustRightInd w:val="0"/>
              <w:spacing w:line="420" w:lineRule="exact"/>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3、一般安全事件应急响应（</w:t>
            </w:r>
            <w:r>
              <w:rPr>
                <w:rFonts w:hint="eastAsia" w:ascii="宋体" w:hAnsi="宋体" w:eastAsia="宋体" w:cs="宋体"/>
                <w:color w:val="auto"/>
                <w:sz w:val="24"/>
                <w:highlight w:val="none"/>
              </w:rPr>
              <w:t>业务使用存在异常，某个区域出现流量异常，发现安全漏洞隐患未进行修补的，病毒事件以及其他一般事件）。</w:t>
            </w:r>
            <w:r>
              <w:rPr>
                <w:rFonts w:hint="eastAsia" w:ascii="宋体" w:hAnsi="宋体" w:eastAsia="宋体" w:cs="宋体"/>
                <w:color w:val="auto"/>
                <w:sz w:val="24"/>
                <w:highlight w:val="none"/>
                <w:lang w:eastAsia="zh-Hans"/>
              </w:rPr>
              <w:t>接到电话通知后，必须</w:t>
            </w:r>
            <w:r>
              <w:rPr>
                <w:rFonts w:hint="eastAsia" w:ascii="宋体" w:hAnsi="宋体" w:eastAsia="宋体" w:cs="宋体"/>
                <w:color w:val="auto"/>
                <w:sz w:val="24"/>
                <w:highlight w:val="none"/>
              </w:rPr>
              <w:t>30</w:t>
            </w:r>
            <w:r>
              <w:rPr>
                <w:rFonts w:hint="eastAsia" w:ascii="宋体" w:hAnsi="宋体" w:eastAsia="宋体" w:cs="宋体"/>
                <w:color w:val="auto"/>
                <w:sz w:val="24"/>
                <w:highlight w:val="none"/>
                <w:lang w:eastAsia="zh-Hans"/>
              </w:rPr>
              <w:t>分钟内做出响应，4小时内到达现场。如4小时内无法解决问题，2小时内</w:t>
            </w:r>
            <w:r>
              <w:rPr>
                <w:rFonts w:hint="eastAsia" w:ascii="宋体" w:hAnsi="宋体" w:eastAsia="宋体" w:cs="宋体"/>
                <w:color w:val="auto"/>
                <w:sz w:val="24"/>
                <w:highlight w:val="none"/>
              </w:rPr>
              <w:t>调动安全专家</w:t>
            </w:r>
            <w:r>
              <w:rPr>
                <w:rFonts w:hint="eastAsia" w:ascii="宋体" w:hAnsi="宋体" w:eastAsia="宋体" w:cs="宋体"/>
                <w:color w:val="auto"/>
                <w:sz w:val="24"/>
                <w:highlight w:val="none"/>
                <w:lang w:eastAsia="zh-Hans"/>
              </w:rPr>
              <w:t>协助解决</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《应急响应报告》（按实际需求提供）</w:t>
            </w:r>
          </w:p>
          <w:p>
            <w:pPr>
              <w:adjustRightInd w:val="0"/>
              <w:spacing w:line="420" w:lineRule="exact"/>
              <w:rPr>
                <w:rFonts w:hint="eastAsia" w:ascii="宋体" w:hAnsi="宋体" w:eastAsia="宋体" w:cs="宋体"/>
                <w:color w:val="auto"/>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2"/>
          </w:tcPr>
          <w:p>
            <w:pPr>
              <w:adjustRightInd w:val="0"/>
              <w:spacing w:line="42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14、边界通道租赁服务：</w:t>
            </w:r>
            <w:r>
              <w:rPr>
                <w:rFonts w:hint="eastAsia" w:ascii="宋体" w:hAnsi="宋体" w:eastAsia="宋体" w:cs="宋体"/>
                <w:color w:val="auto"/>
                <w:sz w:val="24"/>
                <w:highlight w:val="none"/>
              </w:rPr>
              <w:t>数据交换前置服务器集群、双单向光闸池和数据交换后置服务器集群，组成3条边界通道，每条边界通道包括数据交换前置服务器、数据交换后置服务器。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服务内容</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因服务要求，边界通道租赁服务需提供通道。</w:t>
            </w:r>
          </w:p>
          <w:p>
            <w:pPr>
              <w:adjustRightInd w:val="0"/>
              <w:spacing w:line="420" w:lineRule="exact"/>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共3条通道，每条都为（2+4+2）池化架构或其他架构来确保两侧交换系统及进出各单向2光闸的冗余能力，包含外侧防火墙。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服务要求</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该服务需要提供以下的服务要求支持：</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1、服务性能：吞吐量≥8Gbps；数据库同步速率（1KB）≥12000条/秒；FTP文件同步速率（40KB）≥2600个/秒；消息同步速率（1KB）≥7000个/秒；传输时延≤50ms。</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2、技术架构：支持集群化扩展，无需独立集群管理节点，具备集群节点并行交换、负载均衡和容灾切换功能（提供具备CMA资质或国家权威机构认可的第三方机构出具的检测报告）。</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3、部署模式：交换前置和交换后置支持非对称部署。</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4、数据库同步：支持异构数据库异构同步、多对一同步、一对多同步、全量同步、增量同步、定时任务同步、自定义主键同步方式等功能。</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5、文件共享交换：支持FTP、SFTP、SMB、NFS，支持文件断点续传，支持大文件（GB级）同步。</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6、文件同步：支持文件目录双向同步、镜像同步、源端删除同步、更新同步、累加同步、文件同步重名等同步策略。</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API交换：支持前端API用户对后端Web资源访问、API反向代理；支持API调用方Token身份认证、数据格式检查、关键字过滤、请求报文完整性验证功能（提供具备CMA资质或国家权威机构认可的第三方机构出具的检测报告）。</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8、API接口认证：Http Basic认证、Soap头认证、JWT认证、HMAC 签名认证等功能（提供具备CMA资质或国家权威机构认可的第三方机构出具的检测报告）。</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9、敏感信息字段处理：加插数据水印，并支持通过数据水印溯源（提供具备CMA资质或国家权威机构认可的第三方机构出具的检测报告）。</w:t>
            </w:r>
          </w:p>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10、敏感数据脱敏：数据库表中姓名、身份证号码、手机号码、详细地址等敏感或隐私信息的字段进行数据脱敏（提供具备CMA资质或国家权威机构认可的第三方机构出具的检测报告）。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2" w:type="pct"/>
          </w:tcPr>
          <w:p>
            <w:pPr>
              <w:adjustRightInd w:val="0"/>
              <w:spacing w:line="420" w:lineRule="exac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交付物</w:t>
            </w:r>
          </w:p>
        </w:tc>
        <w:tc>
          <w:tcPr>
            <w:tcW w:w="4187" w:type="pct"/>
          </w:tcPr>
          <w:p>
            <w:pPr>
              <w:adjustRightIn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《边界通道服务总结报告》</w:t>
            </w:r>
          </w:p>
        </w:tc>
      </w:tr>
    </w:tbl>
    <w:p>
      <w:pPr>
        <w:adjustRightInd w:val="0"/>
        <w:spacing w:line="360" w:lineRule="auto"/>
        <w:rPr>
          <w:rFonts w:hint="eastAsia" w:ascii="宋体" w:hAnsi="宋体" w:eastAsia="宋体" w:cs="宋体"/>
          <w:b/>
          <w:color w:val="auto"/>
          <w:sz w:val="24"/>
          <w:highlight w:val="none"/>
        </w:rPr>
      </w:pPr>
    </w:p>
    <w:p>
      <w:pPr>
        <w:adjustRightIn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1、总体要求</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（1）本项目中服务涉及多张公安业务网络，不同服务内容对应不同技术要求，均应当满足各服务内容中对应的服务要求。</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（2）系统安全检测服务中使用的工具软件必须为正版产品。</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网络安全检查过程中进行的渗透测试，在渗透测试之前必须要先提供相应的技术方案与采购人技术人员充分沟通,不能影响各项业务的正常进行，对一些可能引发事故的测试项要在采购人可控制的情况下以单独授权的方式进行。</w:t>
      </w:r>
    </w:p>
    <w:p>
      <w:pPr>
        <w:adjustRightIn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（4）实施过程中应尽可能小的影响系统和网络的正常运行,做好备份和应急措施,不能对</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应用系统的正常运行产生影响,包括系统性能明显下降、网络拥塞、服务中断等,如无法避免出现这些情况应先停止项目实施,并向采购人书面详细描述。</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（5）服务期内提供7*24小时的技术支持（包括电话咨询与现场服务）。</w:t>
      </w:r>
      <w:r>
        <w:rPr>
          <w:rFonts w:hint="eastAsia" w:ascii="宋体" w:hAnsi="宋体" w:eastAsia="宋体" w:cs="宋体"/>
          <w:color w:val="auto"/>
          <w:sz w:val="24"/>
          <w:highlight w:val="none"/>
          <w:lang w:eastAsia="zh-Hans"/>
        </w:rPr>
        <w:t>在服务期内，发生或可能发生应急事件时，</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lang w:eastAsia="zh-CN"/>
        </w:rPr>
        <w:t>标人</w:t>
      </w:r>
      <w:r>
        <w:rPr>
          <w:rFonts w:hint="eastAsia" w:ascii="宋体" w:hAnsi="宋体" w:eastAsia="宋体" w:cs="宋体"/>
          <w:color w:val="auto"/>
          <w:sz w:val="24"/>
          <w:highlight w:val="none"/>
          <w:lang w:eastAsia="zh-Hans"/>
        </w:rPr>
        <w:t>应快速响应并到达现场，协助进行应急事件处理，直到应急事件排除。对于影响服务的故障，在进行故障处理时，应先考虑服务恢复，再彻底解决故障。如</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lang w:eastAsia="zh-CN"/>
        </w:rPr>
        <w:t>标人</w:t>
      </w:r>
      <w:r>
        <w:rPr>
          <w:rFonts w:hint="eastAsia" w:ascii="宋体" w:hAnsi="宋体" w:eastAsia="宋体" w:cs="宋体"/>
          <w:color w:val="auto"/>
          <w:sz w:val="24"/>
          <w:highlight w:val="none"/>
          <w:lang w:eastAsia="zh-Hans"/>
        </w:rPr>
        <w:t>工程师不能在时限内解决问题，则应调动专家协助解决。</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rPr>
        <w:t>标人在接到应急电话后，须在应急响应服务规定的时限内响应。</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rPr>
        <w:t>标人需协助采购人完成安全检查工作。</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rPr>
        <w:t>标人应在完成服务后五个工作日内提交相关报告，所有报告均以纸质版提交（需经采购人经办人、审核人、供应商签字并加盖公章）。</w:t>
      </w:r>
    </w:p>
    <w:p>
      <w:pPr>
        <w:adjustRightInd w:val="0"/>
        <w:spacing w:line="360" w:lineRule="auto"/>
        <w:ind w:firstLine="420" w:firstLineChars="175"/>
        <w:jc w:val="left"/>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（8）</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lang w:eastAsia="zh-Hans"/>
        </w:rPr>
        <w:t>标人应针对本项目建立</w:t>
      </w:r>
      <w:r>
        <w:rPr>
          <w:rFonts w:hint="eastAsia" w:ascii="宋体" w:hAnsi="宋体" w:eastAsia="宋体" w:cs="宋体"/>
          <w:color w:val="auto"/>
          <w:sz w:val="24"/>
          <w:highlight w:val="none"/>
        </w:rPr>
        <w:t>健</w:t>
      </w:r>
      <w:r>
        <w:rPr>
          <w:rFonts w:hint="eastAsia" w:ascii="宋体" w:hAnsi="宋体" w:eastAsia="宋体" w:cs="宋体"/>
          <w:color w:val="auto"/>
          <w:sz w:val="24"/>
          <w:highlight w:val="none"/>
          <w:lang w:eastAsia="zh-Hans"/>
        </w:rPr>
        <w:t>全相应的管理制度，包括日常管理规章制度、内部岗位责任制度（包括各岗位职责等）、管理运作制度、考核制度（包括考核机制、激励机制、监督机制等）等。</w:t>
      </w:r>
    </w:p>
    <w:p>
      <w:pPr>
        <w:pStyle w:val="25"/>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cs="宋体"/>
          <w:color w:val="auto"/>
          <w:sz w:val="24"/>
          <w:highlight w:val="none"/>
          <w:lang w:val="en-US" w:eastAsia="zh-CN"/>
        </w:rPr>
        <w:t>中</w:t>
      </w:r>
      <w:r>
        <w:rPr>
          <w:rFonts w:hint="eastAsia" w:ascii="宋体" w:hAnsi="宋体" w:eastAsia="宋体" w:cs="宋体"/>
          <w:color w:val="auto"/>
          <w:sz w:val="24"/>
          <w:highlight w:val="none"/>
          <w:lang w:eastAsia="zh-Hans"/>
        </w:rPr>
        <w:t>标人应针对本项目建立紧急事件处理应急方案，包括建立运行服务保障应急预案、对可能遇到的问题具有相应的应对措施，在服务期间巡检、故障处理的组织和联系机制等。</w:t>
      </w:r>
    </w:p>
    <w:p>
      <w:pPr>
        <w:adjustRightInd w:val="0"/>
        <w:spacing w:before="124" w:after="124"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shd w:val="clear" w:color="auto" w:fill="FFFFFF" w:themeFill="background1"/>
        </w:rPr>
        <w:t>2、</w:t>
      </w:r>
      <w:r>
        <w:rPr>
          <w:rFonts w:hint="eastAsia" w:ascii="宋体" w:hAnsi="宋体" w:eastAsia="宋体" w:cs="宋体"/>
          <w:b/>
          <w:bCs/>
          <w:color w:val="auto"/>
          <w:sz w:val="24"/>
          <w:highlight w:val="none"/>
        </w:rPr>
        <w:t>人员要求</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投标人须为本项目组织项目小组，保障各项服务内容的顺利开展。</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投标人提供不少于2名驻点人员提供</w:t>
      </w:r>
      <w:r>
        <w:rPr>
          <w:rFonts w:hint="eastAsia" w:ascii="宋体" w:hAnsi="宋体" w:eastAsia="宋体" w:cs="宋体"/>
          <w:color w:val="auto"/>
          <w:sz w:val="24"/>
          <w:highlight w:val="none"/>
          <w:lang w:eastAsia="zh-Hans"/>
        </w:rPr>
        <w:t>安全</w:t>
      </w:r>
      <w:r>
        <w:rPr>
          <w:rFonts w:hint="eastAsia" w:ascii="宋体" w:hAnsi="宋体" w:eastAsia="宋体" w:cs="宋体"/>
          <w:color w:val="auto"/>
          <w:sz w:val="24"/>
          <w:highlight w:val="none"/>
        </w:rPr>
        <w:t>服务。</w:t>
      </w:r>
    </w:p>
    <w:p>
      <w:pPr>
        <w:adjustRightInd w:val="0"/>
        <w:spacing w:before="124" w:after="124"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2.1项目组人员要求</w:t>
      </w:r>
    </w:p>
    <w:p>
      <w:pPr>
        <w:adjustRightInd w:val="0"/>
        <w:spacing w:before="124" w:after="124"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（1）按照实际工作需求</w:t>
      </w:r>
      <w:r>
        <w:rPr>
          <w:rFonts w:hint="eastAsia" w:ascii="宋体" w:hAnsi="宋体" w:eastAsia="宋体" w:cs="宋体"/>
          <w:color w:val="auto"/>
          <w:sz w:val="24"/>
          <w:highlight w:val="none"/>
        </w:rPr>
        <w:t>为本项目配备项目小组，并明确人员分工职责（须包含一名项目负责人）。</w:t>
      </w:r>
    </w:p>
    <w:p>
      <w:pPr>
        <w:pStyle w:val="25"/>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Hans"/>
        </w:rPr>
        <w:t>（2）人员服务时间：项目负责人、服务团队人员提供7*24小时</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eastAsia="zh-Hans"/>
        </w:rPr>
        <w:t>服务</w:t>
      </w:r>
      <w:r>
        <w:rPr>
          <w:rFonts w:hint="eastAsia" w:ascii="宋体" w:hAnsi="宋体" w:eastAsia="宋体" w:cs="宋体"/>
          <w:color w:val="auto"/>
          <w:sz w:val="24"/>
          <w:szCs w:val="24"/>
          <w:highlight w:val="none"/>
        </w:rPr>
        <w:t>，接到采购人通知后，应在半小时内响应，如需提供现场服务，需在2小时内到达采购人指定地点。</w:t>
      </w:r>
    </w:p>
    <w:p>
      <w:pPr>
        <w:adjustRightInd w:val="0"/>
        <w:spacing w:before="124" w:after="124"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（3）人员配备标准：</w:t>
      </w:r>
      <w:r>
        <w:rPr>
          <w:rFonts w:hint="eastAsia" w:ascii="宋体" w:hAnsi="宋体" w:cs="宋体"/>
          <w:color w:val="auto"/>
          <w:sz w:val="24"/>
          <w:highlight w:val="none"/>
          <w:lang w:val="en-US" w:eastAsia="zh-CN"/>
        </w:rPr>
        <w:t>除2名驻点人员外，</w:t>
      </w:r>
      <w:r>
        <w:rPr>
          <w:rFonts w:hint="eastAsia" w:ascii="宋体" w:hAnsi="宋体" w:eastAsia="宋体" w:cs="宋体"/>
          <w:color w:val="auto"/>
          <w:sz w:val="24"/>
          <w:highlight w:val="none"/>
        </w:rPr>
        <w:t>项目组人员中须配备</w:t>
      </w:r>
      <w:r>
        <w:rPr>
          <w:rFonts w:hint="eastAsia" w:ascii="宋体" w:hAnsi="宋体" w:eastAsia="宋体" w:cs="宋体"/>
          <w:color w:val="auto"/>
          <w:sz w:val="24"/>
          <w:highlight w:val="none"/>
          <w:lang w:eastAsia="zh-Hans"/>
        </w:rPr>
        <w:t>至少2名人员具有</w:t>
      </w:r>
      <w:r>
        <w:rPr>
          <w:rFonts w:hint="eastAsia" w:ascii="宋体" w:hAnsi="宋体" w:eastAsia="宋体" w:cs="宋体"/>
          <w:color w:val="auto"/>
          <w:sz w:val="24"/>
          <w:highlight w:val="none"/>
        </w:rPr>
        <w:t>信息安全工程师</w:t>
      </w:r>
      <w:r>
        <w:rPr>
          <w:rFonts w:hint="eastAsia" w:ascii="宋体" w:hAnsi="宋体" w:eastAsia="宋体" w:cs="宋体"/>
          <w:color w:val="auto"/>
          <w:sz w:val="24"/>
          <w:highlight w:val="none"/>
          <w:lang w:eastAsia="zh-Hans"/>
        </w:rPr>
        <w:t>（国家人力资源和社会保障部、工业和信息化部共同颁发）</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Hans"/>
        </w:rPr>
        <w:t>系统集成项目管理工程师（国家人力资源和社会保障部、工业和信息化部共同颁发）。</w:t>
      </w:r>
    </w:p>
    <w:p>
      <w:pPr>
        <w:adjustRightInd w:val="0"/>
        <w:spacing w:before="124" w:after="124"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（4）工作职责：项目负责人主要负责本次项目的实施以及采购人的对接工作。项目团队人员应有明确的岗位分配，各岗位有专人负责，需提供人员配置表，保障工作顺利有序进行。</w:t>
      </w:r>
    </w:p>
    <w:p>
      <w:pPr>
        <w:pStyle w:val="25"/>
        <w:spacing w:line="360" w:lineRule="auto"/>
        <w:rPr>
          <w:rFonts w:hint="eastAsia" w:ascii="宋体" w:hAnsi="宋体" w:eastAsia="宋体" w:cs="宋体"/>
          <w:b/>
          <w:bCs/>
          <w:color w:val="auto"/>
          <w:sz w:val="24"/>
          <w:szCs w:val="24"/>
          <w:highlight w:val="none"/>
          <w:lang w:eastAsia="zh-Hans"/>
        </w:rPr>
      </w:pPr>
      <w:r>
        <w:rPr>
          <w:rFonts w:hint="eastAsia" w:ascii="宋体" w:hAnsi="宋体" w:eastAsia="宋体" w:cs="宋体"/>
          <w:b/>
          <w:bCs/>
          <w:color w:val="auto"/>
          <w:sz w:val="24"/>
          <w:szCs w:val="24"/>
          <w:highlight w:val="none"/>
          <w:lang w:eastAsia="zh-Hans"/>
        </w:rPr>
        <w:t>2.</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Hans"/>
        </w:rPr>
        <w:t>驻点人员要求</w:t>
      </w:r>
    </w:p>
    <w:p>
      <w:pPr>
        <w:adjustRightInd w:val="0"/>
        <w:spacing w:line="360" w:lineRule="auto"/>
        <w:ind w:firstLine="240" w:firstLineChars="1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（1）提供2名全日制专科以上计算机专业学历，具有</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年以上网络安全工作经验，</w:t>
      </w:r>
      <w:r>
        <w:rPr>
          <w:rFonts w:hint="eastAsia" w:ascii="宋体" w:hAnsi="宋体" w:eastAsia="宋体" w:cs="宋体"/>
          <w:color w:val="auto"/>
          <w:sz w:val="24"/>
          <w:highlight w:val="none"/>
          <w:lang w:eastAsia="zh-Hans"/>
        </w:rPr>
        <w:t>年龄55周岁（含）以下，</w:t>
      </w:r>
      <w:r>
        <w:rPr>
          <w:rFonts w:hint="eastAsia" w:ascii="宋体" w:hAnsi="宋体" w:eastAsia="宋体" w:cs="宋体"/>
          <w:color w:val="auto"/>
          <w:sz w:val="24"/>
          <w:highlight w:val="none"/>
        </w:rPr>
        <w:t>提供5*8小时现场驻点服务（采购人提供办公工位）。</w:t>
      </w:r>
      <w:r>
        <w:rPr>
          <w:rFonts w:hint="eastAsia" w:ascii="宋体" w:hAnsi="宋体" w:eastAsia="宋体" w:cs="宋体"/>
          <w:color w:val="auto"/>
          <w:sz w:val="24"/>
          <w:highlight w:val="none"/>
          <w:lang w:eastAsia="zh-Hans"/>
        </w:rPr>
        <w:t>至少</w:t>
      </w:r>
      <w:r>
        <w:rPr>
          <w:rFonts w:hint="eastAsia" w:ascii="宋体" w:hAnsi="宋体" w:eastAsia="宋体" w:cs="宋体"/>
          <w:color w:val="auto"/>
          <w:sz w:val="24"/>
          <w:highlight w:val="none"/>
        </w:rPr>
        <w:t>1名</w:t>
      </w:r>
      <w:r>
        <w:rPr>
          <w:rFonts w:hint="eastAsia" w:ascii="宋体" w:hAnsi="宋体" w:eastAsia="宋体" w:cs="宋体"/>
          <w:color w:val="auto"/>
          <w:sz w:val="24"/>
          <w:highlight w:val="none"/>
          <w:lang w:eastAsia="zh-Hans"/>
        </w:rPr>
        <w:t>需具备以下能力：</w:t>
      </w:r>
    </w:p>
    <w:p>
      <w:pPr>
        <w:adjustRightIn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①熟练掌握各类安全技术，具有开展安全咨询和安全服务的经验；</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②了解网络信息安全相关技能，如传统网络安全、网络攻防。</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③具有编写网络规划方案能力熟悉网络安全解决方案能力。</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④具备文档、汇报材料编写能力。</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⑤熟练掌握主流安全设备的运行维护操作。</w:t>
      </w:r>
    </w:p>
    <w:p>
      <w:pPr>
        <w:adjustRightIn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⑥信息安全工程师</w:t>
      </w:r>
      <w:r>
        <w:rPr>
          <w:rFonts w:hint="eastAsia" w:ascii="宋体" w:hAnsi="宋体" w:eastAsia="宋体" w:cs="宋体"/>
          <w:color w:val="auto"/>
          <w:sz w:val="24"/>
          <w:highlight w:val="none"/>
          <w:lang w:eastAsia="zh-Hans"/>
        </w:rPr>
        <w:t>（国家人力资源和社会保障部、工业和信息化部共同颁发）</w:t>
      </w:r>
      <w:r>
        <w:rPr>
          <w:rFonts w:hint="eastAsia" w:ascii="宋体" w:hAnsi="宋体" w:eastAsia="宋体" w:cs="宋体"/>
          <w:color w:val="auto"/>
          <w:sz w:val="24"/>
          <w:highlight w:val="none"/>
        </w:rPr>
        <w:t>或</w:t>
      </w:r>
      <w:r>
        <w:rPr>
          <w:rFonts w:hint="eastAsia" w:ascii="宋体" w:hAnsi="宋体" w:eastAsia="宋体" w:cs="宋体"/>
          <w:color w:val="auto"/>
          <w:sz w:val="24"/>
          <w:highlight w:val="none"/>
          <w:lang w:eastAsia="zh-Hans"/>
        </w:rPr>
        <w:t>系统集成项目管理工程师（国家人力资源和社会保障部、工业和信息化部共同颁发）</w:t>
      </w:r>
      <w:r>
        <w:rPr>
          <w:rFonts w:hint="eastAsia" w:ascii="宋体" w:hAnsi="宋体" w:eastAsia="宋体" w:cs="宋体"/>
          <w:color w:val="auto"/>
          <w:sz w:val="24"/>
          <w:highlight w:val="none"/>
        </w:rPr>
        <w:t>。</w:t>
      </w:r>
    </w:p>
    <w:p>
      <w:pPr>
        <w:adjustRightIn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（2）驻点人员服务内容</w:t>
      </w:r>
    </w:p>
    <w:p>
      <w:pPr>
        <w:adjustRightInd w:val="0"/>
        <w:spacing w:before="124" w:after="124"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1.负责安全监控、监测系统的日常运行状态巡查。</w:t>
      </w:r>
    </w:p>
    <w:p>
      <w:pPr>
        <w:adjustRightInd w:val="0"/>
        <w:spacing w:before="124" w:after="124"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2.负责采购单位的资产梳理。</w:t>
      </w:r>
    </w:p>
    <w:p>
      <w:pPr>
        <w:adjustRightInd w:val="0"/>
        <w:spacing w:before="124" w:after="124"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3.负责日常安全事件、安全威胁的响应处理。</w:t>
      </w:r>
    </w:p>
    <w:p>
      <w:pPr>
        <w:adjustRightInd w:val="0"/>
        <w:spacing w:before="124" w:after="124"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4.负责定期对安全设备（系统）日志进行分析、处理，并提交报告。</w:t>
      </w:r>
    </w:p>
    <w:p>
      <w:pPr>
        <w:adjustRightInd w:val="0"/>
        <w:spacing w:before="124" w:after="124"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5.提供新增服务器杀毒软件安装、策略优化、安全加固服务。</w:t>
      </w:r>
    </w:p>
    <w:p>
      <w:pPr>
        <w:adjustRightInd w:val="0"/>
        <w:spacing w:before="124" w:after="124"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6.每月、季、年度编制并提交安全工作专题报告。</w:t>
      </w:r>
    </w:p>
    <w:p>
      <w:pPr>
        <w:adjustRightInd w:val="0"/>
        <w:spacing w:before="124" w:after="124" w:line="360" w:lineRule="auto"/>
        <w:ind w:firstLine="480" w:firstLineChars="200"/>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lang w:eastAsia="zh-Hans"/>
        </w:rPr>
        <w:t>7.用户安排的其他网络与信息安全相关工作。</w:t>
      </w:r>
    </w:p>
    <w:p>
      <w:pPr>
        <w:adjustRightInd w:val="0"/>
        <w:spacing w:before="124" w:after="124"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2.3驻点人员变动</w:t>
      </w:r>
    </w:p>
    <w:p>
      <w:pPr>
        <w:pStyle w:val="25"/>
        <w:adjustRightIn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投标人派出驻点人员必须达到采购人</w:t>
      </w:r>
      <w:r>
        <w:rPr>
          <w:rFonts w:hint="eastAsia" w:ascii="宋体" w:hAnsi="宋体" w:eastAsia="宋体" w:cs="宋体"/>
          <w:color w:val="auto"/>
          <w:sz w:val="24"/>
          <w:highlight w:val="none"/>
          <w:lang w:eastAsia="zh-Hans"/>
        </w:rPr>
        <w:t>服务</w:t>
      </w:r>
      <w:r>
        <w:rPr>
          <w:rFonts w:hint="eastAsia" w:ascii="宋体" w:hAnsi="宋体" w:eastAsia="宋体" w:cs="宋体"/>
          <w:color w:val="auto"/>
          <w:sz w:val="24"/>
          <w:highlight w:val="none"/>
        </w:rPr>
        <w:t>要求，经过采购人认可方可上岗（需提供资质证明材料、投标人和拟派人员共同出具保证能在本项目服务期间为本项目服务的承诺函）。</w:t>
      </w:r>
    </w:p>
    <w:p>
      <w:pPr>
        <w:adjustRightInd w:val="0"/>
        <w:spacing w:before="124" w:after="124"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驻点人员应相对稳定，人员变动需提前1个月征求采购人意见并经采购人书面同意，投标人应在其人员变动后4小时响应，24小时内保证更换人员到位，且更换人员资历不低于投标时人员资历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并确保任何时候无人员</w:t>
      </w:r>
      <w:r>
        <w:rPr>
          <w:rFonts w:hint="eastAsia" w:ascii="宋体" w:hAnsi="宋体" w:cs="宋体"/>
          <w:color w:val="auto"/>
          <w:sz w:val="24"/>
          <w:highlight w:val="none"/>
          <w:lang w:val="en-US" w:eastAsia="zh-CN"/>
        </w:rPr>
        <w:t>缺位</w:t>
      </w:r>
      <w:r>
        <w:rPr>
          <w:rFonts w:hint="eastAsia" w:ascii="宋体" w:hAnsi="宋体" w:eastAsia="宋体" w:cs="宋体"/>
          <w:color w:val="auto"/>
          <w:sz w:val="24"/>
          <w:highlight w:val="none"/>
          <w:lang w:val="en-US" w:eastAsia="zh-CN"/>
        </w:rPr>
        <w:t>现象发生</w:t>
      </w:r>
      <w:r>
        <w:rPr>
          <w:rFonts w:hint="eastAsia" w:ascii="宋体" w:hAnsi="宋体" w:eastAsia="宋体" w:cs="宋体"/>
          <w:color w:val="auto"/>
          <w:sz w:val="24"/>
          <w:highlight w:val="none"/>
        </w:rPr>
        <w:t>。</w:t>
      </w:r>
    </w:p>
    <w:p>
      <w:pPr>
        <w:autoSpaceDE w:val="0"/>
        <w:autoSpaceDN w:val="0"/>
        <w:adjustRightIn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3、保密要求</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①投标人应当对涉及采购人的信息严格保密，确保派遣的工作人员严格遵守保密纪律。投标人需和采购人签订保密协议，不得将信息泄露给第三方</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包括但不限于合同期内</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。否则，采购人有保留追究法律责任的权利。</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②采购人应当对投标人及工作人员开展常态化安全保密教育，组织签订安全保密承诺书，明确具体安全管理内容、安全保密义务和责任。投标人应当严格按照采购人规定使用、存储、处理文档资料和数据。合同终止时，投标人应当交还全部资料和数据。</w:t>
      </w:r>
    </w:p>
    <w:p>
      <w:pPr>
        <w:adjustRightIn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③投标人及工作人员违反安全管理要求，构成违法犯罪的，采购人应当及时报送本级政府采购和市场监督管理部门，提请列入政府采购严重违法失信行为记录名单、市场监督管理严重失信名单，并追究相关责任。</w:t>
      </w:r>
    </w:p>
    <w:p>
      <w:pPr>
        <w:adjustRightIn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4、投标人网络安全责任和义务：</w:t>
      </w:r>
    </w:p>
    <w:p>
      <w:pPr>
        <w:widowControl/>
        <w:adjustRightInd w:val="0"/>
        <w:spacing w:line="360" w:lineRule="auto"/>
        <w:ind w:firstLine="480" w:firstLineChars="200"/>
        <w:jc w:val="left"/>
        <w:outlineLvl w:val="1"/>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fldChar w:fldCharType="begin"/>
      </w:r>
      <w:r>
        <w:rPr>
          <w:rFonts w:hint="eastAsia" w:ascii="宋体" w:hAnsi="宋体" w:eastAsia="宋体" w:cs="宋体"/>
          <w:color w:val="auto"/>
          <w:sz w:val="24"/>
          <w:highlight w:val="none"/>
          <w:lang w:bidi="ar"/>
        </w:rPr>
        <w:instrText xml:space="preserve"> = 1 \* GB3 \* MERGEFORMAT </w:instrText>
      </w:r>
      <w:r>
        <w:rPr>
          <w:rFonts w:hint="eastAsia" w:ascii="宋体" w:hAnsi="宋体" w:eastAsia="宋体" w:cs="宋体"/>
          <w:color w:val="auto"/>
          <w:sz w:val="24"/>
          <w:highlight w:val="none"/>
          <w:lang w:bidi="ar"/>
        </w:rPr>
        <w:fldChar w:fldCharType="separate"/>
      </w:r>
      <w:r>
        <w:rPr>
          <w:rFonts w:hint="eastAsia" w:ascii="宋体" w:hAnsi="宋体" w:eastAsia="宋体" w:cs="宋体"/>
          <w:color w:val="auto"/>
          <w:highlight w:val="none"/>
        </w:rPr>
        <w:t>①</w:t>
      </w:r>
      <w:r>
        <w:rPr>
          <w:rFonts w:hint="eastAsia" w:ascii="宋体" w:hAnsi="宋体" w:eastAsia="宋体" w:cs="宋体"/>
          <w:color w:val="auto"/>
          <w:sz w:val="24"/>
          <w:highlight w:val="none"/>
          <w:lang w:bidi="ar"/>
        </w:rPr>
        <w:fldChar w:fldCharType="end"/>
      </w:r>
      <w:r>
        <w:rPr>
          <w:rFonts w:hint="eastAsia" w:ascii="宋体" w:hAnsi="宋体" w:eastAsia="宋体" w:cs="宋体"/>
          <w:color w:val="auto"/>
          <w:sz w:val="24"/>
          <w:highlight w:val="none"/>
          <w:lang w:bidi="ar"/>
        </w:rPr>
        <w:t>明确投标人法定代表人为合作事项网络安全第一责任人，具体承担合作事项的部门主要负责人为直接责任人。</w:t>
      </w:r>
    </w:p>
    <w:p>
      <w:pPr>
        <w:pStyle w:val="7"/>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bidi="ar"/>
        </w:rPr>
        <w:t>②</w:t>
      </w:r>
      <w:r>
        <w:rPr>
          <w:rFonts w:hint="eastAsia" w:ascii="宋体" w:hAnsi="宋体" w:eastAsia="宋体" w:cs="宋体"/>
          <w:color w:val="auto"/>
          <w:sz w:val="24"/>
          <w:highlight w:val="none"/>
          <w:lang w:val="en-US" w:eastAsia="zh-CN" w:bidi="ar"/>
        </w:rPr>
        <w:t>不得转包合同任务。</w:t>
      </w:r>
    </w:p>
    <w:p>
      <w:pPr>
        <w:widowControl/>
        <w:adjustRightInd w:val="0"/>
        <w:spacing w:line="360" w:lineRule="auto"/>
        <w:ind w:firstLine="480" w:firstLineChars="200"/>
        <w:jc w:val="left"/>
        <w:outlineLvl w:val="1"/>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③投标人应制订与合作事项相关的网络安全保障方案和网络安全事件应急预案。</w:t>
      </w:r>
    </w:p>
    <w:p>
      <w:pPr>
        <w:widowControl/>
        <w:adjustRightInd w:val="0"/>
        <w:spacing w:line="360" w:lineRule="auto"/>
        <w:ind w:firstLine="480" w:firstLineChars="200"/>
        <w:jc w:val="left"/>
        <w:outlineLvl w:val="1"/>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fldChar w:fldCharType="begin"/>
      </w:r>
      <w:r>
        <w:rPr>
          <w:rFonts w:hint="eastAsia" w:ascii="宋体" w:hAnsi="宋体" w:eastAsia="宋体" w:cs="宋体"/>
          <w:color w:val="auto"/>
          <w:sz w:val="24"/>
          <w:highlight w:val="none"/>
          <w:lang w:bidi="ar"/>
        </w:rPr>
        <w:instrText xml:space="preserve"> = 4 \* GB3 \* MERGEFORMAT </w:instrText>
      </w:r>
      <w:r>
        <w:rPr>
          <w:rFonts w:hint="eastAsia" w:ascii="宋体" w:hAnsi="宋体" w:eastAsia="宋体" w:cs="宋体"/>
          <w:color w:val="auto"/>
          <w:sz w:val="24"/>
          <w:highlight w:val="none"/>
          <w:lang w:bidi="ar"/>
        </w:rPr>
        <w:fldChar w:fldCharType="separate"/>
      </w:r>
      <w:r>
        <w:rPr>
          <w:rFonts w:hint="eastAsia" w:ascii="宋体" w:hAnsi="宋体" w:eastAsia="宋体" w:cs="宋体"/>
          <w:color w:val="auto"/>
          <w:sz w:val="24"/>
          <w:highlight w:val="none"/>
          <w:lang w:bidi="ar"/>
        </w:rPr>
        <w:t>④</w:t>
      </w:r>
      <w:r>
        <w:rPr>
          <w:rFonts w:hint="eastAsia" w:ascii="宋体" w:hAnsi="宋体" w:eastAsia="宋体" w:cs="宋体"/>
          <w:color w:val="auto"/>
          <w:sz w:val="24"/>
          <w:highlight w:val="none"/>
          <w:lang w:bidi="ar"/>
        </w:rPr>
        <w:fldChar w:fldCharType="end"/>
      </w:r>
      <w:r>
        <w:rPr>
          <w:rFonts w:hint="eastAsia" w:ascii="宋体" w:hAnsi="宋体" w:eastAsia="宋体" w:cs="宋体"/>
          <w:color w:val="auto"/>
          <w:sz w:val="24"/>
          <w:highlight w:val="none"/>
          <w:lang w:bidi="ar"/>
        </w:rPr>
        <w:t>投标人发现网络安全漏洞、缺陷或者其他严重网络安全风险，应及时向采购人报告。</w:t>
      </w:r>
    </w:p>
    <w:p>
      <w:pPr>
        <w:widowControl/>
        <w:adjustRightInd w:val="0"/>
        <w:spacing w:line="360" w:lineRule="auto"/>
        <w:ind w:firstLine="480" w:firstLineChars="200"/>
        <w:jc w:val="left"/>
        <w:outlineLvl w:val="1"/>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fldChar w:fldCharType="begin"/>
      </w:r>
      <w:r>
        <w:rPr>
          <w:rFonts w:hint="eastAsia" w:ascii="宋体" w:hAnsi="宋体" w:eastAsia="宋体" w:cs="宋体"/>
          <w:color w:val="auto"/>
          <w:sz w:val="24"/>
          <w:highlight w:val="none"/>
          <w:lang w:bidi="ar"/>
        </w:rPr>
        <w:instrText xml:space="preserve"> = 5 \* GB3 \* MERGEFORMAT </w:instrText>
      </w:r>
      <w:r>
        <w:rPr>
          <w:rFonts w:hint="eastAsia" w:ascii="宋体" w:hAnsi="宋体" w:eastAsia="宋体" w:cs="宋体"/>
          <w:color w:val="auto"/>
          <w:sz w:val="24"/>
          <w:highlight w:val="none"/>
          <w:lang w:bidi="ar"/>
        </w:rPr>
        <w:fldChar w:fldCharType="separate"/>
      </w:r>
      <w:r>
        <w:rPr>
          <w:rFonts w:hint="eastAsia" w:ascii="宋体" w:hAnsi="宋体" w:eastAsia="宋体" w:cs="宋体"/>
          <w:color w:val="auto"/>
          <w:sz w:val="24"/>
          <w:highlight w:val="none"/>
          <w:lang w:bidi="ar"/>
        </w:rPr>
        <w:t>⑤</w:t>
      </w:r>
      <w:r>
        <w:rPr>
          <w:rFonts w:hint="eastAsia" w:ascii="宋体" w:hAnsi="宋体" w:eastAsia="宋体" w:cs="宋体"/>
          <w:color w:val="auto"/>
          <w:sz w:val="24"/>
          <w:highlight w:val="none"/>
          <w:lang w:bidi="ar"/>
        </w:rPr>
        <w:fldChar w:fldCharType="end"/>
      </w:r>
      <w:r>
        <w:rPr>
          <w:rFonts w:hint="eastAsia" w:ascii="宋体" w:hAnsi="宋体" w:eastAsia="宋体" w:cs="宋体"/>
          <w:color w:val="auto"/>
          <w:sz w:val="24"/>
          <w:highlight w:val="none"/>
          <w:lang w:bidi="ar"/>
        </w:rPr>
        <w:t>处理合作事项的信息平台应当优先采用安全可信的硬件和软件产品。</w:t>
      </w:r>
    </w:p>
    <w:p>
      <w:pPr>
        <w:widowControl/>
        <w:adjustRightInd w:val="0"/>
        <w:spacing w:line="360" w:lineRule="auto"/>
        <w:ind w:firstLine="480" w:firstLineChars="200"/>
        <w:jc w:val="left"/>
        <w:outlineLvl w:val="1"/>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fldChar w:fldCharType="begin"/>
      </w:r>
      <w:r>
        <w:rPr>
          <w:rFonts w:hint="eastAsia" w:ascii="宋体" w:hAnsi="宋体" w:eastAsia="宋体" w:cs="宋体"/>
          <w:color w:val="auto"/>
          <w:sz w:val="24"/>
          <w:highlight w:val="none"/>
          <w:lang w:bidi="ar"/>
        </w:rPr>
        <w:instrText xml:space="preserve"> = 6 \* GB3 \* MERGEFORMAT </w:instrText>
      </w:r>
      <w:r>
        <w:rPr>
          <w:rFonts w:hint="eastAsia" w:ascii="宋体" w:hAnsi="宋体" w:eastAsia="宋体" w:cs="宋体"/>
          <w:color w:val="auto"/>
          <w:sz w:val="24"/>
          <w:highlight w:val="none"/>
          <w:lang w:bidi="ar"/>
        </w:rPr>
        <w:fldChar w:fldCharType="separate"/>
      </w:r>
      <w:r>
        <w:rPr>
          <w:rFonts w:hint="eastAsia" w:ascii="宋体" w:hAnsi="宋体" w:eastAsia="宋体" w:cs="宋体"/>
          <w:color w:val="auto"/>
          <w:sz w:val="24"/>
          <w:highlight w:val="none"/>
          <w:lang w:bidi="ar"/>
        </w:rPr>
        <w:t>⑥</w:t>
      </w:r>
      <w:r>
        <w:rPr>
          <w:rFonts w:hint="eastAsia" w:ascii="宋体" w:hAnsi="宋体" w:eastAsia="宋体" w:cs="宋体"/>
          <w:color w:val="auto"/>
          <w:sz w:val="24"/>
          <w:highlight w:val="none"/>
          <w:lang w:bidi="ar"/>
        </w:rPr>
        <w:fldChar w:fldCharType="end"/>
      </w:r>
      <w:r>
        <w:rPr>
          <w:rFonts w:hint="eastAsia" w:ascii="宋体" w:hAnsi="宋体" w:eastAsia="宋体" w:cs="宋体"/>
          <w:color w:val="auto"/>
          <w:sz w:val="24"/>
          <w:highlight w:val="none"/>
          <w:lang w:bidi="ar"/>
        </w:rPr>
        <w:t>发生可能影响合作事项的网络安全重大事项，包括负责人及重要工作人员变更、业务转型、合并重组和投资并购等，投标人应提前向采购人报告。</w:t>
      </w:r>
    </w:p>
    <w:p>
      <w:pPr>
        <w:widowControl/>
        <w:adjustRightInd w:val="0"/>
        <w:spacing w:line="360" w:lineRule="auto"/>
        <w:ind w:firstLine="480" w:firstLineChars="200"/>
        <w:jc w:val="left"/>
        <w:outlineLvl w:val="1"/>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fldChar w:fldCharType="begin"/>
      </w:r>
      <w:r>
        <w:rPr>
          <w:rFonts w:hint="eastAsia" w:ascii="宋体" w:hAnsi="宋体" w:eastAsia="宋体" w:cs="宋体"/>
          <w:color w:val="auto"/>
          <w:sz w:val="24"/>
          <w:highlight w:val="none"/>
          <w:lang w:bidi="ar"/>
        </w:rPr>
        <w:instrText xml:space="preserve"> = 7 \* GB3 \* MERGEFORMAT </w:instrText>
      </w:r>
      <w:r>
        <w:rPr>
          <w:rFonts w:hint="eastAsia" w:ascii="宋体" w:hAnsi="宋体" w:eastAsia="宋体" w:cs="宋体"/>
          <w:color w:val="auto"/>
          <w:sz w:val="24"/>
          <w:highlight w:val="none"/>
          <w:lang w:bidi="ar"/>
        </w:rPr>
        <w:fldChar w:fldCharType="separate"/>
      </w:r>
      <w:r>
        <w:rPr>
          <w:rFonts w:hint="eastAsia" w:ascii="宋体" w:hAnsi="宋体" w:eastAsia="宋体" w:cs="宋体"/>
          <w:color w:val="auto"/>
          <w:sz w:val="24"/>
          <w:highlight w:val="none"/>
          <w:lang w:bidi="ar"/>
        </w:rPr>
        <w:t>⑦</w:t>
      </w:r>
      <w:r>
        <w:rPr>
          <w:rFonts w:hint="eastAsia" w:ascii="宋体" w:hAnsi="宋体" w:eastAsia="宋体" w:cs="宋体"/>
          <w:color w:val="auto"/>
          <w:sz w:val="24"/>
          <w:highlight w:val="none"/>
          <w:lang w:bidi="ar"/>
        </w:rPr>
        <w:fldChar w:fldCharType="end"/>
      </w:r>
      <w:r>
        <w:rPr>
          <w:rFonts w:hint="eastAsia" w:ascii="宋体" w:hAnsi="宋体" w:eastAsia="宋体" w:cs="宋体"/>
          <w:color w:val="auto"/>
          <w:sz w:val="24"/>
          <w:highlight w:val="none"/>
          <w:lang w:bidi="ar"/>
        </w:rPr>
        <w:t>采用社会公共网络平台实施合作事项时，严禁涉及国家秘密和警务工作秘密。</w:t>
      </w:r>
    </w:p>
    <w:p>
      <w:pPr>
        <w:widowControl/>
        <w:adjustRightInd w:val="0"/>
        <w:spacing w:line="360" w:lineRule="auto"/>
        <w:ind w:firstLine="480" w:firstLineChars="200"/>
        <w:jc w:val="left"/>
        <w:outlineLvl w:val="1"/>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fldChar w:fldCharType="begin"/>
      </w:r>
      <w:r>
        <w:rPr>
          <w:rFonts w:hint="eastAsia" w:ascii="宋体" w:hAnsi="宋体" w:eastAsia="宋体" w:cs="宋体"/>
          <w:color w:val="auto"/>
          <w:sz w:val="24"/>
          <w:highlight w:val="none"/>
          <w:lang w:bidi="ar"/>
        </w:rPr>
        <w:instrText xml:space="preserve"> = 8 \* GB3 \* MERGEFORMAT </w:instrText>
      </w:r>
      <w:r>
        <w:rPr>
          <w:rFonts w:hint="eastAsia" w:ascii="宋体" w:hAnsi="宋体" w:eastAsia="宋体" w:cs="宋体"/>
          <w:color w:val="auto"/>
          <w:sz w:val="24"/>
          <w:highlight w:val="none"/>
          <w:lang w:bidi="ar"/>
        </w:rPr>
        <w:fldChar w:fldCharType="separate"/>
      </w:r>
      <w:r>
        <w:rPr>
          <w:rFonts w:hint="eastAsia" w:ascii="宋体" w:hAnsi="宋体" w:eastAsia="宋体" w:cs="宋体"/>
          <w:color w:val="auto"/>
          <w:sz w:val="24"/>
          <w:highlight w:val="none"/>
          <w:lang w:bidi="ar"/>
        </w:rPr>
        <w:t>⑧</w:t>
      </w:r>
      <w:r>
        <w:rPr>
          <w:rFonts w:hint="eastAsia" w:ascii="宋体" w:hAnsi="宋体" w:eastAsia="宋体" w:cs="宋体"/>
          <w:color w:val="auto"/>
          <w:sz w:val="24"/>
          <w:highlight w:val="none"/>
          <w:lang w:bidi="ar"/>
        </w:rPr>
        <w:fldChar w:fldCharType="end"/>
      </w:r>
      <w:r>
        <w:rPr>
          <w:rFonts w:hint="eastAsia" w:ascii="宋体" w:hAnsi="宋体" w:eastAsia="宋体" w:cs="宋体"/>
          <w:color w:val="auto"/>
          <w:sz w:val="24"/>
          <w:highlight w:val="none"/>
          <w:lang w:bidi="ar"/>
        </w:rPr>
        <w:t>投标人应每年向采购人提交网络安全报告。</w:t>
      </w:r>
    </w:p>
    <w:p>
      <w:pPr>
        <w:adjustRightInd w:val="0"/>
        <w:spacing w:line="360" w:lineRule="auto"/>
        <w:ind w:firstLine="480" w:firstLineChars="200"/>
        <w:jc w:val="left"/>
        <w:outlineLvl w:val="1"/>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bidi="ar"/>
        </w:rPr>
        <w:t>⑨</w:t>
      </w:r>
      <w:r>
        <w:rPr>
          <w:rFonts w:hint="eastAsia" w:ascii="宋体" w:hAnsi="宋体" w:eastAsia="宋体" w:cs="宋体"/>
          <w:color w:val="auto"/>
          <w:sz w:val="24"/>
          <w:highlight w:val="none"/>
          <w:lang w:bidi="ar"/>
        </w:rPr>
        <w:t>其他应当落实的网络安全责任和义务</w:t>
      </w:r>
      <w:r>
        <w:rPr>
          <w:rFonts w:hint="eastAsia" w:ascii="宋体" w:hAnsi="宋体" w:eastAsia="宋体" w:cs="宋体"/>
          <w:color w:val="auto"/>
          <w:sz w:val="24"/>
          <w:highlight w:val="none"/>
        </w:rPr>
        <w:t>。</w:t>
      </w:r>
    </w:p>
    <w:p>
      <w:pPr>
        <w:widowControl/>
        <w:adjustRightInd w:val="0"/>
        <w:spacing w:line="360" w:lineRule="auto"/>
        <w:jc w:val="left"/>
        <w:outlineLvl w:val="1"/>
        <w:rPr>
          <w:rFonts w:hint="eastAsia" w:ascii="宋体" w:hAnsi="宋体" w:eastAsia="宋体" w:cs="宋体"/>
          <w:b/>
          <w:bCs/>
          <w:color w:val="auto"/>
          <w:sz w:val="24"/>
          <w:highlight w:val="none"/>
          <w:lang w:bidi="ar"/>
        </w:rPr>
      </w:pPr>
      <w:r>
        <w:rPr>
          <w:rFonts w:hint="eastAsia" w:ascii="宋体" w:hAnsi="宋体" w:eastAsia="宋体" w:cs="宋体"/>
          <w:b/>
          <w:bCs/>
          <w:color w:val="auto"/>
          <w:sz w:val="24"/>
          <w:highlight w:val="none"/>
          <w:lang w:bidi="ar"/>
        </w:rPr>
        <w:t>5、知识产权：</w:t>
      </w:r>
    </w:p>
    <w:p>
      <w:pPr>
        <w:autoSpaceDE w:val="0"/>
        <w:autoSpaceDN w:val="0"/>
        <w:spacing w:line="360"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投标人应保证用户在使用投标标的物或其任何一部分时不受任何第三方提出的侵犯其著作权、商标权、专利权等知识产权方面的起诉；如果任何第三方提出侵权指控，那么</w:t>
      </w:r>
      <w:r>
        <w:rPr>
          <w:rFonts w:hint="eastAsia" w:ascii="宋体" w:hAnsi="宋体" w:eastAsia="宋体" w:cs="宋体"/>
          <w:color w:val="auto"/>
          <w:sz w:val="24"/>
          <w:highlight w:val="none"/>
          <w:lang w:eastAsia="zh-Hans" w:bidi="ar"/>
        </w:rPr>
        <w:t>投标人</w:t>
      </w:r>
      <w:r>
        <w:rPr>
          <w:rFonts w:hint="eastAsia" w:ascii="宋体" w:hAnsi="宋体" w:eastAsia="宋体" w:cs="宋体"/>
          <w:color w:val="auto"/>
          <w:sz w:val="24"/>
          <w:highlight w:val="none"/>
          <w:lang w:bidi="ar"/>
        </w:rPr>
        <w:t>须与该第三方交涉并承担由此发生的一切责任、费用和赔偿；</w:t>
      </w:r>
      <w:r>
        <w:rPr>
          <w:rFonts w:hint="eastAsia" w:ascii="宋体" w:hAnsi="宋体" w:eastAsia="宋体" w:cs="宋体"/>
          <w:color w:val="auto"/>
          <w:sz w:val="24"/>
          <w:highlight w:val="none"/>
          <w:lang w:eastAsia="zh-Hans" w:bidi="ar"/>
        </w:rPr>
        <w:t>投标人</w:t>
      </w:r>
      <w:r>
        <w:rPr>
          <w:rFonts w:hint="eastAsia" w:ascii="宋体" w:hAnsi="宋体" w:eastAsia="宋体" w:cs="宋体"/>
          <w:color w:val="auto"/>
          <w:sz w:val="24"/>
          <w:highlight w:val="none"/>
          <w:lang w:bidi="ar"/>
        </w:rPr>
        <w:t>已获取的知识产权归承建方所有，若涉及定制化部分的知识产权均归属于用户。</w:t>
      </w:r>
    </w:p>
    <w:p>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（六）、商务要求</w:t>
      </w:r>
    </w:p>
    <w:p>
      <w:pPr>
        <w:spacing w:line="360" w:lineRule="auto"/>
        <w:ind w:firstLine="470" w:firstLineChars="196"/>
        <w:jc w:val="left"/>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rPr>
        <w:t>1.服务期限：</w:t>
      </w:r>
      <w:r>
        <w:rPr>
          <w:rFonts w:hint="eastAsia" w:ascii="宋体" w:hAnsi="宋体" w:eastAsia="宋体" w:cs="宋体"/>
          <w:color w:val="auto"/>
          <w:sz w:val="24"/>
          <w:highlight w:val="none"/>
          <w:u w:val="none"/>
        </w:rPr>
        <w:t>2024年6月1日至2025年5月31日。</w:t>
      </w:r>
    </w:p>
    <w:p>
      <w:pPr>
        <w:spacing w:line="360" w:lineRule="auto"/>
        <w:ind w:firstLine="470" w:firstLineChars="196"/>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2.实施地点：杭州市公安局。</w:t>
      </w:r>
    </w:p>
    <w:p>
      <w:pPr>
        <w:spacing w:line="360" w:lineRule="auto"/>
        <w:ind w:firstLine="470" w:firstLineChars="196"/>
        <w:jc w:val="left"/>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3.付款方式：项目采用分期付款方式，具体如下</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5262"/>
        <w:gridCol w:w="185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trHeight w:val="569" w:hRule="atLeast"/>
        </w:trPr>
        <w:tc>
          <w:tcPr>
            <w:tcW w:w="1171" w:type="dxa"/>
            <w:shd w:val="clear" w:color="auto" w:fill="auto"/>
            <w:vAlign w:val="center"/>
          </w:tcPr>
          <w:p>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262" w:type="dxa"/>
            <w:shd w:val="clear" w:color="auto" w:fill="auto"/>
            <w:vAlign w:val="center"/>
          </w:tcPr>
          <w:p>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付款比例（%）</w:t>
            </w:r>
          </w:p>
        </w:tc>
        <w:tc>
          <w:tcPr>
            <w:tcW w:w="1852" w:type="dxa"/>
            <w:shd w:val="clear" w:color="auto" w:fill="auto"/>
            <w:vAlign w:val="center"/>
          </w:tcPr>
          <w:p>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262" w:type="dxa"/>
            <w:shd w:val="clear" w:color="auto" w:fill="auto"/>
          </w:tcPr>
          <w:p>
            <w:pPr>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GB"/>
              </w:rPr>
              <w:t>第一期付款</w:t>
            </w:r>
            <w:r>
              <w:rPr>
                <w:rFonts w:hint="eastAsia" w:ascii="宋体" w:hAnsi="宋体" w:eastAsia="宋体" w:cs="宋体"/>
                <w:color w:val="auto"/>
                <w:sz w:val="24"/>
                <w:highlight w:val="none"/>
              </w:rPr>
              <w:t>:签订合同后5个工作日内</w:t>
            </w:r>
            <w:r>
              <w:rPr>
                <w:rFonts w:hint="eastAsia" w:ascii="宋体" w:hAnsi="宋体" w:eastAsia="宋体" w:cs="宋体"/>
                <w:color w:val="auto"/>
                <w:sz w:val="24"/>
                <w:highlight w:val="none"/>
                <w:lang w:eastAsia="zh-Hans"/>
              </w:rPr>
              <w:t>，</w:t>
            </w:r>
            <w:r>
              <w:rPr>
                <w:rFonts w:hint="eastAsia" w:ascii="宋体" w:hAnsi="宋体" w:eastAsia="宋体" w:cs="宋体"/>
                <w:color w:val="auto"/>
                <w:sz w:val="24"/>
                <w:highlight w:val="none"/>
              </w:rPr>
              <w:t>采购人向投标人支付合同总价40%。同时，收取合同总价1%的履约保证金。</w:t>
            </w:r>
          </w:p>
        </w:tc>
        <w:tc>
          <w:tcPr>
            <w:tcW w:w="1852" w:type="dxa"/>
            <w:shd w:val="clear" w:color="auto" w:fill="auto"/>
          </w:tcPr>
          <w:p>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5262" w:type="dxa"/>
            <w:shd w:val="clear" w:color="auto" w:fill="auto"/>
          </w:tcPr>
          <w:p>
            <w:pPr>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第二期付款：服务至2024年11月30日，</w:t>
            </w:r>
            <w:r>
              <w:rPr>
                <w:rFonts w:hint="eastAsia" w:ascii="宋体" w:hAnsi="宋体" w:eastAsia="宋体" w:cs="宋体"/>
                <w:color w:val="auto"/>
                <w:sz w:val="24"/>
                <w:highlight w:val="none"/>
                <w:lang w:val="zh-CN"/>
              </w:rPr>
              <w:t>经验收合格后</w:t>
            </w:r>
            <w:r>
              <w:rPr>
                <w:rFonts w:hint="eastAsia" w:ascii="宋体" w:hAnsi="宋体" w:eastAsia="宋体" w:cs="宋体"/>
                <w:color w:val="auto"/>
                <w:sz w:val="24"/>
                <w:highlight w:val="none"/>
              </w:rPr>
              <w:t>,凭双方签字盖章的验收意见、验收小组签字的验收报告、</w:t>
            </w:r>
            <w:r>
              <w:rPr>
                <w:rFonts w:hint="eastAsia" w:ascii="宋体" w:hAnsi="宋体" w:eastAsia="宋体" w:cs="宋体"/>
                <w:color w:val="auto"/>
                <w:sz w:val="24"/>
                <w:highlight w:val="none"/>
                <w:lang w:val="en-US" w:eastAsia="zh-CN"/>
              </w:rPr>
              <w:t>月度考核表、验收资料等材料</w:t>
            </w:r>
            <w:r>
              <w:rPr>
                <w:rFonts w:hint="eastAsia" w:ascii="宋体" w:hAnsi="宋体" w:eastAsia="宋体" w:cs="宋体"/>
                <w:color w:val="auto"/>
                <w:sz w:val="24"/>
                <w:highlight w:val="none"/>
              </w:rPr>
              <w:t>，经采购人对服务报告质量及数量审核无误后，</w:t>
            </w:r>
            <w:r>
              <w:rPr>
                <w:rFonts w:hint="eastAsia" w:ascii="宋体" w:hAnsi="宋体" w:eastAsia="宋体" w:cs="宋体"/>
                <w:color w:val="auto"/>
                <w:sz w:val="24"/>
                <w:highlight w:val="none"/>
                <w:lang w:val="zh-CN"/>
              </w:rPr>
              <w:t>根据合同单价</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实际</w:t>
            </w:r>
            <w:r>
              <w:rPr>
                <w:rFonts w:hint="eastAsia" w:ascii="宋体" w:hAnsi="宋体" w:eastAsia="宋体" w:cs="宋体"/>
                <w:color w:val="auto"/>
                <w:sz w:val="24"/>
                <w:highlight w:val="none"/>
                <w:lang w:val="zh-CN"/>
              </w:rPr>
              <w:t>维护内容</w:t>
            </w:r>
            <w:r>
              <w:rPr>
                <w:rFonts w:hint="eastAsia" w:ascii="宋体" w:hAnsi="宋体" w:cs="宋体"/>
                <w:color w:val="auto"/>
                <w:sz w:val="24"/>
                <w:highlight w:val="none"/>
                <w:lang w:val="en-US" w:eastAsia="zh-CN"/>
              </w:rPr>
              <w:t>及数量</w:t>
            </w:r>
            <w:r>
              <w:rPr>
                <w:rFonts w:hint="eastAsia" w:ascii="宋体" w:hAnsi="宋体" w:eastAsia="宋体" w:cs="宋体"/>
                <w:color w:val="auto"/>
                <w:sz w:val="24"/>
                <w:highlight w:val="none"/>
                <w:lang w:val="zh-CN"/>
              </w:rPr>
              <w:t>按实结算，最多支付至</w:t>
            </w:r>
            <w:r>
              <w:rPr>
                <w:rFonts w:hint="eastAsia" w:ascii="宋体" w:hAnsi="宋体" w:eastAsia="宋体" w:cs="宋体"/>
                <w:color w:val="auto"/>
                <w:sz w:val="24"/>
                <w:highlight w:val="none"/>
              </w:rPr>
              <w:t>250万元（含采购人已向投标人支付的第一期合同价款）；</w:t>
            </w:r>
          </w:p>
        </w:tc>
        <w:tc>
          <w:tcPr>
            <w:tcW w:w="1852" w:type="dxa"/>
            <w:shd w:val="clear" w:color="auto" w:fill="auto"/>
          </w:tcPr>
          <w:p>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5262" w:type="dxa"/>
            <w:shd w:val="clear" w:color="auto" w:fill="auto"/>
          </w:tcPr>
          <w:p>
            <w:pPr>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第三期付款：至服务期结束，经验收合格后，凭双方签字盖章的验收意见、验收小组签字的验收报告、</w:t>
            </w:r>
            <w:r>
              <w:rPr>
                <w:rFonts w:hint="eastAsia" w:ascii="宋体" w:hAnsi="宋体" w:eastAsia="宋体" w:cs="宋体"/>
                <w:color w:val="auto"/>
                <w:sz w:val="24"/>
                <w:highlight w:val="none"/>
                <w:lang w:val="en-US" w:eastAsia="zh-CN"/>
              </w:rPr>
              <w:t>月度考核表、公示截图、验收资料等材料</w:t>
            </w:r>
            <w:r>
              <w:rPr>
                <w:rFonts w:hint="eastAsia" w:ascii="宋体" w:hAnsi="宋体" w:eastAsia="宋体" w:cs="宋体"/>
                <w:color w:val="auto"/>
                <w:sz w:val="24"/>
                <w:highlight w:val="none"/>
              </w:rPr>
              <w:t>，经采购人对服务报告质量及数量审核无误后，根据</w:t>
            </w:r>
            <w:r>
              <w:rPr>
                <w:rFonts w:hint="eastAsia" w:ascii="宋体" w:hAnsi="宋体" w:eastAsia="宋体" w:cs="宋体"/>
                <w:color w:val="auto"/>
                <w:sz w:val="24"/>
                <w:highlight w:val="none"/>
                <w:lang w:val="zh-CN"/>
              </w:rPr>
              <w:t>合同单价</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实际</w:t>
            </w:r>
            <w:r>
              <w:rPr>
                <w:rFonts w:hint="eastAsia" w:ascii="宋体" w:hAnsi="宋体" w:eastAsia="宋体" w:cs="宋体"/>
                <w:color w:val="auto"/>
                <w:sz w:val="24"/>
                <w:highlight w:val="none"/>
                <w:lang w:val="zh-CN"/>
              </w:rPr>
              <w:t>维护内容</w:t>
            </w:r>
            <w:r>
              <w:rPr>
                <w:rFonts w:hint="eastAsia" w:ascii="宋体" w:hAnsi="宋体" w:cs="宋体"/>
                <w:color w:val="auto"/>
                <w:sz w:val="24"/>
                <w:highlight w:val="none"/>
                <w:lang w:val="en-US" w:eastAsia="zh-CN"/>
              </w:rPr>
              <w:t>及数量</w:t>
            </w:r>
            <w:r>
              <w:rPr>
                <w:rFonts w:hint="eastAsia" w:ascii="宋体" w:hAnsi="宋体" w:eastAsia="宋体" w:cs="宋体"/>
                <w:color w:val="auto"/>
                <w:sz w:val="24"/>
                <w:highlight w:val="none"/>
              </w:rPr>
              <w:t>按实结算剩余应付的合同款项，同时扣除投标人应向采购人支付的违约金。</w:t>
            </w:r>
          </w:p>
        </w:tc>
        <w:tc>
          <w:tcPr>
            <w:tcW w:w="1852" w:type="dxa"/>
            <w:shd w:val="clear" w:color="auto" w:fill="auto"/>
          </w:tcPr>
          <w:p>
            <w:pPr>
              <w:adjustRightIn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285" w:type="dxa"/>
            <w:gridSpan w:val="3"/>
            <w:shd w:val="clear" w:color="auto" w:fill="auto"/>
          </w:tcPr>
          <w:p>
            <w:pPr>
              <w:adjustRightInd w:val="0"/>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双方确认，采购人按前款结算并向投标人支付的款项总额不超过合同总价。</w:t>
            </w:r>
          </w:p>
          <w:p>
            <w:pPr>
              <w:adjustRightIn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前述采购人按合同单价</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实际</w:t>
            </w:r>
            <w:r>
              <w:rPr>
                <w:rFonts w:hint="eastAsia" w:ascii="宋体" w:hAnsi="宋体" w:eastAsia="宋体" w:cs="宋体"/>
                <w:color w:val="auto"/>
                <w:sz w:val="24"/>
                <w:highlight w:val="none"/>
                <w:lang w:val="zh-CN"/>
              </w:rPr>
              <w:t>维护内容</w:t>
            </w:r>
            <w:r>
              <w:rPr>
                <w:rFonts w:hint="eastAsia" w:ascii="宋体" w:hAnsi="宋体" w:cs="宋体"/>
                <w:color w:val="auto"/>
                <w:sz w:val="24"/>
                <w:highlight w:val="none"/>
                <w:lang w:val="en-US" w:eastAsia="zh-CN"/>
              </w:rPr>
              <w:t>及数量</w:t>
            </w:r>
            <w:r>
              <w:rPr>
                <w:rFonts w:hint="eastAsia" w:ascii="宋体" w:hAnsi="宋体" w:eastAsia="宋体" w:cs="宋体"/>
                <w:color w:val="auto"/>
                <w:sz w:val="24"/>
                <w:highlight w:val="none"/>
                <w:lang w:val="zh-CN"/>
              </w:rPr>
              <w:t>与投标人进行结算付款的方式不影响投标人承担其因未全面履行本项目义务而产生的相应违约金。</w:t>
            </w:r>
          </w:p>
        </w:tc>
      </w:tr>
    </w:tbl>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（七）采购项目的其他要求</w:t>
      </w:r>
    </w:p>
    <w:p>
      <w:pPr>
        <w:pStyle w:val="25"/>
        <w:spacing w:line="360" w:lineRule="auto"/>
        <w:ind w:firstLine="0"/>
        <w:rPr>
          <w:rFonts w:hint="eastAsia" w:ascii="宋体" w:hAnsi="宋体" w:eastAsia="宋体" w:cs="宋体"/>
          <w:b/>
          <w:bCs/>
          <w:color w:val="auto"/>
          <w:sz w:val="24"/>
          <w:highlight w:val="none"/>
          <w:u w:val="none"/>
          <w:lang w:val="en-US" w:eastAsia="zh-CN"/>
        </w:rPr>
      </w:pPr>
      <w:r>
        <w:rPr>
          <w:rFonts w:hint="eastAsia" w:ascii="宋体" w:hAnsi="宋体" w:eastAsia="宋体" w:cs="宋体"/>
          <w:b/>
          <w:bCs/>
          <w:color w:val="auto"/>
          <w:sz w:val="24"/>
          <w:highlight w:val="none"/>
          <w:u w:val="none"/>
        </w:rPr>
        <w:t>①</w:t>
      </w:r>
      <w:r>
        <w:rPr>
          <w:rFonts w:hint="eastAsia" w:ascii="宋体" w:hAnsi="宋体" w:eastAsia="宋体" w:cs="宋体"/>
          <w:b/>
          <w:bCs/>
          <w:color w:val="auto"/>
          <w:sz w:val="24"/>
          <w:highlight w:val="none"/>
          <w:u w:val="none"/>
          <w:lang w:val="en-US" w:eastAsia="zh-CN"/>
        </w:rPr>
        <w:t>验收：</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1、采购人</w:t>
      </w:r>
      <w:r>
        <w:rPr>
          <w:rFonts w:hint="eastAsia" w:ascii="宋体" w:hAnsi="宋体" w:eastAsia="宋体" w:cs="宋体"/>
          <w:sz w:val="24"/>
          <w:highlight w:val="none"/>
          <w:lang w:val="en-US" w:eastAsia="zh-CN"/>
        </w:rPr>
        <w:t>按</w:t>
      </w:r>
      <w:r>
        <w:rPr>
          <w:rFonts w:hint="eastAsia" w:ascii="宋体" w:hAnsi="宋体" w:eastAsia="宋体" w:cs="宋体"/>
          <w:sz w:val="24"/>
          <w:highlight w:val="none"/>
        </w:rPr>
        <w:t>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tabs>
          <w:tab w:val="left" w:pos="904"/>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2、严格按照采购合同开展履约验收。采购人委托第三方机构组织验收，成立验收小组（验收小组由5人组成：其中采购人1名，专家4名（由采购代理机构从浙江政府采购网政府采购云</w:t>
      </w:r>
      <w:r>
        <w:rPr>
          <w:rFonts w:hint="eastAsia" w:ascii="宋体" w:hAnsi="宋体" w:eastAsia="宋体" w:cs="宋体"/>
          <w:sz w:val="24"/>
          <w:highlight w:val="none"/>
          <w:lang w:eastAsia="zh-Hans"/>
        </w:rPr>
        <w:t>政企区</w:t>
      </w:r>
      <w:r>
        <w:rPr>
          <w:rFonts w:hint="eastAsia" w:ascii="宋体" w:hAnsi="宋体" w:eastAsia="宋体" w:cs="宋体"/>
          <w:sz w:val="24"/>
          <w:highlight w:val="none"/>
        </w:rPr>
        <w:t>平台专家库中</w:t>
      </w:r>
      <w:r>
        <w:rPr>
          <w:rFonts w:hint="eastAsia" w:ascii="宋体" w:hAnsi="宋体" w:cs="宋体"/>
          <w:sz w:val="24"/>
          <w:highlight w:val="none"/>
          <w:lang w:val="en-US" w:eastAsia="zh-CN"/>
        </w:rPr>
        <w:t>随机</w:t>
      </w:r>
      <w:r>
        <w:rPr>
          <w:rFonts w:hint="eastAsia" w:ascii="宋体" w:hAnsi="宋体" w:eastAsia="宋体" w:cs="宋体"/>
          <w:sz w:val="24"/>
          <w:highlight w:val="none"/>
        </w:rPr>
        <w:t>抽取）</w:t>
      </w:r>
      <w:r>
        <w:rPr>
          <w:rFonts w:hint="eastAsia" w:ascii="宋体" w:hAnsi="宋体" w:eastAsia="宋体" w:cs="宋体"/>
          <w:sz w:val="24"/>
          <w:highlight w:val="none"/>
          <w:lang w:eastAsia="zh-CN"/>
        </w:rPr>
        <w:t>，</w:t>
      </w:r>
      <w:r>
        <w:rPr>
          <w:rFonts w:hint="eastAsia" w:ascii="宋体" w:hAnsi="宋体" w:eastAsia="宋体" w:cs="宋体"/>
          <w:sz w:val="24"/>
          <w:highlight w:val="none"/>
        </w:rPr>
        <w:t>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tabs>
          <w:tab w:val="left" w:pos="904"/>
        </w:tabs>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本项目为信息化运维项目，根据《杭州市公安局信息化项目管理办法》第27条规定,信息化运维项目服务期满后,项目单位应向市公安局科信局提交《信息化运维项目验收表》及验收所需相应材料,由市公安局科信局按照杭州市政府采购履约验收相关管理办法的程序,结合市局相关内控制度组织开展验收。</w:t>
      </w:r>
    </w:p>
    <w:p>
      <w:pPr>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360" w:lineRule="auto"/>
        <w:ind w:firstLine="480" w:firstLineChars="200"/>
        <w:jc w:val="left"/>
        <w:outlineLvl w:val="1"/>
        <w:rPr>
          <w:rFonts w:hint="eastAsia" w:ascii="宋体" w:hAnsi="宋体" w:eastAsia="宋体" w:cs="宋体"/>
          <w:sz w:val="24"/>
          <w:highlight w:val="none"/>
        </w:rPr>
      </w:pPr>
      <w:r>
        <w:rPr>
          <w:rFonts w:hint="eastAsia" w:ascii="宋体" w:hAnsi="宋体" w:eastAsia="宋体" w:cs="宋体"/>
          <w:sz w:val="24"/>
          <w:highlight w:val="none"/>
        </w:rPr>
        <w:t>5、验收产生的费用首次验收费用由采购人承担，如首次验收不合格，后续验收费用由投标人支付。</w:t>
      </w:r>
    </w:p>
    <w:p>
      <w:pPr>
        <w:tabs>
          <w:tab w:val="left" w:pos="904"/>
        </w:tabs>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6、验收内容及资料要求：</w:t>
      </w:r>
    </w:p>
    <w:p>
      <w:pPr>
        <w:tabs>
          <w:tab w:val="left" w:pos="904"/>
        </w:tabs>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6.1验收内容</w:t>
      </w:r>
    </w:p>
    <w:tbl>
      <w:tblPr>
        <w:tblStyle w:val="6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18"/>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ign w:val="center"/>
          </w:tcPr>
          <w:p>
            <w:pPr>
              <w:widowControl/>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序号</w:t>
            </w:r>
          </w:p>
        </w:tc>
        <w:tc>
          <w:tcPr>
            <w:tcW w:w="1418" w:type="dxa"/>
            <w:noWrap/>
            <w:vAlign w:val="center"/>
          </w:tcPr>
          <w:p>
            <w:pPr>
              <w:widowControl/>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验收内容</w:t>
            </w:r>
          </w:p>
        </w:tc>
        <w:tc>
          <w:tcPr>
            <w:tcW w:w="6426" w:type="dxa"/>
            <w:vAlign w:val="center"/>
          </w:tcPr>
          <w:p>
            <w:pPr>
              <w:widowControl/>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73" w:type="dxa"/>
            <w:noWrap/>
            <w:vAlign w:val="center"/>
          </w:tcPr>
          <w:p>
            <w:pPr>
              <w:widowControl/>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1</w:t>
            </w:r>
          </w:p>
        </w:tc>
        <w:tc>
          <w:tcPr>
            <w:tcW w:w="1418" w:type="dxa"/>
            <w:noWrap/>
            <w:vAlign w:val="center"/>
          </w:tcPr>
          <w:p>
            <w:pPr>
              <w:widowControl/>
              <w:jc w:val="center"/>
              <w:rPr>
                <w:rFonts w:hint="eastAsia" w:ascii="宋体" w:hAnsi="宋体" w:eastAsia="宋体" w:cs="宋体"/>
                <w:bCs/>
                <w:color w:val="000000"/>
                <w:kern w:val="0"/>
                <w:sz w:val="24"/>
                <w:highlight w:val="none"/>
              </w:rPr>
            </w:pPr>
            <w:r>
              <w:rPr>
                <w:rFonts w:hint="eastAsia" w:ascii="宋体" w:hAnsi="宋体" w:eastAsia="宋体" w:cs="宋体"/>
                <w:bCs/>
                <w:kern w:val="0"/>
                <w:sz w:val="24"/>
                <w:highlight w:val="none"/>
              </w:rPr>
              <w:t>响应程度</w:t>
            </w:r>
          </w:p>
        </w:tc>
        <w:tc>
          <w:tcPr>
            <w:tcW w:w="6426" w:type="dxa"/>
            <w:vAlign w:val="center"/>
          </w:tcPr>
          <w:p>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themeColor="text1"/>
                <w:kern w:val="0"/>
                <w:sz w:val="24"/>
                <w:highlight w:val="none"/>
                <w14:textFill>
                  <w14:solidFill>
                    <w14:schemeClr w14:val="tx1"/>
                  </w14:solidFill>
                </w14:textFill>
              </w:rPr>
              <w:t>“等保测评服务”、“数据库审计服务”、“政务网云日志审计服务”、“政务网态势感知服务”、“SaaS化安全服务”、“公安网安全风险感知服务”、“公安网桌面云服务”、“公安网一机两用服务”、“视频网终端杀毒服务”、“系统安全检测”、“网络安全检查”、“</w:t>
            </w:r>
            <w:r>
              <w:rPr>
                <w:rFonts w:hint="eastAsia" w:ascii="宋体" w:hAnsi="宋体" w:eastAsia="宋体" w:cs="宋体"/>
                <w:color w:val="000000"/>
                <w:sz w:val="24"/>
                <w:highlight w:val="none"/>
                <w:lang w:eastAsia="zh-Hans"/>
              </w:rPr>
              <w:t>重保</w:t>
            </w:r>
            <w:r>
              <w:rPr>
                <w:rFonts w:hint="eastAsia" w:ascii="宋体" w:hAnsi="宋体" w:eastAsia="宋体" w:cs="宋体"/>
                <w:color w:val="000000" w:themeColor="text1"/>
                <w:kern w:val="0"/>
                <w:sz w:val="24"/>
                <w:highlight w:val="none"/>
                <w14:textFill>
                  <w14:solidFill>
                    <w14:schemeClr w14:val="tx1"/>
                  </w14:solidFill>
                </w14:textFill>
              </w:rPr>
              <w:t>”、“应急响应”、“边界通道租赁服务”十四部分维护内容的</w:t>
            </w:r>
            <w:r>
              <w:rPr>
                <w:rFonts w:hint="eastAsia" w:ascii="宋体" w:hAnsi="宋体" w:eastAsia="宋体" w:cs="宋体"/>
                <w:color w:val="000000" w:themeColor="text1"/>
                <w:sz w:val="24"/>
                <w:highlight w:val="none"/>
                <w14:textFill>
                  <w14:solidFill>
                    <w14:schemeClr w14:val="tx1"/>
                  </w14:solidFill>
                </w14:textFill>
              </w:rPr>
              <w:t>具体合同与招标文件要求</w:t>
            </w:r>
            <w:r>
              <w:rPr>
                <w:rFonts w:hint="eastAsia" w:ascii="宋体" w:hAnsi="宋体" w:eastAsia="宋体" w:cs="宋体"/>
                <w:color w:val="000000" w:themeColor="text1"/>
                <w:kern w:val="0"/>
                <w:sz w:val="24"/>
                <w:highlight w:val="none"/>
                <w14:textFill>
                  <w14:solidFill>
                    <w14:schemeClr w14:val="tx1"/>
                  </w14:solidFill>
                </w14:textFill>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3" w:type="dxa"/>
            <w:vAlign w:val="center"/>
          </w:tcPr>
          <w:p>
            <w:pPr>
              <w:widowControl/>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2</w:t>
            </w:r>
          </w:p>
        </w:tc>
        <w:tc>
          <w:tcPr>
            <w:tcW w:w="1418" w:type="dxa"/>
            <w:vAlign w:val="center"/>
          </w:tcPr>
          <w:p>
            <w:pPr>
              <w:widowControl/>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人员情况</w:t>
            </w:r>
          </w:p>
        </w:tc>
        <w:tc>
          <w:tcPr>
            <w:tcW w:w="6426" w:type="dxa"/>
            <w:vAlign w:val="center"/>
          </w:tcPr>
          <w:p>
            <w:pPr>
              <w:widowControl/>
              <w:jc w:val="left"/>
              <w:rPr>
                <w:rFonts w:hint="eastAsia" w:ascii="宋体" w:hAnsi="宋体" w:eastAsia="宋体" w:cs="宋体"/>
                <w:color w:val="000000"/>
                <w:kern w:val="0"/>
                <w:sz w:val="24"/>
                <w:highlight w:val="none"/>
              </w:rPr>
            </w:pPr>
            <w:r>
              <w:rPr>
                <w:rFonts w:hint="eastAsia" w:ascii="宋体" w:hAnsi="宋体" w:eastAsia="宋体" w:cs="宋体"/>
                <w:kern w:val="0"/>
                <w:sz w:val="24"/>
                <w:highlight w:val="none"/>
              </w:rPr>
              <w:t>技术人员的</w:t>
            </w:r>
            <w:r>
              <w:rPr>
                <w:rFonts w:hint="eastAsia" w:ascii="宋体" w:hAnsi="宋体" w:eastAsia="宋体" w:cs="宋体"/>
                <w:kern w:val="0"/>
                <w:sz w:val="24"/>
                <w:highlight w:val="none"/>
                <w:lang w:val="en-US" w:eastAsia="zh-CN"/>
              </w:rPr>
              <w:t>数量、</w:t>
            </w:r>
            <w:r>
              <w:rPr>
                <w:rFonts w:hint="eastAsia" w:ascii="宋体" w:hAnsi="宋体" w:eastAsia="宋体" w:cs="宋体"/>
                <w:kern w:val="0"/>
                <w:sz w:val="24"/>
                <w:highlight w:val="none"/>
              </w:rPr>
              <w:t>技术水平专业达到采购要求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73" w:type="dxa"/>
            <w:vAlign w:val="center"/>
          </w:tcPr>
          <w:p>
            <w:pPr>
              <w:widowControl/>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3</w:t>
            </w:r>
          </w:p>
        </w:tc>
        <w:tc>
          <w:tcPr>
            <w:tcW w:w="1418" w:type="dxa"/>
            <w:vAlign w:val="center"/>
          </w:tcPr>
          <w:p>
            <w:pPr>
              <w:widowControl/>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响应时间情况</w:t>
            </w:r>
          </w:p>
        </w:tc>
        <w:tc>
          <w:tcPr>
            <w:tcW w:w="6426" w:type="dxa"/>
            <w:vAlign w:val="center"/>
          </w:tcPr>
          <w:p>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故障响应时间按照要求实施响应。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3" w:type="dxa"/>
            <w:vAlign w:val="center"/>
          </w:tcPr>
          <w:p>
            <w:pPr>
              <w:widowControl/>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4</w:t>
            </w:r>
          </w:p>
        </w:tc>
        <w:tc>
          <w:tcPr>
            <w:tcW w:w="1418" w:type="dxa"/>
            <w:vAlign w:val="center"/>
          </w:tcPr>
          <w:p>
            <w:pPr>
              <w:widowControl/>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运维资料</w:t>
            </w:r>
          </w:p>
          <w:p>
            <w:pPr>
              <w:widowControl/>
              <w:jc w:val="center"/>
              <w:rPr>
                <w:rFonts w:hint="eastAsia" w:ascii="宋体" w:hAnsi="宋体" w:eastAsia="宋体" w:cs="宋体"/>
                <w:bCs/>
                <w:color w:val="000000"/>
                <w:kern w:val="0"/>
                <w:sz w:val="24"/>
                <w:highlight w:val="none"/>
              </w:rPr>
            </w:pPr>
            <w:r>
              <w:rPr>
                <w:rFonts w:hint="eastAsia" w:ascii="宋体" w:hAnsi="宋体" w:eastAsia="宋体" w:cs="宋体"/>
                <w:kern w:val="0"/>
                <w:sz w:val="24"/>
                <w:highlight w:val="none"/>
              </w:rPr>
              <w:t>报告提供情况</w:t>
            </w:r>
          </w:p>
        </w:tc>
        <w:tc>
          <w:tcPr>
            <w:tcW w:w="6426" w:type="dxa"/>
            <w:vAlign w:val="center"/>
          </w:tcPr>
          <w:p>
            <w:pPr>
              <w:pStyle w:val="7"/>
              <w:spacing w:line="360" w:lineRule="auto"/>
              <w:ind w:firstLine="0"/>
              <w:rPr>
                <w:rFonts w:hint="eastAsia" w:ascii="宋体" w:hAnsi="宋体" w:eastAsia="宋体" w:cs="宋体"/>
                <w:sz w:val="24"/>
                <w:szCs w:val="24"/>
                <w:highlight w:val="none"/>
              </w:rPr>
            </w:pPr>
            <w:r>
              <w:rPr>
                <w:rFonts w:hint="eastAsia" w:ascii="宋体" w:hAnsi="宋体" w:eastAsia="宋体" w:cs="宋体"/>
                <w:sz w:val="24"/>
                <w:szCs w:val="24"/>
                <w:highlight w:val="none"/>
                <w:lang w:eastAsia="zh-Hans"/>
              </w:rPr>
              <w:t>整体测评实施方案、</w:t>
            </w:r>
            <w:r>
              <w:rPr>
                <w:rFonts w:hint="eastAsia" w:ascii="宋体" w:hAnsi="宋体" w:eastAsia="宋体" w:cs="宋体"/>
                <w:sz w:val="24"/>
                <w:szCs w:val="24"/>
                <w:highlight w:val="none"/>
              </w:rPr>
              <w:t>等级保护测评报告、等级保护整改建议书、数据库审计运维总结报告、</w:t>
            </w:r>
            <w:r>
              <w:rPr>
                <w:rFonts w:hint="eastAsia" w:ascii="宋体" w:hAnsi="宋体" w:eastAsia="宋体" w:cs="宋体"/>
                <w:sz w:val="24"/>
                <w:szCs w:val="24"/>
                <w:highlight w:val="none"/>
                <w:lang w:eastAsia="zh-Hans"/>
              </w:rPr>
              <w:t>网络安全巡检服务报告、</w:t>
            </w:r>
            <w:r>
              <w:rPr>
                <w:rFonts w:hint="eastAsia" w:ascii="宋体" w:hAnsi="宋体" w:eastAsia="宋体" w:cs="宋体"/>
                <w:sz w:val="24"/>
                <w:szCs w:val="24"/>
                <w:highlight w:val="none"/>
              </w:rPr>
              <w:t>日志审计运维总结报告、政务网</w:t>
            </w:r>
            <w:r>
              <w:rPr>
                <w:rFonts w:hint="eastAsia" w:ascii="宋体" w:hAnsi="宋体" w:eastAsia="宋体" w:cs="宋体"/>
                <w:color w:val="000000" w:themeColor="text1"/>
                <w:sz w:val="24"/>
                <w:szCs w:val="24"/>
                <w:highlight w:val="none"/>
                <w14:textFill>
                  <w14:solidFill>
                    <w14:schemeClr w14:val="tx1"/>
                  </w14:solidFill>
                </w14:textFill>
              </w:rPr>
              <w:t>安全分析报告、</w:t>
            </w:r>
            <w:r>
              <w:rPr>
                <w:rFonts w:hint="eastAsia" w:ascii="宋体" w:hAnsi="宋体" w:eastAsia="宋体" w:cs="宋体"/>
                <w:color w:val="000000"/>
                <w:sz w:val="24"/>
                <w:szCs w:val="24"/>
                <w:highlight w:val="none"/>
              </w:rPr>
              <w:t>政务网业务系统安全分析报</w:t>
            </w:r>
            <w:r>
              <w:rPr>
                <w:rFonts w:hint="eastAsia" w:ascii="宋体" w:hAnsi="宋体" w:eastAsia="宋体" w:cs="宋体"/>
                <w:color w:val="000000" w:themeColor="text1"/>
                <w:sz w:val="24"/>
                <w:szCs w:val="24"/>
                <w:highlight w:val="none"/>
                <w14:textFill>
                  <w14:solidFill>
                    <w14:schemeClr w14:val="tx1"/>
                  </w14:solidFill>
                </w14:textFill>
              </w:rPr>
              <w:t>告、</w:t>
            </w:r>
            <w:r>
              <w:rPr>
                <w:rFonts w:hint="eastAsia" w:hAnsi="宋体" w:cs="宋体"/>
                <w:color w:val="000000" w:themeColor="text1"/>
                <w:sz w:val="24"/>
                <w:szCs w:val="24"/>
                <w:highlight w:val="none"/>
                <w14:textFill>
                  <w14:solidFill>
                    <w14:schemeClr w14:val="tx1"/>
                  </w14:solidFill>
                </w14:textFill>
              </w:rPr>
              <w:t>网站安全云监测服务报告</w:t>
            </w:r>
            <w:r>
              <w:rPr>
                <w:rFonts w:hint="eastAsia"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rPr>
              <w:t>公安网安全风险感知服务分析报告、桌面云月度服务报告、</w:t>
            </w:r>
            <w:r>
              <w:rPr>
                <w:rFonts w:hint="eastAsia" w:ascii="宋体" w:hAnsi="宋体" w:eastAsia="宋体" w:cs="宋体"/>
                <w:sz w:val="24"/>
                <w:szCs w:val="24"/>
                <w:highlight w:val="none"/>
                <w:lang w:eastAsia="zh-Hans"/>
              </w:rPr>
              <w:t>一机两用巡检服务报告、一机两用年度维保总结报告</w:t>
            </w:r>
            <w:r>
              <w:rPr>
                <w:rFonts w:hint="eastAsia" w:ascii="宋体" w:hAnsi="宋体" w:eastAsia="宋体" w:cs="宋体"/>
                <w:sz w:val="24"/>
                <w:szCs w:val="24"/>
                <w:highlight w:val="none"/>
              </w:rPr>
              <w:t>、</w:t>
            </w:r>
            <w:r>
              <w:rPr>
                <w:rFonts w:hint="eastAsia" w:hAnsi="宋体" w:cs="宋体"/>
                <w:sz w:val="24"/>
                <w:szCs w:val="24"/>
                <w:highlight w:val="none"/>
              </w:rPr>
              <w:t>考核技术支持服务报告</w:t>
            </w:r>
            <w:r>
              <w:rPr>
                <w:rFonts w:hint="eastAsia" w:hAnsi="宋体" w:cs="宋体"/>
                <w:sz w:val="24"/>
                <w:szCs w:val="24"/>
                <w:highlight w:val="none"/>
                <w:lang w:eastAsia="zh-CN"/>
              </w:rPr>
              <w:t>、</w:t>
            </w:r>
            <w:r>
              <w:rPr>
                <w:rFonts w:hint="eastAsia" w:ascii="宋体" w:hAnsi="宋体" w:eastAsia="宋体" w:cs="宋体"/>
                <w:sz w:val="24"/>
                <w:szCs w:val="24"/>
                <w:highlight w:val="none"/>
              </w:rPr>
              <w:t>终端杀毒服务月度报告、系统安全</w:t>
            </w:r>
            <w:r>
              <w:rPr>
                <w:rFonts w:hint="eastAsia" w:ascii="宋体" w:hAnsi="宋体" w:eastAsia="宋体" w:cs="宋体"/>
                <w:sz w:val="24"/>
                <w:szCs w:val="24"/>
                <w:highlight w:val="none"/>
                <w:lang w:eastAsia="zh-Hans"/>
              </w:rPr>
              <w:t>检测总结</w:t>
            </w:r>
            <w:r>
              <w:rPr>
                <w:rFonts w:hint="eastAsia" w:ascii="宋体" w:hAnsi="宋体" w:eastAsia="宋体" w:cs="宋体"/>
                <w:sz w:val="24"/>
                <w:szCs w:val="24"/>
                <w:highlight w:val="none"/>
              </w:rPr>
              <w:t>报告、网络安全检查总结报告</w:t>
            </w:r>
            <w:r>
              <w:rPr>
                <w:rFonts w:hint="eastAsia" w:ascii="宋体" w:hAnsi="宋体" w:eastAsia="宋体" w:cs="宋体"/>
                <w:sz w:val="24"/>
                <w:szCs w:val="24"/>
                <w:highlight w:val="none"/>
                <w:lang w:eastAsia="zh-Hans"/>
              </w:rPr>
              <w:t>（如有）</w:t>
            </w:r>
            <w:r>
              <w:rPr>
                <w:rFonts w:hint="eastAsia" w:ascii="宋体" w:hAnsi="宋体" w:eastAsia="宋体" w:cs="宋体"/>
                <w:sz w:val="24"/>
                <w:szCs w:val="24"/>
                <w:highlight w:val="none"/>
              </w:rPr>
              <w:t>、重大活动安全保障总结报告、应急响应报告、边界通道服务总结报告等资料。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3"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5</w:t>
            </w:r>
          </w:p>
        </w:tc>
        <w:tc>
          <w:tcPr>
            <w:tcW w:w="1418" w:type="dxa"/>
            <w:vAlign w:val="center"/>
          </w:tcPr>
          <w:p>
            <w:pPr>
              <w:widowControl/>
              <w:spacing w:line="360" w:lineRule="auto"/>
              <w:jc w:val="left"/>
              <w:outlineLvl w:val="3"/>
              <w:rPr>
                <w:rFonts w:hint="eastAsia" w:ascii="宋体" w:hAnsi="宋体" w:eastAsia="宋体" w:cs="宋体"/>
                <w:bCs/>
                <w:sz w:val="24"/>
                <w:highlight w:val="none"/>
              </w:rPr>
            </w:pPr>
            <w:r>
              <w:rPr>
                <w:rFonts w:hint="eastAsia" w:ascii="宋体" w:hAnsi="宋体" w:eastAsia="宋体" w:cs="宋体"/>
                <w:bCs/>
                <w:sz w:val="24"/>
                <w:highlight w:val="none"/>
              </w:rPr>
              <w:t>保密管理</w:t>
            </w:r>
          </w:p>
        </w:tc>
        <w:tc>
          <w:tcPr>
            <w:tcW w:w="6426" w:type="dxa"/>
            <w:vAlign w:val="center"/>
          </w:tcPr>
          <w:p>
            <w:pPr>
              <w:widowControl/>
              <w:spacing w:line="360" w:lineRule="auto"/>
              <w:jc w:val="left"/>
              <w:outlineLvl w:val="3"/>
              <w:rPr>
                <w:rFonts w:hint="eastAsia" w:ascii="宋体" w:hAnsi="宋体" w:eastAsia="宋体" w:cs="宋体"/>
                <w:bCs/>
                <w:sz w:val="24"/>
                <w:highlight w:val="none"/>
              </w:rPr>
            </w:pPr>
            <w:r>
              <w:rPr>
                <w:rFonts w:hint="eastAsia" w:ascii="宋体" w:hAnsi="宋体" w:eastAsia="宋体" w:cs="宋体"/>
                <w:bCs/>
                <w:sz w:val="24"/>
                <w:highlight w:val="none"/>
              </w:rPr>
              <w:t>投标人签订保密协议，</w:t>
            </w:r>
            <w:r>
              <w:rPr>
                <w:rFonts w:hint="eastAsia" w:ascii="宋体" w:hAnsi="宋体" w:eastAsia="宋体" w:cs="宋体"/>
                <w:bCs/>
                <w:sz w:val="24"/>
                <w:highlight w:val="none"/>
                <w:lang w:val="zh-CN"/>
              </w:rPr>
              <w:t>遵守具体安全管理内容，履行安全保密义务和责任</w:t>
            </w:r>
            <w:r>
              <w:rPr>
                <w:rFonts w:hint="eastAsia" w:ascii="宋体" w:hAnsi="宋体" w:eastAsia="宋体" w:cs="宋体"/>
                <w:bCs/>
                <w:sz w:val="24"/>
                <w:highlight w:val="none"/>
              </w:rPr>
              <w:t>，未发生重大数据丢失和泄漏问题。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3" w:type="dxa"/>
            <w:noWrap/>
            <w:vAlign w:val="center"/>
          </w:tcPr>
          <w:p>
            <w:pPr>
              <w:widowControl/>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6</w:t>
            </w:r>
          </w:p>
        </w:tc>
        <w:tc>
          <w:tcPr>
            <w:tcW w:w="1418" w:type="dxa"/>
            <w:vAlign w:val="center"/>
          </w:tcPr>
          <w:p>
            <w:pPr>
              <w:widowControl/>
              <w:spacing w:line="360" w:lineRule="auto"/>
              <w:jc w:val="left"/>
              <w:outlineLvl w:val="3"/>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网络安全责任和义务</w:t>
            </w:r>
          </w:p>
        </w:tc>
        <w:tc>
          <w:tcPr>
            <w:tcW w:w="6426" w:type="dxa"/>
            <w:vAlign w:val="center"/>
          </w:tcPr>
          <w:p>
            <w:pPr>
              <w:widowControl/>
              <w:spacing w:line="360" w:lineRule="auto"/>
              <w:jc w:val="left"/>
              <w:outlineLvl w:val="3"/>
              <w:rPr>
                <w:rFonts w:hint="eastAsia" w:ascii="宋体" w:hAnsi="宋体" w:eastAsia="宋体" w:cs="宋体"/>
                <w:bCs/>
                <w:sz w:val="24"/>
                <w:highlight w:val="none"/>
                <w:lang w:val="en-US"/>
              </w:rPr>
            </w:pPr>
            <w:r>
              <w:rPr>
                <w:rFonts w:hint="eastAsia" w:ascii="宋体" w:hAnsi="宋体" w:eastAsia="宋体" w:cs="宋体"/>
                <w:bCs/>
                <w:sz w:val="24"/>
                <w:highlight w:val="none"/>
                <w:lang w:val="en-US" w:eastAsia="zh-CN"/>
              </w:rPr>
              <w:t>网络安全责任和义务达到合同要求。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3" w:type="dxa"/>
            <w:noWrap/>
            <w:vAlign w:val="center"/>
          </w:tcPr>
          <w:p>
            <w:pPr>
              <w:widowControl/>
              <w:jc w:val="center"/>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7</w:t>
            </w:r>
          </w:p>
        </w:tc>
        <w:tc>
          <w:tcPr>
            <w:tcW w:w="1418" w:type="dxa"/>
            <w:vAlign w:val="center"/>
          </w:tcPr>
          <w:p>
            <w:pPr>
              <w:widowControl/>
              <w:spacing w:line="360" w:lineRule="auto"/>
              <w:jc w:val="left"/>
              <w:outlineLvl w:val="3"/>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中小、小微企业预留份额</w:t>
            </w:r>
          </w:p>
        </w:tc>
        <w:tc>
          <w:tcPr>
            <w:tcW w:w="6426" w:type="dxa"/>
            <w:vAlign w:val="center"/>
          </w:tcPr>
          <w:p>
            <w:pPr>
              <w:widowControl/>
              <w:spacing w:line="360" w:lineRule="auto"/>
              <w:jc w:val="left"/>
              <w:outlineLvl w:val="3"/>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中小、小微企业预留份额达到合同要求。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3" w:type="dxa"/>
            <w:noWrap/>
            <w:vAlign w:val="center"/>
          </w:tcPr>
          <w:p>
            <w:pPr>
              <w:widowControl/>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8</w:t>
            </w:r>
          </w:p>
        </w:tc>
        <w:tc>
          <w:tcPr>
            <w:tcW w:w="1418" w:type="dxa"/>
            <w:vAlign w:val="center"/>
          </w:tcPr>
          <w:p>
            <w:pPr>
              <w:widowControl/>
              <w:jc w:val="center"/>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其他工作</w:t>
            </w:r>
          </w:p>
        </w:tc>
        <w:tc>
          <w:tcPr>
            <w:tcW w:w="6426" w:type="dxa"/>
            <w:vAlign w:val="center"/>
          </w:tcPr>
          <w:p>
            <w:pPr>
              <w:widowControl/>
              <w:jc w:val="left"/>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履行项目采购文件、投标文件、合同条款中涉及的其他承诺的情况。 </w:t>
            </w:r>
          </w:p>
        </w:tc>
      </w:tr>
    </w:tbl>
    <w:p>
      <w:pPr>
        <w:pStyle w:val="86"/>
        <w:spacing w:line="360" w:lineRule="auto"/>
        <w:ind w:firstLine="0"/>
        <w:rPr>
          <w:rFonts w:hint="eastAsia" w:ascii="宋体" w:hAnsi="宋体" w:eastAsia="宋体" w:cs="宋体"/>
          <w:sz w:val="24"/>
          <w:szCs w:val="24"/>
          <w:highlight w:val="none"/>
        </w:rPr>
      </w:pPr>
    </w:p>
    <w:p>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6.2验收资料清单如下：</w:t>
      </w:r>
    </w:p>
    <w:p>
      <w:pPr>
        <w:tabs>
          <w:tab w:val="left" w:pos="904"/>
        </w:tabs>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验收资料要求包括（不限于）以下内容：</w:t>
      </w:r>
    </w:p>
    <w:p>
      <w:pPr>
        <w:pStyle w:val="7"/>
        <w:numPr>
          <w:ilvl w:val="0"/>
          <w:numId w:val="2"/>
        </w:numPr>
        <w:snapToGrid w:val="0"/>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采购文件</w:t>
      </w:r>
    </w:p>
    <w:p>
      <w:pPr>
        <w:pStyle w:val="7"/>
        <w:numPr>
          <w:ilvl w:val="0"/>
          <w:numId w:val="2"/>
        </w:numPr>
        <w:snapToGrid w:val="0"/>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w:t>
      </w:r>
    </w:p>
    <w:p>
      <w:pPr>
        <w:pStyle w:val="7"/>
        <w:numPr>
          <w:ilvl w:val="0"/>
          <w:numId w:val="2"/>
        </w:numPr>
        <w:snapToGrid w:val="0"/>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采购合同</w:t>
      </w:r>
    </w:p>
    <w:p>
      <w:pPr>
        <w:pStyle w:val="7"/>
        <w:numPr>
          <w:ilvl w:val="0"/>
          <w:numId w:val="2"/>
        </w:numPr>
        <w:snapToGrid w:val="0"/>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考核表：（考核表由采购人经办人、审核人、投标人经办人签字盖章确认）。</w:t>
      </w:r>
    </w:p>
    <w:p>
      <w:pPr>
        <w:pStyle w:val="7"/>
        <w:numPr>
          <w:ilvl w:val="0"/>
          <w:numId w:val="2"/>
        </w:numPr>
        <w:snapToGrid w:val="0"/>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人员清单及其他材料：</w:t>
      </w:r>
      <w:r>
        <w:rPr>
          <w:rFonts w:hint="eastAsia" w:ascii="宋体" w:hAnsi="宋体" w:eastAsia="宋体" w:cs="宋体"/>
          <w:sz w:val="24"/>
          <w:szCs w:val="24"/>
          <w:highlight w:val="none"/>
          <w:lang w:eastAsia="zh-Hans"/>
        </w:rPr>
        <w:t>驻点</w:t>
      </w:r>
      <w:r>
        <w:rPr>
          <w:rFonts w:hint="eastAsia" w:ascii="宋体" w:hAnsi="宋体" w:eastAsia="宋体" w:cs="宋体"/>
          <w:sz w:val="24"/>
          <w:szCs w:val="24"/>
          <w:highlight w:val="none"/>
        </w:rPr>
        <w:t>人员</w:t>
      </w:r>
      <w:r>
        <w:rPr>
          <w:rFonts w:hint="eastAsia" w:hAnsi="宋体" w:cs="宋体"/>
          <w:sz w:val="24"/>
          <w:szCs w:val="24"/>
          <w:highlight w:val="none"/>
          <w:lang w:val="en-US" w:eastAsia="zh-CN"/>
        </w:rPr>
        <w:t>及团队人员</w:t>
      </w:r>
      <w:r>
        <w:rPr>
          <w:rFonts w:hint="eastAsia" w:ascii="宋体" w:hAnsi="宋体" w:eastAsia="宋体" w:cs="宋体"/>
          <w:sz w:val="24"/>
          <w:szCs w:val="24"/>
          <w:highlight w:val="none"/>
        </w:rPr>
        <w:t>明细清单、</w:t>
      </w:r>
      <w:r>
        <w:rPr>
          <w:rFonts w:hint="eastAsia" w:ascii="宋体" w:hAnsi="宋体" w:eastAsia="宋体" w:cs="宋体"/>
          <w:sz w:val="24"/>
          <w:szCs w:val="24"/>
          <w:highlight w:val="none"/>
          <w:lang w:val="en-US" w:eastAsia="zh-CN"/>
        </w:rPr>
        <w:t>驻点人员每月社保缴纳清单、</w:t>
      </w:r>
      <w:r>
        <w:rPr>
          <w:rFonts w:hint="eastAsia" w:hAnsi="宋体" w:cs="宋体"/>
          <w:sz w:val="24"/>
          <w:szCs w:val="24"/>
          <w:highlight w:val="none"/>
          <w:lang w:val="en-US" w:eastAsia="zh-CN"/>
        </w:rPr>
        <w:t>驻点</w:t>
      </w:r>
      <w:r>
        <w:rPr>
          <w:rFonts w:hint="eastAsia" w:ascii="宋体" w:hAnsi="宋体" w:eastAsia="宋体" w:cs="宋体"/>
          <w:sz w:val="24"/>
          <w:szCs w:val="24"/>
          <w:highlight w:val="none"/>
        </w:rPr>
        <w:t>人员每日考勤</w:t>
      </w:r>
      <w:r>
        <w:rPr>
          <w:rFonts w:hint="eastAsia" w:ascii="宋体" w:hAnsi="宋体" w:eastAsia="宋体" w:cs="宋体"/>
          <w:sz w:val="24"/>
          <w:szCs w:val="24"/>
          <w:highlight w:val="none"/>
          <w:lang w:eastAsia="zh-Hans"/>
        </w:rPr>
        <w:t>签到</w:t>
      </w:r>
      <w:r>
        <w:rPr>
          <w:rFonts w:hint="eastAsia" w:ascii="宋体" w:hAnsi="宋体" w:eastAsia="宋体" w:cs="宋体"/>
          <w:sz w:val="24"/>
          <w:szCs w:val="24"/>
          <w:highlight w:val="none"/>
        </w:rPr>
        <w:t>记录、相关人员资</w:t>
      </w:r>
      <w:r>
        <w:rPr>
          <w:rFonts w:hint="eastAsia" w:ascii="宋体" w:hAnsi="宋体" w:eastAsia="宋体" w:cs="宋体"/>
          <w:sz w:val="24"/>
          <w:szCs w:val="24"/>
          <w:highlight w:val="none"/>
          <w:lang w:val="en-US"/>
        </w:rPr>
        <w:t>历</w:t>
      </w:r>
      <w:r>
        <w:rPr>
          <w:rFonts w:hint="eastAsia" w:ascii="宋体" w:hAnsi="宋体" w:eastAsia="宋体" w:cs="宋体"/>
          <w:sz w:val="24"/>
          <w:szCs w:val="24"/>
          <w:highlight w:val="none"/>
        </w:rPr>
        <w:t>证明、</w:t>
      </w:r>
      <w:r>
        <w:rPr>
          <w:rFonts w:hint="eastAsia" w:ascii="宋体" w:hAnsi="宋体" w:eastAsia="宋体" w:cs="宋体"/>
          <w:sz w:val="24"/>
          <w:szCs w:val="24"/>
          <w:highlight w:val="none"/>
          <w:lang w:val="en-US" w:eastAsia="zh-CN"/>
        </w:rPr>
        <w:t>相关人员</w:t>
      </w:r>
      <w:r>
        <w:rPr>
          <w:rFonts w:hint="eastAsia" w:hAnsi="宋体" w:cs="宋体"/>
          <w:sz w:val="24"/>
          <w:szCs w:val="24"/>
          <w:highlight w:val="none"/>
          <w:lang w:val="en-US" w:eastAsia="zh-CN"/>
        </w:rPr>
        <w:t>资质</w:t>
      </w:r>
      <w:r>
        <w:rPr>
          <w:rFonts w:hint="eastAsia" w:ascii="宋体" w:hAnsi="宋体" w:eastAsia="宋体" w:cs="宋体"/>
          <w:sz w:val="24"/>
          <w:szCs w:val="24"/>
          <w:highlight w:val="none"/>
          <w:lang w:val="en-US" w:eastAsia="zh-CN"/>
        </w:rPr>
        <w:t>证书、</w:t>
      </w:r>
      <w:r>
        <w:rPr>
          <w:rFonts w:hint="eastAsia" w:ascii="宋体" w:hAnsi="宋体" w:eastAsia="宋体" w:cs="宋体"/>
          <w:sz w:val="24"/>
          <w:szCs w:val="24"/>
          <w:highlight w:val="none"/>
          <w:lang w:eastAsia="zh-Hans"/>
        </w:rPr>
        <w:t>人员变更审批单（如有）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Hans"/>
        </w:rPr>
        <w:t>整体测评实施方案、</w:t>
      </w:r>
      <w:r>
        <w:rPr>
          <w:rFonts w:hint="eastAsia" w:ascii="宋体" w:hAnsi="宋体" w:eastAsia="宋体" w:cs="宋体"/>
          <w:sz w:val="24"/>
          <w:szCs w:val="24"/>
          <w:highlight w:val="none"/>
        </w:rPr>
        <w:t>等级保护测评报告、等级保护整改建议书、数据库审计运维总结报告、</w:t>
      </w:r>
      <w:r>
        <w:rPr>
          <w:rFonts w:hint="eastAsia" w:ascii="宋体" w:hAnsi="宋体" w:eastAsia="宋体" w:cs="宋体"/>
          <w:sz w:val="24"/>
          <w:szCs w:val="24"/>
          <w:highlight w:val="none"/>
          <w:lang w:eastAsia="zh-Hans"/>
        </w:rPr>
        <w:t>网络安全巡检服务报告、</w:t>
      </w:r>
      <w:r>
        <w:rPr>
          <w:rFonts w:hint="eastAsia" w:ascii="宋体" w:hAnsi="宋体" w:eastAsia="宋体" w:cs="宋体"/>
          <w:sz w:val="24"/>
          <w:szCs w:val="24"/>
          <w:highlight w:val="none"/>
        </w:rPr>
        <w:t>日志审计运维总结报告、政务网</w:t>
      </w:r>
      <w:r>
        <w:rPr>
          <w:rFonts w:hint="eastAsia" w:ascii="宋体" w:hAnsi="宋体" w:eastAsia="宋体" w:cs="宋体"/>
          <w:color w:val="000000" w:themeColor="text1"/>
          <w:sz w:val="24"/>
          <w:szCs w:val="24"/>
          <w:highlight w:val="none"/>
          <w14:textFill>
            <w14:solidFill>
              <w14:schemeClr w14:val="tx1"/>
            </w14:solidFill>
          </w14:textFill>
        </w:rPr>
        <w:t>安全分析报告、</w:t>
      </w:r>
      <w:r>
        <w:rPr>
          <w:rFonts w:hint="eastAsia" w:ascii="宋体" w:hAnsi="宋体" w:eastAsia="宋体" w:cs="宋体"/>
          <w:color w:val="000000"/>
          <w:sz w:val="24"/>
          <w:szCs w:val="24"/>
          <w:highlight w:val="none"/>
        </w:rPr>
        <w:t>政务网业务系统安全分析报</w:t>
      </w:r>
      <w:r>
        <w:rPr>
          <w:rFonts w:hint="eastAsia" w:ascii="宋体" w:hAnsi="宋体" w:eastAsia="宋体" w:cs="宋体"/>
          <w:color w:val="000000" w:themeColor="text1"/>
          <w:sz w:val="24"/>
          <w:szCs w:val="24"/>
          <w:highlight w:val="none"/>
          <w14:textFill>
            <w14:solidFill>
              <w14:schemeClr w14:val="tx1"/>
            </w14:solidFill>
          </w14:textFill>
        </w:rPr>
        <w:t>告、</w:t>
      </w:r>
      <w:r>
        <w:rPr>
          <w:rFonts w:hint="eastAsia" w:hAnsi="宋体" w:cs="宋体"/>
          <w:color w:val="000000" w:themeColor="text1"/>
          <w:sz w:val="24"/>
          <w:szCs w:val="24"/>
          <w:highlight w:val="none"/>
          <w:lang w:val="en-US" w:eastAsia="zh-CN"/>
          <w14:textFill>
            <w14:solidFill>
              <w14:schemeClr w14:val="tx1"/>
            </w14:solidFill>
          </w14:textFill>
        </w:rPr>
        <w:t>网站安全云监测服务报告、</w:t>
      </w:r>
      <w:r>
        <w:rPr>
          <w:rFonts w:hint="eastAsia" w:ascii="宋体" w:hAnsi="宋体" w:eastAsia="宋体" w:cs="宋体"/>
          <w:sz w:val="24"/>
          <w:szCs w:val="24"/>
          <w:highlight w:val="none"/>
        </w:rPr>
        <w:t>公安网安全风险感知服务分析报告、桌面云月度服务报告、</w:t>
      </w:r>
      <w:r>
        <w:rPr>
          <w:rFonts w:hint="eastAsia" w:ascii="宋体" w:hAnsi="宋体" w:eastAsia="宋体" w:cs="宋体"/>
          <w:sz w:val="24"/>
          <w:szCs w:val="24"/>
          <w:highlight w:val="none"/>
          <w:lang w:eastAsia="zh-Hans"/>
        </w:rPr>
        <w:t>一机两用巡检服务报告、一机两用年度维保总结报告</w:t>
      </w:r>
      <w:r>
        <w:rPr>
          <w:rFonts w:hint="eastAsia" w:ascii="宋体" w:hAnsi="宋体" w:eastAsia="宋体" w:cs="宋体"/>
          <w:sz w:val="24"/>
          <w:szCs w:val="24"/>
          <w:highlight w:val="none"/>
        </w:rPr>
        <w:t>、</w:t>
      </w:r>
      <w:r>
        <w:rPr>
          <w:rFonts w:hint="eastAsia" w:hAnsi="宋体" w:cs="宋体"/>
          <w:color w:val="auto"/>
          <w:sz w:val="24"/>
          <w:highlight w:val="none"/>
          <w:lang w:val="en-US" w:eastAsia="zh-CN"/>
        </w:rPr>
        <w:t>考核技术支持服务报告</w:t>
      </w:r>
      <w:r>
        <w:rPr>
          <w:rFonts w:hint="eastAsia" w:hAnsi="宋体" w:cs="宋体"/>
          <w:sz w:val="24"/>
          <w:szCs w:val="24"/>
          <w:highlight w:val="none"/>
          <w:lang w:val="en-US" w:eastAsia="zh-CN"/>
        </w:rPr>
        <w:t>、</w:t>
      </w:r>
      <w:r>
        <w:rPr>
          <w:rFonts w:hint="eastAsia" w:ascii="宋体" w:hAnsi="宋体" w:eastAsia="宋体" w:cs="宋体"/>
          <w:sz w:val="24"/>
          <w:szCs w:val="24"/>
          <w:highlight w:val="none"/>
        </w:rPr>
        <w:t>终端杀毒服务月度报告、系统安全</w:t>
      </w:r>
      <w:r>
        <w:rPr>
          <w:rFonts w:hint="eastAsia" w:ascii="宋体" w:hAnsi="宋体" w:eastAsia="宋体" w:cs="宋体"/>
          <w:sz w:val="24"/>
          <w:szCs w:val="24"/>
          <w:highlight w:val="none"/>
          <w:lang w:eastAsia="zh-Hans"/>
        </w:rPr>
        <w:t>检测总结</w:t>
      </w:r>
      <w:r>
        <w:rPr>
          <w:rFonts w:hint="eastAsia" w:ascii="宋体" w:hAnsi="宋体" w:eastAsia="宋体" w:cs="宋体"/>
          <w:sz w:val="24"/>
          <w:szCs w:val="24"/>
          <w:highlight w:val="none"/>
        </w:rPr>
        <w:t>报告、网络安全检查总结报告</w:t>
      </w:r>
      <w:r>
        <w:rPr>
          <w:rFonts w:hint="eastAsia" w:ascii="宋体" w:hAnsi="宋体" w:eastAsia="宋体" w:cs="宋体"/>
          <w:sz w:val="24"/>
          <w:szCs w:val="24"/>
          <w:highlight w:val="none"/>
          <w:lang w:eastAsia="zh-Hans"/>
        </w:rPr>
        <w:t>（如有）</w:t>
      </w:r>
      <w:r>
        <w:rPr>
          <w:rFonts w:hint="eastAsia" w:ascii="宋体" w:hAnsi="宋体" w:eastAsia="宋体" w:cs="宋体"/>
          <w:sz w:val="24"/>
          <w:szCs w:val="24"/>
          <w:highlight w:val="none"/>
        </w:rPr>
        <w:t>、重大活动安全保障总结报告、应急响应报告、边界通道服务总结报告</w:t>
      </w:r>
      <w:r>
        <w:rPr>
          <w:rFonts w:hint="eastAsia" w:ascii="宋体" w:hAnsi="宋体" w:eastAsia="宋体" w:cs="宋体"/>
          <w:sz w:val="24"/>
          <w:szCs w:val="24"/>
          <w:highlight w:val="none"/>
          <w:lang w:eastAsia="zh-CN"/>
        </w:rPr>
        <w:t>；</w:t>
      </w:r>
    </w:p>
    <w:p>
      <w:pPr>
        <w:pStyle w:val="7"/>
        <w:numPr>
          <w:ilvl w:val="0"/>
          <w:numId w:val="2"/>
        </w:numPr>
        <w:snapToGrid w:val="0"/>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月、季、年度安全工作专题报告；</w:t>
      </w:r>
    </w:p>
    <w:p>
      <w:pPr>
        <w:pStyle w:val="7"/>
        <w:numPr>
          <w:ilvl w:val="0"/>
          <w:numId w:val="2"/>
        </w:numPr>
        <w:snapToGrid w:val="0"/>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日常</w:t>
      </w:r>
      <w:r>
        <w:rPr>
          <w:rFonts w:hint="eastAsia" w:ascii="宋体" w:hAnsi="宋体" w:eastAsia="宋体" w:cs="宋体"/>
          <w:sz w:val="24"/>
          <w:szCs w:val="24"/>
          <w:highlight w:val="none"/>
          <w:lang w:val="en-US" w:eastAsia="zh-CN"/>
        </w:rPr>
        <w:t>保密</w:t>
      </w:r>
      <w:r>
        <w:rPr>
          <w:rFonts w:hint="eastAsia" w:ascii="宋体" w:hAnsi="宋体" w:eastAsia="宋体" w:cs="宋体"/>
          <w:sz w:val="24"/>
          <w:szCs w:val="24"/>
          <w:highlight w:val="none"/>
        </w:rPr>
        <w:t>教育资料、单位保密协议、个人保密承诺</w:t>
      </w:r>
      <w:r>
        <w:rPr>
          <w:rFonts w:hint="eastAsia" w:ascii="宋体" w:hAnsi="宋体" w:eastAsia="宋体" w:cs="宋体"/>
          <w:sz w:val="24"/>
          <w:szCs w:val="24"/>
          <w:highlight w:val="none"/>
          <w:lang w:val="en-US" w:eastAsia="zh-CN"/>
        </w:rPr>
        <w:t>书</w:t>
      </w:r>
      <w:r>
        <w:rPr>
          <w:rFonts w:hint="eastAsia" w:ascii="宋体" w:hAnsi="宋体" w:eastAsia="宋体" w:cs="宋体"/>
          <w:sz w:val="24"/>
          <w:szCs w:val="24"/>
          <w:highlight w:val="none"/>
        </w:rPr>
        <w:t>；</w:t>
      </w:r>
    </w:p>
    <w:p>
      <w:pPr>
        <w:pStyle w:val="7"/>
        <w:numPr>
          <w:ilvl w:val="0"/>
          <w:numId w:val="2"/>
        </w:numPr>
        <w:snapToGrid w:val="0"/>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rPr>
        <w:t>网络安全保障方案、网络安全事件应急预案、网络安全风险书面报告（如有）、网络安全重大事项书面报告（如有）；</w:t>
      </w:r>
    </w:p>
    <w:p>
      <w:pPr>
        <w:pStyle w:val="7"/>
        <w:numPr>
          <w:ilvl w:val="0"/>
          <w:numId w:val="2"/>
        </w:numPr>
        <w:snapToGrid w:val="0"/>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中小企业佐证材料、小微企业佐证材料；</w:t>
      </w:r>
    </w:p>
    <w:p>
      <w:pPr>
        <w:pStyle w:val="7"/>
        <w:numPr>
          <w:ilvl w:val="0"/>
          <w:numId w:val="2"/>
        </w:numPr>
        <w:snapToGrid w:val="0"/>
        <w:spacing w:line="360" w:lineRule="auto"/>
        <w:ind w:left="420" w:left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分包协议（如有）；</w:t>
      </w:r>
    </w:p>
    <w:p>
      <w:pPr>
        <w:pStyle w:val="7"/>
        <w:widowControl w:val="0"/>
        <w:snapToGrid w:val="0"/>
        <w:spacing w:line="360" w:lineRule="auto"/>
        <w:ind w:left="420" w:leftChars="200" w:firstLine="6"/>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11</w:t>
      </w:r>
      <w:r>
        <w:rPr>
          <w:rFonts w:hint="eastAsia" w:ascii="宋体" w:hAnsi="宋体" w:eastAsia="宋体" w:cs="宋体"/>
          <w:kern w:val="2"/>
          <w:sz w:val="24"/>
          <w:szCs w:val="24"/>
          <w:highlight w:val="none"/>
        </w:rPr>
        <w:t>）其他需提供的相关材料。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②考核：</w:t>
      </w:r>
    </w:p>
    <w:p>
      <w:pPr>
        <w:autoSpaceDE w:val="0"/>
        <w:autoSpaceDN w:val="0"/>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服务期内，采购人将对投标人进行</w:t>
      </w:r>
      <w:r>
        <w:rPr>
          <w:rFonts w:hint="eastAsia" w:ascii="宋体" w:hAnsi="宋体" w:eastAsia="宋体" w:cs="宋体"/>
          <w:color w:val="auto"/>
          <w:sz w:val="24"/>
          <w:highlight w:val="none"/>
        </w:rPr>
        <w:t>月度考核</w:t>
      </w:r>
      <w:r>
        <w:rPr>
          <w:rFonts w:hint="eastAsia" w:ascii="宋体" w:hAnsi="宋体" w:eastAsia="宋体" w:cs="宋体"/>
          <w:color w:val="auto"/>
          <w:sz w:val="24"/>
          <w:highlight w:val="none"/>
          <w:lang w:val="zh-CN"/>
        </w:rPr>
        <w:t>，采取100分制计分方式，每扣1分扣违约金200元。如果投标人</w:t>
      </w:r>
      <w:r>
        <w:rPr>
          <w:rFonts w:hint="eastAsia" w:ascii="宋体" w:hAnsi="宋体" w:eastAsia="宋体" w:cs="宋体"/>
          <w:color w:val="auto"/>
          <w:sz w:val="24"/>
          <w:highlight w:val="none"/>
        </w:rPr>
        <w:t>月度考核</w:t>
      </w:r>
      <w:r>
        <w:rPr>
          <w:rFonts w:hint="eastAsia" w:ascii="宋体" w:hAnsi="宋体" w:eastAsia="宋体" w:cs="宋体"/>
          <w:color w:val="auto"/>
          <w:sz w:val="24"/>
          <w:highlight w:val="none"/>
          <w:lang w:val="zh-CN"/>
        </w:rPr>
        <w:t>结果低于80分的，应递交书面整改报告。如投标人</w:t>
      </w:r>
      <w:r>
        <w:rPr>
          <w:rFonts w:hint="eastAsia" w:ascii="宋体" w:hAnsi="宋体" w:eastAsia="宋体" w:cs="宋体"/>
          <w:color w:val="auto"/>
          <w:sz w:val="24"/>
          <w:highlight w:val="none"/>
        </w:rPr>
        <w:t>月度考核</w:t>
      </w:r>
      <w:r>
        <w:rPr>
          <w:rFonts w:hint="eastAsia" w:ascii="宋体" w:hAnsi="宋体" w:eastAsia="宋体" w:cs="宋体"/>
          <w:color w:val="auto"/>
          <w:sz w:val="24"/>
          <w:highlight w:val="none"/>
          <w:lang w:val="zh-CN"/>
        </w:rPr>
        <w:t>结果低于60分、或连续两个</w:t>
      </w:r>
      <w:r>
        <w:rPr>
          <w:rFonts w:hint="eastAsia" w:ascii="宋体" w:hAnsi="宋体" w:eastAsia="宋体" w:cs="宋体"/>
          <w:color w:val="auto"/>
          <w:sz w:val="24"/>
          <w:highlight w:val="none"/>
        </w:rPr>
        <w:t>月度考核</w:t>
      </w:r>
      <w:r>
        <w:rPr>
          <w:rFonts w:hint="eastAsia" w:ascii="宋体" w:hAnsi="宋体" w:eastAsia="宋体" w:cs="宋体"/>
          <w:color w:val="auto"/>
          <w:sz w:val="24"/>
          <w:highlight w:val="none"/>
          <w:lang w:val="zh-CN"/>
        </w:rPr>
        <w:t>结果低于70分、或连续三个</w:t>
      </w:r>
      <w:r>
        <w:rPr>
          <w:rFonts w:hint="eastAsia" w:ascii="宋体" w:hAnsi="宋体" w:eastAsia="宋体" w:cs="宋体"/>
          <w:color w:val="auto"/>
          <w:sz w:val="24"/>
          <w:highlight w:val="none"/>
        </w:rPr>
        <w:t>月度考核</w:t>
      </w:r>
      <w:r>
        <w:rPr>
          <w:rFonts w:hint="eastAsia" w:ascii="宋体" w:hAnsi="宋体" w:eastAsia="宋体" w:cs="宋体"/>
          <w:color w:val="auto"/>
          <w:sz w:val="24"/>
          <w:highlight w:val="none"/>
          <w:lang w:val="zh-CN"/>
        </w:rPr>
        <w:t>结果低于80分，采购人有权没收投标人全部履约保证金，并通知投标人解除合同，如给采购人造成损失的有权向投标人提出索赔。</w:t>
      </w:r>
    </w:p>
    <w:p>
      <w:pPr>
        <w:autoSpaceDE w:val="0"/>
        <w:autoSpaceDN w:val="0"/>
        <w:snapToGrid w:val="0"/>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lang w:val="zh-CN"/>
        </w:rPr>
        <w:t>如考核周期内重复出现相同扣分情形，累计计算扣除分值。</w:t>
      </w:r>
    </w:p>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月度考核表</w:t>
      </w:r>
    </w:p>
    <w:tbl>
      <w:tblPr>
        <w:tblStyle w:val="62"/>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11"/>
        <w:gridCol w:w="3500"/>
        <w:gridCol w:w="1369"/>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26" w:type="dxa"/>
            <w:gridSpan w:val="2"/>
            <w:vAlign w:val="center"/>
          </w:tcPr>
          <w:p>
            <w:pPr>
              <w:autoSpaceDE w:val="0"/>
              <w:autoSpaceDN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考核时间：</w:t>
            </w:r>
          </w:p>
        </w:tc>
        <w:tc>
          <w:tcPr>
            <w:tcW w:w="3500"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p>
        </w:tc>
        <w:tc>
          <w:tcPr>
            <w:tcW w:w="1369" w:type="dxa"/>
            <w:vAlign w:val="center"/>
          </w:tcPr>
          <w:p>
            <w:pPr>
              <w:autoSpaceDE w:val="0"/>
              <w:autoSpaceDN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填表日期：</w:t>
            </w:r>
          </w:p>
        </w:tc>
        <w:tc>
          <w:tcPr>
            <w:tcW w:w="2302"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26" w:type="dxa"/>
            <w:gridSpan w:val="2"/>
            <w:vAlign w:val="center"/>
          </w:tcPr>
          <w:p>
            <w:pPr>
              <w:autoSpaceDE w:val="0"/>
              <w:autoSpaceDN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w:t>
            </w:r>
          </w:p>
        </w:tc>
        <w:tc>
          <w:tcPr>
            <w:tcW w:w="7171" w:type="dxa"/>
            <w:gridSpan w:val="3"/>
            <w:vAlign w:val="center"/>
          </w:tcPr>
          <w:p>
            <w:pPr>
              <w:autoSpaceDE w:val="0"/>
              <w:autoSpaceDN w:val="0"/>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811" w:type="dxa"/>
            <w:gridSpan w:val="2"/>
            <w:vAlign w:val="center"/>
          </w:tcPr>
          <w:p>
            <w:pPr>
              <w:autoSpaceDE w:val="0"/>
              <w:autoSpaceDN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考核内容</w:t>
            </w:r>
          </w:p>
        </w:tc>
        <w:tc>
          <w:tcPr>
            <w:tcW w:w="1369" w:type="dxa"/>
            <w:vAlign w:val="center"/>
          </w:tcPr>
          <w:p>
            <w:pPr>
              <w:autoSpaceDE w:val="0"/>
              <w:autoSpaceDN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扣分情况</w:t>
            </w:r>
          </w:p>
        </w:tc>
        <w:tc>
          <w:tcPr>
            <w:tcW w:w="2302" w:type="dxa"/>
            <w:vAlign w:val="center"/>
          </w:tcPr>
          <w:p>
            <w:pPr>
              <w:autoSpaceDE w:val="0"/>
              <w:autoSpaceDN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626" w:type="dxa"/>
            <w:gridSpan w:val="3"/>
            <w:vAlign w:val="center"/>
          </w:tcPr>
          <w:p>
            <w:pPr>
              <w:autoSpaceDE w:val="0"/>
              <w:autoSpaceDN w:val="0"/>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（一）考核扣分项</w:t>
            </w:r>
          </w:p>
        </w:tc>
        <w:tc>
          <w:tcPr>
            <w:tcW w:w="1369" w:type="dxa"/>
            <w:vAlign w:val="center"/>
          </w:tcPr>
          <w:p>
            <w:pPr>
              <w:autoSpaceDE w:val="0"/>
              <w:autoSpaceDN w:val="0"/>
              <w:snapToGrid w:val="0"/>
              <w:spacing w:line="360" w:lineRule="auto"/>
              <w:jc w:val="center"/>
              <w:rPr>
                <w:rFonts w:hint="eastAsia" w:ascii="宋体" w:hAnsi="宋体" w:eastAsia="宋体" w:cs="宋体"/>
                <w:b/>
                <w:color w:val="auto"/>
                <w:sz w:val="24"/>
                <w:highlight w:val="none"/>
              </w:rPr>
            </w:pPr>
          </w:p>
        </w:tc>
        <w:tc>
          <w:tcPr>
            <w:tcW w:w="2302" w:type="dxa"/>
            <w:vAlign w:val="center"/>
          </w:tcPr>
          <w:p>
            <w:pPr>
              <w:autoSpaceDE w:val="0"/>
              <w:autoSpaceDN w:val="0"/>
              <w:snapToGrid w:val="0"/>
              <w:spacing w:line="360" w:lineRule="auto"/>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811" w:type="dxa"/>
            <w:gridSpan w:val="2"/>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bCs/>
                <w:color w:val="auto"/>
                <w:sz w:val="24"/>
                <w:highlight w:val="none"/>
              </w:rPr>
              <w:t>等保测评服务，</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bCs/>
                <w:color w:val="auto"/>
                <w:sz w:val="24"/>
                <w:highlight w:val="none"/>
              </w:rPr>
              <w:t>数据库审计服务，</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bCs/>
                <w:color w:val="auto"/>
                <w:sz w:val="24"/>
                <w:highlight w:val="none"/>
              </w:rPr>
              <w:t>政务网云日志审计服务，</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针对政务网态势感知服务</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4811" w:type="dxa"/>
            <w:gridSpan w:val="2"/>
            <w:vAlign w:val="center"/>
          </w:tcPr>
          <w:p>
            <w:pPr>
              <w:snapToGrid w:val="0"/>
              <w:spacing w:line="360" w:lineRule="auto"/>
              <w:rPr>
                <w:rFonts w:hint="eastAsia" w:ascii="宋体" w:hAnsi="宋体" w:eastAsia="宋体" w:cs="宋体"/>
                <w:bCs/>
                <w:color w:val="auto"/>
                <w:sz w:val="24"/>
                <w:highlight w:val="none"/>
                <w:lang w:eastAsia="zh-Hans"/>
              </w:rPr>
            </w:pPr>
            <w:r>
              <w:rPr>
                <w:rFonts w:hint="eastAsia" w:ascii="宋体" w:hAnsi="宋体" w:eastAsia="宋体" w:cs="宋体"/>
                <w:bCs/>
                <w:color w:val="auto"/>
                <w:sz w:val="24"/>
                <w:highlight w:val="none"/>
                <w:lang w:eastAsia="zh-Hans"/>
              </w:rPr>
              <w:t>针对SaaS化安全服务</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4811" w:type="dxa"/>
            <w:gridSpan w:val="2"/>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bCs/>
                <w:color w:val="auto"/>
                <w:sz w:val="24"/>
                <w:highlight w:val="none"/>
              </w:rPr>
              <w:t>公安网安全风险感知服务，</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bCs/>
                <w:color w:val="auto"/>
                <w:sz w:val="24"/>
                <w:highlight w:val="none"/>
              </w:rPr>
              <w:t>公安网桌面云服务，</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bCs/>
                <w:color w:val="auto"/>
                <w:sz w:val="24"/>
                <w:highlight w:val="none"/>
              </w:rPr>
              <w:t>公安网一机两用服务，</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bCs/>
                <w:color w:val="auto"/>
                <w:sz w:val="24"/>
                <w:highlight w:val="none"/>
              </w:rPr>
              <w:t>视频网终端杀毒服务，</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bCs/>
                <w:color w:val="auto"/>
                <w:sz w:val="24"/>
                <w:highlight w:val="none"/>
              </w:rPr>
              <w:t>系统安全检测服务，</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bCs/>
                <w:color w:val="auto"/>
                <w:sz w:val="24"/>
                <w:highlight w:val="none"/>
              </w:rPr>
              <w:t>网络安全检查服务，</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color w:val="auto"/>
                <w:sz w:val="24"/>
                <w:highlight w:val="none"/>
                <w:lang w:eastAsia="zh-Hans"/>
              </w:rPr>
              <w:t>重要时期重大活动安全保障服务</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bCs/>
                <w:color w:val="auto"/>
                <w:sz w:val="24"/>
                <w:highlight w:val="none"/>
              </w:rPr>
              <w:t>应急响应服务，</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bCs/>
                <w:color w:val="auto"/>
                <w:sz w:val="24"/>
                <w:highlight w:val="none"/>
                <w:lang w:eastAsia="zh-Hans"/>
              </w:rPr>
              <w:t>针对</w:t>
            </w:r>
            <w:r>
              <w:rPr>
                <w:rFonts w:hint="eastAsia" w:ascii="宋体" w:hAnsi="宋体" w:eastAsia="宋体" w:cs="宋体"/>
                <w:bCs/>
                <w:color w:val="auto"/>
                <w:sz w:val="24"/>
                <w:highlight w:val="none"/>
              </w:rPr>
              <w:t>边界通道租赁服务，</w:t>
            </w:r>
            <w:r>
              <w:rPr>
                <w:rFonts w:hint="eastAsia" w:ascii="宋体" w:hAnsi="宋体" w:eastAsia="宋体" w:cs="宋体"/>
                <w:bCs/>
                <w:color w:val="auto"/>
                <w:sz w:val="24"/>
                <w:highlight w:val="none"/>
                <w:lang w:eastAsia="zh-Hans"/>
              </w:rPr>
              <w:t>投标人未按采购需求要求提供服务，每发生一次扣3分。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4811" w:type="dxa"/>
            <w:gridSpan w:val="2"/>
            <w:vAlign w:val="center"/>
          </w:tcPr>
          <w:p>
            <w:pPr>
              <w:spacing w:line="360" w:lineRule="auto"/>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lang w:bidi="ar"/>
              </w:rPr>
              <w:t>人员配备要求达不到合同条款要求的，每发生一次扣5</w:t>
            </w:r>
            <w:r>
              <w:rPr>
                <w:rFonts w:hint="eastAsia" w:ascii="宋体" w:hAnsi="宋体" w:eastAsia="宋体" w:cs="宋体"/>
                <w:color w:val="auto"/>
                <w:kern w:val="0"/>
                <w:sz w:val="24"/>
                <w:highlight w:val="none"/>
                <w:lang w:eastAsia="zh-Hans" w:bidi="ar"/>
              </w:rPr>
              <w:t>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4811" w:type="dxa"/>
            <w:gridSpan w:val="2"/>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投标人在</w:t>
            </w:r>
            <w:r>
              <w:rPr>
                <w:rFonts w:hint="eastAsia" w:ascii="宋体" w:hAnsi="宋体" w:eastAsia="宋体" w:cs="宋体"/>
                <w:color w:val="auto"/>
                <w:sz w:val="24"/>
                <w:highlight w:val="none"/>
              </w:rPr>
              <w:t>服务期内</w:t>
            </w:r>
            <w:r>
              <w:rPr>
                <w:rFonts w:hint="eastAsia" w:ascii="宋体" w:hAnsi="宋体" w:eastAsia="宋体" w:cs="宋体"/>
                <w:color w:val="auto"/>
                <w:sz w:val="24"/>
                <w:highlight w:val="none"/>
                <w:lang w:eastAsia="zh-Hans"/>
              </w:rPr>
              <w:t>未</w:t>
            </w:r>
            <w:r>
              <w:rPr>
                <w:rFonts w:hint="eastAsia" w:ascii="宋体" w:hAnsi="宋体" w:eastAsia="宋体" w:cs="宋体"/>
                <w:color w:val="auto"/>
                <w:sz w:val="24"/>
                <w:highlight w:val="none"/>
              </w:rPr>
              <w:t>提供7*24小时的技术支持（包括电话咨询与现场服务）。投标人在接到应急电话后，</w:t>
            </w:r>
            <w:r>
              <w:rPr>
                <w:rFonts w:hint="eastAsia" w:ascii="宋体" w:hAnsi="宋体" w:eastAsia="宋体" w:cs="宋体"/>
                <w:color w:val="auto"/>
                <w:sz w:val="24"/>
                <w:highlight w:val="none"/>
                <w:lang w:eastAsia="zh-Hans"/>
              </w:rPr>
              <w:t>未在</w:t>
            </w:r>
            <w:r>
              <w:rPr>
                <w:rFonts w:hint="eastAsia" w:ascii="宋体" w:hAnsi="宋体" w:eastAsia="宋体" w:cs="宋体"/>
                <w:color w:val="auto"/>
                <w:sz w:val="24"/>
                <w:highlight w:val="none"/>
              </w:rPr>
              <w:t>应规定时间内响应，</w:t>
            </w:r>
            <w:r>
              <w:rPr>
                <w:rFonts w:hint="eastAsia" w:ascii="宋体" w:hAnsi="宋体" w:eastAsia="宋体" w:cs="宋体"/>
                <w:bCs/>
                <w:color w:val="auto"/>
                <w:sz w:val="24"/>
                <w:highlight w:val="none"/>
                <w:lang w:eastAsia="zh-Hans"/>
              </w:rPr>
              <w:t>每发生一次扣3分</w:t>
            </w:r>
            <w:r>
              <w:rPr>
                <w:rFonts w:hint="eastAsia" w:ascii="宋体" w:hAnsi="宋体" w:eastAsia="宋体" w:cs="宋体"/>
                <w:color w:val="auto"/>
                <w:sz w:val="24"/>
                <w:highlight w:val="none"/>
              </w:rPr>
              <w:t>。</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4811" w:type="dxa"/>
            <w:gridSpan w:val="2"/>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lang w:eastAsia="zh-Hans"/>
              </w:rPr>
              <w:t>未</w:t>
            </w:r>
            <w:r>
              <w:rPr>
                <w:rFonts w:hint="eastAsia" w:ascii="宋体" w:hAnsi="宋体" w:eastAsia="宋体" w:cs="宋体"/>
                <w:color w:val="auto"/>
                <w:sz w:val="24"/>
                <w:highlight w:val="none"/>
              </w:rPr>
              <w:t>协助采购人完成安全检查工作，</w:t>
            </w:r>
            <w:r>
              <w:rPr>
                <w:rFonts w:hint="eastAsia" w:ascii="宋体" w:hAnsi="宋体" w:eastAsia="宋体" w:cs="宋体"/>
                <w:bCs/>
                <w:color w:val="auto"/>
                <w:sz w:val="24"/>
                <w:highlight w:val="none"/>
                <w:lang w:eastAsia="zh-Hans"/>
              </w:rPr>
              <w:t>每发生一次扣3分</w:t>
            </w:r>
            <w:r>
              <w:rPr>
                <w:rFonts w:hint="eastAsia" w:ascii="宋体" w:hAnsi="宋体" w:eastAsia="宋体" w:cs="宋体"/>
                <w:color w:val="auto"/>
                <w:sz w:val="24"/>
                <w:highlight w:val="none"/>
              </w:rPr>
              <w:t>。</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Hans"/>
              </w:rPr>
              <w:t>投标人</w:t>
            </w:r>
            <w:r>
              <w:rPr>
                <w:rFonts w:hint="eastAsia" w:ascii="宋体" w:hAnsi="宋体" w:eastAsia="宋体" w:cs="宋体"/>
                <w:color w:val="auto"/>
                <w:sz w:val="24"/>
                <w:highlight w:val="none"/>
              </w:rPr>
              <w:t>未按照要求提供文档，每发</w:t>
            </w:r>
            <w:r>
              <w:rPr>
                <w:rFonts w:hint="eastAsia" w:ascii="宋体" w:hAnsi="宋体" w:eastAsia="宋体" w:cs="宋体"/>
                <w:color w:val="auto"/>
                <w:sz w:val="24"/>
                <w:highlight w:val="none"/>
                <w:lang w:eastAsia="zh-Hans"/>
              </w:rPr>
              <w:t>生一</w:t>
            </w:r>
            <w:r>
              <w:rPr>
                <w:rFonts w:hint="eastAsia" w:ascii="宋体" w:hAnsi="宋体" w:eastAsia="宋体" w:cs="宋体"/>
                <w:color w:val="auto"/>
                <w:sz w:val="24"/>
                <w:highlight w:val="none"/>
              </w:rPr>
              <w:t>次扣5分。</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4811" w:type="dxa"/>
            <w:gridSpan w:val="2"/>
            <w:vAlign w:val="center"/>
          </w:tcPr>
          <w:p>
            <w:pPr>
              <w:snapToGrid w:val="0"/>
              <w:spacing w:line="360" w:lineRule="auto"/>
              <w:rPr>
                <w:rFonts w:hint="eastAsia" w:ascii="宋体" w:hAnsi="宋体" w:eastAsia="宋体" w:cs="宋体"/>
                <w:color w:val="auto"/>
                <w:sz w:val="24"/>
                <w:highlight w:val="none"/>
                <w:lang w:eastAsia="zh-Hans"/>
              </w:rPr>
            </w:pPr>
            <w:r>
              <w:rPr>
                <w:rFonts w:hint="eastAsia" w:ascii="宋体" w:hAnsi="宋体" w:eastAsia="宋体" w:cs="宋体"/>
                <w:color w:val="auto"/>
                <w:sz w:val="24"/>
                <w:highlight w:val="none"/>
              </w:rPr>
              <w:t>投标人</w:t>
            </w:r>
            <w:r>
              <w:rPr>
                <w:rFonts w:hint="eastAsia" w:ascii="宋体" w:hAnsi="宋体" w:eastAsia="宋体" w:cs="宋体"/>
                <w:color w:val="auto"/>
                <w:kern w:val="0"/>
                <w:sz w:val="24"/>
                <w:highlight w:val="none"/>
                <w:lang w:bidi="ar"/>
              </w:rPr>
              <w:t>发生违反相关保密规定、未按网络安全履行责任和义务的,每发生一次扣除违约金10000元/次外，采购人将追究投标人一切法律责任。</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815" w:type="dxa"/>
            <w:vAlign w:val="center"/>
          </w:tcPr>
          <w:p>
            <w:pPr>
              <w:autoSpaceDE w:val="0"/>
              <w:autoSpaceDN w:val="0"/>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4811" w:type="dxa"/>
            <w:gridSpan w:val="2"/>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iCs/>
                <w:color w:val="auto"/>
                <w:sz w:val="24"/>
                <w:szCs w:val="24"/>
                <w:highlight w:val="none"/>
                <w:u w:val="none"/>
                <w:lang w:val="en-US"/>
              </w:rPr>
              <w:t>未按承诺</w:t>
            </w:r>
            <w:r>
              <w:rPr>
                <w:rFonts w:hint="eastAsia" w:ascii="宋体" w:hAnsi="宋体" w:eastAsia="宋体" w:cs="宋体"/>
                <w:iCs/>
                <w:color w:val="auto"/>
                <w:sz w:val="24"/>
                <w:szCs w:val="24"/>
                <w:highlight w:val="none"/>
                <w:u w:val="none"/>
                <w:lang w:val="en-US" w:eastAsia="zh-CN"/>
              </w:rPr>
              <w:t>预留</w:t>
            </w:r>
            <w:r>
              <w:rPr>
                <w:rFonts w:hint="eastAsia" w:ascii="宋体" w:hAnsi="宋体" w:eastAsia="宋体" w:cs="宋体"/>
                <w:iCs/>
                <w:color w:val="auto"/>
                <w:sz w:val="24"/>
                <w:szCs w:val="24"/>
                <w:highlight w:val="none"/>
                <w:u w:val="none"/>
                <w:lang w:val="en-US"/>
              </w:rPr>
              <w:t>中小企业</w:t>
            </w:r>
            <w:r>
              <w:rPr>
                <w:rFonts w:hint="eastAsia" w:ascii="宋体" w:hAnsi="宋体" w:eastAsia="宋体" w:cs="宋体"/>
                <w:iCs/>
                <w:color w:val="auto"/>
                <w:sz w:val="24"/>
                <w:szCs w:val="24"/>
                <w:highlight w:val="none"/>
                <w:u w:val="none"/>
                <w:lang w:val="en-US" w:eastAsia="zh-CN"/>
              </w:rPr>
              <w:t>的比例达到合同总价的43%、小微企业的比例达到合同总价的28%，</w:t>
            </w:r>
            <w:r>
              <w:rPr>
                <w:rFonts w:hint="eastAsia" w:ascii="宋体" w:hAnsi="宋体" w:eastAsia="宋体" w:cs="宋体"/>
                <w:iCs/>
                <w:color w:val="auto"/>
                <w:sz w:val="24"/>
                <w:szCs w:val="24"/>
                <w:highlight w:val="none"/>
                <w:u w:val="none"/>
                <w:lang w:val="en-US"/>
              </w:rPr>
              <w:t>采购人有权无条件终止合同,并没收投标人全部履约保证金（如有）</w:t>
            </w:r>
            <w:r>
              <w:rPr>
                <w:rFonts w:hint="eastAsia" w:ascii="宋体" w:hAnsi="宋体" w:eastAsia="宋体" w:cs="宋体"/>
                <w:iCs/>
                <w:color w:val="auto"/>
                <w:sz w:val="24"/>
                <w:szCs w:val="24"/>
                <w:highlight w:val="none"/>
                <w:u w:val="none"/>
                <w:lang w:val="en-US" w:eastAsia="zh-CN"/>
              </w:rPr>
              <w:t>，</w:t>
            </w:r>
            <w:r>
              <w:rPr>
                <w:rFonts w:hint="eastAsia" w:ascii="宋体" w:hAnsi="宋体" w:eastAsia="宋体" w:cs="宋体"/>
                <w:iCs/>
                <w:color w:val="auto"/>
                <w:sz w:val="24"/>
                <w:szCs w:val="24"/>
                <w:highlight w:val="none"/>
                <w:u w:val="none"/>
                <w:lang w:val="en-US"/>
              </w:rPr>
              <w:t>报送本级政府采购监管部门，提前列入失信行为记录名单，追究相关责任，且投标人应向采购人支付合同总价30%的违约金。</w:t>
            </w:r>
          </w:p>
        </w:tc>
        <w:tc>
          <w:tcPr>
            <w:tcW w:w="1369" w:type="dxa"/>
            <w:vAlign w:val="center"/>
          </w:tcPr>
          <w:p>
            <w:pPr>
              <w:autoSpaceDE w:val="0"/>
              <w:autoSpaceDN w:val="0"/>
              <w:snapToGrid w:val="0"/>
              <w:spacing w:line="360" w:lineRule="auto"/>
              <w:rPr>
                <w:rFonts w:hint="eastAsia" w:ascii="宋体" w:hAnsi="宋体" w:eastAsia="宋体" w:cs="宋体"/>
                <w:color w:val="auto"/>
                <w:sz w:val="24"/>
                <w:highlight w:val="none"/>
              </w:rPr>
            </w:pPr>
          </w:p>
        </w:tc>
        <w:tc>
          <w:tcPr>
            <w:tcW w:w="2302" w:type="dxa"/>
            <w:vAlign w:val="center"/>
          </w:tcPr>
          <w:p>
            <w:pPr>
              <w:autoSpaceDE w:val="0"/>
              <w:autoSpaceDN w:val="0"/>
              <w:snapToGrid w:val="0"/>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blHeader/>
          <w:jc w:val="center"/>
        </w:trPr>
        <w:tc>
          <w:tcPr>
            <w:tcW w:w="9297" w:type="dxa"/>
            <w:gridSpan w:val="5"/>
            <w:vAlign w:val="center"/>
          </w:tcPr>
          <w:p>
            <w:pPr>
              <w:widowControl/>
              <w:spacing w:line="240" w:lineRule="auto"/>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项目经办人（签字）：                 投标人项目负责人（签字盖章）：</w:t>
            </w:r>
          </w:p>
          <w:p>
            <w:pPr>
              <w:widowControl/>
              <w:spacing w:line="240" w:lineRule="auto"/>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项目审核人（签字盖章）：                  日  期：</w:t>
            </w:r>
          </w:p>
        </w:tc>
      </w:tr>
    </w:tbl>
    <w:p>
      <w:pPr>
        <w:pStyle w:val="37"/>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w:t>
      </w:r>
      <w:r>
        <w:rPr>
          <w:rFonts w:hint="eastAsia" w:ascii="宋体" w:hAnsi="宋体" w:eastAsia="宋体" w:cs="宋体"/>
          <w:b/>
          <w:bCs/>
          <w:color w:val="auto"/>
          <w:sz w:val="24"/>
          <w:szCs w:val="24"/>
          <w:highlight w:val="none"/>
        </w:rPr>
        <w:t>采购标的对应的中小企业划分标准所属行业</w:t>
      </w:r>
    </w:p>
    <w:p>
      <w:pPr>
        <w:snapToGrid w:val="0"/>
        <w:spacing w:line="360" w:lineRule="auto"/>
        <w:ind w:firstLine="424" w:firstLineChars="177"/>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（1）按照《关于印发中小企业划型标准规定的通知》（工信部联企业〔2011〕300号）的所属行业规定，本项目采购标的：</w:t>
      </w:r>
      <w:r>
        <w:rPr>
          <w:rFonts w:hint="eastAsia" w:ascii="宋体" w:hAnsi="宋体" w:eastAsia="宋体" w:cs="宋体"/>
          <w:color w:val="auto"/>
          <w:kern w:val="0"/>
          <w:sz w:val="24"/>
          <w:highlight w:val="none"/>
          <w:u w:val="none"/>
          <w:lang w:eastAsia="zh-CN"/>
        </w:rPr>
        <w:t>杭州市公安业务网安全服务项目</w:t>
      </w:r>
      <w:r>
        <w:rPr>
          <w:rFonts w:hint="eastAsia" w:ascii="宋体" w:hAnsi="宋体" w:eastAsia="宋体" w:cs="宋体"/>
          <w:color w:val="auto"/>
          <w:kern w:val="0"/>
          <w:sz w:val="24"/>
          <w:highlight w:val="none"/>
          <w:u w:val="none"/>
        </w:rPr>
        <w:t>，所属行业：</w:t>
      </w:r>
      <w:r>
        <w:rPr>
          <w:rFonts w:hint="eastAsia" w:ascii="宋体" w:hAnsi="宋体" w:eastAsia="宋体" w:cs="宋体"/>
          <w:color w:val="auto"/>
          <w:kern w:val="0"/>
          <w:sz w:val="24"/>
          <w:highlight w:val="none"/>
          <w:u w:val="none"/>
          <w:lang w:val="en-US"/>
        </w:rPr>
        <w:t>(</w:t>
      </w:r>
      <w:r>
        <w:rPr>
          <w:rFonts w:hint="eastAsia" w:ascii="宋体" w:hAnsi="宋体" w:eastAsia="宋体" w:cs="宋体"/>
          <w:color w:val="auto"/>
          <w:kern w:val="0"/>
          <w:sz w:val="24"/>
          <w:highlight w:val="none"/>
          <w:u w:val="none"/>
        </w:rPr>
        <w:t>十二）软件和信息技术服务业。</w:t>
      </w:r>
    </w:p>
    <w:p>
      <w:pPr>
        <w:rPr>
          <w:rFonts w:hint="eastAsia" w:ascii="宋体" w:hAnsi="宋体" w:eastAsia="宋体" w:cs="宋体"/>
          <w:color w:val="auto"/>
          <w:highlight w:val="none"/>
        </w:rPr>
      </w:pPr>
    </w:p>
    <w:p>
      <w:pPr>
        <w:rPr>
          <w:rFonts w:ascii="宋体" w:hAnsi="宋体" w:cs="宋体"/>
          <w:snapToGrid w:val="0"/>
          <w:color w:val="auto"/>
          <w:kern w:val="0"/>
          <w:sz w:val="24"/>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0290"/>
      <w:bookmarkEnd w:id="28"/>
      <w:bookmarkStart w:id="29" w:name="_Toc184314433"/>
      <w:bookmarkEnd w:id="29"/>
      <w:bookmarkStart w:id="30" w:name="_Toc184308066"/>
      <w:bookmarkEnd w:id="30"/>
      <w:bookmarkStart w:id="31" w:name="_Toc184312136"/>
      <w:bookmarkEnd w:id="31"/>
      <w:bookmarkStart w:id="32" w:name="_Toc184312071"/>
      <w:bookmarkEnd w:id="32"/>
      <w:bookmarkStart w:id="33" w:name="_Toc184312089"/>
      <w:bookmarkEnd w:id="33"/>
      <w:bookmarkStart w:id="34" w:name="_Toc184312113"/>
      <w:bookmarkEnd w:id="34"/>
      <w:bookmarkStart w:id="35" w:name="_Toc184312099"/>
      <w:bookmarkEnd w:id="35"/>
      <w:bookmarkStart w:id="36" w:name="_Toc184314475"/>
      <w:bookmarkEnd w:id="36"/>
      <w:bookmarkStart w:id="37" w:name="_Toc184313274"/>
      <w:bookmarkEnd w:id="37"/>
      <w:bookmarkStart w:id="38" w:name="_Toc184310274"/>
      <w:bookmarkEnd w:id="38"/>
      <w:bookmarkStart w:id="39" w:name="_Toc184313278"/>
      <w:bookmarkEnd w:id="39"/>
      <w:bookmarkStart w:id="40" w:name="_Toc184312101"/>
      <w:bookmarkEnd w:id="40"/>
      <w:bookmarkStart w:id="41" w:name="_Toc184310312"/>
      <w:bookmarkEnd w:id="41"/>
      <w:bookmarkStart w:id="42" w:name="_Toc184313249"/>
      <w:bookmarkEnd w:id="42"/>
      <w:bookmarkStart w:id="43" w:name="_Toc184312135"/>
      <w:bookmarkEnd w:id="43"/>
      <w:bookmarkStart w:id="44" w:name="_Toc184308070"/>
      <w:bookmarkEnd w:id="44"/>
      <w:bookmarkStart w:id="45" w:name="_Toc184313296"/>
      <w:bookmarkEnd w:id="45"/>
      <w:bookmarkStart w:id="46" w:name="_Toc184310299"/>
      <w:bookmarkEnd w:id="46"/>
      <w:bookmarkStart w:id="47" w:name="_Toc184312094"/>
      <w:bookmarkEnd w:id="47"/>
      <w:bookmarkStart w:id="48" w:name="_Toc184313276"/>
      <w:bookmarkEnd w:id="48"/>
      <w:bookmarkStart w:id="49" w:name="_Toc184313287"/>
      <w:bookmarkEnd w:id="49"/>
      <w:bookmarkStart w:id="50" w:name="_Toc184310286"/>
      <w:bookmarkEnd w:id="50"/>
      <w:bookmarkStart w:id="51" w:name="_Toc184308059"/>
      <w:bookmarkEnd w:id="51"/>
      <w:bookmarkStart w:id="52" w:name="_Toc184313250"/>
      <w:bookmarkEnd w:id="52"/>
      <w:bookmarkStart w:id="53" w:name="_Toc184314453"/>
      <w:bookmarkEnd w:id="53"/>
      <w:bookmarkStart w:id="54" w:name="_Toc184310337"/>
      <w:bookmarkEnd w:id="54"/>
      <w:bookmarkStart w:id="55" w:name="_Toc184308094"/>
      <w:bookmarkEnd w:id="55"/>
      <w:bookmarkStart w:id="56" w:name="_Toc184314467"/>
      <w:bookmarkEnd w:id="56"/>
      <w:bookmarkStart w:id="57" w:name="_Toc184308040"/>
      <w:bookmarkEnd w:id="57"/>
      <w:bookmarkStart w:id="58" w:name="_Toc184308041"/>
      <w:bookmarkEnd w:id="58"/>
      <w:bookmarkStart w:id="59" w:name="_Toc184308062"/>
      <w:bookmarkEnd w:id="59"/>
      <w:bookmarkStart w:id="60" w:name="_Toc184312128"/>
      <w:bookmarkEnd w:id="60"/>
      <w:bookmarkStart w:id="61" w:name="_Toc184314439"/>
      <w:bookmarkEnd w:id="61"/>
      <w:bookmarkStart w:id="62" w:name="_Toc184312132"/>
      <w:bookmarkEnd w:id="62"/>
      <w:bookmarkStart w:id="63" w:name="_Toc184310306"/>
      <w:bookmarkEnd w:id="63"/>
      <w:bookmarkStart w:id="64" w:name="_Toc184313253"/>
      <w:bookmarkEnd w:id="64"/>
      <w:bookmarkStart w:id="65" w:name="_Toc184310285"/>
      <w:bookmarkEnd w:id="65"/>
      <w:bookmarkStart w:id="66" w:name="_Toc184310288"/>
      <w:bookmarkEnd w:id="66"/>
      <w:bookmarkStart w:id="67" w:name="_Toc184314440"/>
      <w:bookmarkEnd w:id="67"/>
      <w:bookmarkStart w:id="68" w:name="_Toc184308100"/>
      <w:bookmarkEnd w:id="68"/>
      <w:bookmarkStart w:id="69" w:name="_Toc184314452"/>
      <w:bookmarkEnd w:id="69"/>
      <w:bookmarkStart w:id="70" w:name="_Toc184308095"/>
      <w:bookmarkEnd w:id="70"/>
      <w:bookmarkStart w:id="71" w:name="_Toc184313240"/>
      <w:bookmarkEnd w:id="71"/>
      <w:bookmarkStart w:id="72" w:name="_Toc184308036"/>
      <w:bookmarkEnd w:id="72"/>
      <w:bookmarkStart w:id="73" w:name="_Toc184314448"/>
      <w:bookmarkEnd w:id="73"/>
      <w:bookmarkStart w:id="74" w:name="_Toc184308084"/>
      <w:bookmarkEnd w:id="74"/>
      <w:bookmarkStart w:id="75" w:name="_Toc184312075"/>
      <w:bookmarkEnd w:id="75"/>
      <w:bookmarkStart w:id="76" w:name="_Toc184313244"/>
      <w:bookmarkEnd w:id="76"/>
      <w:bookmarkStart w:id="77" w:name="_Toc184308105"/>
      <w:bookmarkEnd w:id="77"/>
      <w:bookmarkStart w:id="78" w:name="_Toc184310334"/>
      <w:bookmarkEnd w:id="78"/>
      <w:bookmarkStart w:id="79" w:name="_Toc184313301"/>
      <w:bookmarkEnd w:id="79"/>
      <w:bookmarkStart w:id="80" w:name="_Toc184312131"/>
      <w:bookmarkEnd w:id="80"/>
      <w:bookmarkStart w:id="81" w:name="_Toc184314411"/>
      <w:bookmarkEnd w:id="81"/>
      <w:bookmarkStart w:id="82" w:name="_Toc184312090"/>
      <w:bookmarkEnd w:id="82"/>
      <w:bookmarkStart w:id="83" w:name="_Toc184310314"/>
      <w:bookmarkEnd w:id="83"/>
      <w:bookmarkStart w:id="84" w:name="_Toc184308101"/>
      <w:bookmarkEnd w:id="84"/>
      <w:bookmarkStart w:id="85" w:name="_Toc184308102"/>
      <w:bookmarkEnd w:id="85"/>
      <w:bookmarkStart w:id="86" w:name="_Toc184308081"/>
      <w:bookmarkEnd w:id="86"/>
      <w:bookmarkStart w:id="87" w:name="_Toc184308077"/>
      <w:bookmarkEnd w:id="87"/>
      <w:bookmarkStart w:id="88" w:name="_Toc184312072"/>
      <w:bookmarkEnd w:id="88"/>
      <w:bookmarkStart w:id="89" w:name="_Toc184308075"/>
      <w:bookmarkEnd w:id="89"/>
      <w:bookmarkStart w:id="90" w:name="_Toc184310289"/>
      <w:bookmarkEnd w:id="90"/>
      <w:bookmarkStart w:id="91" w:name="_Toc184312115"/>
      <w:bookmarkEnd w:id="91"/>
      <w:bookmarkStart w:id="92" w:name="_Toc184314427"/>
      <w:bookmarkEnd w:id="92"/>
      <w:bookmarkStart w:id="93" w:name="_Toc184312083"/>
      <w:bookmarkEnd w:id="93"/>
      <w:bookmarkStart w:id="94" w:name="_Toc184312104"/>
      <w:bookmarkEnd w:id="94"/>
      <w:bookmarkStart w:id="95" w:name="_Toc184308093"/>
      <w:bookmarkEnd w:id="95"/>
      <w:bookmarkStart w:id="96" w:name="_Toc184313238"/>
      <w:bookmarkEnd w:id="96"/>
      <w:bookmarkStart w:id="97" w:name="_Toc184310333"/>
      <w:bookmarkEnd w:id="97"/>
      <w:bookmarkStart w:id="98" w:name="_Toc184313279"/>
      <w:bookmarkEnd w:id="98"/>
      <w:bookmarkStart w:id="99" w:name="_Toc184308064"/>
      <w:bookmarkEnd w:id="99"/>
      <w:bookmarkStart w:id="100" w:name="_Toc184312102"/>
      <w:bookmarkEnd w:id="100"/>
      <w:bookmarkStart w:id="101" w:name="_Toc184314461"/>
      <w:bookmarkEnd w:id="101"/>
      <w:bookmarkStart w:id="102" w:name="_Toc184308045"/>
      <w:bookmarkEnd w:id="102"/>
      <w:bookmarkStart w:id="103" w:name="_Toc184313308"/>
      <w:bookmarkEnd w:id="103"/>
      <w:bookmarkStart w:id="104" w:name="_Toc184310323"/>
      <w:bookmarkEnd w:id="104"/>
      <w:bookmarkStart w:id="105" w:name="_Toc184314473"/>
      <w:bookmarkEnd w:id="105"/>
      <w:bookmarkStart w:id="106" w:name="_Toc184310278"/>
      <w:bookmarkEnd w:id="106"/>
      <w:bookmarkStart w:id="107" w:name="_Toc184314459"/>
      <w:bookmarkEnd w:id="107"/>
      <w:bookmarkStart w:id="108" w:name="_Toc184310287"/>
      <w:bookmarkEnd w:id="108"/>
      <w:bookmarkStart w:id="109" w:name="_Toc184308097"/>
      <w:bookmarkEnd w:id="109"/>
      <w:bookmarkStart w:id="110" w:name="_Toc184308091"/>
      <w:bookmarkEnd w:id="110"/>
      <w:bookmarkStart w:id="111" w:name="_Toc184313266"/>
      <w:bookmarkEnd w:id="111"/>
      <w:bookmarkStart w:id="112" w:name="_Toc184314450"/>
      <w:bookmarkEnd w:id="112"/>
      <w:bookmarkStart w:id="113" w:name="_Toc184308058"/>
      <w:bookmarkEnd w:id="113"/>
      <w:bookmarkStart w:id="114" w:name="_Toc184314462"/>
      <w:bookmarkEnd w:id="114"/>
      <w:bookmarkStart w:id="115" w:name="_Toc184314432"/>
      <w:bookmarkEnd w:id="115"/>
      <w:bookmarkStart w:id="116" w:name="_Toc184312120"/>
      <w:bookmarkEnd w:id="116"/>
      <w:bookmarkStart w:id="117" w:name="_Toc184312076"/>
      <w:bookmarkEnd w:id="117"/>
      <w:bookmarkStart w:id="118" w:name="_Toc184310277"/>
      <w:bookmarkEnd w:id="118"/>
      <w:bookmarkStart w:id="119" w:name="_Toc184310301"/>
      <w:bookmarkEnd w:id="119"/>
      <w:bookmarkStart w:id="120" w:name="_Toc184312126"/>
      <w:bookmarkEnd w:id="120"/>
      <w:bookmarkStart w:id="121" w:name="_Toc184310329"/>
      <w:bookmarkEnd w:id="121"/>
      <w:bookmarkStart w:id="122" w:name="_Toc184312127"/>
      <w:bookmarkEnd w:id="122"/>
      <w:bookmarkStart w:id="123" w:name="_Toc184314458"/>
      <w:bookmarkEnd w:id="123"/>
      <w:bookmarkStart w:id="124" w:name="_Toc184310291"/>
      <w:bookmarkEnd w:id="124"/>
      <w:bookmarkStart w:id="125" w:name="_Toc184313245"/>
      <w:bookmarkEnd w:id="125"/>
      <w:bookmarkStart w:id="126" w:name="_Toc184312069"/>
      <w:bookmarkEnd w:id="126"/>
      <w:bookmarkStart w:id="127" w:name="_Toc184310313"/>
      <w:bookmarkEnd w:id="127"/>
      <w:bookmarkStart w:id="128" w:name="_Toc184312086"/>
      <w:bookmarkEnd w:id="128"/>
      <w:bookmarkStart w:id="129" w:name="_Toc184308086"/>
      <w:bookmarkEnd w:id="129"/>
      <w:bookmarkStart w:id="130" w:name="_Toc184308085"/>
      <w:bookmarkEnd w:id="130"/>
      <w:bookmarkStart w:id="131" w:name="_Toc184313293"/>
      <w:bookmarkEnd w:id="131"/>
      <w:bookmarkStart w:id="132" w:name="_Toc184310330"/>
      <w:bookmarkEnd w:id="132"/>
      <w:bookmarkStart w:id="133" w:name="_Toc184308051"/>
      <w:bookmarkEnd w:id="133"/>
      <w:bookmarkStart w:id="134" w:name="_Toc184308074"/>
      <w:bookmarkEnd w:id="134"/>
      <w:bookmarkStart w:id="135" w:name="_Toc184312096"/>
      <w:bookmarkEnd w:id="135"/>
      <w:bookmarkStart w:id="136" w:name="_Toc184312073"/>
      <w:bookmarkEnd w:id="136"/>
      <w:bookmarkStart w:id="137" w:name="_Toc184314428"/>
      <w:bookmarkEnd w:id="137"/>
      <w:bookmarkStart w:id="138" w:name="_Toc184312134"/>
      <w:bookmarkEnd w:id="138"/>
      <w:bookmarkStart w:id="139" w:name="_Toc184312122"/>
      <w:bookmarkEnd w:id="139"/>
      <w:bookmarkStart w:id="140" w:name="_Toc184313280"/>
      <w:bookmarkEnd w:id="140"/>
      <w:bookmarkStart w:id="141" w:name="_Toc184314460"/>
      <w:bookmarkEnd w:id="141"/>
      <w:bookmarkStart w:id="142" w:name="_Toc184313272"/>
      <w:bookmarkEnd w:id="142"/>
      <w:bookmarkStart w:id="143" w:name="_Toc184310318"/>
      <w:bookmarkEnd w:id="143"/>
      <w:bookmarkStart w:id="144" w:name="_Toc184313261"/>
      <w:bookmarkEnd w:id="144"/>
      <w:bookmarkStart w:id="145" w:name="_Toc184310296"/>
      <w:bookmarkEnd w:id="145"/>
      <w:bookmarkStart w:id="146" w:name="_Toc184314476"/>
      <w:bookmarkEnd w:id="146"/>
      <w:bookmarkStart w:id="147" w:name="_Toc184314468"/>
      <w:bookmarkEnd w:id="147"/>
      <w:bookmarkStart w:id="148" w:name="_Toc184313257"/>
      <w:bookmarkEnd w:id="148"/>
      <w:bookmarkStart w:id="149" w:name="_Toc184310321"/>
      <w:bookmarkEnd w:id="149"/>
      <w:bookmarkStart w:id="150" w:name="_Toc184310303"/>
      <w:bookmarkEnd w:id="150"/>
      <w:bookmarkStart w:id="151" w:name="_Toc184308037"/>
      <w:bookmarkEnd w:id="151"/>
      <w:bookmarkStart w:id="152" w:name="_Toc184312106"/>
      <w:bookmarkEnd w:id="152"/>
      <w:bookmarkStart w:id="153" w:name="_Toc184312100"/>
      <w:bookmarkEnd w:id="153"/>
      <w:bookmarkStart w:id="154" w:name="_Toc184314422"/>
      <w:bookmarkEnd w:id="154"/>
      <w:bookmarkStart w:id="155" w:name="_Toc184313299"/>
      <w:bookmarkEnd w:id="155"/>
      <w:bookmarkStart w:id="156" w:name="_Toc184312133"/>
      <w:bookmarkEnd w:id="156"/>
      <w:bookmarkStart w:id="157" w:name="_Toc184310294"/>
      <w:bookmarkEnd w:id="157"/>
      <w:bookmarkStart w:id="158" w:name="_Toc184313242"/>
      <w:bookmarkEnd w:id="158"/>
      <w:bookmarkStart w:id="159" w:name="_Toc184313254"/>
      <w:bookmarkEnd w:id="159"/>
      <w:bookmarkStart w:id="160" w:name="_Toc184314412"/>
      <w:bookmarkEnd w:id="160"/>
      <w:bookmarkStart w:id="161" w:name="_Toc184314478"/>
      <w:bookmarkEnd w:id="161"/>
      <w:bookmarkStart w:id="162" w:name="_Toc184314469"/>
      <w:bookmarkEnd w:id="162"/>
      <w:bookmarkStart w:id="163" w:name="_Toc184308061"/>
      <w:bookmarkEnd w:id="163"/>
      <w:bookmarkStart w:id="164" w:name="_Toc184312138"/>
      <w:bookmarkEnd w:id="164"/>
      <w:bookmarkStart w:id="165" w:name="_Toc184308069"/>
      <w:bookmarkEnd w:id="165"/>
      <w:bookmarkStart w:id="166" w:name="_Toc184313273"/>
      <w:bookmarkEnd w:id="166"/>
      <w:bookmarkStart w:id="167" w:name="_Toc184312067"/>
      <w:bookmarkEnd w:id="167"/>
      <w:bookmarkStart w:id="168" w:name="_Toc184308055"/>
      <w:bookmarkEnd w:id="168"/>
      <w:bookmarkStart w:id="169" w:name="_Toc184313260"/>
      <w:bookmarkEnd w:id="169"/>
      <w:bookmarkStart w:id="170" w:name="_Toc184313241"/>
      <w:bookmarkEnd w:id="170"/>
      <w:bookmarkStart w:id="171" w:name="_Toc184310275"/>
      <w:bookmarkEnd w:id="171"/>
      <w:bookmarkStart w:id="172" w:name="_Toc184310293"/>
      <w:bookmarkEnd w:id="172"/>
      <w:bookmarkStart w:id="173" w:name="_Toc184313268"/>
      <w:bookmarkEnd w:id="173"/>
      <w:bookmarkStart w:id="174" w:name="_Toc184308108"/>
      <w:bookmarkEnd w:id="174"/>
      <w:bookmarkStart w:id="175" w:name="_Toc184308088"/>
      <w:bookmarkEnd w:id="175"/>
      <w:bookmarkStart w:id="176" w:name="_Toc184308079"/>
      <w:bookmarkEnd w:id="176"/>
      <w:bookmarkStart w:id="177" w:name="_Toc184314454"/>
      <w:bookmarkEnd w:id="177"/>
      <w:bookmarkStart w:id="178" w:name="_Toc184310295"/>
      <w:bookmarkEnd w:id="178"/>
      <w:bookmarkStart w:id="179" w:name="_Toc184310331"/>
      <w:bookmarkEnd w:id="179"/>
      <w:bookmarkStart w:id="180" w:name="_Toc184308073"/>
      <w:bookmarkEnd w:id="180"/>
      <w:bookmarkStart w:id="181" w:name="_Toc184310325"/>
      <w:bookmarkEnd w:id="181"/>
      <w:bookmarkStart w:id="182" w:name="_Toc184312079"/>
      <w:bookmarkEnd w:id="182"/>
      <w:bookmarkStart w:id="183" w:name="_Toc184310292"/>
      <w:bookmarkEnd w:id="183"/>
      <w:bookmarkStart w:id="184" w:name="_Toc184308078"/>
      <w:bookmarkEnd w:id="184"/>
      <w:bookmarkStart w:id="185" w:name="_Toc184312084"/>
      <w:bookmarkEnd w:id="185"/>
      <w:bookmarkStart w:id="186" w:name="_Toc184314446"/>
      <w:bookmarkEnd w:id="186"/>
      <w:bookmarkStart w:id="187" w:name="_Toc184308050"/>
      <w:bookmarkEnd w:id="187"/>
      <w:bookmarkStart w:id="188" w:name="_Toc184308083"/>
      <w:bookmarkEnd w:id="188"/>
      <w:bookmarkStart w:id="189" w:name="_Toc184314463"/>
      <w:bookmarkEnd w:id="189"/>
      <w:bookmarkStart w:id="190" w:name="_Toc184314410"/>
      <w:bookmarkEnd w:id="190"/>
      <w:bookmarkStart w:id="191" w:name="_Toc184314470"/>
      <w:bookmarkEnd w:id="191"/>
      <w:bookmarkStart w:id="192" w:name="_Toc184308048"/>
      <w:bookmarkEnd w:id="192"/>
      <w:bookmarkStart w:id="193" w:name="_Toc184312092"/>
      <w:bookmarkEnd w:id="193"/>
      <w:bookmarkStart w:id="194" w:name="_Toc184314456"/>
      <w:bookmarkEnd w:id="194"/>
      <w:bookmarkStart w:id="195" w:name="_Toc184313251"/>
      <w:bookmarkEnd w:id="195"/>
      <w:bookmarkStart w:id="196" w:name="_Toc184313239"/>
      <w:bookmarkEnd w:id="196"/>
      <w:bookmarkStart w:id="197" w:name="_Toc184312074"/>
      <w:bookmarkEnd w:id="197"/>
      <w:bookmarkStart w:id="198" w:name="_Toc184313310"/>
      <w:bookmarkEnd w:id="198"/>
      <w:bookmarkStart w:id="199" w:name="_Toc184314438"/>
      <w:bookmarkEnd w:id="199"/>
      <w:bookmarkStart w:id="200" w:name="_Toc184313263"/>
      <w:bookmarkEnd w:id="200"/>
      <w:bookmarkStart w:id="201" w:name="_Toc184308042"/>
      <w:bookmarkEnd w:id="201"/>
      <w:bookmarkStart w:id="202" w:name="_Toc184310305"/>
      <w:bookmarkEnd w:id="202"/>
      <w:bookmarkStart w:id="203" w:name="_Toc184313269"/>
      <w:bookmarkEnd w:id="203"/>
      <w:bookmarkStart w:id="204" w:name="_Toc184313264"/>
      <w:bookmarkEnd w:id="204"/>
      <w:bookmarkStart w:id="205" w:name="_Toc184313303"/>
      <w:bookmarkEnd w:id="205"/>
      <w:bookmarkStart w:id="206" w:name="_Toc184314479"/>
      <w:bookmarkEnd w:id="206"/>
      <w:bookmarkStart w:id="207" w:name="_Toc184314457"/>
      <w:bookmarkEnd w:id="207"/>
      <w:bookmarkStart w:id="208" w:name="_Toc184313281"/>
      <w:bookmarkEnd w:id="208"/>
      <w:bookmarkStart w:id="209" w:name="_Toc184312087"/>
      <w:bookmarkEnd w:id="209"/>
      <w:bookmarkStart w:id="210" w:name="_Toc184310322"/>
      <w:bookmarkEnd w:id="210"/>
      <w:bookmarkStart w:id="211" w:name="_Toc184308089"/>
      <w:bookmarkEnd w:id="211"/>
      <w:bookmarkStart w:id="212" w:name="_Toc184310272"/>
      <w:bookmarkEnd w:id="212"/>
      <w:bookmarkStart w:id="213" w:name="_Toc184308044"/>
      <w:bookmarkEnd w:id="213"/>
      <w:bookmarkStart w:id="214" w:name="_Toc184312095"/>
      <w:bookmarkEnd w:id="214"/>
      <w:bookmarkStart w:id="215" w:name="_Toc184310315"/>
      <w:bookmarkEnd w:id="215"/>
      <w:bookmarkStart w:id="216" w:name="_Toc184308098"/>
      <w:bookmarkEnd w:id="216"/>
      <w:bookmarkStart w:id="217" w:name="_Toc184312098"/>
      <w:bookmarkEnd w:id="217"/>
      <w:bookmarkStart w:id="218" w:name="_Toc184308082"/>
      <w:bookmarkEnd w:id="218"/>
      <w:bookmarkStart w:id="219" w:name="_Toc184310310"/>
      <w:bookmarkEnd w:id="219"/>
      <w:bookmarkStart w:id="220" w:name="_Toc184312078"/>
      <w:bookmarkEnd w:id="220"/>
      <w:bookmarkStart w:id="221" w:name="_Toc184313297"/>
      <w:bookmarkEnd w:id="221"/>
      <w:bookmarkStart w:id="222" w:name="_Toc184308065"/>
      <w:bookmarkEnd w:id="222"/>
      <w:bookmarkStart w:id="223" w:name="_Toc184312105"/>
      <w:bookmarkEnd w:id="223"/>
      <w:bookmarkStart w:id="224" w:name="_Toc184313288"/>
      <w:bookmarkEnd w:id="224"/>
      <w:bookmarkStart w:id="225" w:name="_Toc184308067"/>
      <w:bookmarkEnd w:id="225"/>
      <w:bookmarkStart w:id="226" w:name="_Toc184314435"/>
      <w:bookmarkEnd w:id="226"/>
      <w:bookmarkStart w:id="227" w:name="_Toc184312070"/>
      <w:bookmarkEnd w:id="227"/>
      <w:bookmarkStart w:id="228" w:name="_Toc184310284"/>
      <w:bookmarkEnd w:id="228"/>
      <w:bookmarkStart w:id="229" w:name="_Toc184310316"/>
      <w:bookmarkEnd w:id="229"/>
      <w:bookmarkStart w:id="230" w:name="_Toc184310343"/>
      <w:bookmarkEnd w:id="230"/>
      <w:bookmarkStart w:id="231" w:name="_Toc184310341"/>
      <w:bookmarkEnd w:id="231"/>
      <w:bookmarkStart w:id="232" w:name="_Toc184312085"/>
      <w:bookmarkEnd w:id="232"/>
      <w:bookmarkStart w:id="233" w:name="_Toc184314421"/>
      <w:bookmarkEnd w:id="233"/>
      <w:bookmarkStart w:id="234" w:name="_Toc184308071"/>
      <w:bookmarkEnd w:id="234"/>
      <w:bookmarkStart w:id="235" w:name="_Toc184312124"/>
      <w:bookmarkEnd w:id="235"/>
      <w:bookmarkStart w:id="236" w:name="_Toc184310304"/>
      <w:bookmarkEnd w:id="236"/>
      <w:bookmarkStart w:id="237" w:name="_Toc184310324"/>
      <w:bookmarkEnd w:id="237"/>
      <w:bookmarkStart w:id="238" w:name="_Toc184312107"/>
      <w:bookmarkEnd w:id="238"/>
      <w:bookmarkStart w:id="239" w:name="_Toc184313298"/>
      <w:bookmarkEnd w:id="239"/>
      <w:bookmarkStart w:id="240" w:name="_Toc184314445"/>
      <w:bookmarkEnd w:id="240"/>
      <w:bookmarkStart w:id="241" w:name="_Toc184314451"/>
      <w:bookmarkEnd w:id="241"/>
      <w:bookmarkStart w:id="242" w:name="_Toc184313265"/>
      <w:bookmarkEnd w:id="242"/>
      <w:bookmarkStart w:id="243" w:name="_Toc184314474"/>
      <w:bookmarkEnd w:id="243"/>
      <w:bookmarkStart w:id="244" w:name="_Toc184308047"/>
      <w:bookmarkEnd w:id="244"/>
      <w:bookmarkStart w:id="245" w:name="_Toc184314425"/>
      <w:bookmarkEnd w:id="245"/>
      <w:bookmarkStart w:id="246" w:name="_Toc184313290"/>
      <w:bookmarkEnd w:id="246"/>
      <w:bookmarkStart w:id="247" w:name="_Toc184314449"/>
      <w:bookmarkEnd w:id="247"/>
      <w:bookmarkStart w:id="248" w:name="_Toc184312110"/>
      <w:bookmarkEnd w:id="248"/>
      <w:bookmarkStart w:id="249" w:name="_Toc184313289"/>
      <w:bookmarkEnd w:id="249"/>
      <w:bookmarkStart w:id="250" w:name="_Toc184312109"/>
      <w:bookmarkEnd w:id="250"/>
      <w:bookmarkStart w:id="251" w:name="_Toc184313256"/>
      <w:bookmarkEnd w:id="251"/>
      <w:bookmarkStart w:id="252" w:name="_Toc184312117"/>
      <w:bookmarkEnd w:id="252"/>
      <w:bookmarkStart w:id="253" w:name="_Toc184312114"/>
      <w:bookmarkEnd w:id="253"/>
      <w:bookmarkStart w:id="254" w:name="_Toc184308054"/>
      <w:bookmarkEnd w:id="254"/>
      <w:bookmarkStart w:id="255" w:name="_Toc184313284"/>
      <w:bookmarkEnd w:id="255"/>
      <w:bookmarkStart w:id="256" w:name="_Toc184314477"/>
      <w:bookmarkEnd w:id="256"/>
      <w:bookmarkStart w:id="257" w:name="_Toc184313277"/>
      <w:bookmarkEnd w:id="257"/>
      <w:bookmarkStart w:id="258" w:name="_Toc184314426"/>
      <w:bookmarkEnd w:id="258"/>
      <w:bookmarkStart w:id="259" w:name="_Toc184314444"/>
      <w:bookmarkEnd w:id="259"/>
      <w:bookmarkStart w:id="260" w:name="_Toc184308087"/>
      <w:bookmarkEnd w:id="260"/>
      <w:bookmarkStart w:id="261" w:name="_Toc184314431"/>
      <w:bookmarkEnd w:id="261"/>
      <w:bookmarkStart w:id="262" w:name="_Toc184314423"/>
      <w:bookmarkEnd w:id="262"/>
      <w:bookmarkStart w:id="263" w:name="_Toc184313267"/>
      <w:bookmarkEnd w:id="263"/>
      <w:bookmarkStart w:id="264" w:name="_Toc184310328"/>
      <w:bookmarkEnd w:id="264"/>
      <w:bookmarkStart w:id="265" w:name="_Toc184313259"/>
      <w:bookmarkEnd w:id="265"/>
      <w:bookmarkStart w:id="266" w:name="_Toc184310342"/>
      <w:bookmarkEnd w:id="266"/>
      <w:bookmarkStart w:id="267" w:name="_Toc184313307"/>
      <w:bookmarkEnd w:id="267"/>
      <w:bookmarkStart w:id="268" w:name="_Toc184314482"/>
      <w:bookmarkEnd w:id="268"/>
      <w:bookmarkStart w:id="269" w:name="_Toc184312080"/>
      <w:bookmarkEnd w:id="269"/>
      <w:bookmarkStart w:id="270" w:name="_Toc184310327"/>
      <w:bookmarkEnd w:id="270"/>
      <w:bookmarkStart w:id="271" w:name="_Toc184313305"/>
      <w:bookmarkEnd w:id="271"/>
      <w:bookmarkStart w:id="272" w:name="_Toc184314424"/>
      <w:bookmarkEnd w:id="272"/>
      <w:bookmarkStart w:id="273" w:name="_Toc184313309"/>
      <w:bookmarkEnd w:id="273"/>
      <w:bookmarkStart w:id="274" w:name="_Toc184313285"/>
      <w:bookmarkEnd w:id="274"/>
      <w:bookmarkStart w:id="275" w:name="_Toc184308080"/>
      <w:bookmarkEnd w:id="275"/>
      <w:bookmarkStart w:id="276" w:name="_Toc184314434"/>
      <w:bookmarkEnd w:id="276"/>
      <w:bookmarkStart w:id="277" w:name="_Toc184313283"/>
      <w:bookmarkEnd w:id="277"/>
      <w:bookmarkStart w:id="278" w:name="_Toc184313306"/>
      <w:bookmarkEnd w:id="278"/>
      <w:bookmarkStart w:id="279" w:name="_Toc184310281"/>
      <w:bookmarkEnd w:id="279"/>
      <w:bookmarkStart w:id="280" w:name="_Toc184308072"/>
      <w:bookmarkEnd w:id="280"/>
      <w:bookmarkStart w:id="281" w:name="_Toc184313292"/>
      <w:bookmarkEnd w:id="281"/>
      <w:bookmarkStart w:id="282" w:name="_Toc184314480"/>
      <w:bookmarkEnd w:id="282"/>
      <w:bookmarkStart w:id="283" w:name="_Toc184313246"/>
      <w:bookmarkEnd w:id="283"/>
      <w:bookmarkStart w:id="284" w:name="_Toc184312125"/>
      <w:bookmarkEnd w:id="284"/>
      <w:bookmarkStart w:id="285" w:name="_Toc184313252"/>
      <w:bookmarkEnd w:id="285"/>
      <w:bookmarkStart w:id="286" w:name="_Toc184312097"/>
      <w:bookmarkEnd w:id="286"/>
      <w:bookmarkStart w:id="287" w:name="_Toc184312139"/>
      <w:bookmarkEnd w:id="287"/>
      <w:bookmarkStart w:id="288" w:name="_Toc184313248"/>
      <w:bookmarkEnd w:id="288"/>
      <w:bookmarkStart w:id="289" w:name="_Toc184312119"/>
      <w:bookmarkEnd w:id="289"/>
      <w:bookmarkStart w:id="290" w:name="_Toc184312137"/>
      <w:bookmarkEnd w:id="290"/>
      <w:bookmarkStart w:id="291" w:name="_Toc184313255"/>
      <w:bookmarkEnd w:id="291"/>
      <w:bookmarkStart w:id="292" w:name="_Toc184308068"/>
      <w:bookmarkEnd w:id="292"/>
      <w:bookmarkStart w:id="293" w:name="_Toc184313282"/>
      <w:bookmarkEnd w:id="293"/>
      <w:bookmarkStart w:id="294" w:name="_Toc184310280"/>
      <w:bookmarkEnd w:id="294"/>
      <w:bookmarkStart w:id="295" w:name="_Toc184310335"/>
      <w:bookmarkEnd w:id="295"/>
      <w:bookmarkStart w:id="296" w:name="_Toc184313262"/>
      <w:bookmarkEnd w:id="296"/>
      <w:bookmarkStart w:id="297" w:name="_Toc184312116"/>
      <w:bookmarkEnd w:id="297"/>
      <w:bookmarkStart w:id="298" w:name="_Toc184314429"/>
      <w:bookmarkEnd w:id="298"/>
      <w:bookmarkStart w:id="299" w:name="_Toc184314413"/>
      <w:bookmarkEnd w:id="299"/>
      <w:bookmarkStart w:id="300" w:name="_Toc184310283"/>
      <w:bookmarkEnd w:id="300"/>
      <w:bookmarkStart w:id="301" w:name="_Toc184312077"/>
      <w:bookmarkEnd w:id="301"/>
      <w:bookmarkStart w:id="302" w:name="_Toc184313291"/>
      <w:bookmarkEnd w:id="302"/>
      <w:bookmarkStart w:id="303" w:name="_Toc184312088"/>
      <w:bookmarkEnd w:id="303"/>
      <w:bookmarkStart w:id="304" w:name="_Toc184312129"/>
      <w:bookmarkEnd w:id="304"/>
      <w:bookmarkStart w:id="305" w:name="_Toc184314455"/>
      <w:bookmarkEnd w:id="305"/>
      <w:bookmarkStart w:id="306" w:name="_Toc184314416"/>
      <w:bookmarkEnd w:id="306"/>
      <w:bookmarkStart w:id="307" w:name="_Toc184313286"/>
      <w:bookmarkEnd w:id="307"/>
      <w:bookmarkStart w:id="308" w:name="_Toc184314430"/>
      <w:bookmarkEnd w:id="308"/>
      <w:bookmarkStart w:id="309" w:name="_Toc184308103"/>
      <w:bookmarkEnd w:id="309"/>
      <w:bookmarkStart w:id="310" w:name="_Toc184314418"/>
      <w:bookmarkEnd w:id="310"/>
      <w:bookmarkStart w:id="311" w:name="_Toc184310319"/>
      <w:bookmarkEnd w:id="311"/>
      <w:bookmarkStart w:id="312" w:name="_Toc184308060"/>
      <w:bookmarkEnd w:id="312"/>
      <w:bookmarkStart w:id="313" w:name="_Toc184313271"/>
      <w:bookmarkEnd w:id="313"/>
      <w:bookmarkStart w:id="314" w:name="_Toc184312091"/>
      <w:bookmarkEnd w:id="314"/>
      <w:bookmarkStart w:id="315" w:name="_Toc184314417"/>
      <w:bookmarkEnd w:id="315"/>
      <w:bookmarkStart w:id="316" w:name="_Toc184314415"/>
      <w:bookmarkEnd w:id="316"/>
      <w:bookmarkStart w:id="317" w:name="_Toc184314465"/>
      <w:bookmarkEnd w:id="317"/>
      <w:bookmarkStart w:id="318" w:name="_Toc184310332"/>
      <w:bookmarkEnd w:id="318"/>
      <w:bookmarkStart w:id="319" w:name="_Toc184310340"/>
      <w:bookmarkEnd w:id="319"/>
      <w:bookmarkStart w:id="320" w:name="_Toc184308099"/>
      <w:bookmarkEnd w:id="320"/>
      <w:bookmarkStart w:id="321" w:name="_Toc184308046"/>
      <w:bookmarkEnd w:id="321"/>
      <w:bookmarkStart w:id="322" w:name="_Toc184310273"/>
      <w:bookmarkEnd w:id="322"/>
      <w:bookmarkStart w:id="323" w:name="_Toc184310308"/>
      <w:bookmarkEnd w:id="323"/>
      <w:bookmarkStart w:id="324" w:name="_Toc184310298"/>
      <w:bookmarkEnd w:id="324"/>
      <w:bookmarkStart w:id="325" w:name="_Toc184310339"/>
      <w:bookmarkEnd w:id="325"/>
      <w:bookmarkStart w:id="326" w:name="_Toc184312121"/>
      <w:bookmarkEnd w:id="326"/>
      <w:bookmarkStart w:id="327" w:name="_Toc184310338"/>
      <w:bookmarkEnd w:id="327"/>
      <w:bookmarkStart w:id="328" w:name="_Toc184312108"/>
      <w:bookmarkEnd w:id="328"/>
      <w:bookmarkStart w:id="329" w:name="_Toc184308053"/>
      <w:bookmarkEnd w:id="329"/>
      <w:bookmarkStart w:id="330" w:name="_Toc184314420"/>
      <w:bookmarkEnd w:id="330"/>
      <w:bookmarkStart w:id="331" w:name="_Toc184310276"/>
      <w:bookmarkEnd w:id="331"/>
      <w:bookmarkStart w:id="332" w:name="_Toc184314414"/>
      <w:bookmarkEnd w:id="332"/>
      <w:bookmarkStart w:id="333" w:name="_Toc184313295"/>
      <w:bookmarkEnd w:id="333"/>
      <w:bookmarkStart w:id="334" w:name="_Toc184313304"/>
      <w:bookmarkEnd w:id="334"/>
      <w:bookmarkStart w:id="335" w:name="_Toc184310311"/>
      <w:bookmarkEnd w:id="335"/>
      <w:bookmarkStart w:id="336" w:name="_Toc184314464"/>
      <w:bookmarkEnd w:id="336"/>
      <w:bookmarkStart w:id="337" w:name="_Toc184308090"/>
      <w:bookmarkEnd w:id="337"/>
      <w:bookmarkStart w:id="338" w:name="_Toc184308106"/>
      <w:bookmarkEnd w:id="338"/>
      <w:bookmarkStart w:id="339" w:name="_Toc184312082"/>
      <w:bookmarkEnd w:id="339"/>
      <w:bookmarkStart w:id="340" w:name="_Toc184308092"/>
      <w:bookmarkEnd w:id="340"/>
      <w:bookmarkStart w:id="341" w:name="_Toc184308039"/>
      <w:bookmarkEnd w:id="341"/>
      <w:bookmarkStart w:id="342" w:name="_Toc184313275"/>
      <w:bookmarkEnd w:id="342"/>
      <w:bookmarkStart w:id="343" w:name="_Toc184314441"/>
      <w:bookmarkEnd w:id="343"/>
      <w:bookmarkStart w:id="344" w:name="_Toc184308049"/>
      <w:bookmarkEnd w:id="344"/>
      <w:bookmarkStart w:id="345" w:name="_Toc184308052"/>
      <w:bookmarkEnd w:id="345"/>
      <w:bookmarkStart w:id="346" w:name="_Toc184314471"/>
      <w:bookmarkEnd w:id="346"/>
      <w:bookmarkStart w:id="347" w:name="_Toc184314447"/>
      <w:bookmarkEnd w:id="347"/>
      <w:bookmarkStart w:id="348" w:name="_Toc184312111"/>
      <w:bookmarkEnd w:id="348"/>
      <w:bookmarkStart w:id="349" w:name="_Toc184313294"/>
      <w:bookmarkEnd w:id="349"/>
      <w:bookmarkStart w:id="350" w:name="_Toc184312130"/>
      <w:bookmarkEnd w:id="350"/>
      <w:bookmarkStart w:id="351" w:name="_Toc184312093"/>
      <w:bookmarkEnd w:id="351"/>
      <w:bookmarkStart w:id="352" w:name="_Toc184308043"/>
      <w:bookmarkEnd w:id="352"/>
      <w:bookmarkStart w:id="353" w:name="_Toc184312081"/>
      <w:bookmarkEnd w:id="353"/>
      <w:bookmarkStart w:id="354" w:name="_Toc184308038"/>
      <w:bookmarkEnd w:id="354"/>
      <w:bookmarkStart w:id="355" w:name="_Toc184310302"/>
      <w:bookmarkEnd w:id="355"/>
      <w:bookmarkStart w:id="356" w:name="_Toc184308107"/>
      <w:bookmarkEnd w:id="356"/>
      <w:bookmarkStart w:id="357" w:name="_Toc184314442"/>
      <w:bookmarkEnd w:id="357"/>
      <w:bookmarkStart w:id="358" w:name="_Toc184314437"/>
      <w:bookmarkEnd w:id="358"/>
      <w:bookmarkStart w:id="359" w:name="_Toc184308076"/>
      <w:bookmarkEnd w:id="359"/>
      <w:bookmarkStart w:id="360" w:name="_Toc184313258"/>
      <w:bookmarkEnd w:id="360"/>
      <w:bookmarkStart w:id="361" w:name="_Toc184313247"/>
      <w:bookmarkEnd w:id="361"/>
      <w:bookmarkStart w:id="362" w:name="_Toc184310297"/>
      <w:bookmarkEnd w:id="362"/>
      <w:bookmarkStart w:id="363" w:name="_Toc184313300"/>
      <w:bookmarkEnd w:id="363"/>
      <w:bookmarkStart w:id="364" w:name="_Toc184314466"/>
      <w:bookmarkEnd w:id="364"/>
      <w:bookmarkStart w:id="365" w:name="_Toc184314472"/>
      <w:bookmarkEnd w:id="365"/>
      <w:bookmarkStart w:id="366" w:name="_Toc184310317"/>
      <w:bookmarkEnd w:id="366"/>
      <w:bookmarkStart w:id="367" w:name="_Toc184310282"/>
      <w:bookmarkEnd w:id="367"/>
      <w:bookmarkStart w:id="368" w:name="_Toc184312068"/>
      <w:bookmarkEnd w:id="368"/>
      <w:bookmarkStart w:id="369" w:name="_Toc184308104"/>
      <w:bookmarkEnd w:id="369"/>
      <w:bookmarkStart w:id="370" w:name="_Toc184310279"/>
      <w:bookmarkEnd w:id="370"/>
      <w:bookmarkStart w:id="371" w:name="_Toc184308056"/>
      <w:bookmarkEnd w:id="371"/>
      <w:bookmarkStart w:id="372" w:name="_Toc184310309"/>
      <w:bookmarkEnd w:id="372"/>
      <w:bookmarkStart w:id="373" w:name="_Toc184310344"/>
      <w:bookmarkEnd w:id="373"/>
      <w:bookmarkStart w:id="374" w:name="_Toc184312123"/>
      <w:bookmarkEnd w:id="374"/>
      <w:bookmarkStart w:id="375" w:name="_Toc184310336"/>
      <w:bookmarkEnd w:id="375"/>
      <w:bookmarkStart w:id="376" w:name="_Toc184314481"/>
      <w:bookmarkEnd w:id="376"/>
      <w:bookmarkStart w:id="377" w:name="_Toc184312103"/>
      <w:bookmarkEnd w:id="377"/>
      <w:bookmarkStart w:id="378" w:name="_Toc184308057"/>
      <w:bookmarkEnd w:id="378"/>
      <w:bookmarkStart w:id="379" w:name="_Toc184312118"/>
      <w:bookmarkEnd w:id="379"/>
      <w:bookmarkStart w:id="380" w:name="_Toc184313302"/>
      <w:bookmarkEnd w:id="380"/>
      <w:bookmarkStart w:id="381" w:name="_Toc184313243"/>
      <w:bookmarkEnd w:id="381"/>
      <w:bookmarkStart w:id="382" w:name="_Toc184310320"/>
      <w:bookmarkEnd w:id="382"/>
      <w:bookmarkStart w:id="383" w:name="_Toc184313270"/>
      <w:bookmarkEnd w:id="383"/>
      <w:bookmarkStart w:id="384" w:name="_Toc184308096"/>
      <w:bookmarkEnd w:id="384"/>
      <w:bookmarkStart w:id="385" w:name="_Toc184310300"/>
      <w:bookmarkEnd w:id="385"/>
      <w:bookmarkStart w:id="386" w:name="_Toc184312112"/>
      <w:bookmarkEnd w:id="386"/>
      <w:bookmarkStart w:id="387" w:name="_Toc184314419"/>
      <w:bookmarkEnd w:id="387"/>
      <w:bookmarkStart w:id="388" w:name="_Toc184308063"/>
      <w:bookmarkEnd w:id="388"/>
      <w:bookmarkStart w:id="389" w:name="_Toc184314443"/>
      <w:bookmarkEnd w:id="389"/>
      <w:bookmarkStart w:id="390" w:name="_Toc184310307"/>
      <w:bookmarkEnd w:id="390"/>
      <w:bookmarkStart w:id="391" w:name="_Toc184310326"/>
      <w:bookmarkEnd w:id="391"/>
      <w:bookmarkStart w:id="392" w:name="_Toc184314436"/>
      <w:bookmarkEnd w:id="392"/>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1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5238"/>
        <w:gridCol w:w="823"/>
        <w:gridCol w:w="1061"/>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ind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评标标准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权重</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主观分/客观分属性</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投标文件中评标标准相应的商务技术资料目录*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根据投标人针对本项目的服务能力：</w:t>
            </w:r>
          </w:p>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1、</w:t>
            </w:r>
            <w:r>
              <w:rPr>
                <w:rFonts w:hint="eastAsia" w:ascii="宋体" w:hAnsi="宋体" w:eastAsia="宋体" w:cs="宋体"/>
                <w:b/>
                <w:bCs/>
                <w:i w:val="0"/>
                <w:iCs w:val="0"/>
                <w:color w:val="000000"/>
                <w:kern w:val="0"/>
                <w:sz w:val="24"/>
                <w:szCs w:val="24"/>
                <w:highlight w:val="none"/>
                <w:u w:val="none"/>
                <w:lang w:val="en-US" w:eastAsia="zh-CN" w:bidi="ar"/>
              </w:rPr>
              <w:t>等保测评服务中所使用的安全测评工具软件：</w:t>
            </w:r>
            <w:r>
              <w:rPr>
                <w:rFonts w:hint="eastAsia" w:ascii="宋体" w:hAnsi="宋体" w:eastAsia="宋体" w:cs="宋体"/>
                <w:i w:val="0"/>
                <w:iCs w:val="0"/>
                <w:color w:val="000000"/>
                <w:kern w:val="0"/>
                <w:sz w:val="24"/>
                <w:szCs w:val="24"/>
                <w:highlight w:val="none"/>
                <w:u w:val="none"/>
                <w:lang w:val="en-US" w:eastAsia="zh-CN" w:bidi="ar"/>
              </w:rPr>
              <w:t>（1）等保工具箱（2）商用密码检测工具（3）软件测试工具（4）代码审计工具。</w:t>
            </w:r>
          </w:p>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数据库审计服务：</w:t>
            </w:r>
            <w:r>
              <w:rPr>
                <w:rFonts w:hint="eastAsia" w:ascii="宋体" w:hAnsi="宋体" w:eastAsia="宋体" w:cs="宋体"/>
                <w:i w:val="0"/>
                <w:iCs w:val="0"/>
                <w:color w:val="000000"/>
                <w:kern w:val="0"/>
                <w:sz w:val="24"/>
                <w:szCs w:val="24"/>
                <w:highlight w:val="none"/>
                <w:u w:val="none"/>
                <w:lang w:val="en-US" w:eastAsia="zh-CN" w:bidi="ar"/>
              </w:rPr>
              <w:t>（1）模块支持、（2）数据库类型支持、（3）攻击识别防御、（4）操作告警记录、（5）数据库审计策略、（6）事件识别、（7）人工监测、（8）资源优化调整。</w:t>
            </w:r>
          </w:p>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4874CB"/>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政务网云日志审计服务：</w:t>
            </w:r>
            <w:r>
              <w:rPr>
                <w:rFonts w:hint="eastAsia" w:ascii="宋体" w:hAnsi="宋体" w:eastAsia="宋体" w:cs="宋体"/>
                <w:i w:val="0"/>
                <w:iCs w:val="0"/>
                <w:color w:val="000000"/>
                <w:kern w:val="0"/>
                <w:sz w:val="24"/>
                <w:szCs w:val="24"/>
                <w:highlight w:val="none"/>
                <w:u w:val="none"/>
                <w:lang w:val="en-US" w:eastAsia="zh-CN" w:bidi="ar"/>
              </w:rPr>
              <w:t>（1）大数据联调功能</w:t>
            </w:r>
            <w:r>
              <w:rPr>
                <w:rFonts w:hint="eastAsia" w:ascii="宋体" w:hAnsi="宋体" w:eastAsia="宋体" w:cs="宋体"/>
                <w:i w:val="0"/>
                <w:iCs w:val="0"/>
                <w:color w:val="4874CB"/>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（2）日志采集能力、（3）日志解析能力、（4）安全评估模型能力</w:t>
            </w:r>
            <w:r>
              <w:rPr>
                <w:rFonts w:hint="eastAsia" w:ascii="宋体" w:hAnsi="宋体" w:cs="宋体"/>
                <w:i w:val="0"/>
                <w:iCs w:val="0"/>
                <w:color w:val="000000"/>
                <w:kern w:val="0"/>
                <w:sz w:val="24"/>
                <w:szCs w:val="24"/>
                <w:highlight w:val="none"/>
                <w:u w:val="none"/>
                <w:lang w:val="en-US" w:eastAsia="zh-CN" w:bidi="ar"/>
              </w:rPr>
              <w:t>、（5）应用性能监控[提供</w:t>
            </w:r>
            <w:r>
              <w:rPr>
                <w:rFonts w:hint="eastAsia" w:ascii="宋体" w:hAnsi="宋体" w:cs="宋体"/>
                <w:color w:val="000000"/>
                <w:kern w:val="0"/>
                <w:sz w:val="24"/>
                <w:highlight w:val="none"/>
                <w:u w:val="none"/>
                <w:lang w:bidi="ar"/>
              </w:rPr>
              <w:t>具备CMA资质或国家权威检测机构认可的第三方机构出具的检测报告</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4874CB"/>
                <w:kern w:val="0"/>
                <w:sz w:val="24"/>
                <w:szCs w:val="24"/>
                <w:highlight w:val="none"/>
                <w:u w:val="none"/>
                <w:lang w:val="en-US" w:eastAsia="zh-CN" w:bidi="ar"/>
              </w:rPr>
              <w:t>。</w:t>
            </w:r>
          </w:p>
          <w:p>
            <w:pPr>
              <w:pStyle w:val="2"/>
              <w:autoSpaceDE/>
              <w:autoSpaceDN/>
              <w:spacing w:beforeLines="50" w:afterLines="50" w:line="360" w:lineRule="exact"/>
              <w:rPr>
                <w:rFonts w:hint="eastAsia" w:hAnsi="宋体" w:cs="宋体"/>
                <w:i w:val="0"/>
                <w:iCs w:val="0"/>
                <w:color w:val="auto"/>
                <w:kern w:val="0"/>
                <w:sz w:val="24"/>
                <w:szCs w:val="24"/>
                <w:highlight w:val="none"/>
                <w:u w:val="none"/>
                <w:lang w:val="en-US" w:eastAsia="zh-CN" w:bidi="ar"/>
              </w:rPr>
            </w:pPr>
            <w:r>
              <w:rPr>
                <w:rFonts w:hint="eastAsia" w:hAnsi="宋体" w:cs="宋体"/>
                <w:b/>
                <w:bCs/>
                <w:i w:val="0"/>
                <w:iCs w:val="0"/>
                <w:snapToGrid/>
                <w:color w:val="auto"/>
                <w:kern w:val="0"/>
                <w:sz w:val="24"/>
                <w:szCs w:val="24"/>
                <w:highlight w:val="none"/>
                <w:u w:val="none"/>
                <w:lang w:val="en-US" w:eastAsia="zh-CN" w:bidi="ar"/>
              </w:rPr>
              <w:t>4、政务网态势感知服务：（</w:t>
            </w:r>
            <w:r>
              <w:rPr>
                <w:rFonts w:hint="eastAsia" w:hAnsi="宋体" w:cs="宋体"/>
                <w:i w:val="0"/>
                <w:iCs w:val="0"/>
                <w:color w:val="auto"/>
                <w:kern w:val="0"/>
                <w:sz w:val="24"/>
                <w:szCs w:val="24"/>
                <w:highlight w:val="none"/>
                <w:u w:val="none"/>
                <w:lang w:val="en-US" w:eastAsia="zh-CN" w:bidi="ar"/>
              </w:rPr>
              <w:t>1）安全模块集成、（2）前沿大数据智能安全威胁挖掘分析与预警管控能力。</w:t>
            </w:r>
          </w:p>
          <w:p>
            <w:pPr>
              <w:pStyle w:val="3"/>
              <w:autoSpaceDE/>
              <w:autoSpaceDN/>
              <w:spacing w:beforeLines="50" w:afterLines="50" w:line="360" w:lineRule="exact"/>
              <w:ind w:firstLine="0"/>
              <w:rPr>
                <w:rFonts w:hint="default"/>
                <w:color w:val="auto"/>
                <w:highlight w:val="none"/>
                <w:lang w:val="en-US" w:eastAsia="zh-CN"/>
              </w:rPr>
            </w:pPr>
            <w:r>
              <w:rPr>
                <w:rFonts w:hint="eastAsia" w:hAnsi="宋体" w:cs="宋体"/>
                <w:b/>
                <w:bCs/>
                <w:i w:val="0"/>
                <w:iCs w:val="0"/>
                <w:color w:val="auto"/>
                <w:kern w:val="0"/>
                <w:sz w:val="24"/>
                <w:szCs w:val="24"/>
                <w:highlight w:val="none"/>
                <w:u w:val="none"/>
                <w:lang w:val="en-US" w:eastAsia="zh-CN" w:bidi="ar"/>
              </w:rPr>
              <w:t>5、SaaS化安全服务：</w:t>
            </w:r>
            <w:r>
              <w:rPr>
                <w:rFonts w:hint="eastAsia" w:hAnsi="宋体" w:cs="宋体"/>
                <w:i w:val="0"/>
                <w:iCs w:val="0"/>
                <w:color w:val="auto"/>
                <w:kern w:val="0"/>
                <w:sz w:val="24"/>
                <w:szCs w:val="24"/>
                <w:highlight w:val="none"/>
                <w:u w:val="none"/>
                <w:lang w:val="en-US" w:eastAsia="zh-CN" w:bidi="ar"/>
              </w:rPr>
              <w:t>（1）流量监测功能、（2）日志采集能力、（3）攻击防护安全策略、（4）云监测服务节点、（5）大规模漏洞扫描服务能力。</w:t>
            </w:r>
          </w:p>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6、</w:t>
            </w:r>
            <w:r>
              <w:rPr>
                <w:rFonts w:hint="eastAsia" w:ascii="宋体" w:hAnsi="宋体" w:eastAsia="宋体" w:cs="宋体"/>
                <w:b/>
                <w:bCs/>
                <w:i w:val="0"/>
                <w:iCs w:val="0"/>
                <w:color w:val="000000"/>
                <w:kern w:val="0"/>
                <w:sz w:val="24"/>
                <w:szCs w:val="24"/>
                <w:highlight w:val="none"/>
                <w:u w:val="none"/>
                <w:lang w:val="en-US" w:eastAsia="zh-CN" w:bidi="ar"/>
              </w:rPr>
              <w:t>公安网安全风险感知服务：</w:t>
            </w:r>
            <w:r>
              <w:rPr>
                <w:rFonts w:hint="eastAsia" w:ascii="宋体" w:hAnsi="宋体" w:eastAsia="宋体" w:cs="宋体"/>
                <w:i w:val="0"/>
                <w:iCs w:val="0"/>
                <w:color w:val="000000"/>
                <w:kern w:val="0"/>
                <w:sz w:val="24"/>
                <w:szCs w:val="24"/>
                <w:highlight w:val="none"/>
                <w:u w:val="none"/>
                <w:lang w:val="en-US" w:eastAsia="zh-CN" w:bidi="ar"/>
              </w:rPr>
              <w:t>（1）攻击态势、（2）告警分析、（3）威胁分析、（4）脆弱性分析</w:t>
            </w:r>
          </w:p>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7、</w:t>
            </w:r>
            <w:r>
              <w:rPr>
                <w:rFonts w:hint="eastAsia" w:ascii="宋体" w:hAnsi="宋体" w:eastAsia="宋体" w:cs="宋体"/>
                <w:b/>
                <w:bCs/>
                <w:i w:val="0"/>
                <w:iCs w:val="0"/>
                <w:color w:val="000000"/>
                <w:kern w:val="0"/>
                <w:sz w:val="24"/>
                <w:szCs w:val="24"/>
                <w:highlight w:val="none"/>
                <w:u w:val="none"/>
                <w:lang w:val="en-US" w:eastAsia="zh-CN" w:bidi="ar"/>
              </w:rPr>
              <w:t>公安网桌面云服务:</w:t>
            </w:r>
            <w:r>
              <w:rPr>
                <w:rFonts w:hint="eastAsia" w:ascii="宋体" w:hAnsi="宋体" w:eastAsia="宋体" w:cs="宋体"/>
                <w:i w:val="0"/>
                <w:iCs w:val="0"/>
                <w:color w:val="000000"/>
                <w:kern w:val="0"/>
                <w:sz w:val="24"/>
                <w:szCs w:val="24"/>
                <w:highlight w:val="none"/>
                <w:u w:val="none"/>
                <w:lang w:val="en-US" w:eastAsia="zh-CN" w:bidi="ar"/>
              </w:rPr>
              <w:t>（1）身份认证系统需提供2个种认证方式组合的身份认证登录截图证明（2）文件导出内容审计(3)内置应用管控技术。</w:t>
            </w:r>
          </w:p>
          <w:p>
            <w:pPr>
              <w:widowControl/>
              <w:spacing w:beforeLines="50" w:afterLines="50" w:line="360" w:lineRule="exact"/>
              <w:jc w:val="left"/>
              <w:textAlignment w:val="center"/>
              <w:rPr>
                <w:rFonts w:hint="eastAsia"/>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8、</w:t>
            </w:r>
            <w:r>
              <w:rPr>
                <w:rFonts w:hint="eastAsia" w:ascii="宋体" w:hAnsi="宋体" w:eastAsia="宋体" w:cs="宋体"/>
                <w:b/>
                <w:bCs/>
                <w:i w:val="0"/>
                <w:iCs w:val="0"/>
                <w:color w:val="000000"/>
                <w:kern w:val="0"/>
                <w:sz w:val="24"/>
                <w:szCs w:val="24"/>
                <w:highlight w:val="none"/>
                <w:u w:val="none"/>
                <w:lang w:val="en-US" w:eastAsia="zh-CN" w:bidi="ar"/>
              </w:rPr>
              <w:t>视频网终端杀毒服务：</w:t>
            </w:r>
            <w:r>
              <w:rPr>
                <w:rFonts w:hint="eastAsia" w:ascii="宋体" w:hAnsi="宋体" w:eastAsia="宋体" w:cs="宋体"/>
                <w:i w:val="0"/>
                <w:iCs w:val="0"/>
                <w:color w:val="000000"/>
                <w:kern w:val="0"/>
                <w:sz w:val="24"/>
                <w:szCs w:val="24"/>
                <w:highlight w:val="none"/>
                <w:u w:val="none"/>
                <w:lang w:val="en-US" w:eastAsia="zh-CN" w:bidi="ar"/>
              </w:rPr>
              <w:t>（1）病毒库更新、（2）病毒查杀、（3）终端立体防护、（4）文件系统防护和访问控制、（5）攻击拦截、（6）黑白名单扫描、（7）控制中心支持级联管理、（8）支持按CVE编号查询漏洞，支持按KB号查询漏洞，（9）简化补丁运维工作。</w:t>
            </w:r>
          </w:p>
          <w:p>
            <w:pPr>
              <w:keepNext w:val="0"/>
              <w:keepLines w:val="0"/>
              <w:widowControl/>
              <w:suppressLineNumbers w:val="0"/>
              <w:spacing w:beforeLines="50" w:afterLines="50" w:line="360" w:lineRule="exact"/>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提供软件或系统功能截图，并明确需求中对应的服务要求，每项不满足扣1分，满分3</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分，扣完为止。截图材料不满足采购需求对应服务要求或无有效证明材料不得分</w:t>
            </w:r>
            <w:r>
              <w:rPr>
                <w:rFonts w:hint="eastAsia" w:ascii="宋体" w:hAnsi="宋体" w:cs="宋体"/>
                <w:i w:val="0"/>
                <w:iCs w:val="0"/>
                <w:color w:val="000000"/>
                <w:kern w:val="0"/>
                <w:sz w:val="24"/>
                <w:szCs w:val="24"/>
                <w:highlight w:val="none"/>
                <w:u w:val="none"/>
                <w:lang w:val="en-US" w:eastAsia="zh-CN" w:bidi="ar"/>
              </w:rPr>
              <w:t>,要求提供</w:t>
            </w:r>
            <w:r>
              <w:rPr>
                <w:rFonts w:hint="eastAsia" w:ascii="宋体" w:hAnsi="宋体" w:cs="宋体"/>
                <w:color w:val="000000"/>
                <w:kern w:val="0"/>
                <w:sz w:val="24"/>
                <w:highlight w:val="none"/>
                <w:u w:val="none"/>
                <w:lang w:bidi="ar"/>
              </w:rPr>
              <w:t>具备CMA资质或国家权威检测机构认可的第三方机构出具的检测报告</w:t>
            </w:r>
            <w:r>
              <w:rPr>
                <w:rFonts w:hint="eastAsia" w:ascii="宋体" w:hAnsi="宋体" w:cs="宋体"/>
                <w:color w:val="000000"/>
                <w:kern w:val="0"/>
                <w:sz w:val="24"/>
                <w:highlight w:val="none"/>
                <w:u w:val="none"/>
                <w:lang w:val="en-US" w:eastAsia="zh-CN" w:bidi="ar"/>
              </w:rPr>
              <w:t>的，必须提供检测报告，否则不得分</w:t>
            </w:r>
            <w:r>
              <w:rPr>
                <w:rFonts w:hint="eastAsia" w:ascii="宋体" w:hAnsi="宋体" w:eastAsia="宋体" w:cs="宋体"/>
                <w:i w:val="0"/>
                <w:iCs w:val="0"/>
                <w:color w:val="000000"/>
                <w:kern w:val="0"/>
                <w:sz w:val="24"/>
                <w:szCs w:val="24"/>
                <w:highlight w:val="none"/>
                <w:u w:val="none"/>
                <w:lang w:val="en-US" w:eastAsia="zh-CN" w:bidi="ar"/>
              </w:rPr>
              <w:t>。截图以投标人提供的盖章材料为依据。</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一、服务能力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ind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投标人提供（1）公安网桌面云服务桌面授权和瘦终端数量满足采购需求（2）视频网终端杀毒服务pc终端和服务器授权数量满足采购需求，满足采购文件要求每项得2分，不满足不得分，最高得分4分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afterLines="50" w:line="360" w:lineRule="exact"/>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投标人提供系统安全检测服务维护内容方案包括安全架构评估、系统漏洞扫描、安全配置检查、应用安全扫描、渗透测试，方案内容完整且合理、可行，符合采购需求的得2分，不满足的不得分。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主观分</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afterLines="50" w:line="360" w:lineRule="exact"/>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投标人提供网络安全检查服务承诺</w:t>
            </w:r>
          </w:p>
          <w:p>
            <w:pPr>
              <w:keepNext w:val="0"/>
              <w:keepLines w:val="0"/>
              <w:widowControl/>
              <w:numPr>
                <w:ilvl w:val="0"/>
                <w:numId w:val="3"/>
              </w:numPr>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在上级部门开展网络安全检查前，能够配合采购人先行开展安全检查，协助整改完成；</w:t>
            </w:r>
          </w:p>
          <w:p>
            <w:pPr>
              <w:keepNext w:val="0"/>
              <w:keepLines w:val="0"/>
              <w:widowControl/>
              <w:numPr>
                <w:ilvl w:val="0"/>
                <w:numId w:val="3"/>
              </w:numPr>
              <w:suppressLineNumbers w:val="0"/>
              <w:spacing w:beforeLines="50" w:afterLines="5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在上级部门开展检查期间提供技术支撑配合、值守保障等；</w:t>
            </w:r>
          </w:p>
          <w:p>
            <w:pPr>
              <w:keepNext w:val="0"/>
              <w:keepLines w:val="0"/>
              <w:widowControl/>
              <w:numPr>
                <w:ilvl w:val="-1"/>
                <w:numId w:val="0"/>
              </w:numPr>
              <w:suppressLineNumbers w:val="0"/>
              <w:spacing w:beforeLines="50" w:afterLines="5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承诺每项满足得1分，不满足不得分，最高得分2分。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afterLines="50" w:line="360" w:lineRule="exact"/>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投标人提供重要时期重大活动安全保障服务承诺在重大活动时期，除驻点人员外，另派遣不少于1名专业工程师驻场值守，对杭州市公安局重要系统进行安全保障，承诺满足得2分，不满足不得分。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afterLines="50" w:line="360" w:lineRule="exact"/>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9"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投标人提供应急响应服务承诺</w:t>
            </w:r>
          </w:p>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（1）紧急安全事件应急响应：接到电话通知后，必须15分钟内做出响应，1小时内到达现场。如1小时内无法解决问题，30分钟内调动安全专家协助解决。</w:t>
            </w:r>
          </w:p>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（2）严重安全事件应急响应：接到电话通知后，必须15分钟内做出响应，2小时内到达现场。如2小时内无法解决问题，1小时内调动安全专家协助解决。</w:t>
            </w:r>
          </w:p>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（3）一般安全事件应急响应；接到电话通知后，必须30分钟内做出响应，4小时内到达现场。如4小时内无法解决问题，2小时内调动安全专家协助解决。</w:t>
            </w:r>
          </w:p>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承诺每项满足得1分，不满足不得分，最高得分3分。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afterLines="50" w:line="360" w:lineRule="exact"/>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投标人提供边界通道租赁服务维护满足：</w:t>
            </w:r>
          </w:p>
          <w:p>
            <w:pPr>
              <w:keepNext w:val="0"/>
              <w:keepLines w:val="0"/>
              <w:widowControl/>
              <w:numPr>
                <w:ilvl w:val="0"/>
                <w:numId w:val="4"/>
              </w:numPr>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采用集群技术架构，支持集群化扩展，无需独立集群管理节点，具备集群节点并行交换、负载均衡和容灾切换功能；</w:t>
            </w:r>
          </w:p>
          <w:p>
            <w:pPr>
              <w:keepNext w:val="0"/>
              <w:keepLines w:val="0"/>
              <w:widowControl/>
              <w:numPr>
                <w:ilvl w:val="0"/>
                <w:numId w:val="4"/>
              </w:numPr>
              <w:suppressLineNumbers w:val="0"/>
              <w:spacing w:beforeLines="50" w:afterLines="5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支持API交换，支持前端API用户对后端Web资源访问、API反向代理；支持API调用方Token身份认证、数据格式检查、关键字过滤、请求报文完整性验证功能。</w:t>
            </w:r>
          </w:p>
          <w:p>
            <w:pPr>
              <w:pStyle w:val="2"/>
              <w:autoSpaceDE/>
              <w:autoSpaceDN/>
              <w:spacing w:beforeLines="50" w:afterLines="50" w:line="360" w:lineRule="exact"/>
              <w:rPr>
                <w:rFonts w:hint="eastAsia"/>
                <w:highlight w:val="none"/>
              </w:rPr>
            </w:pPr>
            <w:r>
              <w:rPr>
                <w:rFonts w:hint="eastAsia"/>
                <w:highlight w:val="none"/>
                <w:lang w:eastAsia="zh-CN"/>
              </w:rPr>
              <w:t>（</w:t>
            </w:r>
            <w:r>
              <w:rPr>
                <w:rFonts w:hint="eastAsia"/>
                <w:highlight w:val="none"/>
                <w:lang w:val="en-US" w:eastAsia="zh-CN"/>
              </w:rPr>
              <w:t>3</w:t>
            </w:r>
            <w:r>
              <w:rPr>
                <w:rFonts w:hint="eastAsia"/>
                <w:highlight w:val="none"/>
                <w:lang w:eastAsia="zh-CN"/>
              </w:rPr>
              <w:t>）</w:t>
            </w:r>
            <w:r>
              <w:rPr>
                <w:rFonts w:hint="eastAsia"/>
                <w:highlight w:val="none"/>
              </w:rPr>
              <w:t>API接口认证：Http Basic认证、Soap头认证、JWT认证、HMAC 签名认证等功能。</w:t>
            </w:r>
          </w:p>
          <w:p>
            <w:pPr>
              <w:pStyle w:val="2"/>
              <w:autoSpaceDE/>
              <w:autoSpaceDN/>
              <w:spacing w:beforeLines="50" w:afterLines="50" w:line="360" w:lineRule="exact"/>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lang w:eastAsia="zh-CN"/>
              </w:rPr>
              <w:t>）</w:t>
            </w:r>
            <w:r>
              <w:rPr>
                <w:rFonts w:hint="eastAsia"/>
                <w:highlight w:val="none"/>
              </w:rPr>
              <w:t>敏感信息字段处理：加插数据水印，并支持通过数据水印溯源。</w:t>
            </w:r>
          </w:p>
          <w:p>
            <w:pPr>
              <w:pStyle w:val="2"/>
              <w:autoSpaceDE/>
              <w:autoSpaceDN/>
              <w:spacing w:beforeLines="50" w:afterLines="50" w:line="360" w:lineRule="exact"/>
              <w:rPr>
                <w:rFonts w:hint="eastAsia"/>
                <w:highlight w:val="none"/>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highlight w:val="none"/>
              </w:rPr>
              <w:t>敏感数据脱敏：数据库表中姓名、身份证号码、手机号码、详细地址等敏感或隐私信息的字段进行数据脱敏。</w:t>
            </w:r>
          </w:p>
          <w:p>
            <w:pPr>
              <w:keepNext w:val="0"/>
              <w:keepLines w:val="0"/>
              <w:widowControl/>
              <w:numPr>
                <w:ilvl w:val="-1"/>
                <w:numId w:val="0"/>
              </w:numPr>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每项满足得</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分，不满足不得分，最高得分</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分。</w:t>
            </w:r>
          </w:p>
          <w:p>
            <w:pPr>
              <w:keepNext w:val="0"/>
              <w:keepLines w:val="0"/>
              <w:widowControl/>
              <w:numPr>
                <w:ilvl w:val="-1"/>
                <w:numId w:val="0"/>
              </w:numPr>
              <w:suppressLineNumbers w:val="0"/>
              <w:spacing w:beforeLines="50" w:afterLines="5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证明材料:提供具有CMA资质的第三方检测机构出具的检测报告或其他国家权威机构出具的检测报告并加盖公章。</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afterLines="50" w:line="360" w:lineRule="exact"/>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针对本项目建立健全相应的管理制度，包括(1)日常管理规章制度、(2)内部岗位责任制度（包括各岗位职责等）、(3)管理运作制度、(4)考核制度（包括考核机制、激励机制、监督机制等）等，服务方案每项满足需求得1分，不满足不得分，最高得分4分。</w:t>
            </w:r>
          </w:p>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针对本项目建立紧急事件处理应急方案，包括建立运行服务保障应急预案、对可能遇到的问题具有相应的应对措施，在服务期间巡检、故障处理的组织和联系机制等。服务方案满足需求得2分，不满足不得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主观分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二、总体服务方案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ind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投标人提供项目小组：</w:t>
            </w:r>
          </w:p>
          <w:p>
            <w:pPr>
              <w:keepNext w:val="0"/>
              <w:keepLines w:val="0"/>
              <w:widowControl/>
              <w:numPr>
                <w:ilvl w:val="0"/>
                <w:numId w:val="5"/>
              </w:numPr>
              <w:suppressLineNumbers w:val="0"/>
              <w:spacing w:beforeLines="50" w:afterLines="50" w:line="360" w:lineRule="exact"/>
              <w:ind w:firstLineChars="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按照实际工作需求为本项目配备项目小组，并明确人员分工职责（须包含一名项目负责人）。</w:t>
            </w:r>
          </w:p>
          <w:p>
            <w:pPr>
              <w:keepNext w:val="0"/>
              <w:keepLines w:val="0"/>
              <w:widowControl/>
              <w:numPr>
                <w:ilvl w:val="0"/>
                <w:numId w:val="5"/>
              </w:numPr>
              <w:suppressLineNumbers w:val="0"/>
              <w:spacing w:beforeLines="50" w:afterLines="50" w:line="360" w:lineRule="exact"/>
              <w:ind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人员服务时间：提供7*24小时服务</w:t>
            </w:r>
          </w:p>
          <w:p>
            <w:pPr>
              <w:keepNext w:val="0"/>
              <w:keepLines w:val="0"/>
              <w:widowControl/>
              <w:numPr>
                <w:ilvl w:val="0"/>
                <w:numId w:val="5"/>
              </w:numPr>
              <w:suppressLineNumbers w:val="0"/>
              <w:spacing w:beforeLines="50" w:afterLines="50" w:line="360" w:lineRule="exact"/>
              <w:ind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人员配备标准：除2名驻点人员外，项目组人员中须配备至少2名人员具有信息安全工程师（国家人力资源和社会保障部、工业和信息化部共同颁发）或系统集成项目管理工程师（国家人力资源和社会保障部、工业和信息化部共同颁发）。</w:t>
            </w:r>
          </w:p>
          <w:p>
            <w:pPr>
              <w:keepNext w:val="0"/>
              <w:keepLines w:val="0"/>
              <w:widowControl/>
              <w:numPr>
                <w:ilvl w:val="-1"/>
                <w:numId w:val="0"/>
              </w:numPr>
              <w:suppressLineNumbers w:val="0"/>
              <w:spacing w:beforeLines="50" w:afterLines="50" w:line="360" w:lineRule="exact"/>
              <w:ind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每项满足得2分，不满足不得分，最高得分6分。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0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三、人员要求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afterLines="50" w:line="360" w:lineRule="exact"/>
              <w:jc w:val="center"/>
              <w:rPr>
                <w:rFonts w:hint="eastAsia" w:ascii="宋体" w:hAnsi="宋体" w:eastAsia="宋体" w:cs="宋体"/>
                <w:i w:val="0"/>
                <w:iCs w:val="0"/>
                <w:color w:val="000000"/>
                <w:sz w:val="24"/>
                <w:szCs w:val="24"/>
                <w:highlight w:val="none"/>
                <w:u w:val="none"/>
              </w:rPr>
            </w:pP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投标人提供</w:t>
            </w:r>
            <w:r>
              <w:rPr>
                <w:rFonts w:hint="eastAsia" w:ascii="宋体" w:hAnsi="宋体" w:cs="宋体"/>
                <w:i w:val="0"/>
                <w:iCs w:val="0"/>
                <w:color w:val="000000"/>
                <w:kern w:val="0"/>
                <w:sz w:val="24"/>
                <w:szCs w:val="24"/>
                <w:highlight w:val="none"/>
                <w:u w:val="none"/>
                <w:lang w:val="en-US" w:eastAsia="zh-CN" w:bidi="ar"/>
              </w:rPr>
              <w:t>2名</w:t>
            </w:r>
            <w:r>
              <w:rPr>
                <w:rFonts w:hint="eastAsia" w:ascii="宋体" w:hAnsi="宋体" w:eastAsia="宋体" w:cs="宋体"/>
                <w:i w:val="0"/>
                <w:iCs w:val="0"/>
                <w:color w:val="000000"/>
                <w:kern w:val="0"/>
                <w:sz w:val="24"/>
                <w:szCs w:val="24"/>
                <w:highlight w:val="none"/>
                <w:u w:val="none"/>
                <w:lang w:val="en-US" w:eastAsia="zh-CN" w:bidi="ar"/>
              </w:rPr>
              <w:t>驻点人员：（1）全日制专科以上计算机专业学历；（2）</w:t>
            </w:r>
            <w:r>
              <w:rPr>
                <w:rFonts w:hint="eastAsia" w:ascii="宋体" w:hAnsi="宋体" w:cs="宋体"/>
                <w:i w:val="0"/>
                <w:iCs w:val="0"/>
                <w:color w:val="000000"/>
                <w:kern w:val="0"/>
                <w:sz w:val="24"/>
                <w:szCs w:val="24"/>
                <w:highlight w:val="none"/>
                <w:u w:val="none"/>
                <w:lang w:val="en-US" w:eastAsia="zh-CN" w:bidi="ar"/>
              </w:rPr>
              <w:t>具有1年以上</w:t>
            </w:r>
            <w:r>
              <w:rPr>
                <w:rFonts w:hint="eastAsia" w:ascii="宋体" w:hAnsi="宋体" w:eastAsia="宋体" w:cs="宋体"/>
                <w:i w:val="0"/>
                <w:iCs w:val="0"/>
                <w:color w:val="000000"/>
                <w:kern w:val="0"/>
                <w:sz w:val="24"/>
                <w:szCs w:val="24"/>
                <w:highlight w:val="none"/>
                <w:u w:val="none"/>
                <w:lang w:val="en-US" w:eastAsia="zh-CN" w:bidi="ar"/>
              </w:rPr>
              <w:t>网络安全工作经验；（3）年龄55周岁（含）以下；</w:t>
            </w:r>
          </w:p>
          <w:p>
            <w:pPr>
              <w:keepNext w:val="0"/>
              <w:keepLines w:val="0"/>
              <w:widowControl/>
              <w:suppressLineNumbers w:val="0"/>
              <w:spacing w:beforeLines="50" w:afterLines="50" w:line="360" w:lineRule="exact"/>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2、其中的1名驻点人员：</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）人员能力符合采购需求要求。</w:t>
            </w:r>
          </w:p>
          <w:p>
            <w:pPr>
              <w:keepNext w:val="0"/>
              <w:keepLines w:val="0"/>
              <w:widowControl/>
              <w:suppressLineNumbers w:val="0"/>
              <w:spacing w:beforeLines="50" w:afterLines="50" w:line="360" w:lineRule="exact"/>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每项满足得3分，不满足不得分，最高得分12分。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0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afterLines="50" w:line="360" w:lineRule="exact"/>
              <w:jc w:val="center"/>
              <w:rPr>
                <w:rFonts w:hint="eastAsia" w:ascii="宋体" w:hAnsi="宋体" w:eastAsia="宋体" w:cs="宋体"/>
                <w:i w:val="0"/>
                <w:iCs w:val="0"/>
                <w:color w:val="000000"/>
                <w:sz w:val="24"/>
                <w:szCs w:val="24"/>
                <w:highlight w:val="none"/>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50" w:afterLines="50" w:line="360" w:lineRule="exact"/>
              <w:jc w:val="cente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ind w:firstLineChars="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投标人承诺应在完成服务后五个工作日内提交相关报告，所有报告均以纸质版提交（需经采购人经办人、审核人、供应商签字并加盖公章）。承诺满足得1分，不满足不得分。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四、服务报告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承诺接受采购人对投标人及工作人员开展常态化安全保密教育，签订安全保密承诺书，遵守具体安全管理内容，履行安全保密义务和责任。承诺满足得2分，不满足不得分。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五、保密承诺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ind w:firstLineChars="2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类似项目建设的成功经验（2分）：至投标截止时间近三年以来投标人承担类似项目的情况，结合已完工的相关服务案例和用户反应情况，参考合同复印件及用户验收报告等实例证明（以合同签订时间为准），每个合同得1分，最高得2分。（原件备查，采购人在项目评审直至合同签订、履约期间，有权要求投标人出具投标文件中的主要业绩证明原件：如合同及用户验收报告等，予以确认其的真实性和有效性，如出现与事实不符等情况，将根据有关规定以“提供虚假材料谋取中标”予以处罚）。</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jc w:val="center"/>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5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ind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有效投标报价的最低价作为评标基准价，其最低报价为满分；按［投标报价得分=（评标基准价/投标报价）*20］的计算公式计算。</w:t>
            </w:r>
          </w:p>
          <w:p>
            <w:pPr>
              <w:keepNext w:val="0"/>
              <w:keepLines w:val="0"/>
              <w:widowControl/>
              <w:suppressLineNumbers w:val="0"/>
              <w:spacing w:beforeLines="50" w:afterLines="50" w:line="360" w:lineRule="exact"/>
              <w:ind w:firstLineChars="20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评标过程中，不得去掉报价中的最高报价和最低报价。</w:t>
            </w:r>
          </w:p>
          <w:p>
            <w:pPr>
              <w:keepNext w:val="0"/>
              <w:keepLines w:val="0"/>
              <w:widowControl/>
              <w:suppressLineNumbers w:val="0"/>
              <w:spacing w:beforeLines="50" w:afterLines="50" w:line="360" w:lineRule="exact"/>
              <w:ind w:firstLineChars="20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落实政府采购政策需要进行价格调整的，以调整后的价格计算评标基准价和投标报价。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客观分</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Lines="50" w:afterLines="50" w:line="36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r>
    </w:tbl>
    <w:p>
      <w:pPr>
        <w:rPr>
          <w:color w:val="auto"/>
          <w:highlight w:val="none"/>
        </w:rPr>
      </w:pPr>
    </w:p>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推进采购需求和评审因素编制的科学化和精细化，评审小组成员个人主观打分偏离所有评审小组成员主观打分平均值30%以上的，由评审委员会启动评分畸高、畸低行为认定程序，限制专家自由裁量权。</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5"/>
        <w:snapToGrid w:val="0"/>
        <w:spacing w:line="360" w:lineRule="auto"/>
        <w:rPr>
          <w:rFonts w:cs="宋体"/>
          <w:color w:val="auto"/>
          <w:highlight w:val="none"/>
        </w:rPr>
      </w:pPr>
      <w:r>
        <w:rPr>
          <w:rFonts w:hint="eastAsia" w:cs="宋体"/>
          <w:color w:val="auto"/>
          <w:highlight w:val="none"/>
        </w:rPr>
        <w:t>5.4因重大变故，采购任务取消的。</w:t>
      </w:r>
    </w:p>
    <w:p>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5"/>
        <w:snapToGrid w:val="0"/>
        <w:spacing w:line="360" w:lineRule="auto"/>
        <w:ind w:firstLine="0" w:firstLineChars="0"/>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pPr>
        <w:pStyle w:val="701"/>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spacing w:before="120" w:line="22" w:lineRule="atLeast"/>
        <w:rPr>
          <w:rFonts w:ascii="宋体" w:hAnsi="宋体" w:cs="宋体"/>
          <w:sz w:val="24"/>
          <w:highlight w:val="none"/>
        </w:rPr>
      </w:pPr>
    </w:p>
    <w:p>
      <w:pPr>
        <w:pStyle w:val="5"/>
        <w:rPr>
          <w:rFonts w:ascii="宋体" w:hAnsi="宋体" w:eastAsia="宋体" w:cs="宋体"/>
          <w:highlight w:val="none"/>
        </w:rPr>
      </w:pPr>
    </w:p>
    <w:p>
      <w:pPr>
        <w:pStyle w:val="598"/>
        <w:spacing w:before="120" w:line="22" w:lineRule="atLeast"/>
        <w:ind w:firstLine="960" w:firstLineChars="400"/>
        <w:rPr>
          <w:rFonts w:ascii="宋体" w:hAnsi="宋体" w:eastAsia="宋体" w:cs="宋体"/>
          <w:szCs w:val="24"/>
          <w:highlight w:val="none"/>
        </w:rPr>
      </w:pPr>
      <w:r>
        <w:rPr>
          <w:rFonts w:hint="eastAsia" w:ascii="宋体" w:hAnsi="宋体" w:eastAsia="宋体" w:cs="宋体"/>
          <w:highlight w:val="none"/>
        </w:rPr>
        <w:t>项目名称：</w:t>
      </w:r>
      <w:r>
        <w:rPr>
          <w:rFonts w:hint="eastAsia" w:ascii="宋体" w:hAnsi="宋体" w:eastAsia="宋体" w:cs="宋体"/>
          <w:highlight w:val="none"/>
          <w:u w:val="single"/>
        </w:rPr>
        <w:t xml:space="preserve"> 杭州市公安业务网安全服务项目</w:t>
      </w:r>
      <w:r>
        <w:rPr>
          <w:rFonts w:hint="eastAsia" w:ascii="宋体" w:hAnsi="宋体" w:eastAsia="宋体" w:cs="宋体"/>
          <w:highlight w:val="none"/>
        </w:rPr>
        <w:t xml:space="preserve">        </w:t>
      </w: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kern w:val="0"/>
          <w:sz w:val="24"/>
          <w:highlight w:val="none"/>
        </w:rPr>
        <w:sectPr>
          <w:headerReference r:id="rId8" w:type="default"/>
          <w:footerReference r:id="rId9" w:type="default"/>
          <w:pgSz w:w="11907" w:h="16840"/>
          <w:pgMar w:top="1474" w:right="1814" w:bottom="1474" w:left="1814" w:header="851" w:footer="851" w:gutter="0"/>
          <w:cols w:space="720" w:num="1"/>
        </w:sectPr>
      </w:pPr>
    </w:p>
    <w:p>
      <w:pPr>
        <w:rPr>
          <w:rFonts w:ascii="宋体" w:hAnsi="宋体" w:cs="宋体"/>
          <w:b/>
          <w:sz w:val="24"/>
          <w:highlight w:val="none"/>
        </w:rPr>
      </w:pPr>
    </w:p>
    <w:p>
      <w:pPr>
        <w:spacing w:line="460" w:lineRule="exact"/>
        <w:ind w:firstLine="480" w:firstLineChars="200"/>
        <w:rPr>
          <w:rFonts w:ascii="宋体" w:hAnsi="宋体" w:cs="宋体"/>
          <w:sz w:val="24"/>
          <w:highlight w:val="none"/>
        </w:rPr>
      </w:pPr>
      <w:r>
        <w:rPr>
          <w:rFonts w:hint="eastAsia" w:ascii="宋体" w:hAnsi="宋体" w:cs="宋体"/>
          <w:sz w:val="24"/>
          <w:highlight w:val="none"/>
          <w:lang w:val="zh-CN"/>
        </w:rPr>
        <w:t>年月日</w:t>
      </w:r>
      <w:r>
        <w:rPr>
          <w:rFonts w:hint="eastAsia" w:ascii="宋体" w:hAnsi="宋体" w:cs="宋体"/>
          <w:sz w:val="24"/>
          <w:highlight w:val="none"/>
        </w:rPr>
        <w:t>，</w:t>
      </w:r>
      <w:r>
        <w:rPr>
          <w:rFonts w:hint="eastAsia" w:ascii="宋体" w:hAnsi="宋体" w:cs="宋体"/>
          <w:sz w:val="24"/>
          <w:highlight w:val="none"/>
          <w:u w:val="single"/>
        </w:rPr>
        <w:t>杭州市公安局</w:t>
      </w:r>
      <w:r>
        <w:rPr>
          <w:rFonts w:hint="eastAsia" w:ascii="宋体" w:hAnsi="宋体" w:cs="宋体"/>
          <w:sz w:val="24"/>
          <w:highlight w:val="none"/>
        </w:rPr>
        <w:t>以</w:t>
      </w:r>
      <w:r>
        <w:rPr>
          <w:rFonts w:hint="eastAsia" w:ascii="宋体" w:hAnsi="宋体" w:cs="宋体"/>
          <w:sz w:val="24"/>
          <w:highlight w:val="none"/>
          <w:u w:val="single"/>
        </w:rPr>
        <w:t>（公开招标方式）</w:t>
      </w:r>
      <w:r>
        <w:rPr>
          <w:rFonts w:hint="eastAsia" w:ascii="宋体" w:hAnsi="宋体" w:cs="宋体"/>
          <w:sz w:val="24"/>
          <w:highlight w:val="none"/>
        </w:rPr>
        <w:t>对</w:t>
      </w:r>
      <w:r>
        <w:rPr>
          <w:rFonts w:hint="eastAsia" w:ascii="宋体" w:hAnsi="宋体" w:cs="宋体"/>
          <w:sz w:val="24"/>
          <w:highlight w:val="none"/>
          <w:u w:val="single"/>
        </w:rPr>
        <w:t>杭州市公安业务网安全服务项目</w:t>
      </w:r>
      <w:r>
        <w:rPr>
          <w:rFonts w:hint="eastAsia" w:ascii="宋体" w:hAnsi="宋体" w:cs="宋体"/>
          <w:sz w:val="24"/>
          <w:highlight w:val="none"/>
        </w:rPr>
        <w:t>进行了采购。经</w:t>
      </w:r>
      <w:r>
        <w:rPr>
          <w:rFonts w:hint="eastAsia" w:ascii="宋体" w:hAnsi="宋体" w:cs="宋体"/>
          <w:sz w:val="24"/>
          <w:highlight w:val="none"/>
          <w:u w:val="single"/>
        </w:rPr>
        <w:t xml:space="preserve">   评标委员会   </w:t>
      </w:r>
      <w:r>
        <w:rPr>
          <w:rFonts w:hint="eastAsia" w:ascii="宋体" w:hAnsi="宋体" w:cs="宋体"/>
          <w:sz w:val="24"/>
          <w:highlight w:val="none"/>
        </w:rPr>
        <w:t>评定，</w:t>
      </w:r>
      <w:r>
        <w:rPr>
          <w:rFonts w:hint="eastAsia" w:ascii="宋体" w:hAnsi="宋体" w:cs="宋体"/>
          <w:sz w:val="24"/>
          <w:highlight w:val="none"/>
          <w:u w:val="single"/>
        </w:rPr>
        <w:t>（中标供应商名称）</w:t>
      </w:r>
      <w:r>
        <w:rPr>
          <w:rFonts w:hint="eastAsia" w:ascii="宋体" w:hAnsi="宋体" w:cs="宋体"/>
          <w:sz w:val="24"/>
          <w:highlight w:val="none"/>
        </w:rPr>
        <w:t>为该项目中标供应商。现于中标通知书发出之日起十个工作日内，按照采购文件确定的事项签订本合同。</w:t>
      </w:r>
    </w:p>
    <w:p>
      <w:pPr>
        <w:spacing w:line="4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（甲方）</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460" w:lineRule="exact"/>
        <w:ind w:firstLine="482" w:firstLineChars="200"/>
        <w:outlineLvl w:val="0"/>
        <w:rPr>
          <w:rFonts w:ascii="宋体" w:hAnsi="宋体" w:cs="宋体"/>
          <w:sz w:val="24"/>
          <w:highlight w:val="none"/>
        </w:rPr>
      </w:pPr>
      <w:r>
        <w:rPr>
          <w:rFonts w:hint="eastAsia" w:ascii="宋体" w:hAnsi="宋体" w:cs="宋体"/>
          <w:b/>
          <w:sz w:val="24"/>
          <w:highlight w:val="none"/>
        </w:rPr>
        <w:t>1.1 合同组成部分</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1.2 标的</w:t>
      </w:r>
    </w:p>
    <w:p>
      <w:pPr>
        <w:spacing w:line="460" w:lineRule="exact"/>
        <w:ind w:firstLine="480" w:firstLineChars="200"/>
        <w:rPr>
          <w:rFonts w:ascii="宋体" w:hAnsi="宋体" w:cs="宋体"/>
          <w:sz w:val="24"/>
          <w:highlight w:val="none"/>
          <w:u w:val="single"/>
        </w:rPr>
      </w:pPr>
      <w:r>
        <w:rPr>
          <w:rFonts w:hint="eastAsia" w:ascii="宋体" w:hAnsi="宋体" w:cs="宋体"/>
          <w:sz w:val="24"/>
          <w:highlight w:val="none"/>
        </w:rPr>
        <w:t>1.2.1 服务内容：</w:t>
      </w:r>
      <w:r>
        <w:rPr>
          <w:rFonts w:hint="eastAsia" w:ascii="宋体" w:hAnsi="宋体" w:cs="宋体"/>
          <w:sz w:val="24"/>
          <w:highlight w:val="none"/>
          <w:u w:val="single"/>
        </w:rPr>
        <w:t>杭州市公安业务网安全服务项目，主要工作内容为保证杭州市公安局公安业务网和数据的安全稳定运行，通过采购等保测评服务、数据库审计服务、政务网云日志审计服务、政务网态势感知服务、SaaS化安全服务、公安网安全风险感知服务、公安网桌面云服务、公安网一机两用服务、视频网终端杀毒服务、系统安全检测、网络安全检查、</w:t>
      </w:r>
      <w:r>
        <w:rPr>
          <w:rFonts w:hint="eastAsia" w:ascii="宋体" w:hAnsi="宋体" w:cs="宋体"/>
          <w:sz w:val="24"/>
          <w:highlight w:val="none"/>
          <w:u w:val="single"/>
          <w:lang w:eastAsia="zh-Hans"/>
        </w:rPr>
        <w:t>重</w:t>
      </w:r>
      <w:r>
        <w:rPr>
          <w:rFonts w:hint="eastAsia" w:ascii="宋体" w:hAnsi="宋体" w:cs="宋体"/>
          <w:sz w:val="24"/>
          <w:highlight w:val="none"/>
          <w:u w:val="single"/>
        </w:rPr>
        <w:t>保、应急响应、边界通道租赁服务，提升杭州市公安局公安业务网网络与数据安全的能力。</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1.2.2 服务标准：</w:t>
      </w:r>
      <w:r>
        <w:rPr>
          <w:rFonts w:hint="eastAsia" w:ascii="宋体" w:hAnsi="宋体" w:cs="宋体"/>
          <w:sz w:val="24"/>
          <w:highlight w:val="none"/>
          <w:u w:val="single"/>
        </w:rPr>
        <w:t>根据采购文件确定的技术指标或者服务要求确定验收指标和标准。未进行相应约定的，应当符合国家强制性规定、政策要求、安全标准、行业或企业有关标准等</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1.3 价款</w:t>
      </w:r>
    </w:p>
    <w:p>
      <w:pPr>
        <w:spacing w:line="560" w:lineRule="exact"/>
        <w:ind w:firstLine="480" w:firstLineChars="200"/>
        <w:outlineLvl w:val="0"/>
        <w:rPr>
          <w:rFonts w:hint="eastAsia" w:ascii="宋体" w:hAnsi="宋体" w:cs="宋体"/>
          <w:sz w:val="24"/>
          <w:highlight w:val="none"/>
        </w:rPr>
      </w:pPr>
      <w:r>
        <w:rPr>
          <w:rFonts w:hint="eastAsia" w:ascii="宋体" w:hAnsi="宋体" w:cs="宋体"/>
          <w:sz w:val="24"/>
          <w:highlight w:val="none"/>
        </w:rPr>
        <w:t>本项目采用以下第1.3.2条款规定的计价方式计价。</w:t>
      </w:r>
    </w:p>
    <w:p>
      <w:pPr>
        <w:spacing w:line="560" w:lineRule="exact"/>
        <w:ind w:firstLine="480" w:firstLineChars="200"/>
        <w:outlineLvl w:val="0"/>
        <w:rPr>
          <w:rFonts w:hint="eastAsia" w:ascii="宋体" w:hAnsi="宋体" w:cs="宋体"/>
          <w:sz w:val="24"/>
          <w:highlight w:val="none"/>
        </w:rPr>
      </w:pPr>
      <w:r>
        <w:rPr>
          <w:rFonts w:hint="eastAsia" w:ascii="宋体" w:hAnsi="宋体" w:cs="宋体"/>
          <w:sz w:val="24"/>
          <w:highlight w:val="none"/>
        </w:rPr>
        <w:t>1.3.1总价合同，本合同总价（含税）为：￥ /元（大写：/元人民币）。</w:t>
      </w:r>
    </w:p>
    <w:p>
      <w:pPr>
        <w:spacing w:line="560" w:lineRule="exact"/>
        <w:ind w:firstLine="480" w:firstLineChars="200"/>
        <w:outlineLvl w:val="0"/>
        <w:rPr>
          <w:rFonts w:hint="eastAsia" w:ascii="宋体" w:hAnsi="宋体" w:cs="宋体"/>
          <w:sz w:val="24"/>
          <w:highlight w:val="none"/>
        </w:rPr>
      </w:pPr>
      <w:r>
        <w:rPr>
          <w:rFonts w:hint="eastAsia" w:ascii="宋体" w:hAnsi="宋体" w:cs="宋体"/>
          <w:sz w:val="24"/>
          <w:highlight w:val="none"/>
        </w:rPr>
        <w:t>1.3.2单价合同。服务工作量的计量方式为：合同专用条款。单价合同，在合同履行期间内，根据实际完成的工作量据实结算，但结算总价上限不得超过合同金额￥元（大写：元人民币）。合同价格清单：详见附件1，人员清单：详见附件2。</w:t>
      </w:r>
    </w:p>
    <w:p>
      <w:pPr>
        <w:pStyle w:val="959"/>
        <w:spacing w:before="0" w:beforeAutospacing="0" w:after="0" w:afterAutospacing="0" w:line="460" w:lineRule="exact"/>
        <w:ind w:firstLine="480"/>
        <w:rPr>
          <w:b/>
          <w:highlight w:val="none"/>
        </w:rPr>
      </w:pPr>
      <w:r>
        <w:rPr>
          <w:rFonts w:hint="eastAsia" w:ascii="宋体" w:hAnsi="宋体" w:cs="宋体"/>
          <w:sz w:val="24"/>
          <w:highlight w:val="none"/>
        </w:rPr>
        <w:t>1.3.3其他计价方式：  /  。</w:t>
      </w:r>
      <w:r>
        <w:rPr>
          <w:rFonts w:hint="eastAsia"/>
          <w:b/>
          <w:highlight w:val="none"/>
        </w:rPr>
        <w:t>1.4履约保证金</w:t>
      </w:r>
    </w:p>
    <w:p>
      <w:pPr>
        <w:spacing w:line="4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1   </w:t>
      </w:r>
      <w:r>
        <w:rPr>
          <w:rFonts w:hint="eastAsia" w:ascii="宋体" w:hAnsi="宋体" w:cs="宋体"/>
          <w:kern w:val="0"/>
          <w:sz w:val="24"/>
          <w:highlight w:val="none"/>
        </w:rPr>
        <w:t>%；</w:t>
      </w:r>
    </w:p>
    <w:p>
      <w:pPr>
        <w:spacing w:line="4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5"/>
        <w:tabs>
          <w:tab w:val="left" w:pos="0"/>
        </w:tabs>
        <w:spacing w:line="460" w:lineRule="exact"/>
        <w:ind w:left="0" w:firstLine="480" w:firstLineChars="200"/>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w:t>
      </w:r>
    </w:p>
    <w:p>
      <w:pPr>
        <w:pStyle w:val="5"/>
        <w:tabs>
          <w:tab w:val="left" w:pos="0"/>
        </w:tabs>
        <w:spacing w:line="460" w:lineRule="exact"/>
        <w:jc w:val="both"/>
        <w:rPr>
          <w:rFonts w:ascii="宋体" w:hAnsi="宋体" w:eastAsia="宋体" w:cs="宋体"/>
          <w:highlight w:val="none"/>
          <w:lang w:val="en-US"/>
        </w:rPr>
      </w:pPr>
      <w:r>
        <w:rPr>
          <w:rFonts w:hint="eastAsia" w:ascii="宋体" w:hAnsi="宋体" w:eastAsia="宋体" w:cs="宋体"/>
          <w:b w:val="0"/>
          <w:bCs w:val="0"/>
          <w:kern w:val="0"/>
          <w:sz w:val="24"/>
          <w:szCs w:val="24"/>
          <w:highlight w:val="none"/>
          <w:lang w:val="en-US"/>
        </w:rPr>
        <w:t>担合同约定的超过履约保证金的违约责任的权利；</w:t>
      </w:r>
    </w:p>
    <w:p>
      <w:pPr>
        <w:spacing w:line="4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1.4.4甲方在项目验收结束后及时退还履约保证金。甲方在项目通过验收且收到乙方退还履约保证金申请之日起</w:t>
      </w:r>
      <w:r>
        <w:rPr>
          <w:rFonts w:hint="eastAsia" w:ascii="宋体" w:hAnsi="宋体" w:cs="宋体"/>
          <w:kern w:val="0"/>
          <w:sz w:val="24"/>
          <w:highlight w:val="none"/>
          <w:u w:val="single"/>
        </w:rPr>
        <w:t xml:space="preserve">    5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1.5预付款</w:t>
      </w:r>
    </w:p>
    <w:p>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959"/>
        <w:spacing w:before="0" w:beforeAutospacing="0" w:after="0" w:afterAutospacing="0" w:line="460" w:lineRule="exact"/>
        <w:ind w:firstLine="480"/>
        <w:rPr>
          <w:b/>
          <w:bCs/>
          <w:highlight w:val="none"/>
        </w:rPr>
      </w:pPr>
      <w:r>
        <w:rPr>
          <w:rFonts w:hint="eastAsia"/>
          <w:b/>
          <w:bCs/>
          <w:highlight w:val="none"/>
        </w:rPr>
        <w:t>1.6资金支付</w:t>
      </w:r>
    </w:p>
    <w:p>
      <w:pPr>
        <w:pStyle w:val="959"/>
        <w:spacing w:before="0" w:beforeAutospacing="0" w:after="0" w:afterAutospacing="0" w:line="460" w:lineRule="exact"/>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4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1.7 履行期限、地点和方式</w:t>
      </w:r>
    </w:p>
    <w:p>
      <w:pPr>
        <w:spacing w:line="460" w:lineRule="exact"/>
        <w:ind w:firstLine="480" w:firstLineChars="200"/>
        <w:rPr>
          <w:rFonts w:ascii="宋体" w:hAnsi="宋体" w:cs="宋体"/>
          <w:sz w:val="24"/>
          <w:highlight w:val="none"/>
          <w:u w:val="single"/>
        </w:rPr>
      </w:pPr>
      <w:r>
        <w:rPr>
          <w:rFonts w:hint="eastAsia" w:ascii="宋体" w:hAnsi="宋体" w:cs="宋体"/>
          <w:sz w:val="24"/>
          <w:highlight w:val="none"/>
        </w:rPr>
        <w:t>1.7.1 服务交付（实施）的时间（期限）：</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1.7.2 服务交付（实施）的地点（地域范围）：</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460" w:lineRule="exact"/>
        <w:ind w:firstLine="482" w:firstLineChars="200"/>
        <w:outlineLvl w:val="0"/>
        <w:rPr>
          <w:rFonts w:ascii="宋体" w:hAnsi="宋体" w:cs="宋体"/>
          <w:sz w:val="24"/>
          <w:highlight w:val="none"/>
          <w:u w:val="single"/>
        </w:rPr>
      </w:pPr>
      <w:r>
        <w:rPr>
          <w:rFonts w:hint="eastAsia" w:ascii="宋体" w:hAnsi="宋体" w:cs="宋体"/>
          <w:b/>
          <w:sz w:val="24"/>
          <w:highlight w:val="none"/>
        </w:rPr>
        <w:t>1.8违约责任</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sz w:val="24"/>
          <w:highlight w:val="none"/>
          <w:u w:val="single"/>
        </w:rPr>
        <w:t xml:space="preserve">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%；迟延履行的违约金计算数额达到前述最高限额之日起，甲方有权在要求乙方支付违约金的同时，书面通知乙方解除本合同；</w:t>
      </w:r>
    </w:p>
    <w:p>
      <w:pPr>
        <w:pStyle w:val="5"/>
        <w:spacing w:line="460" w:lineRule="exact"/>
        <w:ind w:left="0" w:firstLine="480" w:firstLineChars="200"/>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highlight w:val="none"/>
          <w:u w:val="single"/>
          <w:lang w:val="en-US"/>
        </w:rPr>
        <w:t xml:space="preserve">  0.05  </w:t>
      </w:r>
      <w:r>
        <w:rPr>
          <w:rFonts w:hint="eastAsia" w:ascii="宋体" w:hAnsi="宋体" w:eastAsia="宋体" w:cs="宋体"/>
          <w:b w:val="0"/>
          <w:bCs w:val="0"/>
          <w:sz w:val="24"/>
          <w:szCs w:val="24"/>
          <w:highlight w:val="none"/>
          <w:lang w:val="en-US"/>
        </w:rPr>
        <w:t>%计算，最高限额为本合同总价的</w:t>
      </w:r>
      <w:r>
        <w:rPr>
          <w:rFonts w:hint="eastAsia" w:ascii="宋体" w:hAnsi="宋体" w:eastAsia="宋体" w:cs="宋体"/>
          <w:b w:val="0"/>
          <w:bCs w:val="0"/>
          <w:sz w:val="24"/>
          <w:szCs w:val="24"/>
          <w:highlight w:val="none"/>
          <w:u w:val="single"/>
          <w:lang w:val="en-US"/>
        </w:rPr>
        <w:t xml:space="preserve">  20  </w:t>
      </w:r>
      <w:r>
        <w:rPr>
          <w:rFonts w:hint="eastAsia" w:ascii="宋体" w:hAnsi="宋体" w:eastAsia="宋体" w:cs="宋体"/>
          <w:b w:val="0"/>
          <w:bCs w:val="0"/>
          <w:sz w:val="24"/>
          <w:szCs w:val="24"/>
          <w:highlight w:val="none"/>
          <w:lang w:val="en-US"/>
        </w:rPr>
        <w:t>%；迟延交付货物的违约金计算数额达到前述最高限额之日起，甲方有权在要求乙方支付违约金</w:t>
      </w:r>
    </w:p>
    <w:p>
      <w:pPr>
        <w:pStyle w:val="5"/>
        <w:spacing w:line="460" w:lineRule="exact"/>
        <w:jc w:val="both"/>
        <w:rPr>
          <w:rFonts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的同时，书面通知乙方解除本合同；</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460" w:lineRule="exact"/>
        <w:ind w:right="-420" w:rightChars="-200" w:firstLine="480" w:firstLineChars="200"/>
        <w:rPr>
          <w:rFonts w:ascii="宋体" w:hAnsi="宋体" w:cs="宋体"/>
          <w:highlight w:val="none"/>
        </w:rPr>
      </w:pPr>
      <w:r>
        <w:rPr>
          <w:rFonts w:hint="eastAsia" w:ascii="宋体" w:hAnsi="宋体" w:cs="宋体"/>
          <w:sz w:val="24"/>
          <w:highlight w:val="none"/>
        </w:rPr>
        <w:t>1.8.7违约责任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1.9合同争议的解决</w:t>
      </w:r>
    </w:p>
    <w:p>
      <w:pPr>
        <w:spacing w:line="4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sz w:val="24"/>
          <w:highlight w:val="none"/>
          <w:u w:val="single"/>
        </w:rPr>
        <w:t xml:space="preserve"> </w:t>
      </w:r>
      <w:r>
        <w:rPr>
          <w:rFonts w:hint="eastAsia" w:ascii="宋体" w:hAnsi="宋体" w:cs="宋体"/>
          <w:b/>
          <w:i/>
          <w:sz w:val="24"/>
          <w:highlight w:val="none"/>
          <w:u w:val="single"/>
        </w:rPr>
        <w:t xml:space="preserve">合同专用条款 </w:t>
      </w:r>
      <w:r>
        <w:rPr>
          <w:rFonts w:hint="eastAsia" w:ascii="宋体" w:hAnsi="宋体" w:cs="宋体"/>
          <w:sz w:val="24"/>
          <w:highlight w:val="none"/>
        </w:rPr>
        <w:t>条款规定的方式解决：</w:t>
      </w:r>
    </w:p>
    <w:p>
      <w:pPr>
        <w:spacing w:line="4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pPr>
        <w:spacing w:line="460" w:lineRule="exact"/>
        <w:ind w:left="-420" w:leftChars="-200" w:right="-420" w:rightChars="-200" w:firstLine="600" w:firstLineChars="2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2.0 合同生效</w:t>
      </w:r>
    </w:p>
    <w:p>
      <w:pPr>
        <w:spacing w:line="4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pPr>
        <w:autoSpaceDE w:val="0"/>
        <w:autoSpaceDN w:val="0"/>
        <w:spacing w:line="460" w:lineRule="exact"/>
        <w:rPr>
          <w:rFonts w:ascii="宋体" w:hAnsi="宋体" w:cs="宋体"/>
          <w:sz w:val="24"/>
          <w:highlight w:val="none"/>
          <w:lang w:val="zh-CN"/>
        </w:rPr>
      </w:pPr>
    </w:p>
    <w:p>
      <w:pPr>
        <w:autoSpaceDE w:val="0"/>
        <w:autoSpaceDN w:val="0"/>
        <w:spacing w:line="4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pPr>
        <w:autoSpaceDE w:val="0"/>
        <w:autoSpaceDN w:val="0"/>
        <w:spacing w:line="4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pPr>
        <w:autoSpaceDE w:val="0"/>
        <w:autoSpaceDN w:val="0"/>
        <w:spacing w:line="460" w:lineRule="exact"/>
        <w:rPr>
          <w:rFonts w:ascii="宋体" w:hAnsi="宋体" w:cs="宋体"/>
          <w:sz w:val="24"/>
          <w:highlight w:val="none"/>
          <w:lang w:val="zh-CN"/>
        </w:rPr>
      </w:pPr>
    </w:p>
    <w:p>
      <w:pPr>
        <w:autoSpaceDE w:val="0"/>
        <w:autoSpaceDN w:val="0"/>
        <w:spacing w:line="460" w:lineRule="exact"/>
        <w:rPr>
          <w:rFonts w:ascii="宋体" w:hAnsi="宋体" w:cs="宋体"/>
          <w:sz w:val="24"/>
          <w:highlight w:val="none"/>
          <w:lang w:val="zh-CN"/>
        </w:rPr>
      </w:pPr>
      <w:r>
        <w:rPr>
          <w:rFonts w:hint="eastAsia" w:ascii="宋体" w:hAnsi="宋体" w:cs="宋体"/>
          <w:sz w:val="24"/>
          <w:highlight w:val="none"/>
          <w:lang w:val="zh-CN"/>
        </w:rPr>
        <w:t>住所：                                   住所：</w:t>
      </w:r>
    </w:p>
    <w:p>
      <w:pPr>
        <w:autoSpaceDE w:val="0"/>
        <w:autoSpaceDN w:val="0"/>
        <w:spacing w:line="460" w:lineRule="exact"/>
        <w:rPr>
          <w:rFonts w:ascii="宋体" w:hAnsi="宋体" w:cs="宋体"/>
          <w:sz w:val="24"/>
          <w:highlight w:val="none"/>
          <w:lang w:val="zh-CN"/>
        </w:rPr>
      </w:pPr>
      <w:r>
        <w:rPr>
          <w:rFonts w:hint="eastAsia" w:ascii="宋体" w:hAnsi="宋体" w:cs="宋体"/>
          <w:sz w:val="24"/>
          <w:highlight w:val="none"/>
          <w:lang w:val="zh-CN"/>
        </w:rPr>
        <w:t>法定代表人或                             法定代表人或</w:t>
      </w:r>
    </w:p>
    <w:p>
      <w:pPr>
        <w:autoSpaceDE w:val="0"/>
        <w:autoSpaceDN w:val="0"/>
        <w:spacing w:line="460" w:lineRule="exact"/>
        <w:rPr>
          <w:rFonts w:ascii="宋体" w:hAnsi="宋体" w:cs="宋体"/>
          <w:sz w:val="24"/>
          <w:highlight w:val="none"/>
          <w:lang w:val="zh-CN"/>
        </w:rPr>
      </w:pPr>
      <w:r>
        <w:rPr>
          <w:rFonts w:hint="eastAsia" w:ascii="宋体" w:hAnsi="宋体" w:cs="宋体"/>
          <w:sz w:val="24"/>
          <w:highlight w:val="none"/>
          <w:lang w:val="zh-CN"/>
        </w:rPr>
        <w:t xml:space="preserve">授权代表（签字）：                       授权代表（签字）: </w:t>
      </w:r>
    </w:p>
    <w:p>
      <w:pPr>
        <w:autoSpaceDE w:val="0"/>
        <w:autoSpaceDN w:val="0"/>
        <w:spacing w:line="460" w:lineRule="exact"/>
        <w:rPr>
          <w:rFonts w:ascii="宋体" w:hAnsi="宋体" w:cs="宋体"/>
          <w:sz w:val="24"/>
          <w:highlight w:val="none"/>
          <w:lang w:val="zh-CN"/>
        </w:rPr>
      </w:pPr>
      <w:r>
        <w:rPr>
          <w:rFonts w:hint="eastAsia" w:ascii="宋体" w:hAnsi="宋体" w:cs="宋体"/>
          <w:sz w:val="24"/>
          <w:highlight w:val="none"/>
          <w:lang w:val="zh-CN"/>
        </w:rPr>
        <w:t>联系人：                                 联系人：</w:t>
      </w:r>
    </w:p>
    <w:p>
      <w:pPr>
        <w:autoSpaceDE w:val="0"/>
        <w:autoSpaceDN w:val="0"/>
        <w:spacing w:line="4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pPr>
        <w:autoSpaceDE w:val="0"/>
        <w:autoSpaceDN w:val="0"/>
        <w:spacing w:line="4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pPr>
        <w:autoSpaceDE w:val="0"/>
        <w:autoSpaceDN w:val="0"/>
        <w:spacing w:line="4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pPr>
        <w:autoSpaceDE w:val="0"/>
        <w:autoSpaceDN w:val="0"/>
        <w:spacing w:line="460" w:lineRule="exact"/>
        <w:rPr>
          <w:rFonts w:ascii="宋体" w:hAnsi="宋体" w:cs="宋体"/>
          <w:sz w:val="24"/>
          <w:highlight w:val="none"/>
          <w:lang w:val="zh-CN"/>
        </w:rPr>
      </w:pPr>
      <w:r>
        <w:rPr>
          <w:rFonts w:hint="eastAsia" w:ascii="宋体" w:hAnsi="宋体" w:cs="宋体"/>
          <w:sz w:val="24"/>
          <w:highlight w:val="none"/>
          <w:lang w:val="zh-CN"/>
        </w:rPr>
        <w:t>传真:                                    传真:</w:t>
      </w:r>
    </w:p>
    <w:p>
      <w:pPr>
        <w:autoSpaceDE w:val="0"/>
        <w:autoSpaceDN w:val="0"/>
        <w:spacing w:line="460" w:lineRule="exact"/>
        <w:rPr>
          <w:rFonts w:ascii="宋体" w:hAnsi="宋体" w:cs="宋体"/>
          <w:sz w:val="24"/>
          <w:highlight w:val="none"/>
        </w:rPr>
      </w:pPr>
      <w:r>
        <w:rPr>
          <w:rFonts w:hint="eastAsia" w:ascii="宋体" w:hAnsi="宋体" w:cs="宋体"/>
          <w:sz w:val="24"/>
          <w:highlight w:val="none"/>
          <w:lang w:val="zh-CN"/>
        </w:rPr>
        <w:t>电子邮箱：                               电子邮箱：</w:t>
      </w:r>
    </w:p>
    <w:p>
      <w:pPr>
        <w:autoSpaceDE w:val="0"/>
        <w:autoSpaceDN w:val="0"/>
        <w:spacing w:line="460" w:lineRule="exact"/>
        <w:rPr>
          <w:rFonts w:ascii="宋体" w:hAnsi="宋体" w:cs="宋体"/>
          <w:sz w:val="24"/>
          <w:highlight w:val="none"/>
        </w:rPr>
      </w:pPr>
      <w:r>
        <w:rPr>
          <w:rFonts w:hint="eastAsia" w:ascii="宋体" w:hAnsi="宋体" w:cs="宋体"/>
          <w:sz w:val="24"/>
          <w:highlight w:val="none"/>
        </w:rPr>
        <w:t xml:space="preserve">开户银行：                               开户银行： </w:t>
      </w:r>
    </w:p>
    <w:p>
      <w:pPr>
        <w:autoSpaceDE w:val="0"/>
        <w:autoSpaceDN w:val="0"/>
        <w:spacing w:line="460" w:lineRule="exact"/>
        <w:rPr>
          <w:rFonts w:ascii="宋体" w:hAnsi="宋体" w:cs="宋体"/>
          <w:sz w:val="24"/>
          <w:highlight w:val="none"/>
        </w:rPr>
      </w:pPr>
      <w:r>
        <w:rPr>
          <w:rFonts w:hint="eastAsia" w:ascii="宋体" w:hAnsi="宋体" w:cs="宋体"/>
          <w:sz w:val="24"/>
          <w:highlight w:val="none"/>
        </w:rPr>
        <w:t xml:space="preserve">开户名称：                               开户名称： </w:t>
      </w:r>
    </w:p>
    <w:p>
      <w:pPr>
        <w:autoSpaceDE w:val="0"/>
        <w:autoSpaceDN w:val="0"/>
        <w:spacing w:line="4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pPr>
        <w:widowControl/>
        <w:spacing w:line="460" w:lineRule="exact"/>
        <w:jc w:val="left"/>
        <w:rPr>
          <w:rFonts w:ascii="宋体" w:hAnsi="宋体" w:cs="宋体"/>
          <w:b/>
          <w:sz w:val="24"/>
          <w:highlight w:val="none"/>
        </w:rPr>
      </w:pPr>
    </w:p>
    <w:p>
      <w:pPr>
        <w:widowControl/>
        <w:adjustRightInd/>
        <w:spacing w:line="460" w:lineRule="exact"/>
        <w:jc w:val="left"/>
        <w:rPr>
          <w:rFonts w:ascii="宋体" w:hAnsi="宋体" w:cs="宋体"/>
          <w:b/>
          <w:sz w:val="24"/>
          <w:highlight w:val="none"/>
        </w:rPr>
      </w:pPr>
      <w:r>
        <w:rPr>
          <w:rFonts w:hint="eastAsia" w:ascii="宋体" w:hAnsi="宋体" w:cs="宋体"/>
          <w:b/>
          <w:highlight w:val="none"/>
        </w:rPr>
        <w:br w:type="page"/>
      </w:r>
    </w:p>
    <w:p>
      <w:pPr>
        <w:pStyle w:val="701"/>
        <w:spacing w:line="4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2.1 定义</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2.1.1 “合同”系指甲方和中标或成交供应商签订的载明双方当事人所达成的协议，并包括所有的附件、附录和构成合同的其他文件。</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“合同价”系指根据合同约定，中标或成交供应商在完全履行合同义务后，甲方应支付给中标或成交供应商的价格。</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2.1.3 “服务”系指中标或成交供应商根据合同约定应向甲方履行的除货物和工程以外的其他政府采购对象，包括甲方自身需要的服务和向社会公众提供的公共服务。</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2.1.4 “甲方”系指与中标或成交供应商签署合同的甲方；甲方委托采购代理机构代表其与乙方签订合同的，甲方的授权委托书作为合同附件。</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2.1.6 “现场”系指合同约定提供服务的地点。</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2.2 技术规范</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2.3 知识产权</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2.3.2 合同涉及技术成果的归属和收益的分成办法的，详见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460" w:lineRule="exact"/>
        <w:ind w:firstLine="482" w:firstLineChars="200"/>
        <w:rPr>
          <w:rFonts w:ascii="宋体" w:hAnsi="宋体" w:cs="宋体"/>
          <w:b/>
          <w:sz w:val="24"/>
          <w:highlight w:val="none"/>
        </w:rPr>
      </w:pPr>
      <w:r>
        <w:rPr>
          <w:rFonts w:hint="eastAsia" w:ascii="宋体" w:hAnsi="宋体" w:cs="宋体"/>
          <w:b/>
          <w:sz w:val="24"/>
          <w:highlight w:val="none"/>
        </w:rPr>
        <w:t>2.4 履约检查和问题反馈</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2.4.2 合同履行期间，甲方有权将履行过程中出现的问题反馈给乙方，双方当事人应以书面形式约定需要完善和改进的内容。</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2.5 结算方式和付款条件</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2.6 技术资料和保密义务</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2.7 质量保证</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2.8 延迟履行</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2.9 合同变更</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2.10 合同转让和分包</w:t>
      </w:r>
    </w:p>
    <w:p>
      <w:pPr>
        <w:pStyle w:val="58"/>
        <w:spacing w:before="0" w:beforeAutospacing="0" w:after="0" w:afterAutospacing="0" w:line="460" w:lineRule="exact"/>
        <w:ind w:firstLine="480"/>
        <w:jc w:val="both"/>
        <w:rPr>
          <w:rFonts w:cs="宋体"/>
          <w:kern w:val="2"/>
          <w:highlight w:val="none"/>
        </w:rPr>
      </w:pPr>
      <w:r>
        <w:rPr>
          <w:rFonts w:hint="eastAsia" w:cs="宋体"/>
          <w:kern w:val="2"/>
          <w:highlight w:val="none"/>
        </w:rPr>
        <w:t>2.10.1合同的权利义务依法不得转让，但经甲方书面同意，乙方可以依法采取分包方式履行合同，即：依法可以将合同项下的部分非主体、非关键性</w:t>
      </w:r>
      <w:r>
        <w:rPr>
          <w:rFonts w:hint="eastAsia" w:cs="宋体"/>
          <w:kern w:val="2"/>
          <w:highlight w:val="none"/>
          <w:u w:val="single"/>
        </w:rPr>
        <w:t xml:space="preserve"> </w:t>
      </w:r>
      <w:r>
        <w:rPr>
          <w:rFonts w:hint="eastAsia" w:cs="宋体"/>
          <w:highlight w:val="none"/>
          <w:u w:val="single"/>
        </w:rPr>
        <w:t xml:space="preserve">等保测评服务、边界通道租赁服务、公安网一机两用服务、公安网桌面云服务 </w:t>
      </w:r>
      <w:r>
        <w:rPr>
          <w:rFonts w:hint="eastAsia" w:cs="宋体"/>
          <w:kern w:val="2"/>
          <w:highlight w:val="none"/>
        </w:rPr>
        <w:t>工作分包给他人完成，接受分包的人应当具备相应的资格条件，并不得再次分包，且乙方应就分包项目向甲方负责，并与分包供应商就分包项目向甲方承担连带责任。</w:t>
      </w:r>
    </w:p>
    <w:p>
      <w:pPr>
        <w:pStyle w:val="58"/>
        <w:spacing w:before="0" w:beforeAutospacing="0" w:after="0" w:afterAutospacing="0" w:line="460" w:lineRule="exact"/>
        <w:ind w:firstLine="480"/>
        <w:jc w:val="both"/>
        <w:rPr>
          <w:rFonts w:cs="宋体"/>
          <w:kern w:val="2"/>
          <w:highlight w:val="none"/>
        </w:rPr>
      </w:pPr>
      <w:r>
        <w:rPr>
          <w:rFonts w:hint="eastAsia" w:cs="宋体"/>
          <w:kern w:val="2"/>
          <w:highlight w:val="none"/>
        </w:rPr>
        <w:t>2.10.2乙方采取分包方式履行合同的，甲方可直接向分包供应商支付款项。</w:t>
      </w:r>
    </w:p>
    <w:p>
      <w:pPr>
        <w:pStyle w:val="58"/>
        <w:spacing w:before="0" w:beforeAutospacing="0" w:after="0" w:afterAutospacing="0" w:line="460" w:lineRule="exact"/>
        <w:ind w:firstLine="480"/>
        <w:jc w:val="both"/>
        <w:rPr>
          <w:rFonts w:cs="宋体"/>
          <w:kern w:val="2"/>
          <w:highlight w:val="none"/>
        </w:rPr>
      </w:pPr>
      <w:r>
        <w:rPr>
          <w:rFonts w:hint="eastAsia" w:cs="宋体"/>
          <w:kern w:val="2"/>
          <w:highlight w:val="none"/>
        </w:rPr>
        <w:t>2.10.3分包内容详见附件5。</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2.11 不可抗力</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2.11.1如果任何一方遭遇法律规定的不可抗力，致使合同履行受阻时，履行合同的期限应予延长，延长的期限应相当于不可抗力所影响的时间；</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2.11.2 因不可抗力致使不能实现合同目的的，当事人可以解除合同；</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2.11.3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2.11.4受不可抗力影响的一方在不可抗力发生后，应在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2.12 税费</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与合同有关的一切税费，均按照中华人民共和国法律的相关规定缴纳。</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2.13 乙方破产</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2.14 合同中止、终止</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2.14.1 双方当事人不得擅自中止或者终止合同；</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2.15 检验和验收</w:t>
      </w:r>
    </w:p>
    <w:p>
      <w:pPr>
        <w:tabs>
          <w:tab w:val="left" w:pos="360"/>
          <w:tab w:val="left" w:pos="540"/>
          <w:tab w:val="left" w:pos="1080"/>
        </w:tabs>
        <w:spacing w:line="460" w:lineRule="exact"/>
        <w:ind w:firstLine="480" w:firstLineChars="200"/>
        <w:rPr>
          <w:rFonts w:ascii="宋体" w:hAnsi="宋体" w:cs="宋体"/>
          <w:sz w:val="24"/>
          <w:highlight w:val="none"/>
        </w:rPr>
      </w:pPr>
      <w:r>
        <w:rPr>
          <w:rFonts w:hint="eastAsia" w:ascii="宋体" w:hAnsi="宋体" w:cs="宋体"/>
          <w:sz w:val="24"/>
          <w:highlight w:val="none"/>
        </w:rPr>
        <w:t>2.15.1 乙方按照</w:t>
      </w:r>
      <w:r>
        <w:rPr>
          <w:rFonts w:hint="eastAsia" w:ascii="宋体" w:hAnsi="宋体" w:cs="宋体"/>
          <w:b/>
          <w:i/>
          <w:sz w:val="24"/>
          <w:highlight w:val="none"/>
          <w:u w:val="single"/>
        </w:rPr>
        <w:t>合同专用条款</w:t>
      </w:r>
      <w:r>
        <w:rPr>
          <w:rFonts w:hint="eastAsia" w:ascii="宋体" w:hAnsi="宋体" w:cs="宋体"/>
          <w:sz w:val="24"/>
          <w:highlight w:val="none"/>
        </w:rPr>
        <w:t>的约定，定期提交服务报告，甲方按照</w:t>
      </w:r>
      <w:r>
        <w:rPr>
          <w:rFonts w:hint="eastAsia" w:ascii="宋体" w:hAnsi="宋体" w:cs="宋体"/>
          <w:b/>
          <w:i/>
          <w:sz w:val="24"/>
          <w:highlight w:val="none"/>
          <w:u w:val="single"/>
        </w:rPr>
        <w:t>合同专用条款</w:t>
      </w:r>
      <w:r>
        <w:rPr>
          <w:rFonts w:hint="eastAsia" w:ascii="宋体" w:hAnsi="宋体" w:cs="宋体"/>
          <w:sz w:val="24"/>
          <w:highlight w:val="none"/>
        </w:rPr>
        <w:t>的约定进行定期验收；</w:t>
      </w:r>
    </w:p>
    <w:p>
      <w:pPr>
        <w:tabs>
          <w:tab w:val="left" w:pos="360"/>
          <w:tab w:val="left" w:pos="540"/>
          <w:tab w:val="left" w:pos="1080"/>
        </w:tabs>
        <w:spacing w:line="460" w:lineRule="exact"/>
        <w:ind w:firstLine="480" w:firstLineChars="200"/>
        <w:rPr>
          <w:rFonts w:ascii="宋体" w:hAnsi="宋体" w:cs="宋体"/>
          <w:sz w:val="24"/>
          <w:highlight w:val="none"/>
        </w:rPr>
      </w:pPr>
      <w:r>
        <w:rPr>
          <w:rFonts w:hint="eastAsia" w:ascii="宋体" w:hAnsi="宋体" w:cs="宋体"/>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460" w:lineRule="exact"/>
        <w:ind w:firstLine="480" w:firstLineChars="200"/>
        <w:rPr>
          <w:rFonts w:ascii="宋体" w:hAnsi="宋体" w:cs="宋体"/>
          <w:sz w:val="24"/>
          <w:highlight w:val="none"/>
        </w:rPr>
      </w:pPr>
      <w:r>
        <w:rPr>
          <w:rFonts w:hint="eastAsia" w:ascii="宋体" w:hAnsi="宋体" w:cs="宋体"/>
          <w:sz w:val="24"/>
          <w:highlight w:val="none"/>
        </w:rPr>
        <w:t>2.15.3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2.16 通知和送达</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2.17 合同使用的文字和适用的法律</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2.17.1 合同使用汉语书就、变更和解释；</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2.17.2 合同适用中华人民共和国法律。</w:t>
      </w:r>
    </w:p>
    <w:p>
      <w:pPr>
        <w:spacing w:line="460" w:lineRule="exact"/>
        <w:ind w:firstLine="482" w:firstLineChars="200"/>
        <w:outlineLvl w:val="0"/>
        <w:rPr>
          <w:rFonts w:ascii="宋体" w:hAnsi="宋体" w:cs="宋体"/>
          <w:b/>
          <w:sz w:val="24"/>
          <w:highlight w:val="none"/>
        </w:rPr>
      </w:pPr>
      <w:r>
        <w:rPr>
          <w:rFonts w:hint="eastAsia" w:ascii="宋体" w:hAnsi="宋体" w:cs="宋体"/>
          <w:b/>
          <w:sz w:val="24"/>
          <w:highlight w:val="none"/>
        </w:rPr>
        <w:t>2.18 计量单位</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460" w:lineRule="exact"/>
        <w:ind w:firstLine="482" w:firstLineChars="200"/>
        <w:rPr>
          <w:rFonts w:ascii="宋体" w:hAnsi="宋体" w:cs="宋体"/>
          <w:b/>
          <w:sz w:val="24"/>
          <w:highlight w:val="none"/>
        </w:rPr>
      </w:pPr>
      <w:r>
        <w:rPr>
          <w:rFonts w:hint="eastAsia" w:ascii="宋体" w:hAnsi="宋体" w:cs="宋体"/>
          <w:b/>
          <w:sz w:val="24"/>
          <w:highlight w:val="none"/>
        </w:rPr>
        <w:t>2.19合同份数</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pPr>
        <w:spacing w:line="460" w:lineRule="exact"/>
        <w:jc w:val="center"/>
        <w:outlineLvl w:val="0"/>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pPr>
        <w:spacing w:line="4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adjustRightInd/>
        <w:spacing w:line="460" w:lineRule="exact"/>
        <w:rPr>
          <w:rFonts w:ascii="宋体" w:hAnsi="宋体" w:cs="宋体"/>
          <w:b w:val="0"/>
          <w:bCs w:val="0"/>
          <w:sz w:val="24"/>
          <w:highlight w:val="none"/>
        </w:rPr>
      </w:pPr>
      <w:r>
        <w:rPr>
          <w:rFonts w:hint="eastAsia" w:ascii="宋体" w:hAnsi="宋体" w:cs="宋体"/>
          <w:b w:val="0"/>
          <w:bCs w:val="0"/>
          <w:sz w:val="24"/>
          <w:highlight w:val="none"/>
        </w:rPr>
        <w:t>1.3.2服务工作量的计量方式为：根据合同单价、实际维护内容及数量按实结算。</w:t>
      </w:r>
    </w:p>
    <w:p>
      <w:pPr>
        <w:adjustRightInd/>
        <w:spacing w:line="460" w:lineRule="exact"/>
        <w:rPr>
          <w:rFonts w:ascii="宋体" w:hAnsi="宋体" w:cs="宋体"/>
          <w:sz w:val="24"/>
          <w:highlight w:val="none"/>
        </w:rPr>
      </w:pPr>
      <w:r>
        <w:rPr>
          <w:rFonts w:hint="eastAsia" w:ascii="宋体" w:hAnsi="宋体" w:cs="宋体"/>
          <w:b/>
          <w:bCs/>
          <w:sz w:val="24"/>
          <w:highlight w:val="none"/>
        </w:rPr>
        <w:t>1.4.2</w:t>
      </w:r>
      <w:r>
        <w:rPr>
          <w:rFonts w:hint="eastAsia" w:ascii="宋体" w:hAnsi="宋体" w:cs="宋体"/>
          <w:sz w:val="24"/>
          <w:highlight w:val="none"/>
        </w:rPr>
        <w:t>本项目要求乙方提交履约保证金，乙方应按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460" w:lineRule="exact"/>
        <w:outlineLvl w:val="0"/>
        <w:rPr>
          <w:rFonts w:ascii="宋体" w:hAnsi="宋体" w:cs="宋体"/>
          <w:sz w:val="24"/>
          <w:highlight w:val="none"/>
        </w:rPr>
      </w:pPr>
      <w:r>
        <w:rPr>
          <w:rFonts w:hint="eastAsia" w:ascii="宋体" w:hAnsi="宋体" w:cs="宋体"/>
          <w:b/>
          <w:bCs/>
          <w:sz w:val="24"/>
          <w:highlight w:val="none"/>
        </w:rPr>
        <w:t>1.5.1</w:t>
      </w:r>
      <w:r>
        <w:rPr>
          <w:rFonts w:hint="eastAsia" w:ascii="宋体" w:hAnsi="宋体" w:cs="宋体"/>
          <w:kern w:val="0"/>
          <w:sz w:val="24"/>
          <w:highlight w:val="none"/>
        </w:rPr>
        <w:t>预付款比例、支付方式、时间</w:t>
      </w:r>
    </w:p>
    <w:p>
      <w:pPr>
        <w:spacing w:line="460" w:lineRule="exact"/>
        <w:ind w:firstLine="480" w:firstLineChars="200"/>
        <w:outlineLvl w:val="0"/>
        <w:rPr>
          <w:rFonts w:ascii="宋体" w:hAnsi="宋体" w:cs="宋体"/>
          <w:sz w:val="24"/>
          <w:highlight w:val="none"/>
        </w:rPr>
      </w:pPr>
      <w:r>
        <w:rPr>
          <w:rFonts w:hint="eastAsia" w:ascii="宋体" w:hAnsi="宋体" w:cs="宋体"/>
          <w:sz w:val="24"/>
          <w:highlight w:val="none"/>
        </w:rPr>
        <w:t>甲方应严格履行合同，及时组织验收，验收合格后及时将合同款支付完毕。对于满足合同约定支付条件的，甲方在5个工作日内予以支付。甲方不得以机构变动、人员更替、政策调整、单位放假等为由延迟付款。</w:t>
      </w:r>
    </w:p>
    <w:p>
      <w:pPr>
        <w:spacing w:line="460" w:lineRule="exact"/>
        <w:ind w:firstLine="480" w:firstLineChars="200"/>
        <w:outlineLvl w:val="0"/>
        <w:rPr>
          <w:rFonts w:ascii="宋体" w:hAnsi="宋体" w:cs="宋体"/>
          <w:sz w:val="24"/>
          <w:highlight w:val="none"/>
        </w:rPr>
      </w:pPr>
      <w:r>
        <w:rPr>
          <w:rFonts w:hint="eastAsia" w:ascii="宋体" w:hAnsi="宋体" w:cs="宋体"/>
          <w:sz w:val="24"/>
          <w:highlight w:val="none"/>
        </w:rPr>
        <w:t>甲方在政府采购合同中约定预付款，预付款金额为合同价款的40%；乙方可登录政采云前台大厅选择金融服务-【保函保险服务】出具预付款保函，具体步骤：选择产品—填写供应商信息—选择中标项目—确认信息—等待保险/保函受理—确认保单—支付保费—成功出单。政采云金融专线400-903-9583。</w:t>
      </w:r>
    </w:p>
    <w:p>
      <w:pPr>
        <w:snapToGrid w:val="0"/>
        <w:spacing w:line="460" w:lineRule="exact"/>
        <w:ind w:firstLine="480" w:firstLineChars="200"/>
        <w:outlineLvl w:val="0"/>
        <w:rPr>
          <w:rFonts w:ascii="宋体" w:hAnsi="宋体" w:cs="宋体"/>
          <w:sz w:val="24"/>
          <w:highlight w:val="none"/>
        </w:rPr>
      </w:pPr>
      <w:r>
        <w:rPr>
          <w:rFonts w:hint="eastAsia" w:ascii="宋体" w:hAnsi="宋体" w:cs="宋体"/>
          <w:sz w:val="24"/>
          <w:highlight w:val="none"/>
        </w:rPr>
        <w:t>乙方可以登录：</w:t>
      </w:r>
      <w:r>
        <w:rPr>
          <w:highlight w:val="none"/>
        </w:rPr>
        <w:fldChar w:fldCharType="begin"/>
      </w:r>
      <w:r>
        <w:rPr>
          <w:highlight w:val="none"/>
        </w:rPr>
        <w:instrText xml:space="preserve"> HYPERLINK "http://czj.hangzhou.gov.cn/zfcg（杭州市政府采购网），在线发起付款申请和提交发票，并可以在线查询支付信息。具体操作指南可以查询该网站文件《杭州市财政局关于进一步加强政府采购信息公开优化营商环境的通知》（杭财采监〔2021〕17号）。" </w:instrText>
      </w:r>
      <w:r>
        <w:rPr>
          <w:highlight w:val="none"/>
        </w:rPr>
        <w:fldChar w:fldCharType="separate"/>
      </w:r>
      <w:r>
        <w:rPr>
          <w:rFonts w:hint="eastAsia" w:ascii="宋体" w:hAnsi="宋体" w:cs="宋体"/>
          <w:sz w:val="24"/>
          <w:highlight w:val="none"/>
        </w:rPr>
        <w:t>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r>
        <w:rPr>
          <w:rFonts w:hint="eastAsia" w:ascii="宋体" w:hAnsi="宋体" w:cs="宋体"/>
          <w:sz w:val="24"/>
          <w:highlight w:val="none"/>
        </w:rPr>
        <w:fldChar w:fldCharType="end"/>
      </w:r>
    </w:p>
    <w:p>
      <w:pPr>
        <w:snapToGrid w:val="0"/>
        <w:spacing w:line="460" w:lineRule="exact"/>
        <w:ind w:right="-420" w:rightChars="-200"/>
        <w:rPr>
          <w:rFonts w:ascii="宋体" w:hAnsi="宋体" w:cs="宋体"/>
          <w:sz w:val="24"/>
          <w:highlight w:val="none"/>
        </w:rPr>
      </w:pPr>
      <w:r>
        <w:rPr>
          <w:rFonts w:hint="eastAsia" w:ascii="宋体" w:hAnsi="宋体" w:cs="宋体"/>
          <w:b/>
          <w:bCs/>
          <w:sz w:val="24"/>
          <w:highlight w:val="none"/>
        </w:rPr>
        <w:t>1.6.2</w:t>
      </w:r>
      <w:r>
        <w:rPr>
          <w:rFonts w:hint="eastAsia" w:ascii="宋体" w:hAnsi="宋体" w:cs="宋体"/>
          <w:sz w:val="24"/>
          <w:highlight w:val="none"/>
        </w:rPr>
        <w:t>资金支付的方式、时间和条件：</w:t>
      </w:r>
    </w:p>
    <w:tbl>
      <w:tblPr>
        <w:tblStyle w:val="6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1"/>
        <w:gridCol w:w="5262"/>
        <w:gridCol w:w="185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1" w:type="dxa"/>
            <w:shd w:val="clear" w:color="auto" w:fill="auto"/>
            <w:vAlign w:val="center"/>
          </w:tcPr>
          <w:p>
            <w:pPr>
              <w:spacing w:line="460" w:lineRule="exact"/>
              <w:jc w:val="center"/>
              <w:rPr>
                <w:rFonts w:ascii="宋体" w:hAnsi="宋体" w:cs="宋体"/>
                <w:sz w:val="24"/>
                <w:highlight w:val="none"/>
              </w:rPr>
            </w:pPr>
            <w:r>
              <w:rPr>
                <w:rFonts w:hint="eastAsia" w:ascii="宋体" w:hAnsi="宋体" w:cs="宋体"/>
                <w:sz w:val="24"/>
                <w:highlight w:val="none"/>
              </w:rPr>
              <w:t>序号</w:t>
            </w:r>
          </w:p>
        </w:tc>
        <w:tc>
          <w:tcPr>
            <w:tcW w:w="5262" w:type="dxa"/>
            <w:shd w:val="clear" w:color="auto" w:fill="auto"/>
            <w:vAlign w:val="center"/>
          </w:tcPr>
          <w:p>
            <w:pPr>
              <w:spacing w:line="460" w:lineRule="exact"/>
              <w:jc w:val="center"/>
              <w:rPr>
                <w:rFonts w:ascii="宋体" w:hAnsi="宋体" w:cs="宋体"/>
                <w:sz w:val="24"/>
                <w:highlight w:val="none"/>
              </w:rPr>
            </w:pPr>
            <w:r>
              <w:rPr>
                <w:rFonts w:hint="eastAsia" w:ascii="宋体" w:hAnsi="宋体" w:cs="宋体"/>
                <w:sz w:val="24"/>
                <w:highlight w:val="none"/>
              </w:rPr>
              <w:t>付款比例（%）</w:t>
            </w:r>
          </w:p>
        </w:tc>
        <w:tc>
          <w:tcPr>
            <w:tcW w:w="1852" w:type="dxa"/>
            <w:shd w:val="clear" w:color="auto" w:fill="auto"/>
            <w:vAlign w:val="center"/>
          </w:tcPr>
          <w:p>
            <w:pPr>
              <w:spacing w:line="460" w:lineRule="exact"/>
              <w:jc w:val="center"/>
              <w:rPr>
                <w:rFonts w:ascii="宋体" w:hAnsi="宋体" w:cs="宋体"/>
                <w:sz w:val="24"/>
                <w:highlight w:val="none"/>
              </w:rPr>
            </w:pPr>
            <w:r>
              <w:rPr>
                <w:rFonts w:hint="eastAsia" w:ascii="宋体" w:hAnsi="宋体" w:cs="宋体"/>
                <w:sz w:val="24"/>
                <w:highlight w:val="none"/>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spacing w:line="460" w:lineRule="exact"/>
              <w:jc w:val="center"/>
              <w:rPr>
                <w:rFonts w:ascii="宋体" w:hAnsi="宋体" w:cs="宋体"/>
                <w:sz w:val="24"/>
                <w:highlight w:val="none"/>
              </w:rPr>
            </w:pPr>
            <w:r>
              <w:rPr>
                <w:rFonts w:hint="eastAsia" w:ascii="宋体" w:hAnsi="宋体" w:cs="宋体"/>
                <w:sz w:val="24"/>
                <w:highlight w:val="none"/>
              </w:rPr>
              <w:t>1</w:t>
            </w:r>
          </w:p>
        </w:tc>
        <w:tc>
          <w:tcPr>
            <w:tcW w:w="5262" w:type="dxa"/>
            <w:shd w:val="clear" w:color="auto" w:fill="auto"/>
          </w:tcPr>
          <w:p>
            <w:pPr>
              <w:spacing w:line="460" w:lineRule="exact"/>
              <w:rPr>
                <w:rFonts w:ascii="宋体" w:hAnsi="宋体" w:cs="宋体"/>
                <w:sz w:val="24"/>
                <w:highlight w:val="none"/>
              </w:rPr>
            </w:pPr>
            <w:r>
              <w:rPr>
                <w:rFonts w:hint="eastAsia" w:ascii="宋体" w:hAnsi="宋体" w:cs="宋体"/>
                <w:sz w:val="24"/>
                <w:highlight w:val="none"/>
                <w:lang w:val="en-GB"/>
              </w:rPr>
              <w:t>第一期付款</w:t>
            </w:r>
            <w:r>
              <w:rPr>
                <w:rFonts w:hint="eastAsia" w:ascii="宋体" w:hAnsi="宋体" w:cs="宋体"/>
                <w:sz w:val="24"/>
                <w:highlight w:val="none"/>
              </w:rPr>
              <w:t>:签订合同后5个工作日内，甲方向乙方支付合同总价40%。同时，收取合同总价1%的履约保证金。</w:t>
            </w:r>
          </w:p>
        </w:tc>
        <w:tc>
          <w:tcPr>
            <w:tcW w:w="1852" w:type="dxa"/>
            <w:shd w:val="clear" w:color="auto" w:fill="auto"/>
          </w:tcPr>
          <w:p>
            <w:pPr>
              <w:spacing w:line="460" w:lineRule="exact"/>
              <w:jc w:val="center"/>
              <w:rPr>
                <w:rFonts w:ascii="宋体" w:hAnsi="宋体" w:cs="宋体"/>
                <w:sz w:val="24"/>
                <w:highlight w:val="none"/>
              </w:rPr>
            </w:pPr>
            <w:r>
              <w:rPr>
                <w:rFonts w:hint="eastAsia" w:ascii="宋体" w:hAnsi="宋体" w:cs="宋体"/>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spacing w:line="460" w:lineRule="exact"/>
              <w:jc w:val="center"/>
              <w:rPr>
                <w:rFonts w:ascii="宋体" w:hAnsi="宋体" w:cs="宋体"/>
                <w:sz w:val="24"/>
                <w:highlight w:val="none"/>
              </w:rPr>
            </w:pPr>
            <w:r>
              <w:rPr>
                <w:rFonts w:hint="eastAsia" w:ascii="宋体" w:hAnsi="宋体" w:cs="宋体"/>
                <w:sz w:val="24"/>
                <w:highlight w:val="none"/>
              </w:rPr>
              <w:t>2</w:t>
            </w:r>
          </w:p>
        </w:tc>
        <w:tc>
          <w:tcPr>
            <w:tcW w:w="5262" w:type="dxa"/>
            <w:shd w:val="clear" w:color="auto" w:fill="auto"/>
          </w:tcPr>
          <w:p>
            <w:pPr>
              <w:spacing w:line="420" w:lineRule="exact"/>
              <w:rPr>
                <w:rFonts w:ascii="宋体" w:hAnsi="宋体" w:cs="宋体"/>
                <w:sz w:val="24"/>
                <w:highlight w:val="none"/>
              </w:rPr>
            </w:pPr>
            <w:r>
              <w:rPr>
                <w:rFonts w:hint="eastAsia" w:ascii="宋体" w:hAnsi="宋体" w:cs="宋体"/>
                <w:sz w:val="24"/>
                <w:highlight w:val="none"/>
              </w:rPr>
              <w:t>第二期付款：</w:t>
            </w:r>
            <w:r>
              <w:rPr>
                <w:rFonts w:hint="eastAsia" w:ascii="宋体" w:hAnsi="宋体" w:cs="宋体"/>
                <w:color w:val="000000" w:themeColor="text1"/>
                <w:sz w:val="24"/>
                <w:highlight w:val="none"/>
                <w14:textFill>
                  <w14:solidFill>
                    <w14:schemeClr w14:val="tx1"/>
                  </w14:solidFill>
                </w14:textFill>
              </w:rPr>
              <w:t>服务至2024年11月30日，</w:t>
            </w:r>
            <w:r>
              <w:rPr>
                <w:rFonts w:hint="eastAsia" w:ascii="宋体" w:hAnsi="宋体" w:cs="宋体"/>
                <w:sz w:val="24"/>
                <w:highlight w:val="none"/>
                <w:lang w:val="zh-CN"/>
              </w:rPr>
              <w:t>经验收合格后</w:t>
            </w:r>
            <w:r>
              <w:rPr>
                <w:rFonts w:hint="eastAsia" w:ascii="宋体" w:hAnsi="宋体" w:cs="宋体"/>
                <w:sz w:val="24"/>
                <w:highlight w:val="none"/>
              </w:rPr>
              <w:t>,凭双方签字盖章的验收意见、验收小组签字的验收报告、月度考核表、验收资料等材料，经甲方对服务报告质量及数量审核无误后，</w:t>
            </w:r>
            <w:r>
              <w:rPr>
                <w:rFonts w:hint="eastAsia" w:ascii="宋体" w:hAnsi="宋体" w:cs="宋体"/>
                <w:color w:val="000000"/>
                <w:sz w:val="24"/>
                <w:highlight w:val="none"/>
                <w:lang w:val="zh-CN"/>
              </w:rPr>
              <w:t>根据</w:t>
            </w:r>
            <w:r>
              <w:rPr>
                <w:rFonts w:hint="eastAsia" w:ascii="宋体" w:hAnsi="宋体" w:cs="宋体"/>
                <w:b w:val="0"/>
                <w:bCs w:val="0"/>
                <w:sz w:val="24"/>
                <w:highlight w:val="none"/>
              </w:rPr>
              <w:t>合同单价、实际维护内容及数量</w:t>
            </w:r>
            <w:r>
              <w:rPr>
                <w:rFonts w:hint="eastAsia" w:ascii="宋体" w:hAnsi="宋体" w:cs="宋体"/>
                <w:color w:val="000000"/>
                <w:sz w:val="24"/>
                <w:highlight w:val="none"/>
                <w:lang w:val="zh-CN"/>
              </w:rPr>
              <w:t>按实结算，最多支付至</w:t>
            </w:r>
            <w:r>
              <w:rPr>
                <w:rFonts w:hint="eastAsia" w:ascii="宋体" w:hAnsi="宋体" w:cs="宋体"/>
                <w:color w:val="000000"/>
                <w:sz w:val="24"/>
                <w:highlight w:val="none"/>
              </w:rPr>
              <w:t>250万元（含甲方已向</w:t>
            </w:r>
            <w:r>
              <w:rPr>
                <w:rFonts w:hint="eastAsia" w:ascii="宋体" w:hAnsi="宋体" w:cs="宋体"/>
                <w:sz w:val="24"/>
                <w:highlight w:val="none"/>
              </w:rPr>
              <w:t>乙方</w:t>
            </w:r>
            <w:r>
              <w:rPr>
                <w:rFonts w:hint="eastAsia" w:ascii="宋体" w:hAnsi="宋体" w:cs="宋体"/>
                <w:color w:val="000000"/>
                <w:sz w:val="24"/>
                <w:highlight w:val="none"/>
              </w:rPr>
              <w:t>支付的第一期合同价款）</w:t>
            </w:r>
            <w:r>
              <w:rPr>
                <w:rFonts w:hint="eastAsia" w:ascii="宋体" w:hAnsi="宋体" w:cs="宋体"/>
                <w:sz w:val="24"/>
                <w:highlight w:val="none"/>
              </w:rPr>
              <w:t>；</w:t>
            </w:r>
          </w:p>
        </w:tc>
        <w:tc>
          <w:tcPr>
            <w:tcW w:w="1852" w:type="dxa"/>
            <w:shd w:val="clear" w:color="auto" w:fill="auto"/>
          </w:tcPr>
          <w:p>
            <w:pPr>
              <w:spacing w:line="460" w:lineRule="exact"/>
              <w:jc w:val="center"/>
              <w:rPr>
                <w:rFonts w:ascii="宋体" w:hAnsi="宋体" w:cs="宋体"/>
                <w:sz w:val="24"/>
                <w:highlight w:val="none"/>
              </w:rPr>
            </w:pPr>
            <w:r>
              <w:rPr>
                <w:rFonts w:hint="eastAsia" w:ascii="宋体" w:hAnsi="宋体" w:cs="宋体"/>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1" w:type="dxa"/>
            <w:shd w:val="clear" w:color="auto" w:fill="auto"/>
          </w:tcPr>
          <w:p>
            <w:pPr>
              <w:spacing w:line="460" w:lineRule="exact"/>
              <w:jc w:val="center"/>
              <w:rPr>
                <w:rFonts w:ascii="宋体" w:hAnsi="宋体" w:cs="宋体"/>
                <w:sz w:val="24"/>
                <w:highlight w:val="none"/>
              </w:rPr>
            </w:pPr>
            <w:r>
              <w:rPr>
                <w:rFonts w:hint="eastAsia" w:ascii="宋体" w:hAnsi="宋体" w:cs="宋体"/>
                <w:sz w:val="24"/>
                <w:highlight w:val="none"/>
              </w:rPr>
              <w:t>3</w:t>
            </w:r>
          </w:p>
        </w:tc>
        <w:tc>
          <w:tcPr>
            <w:tcW w:w="5262" w:type="dxa"/>
            <w:shd w:val="clear" w:color="auto" w:fill="auto"/>
          </w:tcPr>
          <w:p>
            <w:pPr>
              <w:spacing w:line="460" w:lineRule="exact"/>
              <w:rPr>
                <w:rFonts w:ascii="宋体" w:hAnsi="宋体" w:cs="宋体"/>
                <w:sz w:val="24"/>
                <w:highlight w:val="none"/>
              </w:rPr>
            </w:pPr>
            <w:r>
              <w:rPr>
                <w:rFonts w:hint="eastAsia" w:ascii="宋体" w:hAnsi="宋体" w:cs="宋体"/>
                <w:sz w:val="24"/>
                <w:highlight w:val="none"/>
              </w:rPr>
              <w:t>第三期付款：至服务期结束，经验收合格后，凭双方签字盖章的验收意见、验收小组签字的验收报告、月度考核表、公示截图、验收资料等材料，经甲方对服务报告质量及数量审核无误后，根据</w:t>
            </w:r>
            <w:r>
              <w:rPr>
                <w:rFonts w:hint="eastAsia" w:ascii="宋体" w:hAnsi="宋体" w:cs="宋体"/>
                <w:b w:val="0"/>
                <w:bCs w:val="0"/>
                <w:sz w:val="24"/>
                <w:highlight w:val="none"/>
              </w:rPr>
              <w:t>合同单价、实际维护内容及数量</w:t>
            </w:r>
            <w:r>
              <w:rPr>
                <w:rFonts w:hint="eastAsia" w:ascii="宋体" w:hAnsi="宋体" w:cs="宋体"/>
                <w:sz w:val="24"/>
                <w:highlight w:val="none"/>
              </w:rPr>
              <w:t>按实结算剩余应付的合同款项，同时扣除乙方应向甲方支付的违约金。</w:t>
            </w:r>
          </w:p>
        </w:tc>
        <w:tc>
          <w:tcPr>
            <w:tcW w:w="1852" w:type="dxa"/>
            <w:shd w:val="clear" w:color="auto" w:fill="auto"/>
          </w:tcPr>
          <w:p>
            <w:pPr>
              <w:spacing w:line="460" w:lineRule="exact"/>
              <w:jc w:val="center"/>
              <w:rPr>
                <w:rFonts w:ascii="宋体" w:hAnsi="宋体" w:cs="宋体"/>
                <w:sz w:val="24"/>
                <w:highlight w:val="none"/>
              </w:rPr>
            </w:pPr>
            <w:r>
              <w:rPr>
                <w:rFonts w:hint="eastAsia" w:ascii="宋体" w:hAnsi="宋体" w:cs="宋体"/>
                <w:sz w:val="24"/>
                <w:highlight w:val="none"/>
              </w:rPr>
              <w:t>国库转账支付</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285" w:type="dxa"/>
            <w:gridSpan w:val="3"/>
            <w:shd w:val="clear" w:color="auto" w:fill="auto"/>
          </w:tcPr>
          <w:p>
            <w:pPr>
              <w:spacing w:line="460" w:lineRule="exact"/>
              <w:rPr>
                <w:rFonts w:ascii="宋体" w:hAnsi="宋体" w:cs="宋体"/>
                <w:sz w:val="24"/>
                <w:highlight w:val="none"/>
                <w:lang w:val="zh-CN"/>
              </w:rPr>
            </w:pPr>
            <w:r>
              <w:rPr>
                <w:rFonts w:hint="eastAsia" w:ascii="宋体" w:hAnsi="宋体" w:cs="宋体"/>
                <w:sz w:val="24"/>
                <w:highlight w:val="none"/>
                <w:lang w:val="zh-CN"/>
              </w:rPr>
              <w:t>双方确认，甲方按前款结算并向乙方支付的款项总额不超过合同总价。</w:t>
            </w:r>
          </w:p>
          <w:p>
            <w:pPr>
              <w:spacing w:line="460" w:lineRule="exact"/>
              <w:rPr>
                <w:rFonts w:ascii="宋体" w:hAnsi="宋体" w:cs="宋体"/>
                <w:sz w:val="24"/>
                <w:highlight w:val="none"/>
              </w:rPr>
            </w:pPr>
            <w:r>
              <w:rPr>
                <w:rFonts w:hint="eastAsia" w:ascii="宋体" w:hAnsi="宋体" w:cs="宋体"/>
                <w:sz w:val="24"/>
                <w:highlight w:val="none"/>
                <w:lang w:val="zh-CN"/>
              </w:rPr>
              <w:t>前述甲方按</w:t>
            </w:r>
            <w:r>
              <w:rPr>
                <w:rFonts w:hint="eastAsia" w:ascii="宋体" w:hAnsi="宋体" w:cs="宋体"/>
                <w:sz w:val="24"/>
                <w:highlight w:val="none"/>
              </w:rPr>
              <w:t>合同单价、实际维护内容及数量</w:t>
            </w:r>
            <w:r>
              <w:rPr>
                <w:rFonts w:hint="eastAsia" w:ascii="宋体" w:hAnsi="宋体" w:cs="宋体"/>
                <w:sz w:val="24"/>
                <w:highlight w:val="none"/>
                <w:lang w:val="zh-CN"/>
              </w:rPr>
              <w:t>与乙方进行结算付款的方式不影响乙方承担其因未全面履行本项目义务而产生的相应违约金。</w:t>
            </w:r>
          </w:p>
        </w:tc>
      </w:tr>
    </w:tbl>
    <w:p>
      <w:pPr>
        <w:snapToGrid w:val="0"/>
        <w:spacing w:line="460" w:lineRule="exact"/>
        <w:outlineLvl w:val="0"/>
        <w:rPr>
          <w:rFonts w:ascii="宋体" w:hAnsi="宋体" w:cs="宋体"/>
          <w:sz w:val="24"/>
          <w:highlight w:val="none"/>
        </w:rPr>
      </w:pPr>
      <w:r>
        <w:rPr>
          <w:rFonts w:hint="eastAsia" w:ascii="宋体" w:hAnsi="宋体" w:cs="宋体"/>
          <w:b/>
          <w:bCs/>
          <w:sz w:val="24"/>
          <w:highlight w:val="none"/>
        </w:rPr>
        <w:t>1.7.1</w:t>
      </w:r>
      <w:r>
        <w:rPr>
          <w:rFonts w:hint="eastAsia" w:ascii="宋体" w:hAnsi="宋体" w:cs="宋体"/>
          <w:sz w:val="24"/>
          <w:highlight w:val="none"/>
        </w:rPr>
        <w:t xml:space="preserve"> 服务交付（实施）的时间（期限）：</w:t>
      </w:r>
      <w:r>
        <w:rPr>
          <w:rFonts w:hint="eastAsia" w:ascii="宋体" w:hAnsi="宋体" w:cs="宋体"/>
          <w:sz w:val="24"/>
          <w:highlight w:val="none"/>
          <w:u w:val="single"/>
        </w:rPr>
        <w:t>12个月，2024年6月1日至2025年5月31日。</w:t>
      </w:r>
    </w:p>
    <w:p>
      <w:pPr>
        <w:snapToGrid w:val="0"/>
        <w:spacing w:line="460" w:lineRule="exact"/>
        <w:outlineLvl w:val="0"/>
        <w:rPr>
          <w:rFonts w:ascii="宋体" w:hAnsi="宋体" w:cs="宋体"/>
          <w:sz w:val="24"/>
          <w:highlight w:val="none"/>
          <w:u w:val="single"/>
        </w:rPr>
      </w:pPr>
      <w:r>
        <w:rPr>
          <w:rFonts w:hint="eastAsia" w:ascii="宋体" w:hAnsi="宋体" w:cs="宋体"/>
          <w:b/>
          <w:bCs/>
          <w:sz w:val="24"/>
          <w:highlight w:val="none"/>
        </w:rPr>
        <w:t xml:space="preserve">1.7.2 </w:t>
      </w:r>
      <w:r>
        <w:rPr>
          <w:rFonts w:hint="eastAsia" w:ascii="宋体" w:hAnsi="宋体" w:cs="宋体"/>
          <w:sz w:val="24"/>
          <w:highlight w:val="none"/>
        </w:rPr>
        <w:t>服务交付（实施）的地点（地域范围）：</w:t>
      </w:r>
      <w:r>
        <w:rPr>
          <w:rFonts w:hint="eastAsia" w:ascii="宋体" w:hAnsi="宋体" w:cs="宋体"/>
          <w:sz w:val="24"/>
          <w:highlight w:val="none"/>
          <w:u w:val="single"/>
        </w:rPr>
        <w:t>杭州市公安局。</w:t>
      </w:r>
    </w:p>
    <w:p>
      <w:pPr>
        <w:spacing w:line="460" w:lineRule="exact"/>
        <w:outlineLvl w:val="0"/>
        <w:rPr>
          <w:rFonts w:ascii="宋体" w:hAnsi="宋体" w:cs="宋体"/>
          <w:sz w:val="24"/>
          <w:highlight w:val="none"/>
        </w:rPr>
      </w:pPr>
      <w:r>
        <w:rPr>
          <w:rFonts w:hint="eastAsia" w:ascii="宋体" w:hAnsi="宋体" w:cs="宋体"/>
          <w:b/>
          <w:bCs/>
          <w:sz w:val="24"/>
          <w:highlight w:val="none"/>
        </w:rPr>
        <w:t>1.8.7</w:t>
      </w:r>
      <w:r>
        <w:rPr>
          <w:rFonts w:hint="eastAsia" w:ascii="宋体" w:hAnsi="宋体" w:cs="宋体"/>
          <w:sz w:val="24"/>
          <w:highlight w:val="none"/>
        </w:rPr>
        <w:t>违约责任：</w:t>
      </w:r>
    </w:p>
    <w:p>
      <w:pPr>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（1）乙方应完全按照甲方招标文件的要求和乙方投标文件及相关文件承诺完成本项目，因乙方自身财务、技术、人力等原因导致项目风险的，应承担全部责任。</w:t>
      </w:r>
    </w:p>
    <w:p>
      <w:pPr>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2）甲方有权依据有关法律法规、政府管理的相关职能规定，对本项目进行监督和检查，有权要求乙方按照监督检查情况制定相应措施并加以整改。甲方不因行使该监督和检查权而承担任何责任，也不因此减轻或免除乙方根据合同约定或相关法律法规规定应承担的任何义务或责任。</w:t>
      </w:r>
    </w:p>
    <w:p>
      <w:pPr>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（3）拟签订的合同文本要求乙方提交履约保证金的，乙方应当以支票、汇票、本票或者金融机构、担保机构出具的保函等非现金形式提交。履约保证金的数额为采购合同金额的1%，</w:t>
      </w:r>
      <w:r>
        <w:rPr>
          <w:rFonts w:hint="eastAsia" w:ascii="宋体" w:hAnsi="宋体" w:cs="宋体"/>
          <w:kern w:val="0"/>
          <w:sz w:val="24"/>
          <w:highlight w:val="none"/>
        </w:rPr>
        <w:t>在项目通过验收且甲方收到乙方退还履约保证金申请之日起</w:t>
      </w:r>
      <w:r>
        <w:rPr>
          <w:rFonts w:ascii="宋体" w:hAnsi="宋体" w:cs="宋体"/>
          <w:kern w:val="0"/>
          <w:sz w:val="24"/>
          <w:highlight w:val="none"/>
          <w:u w:val="single"/>
        </w:rPr>
        <w:t>5</w:t>
      </w:r>
      <w:r>
        <w:rPr>
          <w:rFonts w:hint="eastAsia" w:ascii="宋体" w:hAnsi="宋体" w:cs="宋体"/>
          <w:kern w:val="0"/>
          <w:sz w:val="24"/>
          <w:highlight w:val="none"/>
        </w:rPr>
        <w:t>个工作日内</w:t>
      </w:r>
      <w:r>
        <w:rPr>
          <w:rFonts w:hint="eastAsia" w:ascii="宋体" w:hAnsi="宋体" w:cs="宋体"/>
          <w:sz w:val="24"/>
          <w:highlight w:val="none"/>
        </w:rPr>
        <w:t>凭双方签字盖章的验收意见</w:t>
      </w:r>
      <w:r>
        <w:rPr>
          <w:rFonts w:hint="eastAsia" w:ascii="宋体" w:hAnsi="宋体" w:cs="宋体"/>
          <w:kern w:val="0"/>
          <w:sz w:val="24"/>
          <w:highlight w:val="none"/>
        </w:rPr>
        <w:t>无息退还</w:t>
      </w:r>
      <w:r>
        <w:rPr>
          <w:rFonts w:hint="eastAsia" w:ascii="宋体" w:hAnsi="宋体" w:cs="宋体"/>
          <w:sz w:val="24"/>
          <w:highlight w:val="none"/>
        </w:rPr>
        <w:t>。</w:t>
      </w:r>
    </w:p>
    <w:p>
      <w:pPr>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4）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服务期满，通过验收，甲方于收到乙方退还履约保证金申请之日起5个工作日内凭双方签字盖章的验收意见，无息退还乙方履约保证金。逾期退还的，乙方可要求甲方支付违约金，违约金按每迟延退还一日的应退还而未退还金额的0.05%计算，最高限额为本合同履约保证金的20%。</w:t>
      </w:r>
    </w:p>
    <w:p>
      <w:pPr>
        <w:spacing w:line="360" w:lineRule="auto"/>
        <w:ind w:firstLine="480" w:firstLineChars="200"/>
        <w:jc w:val="left"/>
        <w:rPr>
          <w:rFonts w:ascii="宋体" w:hAnsi="宋体" w:cs="宋体"/>
          <w:iCs/>
          <w:sz w:val="24"/>
          <w:highlight w:val="none"/>
        </w:rPr>
      </w:pPr>
      <w:r>
        <w:rPr>
          <w:rFonts w:hint="eastAsia" w:ascii="宋体" w:hAnsi="宋体" w:cs="宋体"/>
          <w:sz w:val="24"/>
          <w:highlight w:val="none"/>
        </w:rPr>
        <w:t>（5）</w:t>
      </w:r>
      <w:r>
        <w:rPr>
          <w:rFonts w:hint="eastAsia" w:ascii="宋体" w:hAnsi="宋体" w:cs="宋体"/>
          <w:iCs/>
          <w:sz w:val="24"/>
          <w:highlight w:val="none"/>
        </w:rPr>
        <w:t>除不可抗力外，如果乙方没有按照本合同约定的期限、地点和方式提供服务，那么甲方可要求乙方支付违约金，违约金按每迟延提供服务一日的应提供而未提供服务价格的2.5%计算，最高限额为本合同总价的20%；迟延提供服务的违约金计算数额达到前述最高限额之日起，甲方有权在要求乙方支付违约金的同时，书面通知乙方解除本合同，并有权对乙方追究一切责任。</w:t>
      </w:r>
    </w:p>
    <w:p>
      <w:pPr>
        <w:pStyle w:val="7"/>
        <w:spacing w:line="360" w:lineRule="auto"/>
        <w:rPr>
          <w:rFonts w:hAnsi="宋体" w:cs="宋体"/>
          <w:highlight w:val="none"/>
        </w:rPr>
      </w:pPr>
      <w:r>
        <w:rPr>
          <w:rFonts w:hint="eastAsia" w:hAnsi="宋体" w:cs="宋体"/>
          <w:highlight w:val="none"/>
        </w:rPr>
        <w:t>（6）</w:t>
      </w:r>
      <w:r>
        <w:rPr>
          <w:rFonts w:hint="eastAsia" w:hAnsi="宋体" w:cs="宋体"/>
          <w:iCs/>
          <w:sz w:val="24"/>
          <w:highlight w:val="none"/>
        </w:rPr>
        <w:t>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（7）乙方擅自将本合同的全部或部分事务转由第三人（经甲方书面同意的分包人除外）承担，甲方可解除本合同，且乙方应按合同总价的30％向甲方支付违约金。如发生损失的，乙方还应赔偿甲方损失。</w:t>
      </w:r>
    </w:p>
    <w:p>
      <w:pPr>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（8）服务期间，甲方每月对乙方实施考核，如有违约的，根据考核条款进行处置，直至解除合同。</w:t>
      </w:r>
    </w:p>
    <w:p>
      <w:pPr>
        <w:pStyle w:val="2"/>
        <w:ind w:left="108" w:firstLine="480" w:firstLineChars="200"/>
        <w:rPr>
          <w:rFonts w:hAnsi="宋体" w:cs="宋体"/>
          <w:highlight w:val="none"/>
        </w:rPr>
      </w:pPr>
      <w:r>
        <w:rPr>
          <w:rFonts w:hint="eastAsia" w:hAnsi="宋体" w:cs="宋体"/>
          <w:highlight w:val="none"/>
        </w:rPr>
        <w:t>（</w:t>
      </w:r>
      <w:r>
        <w:rPr>
          <w:rFonts w:hint="eastAsia" w:hAnsi="宋体" w:cs="宋体"/>
          <w:highlight w:val="none"/>
          <w:lang w:val="en-US"/>
        </w:rPr>
        <w:t>9</w:t>
      </w:r>
      <w:r>
        <w:rPr>
          <w:rFonts w:hint="eastAsia" w:hAnsi="宋体" w:cs="宋体"/>
          <w:highlight w:val="none"/>
        </w:rPr>
        <w:t>）本项目履约过程中，乙方未按承诺预留中小企业的比例达到合同总价的43%、小微企业的比例达到合同总价的28%，甲方有权无条件终止合同,并没收乙方全部履约保证金（如有），报送本级政府采购监管部门，提前列入失信行为记录名单，追究相关责任，且乙方应向甲方支付合同总价30%的违约金。</w:t>
      </w:r>
    </w:p>
    <w:p>
      <w:pPr>
        <w:pStyle w:val="2"/>
        <w:ind w:left="108" w:firstLine="480" w:firstLineChars="200"/>
        <w:rPr>
          <w:rFonts w:hAnsi="宋体" w:cs="宋体"/>
          <w:highlight w:val="none"/>
        </w:rPr>
      </w:pPr>
      <w:r>
        <w:rPr>
          <w:rFonts w:hint="eastAsia" w:hAnsi="宋体" w:cs="宋体"/>
          <w:highlight w:val="none"/>
        </w:rPr>
        <w:t>（</w:t>
      </w:r>
      <w:r>
        <w:rPr>
          <w:rFonts w:hint="eastAsia" w:hAnsi="宋体" w:cs="宋体"/>
          <w:highlight w:val="none"/>
          <w:lang w:val="en-US"/>
        </w:rPr>
        <w:t>10</w:t>
      </w:r>
      <w:r>
        <w:rPr>
          <w:rFonts w:hint="eastAsia" w:hAnsi="宋体" w:cs="宋体"/>
          <w:highlight w:val="none"/>
        </w:rPr>
        <w:t>）乙方</w:t>
      </w:r>
      <w:r>
        <w:rPr>
          <w:rFonts w:hint="eastAsia" w:hAnsi="宋体" w:cs="宋体"/>
          <w:kern w:val="0"/>
          <w:highlight w:val="none"/>
          <w:lang w:bidi="ar"/>
        </w:rPr>
        <w:t>发生违反相关保密规定、未按网络安全履行责任和义务的,每发生一次扣除违约金10000元/次外，甲方将追究乙方一切法律责任。</w:t>
      </w:r>
    </w:p>
    <w:p>
      <w:pPr>
        <w:spacing w:line="360" w:lineRule="auto"/>
        <w:ind w:firstLine="480" w:firstLineChars="200"/>
        <w:outlineLvl w:val="0"/>
        <w:rPr>
          <w:rFonts w:ascii="宋体" w:hAnsi="宋体" w:cs="宋体"/>
          <w:sz w:val="24"/>
          <w:highlight w:val="none"/>
        </w:rPr>
      </w:pPr>
      <w:r>
        <w:rPr>
          <w:rFonts w:hint="eastAsia" w:ascii="宋体" w:hAnsi="宋体" w:cs="宋体"/>
          <w:sz w:val="24"/>
          <w:highlight w:val="none"/>
        </w:rPr>
        <w:t>（11）因乙方或乙方人员工作过错造成的安全管理事故，乙方负全部责任及相关费用。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（12）乙方所有人员的事故由乙方自行全权负责。</w:t>
      </w:r>
    </w:p>
    <w:p>
      <w:pPr>
        <w:spacing w:line="360" w:lineRule="auto"/>
        <w:ind w:firstLine="480" w:firstLineChars="200"/>
        <w:outlineLvl w:val="0"/>
        <w:rPr>
          <w:rFonts w:ascii="宋体" w:hAnsi="宋体" w:cs="宋体"/>
          <w:iCs/>
          <w:sz w:val="24"/>
          <w:highlight w:val="none"/>
          <w:u w:val="single"/>
        </w:rPr>
      </w:pPr>
      <w:r>
        <w:rPr>
          <w:rFonts w:hint="eastAsia" w:ascii="宋体" w:hAnsi="宋体" w:cs="宋体"/>
          <w:sz w:val="24"/>
          <w:highlight w:val="none"/>
        </w:rPr>
        <w:t>（13）违约金在结算合同尾款时一次性扣除。</w:t>
      </w:r>
    </w:p>
    <w:p>
      <w:pPr>
        <w:spacing w:line="460" w:lineRule="exact"/>
        <w:rPr>
          <w:rFonts w:ascii="宋体" w:hAnsi="宋体" w:cs="宋体"/>
          <w:sz w:val="24"/>
          <w:highlight w:val="none"/>
        </w:rPr>
      </w:pPr>
      <w:r>
        <w:rPr>
          <w:rFonts w:hint="eastAsia" w:ascii="宋体" w:hAnsi="宋体" w:cs="宋体"/>
          <w:b/>
          <w:bCs/>
          <w:sz w:val="24"/>
          <w:highlight w:val="none"/>
        </w:rPr>
        <w:t>1.9</w:t>
      </w:r>
      <w:r>
        <w:rPr>
          <w:rFonts w:hint="eastAsia" w:ascii="宋体" w:hAnsi="宋体" w:cs="宋体"/>
          <w:sz w:val="24"/>
          <w:highlight w:val="none"/>
        </w:rPr>
        <w:t>本合同履行过程中发生的任何争议，双方当事人均可通过和解或者调解解决；不愿和解、调解或者和解、调解不成的，可以选择以下第1.9.2条款规定的方式解决：</w:t>
      </w:r>
    </w:p>
    <w:p>
      <w:pPr>
        <w:spacing w:line="460" w:lineRule="exact"/>
        <w:rPr>
          <w:rFonts w:ascii="宋体" w:hAnsi="宋体" w:cs="宋体"/>
          <w:sz w:val="24"/>
          <w:highlight w:val="none"/>
        </w:rPr>
      </w:pPr>
      <w:r>
        <w:rPr>
          <w:rFonts w:hint="eastAsia" w:ascii="宋体" w:hAnsi="宋体" w:cs="宋体"/>
          <w:b/>
          <w:bCs/>
          <w:sz w:val="24"/>
          <w:highlight w:val="none"/>
        </w:rPr>
        <w:t>1.9.1</w:t>
      </w:r>
      <w:r>
        <w:rPr>
          <w:rFonts w:hint="eastAsia" w:ascii="宋体" w:hAnsi="宋体" w:cs="宋体"/>
          <w:sz w:val="24"/>
          <w:highlight w:val="none"/>
        </w:rPr>
        <w:t>将争议提交杭州仲裁委员会依申请仲裁时其现行有效的仲裁规则裁决；</w:t>
      </w:r>
    </w:p>
    <w:p>
      <w:pPr>
        <w:spacing w:line="460" w:lineRule="exact"/>
        <w:rPr>
          <w:rFonts w:ascii="宋体" w:hAnsi="宋体" w:cs="宋体"/>
          <w:sz w:val="24"/>
          <w:highlight w:val="none"/>
        </w:rPr>
      </w:pPr>
      <w:r>
        <w:rPr>
          <w:rFonts w:hint="eastAsia" w:ascii="宋体" w:hAnsi="宋体" w:cs="宋体"/>
          <w:b/>
          <w:bCs/>
          <w:sz w:val="24"/>
          <w:highlight w:val="none"/>
        </w:rPr>
        <w:t>1.9.2</w:t>
      </w:r>
      <w:r>
        <w:rPr>
          <w:rFonts w:hint="eastAsia" w:ascii="宋体" w:hAnsi="宋体" w:cs="宋体"/>
          <w:sz w:val="24"/>
          <w:highlight w:val="none"/>
        </w:rPr>
        <w:t>向甲方所在地的人民法院起诉。</w:t>
      </w:r>
    </w:p>
    <w:p>
      <w:pPr>
        <w:spacing w:line="460" w:lineRule="exact"/>
        <w:outlineLvl w:val="0"/>
        <w:rPr>
          <w:rFonts w:ascii="宋体" w:hAnsi="宋体" w:cs="宋体"/>
          <w:sz w:val="24"/>
          <w:highlight w:val="none"/>
        </w:rPr>
      </w:pPr>
      <w:r>
        <w:rPr>
          <w:rFonts w:hint="eastAsia" w:ascii="宋体" w:hAnsi="宋体" w:cs="宋体"/>
          <w:b/>
          <w:bCs/>
          <w:sz w:val="24"/>
          <w:highlight w:val="none"/>
        </w:rPr>
        <w:t>2.3.2</w:t>
      </w:r>
      <w:r>
        <w:rPr>
          <w:rFonts w:hint="eastAsia" w:ascii="宋体" w:hAnsi="宋体" w:cs="宋体"/>
          <w:sz w:val="24"/>
          <w:highlight w:val="none"/>
        </w:rPr>
        <w:t>具有知识产权的计算机软件等货物的知识产权归属：本项目为服务项目，若服务中涉及计算机软件等货物的知识产权归属乙方所有，甲方享有服务期内和服务相关的使用权。</w:t>
      </w:r>
    </w:p>
    <w:p>
      <w:pPr>
        <w:spacing w:line="460" w:lineRule="exact"/>
        <w:outlineLvl w:val="0"/>
        <w:rPr>
          <w:rFonts w:ascii="宋体" w:hAnsi="宋体" w:cs="宋体"/>
          <w:sz w:val="24"/>
          <w:highlight w:val="none"/>
        </w:rPr>
      </w:pPr>
      <w:r>
        <w:rPr>
          <w:rFonts w:hint="eastAsia" w:ascii="宋体" w:hAnsi="宋体" w:cs="宋体"/>
          <w:b/>
          <w:bCs/>
          <w:sz w:val="24"/>
          <w:highlight w:val="none"/>
        </w:rPr>
        <w:t xml:space="preserve">2.5 </w:t>
      </w:r>
      <w:r>
        <w:rPr>
          <w:rFonts w:hint="eastAsia" w:ascii="宋体" w:hAnsi="宋体" w:cs="宋体"/>
          <w:sz w:val="24"/>
          <w:highlight w:val="none"/>
        </w:rPr>
        <w:t>结算方式和付款条件详见第1.6.2条款规定</w:t>
      </w:r>
    </w:p>
    <w:p>
      <w:pPr>
        <w:spacing w:line="460" w:lineRule="exact"/>
        <w:outlineLvl w:val="0"/>
        <w:rPr>
          <w:rFonts w:ascii="宋体" w:hAnsi="宋体" w:cs="宋体"/>
          <w:sz w:val="24"/>
          <w:highlight w:val="none"/>
        </w:rPr>
      </w:pPr>
      <w:r>
        <w:rPr>
          <w:rFonts w:hint="eastAsia" w:ascii="宋体" w:hAnsi="宋体" w:cs="宋体"/>
          <w:b/>
          <w:bCs/>
          <w:sz w:val="24"/>
          <w:highlight w:val="none"/>
        </w:rPr>
        <w:t>2.11.3</w:t>
      </w:r>
      <w:r>
        <w:rPr>
          <w:rFonts w:hint="eastAsia" w:ascii="宋体" w:hAnsi="宋体" w:cs="宋体"/>
          <w:sz w:val="24"/>
          <w:highlight w:val="none"/>
        </w:rPr>
        <w:t>因不可抗力致使合同有变更必要的，双方当事人应在</w:t>
      </w:r>
      <w:r>
        <w:rPr>
          <w:rFonts w:hint="eastAsia" w:ascii="宋体" w:hAnsi="宋体" w:cs="宋体"/>
          <w:b/>
          <w:i/>
          <w:sz w:val="24"/>
          <w:highlight w:val="none"/>
        </w:rPr>
        <w:t>15个工作日</w:t>
      </w:r>
      <w:r>
        <w:rPr>
          <w:rFonts w:hint="eastAsia" w:ascii="宋体" w:hAnsi="宋体" w:cs="宋体"/>
          <w:sz w:val="24"/>
          <w:highlight w:val="none"/>
        </w:rPr>
        <w:t>内以书面形式变更合同；</w:t>
      </w:r>
    </w:p>
    <w:p>
      <w:pPr>
        <w:snapToGrid w:val="0"/>
        <w:spacing w:line="460" w:lineRule="exact"/>
        <w:rPr>
          <w:rFonts w:ascii="宋体" w:hAnsi="宋体" w:cs="宋体"/>
          <w:sz w:val="24"/>
          <w:highlight w:val="none"/>
        </w:rPr>
      </w:pPr>
      <w:r>
        <w:rPr>
          <w:rFonts w:hint="eastAsia" w:ascii="宋体" w:hAnsi="宋体" w:cs="宋体"/>
          <w:b/>
          <w:bCs/>
          <w:sz w:val="24"/>
          <w:highlight w:val="none"/>
        </w:rPr>
        <w:t>2.11.4</w:t>
      </w:r>
      <w:r>
        <w:rPr>
          <w:rFonts w:hint="eastAsia" w:ascii="宋体" w:hAnsi="宋体" w:cs="宋体"/>
          <w:sz w:val="24"/>
          <w:highlight w:val="none"/>
        </w:rPr>
        <w:t>受不可抗力影响的一方在不可抗力发生后，应在</w:t>
      </w:r>
      <w:r>
        <w:rPr>
          <w:rFonts w:hint="eastAsia" w:ascii="宋体" w:hAnsi="宋体" w:cs="宋体"/>
          <w:b/>
          <w:i/>
          <w:sz w:val="24"/>
          <w:highlight w:val="none"/>
        </w:rPr>
        <w:t>7个工作日</w:t>
      </w:r>
      <w:r>
        <w:rPr>
          <w:rFonts w:hint="eastAsia" w:ascii="宋体" w:hAnsi="宋体" w:cs="宋体"/>
          <w:sz w:val="24"/>
          <w:highlight w:val="none"/>
        </w:rPr>
        <w:t>内以书面形式通知对方当事人，并在</w:t>
      </w:r>
      <w:r>
        <w:rPr>
          <w:rFonts w:hint="eastAsia" w:ascii="宋体" w:hAnsi="宋体" w:cs="宋体"/>
          <w:b/>
          <w:i/>
          <w:sz w:val="24"/>
          <w:highlight w:val="none"/>
        </w:rPr>
        <w:t>10个工作日</w:t>
      </w:r>
      <w:r>
        <w:rPr>
          <w:rFonts w:hint="eastAsia" w:ascii="宋体" w:hAnsi="宋体" w:cs="宋体"/>
          <w:sz w:val="24"/>
          <w:highlight w:val="none"/>
        </w:rPr>
        <w:t>内，将有关部门出具的证明文件送达对方当事人。</w:t>
      </w:r>
    </w:p>
    <w:p>
      <w:pPr>
        <w:spacing w:line="460" w:lineRule="exact"/>
        <w:jc w:val="left"/>
        <w:rPr>
          <w:rFonts w:ascii="宋体" w:hAnsi="宋体" w:cs="宋体"/>
          <w:sz w:val="24"/>
          <w:highlight w:val="none"/>
        </w:rPr>
      </w:pPr>
      <w:r>
        <w:rPr>
          <w:rFonts w:hint="eastAsia" w:ascii="宋体" w:hAnsi="宋体" w:cs="宋体"/>
          <w:b/>
          <w:bCs/>
          <w:sz w:val="24"/>
          <w:highlight w:val="none"/>
        </w:rPr>
        <w:t>2.15.1</w:t>
      </w:r>
      <w:r>
        <w:rPr>
          <w:rFonts w:hint="eastAsia" w:ascii="宋体" w:hAnsi="宋体" w:cs="宋体"/>
          <w:sz w:val="24"/>
          <w:highlight w:val="none"/>
        </w:rPr>
        <w:t>履约验收时间：</w:t>
      </w:r>
      <w:r>
        <w:rPr>
          <w:rFonts w:hint="eastAsia" w:ascii="宋体" w:hAnsi="宋体" w:cs="宋体"/>
          <w:sz w:val="24"/>
          <w:highlight w:val="none"/>
          <w:u w:val="single"/>
        </w:rPr>
        <w:t>本项目分期验收，第一期初验验收：服务期至2023年11月30日，第二期终验验收：服务期结束后。</w:t>
      </w:r>
    </w:p>
    <w:p>
      <w:pPr>
        <w:snapToGrid w:val="0"/>
        <w:spacing w:line="460" w:lineRule="exact"/>
        <w:jc w:val="left"/>
        <w:rPr>
          <w:rFonts w:ascii="宋体" w:hAnsi="宋体" w:cs="宋体"/>
          <w:sz w:val="24"/>
          <w:highlight w:val="none"/>
        </w:rPr>
      </w:pPr>
      <w:r>
        <w:rPr>
          <w:rFonts w:hint="eastAsia" w:ascii="宋体" w:hAnsi="宋体" w:cs="宋体"/>
          <w:b/>
          <w:bCs/>
          <w:sz w:val="24"/>
          <w:highlight w:val="none"/>
        </w:rPr>
        <w:t>2.15.3</w:t>
      </w:r>
      <w:r>
        <w:rPr>
          <w:rFonts w:hint="eastAsia" w:ascii="宋体" w:hAnsi="宋体" w:cs="宋体"/>
          <w:sz w:val="24"/>
          <w:highlight w:val="none"/>
        </w:rPr>
        <w:t xml:space="preserve"> </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甲方按照《杭州市政府采购履约验收暂行办法》（杭财采监[2019]10号）规定组织对乙方履约的验收。验收方成员应当在验收书上签字，并承担相应的法律责任。如果发现与合同中要求不符，乙方须承担由此发生的一切损失和费用，并接受相应的处理。</w:t>
      </w:r>
    </w:p>
    <w:p>
      <w:pPr>
        <w:tabs>
          <w:tab w:val="left" w:pos="904"/>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2、严格按照采购合同开展履约验收。甲方委托第三方机构组织验收，成立验收小组（验收小组由5人组成：其中甲方1名，专家4名由采购代理机构从浙江政府采购网政府采购云</w:t>
      </w:r>
      <w:r>
        <w:rPr>
          <w:rFonts w:hint="eastAsia" w:ascii="宋体" w:hAnsi="宋体" w:cs="宋体"/>
          <w:sz w:val="24"/>
          <w:highlight w:val="none"/>
          <w:lang w:eastAsia="zh-Hans"/>
        </w:rPr>
        <w:t>政企区</w:t>
      </w:r>
      <w:r>
        <w:rPr>
          <w:rFonts w:hint="eastAsia" w:ascii="宋体" w:hAnsi="宋体" w:cs="宋体"/>
          <w:sz w:val="24"/>
          <w:highlight w:val="none"/>
        </w:rPr>
        <w:t>平台专家库中随机抽取产生），按照采购合同的约定对乙方履约情况进行验收，验收时，按照采购合同的约定对每一项技术、服务、安全标准的履约情况进行确认，出具验收报告并经验收小组全体成员签字。甲方根据验收报告形成验收意见并经甲方与乙方签字盖章。验收结果与采购合同约定的资金支付及履约保证金返还条件挂钩。履约验收的各项资料应当存档备查。</w:t>
      </w:r>
    </w:p>
    <w:p>
      <w:pPr>
        <w:tabs>
          <w:tab w:val="left" w:pos="904"/>
        </w:tabs>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本项目为信息化运维项目，根据《杭州市公安局信息化项目管理办法》第27条规定,信息化运维项目服务期满后,项目单位应向市公安局科信局提交《信息化运维项目验收表》及验收所需相应材料,由市公安局科信局按照杭州市政府采购履约验收相关管理办法的程序,结合市局相关内控制度组织开展验收。</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验收合格的项目，甲方将根据采购合同的约定及时向乙方支付采购资金、退还履约保证金。验收不合格的项目，甲方将依法及时处理。采购合同的履行、违约责任和解决争议的方式等适用《中华人民共和国民法典》。</w:t>
      </w:r>
    </w:p>
    <w:p>
      <w:pPr>
        <w:spacing w:line="360" w:lineRule="auto"/>
        <w:ind w:firstLine="480" w:firstLineChars="200"/>
        <w:jc w:val="left"/>
        <w:outlineLvl w:val="1"/>
        <w:rPr>
          <w:rFonts w:ascii="宋体" w:hAnsi="宋体" w:cs="宋体"/>
          <w:sz w:val="24"/>
          <w:highlight w:val="none"/>
        </w:rPr>
      </w:pPr>
      <w:r>
        <w:rPr>
          <w:rFonts w:hint="eastAsia" w:ascii="宋体" w:hAnsi="宋体" w:cs="宋体"/>
          <w:sz w:val="24"/>
          <w:highlight w:val="none"/>
        </w:rPr>
        <w:t>5、验收产生的费用首次验收费用由甲方承担，如首次验收不合格，后续验收费用由乙方支付。</w:t>
      </w:r>
    </w:p>
    <w:p>
      <w:pPr>
        <w:tabs>
          <w:tab w:val="left" w:pos="904"/>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6、验收内容及资料要求：</w:t>
      </w:r>
    </w:p>
    <w:p>
      <w:pPr>
        <w:tabs>
          <w:tab w:val="left" w:pos="904"/>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6.1验收内容</w:t>
      </w:r>
    </w:p>
    <w:tbl>
      <w:tblPr>
        <w:tblStyle w:val="62"/>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418"/>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ign w:val="center"/>
          </w:tcPr>
          <w:p>
            <w:pPr>
              <w:widowControl/>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序号</w:t>
            </w:r>
          </w:p>
        </w:tc>
        <w:tc>
          <w:tcPr>
            <w:tcW w:w="1418" w:type="dxa"/>
            <w:noWrap/>
            <w:vAlign w:val="center"/>
          </w:tcPr>
          <w:p>
            <w:pPr>
              <w:widowControl/>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验收内容</w:t>
            </w:r>
          </w:p>
        </w:tc>
        <w:tc>
          <w:tcPr>
            <w:tcW w:w="6426" w:type="dxa"/>
            <w:vAlign w:val="center"/>
          </w:tcPr>
          <w:p>
            <w:pPr>
              <w:widowControl/>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73" w:type="dxa"/>
            <w:noWrap/>
            <w:vAlign w:val="center"/>
          </w:tcPr>
          <w:p>
            <w:pPr>
              <w:widowControl/>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1</w:t>
            </w:r>
          </w:p>
        </w:tc>
        <w:tc>
          <w:tcPr>
            <w:tcW w:w="1418" w:type="dxa"/>
            <w:noWrap/>
            <w:vAlign w:val="center"/>
          </w:tcPr>
          <w:p>
            <w:pPr>
              <w:widowControl/>
              <w:jc w:val="center"/>
              <w:rPr>
                <w:rFonts w:ascii="宋体" w:hAnsi="宋体" w:cs="宋体"/>
                <w:bCs/>
                <w:color w:val="000000"/>
                <w:kern w:val="0"/>
                <w:sz w:val="24"/>
                <w:highlight w:val="none"/>
              </w:rPr>
            </w:pPr>
            <w:r>
              <w:rPr>
                <w:rFonts w:hint="eastAsia" w:ascii="宋体" w:hAnsi="宋体" w:cs="宋体"/>
                <w:bCs/>
                <w:kern w:val="0"/>
                <w:sz w:val="24"/>
                <w:highlight w:val="none"/>
              </w:rPr>
              <w:t>响应程度</w:t>
            </w:r>
          </w:p>
        </w:tc>
        <w:tc>
          <w:tcPr>
            <w:tcW w:w="6426" w:type="dxa"/>
            <w:vAlign w:val="center"/>
          </w:tcPr>
          <w:p>
            <w:pPr>
              <w:widowControl/>
              <w:jc w:val="left"/>
              <w:rPr>
                <w:rFonts w:ascii="宋体" w:hAnsi="宋体" w:cs="宋体"/>
                <w:color w:val="000000"/>
                <w:kern w:val="0"/>
                <w:sz w:val="24"/>
                <w:highlight w:val="none"/>
              </w:rPr>
            </w:pPr>
            <w:r>
              <w:rPr>
                <w:rFonts w:hint="eastAsia" w:ascii="宋体" w:hAnsi="宋体" w:cs="宋体"/>
                <w:color w:val="000000" w:themeColor="text1"/>
                <w:kern w:val="0"/>
                <w:sz w:val="24"/>
                <w:highlight w:val="none"/>
                <w14:textFill>
                  <w14:solidFill>
                    <w14:schemeClr w14:val="tx1"/>
                  </w14:solidFill>
                </w14:textFill>
              </w:rPr>
              <w:t>“等保测评服务”、“数据库审计服务”、“政务网云日志审计服务”、“政务网态势感知服务”、“SaaS化安全服务”、“公安网安全风险感知服务”、“公安网桌面云服务”、“公安网一机两用服务”、“视频网终端杀毒服务”、“系统安全检测”、“网络安全检查”、“</w:t>
            </w:r>
            <w:r>
              <w:rPr>
                <w:rFonts w:hint="eastAsia" w:ascii="宋体" w:hAnsi="宋体" w:cs="宋体"/>
                <w:color w:val="000000"/>
                <w:sz w:val="24"/>
                <w:highlight w:val="none"/>
                <w:lang w:eastAsia="zh-Hans"/>
              </w:rPr>
              <w:t>重保</w:t>
            </w:r>
            <w:r>
              <w:rPr>
                <w:rFonts w:hint="eastAsia" w:ascii="宋体" w:hAnsi="宋体" w:cs="宋体"/>
                <w:color w:val="000000" w:themeColor="text1"/>
                <w:kern w:val="0"/>
                <w:sz w:val="24"/>
                <w:highlight w:val="none"/>
                <w14:textFill>
                  <w14:solidFill>
                    <w14:schemeClr w14:val="tx1"/>
                  </w14:solidFill>
                </w14:textFill>
              </w:rPr>
              <w:t>”、“应急响应”、“边界通道租赁服务”十四部分维护内容的</w:t>
            </w:r>
            <w:r>
              <w:rPr>
                <w:rFonts w:hint="eastAsia" w:ascii="宋体" w:hAnsi="宋体" w:cs="宋体"/>
                <w:color w:val="000000" w:themeColor="text1"/>
                <w:sz w:val="24"/>
                <w:highlight w:val="none"/>
                <w14:textFill>
                  <w14:solidFill>
                    <w14:schemeClr w14:val="tx1"/>
                  </w14:solidFill>
                </w14:textFill>
              </w:rPr>
              <w:t>具体合同与招标文件要求</w:t>
            </w:r>
            <w:r>
              <w:rPr>
                <w:rFonts w:hint="eastAsia" w:ascii="宋体" w:hAnsi="宋体" w:cs="宋体"/>
                <w:color w:val="000000" w:themeColor="text1"/>
                <w:kern w:val="0"/>
                <w:sz w:val="24"/>
                <w:highlight w:val="none"/>
                <w14:textFill>
                  <w14:solidFill>
                    <w14:schemeClr w14:val="tx1"/>
                  </w14:solidFill>
                </w14:textFill>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73" w:type="dxa"/>
            <w:vAlign w:val="center"/>
          </w:tcPr>
          <w:p>
            <w:pPr>
              <w:widowControl/>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2</w:t>
            </w:r>
          </w:p>
        </w:tc>
        <w:tc>
          <w:tcPr>
            <w:tcW w:w="1418" w:type="dxa"/>
            <w:vAlign w:val="center"/>
          </w:tcPr>
          <w:p>
            <w:pPr>
              <w:widowControl/>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人员情况</w:t>
            </w:r>
          </w:p>
        </w:tc>
        <w:tc>
          <w:tcPr>
            <w:tcW w:w="6426" w:type="dxa"/>
            <w:vAlign w:val="center"/>
          </w:tcPr>
          <w:p>
            <w:pPr>
              <w:widowControl/>
              <w:jc w:val="left"/>
              <w:rPr>
                <w:rFonts w:ascii="宋体" w:hAnsi="宋体" w:cs="宋体"/>
                <w:color w:val="000000"/>
                <w:kern w:val="0"/>
                <w:sz w:val="24"/>
                <w:highlight w:val="none"/>
              </w:rPr>
            </w:pPr>
            <w:r>
              <w:rPr>
                <w:rFonts w:hint="eastAsia" w:ascii="宋体" w:hAnsi="宋体" w:cs="宋体"/>
                <w:kern w:val="0"/>
                <w:sz w:val="24"/>
                <w:highlight w:val="none"/>
              </w:rPr>
              <w:t>技术人员的数量、技术水平专业达到采购要求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73" w:type="dxa"/>
            <w:vAlign w:val="center"/>
          </w:tcPr>
          <w:p>
            <w:pPr>
              <w:widowControl/>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3</w:t>
            </w:r>
          </w:p>
        </w:tc>
        <w:tc>
          <w:tcPr>
            <w:tcW w:w="1418" w:type="dxa"/>
            <w:vAlign w:val="center"/>
          </w:tcPr>
          <w:p>
            <w:pPr>
              <w:widowControl/>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响应时间情况</w:t>
            </w:r>
          </w:p>
        </w:tc>
        <w:tc>
          <w:tcPr>
            <w:tcW w:w="6426" w:type="dxa"/>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故障响应时间按照要求实施响应。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73" w:type="dxa"/>
            <w:vAlign w:val="center"/>
          </w:tcPr>
          <w:p>
            <w:pPr>
              <w:widowControl/>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4</w:t>
            </w:r>
          </w:p>
        </w:tc>
        <w:tc>
          <w:tcPr>
            <w:tcW w:w="1418" w:type="dxa"/>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运维资料</w:t>
            </w:r>
          </w:p>
          <w:p>
            <w:pPr>
              <w:widowControl/>
              <w:jc w:val="center"/>
              <w:rPr>
                <w:rFonts w:ascii="宋体" w:hAnsi="宋体" w:cs="宋体"/>
                <w:bCs/>
                <w:color w:val="000000"/>
                <w:kern w:val="0"/>
                <w:sz w:val="24"/>
                <w:highlight w:val="none"/>
              </w:rPr>
            </w:pPr>
            <w:r>
              <w:rPr>
                <w:rFonts w:hint="eastAsia" w:ascii="宋体" w:hAnsi="宋体" w:cs="宋体"/>
                <w:kern w:val="0"/>
                <w:sz w:val="24"/>
                <w:highlight w:val="none"/>
              </w:rPr>
              <w:t>报告提供情况</w:t>
            </w:r>
          </w:p>
        </w:tc>
        <w:tc>
          <w:tcPr>
            <w:tcW w:w="6426" w:type="dxa"/>
            <w:vAlign w:val="center"/>
          </w:tcPr>
          <w:p>
            <w:pPr>
              <w:pStyle w:val="7"/>
              <w:spacing w:line="360" w:lineRule="auto"/>
              <w:ind w:firstLine="0"/>
              <w:rPr>
                <w:rFonts w:hAnsi="宋体" w:cs="宋体"/>
                <w:sz w:val="24"/>
                <w:szCs w:val="24"/>
                <w:highlight w:val="none"/>
              </w:rPr>
            </w:pPr>
            <w:r>
              <w:rPr>
                <w:rFonts w:hint="eastAsia" w:hAnsi="宋体" w:cs="宋体"/>
                <w:sz w:val="24"/>
                <w:szCs w:val="24"/>
                <w:highlight w:val="none"/>
                <w:lang w:eastAsia="zh-Hans"/>
              </w:rPr>
              <w:t>整体测评实施方案、</w:t>
            </w:r>
            <w:r>
              <w:rPr>
                <w:rFonts w:hint="eastAsia" w:hAnsi="宋体" w:cs="宋体"/>
                <w:sz w:val="24"/>
                <w:szCs w:val="24"/>
                <w:highlight w:val="none"/>
              </w:rPr>
              <w:t>等级保护测评报告、等级保护整改建议书、数据库审计运维总结报告、</w:t>
            </w:r>
            <w:r>
              <w:rPr>
                <w:rFonts w:hint="eastAsia" w:hAnsi="宋体" w:cs="宋体"/>
                <w:sz w:val="24"/>
                <w:szCs w:val="24"/>
                <w:highlight w:val="none"/>
                <w:lang w:eastAsia="zh-Hans"/>
              </w:rPr>
              <w:t>网络安全巡检服务报告、</w:t>
            </w:r>
            <w:r>
              <w:rPr>
                <w:rFonts w:hint="eastAsia" w:hAnsi="宋体" w:cs="宋体"/>
                <w:sz w:val="24"/>
                <w:szCs w:val="24"/>
                <w:highlight w:val="none"/>
              </w:rPr>
              <w:t>日志审计运维总结报告、政务网</w:t>
            </w:r>
            <w:r>
              <w:rPr>
                <w:rFonts w:hint="eastAsia" w:hAnsi="宋体" w:cs="宋体"/>
                <w:color w:val="000000" w:themeColor="text1"/>
                <w:sz w:val="24"/>
                <w:szCs w:val="24"/>
                <w:highlight w:val="none"/>
                <w14:textFill>
                  <w14:solidFill>
                    <w14:schemeClr w14:val="tx1"/>
                  </w14:solidFill>
                </w14:textFill>
              </w:rPr>
              <w:t>安全分析报告、</w:t>
            </w:r>
            <w:r>
              <w:rPr>
                <w:rFonts w:hint="eastAsia" w:hAnsi="宋体" w:cs="宋体"/>
                <w:sz w:val="24"/>
                <w:szCs w:val="24"/>
                <w:highlight w:val="none"/>
              </w:rPr>
              <w:t>政务网业务系统安全分析报</w:t>
            </w:r>
            <w:r>
              <w:rPr>
                <w:rFonts w:hint="eastAsia" w:hAnsi="宋体" w:cs="宋体"/>
                <w:color w:val="000000" w:themeColor="text1"/>
                <w:sz w:val="24"/>
                <w:szCs w:val="24"/>
                <w:highlight w:val="none"/>
                <w14:textFill>
                  <w14:solidFill>
                    <w14:schemeClr w14:val="tx1"/>
                  </w14:solidFill>
                </w14:textFill>
              </w:rPr>
              <w:t>告、</w:t>
            </w:r>
            <w:r>
              <w:rPr>
                <w:rFonts w:hint="eastAsia" w:hAnsi="宋体" w:cs="宋体"/>
                <w:sz w:val="24"/>
                <w:szCs w:val="24"/>
                <w:highlight w:val="none"/>
              </w:rPr>
              <w:t>公安网安全风险感知服务分析报告、桌面云月度服务报告、</w:t>
            </w:r>
            <w:r>
              <w:rPr>
                <w:rFonts w:hint="eastAsia" w:hAnsi="宋体" w:cs="宋体"/>
                <w:sz w:val="24"/>
                <w:szCs w:val="24"/>
                <w:highlight w:val="none"/>
                <w:lang w:eastAsia="zh-Hans"/>
              </w:rPr>
              <w:t>一机两用巡检服务报告、一机两用年度维保总结报告</w:t>
            </w:r>
            <w:r>
              <w:rPr>
                <w:rFonts w:hint="eastAsia" w:hAnsi="宋体" w:cs="宋体"/>
                <w:sz w:val="24"/>
                <w:szCs w:val="24"/>
                <w:highlight w:val="none"/>
              </w:rPr>
              <w:t>、终端杀毒服务月度报告、系统安全</w:t>
            </w:r>
            <w:r>
              <w:rPr>
                <w:rFonts w:hint="eastAsia" w:hAnsi="宋体" w:cs="宋体"/>
                <w:sz w:val="24"/>
                <w:szCs w:val="24"/>
                <w:highlight w:val="none"/>
                <w:lang w:eastAsia="zh-Hans"/>
              </w:rPr>
              <w:t>检测总结</w:t>
            </w:r>
            <w:r>
              <w:rPr>
                <w:rFonts w:hint="eastAsia" w:hAnsi="宋体" w:cs="宋体"/>
                <w:sz w:val="24"/>
                <w:szCs w:val="24"/>
                <w:highlight w:val="none"/>
              </w:rPr>
              <w:t>报告、网络安全检查总结报告</w:t>
            </w:r>
            <w:r>
              <w:rPr>
                <w:rFonts w:hint="eastAsia" w:hAnsi="宋体" w:cs="宋体"/>
                <w:sz w:val="24"/>
                <w:szCs w:val="24"/>
                <w:highlight w:val="none"/>
                <w:lang w:eastAsia="zh-Hans"/>
              </w:rPr>
              <w:t>（如有）</w:t>
            </w:r>
            <w:r>
              <w:rPr>
                <w:rFonts w:hint="eastAsia" w:hAnsi="宋体" w:cs="宋体"/>
                <w:sz w:val="24"/>
                <w:szCs w:val="24"/>
                <w:highlight w:val="none"/>
              </w:rPr>
              <w:t>、重大活动安全保障总结报告、应急响应报告、边界通道服务总结报告等资料。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3" w:type="dxa"/>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5</w:t>
            </w:r>
          </w:p>
        </w:tc>
        <w:tc>
          <w:tcPr>
            <w:tcW w:w="1418" w:type="dxa"/>
            <w:vAlign w:val="center"/>
          </w:tcPr>
          <w:p>
            <w:pPr>
              <w:widowControl/>
              <w:spacing w:line="360" w:lineRule="auto"/>
              <w:jc w:val="center"/>
              <w:outlineLvl w:val="3"/>
              <w:rPr>
                <w:rFonts w:ascii="宋体" w:hAnsi="宋体" w:cs="宋体"/>
                <w:bCs/>
                <w:sz w:val="24"/>
                <w:highlight w:val="none"/>
              </w:rPr>
            </w:pPr>
            <w:r>
              <w:rPr>
                <w:rFonts w:hint="eastAsia" w:ascii="宋体" w:hAnsi="宋体" w:cs="宋体"/>
                <w:bCs/>
                <w:sz w:val="24"/>
                <w:highlight w:val="none"/>
              </w:rPr>
              <w:t>保密管理</w:t>
            </w:r>
          </w:p>
        </w:tc>
        <w:tc>
          <w:tcPr>
            <w:tcW w:w="6426" w:type="dxa"/>
            <w:vAlign w:val="center"/>
          </w:tcPr>
          <w:p>
            <w:pPr>
              <w:widowControl/>
              <w:spacing w:line="360" w:lineRule="auto"/>
              <w:jc w:val="left"/>
              <w:outlineLvl w:val="3"/>
              <w:rPr>
                <w:rFonts w:ascii="宋体" w:hAnsi="宋体" w:cs="宋体"/>
                <w:bCs/>
                <w:sz w:val="24"/>
                <w:highlight w:val="none"/>
              </w:rPr>
            </w:pPr>
            <w:r>
              <w:rPr>
                <w:rFonts w:hint="eastAsia" w:ascii="宋体" w:hAnsi="宋体" w:cs="宋体"/>
                <w:bCs/>
                <w:sz w:val="24"/>
                <w:highlight w:val="none"/>
              </w:rPr>
              <w:t>乙方签订保密协议，</w:t>
            </w:r>
            <w:r>
              <w:rPr>
                <w:rFonts w:hint="eastAsia" w:ascii="宋体" w:hAnsi="宋体" w:cs="宋体"/>
                <w:bCs/>
                <w:sz w:val="24"/>
                <w:highlight w:val="none"/>
                <w:lang w:val="zh-CN"/>
              </w:rPr>
              <w:t>遵守具体安全管理内容，履行安全保密义务和责任</w:t>
            </w:r>
            <w:r>
              <w:rPr>
                <w:rFonts w:hint="eastAsia" w:ascii="宋体" w:hAnsi="宋体" w:cs="宋体"/>
                <w:bCs/>
                <w:sz w:val="24"/>
                <w:highlight w:val="none"/>
              </w:rPr>
              <w:t>，未发生重大数据丢失和泄漏问题。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3" w:type="dxa"/>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6</w:t>
            </w:r>
          </w:p>
        </w:tc>
        <w:tc>
          <w:tcPr>
            <w:tcW w:w="1418" w:type="dxa"/>
            <w:vAlign w:val="center"/>
          </w:tcPr>
          <w:p>
            <w:pPr>
              <w:widowControl/>
              <w:spacing w:line="360" w:lineRule="auto"/>
              <w:jc w:val="center"/>
              <w:outlineLvl w:val="3"/>
              <w:rPr>
                <w:rFonts w:ascii="宋体" w:hAnsi="宋体" w:cs="宋体"/>
                <w:bCs/>
                <w:sz w:val="24"/>
                <w:highlight w:val="none"/>
              </w:rPr>
            </w:pPr>
            <w:r>
              <w:rPr>
                <w:rFonts w:hint="eastAsia" w:ascii="宋体" w:hAnsi="宋体" w:cs="宋体"/>
                <w:bCs/>
                <w:sz w:val="24"/>
                <w:highlight w:val="none"/>
              </w:rPr>
              <w:t>网络安全责任和义务</w:t>
            </w:r>
          </w:p>
        </w:tc>
        <w:tc>
          <w:tcPr>
            <w:tcW w:w="6426" w:type="dxa"/>
            <w:vAlign w:val="center"/>
          </w:tcPr>
          <w:p>
            <w:pPr>
              <w:widowControl/>
              <w:spacing w:line="360" w:lineRule="auto"/>
              <w:jc w:val="left"/>
              <w:outlineLvl w:val="3"/>
              <w:rPr>
                <w:rFonts w:ascii="宋体" w:hAnsi="宋体" w:cs="宋体"/>
                <w:bCs/>
                <w:sz w:val="24"/>
                <w:highlight w:val="none"/>
              </w:rPr>
            </w:pPr>
            <w:r>
              <w:rPr>
                <w:rFonts w:hint="eastAsia" w:ascii="宋体" w:hAnsi="宋体" w:cs="宋体"/>
                <w:bCs/>
                <w:sz w:val="24"/>
                <w:highlight w:val="none"/>
              </w:rPr>
              <w:t>网络安全责任和义务达到合同要求。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3" w:type="dxa"/>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7</w:t>
            </w:r>
          </w:p>
        </w:tc>
        <w:tc>
          <w:tcPr>
            <w:tcW w:w="1418" w:type="dxa"/>
            <w:vAlign w:val="center"/>
          </w:tcPr>
          <w:p>
            <w:pPr>
              <w:widowControl/>
              <w:spacing w:line="360" w:lineRule="auto"/>
              <w:jc w:val="center"/>
              <w:outlineLvl w:val="3"/>
              <w:rPr>
                <w:rFonts w:ascii="宋体" w:hAnsi="宋体" w:cs="宋体"/>
                <w:bCs/>
                <w:sz w:val="24"/>
                <w:highlight w:val="none"/>
              </w:rPr>
            </w:pPr>
            <w:r>
              <w:rPr>
                <w:rFonts w:hint="eastAsia" w:ascii="宋体" w:hAnsi="宋体" w:cs="宋体"/>
                <w:bCs/>
                <w:sz w:val="24"/>
                <w:highlight w:val="none"/>
              </w:rPr>
              <w:t>中小、小微企业预留份额</w:t>
            </w:r>
          </w:p>
        </w:tc>
        <w:tc>
          <w:tcPr>
            <w:tcW w:w="6426" w:type="dxa"/>
            <w:vAlign w:val="center"/>
          </w:tcPr>
          <w:p>
            <w:pPr>
              <w:widowControl/>
              <w:spacing w:line="360" w:lineRule="auto"/>
              <w:jc w:val="left"/>
              <w:outlineLvl w:val="3"/>
              <w:rPr>
                <w:rFonts w:ascii="宋体" w:hAnsi="宋体" w:cs="宋体"/>
                <w:bCs/>
                <w:sz w:val="24"/>
                <w:highlight w:val="none"/>
              </w:rPr>
            </w:pPr>
            <w:r>
              <w:rPr>
                <w:rFonts w:hint="eastAsia" w:ascii="宋体" w:hAnsi="宋体" w:cs="宋体"/>
                <w:bCs/>
                <w:sz w:val="24"/>
                <w:highlight w:val="none"/>
              </w:rPr>
              <w:t>中小、小微企业预留份额达到合同要求。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673" w:type="dxa"/>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8</w:t>
            </w:r>
          </w:p>
        </w:tc>
        <w:tc>
          <w:tcPr>
            <w:tcW w:w="1418" w:type="dxa"/>
            <w:vAlign w:val="center"/>
          </w:tcPr>
          <w:p>
            <w:pPr>
              <w:widowControl/>
              <w:jc w:val="center"/>
              <w:rPr>
                <w:rFonts w:ascii="宋体" w:hAnsi="宋体" w:cs="宋体"/>
                <w:bCs/>
                <w:color w:val="000000"/>
                <w:kern w:val="0"/>
                <w:sz w:val="24"/>
                <w:highlight w:val="none"/>
              </w:rPr>
            </w:pPr>
            <w:r>
              <w:rPr>
                <w:rFonts w:hint="eastAsia" w:ascii="宋体" w:hAnsi="宋体" w:cs="宋体"/>
                <w:bCs/>
                <w:color w:val="000000"/>
                <w:kern w:val="0"/>
                <w:sz w:val="24"/>
                <w:highlight w:val="none"/>
              </w:rPr>
              <w:t>其他工作</w:t>
            </w:r>
          </w:p>
        </w:tc>
        <w:tc>
          <w:tcPr>
            <w:tcW w:w="6426" w:type="dxa"/>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履行项目采购文件、投标文件、合同条款中涉及的其他承诺的情况。 </w:t>
            </w:r>
          </w:p>
        </w:tc>
      </w:tr>
    </w:tbl>
    <w:p>
      <w:pPr>
        <w:pStyle w:val="86"/>
        <w:ind w:firstLine="0"/>
        <w:rPr>
          <w:rFonts w:cs="宋体"/>
          <w:szCs w:val="24"/>
          <w:highlight w:val="none"/>
        </w:rPr>
      </w:pP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6.2验收资料清单如下：</w:t>
      </w:r>
    </w:p>
    <w:p>
      <w:pPr>
        <w:tabs>
          <w:tab w:val="left" w:pos="904"/>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验收资料要求包括（不限于）以下内容：</w:t>
      </w:r>
    </w:p>
    <w:p>
      <w:pPr>
        <w:pStyle w:val="7"/>
        <w:numPr>
          <w:ilvl w:val="0"/>
          <w:numId w:val="6"/>
        </w:numPr>
        <w:spacing w:line="360" w:lineRule="auto"/>
        <w:ind w:left="420" w:leftChars="200"/>
        <w:rPr>
          <w:rFonts w:hAnsi="宋体" w:cs="宋体"/>
          <w:sz w:val="24"/>
          <w:szCs w:val="24"/>
          <w:highlight w:val="none"/>
        </w:rPr>
      </w:pPr>
      <w:r>
        <w:rPr>
          <w:rFonts w:hint="eastAsia" w:hAnsi="宋体" w:cs="宋体"/>
          <w:sz w:val="24"/>
          <w:szCs w:val="24"/>
          <w:highlight w:val="none"/>
        </w:rPr>
        <w:t>采购文件</w:t>
      </w:r>
    </w:p>
    <w:p>
      <w:pPr>
        <w:pStyle w:val="7"/>
        <w:numPr>
          <w:ilvl w:val="0"/>
          <w:numId w:val="6"/>
        </w:numPr>
        <w:spacing w:line="360" w:lineRule="auto"/>
        <w:ind w:left="420" w:leftChars="200"/>
        <w:rPr>
          <w:rFonts w:hAnsi="宋体" w:cs="宋体"/>
          <w:sz w:val="24"/>
          <w:szCs w:val="24"/>
          <w:highlight w:val="none"/>
        </w:rPr>
      </w:pPr>
      <w:r>
        <w:rPr>
          <w:rFonts w:hint="eastAsia" w:hAnsi="宋体" w:cs="宋体"/>
          <w:sz w:val="24"/>
          <w:szCs w:val="24"/>
          <w:highlight w:val="none"/>
        </w:rPr>
        <w:t>投标文件</w:t>
      </w:r>
    </w:p>
    <w:p>
      <w:pPr>
        <w:pStyle w:val="7"/>
        <w:numPr>
          <w:ilvl w:val="0"/>
          <w:numId w:val="6"/>
        </w:numPr>
        <w:spacing w:line="360" w:lineRule="auto"/>
        <w:ind w:left="420" w:leftChars="200"/>
        <w:rPr>
          <w:rFonts w:hAnsi="宋体" w:cs="宋体"/>
          <w:sz w:val="24"/>
          <w:szCs w:val="24"/>
          <w:highlight w:val="none"/>
        </w:rPr>
      </w:pPr>
      <w:r>
        <w:rPr>
          <w:rFonts w:hint="eastAsia" w:hAnsi="宋体" w:cs="宋体"/>
          <w:sz w:val="24"/>
          <w:szCs w:val="24"/>
          <w:highlight w:val="none"/>
        </w:rPr>
        <w:t>采购合同</w:t>
      </w:r>
    </w:p>
    <w:p>
      <w:pPr>
        <w:pStyle w:val="7"/>
        <w:numPr>
          <w:ilvl w:val="0"/>
          <w:numId w:val="6"/>
        </w:numPr>
        <w:spacing w:line="360" w:lineRule="auto"/>
        <w:ind w:left="420" w:leftChars="200"/>
        <w:rPr>
          <w:rFonts w:hAnsi="宋体" w:cs="宋体"/>
          <w:sz w:val="24"/>
          <w:szCs w:val="24"/>
          <w:highlight w:val="none"/>
        </w:rPr>
      </w:pPr>
      <w:r>
        <w:rPr>
          <w:rFonts w:hint="eastAsia" w:hAnsi="宋体" w:cs="宋体"/>
          <w:sz w:val="24"/>
          <w:szCs w:val="24"/>
          <w:highlight w:val="none"/>
        </w:rPr>
        <w:t>考核表：（考核表由甲方经办人、审核人、乙方经办人签字盖章确认）。</w:t>
      </w:r>
    </w:p>
    <w:p>
      <w:pPr>
        <w:pStyle w:val="7"/>
        <w:numPr>
          <w:ilvl w:val="0"/>
          <w:numId w:val="6"/>
        </w:numPr>
        <w:spacing w:line="360" w:lineRule="auto"/>
        <w:ind w:left="420" w:leftChars="200"/>
        <w:rPr>
          <w:rFonts w:hAnsi="宋体" w:cs="宋体"/>
          <w:sz w:val="24"/>
          <w:szCs w:val="24"/>
          <w:highlight w:val="none"/>
        </w:rPr>
      </w:pPr>
      <w:r>
        <w:rPr>
          <w:rFonts w:hint="eastAsia" w:hAnsi="宋体" w:cs="宋体"/>
          <w:sz w:val="24"/>
          <w:szCs w:val="24"/>
          <w:highlight w:val="none"/>
        </w:rPr>
        <w:t>人员清单及其他材料：</w:t>
      </w:r>
      <w:r>
        <w:rPr>
          <w:rFonts w:hint="eastAsia" w:hAnsi="宋体" w:cs="宋体"/>
          <w:sz w:val="24"/>
          <w:szCs w:val="24"/>
          <w:highlight w:val="none"/>
          <w:lang w:eastAsia="zh-Hans"/>
        </w:rPr>
        <w:t>驻点</w:t>
      </w:r>
      <w:r>
        <w:rPr>
          <w:rFonts w:hint="eastAsia" w:hAnsi="宋体" w:cs="宋体"/>
          <w:sz w:val="24"/>
          <w:szCs w:val="24"/>
          <w:highlight w:val="none"/>
        </w:rPr>
        <w:t>人员及团队人员明细清单、驻点人员每月社保缴纳清单、驻点人员每日考勤</w:t>
      </w:r>
      <w:r>
        <w:rPr>
          <w:rFonts w:hint="eastAsia" w:hAnsi="宋体" w:cs="宋体"/>
          <w:sz w:val="24"/>
          <w:szCs w:val="24"/>
          <w:highlight w:val="none"/>
          <w:lang w:eastAsia="zh-Hans"/>
        </w:rPr>
        <w:t>签到</w:t>
      </w:r>
      <w:r>
        <w:rPr>
          <w:rFonts w:hint="eastAsia" w:hAnsi="宋体" w:cs="宋体"/>
          <w:sz w:val="24"/>
          <w:szCs w:val="24"/>
          <w:highlight w:val="none"/>
        </w:rPr>
        <w:t>记录、相关人员资</w:t>
      </w:r>
      <w:r>
        <w:rPr>
          <w:rFonts w:hAnsi="宋体" w:cs="宋体"/>
          <w:sz w:val="24"/>
          <w:szCs w:val="24"/>
          <w:highlight w:val="none"/>
        </w:rPr>
        <w:t>历</w:t>
      </w:r>
      <w:r>
        <w:rPr>
          <w:rFonts w:hint="eastAsia" w:hAnsi="宋体" w:cs="宋体"/>
          <w:sz w:val="24"/>
          <w:szCs w:val="24"/>
          <w:highlight w:val="none"/>
        </w:rPr>
        <w:t>证明、相关人员资质证书、</w:t>
      </w:r>
      <w:r>
        <w:rPr>
          <w:rFonts w:hint="eastAsia" w:hAnsi="宋体" w:cs="宋体"/>
          <w:sz w:val="24"/>
          <w:szCs w:val="24"/>
          <w:highlight w:val="none"/>
          <w:lang w:eastAsia="zh-Hans"/>
        </w:rPr>
        <w:t>人员变更审批单（如有）</w:t>
      </w:r>
      <w:r>
        <w:rPr>
          <w:rFonts w:hint="eastAsia" w:hAnsi="宋体" w:cs="宋体"/>
          <w:sz w:val="24"/>
          <w:szCs w:val="24"/>
          <w:highlight w:val="none"/>
        </w:rPr>
        <w:t>、</w:t>
      </w:r>
      <w:r>
        <w:rPr>
          <w:rFonts w:hint="eastAsia" w:hAnsi="宋体" w:cs="宋体"/>
          <w:sz w:val="24"/>
          <w:szCs w:val="24"/>
          <w:highlight w:val="none"/>
          <w:lang w:eastAsia="zh-Hans"/>
        </w:rPr>
        <w:t>整体测评实施方案、</w:t>
      </w:r>
      <w:r>
        <w:rPr>
          <w:rFonts w:hint="eastAsia" w:hAnsi="宋体" w:cs="宋体"/>
          <w:sz w:val="24"/>
          <w:szCs w:val="24"/>
          <w:highlight w:val="none"/>
        </w:rPr>
        <w:t>等级保护测评报告、等级保护整改建议书、数据库审计运维总结报告、</w:t>
      </w:r>
      <w:r>
        <w:rPr>
          <w:rFonts w:hint="eastAsia" w:hAnsi="宋体" w:cs="宋体"/>
          <w:sz w:val="24"/>
          <w:szCs w:val="24"/>
          <w:highlight w:val="none"/>
          <w:lang w:eastAsia="zh-Hans"/>
        </w:rPr>
        <w:t>网络安全巡检服务报告、</w:t>
      </w:r>
      <w:r>
        <w:rPr>
          <w:rFonts w:hint="eastAsia" w:hAnsi="宋体" w:cs="宋体"/>
          <w:sz w:val="24"/>
          <w:szCs w:val="24"/>
          <w:highlight w:val="none"/>
        </w:rPr>
        <w:t>日志审计运维总结报告、政务网</w:t>
      </w:r>
      <w:r>
        <w:rPr>
          <w:rFonts w:hint="eastAsia" w:hAnsi="宋体" w:cs="宋体"/>
          <w:color w:val="000000" w:themeColor="text1"/>
          <w:sz w:val="24"/>
          <w:szCs w:val="24"/>
          <w:highlight w:val="none"/>
          <w14:textFill>
            <w14:solidFill>
              <w14:schemeClr w14:val="tx1"/>
            </w14:solidFill>
          </w14:textFill>
        </w:rPr>
        <w:t>安全分析报告、</w:t>
      </w:r>
      <w:r>
        <w:rPr>
          <w:rFonts w:hint="eastAsia" w:hAnsi="宋体" w:cs="宋体"/>
          <w:sz w:val="24"/>
          <w:szCs w:val="24"/>
          <w:highlight w:val="none"/>
        </w:rPr>
        <w:t>政务网业务系统安全分析报</w:t>
      </w:r>
      <w:r>
        <w:rPr>
          <w:rFonts w:hint="eastAsia" w:hAnsi="宋体" w:cs="宋体"/>
          <w:color w:val="000000" w:themeColor="text1"/>
          <w:sz w:val="24"/>
          <w:szCs w:val="24"/>
          <w:highlight w:val="none"/>
          <w14:textFill>
            <w14:solidFill>
              <w14:schemeClr w14:val="tx1"/>
            </w14:solidFill>
          </w14:textFill>
        </w:rPr>
        <w:t>告、网站安全云监测服务报告、</w:t>
      </w:r>
      <w:r>
        <w:rPr>
          <w:rFonts w:hint="eastAsia" w:hAnsi="宋体" w:cs="宋体"/>
          <w:sz w:val="24"/>
          <w:szCs w:val="24"/>
          <w:highlight w:val="none"/>
        </w:rPr>
        <w:t>公安网安全风险感知服务分析报告、桌面云月度服务报告、</w:t>
      </w:r>
      <w:r>
        <w:rPr>
          <w:rFonts w:hint="eastAsia" w:hAnsi="宋体" w:cs="宋体"/>
          <w:sz w:val="24"/>
          <w:szCs w:val="24"/>
          <w:highlight w:val="none"/>
          <w:lang w:eastAsia="zh-Hans"/>
        </w:rPr>
        <w:t>一机两用巡检服务报告、一机两用年度维保总结报告</w:t>
      </w:r>
      <w:r>
        <w:rPr>
          <w:rFonts w:hint="eastAsia" w:hAnsi="宋体" w:cs="宋体"/>
          <w:sz w:val="24"/>
          <w:szCs w:val="24"/>
          <w:highlight w:val="none"/>
        </w:rPr>
        <w:t>、</w:t>
      </w:r>
      <w:r>
        <w:rPr>
          <w:rFonts w:hint="eastAsia" w:hAnsi="宋体" w:cs="宋体"/>
          <w:color w:val="auto"/>
          <w:sz w:val="24"/>
          <w:highlight w:val="none"/>
        </w:rPr>
        <w:t>考核技术支持服务报告、</w:t>
      </w:r>
      <w:r>
        <w:rPr>
          <w:rFonts w:hint="eastAsia" w:hAnsi="宋体" w:cs="宋体"/>
          <w:sz w:val="24"/>
          <w:szCs w:val="24"/>
          <w:highlight w:val="none"/>
        </w:rPr>
        <w:t>终端杀毒服务月度报告、系统安全</w:t>
      </w:r>
      <w:r>
        <w:rPr>
          <w:rFonts w:hint="eastAsia" w:hAnsi="宋体" w:cs="宋体"/>
          <w:sz w:val="24"/>
          <w:szCs w:val="24"/>
          <w:highlight w:val="none"/>
          <w:lang w:eastAsia="zh-Hans"/>
        </w:rPr>
        <w:t>检测总结</w:t>
      </w:r>
      <w:r>
        <w:rPr>
          <w:rFonts w:hint="eastAsia" w:hAnsi="宋体" w:cs="宋体"/>
          <w:sz w:val="24"/>
          <w:szCs w:val="24"/>
          <w:highlight w:val="none"/>
        </w:rPr>
        <w:t>报告、网络安全检查总结报告</w:t>
      </w:r>
      <w:r>
        <w:rPr>
          <w:rFonts w:hint="eastAsia" w:hAnsi="宋体" w:cs="宋体"/>
          <w:sz w:val="24"/>
          <w:szCs w:val="24"/>
          <w:highlight w:val="none"/>
          <w:lang w:eastAsia="zh-Hans"/>
        </w:rPr>
        <w:t>（如有）</w:t>
      </w:r>
      <w:r>
        <w:rPr>
          <w:rFonts w:hint="eastAsia" w:hAnsi="宋体" w:cs="宋体"/>
          <w:sz w:val="24"/>
          <w:szCs w:val="24"/>
          <w:highlight w:val="none"/>
        </w:rPr>
        <w:t>、重大活动安全保障总结报告、应急响应报告、边界通道服务总结报告；</w:t>
      </w:r>
    </w:p>
    <w:p>
      <w:pPr>
        <w:pStyle w:val="7"/>
        <w:numPr>
          <w:ilvl w:val="0"/>
          <w:numId w:val="6"/>
        </w:numPr>
        <w:spacing w:line="360" w:lineRule="auto"/>
        <w:ind w:left="420" w:leftChars="200"/>
        <w:rPr>
          <w:rFonts w:hAnsi="宋体" w:cs="宋体"/>
          <w:sz w:val="24"/>
          <w:szCs w:val="24"/>
          <w:highlight w:val="none"/>
        </w:rPr>
      </w:pPr>
      <w:r>
        <w:rPr>
          <w:rFonts w:hint="eastAsia" w:hAnsi="宋体" w:cs="宋体"/>
          <w:sz w:val="24"/>
          <w:szCs w:val="24"/>
          <w:highlight w:val="none"/>
        </w:rPr>
        <w:t>月、季、年度安全工作专题报告；</w:t>
      </w:r>
    </w:p>
    <w:p>
      <w:pPr>
        <w:pStyle w:val="7"/>
        <w:numPr>
          <w:ilvl w:val="0"/>
          <w:numId w:val="6"/>
        </w:numPr>
        <w:spacing w:line="360" w:lineRule="auto"/>
        <w:ind w:left="420" w:leftChars="200"/>
        <w:rPr>
          <w:rFonts w:hAnsi="宋体" w:cs="宋体"/>
          <w:sz w:val="24"/>
          <w:szCs w:val="24"/>
          <w:highlight w:val="none"/>
        </w:rPr>
      </w:pPr>
      <w:r>
        <w:rPr>
          <w:rFonts w:hint="eastAsia" w:hAnsi="宋体" w:cs="宋体"/>
          <w:sz w:val="24"/>
          <w:szCs w:val="24"/>
          <w:highlight w:val="none"/>
        </w:rPr>
        <w:t>日常保密教育资料、单位保密协议、个人保密承诺书；</w:t>
      </w:r>
    </w:p>
    <w:p>
      <w:pPr>
        <w:pStyle w:val="7"/>
        <w:numPr>
          <w:ilvl w:val="0"/>
          <w:numId w:val="6"/>
        </w:numPr>
        <w:spacing w:line="360" w:lineRule="auto"/>
        <w:ind w:left="420" w:leftChars="200"/>
        <w:rPr>
          <w:rFonts w:hAnsi="宋体" w:cs="宋体"/>
          <w:sz w:val="24"/>
          <w:szCs w:val="24"/>
          <w:highlight w:val="none"/>
        </w:rPr>
      </w:pPr>
      <w:r>
        <w:rPr>
          <w:rFonts w:hint="eastAsia" w:hAnsi="宋体" w:cs="宋体"/>
          <w:sz w:val="24"/>
          <w:szCs w:val="24"/>
          <w:highlight w:val="none"/>
        </w:rPr>
        <w:t>网络安全保障方案、网络安全事件应急预案、网络安全风险书面报告（如有）、网络安全重大事项书面报告（如有）；</w:t>
      </w:r>
    </w:p>
    <w:p>
      <w:pPr>
        <w:pStyle w:val="7"/>
        <w:numPr>
          <w:ilvl w:val="0"/>
          <w:numId w:val="6"/>
        </w:numPr>
        <w:spacing w:line="360" w:lineRule="auto"/>
        <w:ind w:left="420" w:leftChars="200"/>
        <w:rPr>
          <w:rFonts w:hAnsi="宋体" w:cs="宋体"/>
          <w:sz w:val="24"/>
          <w:szCs w:val="24"/>
          <w:highlight w:val="none"/>
        </w:rPr>
      </w:pPr>
      <w:r>
        <w:rPr>
          <w:rFonts w:hint="eastAsia" w:hAnsi="宋体" w:cs="宋体"/>
          <w:sz w:val="24"/>
          <w:szCs w:val="24"/>
          <w:highlight w:val="none"/>
        </w:rPr>
        <w:t>中小企业佐证材料、小微企业佐证材料；</w:t>
      </w:r>
    </w:p>
    <w:p>
      <w:pPr>
        <w:pStyle w:val="7"/>
        <w:numPr>
          <w:ilvl w:val="0"/>
          <w:numId w:val="6"/>
        </w:numPr>
        <w:spacing w:line="360" w:lineRule="auto"/>
        <w:ind w:left="420" w:leftChars="200"/>
        <w:rPr>
          <w:rFonts w:hAnsi="宋体" w:cs="宋体"/>
          <w:sz w:val="24"/>
          <w:szCs w:val="24"/>
          <w:highlight w:val="none"/>
        </w:rPr>
      </w:pPr>
      <w:r>
        <w:rPr>
          <w:rFonts w:hint="eastAsia" w:hAnsi="宋体" w:cs="宋体"/>
          <w:sz w:val="24"/>
          <w:szCs w:val="24"/>
          <w:highlight w:val="none"/>
        </w:rPr>
        <w:t>分包协议（如有）；</w:t>
      </w:r>
    </w:p>
    <w:p>
      <w:pPr>
        <w:pStyle w:val="7"/>
        <w:widowControl w:val="0"/>
        <w:spacing w:line="360" w:lineRule="auto"/>
        <w:ind w:left="420" w:leftChars="200" w:firstLine="6"/>
        <w:rPr>
          <w:rFonts w:hAnsi="宋体" w:cs="宋体"/>
          <w:highlight w:val="none"/>
        </w:rPr>
      </w:pPr>
      <w:r>
        <w:rPr>
          <w:rFonts w:hint="eastAsia" w:hAnsi="宋体" w:cs="宋体"/>
          <w:kern w:val="2"/>
          <w:sz w:val="24"/>
          <w:szCs w:val="24"/>
          <w:highlight w:val="none"/>
        </w:rPr>
        <w:t>（11）其他需提供的相关材料。</w:t>
      </w:r>
    </w:p>
    <w:p>
      <w:pPr>
        <w:spacing w:line="460" w:lineRule="exact"/>
        <w:rPr>
          <w:rFonts w:ascii="宋体" w:hAnsi="宋体" w:cs="宋体"/>
          <w:sz w:val="24"/>
          <w:highlight w:val="none"/>
        </w:rPr>
      </w:pPr>
      <w:r>
        <w:rPr>
          <w:rFonts w:hint="eastAsia" w:ascii="宋体" w:hAnsi="宋体" w:cs="宋体"/>
          <w:b/>
          <w:bCs/>
          <w:sz w:val="24"/>
          <w:highlight w:val="none"/>
        </w:rPr>
        <w:t>2.19</w:t>
      </w:r>
      <w:r>
        <w:rPr>
          <w:rFonts w:hint="eastAsia" w:ascii="宋体" w:hAnsi="宋体" w:cs="宋体"/>
          <w:sz w:val="24"/>
          <w:highlight w:val="none"/>
        </w:rPr>
        <w:t>本合同壹式陆份，具有同等法律效力，甲乙双方各执叁份。</w:t>
      </w:r>
    </w:p>
    <w:p>
      <w:pPr>
        <w:widowControl/>
        <w:spacing w:line="460" w:lineRule="exact"/>
        <w:jc w:val="left"/>
        <w:rPr>
          <w:rFonts w:ascii="宋体" w:hAnsi="宋体" w:cs="宋体"/>
          <w:b/>
          <w:bCs/>
          <w:sz w:val="24"/>
          <w:highlight w:val="none"/>
          <w:lang w:eastAsia="zh-Hans"/>
        </w:rPr>
      </w:pPr>
      <w:r>
        <w:rPr>
          <w:rFonts w:hint="eastAsia" w:ascii="宋体" w:hAnsi="宋体" w:cs="宋体"/>
          <w:b/>
          <w:bCs/>
          <w:sz w:val="24"/>
          <w:highlight w:val="none"/>
        </w:rPr>
        <w:t>3、</w:t>
      </w:r>
      <w:r>
        <w:rPr>
          <w:rFonts w:hint="eastAsia" w:ascii="宋体" w:hAnsi="宋体" w:cs="宋体"/>
          <w:b/>
          <w:bCs/>
          <w:sz w:val="24"/>
          <w:highlight w:val="none"/>
          <w:lang w:eastAsia="zh-Hans"/>
        </w:rPr>
        <w:t>服务内容</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000" w:type="pct"/>
            <w:gridSpan w:val="2"/>
          </w:tcPr>
          <w:p>
            <w:pPr>
              <w:pStyle w:val="58"/>
              <w:tabs>
                <w:tab w:val="left" w:pos="432"/>
              </w:tabs>
              <w:spacing w:before="0" w:beforeAutospacing="0" w:after="0" w:afterAutospacing="0" w:line="420" w:lineRule="exact"/>
              <w:ind w:left="433" w:leftChars="202" w:hanging="9" w:hangingChars="4"/>
              <w:rPr>
                <w:rFonts w:cs="宋体"/>
                <w:highlight w:val="none"/>
              </w:rPr>
            </w:pPr>
            <w:r>
              <w:rPr>
                <w:rFonts w:hint="eastAsia" w:cs="宋体"/>
                <w:highlight w:val="none"/>
              </w:rPr>
              <w:t>1、等保测评服务：针对甲方的重要信息系统提供等保测评服务。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3" w:type="pct"/>
          </w:tcPr>
          <w:p>
            <w:pPr>
              <w:spacing w:line="420" w:lineRule="exact"/>
              <w:rPr>
                <w:rFonts w:ascii="宋体" w:hAnsi="宋体" w:cs="宋体"/>
                <w:sz w:val="24"/>
                <w:highlight w:val="none"/>
              </w:rPr>
            </w:pPr>
            <w:r>
              <w:rPr>
                <w:rFonts w:hint="eastAsia" w:ascii="宋体" w:hAnsi="宋体" w:cs="宋体"/>
                <w:sz w:val="24"/>
                <w:highlight w:val="none"/>
                <w:lang w:eastAsia="zh-Hans"/>
              </w:rPr>
              <w:t>服务内容</w:t>
            </w:r>
          </w:p>
        </w:tc>
        <w:tc>
          <w:tcPr>
            <w:tcW w:w="4186" w:type="pct"/>
          </w:tcPr>
          <w:p>
            <w:pPr>
              <w:spacing w:line="420" w:lineRule="exact"/>
              <w:ind w:firstLine="480" w:firstLineChars="200"/>
              <w:jc w:val="left"/>
              <w:rPr>
                <w:rFonts w:ascii="宋体" w:hAnsi="宋体" w:cs="宋体"/>
                <w:sz w:val="24"/>
                <w:highlight w:val="none"/>
              </w:rPr>
            </w:pPr>
            <w:r>
              <w:rPr>
                <w:rFonts w:hint="eastAsia" w:ascii="宋体" w:hAnsi="宋体" w:cs="宋体"/>
                <w:sz w:val="24"/>
                <w:highlight w:val="none"/>
              </w:rPr>
              <w:t>1、对于测评结论符合等保要求的，出具测评报告及整改建议书。</w:t>
            </w:r>
          </w:p>
          <w:p>
            <w:pPr>
              <w:spacing w:line="420" w:lineRule="exact"/>
              <w:ind w:firstLine="480" w:firstLineChars="200"/>
              <w:jc w:val="left"/>
              <w:rPr>
                <w:rFonts w:ascii="宋体" w:hAnsi="宋体" w:cs="宋体"/>
                <w:sz w:val="24"/>
                <w:highlight w:val="none"/>
              </w:rPr>
            </w:pPr>
            <w:r>
              <w:rPr>
                <w:rFonts w:hint="eastAsia" w:ascii="宋体" w:hAnsi="宋体" w:cs="宋体"/>
                <w:sz w:val="24"/>
                <w:highlight w:val="none"/>
              </w:rPr>
              <w:t>2、对于测评结论不符合等保要求的，出具差距分析报告及整改建议书。</w:t>
            </w:r>
          </w:p>
          <w:p>
            <w:pPr>
              <w:spacing w:line="420" w:lineRule="exact"/>
              <w:ind w:firstLine="480" w:firstLineChars="200"/>
              <w:jc w:val="left"/>
              <w:rPr>
                <w:rFonts w:ascii="宋体" w:hAnsi="宋体" w:cs="宋体"/>
                <w:sz w:val="24"/>
                <w:highlight w:val="none"/>
              </w:rPr>
            </w:pPr>
            <w:r>
              <w:rPr>
                <w:rFonts w:hint="eastAsia" w:ascii="宋体" w:hAnsi="宋体" w:cs="宋体"/>
                <w:sz w:val="24"/>
                <w:highlight w:val="none"/>
              </w:rPr>
              <w:t>3、本项目服务期内测评系统数量不少于25个。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3" w:type="pct"/>
          </w:tcPr>
          <w:p>
            <w:pPr>
              <w:spacing w:line="420" w:lineRule="exact"/>
              <w:rPr>
                <w:rFonts w:ascii="宋体" w:hAnsi="宋体" w:cs="宋体"/>
                <w:sz w:val="24"/>
                <w:highlight w:val="none"/>
              </w:rPr>
            </w:pPr>
            <w:r>
              <w:rPr>
                <w:rFonts w:hint="eastAsia" w:ascii="宋体" w:hAnsi="宋体" w:cs="宋体"/>
                <w:sz w:val="24"/>
                <w:highlight w:val="none"/>
                <w:lang w:eastAsia="zh-Hans"/>
              </w:rPr>
              <w:t>服务要求</w:t>
            </w:r>
          </w:p>
        </w:tc>
        <w:tc>
          <w:tcPr>
            <w:tcW w:w="4186" w:type="pct"/>
          </w:tcPr>
          <w:p>
            <w:pPr>
              <w:spacing w:line="420" w:lineRule="exact"/>
              <w:ind w:firstLine="480" w:firstLineChars="200"/>
              <w:jc w:val="left"/>
              <w:rPr>
                <w:rFonts w:ascii="宋体" w:hAnsi="宋体" w:cs="宋体"/>
                <w:sz w:val="24"/>
                <w:highlight w:val="none"/>
              </w:rPr>
            </w:pPr>
            <w:r>
              <w:rPr>
                <w:rFonts w:hint="eastAsia" w:ascii="宋体" w:hAnsi="宋体" w:cs="宋体"/>
                <w:sz w:val="24"/>
                <w:highlight w:val="none"/>
              </w:rPr>
              <w:t>1、测评依据：须根据国家标准GB/T 22239-2019：《信息安全技术网络安全等级保护基本要求》要求选取安全基础指标开展检测工作，并出具符合国家相关规范要求的测评报告。</w:t>
            </w:r>
          </w:p>
          <w:p>
            <w:pPr>
              <w:spacing w:line="420" w:lineRule="exact"/>
              <w:ind w:firstLine="480" w:firstLineChars="200"/>
              <w:jc w:val="left"/>
              <w:rPr>
                <w:rFonts w:ascii="宋体" w:hAnsi="宋体" w:cs="宋体"/>
                <w:sz w:val="24"/>
                <w:highlight w:val="none"/>
              </w:rPr>
            </w:pPr>
            <w:r>
              <w:rPr>
                <w:rFonts w:hint="eastAsia" w:ascii="宋体" w:hAnsi="宋体" w:cs="宋体"/>
                <w:sz w:val="24"/>
                <w:highlight w:val="none"/>
              </w:rPr>
              <w:t>2、实施方案：乙方对具体测评系统详细了解的基础上，编制针对性的等级保护测评整体实施方案，包括项目概述、等保测评范围和内容、项目实施流程、测试过程中需使用测试设备清单、时间安排、阶段性文档提交等。</w:t>
            </w:r>
          </w:p>
          <w:p>
            <w:pPr>
              <w:spacing w:line="420" w:lineRule="exact"/>
              <w:ind w:firstLine="480" w:firstLineChars="200"/>
              <w:jc w:val="left"/>
              <w:rPr>
                <w:rFonts w:ascii="宋体" w:hAnsi="宋体" w:cs="宋体"/>
                <w:sz w:val="24"/>
                <w:highlight w:val="none"/>
              </w:rPr>
            </w:pPr>
            <w:r>
              <w:rPr>
                <w:rFonts w:hint="eastAsia" w:ascii="宋体" w:hAnsi="宋体" w:cs="宋体"/>
                <w:sz w:val="24"/>
                <w:highlight w:val="none"/>
              </w:rPr>
              <w:t>3、运行环境：安全测评需要的运行环境（如场地、网络环境等）由甲方提供，乙方应详细描述需要的运行环境的具体要求。</w:t>
            </w:r>
          </w:p>
          <w:p>
            <w:pPr>
              <w:spacing w:line="420" w:lineRule="exact"/>
              <w:ind w:firstLine="480" w:firstLineChars="200"/>
              <w:jc w:val="left"/>
              <w:rPr>
                <w:rFonts w:ascii="宋体" w:hAnsi="宋体" w:cs="宋体"/>
                <w:sz w:val="24"/>
                <w:highlight w:val="none"/>
              </w:rPr>
            </w:pPr>
            <w:r>
              <w:rPr>
                <w:rFonts w:hint="eastAsia" w:ascii="宋体" w:hAnsi="宋体" w:cs="宋体"/>
                <w:sz w:val="24"/>
                <w:highlight w:val="none"/>
              </w:rPr>
              <w:t>4、项目实施流程：乙方应具有等保工具箱、商用密码检测工具、软件测试工具、代码审计工具。本次等级保护测评实施过程中所使用到的工具软件由乙方推荐，需经甲方确认后方由乙方提供并在测评中使用。乙方应在投标文件中详细描述所使用的安全测评工具（软硬件型号、功能和性能描述）、使用的方式和时间、对环境和平台的要求以及使用可能对系统造成的风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3" w:type="pct"/>
          </w:tcPr>
          <w:p>
            <w:pPr>
              <w:spacing w:line="420" w:lineRule="exact"/>
              <w:rPr>
                <w:rFonts w:ascii="宋体" w:hAnsi="宋体" w:cs="宋体"/>
                <w:sz w:val="24"/>
                <w:highlight w:val="none"/>
              </w:rPr>
            </w:pPr>
            <w:r>
              <w:rPr>
                <w:rFonts w:hint="eastAsia" w:ascii="宋体" w:hAnsi="宋体" w:cs="宋体"/>
                <w:sz w:val="24"/>
                <w:highlight w:val="none"/>
                <w:lang w:eastAsia="zh-Hans"/>
              </w:rPr>
              <w:t>交付物</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《信息系统安全等级保护备案表》（初次测评系统）</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《信息系统安全等级保护定级报告》（初次测评系统）</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《整体测评实施方案》</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《等级保护测评报告》</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《等级保护整改建议书》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000" w:type="pct"/>
            <w:gridSpan w:val="2"/>
          </w:tcPr>
          <w:p>
            <w:pPr>
              <w:spacing w:line="420" w:lineRule="exact"/>
              <w:ind w:firstLine="482" w:firstLineChars="200"/>
              <w:rPr>
                <w:rFonts w:ascii="宋体" w:hAnsi="宋体" w:cs="宋体"/>
                <w:sz w:val="24"/>
                <w:highlight w:val="none"/>
              </w:rPr>
            </w:pPr>
            <w:r>
              <w:rPr>
                <w:rFonts w:hint="eastAsia" w:ascii="宋体" w:hAnsi="宋体" w:cs="宋体"/>
                <w:b/>
                <w:sz w:val="24"/>
                <w:highlight w:val="none"/>
              </w:rPr>
              <w:t>2、数据库审计服务：</w:t>
            </w:r>
            <w:r>
              <w:rPr>
                <w:rFonts w:hint="eastAsia" w:ascii="宋体" w:hAnsi="宋体" w:cs="宋体"/>
                <w:sz w:val="24"/>
                <w:highlight w:val="none"/>
              </w:rPr>
              <w:t>针对杭州市公安局的政务外网、视频专网和公安网提供数据库审计服务，满足等级保护的合规性需求，同时配合相关人工服务对数据库审计内容进行处理，发现存在的问题及时研判、预警、处理，建立完备安全保障机制。对杭州公安各类安全违规事件进行实时监测、实时预警，协助甲方及时、有效开展整改，切实降低各类安全风险，有效减少部、省、市上级网络安全管理职能部门的各类安全事件通报。配合相关人工服务进行日常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3" w:type="pct"/>
          </w:tcPr>
          <w:p>
            <w:pPr>
              <w:spacing w:line="420" w:lineRule="exact"/>
              <w:rPr>
                <w:rFonts w:ascii="宋体" w:hAnsi="宋体" w:cs="宋体"/>
                <w:sz w:val="24"/>
                <w:highlight w:val="none"/>
              </w:rPr>
            </w:pPr>
            <w:r>
              <w:rPr>
                <w:rFonts w:hint="eastAsia" w:ascii="宋体" w:hAnsi="宋体" w:cs="宋体"/>
                <w:sz w:val="24"/>
                <w:highlight w:val="none"/>
                <w:lang w:eastAsia="zh-Hans"/>
              </w:rPr>
              <w:t>服务内容</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因服务要求，数据库审计服务需提供数据库审计设备。政务网不少于2套（不限制支持的数据库实例个数）、视频专网不少于4台、公安网不少于6台。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3" w:type="pct"/>
          </w:tcPr>
          <w:p>
            <w:pPr>
              <w:spacing w:line="420" w:lineRule="exact"/>
              <w:rPr>
                <w:rFonts w:ascii="宋体" w:hAnsi="宋体" w:cs="宋体"/>
                <w:sz w:val="24"/>
                <w:highlight w:val="none"/>
              </w:rPr>
            </w:pPr>
            <w:r>
              <w:rPr>
                <w:rFonts w:hint="eastAsia" w:ascii="宋体" w:hAnsi="宋体" w:cs="宋体"/>
                <w:sz w:val="24"/>
                <w:highlight w:val="none"/>
                <w:lang w:eastAsia="zh-Hans"/>
              </w:rPr>
              <w:t>服务要求</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一、该服务需要提供以下的服务要求支持：</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1、模块支持：数据库审计、风险漏洞扫描、状态监控、敏感数据扫描等功能。</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2、数据库类型支持：国际主流数据库： Oracle、MySQL、SQLserver、DB2、Sybase、Informix、Teradata、PostgreSQL、Access、cache等；国产数据库：达梦、南大通用、人大金仓、神通、瀚高等；非关系型数据库：Hive、Hbase、MongoDB等。</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3、攻击识别防御：支持对数据库SQL注入、缓冲区溢出等高危行为的识别防御。能够实时地监控所有到数据库的连接信息、操作数、违规数等。管理员可以断开指定的连接。</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4、操作告警记录：对数据库高危操作、误操作等风险操作进行及时告警。对访问数据库的行为进行记录。</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5、数据库审计策略：设备必须自带默认策略(如全审计、攻击特征)，支持自定义策略和规则，方便灵活配置审计规则。能支持不同数据库审计服务进行统一的策略制定、修改。</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6、事件识别：支持以操作类型、时间、IP地址、用户名、主机名、终端名、数据库操作类型、数据库表、影响的行、字符串、认证结果、响应时间等作为事件识别规则。</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7、人工监测：通过网络安全服务专家人工监测分析的手段，对指定数据库执行5x8安全审计，对危险等级较高的威胁情报需在系统预警1小时内完成人工分析验证以甄别误报。</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8、资源优化调整：按照公安部、公安厅考核要求及甲方管理需要，对杭州公安网络安全管理相关策略及配置进行修改或协调资源组织进行修改调整，确保与上级单位安全事件监测策略的一致性及安全事件监测的全面性。对设备及平台的底层日志与数据库日志进行分析，配合开发工程师对平台资源占用及运行稳定进行调整优化，确保各类网络安全设备及平台的正常运行。</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二、乙方对系统提供服务：</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1、定期巡检：协助甲方每季度至少一次对各类网络安全设备开展或督促组织巡检，对故障设备及软件平台开展运维响应，找到问题源头、联系厂商协调资源，实时排除各类故障、隐患。</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2、资产梳理：配合甲方开展网络安全资产管理，实时掌握各类网络安全相关信息，确保各类网络安全管理制度落到实处。</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3、技术支持：对甲方及各区县公安信息网安全管理平台中质量不合规的问题数据提供清理服务，每日查看并清理系统中的问题数据，对全市各区县、部门警种的安全管理技术问题提供远程技术支持，配合甲方为全市公安网络安全体系建设完善提供各类技术支持。</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4、数据库审计服务能力须符合GB/T20945-2013《信息安全技术 信息系统安全审计产品技术要求和测评方法》（基本级）要求。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rPr>
            </w:pPr>
            <w:r>
              <w:rPr>
                <w:rFonts w:hint="eastAsia" w:ascii="宋体" w:hAnsi="宋体" w:cs="宋体"/>
                <w:sz w:val="24"/>
                <w:highlight w:val="none"/>
                <w:lang w:eastAsia="zh-Hans"/>
              </w:rPr>
              <w:t>交付物</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《数据库审计运维总结报告》</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《网络安全巡检服务报告》（按季度提供）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2"/>
          </w:tcPr>
          <w:p>
            <w:pPr>
              <w:spacing w:line="420" w:lineRule="exact"/>
              <w:ind w:firstLine="482" w:firstLineChars="200"/>
              <w:rPr>
                <w:rFonts w:ascii="宋体" w:hAnsi="宋体" w:cs="宋体"/>
                <w:sz w:val="24"/>
                <w:highlight w:val="none"/>
              </w:rPr>
            </w:pPr>
            <w:r>
              <w:rPr>
                <w:rFonts w:hint="eastAsia" w:ascii="宋体" w:hAnsi="宋体" w:cs="宋体"/>
                <w:b/>
                <w:sz w:val="24"/>
                <w:highlight w:val="none"/>
              </w:rPr>
              <w:t>3、政务网云日志审计服务：</w:t>
            </w:r>
            <w:r>
              <w:rPr>
                <w:rFonts w:hint="eastAsia" w:ascii="宋体" w:hAnsi="宋体" w:cs="宋体"/>
                <w:sz w:val="24"/>
                <w:highlight w:val="none"/>
              </w:rPr>
              <w:t>针对杭州市公安局的政务网提供日志审计服务。对网络设备、安全设备、主机和应用系统日志进行全面的标准化处理，及时发现各种安全威胁、异常行为事件，为管理人员提供全局的视角，提供全维度、跨设备、细粒度的关联分析，提供真正可信赖的事件追责依据和业务运行的深度安全，确保业务的不间断运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服务内容</w:t>
            </w:r>
          </w:p>
        </w:tc>
        <w:tc>
          <w:tcPr>
            <w:tcW w:w="4186" w:type="pct"/>
            <w:vAlign w:val="center"/>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因服务要求，政务网云日志审计服务需提供政务网云日志审计设备。提供不少于2套政务网日志审计（每套支持500个日志源授权）。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服务要求</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1、管理设备授权可扩展：可提供授权扩展支持。</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2、大数据联调功能：支持kafka日志接收转发、大数据安全域同步、APT沙箱报告转发等功能。Kafka收发支持SSL加密。</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3、日志代理：以Agent的方式提取日志并收集，能对Agent进行统一管控，包括卸载、升级、启动及停止操作，支持将日志收集策略统一分发。</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4、日志采集能力：可通过接收协议限制日志接收速率，包括Http接收、syslog接收、SNMPtrap接收、TCP接收、WMI接收、aliyun接收。</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5、日志解析能力：支持对收集的5000+设备类型日志进行解析（标准化、归一化），解析维度多达200+，解析规则可以根据客户要求定制免费扩展。支持解析规则性能以界面列表形式显示，可了解解析耗时、解析成功或失败次数等信息。</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6、安全评估模型能力：评估模型基于设备故障、认证登录、攻击威胁、可用性、系统脆弱性等纬度加权平均计算总体安全指数。安全评估模型可以显示总体评分、历史评分趋势。安全评估模型各项指标可钻取具体的评分扣分事件。</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7、应用性能监控：通过在目标主机上安装Agent程序，支持监测目标主机的CPU利用率、内存使用率、磁盘使用率、磁盘使用情况、流量等信息（提供具备CMA资质或国家权威机构认可的第三方机构出具的检测报告）。</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8、自定义资产拓扑：支持按照实际的用户环境进行编辑发布并可以和资产进行绑定，拓扑可以显示资产采集的事件数量被采集资产的状态等信息。</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9、资产调研：配合甲方进行各个日志审计接入资产调研，统计资产数量，实时掌握接入资产的状态。</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10、政务网云日志审计服务能力须符合GB/T 20945-2013 《信息安全技术信息系统安全审计产品安全技术要求和测试评价方法》（增强级）、《信息安全技术日志分析产品安全技术要求 GA/T 911-2010》(第三级)要求。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交付物</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《日志审计运维总结报告》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000" w:type="pct"/>
            <w:gridSpan w:val="2"/>
          </w:tcPr>
          <w:p>
            <w:pPr>
              <w:spacing w:line="420" w:lineRule="exact"/>
              <w:ind w:firstLine="241" w:firstLineChars="100"/>
              <w:rPr>
                <w:rFonts w:ascii="宋体" w:hAnsi="宋体" w:cs="宋体"/>
                <w:sz w:val="24"/>
                <w:highlight w:val="none"/>
              </w:rPr>
            </w:pPr>
            <w:r>
              <w:rPr>
                <w:rFonts w:hint="eastAsia" w:ascii="宋体" w:hAnsi="宋体" w:cs="宋体"/>
                <w:b/>
                <w:bCs/>
                <w:sz w:val="24"/>
                <w:highlight w:val="none"/>
              </w:rPr>
              <w:t>4、政务网态势感知服务：</w:t>
            </w:r>
            <w:r>
              <w:rPr>
                <w:rFonts w:hint="eastAsia" w:ascii="宋体" w:hAnsi="宋体" w:cs="宋体"/>
                <w:sz w:val="24"/>
                <w:highlight w:val="none"/>
              </w:rPr>
              <w:t>针对杭州市公安局的政务网业务系统，集成超大规模存查、大数据实时智能分析、行为分析、多维态势安全视图、安全联动闭环等安全模块。具备异构数据集成、核心数据安全分析、办公应用安全威胁挖掘等前沿大数据智能安全威胁挖掘分析与预警管控能力，提供全局态势感知和业务不间断稳定运行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服务内容</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因服务要求，政务网态势感知服务需提供态势感知系统。提供1套政务网态势感知。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服务要求</w:t>
            </w:r>
          </w:p>
        </w:tc>
        <w:tc>
          <w:tcPr>
            <w:tcW w:w="4186" w:type="pct"/>
          </w:tcPr>
          <w:p>
            <w:pPr>
              <w:spacing w:line="360" w:lineRule="auto"/>
              <w:ind w:firstLine="480" w:firstLineChars="200"/>
              <w:rPr>
                <w:rFonts w:ascii="宋体" w:hAnsi="宋体" w:cs="宋体"/>
                <w:sz w:val="24"/>
                <w:highlight w:val="none"/>
              </w:rPr>
            </w:pPr>
            <w:r>
              <w:rPr>
                <w:rFonts w:hint="eastAsia" w:ascii="宋体" w:hAnsi="宋体" w:cs="宋体"/>
                <w:sz w:val="24"/>
                <w:highlight w:val="none"/>
              </w:rPr>
              <w:t>1、支持安全态势的可视化呈现，以大屏的方式从攻击事件、资产安全、追踪溯源、运行监测、重保方案等多个维度进行可视化展示，并可根据“组织架构”筛选大屏展示数据范围，支持自定义大屏轮播时间和大屏轮播顺序。</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告警监控支持查看告警的基本信息、受害者、攻击者、处置响应、举证全文信息，其中受害者和攻击者支持查看响应ATT&amp;CK矩阵视图，ATT&amp;CK矩阵视图展示支持中文或英文的语言切换，布局支持侧面或下拉两种方式、并支持选择全部技术或子技术的展示等；处置响应支持处置响应闭环出来，可看到处置动作、告警调优、处置结果，及处置记录的全过程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3、平台内置包括规则模型、关联模型、统计模型、情报模型、AI模型等安全分析模型，用户根据实际需求对上述模型进行添加、编辑、删除、复制等。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安全分析模型支持自定义新增，新添加的模型可选择适用的作用域，如全局通用、单选机构，如选择单选机构即选择应用的组织架构，可通过字段映射、静态值、模板、表达式等多种方式自定义分析模型的告警名称、威胁等级、告警类型、攻击链、可选字段、告警描述、处置建议等内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5、支持在告警详情中展示数据血缘关系，包括数据来源、原始日志、规则模型及原始告警，支持原始日志和规则模型的一键跳转，分别查看原始日志数据和相应的模型规则。</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支持主机感染勒索病毒、网站被植入webshell、主机感染挖矿木马、主机感染恶意程序、主机被高危漏洞攻陷、主机被外部远控、内网横向攻击、内网横向探测、主机对外扫描、主机对外攻击、主机被爆破成功、发现APT攻击事件等10种以上的内置安全分析场景，针对分析场景支持至少3个任意字段聚合变量检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7、支持通过任务看板查看自动响应任务的数量、任务状态占比、任务趋势；以时间轴方式展示任务进行状态，并可查看每个阶段任务运行的详细信息。</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8、平台具有统一的安全运营门户，作为重点关注功能的统一入口，如集成态势感知、Sherlock网络星空、通报预警、联动策略、运行监测等多个功能模块，实现平台功能的快速跳转；支持用户配置个人专属的统一门户，可配置项包括门户名称、菜单名称、应用图标等，且菜单内容支持自定义编辑，可链接平台以外的域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交付物</w:t>
            </w:r>
          </w:p>
        </w:tc>
        <w:tc>
          <w:tcPr>
            <w:tcW w:w="4186" w:type="pct"/>
          </w:tcPr>
          <w:p>
            <w:pPr>
              <w:spacing w:line="420" w:lineRule="exact"/>
              <w:ind w:firstLine="240" w:firstLineChars="100"/>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z w:val="24"/>
                <w:highlight w:val="none"/>
              </w:rPr>
              <w:t>政务网</w:t>
            </w:r>
            <w:r>
              <w:rPr>
                <w:rFonts w:hint="eastAsia" w:ascii="宋体" w:hAnsi="宋体" w:cs="宋体"/>
                <w:color w:val="000000" w:themeColor="text1"/>
                <w:sz w:val="24"/>
                <w:highlight w:val="none"/>
                <w14:textFill>
                  <w14:solidFill>
                    <w14:schemeClr w14:val="tx1"/>
                  </w14:solidFill>
                </w14:textFill>
              </w:rPr>
              <w:t>安全分析报告》</w:t>
            </w:r>
            <w:r>
              <w:rPr>
                <w:rFonts w:hint="eastAsia" w:ascii="宋体" w:hAnsi="宋体" w:cs="宋体"/>
                <w:sz w:val="24"/>
                <w:highlight w:val="none"/>
              </w:rPr>
              <w:t>（按季度提供）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2"/>
          </w:tcPr>
          <w:p>
            <w:pPr>
              <w:spacing w:line="420" w:lineRule="exact"/>
              <w:ind w:firstLine="482" w:firstLineChars="200"/>
              <w:rPr>
                <w:rFonts w:ascii="宋体" w:hAnsi="宋体" w:cs="宋体"/>
                <w:b/>
                <w:sz w:val="24"/>
                <w:highlight w:val="none"/>
              </w:rPr>
            </w:pPr>
            <w:r>
              <w:rPr>
                <w:rFonts w:hint="eastAsia" w:ascii="宋体" w:hAnsi="宋体" w:cs="宋体"/>
                <w:b/>
                <w:bCs/>
                <w:sz w:val="24"/>
                <w:highlight w:val="none"/>
              </w:rPr>
              <w:t>5、SaaS化安全服务：</w:t>
            </w:r>
            <w:r>
              <w:rPr>
                <w:rFonts w:hint="eastAsia" w:ascii="宋体" w:hAnsi="宋体" w:cs="宋体"/>
                <w:sz w:val="24"/>
                <w:highlight w:val="none"/>
              </w:rPr>
              <w:t>针对杭州市公安局的政务网业务系统，提供SaaS化安全服务，快速发现业务系统的安全漏洞和安全隐患。SaaS化安全服务采用零部署云防护方案，具备DDoS清洗和云WAF功能；事后采用大数据分析形成可视化报告和统计分析报表；云监测服务实时准确的监测网站服务质量、安全事件、安全漏洞等多个维度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b/>
                <w:sz w:val="24"/>
                <w:highlight w:val="none"/>
              </w:rPr>
            </w:pPr>
            <w:r>
              <w:rPr>
                <w:rFonts w:hint="eastAsia" w:ascii="宋体" w:hAnsi="宋体" w:cs="宋体"/>
                <w:sz w:val="24"/>
                <w:highlight w:val="none"/>
                <w:lang w:eastAsia="zh-Hans"/>
              </w:rPr>
              <w:t>服务内容</w:t>
            </w:r>
          </w:p>
        </w:tc>
        <w:tc>
          <w:tcPr>
            <w:tcW w:w="4186" w:type="pct"/>
          </w:tcPr>
          <w:p>
            <w:pPr>
              <w:spacing w:line="420" w:lineRule="exact"/>
              <w:ind w:firstLine="480" w:firstLineChars="200"/>
              <w:rPr>
                <w:rFonts w:ascii="宋体" w:hAnsi="宋体" w:cs="宋体"/>
                <w:b/>
                <w:sz w:val="24"/>
                <w:highlight w:val="none"/>
              </w:rPr>
            </w:pPr>
            <w:r>
              <w:rPr>
                <w:rFonts w:hint="eastAsia" w:ascii="宋体" w:hAnsi="宋体" w:cs="宋体"/>
                <w:sz w:val="24"/>
                <w:highlight w:val="none"/>
              </w:rPr>
              <w:t>提供不超过10个主域名的云防护服务（每个主域名+10个子域名）；提供不超过10个主域名的云监测服务。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b/>
                <w:sz w:val="24"/>
                <w:highlight w:val="none"/>
              </w:rPr>
            </w:pPr>
            <w:r>
              <w:rPr>
                <w:rFonts w:hint="eastAsia" w:ascii="宋体" w:hAnsi="宋体" w:cs="宋体"/>
                <w:sz w:val="24"/>
                <w:highlight w:val="none"/>
                <w:lang w:eastAsia="zh-Hans"/>
              </w:rPr>
              <w:t>服务要求</w:t>
            </w:r>
          </w:p>
        </w:tc>
        <w:tc>
          <w:tcPr>
            <w:tcW w:w="4186" w:type="pct"/>
          </w:tcPr>
          <w:p>
            <w:pPr>
              <w:spacing w:line="360" w:lineRule="auto"/>
              <w:ind w:firstLine="480" w:firstLineChars="200"/>
              <w:rPr>
                <w:rFonts w:ascii="宋体" w:hAnsi="宋体" w:cs="宋体"/>
                <w:sz w:val="24"/>
                <w:highlight w:val="none"/>
              </w:rPr>
            </w:pPr>
            <w:r>
              <w:rPr>
                <w:rFonts w:hint="eastAsia" w:ascii="宋体" w:hAnsi="宋体" w:cs="宋体"/>
                <w:sz w:val="24"/>
                <w:highlight w:val="none"/>
              </w:rPr>
              <w:t>一、云防护服务要求：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1、系统基于云化SaaS架构，无需消耗虚拟机资源或本地物理资源，通过云端服务平台完成站点管理，为用户提供云防护服务。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2、支持检查提交的报文是否符合HTTP协议框架，如异常的请求方法、特殊字符、重点字段的缺失、超长报文造成的溢出攻击以及对高危文件的访问等。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3、支持流量监测的功能，基于用户的访问记录，实时检查被访问页面的安全状况，能够发现更深层次的暗链、Webshell等安全事件。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4、日志采集能力：可通过接收协议限制日志接收速率，包括Http接收、syslog接收、SNMPtrap接收、TCP接收、WMI接收、aliyun接收。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5、支持提供攻击防护安全策略，支持对命令注入（包括SQL注入、SQL盲注、代码注入等）、跨站脚本、SSI指令、路径穿越、远程文件包含、WebShell防护。</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6、支持通过微信公众号查看网站整体防护态势，包含受攻击域名排行、攻击类型排行、攻击IP排行、攻击区域分布等状态信息。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具有云端7*24远程安全专家服务能力，提供7*24小时安全值守和应急响应服务。提供策略优化、配置调整、规则更新、问题处理、技术咨询安全事件通告等常规技术支持服务，实时监测感知持续性攻击、0day攻击等事件，并及时响应和对抗，同时在重大节会期间提供更高级别的安全响应服务。</w:t>
            </w:r>
          </w:p>
          <w:p>
            <w:pPr>
              <w:spacing w:line="360" w:lineRule="auto"/>
              <w:ind w:firstLine="480" w:firstLineChars="200"/>
              <w:rPr>
                <w:rFonts w:ascii="宋体" w:hAnsi="宋体" w:cs="宋体"/>
                <w:highlight w:val="none"/>
              </w:rPr>
            </w:pPr>
            <w:r>
              <w:rPr>
                <w:rFonts w:hint="eastAsia" w:ascii="宋体" w:hAnsi="宋体" w:cs="宋体"/>
                <w:sz w:val="24"/>
                <w:highlight w:val="none"/>
              </w:rPr>
              <w:t>二、云监测服务要求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1、全国范围内具备至少20个云监测服务节点。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2、支持大规模漏洞扫描服务能力，云端扫描引擎支持横向扩容，单个扫描任务扫描网站数量可达一万个以上。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3、支持按需提供周期性的网站安全云监测服务报告，报告应能对网站安全运行状况、漏洞情况、安全事件情况进行分析，并提供相应的修复建议以指导用户完成问题处置。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4、支持通过微信公众号实时了解用户名下站点的安全状态，展示漏洞威胁、安全事件和网站可用性相关监测数据。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5、支持通过短信、邮件方式向用户推送相关告警，告警类型包括网站服务质量不佳、安全事件告警、漏洞威胁告警。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b/>
                <w:sz w:val="24"/>
                <w:highlight w:val="none"/>
              </w:rPr>
            </w:pPr>
            <w:r>
              <w:rPr>
                <w:rFonts w:hint="eastAsia" w:ascii="宋体" w:hAnsi="宋体" w:cs="宋体"/>
                <w:sz w:val="24"/>
                <w:highlight w:val="none"/>
                <w:lang w:eastAsia="zh-Hans"/>
              </w:rPr>
              <w:t>交付物</w:t>
            </w:r>
          </w:p>
        </w:tc>
        <w:tc>
          <w:tcPr>
            <w:tcW w:w="4186" w:type="pct"/>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 xml:space="preserve">  </w:t>
            </w:r>
            <w:r>
              <w:rPr>
                <w:rFonts w:hint="eastAsia" w:ascii="宋体" w:hAnsi="宋体" w:cs="宋体"/>
                <w:color w:val="000000"/>
                <w:sz w:val="24"/>
                <w:highlight w:val="none"/>
              </w:rPr>
              <w:t>《政务网业务系统安全分析报</w:t>
            </w:r>
            <w:r>
              <w:rPr>
                <w:rFonts w:hint="eastAsia" w:ascii="宋体" w:hAnsi="宋体" w:cs="宋体"/>
                <w:color w:val="000000" w:themeColor="text1"/>
                <w:sz w:val="24"/>
                <w:highlight w:val="none"/>
                <w14:textFill>
                  <w14:solidFill>
                    <w14:schemeClr w14:val="tx1"/>
                  </w14:solidFill>
                </w14:textFill>
              </w:rPr>
              <w:t>告》（按月度提供）</w:t>
            </w:r>
          </w:p>
          <w:p>
            <w:pPr>
              <w:pStyle w:val="2"/>
              <w:autoSpaceDE/>
              <w:autoSpaceDN/>
              <w:ind w:firstLine="240" w:firstLineChars="100"/>
              <w:rPr>
                <w:highlight w:val="none"/>
              </w:rPr>
            </w:pPr>
            <w:r>
              <w:rPr>
                <w:rFonts w:hint="eastAsia" w:hAnsi="宋体" w:cs="宋体"/>
                <w:highlight w:val="none"/>
              </w:rPr>
              <w:t>《</w:t>
            </w:r>
            <w:r>
              <w:rPr>
                <w:rFonts w:hint="eastAsia" w:hAnsi="宋体" w:cs="宋体"/>
                <w:highlight w:val="none"/>
                <w:lang w:val="en-US"/>
              </w:rPr>
              <w:t>网站安全云监测服务报告</w:t>
            </w: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2"/>
          </w:tcPr>
          <w:p>
            <w:pPr>
              <w:spacing w:line="420" w:lineRule="exact"/>
              <w:ind w:firstLine="482" w:firstLineChars="200"/>
              <w:rPr>
                <w:rFonts w:ascii="宋体" w:hAnsi="宋体" w:cs="宋体"/>
                <w:sz w:val="24"/>
                <w:highlight w:val="none"/>
              </w:rPr>
            </w:pPr>
            <w:r>
              <w:rPr>
                <w:rFonts w:hint="eastAsia" w:ascii="宋体" w:hAnsi="宋体" w:cs="宋体"/>
                <w:b/>
                <w:sz w:val="24"/>
                <w:highlight w:val="none"/>
              </w:rPr>
              <w:t>6、公安网安全风险感知服务：</w:t>
            </w:r>
            <w:r>
              <w:rPr>
                <w:rFonts w:hint="eastAsia" w:ascii="宋体" w:hAnsi="宋体" w:cs="宋体"/>
                <w:sz w:val="24"/>
                <w:highlight w:val="none"/>
              </w:rPr>
              <w:t>用于强化杭州市公安局公安网安全风险感知能力。提供针对公安网的资产感知、安全基线、漏洞发现、弱口令检测、全流量威胁识别、大知攻击识别、主机安全监测与加固、白名单策略、主机层攻击链可视服务。通过网络流量镜像的方式进行采集并还原，提供流量资源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服务内容</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提供不少于8次的安全风险感知服务支持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服务要求</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该服务需要提供以下的服务要求支持：</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1、网络协议还原：对常见协议识别并还原网络流量，用于取证分析、威胁发现，支持：http、dns、smtp、pop3、imap、webmail、DB2、Oracle、MySQL、sql server、Sybase、SMB、FTP、SNMP、telnet、nfs等。</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2、文件协议还原:对流量中出现文件传输行为进行发现和还原，并记录文件MD5发送至分析设备，如可执行文件（EXE、DLL、OCX、SYS、COM、apk等）、压缩格式文件（RAR、ZIP、GZ、7Z等）、文档类型文件（word、excel、pdf、rtf、ppt等）。</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3、数据库协议还原：对常见数据库协议的识别或还原：DB2、Oracle、SQL Server、MySQL、PostgreSQL等协议。</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4、会话流量还原：对TCP/UDP会话记录、异常流量会话记录、web访问记录、域名解析、SQL访问记录、邮件行为、登录情况、文件传输、FTP控制通道、SSL加密协商、telnet行为、IM通信等行为描述。</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5、自定义协议还原：支持自定义协议和端口，满足特殊场景下的流量抓取。</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6、攻击检测支持：支持暴力破解检测、Web攻击检测、网络攻击检测</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7、攻击态势：提供全网攻击发现服务，并以态势大屏展现，包括整体网络风险指数、告警总数、攻击次数、攻击IP数、攻击源国家/地区TOP5、攻击态势，并支持自动翻转的攻击全景地图展示。</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8、告警分析：对告警进行深度行为分析，行为包括DNS解析行为、TCP/UDP交互行为、WEB访问行为、传输文件行为。</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9、威胁分析：对告警从威胁情报、应用安全、系统安全和设备安全的业务场景维度进行二次分析。应用安全的细分维度包括：WEB安全、数据库安全、邮件安全、中间件安全。系统安全的细分维度包括：主机爆破、弱口令、未授权行为、挖矿行为。</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10、脆弱性分析：对全网脆弱性问题进行发现，为保证服务效果，服务厂商需拥有全国性的漏洞响应平台，累计发现10万个以上漏洞。</w:t>
            </w:r>
          </w:p>
          <w:p>
            <w:pPr>
              <w:pStyle w:val="25"/>
              <w:spacing w:line="420" w:lineRule="exact"/>
              <w:rPr>
                <w:rFonts w:cs="宋体"/>
                <w:highlight w:val="none"/>
              </w:rPr>
            </w:pPr>
            <w:r>
              <w:rPr>
                <w:rFonts w:hint="eastAsia" w:cs="宋体"/>
                <w:highlight w:val="none"/>
              </w:rPr>
              <w:t>11、产品应以可视化方式提供指定时间段内：被监测网络中的特定主机与其他主机之间的相关联的已知、未知威胁事件与异常网络行为；被监测网络中指定威胁事件影响的主机以及相关联的其他威胁事件与异常网络行为；被监测网络中异常网络行为相关的主机和威胁事件；产品应可以采用智能化和自动化方式将多个相关联和类似的攻击时间进行归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交付物</w:t>
            </w:r>
          </w:p>
        </w:tc>
        <w:tc>
          <w:tcPr>
            <w:tcW w:w="4186" w:type="pct"/>
          </w:tcPr>
          <w:p>
            <w:pPr>
              <w:spacing w:line="420" w:lineRule="exact"/>
              <w:rPr>
                <w:rFonts w:ascii="宋体" w:hAnsi="宋体" w:cs="宋体"/>
                <w:sz w:val="24"/>
                <w:highlight w:val="none"/>
              </w:rPr>
            </w:pPr>
            <w:r>
              <w:rPr>
                <w:rFonts w:hint="eastAsia" w:ascii="宋体" w:hAnsi="宋体" w:cs="宋体"/>
                <w:sz w:val="24"/>
                <w:highlight w:val="none"/>
              </w:rPr>
              <w:t xml:space="preserve">  《公安网安全风险感知服务分析报告》（按实际需求提供）</w:t>
            </w:r>
          </w:p>
          <w:p>
            <w:pPr>
              <w:spacing w:line="420" w:lineRule="exact"/>
              <w:ind w:firstLine="480" w:firstLineChars="20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2"/>
          </w:tcPr>
          <w:p>
            <w:pPr>
              <w:spacing w:line="420" w:lineRule="exact"/>
              <w:ind w:firstLine="482" w:firstLineChars="200"/>
              <w:rPr>
                <w:rFonts w:ascii="宋体" w:hAnsi="宋体" w:cs="宋体"/>
                <w:sz w:val="24"/>
                <w:highlight w:val="none"/>
              </w:rPr>
            </w:pPr>
            <w:r>
              <w:rPr>
                <w:rFonts w:hint="eastAsia" w:ascii="宋体" w:hAnsi="宋体" w:cs="宋体"/>
                <w:b/>
                <w:sz w:val="24"/>
                <w:highlight w:val="none"/>
              </w:rPr>
              <w:t>7、公安网桌面云服务：</w:t>
            </w:r>
            <w:r>
              <w:rPr>
                <w:rFonts w:hint="eastAsia" w:ascii="宋体" w:hAnsi="宋体" w:cs="宋体"/>
                <w:sz w:val="24"/>
                <w:highlight w:val="none"/>
              </w:rPr>
              <w:t>为保障杭州市公安局公安网访问过程安全可靠，有效防范数据泄露事件发生。通过桌面云技术提供公安日常办公，合作企业人员运维，需要实现分散部署、统一管理、提高运维效率，并通过数据不落地和多维度安全机制，保障访问过程安全可靠。通过超融合技术实现服务器的计算资源、存储资源、网络、安全的虚拟化，并通过容器技术承载本地公安业务系统和数据库，并提供业务网络主页微服务，实现业务系统的安全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服务内容</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因服务要求，公安网桌面云服务需提供瘦终端设备和桌面云授权。</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1、提供不低于300点云桌面授权，不低于35台瘦终端。</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2、平均每个人员使用的资源不低于2核8G内存和300G磁盘空间。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服务要求</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该服务需要提供以下的服务要求支持：</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1、VDI授权类型：每用户授权支持发布个性化桌面、共享式桌面、虚拟应用3种资源类型。</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2、公安办公软件兼容：可适配杭州市公安局公安日常办公软件，支持公安数据证书，流畅打开公安业务系统，并且可进行视频监控流畅的调阅。为保障国产化办公需要，要求支持两种以上的Linux虚拟桌面操作系统，其中要包含国产Linux操作系统；为满足日后国产化需求，要求提供银河麒麟的兼容性认证报告。</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3、自助快照恢复：当用户自己误操作导致云桌面卡慢、蓝屏、死机或者中病毒的时候，用户通过导航条按钮，可以自助进行系统盘快照还原操作。</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4、云桌面连接可靠性：客户端连接虚拟桌面无需依赖虚拟机IP，在虚拟机网卡被禁用或被更改IP的情况下，云桌面业务不会中断，可防止因误操作而导致连接中断。</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5、身份认证:多认证方式随需组合，包括账号密码、usb-key认证、短信认证、硬件特征绑定、动态口令等。</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6、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7、内置应用管控技术：管理组件实现全方位云桌面管控，可通过黑名单或白名单实现对禁止指定应用、进程的运行或只允许白名单内的应用、进程运行。</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8、资产调研分配：配合甲方进行桌面云资产调研和分配，每周针对桌面云至少开展一次巡检服务，实时掌握桌面云使用情况。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交付物</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《桌面云月度服务报告》（按月度提供）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000" w:type="pct"/>
            <w:gridSpan w:val="2"/>
          </w:tcPr>
          <w:p>
            <w:pPr>
              <w:spacing w:line="420" w:lineRule="exact"/>
              <w:ind w:firstLine="482" w:firstLineChars="200"/>
              <w:rPr>
                <w:rFonts w:ascii="宋体" w:hAnsi="宋体" w:cs="宋体"/>
                <w:sz w:val="24"/>
                <w:highlight w:val="none"/>
              </w:rPr>
            </w:pPr>
            <w:r>
              <w:rPr>
                <w:rFonts w:hint="eastAsia" w:ascii="宋体" w:hAnsi="宋体" w:cs="宋体"/>
                <w:b/>
                <w:sz w:val="24"/>
                <w:highlight w:val="none"/>
              </w:rPr>
              <w:t>8、公安网一机两用服务：</w:t>
            </w:r>
            <w:r>
              <w:rPr>
                <w:rFonts w:hint="eastAsia" w:ascii="宋体" w:hAnsi="宋体" w:cs="宋体"/>
                <w:sz w:val="24"/>
                <w:highlight w:val="none"/>
              </w:rPr>
              <w:t>针对杭州市公安局</w:t>
            </w:r>
            <w:r>
              <w:rPr>
                <w:rFonts w:hint="eastAsia" w:ascii="宋体" w:hAnsi="宋体" w:cs="宋体"/>
                <w:sz w:val="24"/>
                <w:highlight w:val="none"/>
                <w:lang w:eastAsia="zh-Hans"/>
              </w:rPr>
              <w:t>“一机两用”监控系统</w:t>
            </w:r>
            <w:r>
              <w:rPr>
                <w:rFonts w:hint="eastAsia" w:ascii="宋体" w:hAnsi="宋体" w:cs="宋体"/>
                <w:sz w:val="24"/>
                <w:highlight w:val="none"/>
              </w:rPr>
              <w:t>的稳定运行提供对应保障服务。提供对服务器漏洞扫描的准确性确认、对</w:t>
            </w:r>
            <w:r>
              <w:rPr>
                <w:rFonts w:hint="eastAsia" w:ascii="宋体" w:hAnsi="宋体" w:cs="宋体"/>
                <w:sz w:val="24"/>
                <w:highlight w:val="none"/>
                <w:lang w:eastAsia="zh-Hans"/>
              </w:rPr>
              <w:t>监控系统补丁下载率、防病毒软件覆盖率</w:t>
            </w:r>
            <w:r>
              <w:rPr>
                <w:rFonts w:hint="eastAsia" w:ascii="宋体" w:hAnsi="宋体" w:cs="宋体"/>
                <w:sz w:val="24"/>
                <w:highlight w:val="none"/>
              </w:rPr>
              <w:t>等数据的统计。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服务内容</w:t>
            </w:r>
          </w:p>
        </w:tc>
        <w:tc>
          <w:tcPr>
            <w:tcW w:w="4186" w:type="pct"/>
          </w:tcPr>
          <w:p>
            <w:pPr>
              <w:spacing w:line="420" w:lineRule="exact"/>
              <w:ind w:firstLine="480" w:firstLineChars="200"/>
              <w:rPr>
                <w:rFonts w:ascii="宋体" w:hAnsi="宋体" w:cs="宋体"/>
                <w:sz w:val="24"/>
                <w:highlight w:val="none"/>
                <w:lang w:eastAsia="zh-Hans"/>
              </w:rPr>
            </w:pPr>
            <w:r>
              <w:rPr>
                <w:rFonts w:hint="eastAsia" w:ascii="宋体" w:hAnsi="宋体" w:cs="宋体"/>
                <w:sz w:val="24"/>
                <w:highlight w:val="none"/>
                <w:lang w:eastAsia="zh-Hans"/>
              </w:rPr>
              <w:t>1、定期巡检服务，为杭州市公安局“一机两用”监控系统提供每月一次的巡检服务。</w:t>
            </w:r>
          </w:p>
          <w:p>
            <w:pPr>
              <w:spacing w:line="420" w:lineRule="exact"/>
              <w:ind w:firstLine="480" w:firstLineChars="200"/>
              <w:rPr>
                <w:rFonts w:ascii="宋体" w:hAnsi="宋体" w:cs="宋体"/>
                <w:sz w:val="24"/>
                <w:highlight w:val="none"/>
                <w:lang w:eastAsia="zh-Hans"/>
              </w:rPr>
            </w:pPr>
            <w:r>
              <w:rPr>
                <w:rFonts w:hint="eastAsia" w:ascii="宋体" w:hAnsi="宋体" w:cs="宋体"/>
                <w:sz w:val="24"/>
                <w:highlight w:val="none"/>
                <w:lang w:eastAsia="zh-Hans"/>
              </w:rPr>
              <w:t>2、技术支持服务，每月10日至20日使用专用工具对服务器列表进行清理，确保每月服务器漏洞扫描工作的准确性；每月20日至下月10日，使用专用工具对杭州市公安局“一机两用”监控系统注册率、“一机两用”监控系统补丁下载率、防病毒软件覆盖率等公安部考核数据进行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服务要求</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产品升级服务:及时为甲方“一机两用”监控系统进行版本维护、升级，并为现场升级提供建议方案，协助做好产品的升级工作。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3" w:type="pct"/>
          </w:tcPr>
          <w:p>
            <w:pPr>
              <w:spacing w:line="420" w:lineRule="exact"/>
              <w:rPr>
                <w:rFonts w:ascii="宋体" w:hAnsi="宋体" w:cs="宋体"/>
                <w:sz w:val="24"/>
                <w:highlight w:val="none"/>
              </w:rPr>
            </w:pPr>
            <w:r>
              <w:rPr>
                <w:rFonts w:hint="eastAsia" w:ascii="宋体" w:hAnsi="宋体" w:cs="宋体"/>
                <w:sz w:val="24"/>
                <w:highlight w:val="none"/>
              </w:rPr>
              <w:t>交付物</w:t>
            </w:r>
          </w:p>
        </w:tc>
        <w:tc>
          <w:tcPr>
            <w:tcW w:w="4186" w:type="pct"/>
          </w:tcPr>
          <w:p>
            <w:pPr>
              <w:spacing w:line="360" w:lineRule="auto"/>
              <w:ind w:firstLine="480" w:firstLineChars="200"/>
              <w:rPr>
                <w:rFonts w:ascii="宋体" w:hAnsi="宋体" w:cs="宋体"/>
                <w:sz w:val="24"/>
                <w:highlight w:val="none"/>
              </w:rPr>
            </w:pPr>
            <w:r>
              <w:rPr>
                <w:rFonts w:hint="eastAsia" w:ascii="宋体" w:hAnsi="宋体" w:cs="宋体"/>
                <w:sz w:val="24"/>
                <w:highlight w:val="none"/>
              </w:rPr>
              <w:t>《一机两用巡检服务报告》（按月度提供）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《一机两用年度维保总结报告》</w:t>
            </w:r>
          </w:p>
          <w:p>
            <w:pPr>
              <w:pStyle w:val="2"/>
              <w:autoSpaceDE/>
              <w:autoSpaceDN/>
              <w:ind w:firstLine="480" w:firstLineChars="200"/>
              <w:rPr>
                <w:highlight w:val="none"/>
              </w:rPr>
            </w:pPr>
            <w:r>
              <w:rPr>
                <w:rFonts w:hint="eastAsia" w:hAnsi="宋体" w:cs="宋体"/>
                <w:highlight w:val="none"/>
              </w:rPr>
              <w:t>《</w:t>
            </w:r>
            <w:r>
              <w:rPr>
                <w:rFonts w:hint="eastAsia" w:hAnsi="宋体" w:cs="宋体"/>
                <w:highlight w:val="none"/>
                <w:lang w:val="en-US"/>
              </w:rPr>
              <w:t>考核技术支持服务报告</w:t>
            </w: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2"/>
          </w:tcPr>
          <w:p>
            <w:pPr>
              <w:spacing w:line="420" w:lineRule="exact"/>
              <w:ind w:firstLine="482" w:firstLineChars="200"/>
              <w:rPr>
                <w:rFonts w:ascii="宋体" w:hAnsi="宋体" w:cs="宋体"/>
                <w:sz w:val="24"/>
                <w:highlight w:val="none"/>
              </w:rPr>
            </w:pPr>
            <w:r>
              <w:rPr>
                <w:rFonts w:hint="eastAsia" w:ascii="宋体" w:hAnsi="宋体" w:cs="宋体"/>
                <w:b/>
                <w:sz w:val="24"/>
                <w:highlight w:val="none"/>
              </w:rPr>
              <w:t>9、视频网终端杀毒服务：</w:t>
            </w:r>
            <w:r>
              <w:rPr>
                <w:rFonts w:hint="eastAsia" w:ascii="宋体" w:hAnsi="宋体" w:cs="宋体"/>
                <w:sz w:val="24"/>
                <w:highlight w:val="none"/>
              </w:rPr>
              <w:t>针对杭州市公安局视频专网终端进行病毒、木马、恶意软件等进查杀，提供主动防御、补丁管理功能。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服务内容</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因服务要求，视频网终端杀毒服务需提供PC终端和服务器授权。</w:t>
            </w:r>
          </w:p>
          <w:p>
            <w:pPr>
              <w:spacing w:line="420" w:lineRule="exact"/>
              <w:ind w:firstLine="480" w:firstLineChars="200"/>
              <w:rPr>
                <w:rFonts w:ascii="宋体" w:hAnsi="宋体" w:cs="宋体"/>
                <w:sz w:val="24"/>
                <w:highlight w:val="none"/>
                <w:lang w:eastAsia="zh-Hans"/>
              </w:rPr>
            </w:pPr>
            <w:r>
              <w:rPr>
                <w:rFonts w:hint="eastAsia" w:ascii="宋体" w:hAnsi="宋体" w:cs="宋体"/>
                <w:sz w:val="24"/>
                <w:highlight w:val="none"/>
              </w:rPr>
              <w:t>提供不少于1500点PC终端和250点服务器授权。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服务要求</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该服务需要提供以下的服务要求支持：</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1、国产化杀毒：针对中标麒麟/银河麒麟/普华/深度操作系统进行病毒查杀。</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2、终端资产梳理统计：对终端PC信息进行收集，包括终端的硬件、软件、操作系统、网络、进程等信息。对接入视频网的PC终端进行统计，统计子网地址段地址使用率，显示地址段范围、大小、网关、已用数、可用数、已安装终端等信息。实时掌握终端杀毒软件的部署状态和运行情况。</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3、病毒库更新：采用杀毒工具支持与浙江省公安厅杀毒软件级联，实时同步病毒库以及杀毒策略。</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4、病毒查杀：要求通过多种杀毒引擎进行查杀，对恶意代码进行有效检测和识别，对已知、未知病毒、病毒变种提供全面检测、拦截和清除能力。提供至少两种杀毒引擎软件著作权。</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5、终端立体防护：对PC终端提供立体防护服务，包含浏览器防护，系统防护，入口防护和隔离防护。</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6、文件系统防护和访问控制：对所有文件或者程序及文档进行实时监控，提供对终端操作系统之间东西流量访问控制服务，包括基于数据包流向（任意/流入/流出）、协议（TCP/UDP/ICMP/TCP+UDP）、端口和IP的访问控制。</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7、攻击拦截：能够实时检测和拦截攻击行为，包括改写系统关键文件、修改注册表关键键值、感染移动存储介质。支持U盘等移动磁盘设备和电脑硬盘间文件传输检测；支持局域网共享文件传输检测。</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8、黑白名单扫描：支持文件、目录和数字签名自定义黑白名单的方式来管理全网终端的文件。</w:t>
            </w:r>
          </w:p>
          <w:p>
            <w:pPr>
              <w:pStyle w:val="25"/>
              <w:spacing w:line="420" w:lineRule="exact"/>
              <w:rPr>
                <w:rFonts w:cs="宋体"/>
                <w:highlight w:val="none"/>
              </w:rPr>
            </w:pPr>
            <w:r>
              <w:rPr>
                <w:rFonts w:hint="eastAsia" w:cs="宋体"/>
                <w:highlight w:val="none"/>
              </w:rPr>
              <w:t>9、控制中心支持级联管理，可支持与浙江省公安厅视频专网终端防病毒控制中心级联。</w:t>
            </w:r>
          </w:p>
          <w:p>
            <w:pPr>
              <w:pStyle w:val="25"/>
              <w:spacing w:line="420" w:lineRule="exact"/>
              <w:rPr>
                <w:rFonts w:cs="宋体"/>
                <w:highlight w:val="none"/>
              </w:rPr>
            </w:pPr>
            <w:r>
              <w:rPr>
                <w:rFonts w:hint="eastAsia" w:cs="宋体"/>
                <w:highlight w:val="none"/>
              </w:rPr>
              <w:t>10、对敲诈者病毒提供专有的防护功能。</w:t>
            </w:r>
          </w:p>
          <w:p>
            <w:pPr>
              <w:pStyle w:val="25"/>
              <w:spacing w:line="420" w:lineRule="exact"/>
              <w:rPr>
                <w:rFonts w:cs="宋体"/>
                <w:highlight w:val="none"/>
              </w:rPr>
            </w:pPr>
            <w:r>
              <w:rPr>
                <w:rFonts w:hint="eastAsia" w:cs="宋体"/>
                <w:highlight w:val="none"/>
              </w:rPr>
              <w:t>11、支持按CVE编号查询漏洞，支持按KB号查询漏洞，管理员可快速关注高危漏洞，查看漏洞修复情况，如果还有未修复的终端则可立即下发修复任务</w:t>
            </w:r>
          </w:p>
          <w:p>
            <w:pPr>
              <w:pStyle w:val="25"/>
              <w:spacing w:line="420" w:lineRule="exact"/>
              <w:rPr>
                <w:rFonts w:cs="宋体"/>
                <w:highlight w:val="none"/>
              </w:rPr>
            </w:pPr>
            <w:r>
              <w:rPr>
                <w:rFonts w:hint="eastAsia" w:cs="宋体"/>
                <w:highlight w:val="none"/>
              </w:rPr>
              <w:t>12、简化补丁运维工作，支持补丁灰度发布，支持设置对特定分组优先进行补丁分发，自定义测试一段时间后再全网升级，实现补丁自动化运维。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交付物</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《终端杀毒服务月度报告》（按月度提供）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2"/>
          </w:tcPr>
          <w:p>
            <w:pPr>
              <w:spacing w:line="420" w:lineRule="exact"/>
              <w:ind w:firstLine="482" w:firstLineChars="200"/>
              <w:rPr>
                <w:rFonts w:ascii="宋体" w:hAnsi="宋体" w:cs="宋体"/>
                <w:sz w:val="24"/>
                <w:highlight w:val="none"/>
                <w:lang w:eastAsia="zh-Hans"/>
              </w:rPr>
            </w:pPr>
            <w:r>
              <w:rPr>
                <w:rFonts w:hint="eastAsia" w:ascii="宋体" w:hAnsi="宋体" w:cs="宋体"/>
                <w:b/>
                <w:sz w:val="24"/>
                <w:highlight w:val="none"/>
              </w:rPr>
              <w:t>10、系统安全检测：</w:t>
            </w:r>
            <w:r>
              <w:rPr>
                <w:rFonts w:hint="eastAsia" w:ascii="宋体" w:hAnsi="宋体" w:cs="宋体"/>
                <w:sz w:val="24"/>
                <w:highlight w:val="none"/>
              </w:rPr>
              <w:t>针对公安信息系统开展安全性测试和整体安全评估。模拟黑客使用的工具、分析方法对信息系统、网站等进行非破坏性质的攻击性测试，由工程师进行深入的手工测试和分析，识别工具弱点扫描无法发现的问题，发现存在的安全漏洞，输出测试报告，针对性提出加固建议，作为漏洞修复和加固整改的参考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服务内容</w:t>
            </w:r>
          </w:p>
        </w:tc>
        <w:tc>
          <w:tcPr>
            <w:tcW w:w="4186" w:type="pct"/>
          </w:tcPr>
          <w:p>
            <w:pPr>
              <w:spacing w:line="420" w:lineRule="exact"/>
              <w:ind w:firstLine="601"/>
              <w:rPr>
                <w:rFonts w:ascii="宋体" w:hAnsi="宋体" w:cs="宋体"/>
                <w:sz w:val="24"/>
                <w:highlight w:val="none"/>
                <w:lang w:eastAsia="zh-Hans"/>
              </w:rPr>
            </w:pPr>
            <w:r>
              <w:rPr>
                <w:rFonts w:hint="eastAsia" w:ascii="宋体" w:hAnsi="宋体" w:cs="宋体"/>
                <w:sz w:val="24"/>
                <w:highlight w:val="none"/>
              </w:rPr>
              <w:t>不少于6次系统安全检测。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服务要求</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1、安全架构评估：首先对公安信息系统进行系统分析，分析其网络架构，软件体系以及程序部署等，然后再对新上线系统做系统安全分析，在这之后对系统进行安全建模，明确系统可能来自的各个潜在威胁，之后剖析系统，确认有哪些攻击界面，依次进行安全测试。</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2、系统漏洞扫描：采用具有自主知识产权的漏洞扫描工具对服务范围内各种软硬件设备进行网络层、系统层、数据库、应用层面的扫描与分析，并对具体漏洞提出解决方案。</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3、安全配置检查：根据既定的检查规范及方法，采用人工检查用表（checklist）、脚本程序或基线扫描工具对信息系统中的主机系统、数据库与网络设备的脆弱性进行分析。</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4、应用安全扫描：采用web应用漏洞扫描工具，通过定制的扫描规则，形成安全扫描策略文档，对指定网站进行自动化安全扫描，人工验证扫描结果输出安全扫描报告及修复建议。</w:t>
            </w:r>
          </w:p>
          <w:p>
            <w:pPr>
              <w:spacing w:line="420" w:lineRule="exact"/>
              <w:ind w:firstLine="480" w:firstLineChars="200"/>
              <w:rPr>
                <w:rFonts w:ascii="宋体" w:hAnsi="宋体" w:cs="宋体"/>
                <w:sz w:val="24"/>
                <w:highlight w:val="none"/>
                <w:lang w:eastAsia="zh-Hans"/>
              </w:rPr>
            </w:pPr>
            <w:r>
              <w:rPr>
                <w:rFonts w:hint="eastAsia" w:ascii="宋体" w:hAnsi="宋体" w:cs="宋体"/>
                <w:sz w:val="24"/>
                <w:highlight w:val="none"/>
              </w:rPr>
              <w:t>5、渗透测试：模拟黑客的攻击方法对系统和网络进行非破坏性质的攻击性测试，通过侵入系统，获取系统控制权并将入侵的过程和细节生成报告进行提交，由此检验系统所存在的安全威胁和风险，并能及时提醒安全管理员完善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交付物</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《系统安全检测总结报告》（按实际需求提供）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2"/>
          </w:tcPr>
          <w:p>
            <w:pPr>
              <w:spacing w:line="420" w:lineRule="exact"/>
              <w:ind w:firstLine="482" w:firstLineChars="200"/>
              <w:rPr>
                <w:rFonts w:ascii="宋体" w:hAnsi="宋体" w:cs="宋体"/>
                <w:sz w:val="24"/>
                <w:highlight w:val="none"/>
              </w:rPr>
            </w:pPr>
            <w:r>
              <w:rPr>
                <w:rFonts w:hint="eastAsia" w:ascii="宋体" w:hAnsi="宋体" w:cs="宋体"/>
                <w:b/>
                <w:bCs/>
                <w:sz w:val="24"/>
                <w:highlight w:val="none"/>
              </w:rPr>
              <w:t>11、网络安全检查：</w:t>
            </w:r>
            <w:r>
              <w:rPr>
                <w:rFonts w:hint="eastAsia" w:ascii="宋体" w:hAnsi="宋体" w:cs="宋体"/>
                <w:sz w:val="24"/>
                <w:highlight w:val="none"/>
              </w:rPr>
              <w:t>在上级网络安全监管部门对杭州市局范围内开展网络安全检查、护网行动等工作前，配合甲方从安全技术、管理和运营等多个维度着手针对全市各警种、区县分局的公安业务系统开展安全检查、协助整改，完善网络安全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服务内容</w:t>
            </w:r>
          </w:p>
        </w:tc>
        <w:tc>
          <w:tcPr>
            <w:tcW w:w="4186" w:type="pct"/>
          </w:tcPr>
          <w:p>
            <w:pPr>
              <w:spacing w:line="420" w:lineRule="exact"/>
              <w:ind w:firstLine="601"/>
              <w:rPr>
                <w:rFonts w:ascii="宋体" w:hAnsi="宋体" w:cs="宋体"/>
                <w:sz w:val="24"/>
                <w:highlight w:val="none"/>
                <w:lang w:eastAsia="zh-Hans"/>
              </w:rPr>
            </w:pPr>
            <w:r>
              <w:rPr>
                <w:rFonts w:hint="eastAsia" w:ascii="宋体" w:hAnsi="宋体" w:cs="宋体"/>
                <w:kern w:val="0"/>
                <w:sz w:val="24"/>
                <w:highlight w:val="none"/>
              </w:rPr>
              <w:t>不少于3次网络安全检查。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rPr>
            </w:pPr>
            <w:r>
              <w:rPr>
                <w:rFonts w:hint="eastAsia" w:ascii="宋体" w:hAnsi="宋体" w:cs="宋体"/>
                <w:sz w:val="24"/>
                <w:highlight w:val="none"/>
                <w:lang w:eastAsia="zh-Hans"/>
              </w:rPr>
              <w:t>服务要求</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1、在上级部门开展网络安全检查前，能够配合甲方先行开展安全检查，协助整改完成；</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2、在上级部门开展检查期间提供技术支撑配合、值守保障等；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交付物</w:t>
            </w:r>
          </w:p>
        </w:tc>
        <w:tc>
          <w:tcPr>
            <w:tcW w:w="4186" w:type="pct"/>
          </w:tcPr>
          <w:p>
            <w:pPr>
              <w:spacing w:line="420" w:lineRule="exact"/>
              <w:ind w:firstLine="480" w:firstLineChars="200"/>
              <w:rPr>
                <w:rFonts w:ascii="宋体" w:hAnsi="宋体" w:cs="宋体"/>
                <w:sz w:val="24"/>
                <w:highlight w:val="none"/>
                <w:lang w:eastAsia="zh-Hans"/>
              </w:rPr>
            </w:pPr>
            <w:r>
              <w:rPr>
                <w:rFonts w:hint="eastAsia" w:ascii="宋体" w:hAnsi="宋体" w:cs="宋体"/>
                <w:sz w:val="24"/>
                <w:highlight w:val="none"/>
              </w:rPr>
              <w:t>《网络安全检查总结报告》（按实际需求提供）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2"/>
          </w:tcPr>
          <w:p>
            <w:pPr>
              <w:spacing w:line="420" w:lineRule="exact"/>
              <w:ind w:firstLine="482" w:firstLineChars="200"/>
              <w:rPr>
                <w:rFonts w:ascii="宋体" w:hAnsi="宋体" w:cs="宋体"/>
                <w:sz w:val="24"/>
                <w:highlight w:val="none"/>
              </w:rPr>
            </w:pPr>
            <w:r>
              <w:rPr>
                <w:rFonts w:hint="eastAsia" w:ascii="宋体" w:hAnsi="宋体" w:cs="宋体"/>
                <w:b/>
                <w:bCs/>
                <w:sz w:val="24"/>
                <w:highlight w:val="none"/>
              </w:rPr>
              <w:t>12、重保</w:t>
            </w:r>
            <w:r>
              <w:rPr>
                <w:rFonts w:hint="eastAsia" w:ascii="宋体" w:hAnsi="宋体" w:cs="宋体"/>
                <w:sz w:val="24"/>
                <w:highlight w:val="none"/>
              </w:rPr>
              <w:t>：在重大活动时期，除驻点人员外，需另派遣不少于1名专业工程师驻场值守，对杭州市公安局重要系统进行安全保障。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服务内容</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不少于3次重大活动安全保障。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服务要求</w:t>
            </w:r>
          </w:p>
        </w:tc>
        <w:tc>
          <w:tcPr>
            <w:tcW w:w="4186" w:type="pct"/>
          </w:tcPr>
          <w:p>
            <w:pPr>
              <w:spacing w:line="420" w:lineRule="exact"/>
              <w:ind w:firstLine="480" w:firstLineChars="200"/>
              <w:rPr>
                <w:rFonts w:ascii="宋体" w:hAnsi="宋体" w:cs="宋体"/>
                <w:sz w:val="24"/>
                <w:highlight w:val="none"/>
                <w:lang w:eastAsia="zh-Hans"/>
              </w:rPr>
            </w:pPr>
            <w:r>
              <w:rPr>
                <w:rFonts w:hint="eastAsia" w:ascii="宋体" w:hAnsi="宋体" w:cs="宋体"/>
                <w:sz w:val="24"/>
                <w:highlight w:val="none"/>
              </w:rPr>
              <w:t>针对杭州市公安局重要IT系统资产、包括主机、网络、应用等系统运行维护场景，在项目实施过程中，针对甲方信息安全建设需求，提供相关安全值守，值守工作内容包含但不限于以下内容：信息安全通告、信息安全咨询、对外服务检查、web站点渗透测试、安全漏洞扫描、主机安全检查、业务系统安全监测、安全值守、安全日志分析、应急响应等。针对重大活动安全保障，要求5分钟内电话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交付物</w:t>
            </w:r>
          </w:p>
        </w:tc>
        <w:tc>
          <w:tcPr>
            <w:tcW w:w="4186" w:type="pct"/>
          </w:tcPr>
          <w:p>
            <w:pPr>
              <w:spacing w:line="420" w:lineRule="exact"/>
              <w:ind w:firstLine="480" w:firstLineChars="200"/>
              <w:rPr>
                <w:rFonts w:ascii="宋体" w:hAnsi="宋体" w:cs="宋体"/>
                <w:sz w:val="24"/>
                <w:highlight w:val="none"/>
                <w:lang w:eastAsia="zh-Hans"/>
              </w:rPr>
            </w:pPr>
            <w:r>
              <w:rPr>
                <w:rFonts w:hint="eastAsia" w:ascii="宋体" w:hAnsi="宋体" w:cs="宋体"/>
                <w:sz w:val="24"/>
                <w:highlight w:val="none"/>
              </w:rPr>
              <w:t>《重大活动安全保障总结报告》（按实际需求提供）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000" w:type="pct"/>
            <w:gridSpan w:val="2"/>
          </w:tcPr>
          <w:p>
            <w:pPr>
              <w:spacing w:line="420" w:lineRule="exact"/>
              <w:ind w:firstLine="482" w:firstLineChars="200"/>
              <w:rPr>
                <w:rFonts w:ascii="宋体" w:hAnsi="宋体" w:cs="宋体"/>
                <w:sz w:val="24"/>
                <w:highlight w:val="none"/>
              </w:rPr>
            </w:pPr>
            <w:r>
              <w:rPr>
                <w:rFonts w:hint="eastAsia" w:ascii="宋体" w:hAnsi="宋体" w:cs="宋体"/>
                <w:b/>
                <w:bCs/>
                <w:sz w:val="24"/>
                <w:highlight w:val="none"/>
              </w:rPr>
              <w:t>13、应急响应</w:t>
            </w:r>
            <w:r>
              <w:rPr>
                <w:rFonts w:hint="eastAsia" w:ascii="宋体" w:hAnsi="宋体" w:cs="宋体"/>
                <w:b/>
                <w:sz w:val="24"/>
                <w:highlight w:val="none"/>
              </w:rPr>
              <w:t>：</w:t>
            </w:r>
            <w:r>
              <w:rPr>
                <w:rFonts w:hint="eastAsia" w:ascii="宋体" w:hAnsi="宋体" w:cs="宋体"/>
                <w:sz w:val="24"/>
                <w:highlight w:val="none"/>
              </w:rPr>
              <w:t>发生或可能发生安全事件时，乙方应快速响应并到达现场，协助进行安全事件处理，直到安全事件排除。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服务内容</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1、在服务期内，发生或可能发生安全事件时，乙方应快速响应并到达现场，协助进行安全事件处理，直到安全事件排除。对于影响业务的安全设备故障，在进行故障处理时，应先考虑业务恢复，然后再彻底解决故障。如乙方工程师不能在时限内解决问题，则应调动安全专家协助解决。</w:t>
            </w:r>
          </w:p>
          <w:p>
            <w:pPr>
              <w:spacing w:line="420" w:lineRule="exact"/>
              <w:ind w:firstLine="480" w:firstLineChars="200"/>
              <w:rPr>
                <w:rFonts w:ascii="宋体" w:hAnsi="宋体" w:cs="宋体"/>
                <w:sz w:val="24"/>
                <w:highlight w:val="none"/>
                <w:lang w:eastAsia="zh-Hans"/>
              </w:rPr>
            </w:pPr>
            <w:r>
              <w:rPr>
                <w:rFonts w:hint="eastAsia" w:ascii="宋体" w:hAnsi="宋体" w:cs="宋体"/>
                <w:sz w:val="24"/>
                <w:highlight w:val="none"/>
              </w:rPr>
              <w:t>2、按需提供应急响应服务，不少于8次。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服务要求</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lang w:eastAsia="zh-Hans"/>
              </w:rPr>
              <w:t>1、紧急安全事件应急响应（</w:t>
            </w:r>
            <w:r>
              <w:rPr>
                <w:rFonts w:hint="eastAsia" w:ascii="宋体" w:hAnsi="宋体" w:cs="宋体"/>
                <w:sz w:val="24"/>
                <w:highlight w:val="none"/>
              </w:rPr>
              <w:t>网站被篡改或被攻击，网站被仿冒；某个业务全部瘫痪，重要数据丢失或被篡改，核心网络流量严重异常或瘫痪等）。</w:t>
            </w:r>
            <w:r>
              <w:rPr>
                <w:rFonts w:hint="eastAsia" w:ascii="宋体" w:hAnsi="宋体" w:cs="宋体"/>
                <w:sz w:val="24"/>
                <w:highlight w:val="none"/>
                <w:lang w:eastAsia="zh-Hans"/>
              </w:rPr>
              <w:t>接到电话通知后，必须</w:t>
            </w:r>
            <w:r>
              <w:rPr>
                <w:rFonts w:hint="eastAsia" w:ascii="宋体" w:hAnsi="宋体" w:cs="宋体"/>
                <w:sz w:val="24"/>
                <w:highlight w:val="none"/>
              </w:rPr>
              <w:t>15</w:t>
            </w:r>
            <w:r>
              <w:rPr>
                <w:rFonts w:hint="eastAsia" w:ascii="宋体" w:hAnsi="宋体" w:cs="宋体"/>
                <w:sz w:val="24"/>
                <w:highlight w:val="none"/>
                <w:lang w:eastAsia="zh-Hans"/>
              </w:rPr>
              <w:t>分钟内做出响应，1小时内到达现场。如1小时内无法解决问题，30分钟内</w:t>
            </w:r>
            <w:r>
              <w:rPr>
                <w:rFonts w:hint="eastAsia" w:ascii="宋体" w:hAnsi="宋体" w:cs="宋体"/>
                <w:sz w:val="24"/>
                <w:highlight w:val="none"/>
              </w:rPr>
              <w:t>调动安全专家</w:t>
            </w:r>
            <w:r>
              <w:rPr>
                <w:rFonts w:hint="eastAsia" w:ascii="宋体" w:hAnsi="宋体" w:cs="宋体"/>
                <w:sz w:val="24"/>
                <w:highlight w:val="none"/>
                <w:lang w:eastAsia="zh-Hans"/>
              </w:rPr>
              <w:t>协助解决</w:t>
            </w:r>
            <w:r>
              <w:rPr>
                <w:rFonts w:hint="eastAsia" w:ascii="宋体" w:hAnsi="宋体" w:cs="宋体"/>
                <w:sz w:val="24"/>
                <w:highlight w:val="none"/>
              </w:rPr>
              <w:t>。</w:t>
            </w:r>
          </w:p>
          <w:p>
            <w:pPr>
              <w:spacing w:line="420" w:lineRule="exact"/>
              <w:ind w:firstLine="480" w:firstLineChars="200"/>
              <w:rPr>
                <w:rFonts w:ascii="宋体" w:hAnsi="宋体" w:cs="宋体"/>
                <w:sz w:val="24"/>
                <w:highlight w:val="none"/>
              </w:rPr>
            </w:pPr>
            <w:r>
              <w:rPr>
                <w:rFonts w:hint="eastAsia" w:ascii="宋体" w:hAnsi="宋体" w:cs="宋体"/>
                <w:sz w:val="24"/>
                <w:highlight w:val="none"/>
                <w:lang w:eastAsia="zh-Hans"/>
              </w:rPr>
              <w:t>2、严重安全事件应急响应（</w:t>
            </w:r>
            <w:r>
              <w:rPr>
                <w:rFonts w:hint="eastAsia" w:ascii="宋体" w:hAnsi="宋体" w:cs="宋体"/>
                <w:sz w:val="24"/>
                <w:highlight w:val="none"/>
              </w:rPr>
              <w:t>某个业务部分不可用，某个区域出现流量严重异常或瘫痪，安全设备硬件故障造成网络中断，网站访问速度严重变慢等）。</w:t>
            </w:r>
            <w:r>
              <w:rPr>
                <w:rFonts w:hint="eastAsia" w:ascii="宋体" w:hAnsi="宋体" w:cs="宋体"/>
                <w:sz w:val="24"/>
                <w:highlight w:val="none"/>
                <w:lang w:eastAsia="zh-Hans"/>
              </w:rPr>
              <w:t>接到电话通知后，必须</w:t>
            </w:r>
            <w:r>
              <w:rPr>
                <w:rFonts w:hint="eastAsia" w:ascii="宋体" w:hAnsi="宋体" w:cs="宋体"/>
                <w:sz w:val="24"/>
                <w:highlight w:val="none"/>
              </w:rPr>
              <w:t>15</w:t>
            </w:r>
            <w:r>
              <w:rPr>
                <w:rFonts w:hint="eastAsia" w:ascii="宋体" w:hAnsi="宋体" w:cs="宋体"/>
                <w:sz w:val="24"/>
                <w:highlight w:val="none"/>
                <w:lang w:eastAsia="zh-Hans"/>
              </w:rPr>
              <w:t>分钟内做出响应，2小时内到达现场。如2小时内无法解决问题，1小时内</w:t>
            </w:r>
            <w:r>
              <w:rPr>
                <w:rFonts w:hint="eastAsia" w:ascii="宋体" w:hAnsi="宋体" w:cs="宋体"/>
                <w:sz w:val="24"/>
                <w:highlight w:val="none"/>
              </w:rPr>
              <w:t>调动安全专家</w:t>
            </w:r>
            <w:r>
              <w:rPr>
                <w:rFonts w:hint="eastAsia" w:ascii="宋体" w:hAnsi="宋体" w:cs="宋体"/>
                <w:sz w:val="24"/>
                <w:highlight w:val="none"/>
                <w:lang w:eastAsia="zh-Hans"/>
              </w:rPr>
              <w:t>协助解决</w:t>
            </w:r>
            <w:r>
              <w:rPr>
                <w:rFonts w:hint="eastAsia" w:ascii="宋体" w:hAnsi="宋体" w:cs="宋体"/>
                <w:sz w:val="24"/>
                <w:highlight w:val="none"/>
              </w:rPr>
              <w:t>。</w:t>
            </w:r>
          </w:p>
          <w:p>
            <w:pPr>
              <w:spacing w:line="420" w:lineRule="exact"/>
              <w:ind w:firstLine="480" w:firstLineChars="200"/>
              <w:rPr>
                <w:rFonts w:ascii="宋体" w:hAnsi="宋体" w:cs="宋体"/>
                <w:sz w:val="24"/>
                <w:highlight w:val="none"/>
                <w:lang w:eastAsia="zh-Hans"/>
              </w:rPr>
            </w:pPr>
            <w:r>
              <w:rPr>
                <w:rFonts w:hint="eastAsia" w:ascii="宋体" w:hAnsi="宋体" w:cs="宋体"/>
                <w:sz w:val="24"/>
                <w:highlight w:val="none"/>
                <w:lang w:eastAsia="zh-Hans"/>
              </w:rPr>
              <w:t>3、一般安全事件应急响应（</w:t>
            </w:r>
            <w:r>
              <w:rPr>
                <w:rFonts w:hint="eastAsia" w:ascii="宋体" w:hAnsi="宋体" w:cs="宋体"/>
                <w:sz w:val="24"/>
                <w:highlight w:val="none"/>
              </w:rPr>
              <w:t>业务使用存在异常，某个区域出现流量异常，发现安全漏洞隐患未进行修补的，病毒事件以及其他一般事件）。</w:t>
            </w:r>
            <w:r>
              <w:rPr>
                <w:rFonts w:hint="eastAsia" w:ascii="宋体" w:hAnsi="宋体" w:cs="宋体"/>
                <w:sz w:val="24"/>
                <w:highlight w:val="none"/>
                <w:lang w:eastAsia="zh-Hans"/>
              </w:rPr>
              <w:t>接到电话通知后，必须</w:t>
            </w:r>
            <w:r>
              <w:rPr>
                <w:rFonts w:hint="eastAsia" w:ascii="宋体" w:hAnsi="宋体" w:cs="宋体"/>
                <w:sz w:val="24"/>
                <w:highlight w:val="none"/>
              </w:rPr>
              <w:t>30</w:t>
            </w:r>
            <w:r>
              <w:rPr>
                <w:rFonts w:hint="eastAsia" w:ascii="宋体" w:hAnsi="宋体" w:cs="宋体"/>
                <w:sz w:val="24"/>
                <w:highlight w:val="none"/>
                <w:lang w:eastAsia="zh-Hans"/>
              </w:rPr>
              <w:t>分钟内做出响应，4小时内到达现场。如4小时内无法解决问题，2小时内</w:t>
            </w:r>
            <w:r>
              <w:rPr>
                <w:rFonts w:hint="eastAsia" w:ascii="宋体" w:hAnsi="宋体" w:cs="宋体"/>
                <w:sz w:val="24"/>
                <w:highlight w:val="none"/>
              </w:rPr>
              <w:t>调动安全专家</w:t>
            </w:r>
            <w:r>
              <w:rPr>
                <w:rFonts w:hint="eastAsia" w:ascii="宋体" w:hAnsi="宋体" w:cs="宋体"/>
                <w:sz w:val="24"/>
                <w:highlight w:val="none"/>
                <w:lang w:eastAsia="zh-Hans"/>
              </w:rPr>
              <w:t>协助解决</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交付物</w:t>
            </w:r>
          </w:p>
        </w:tc>
        <w:tc>
          <w:tcPr>
            <w:tcW w:w="4186" w:type="pct"/>
          </w:tcPr>
          <w:p>
            <w:pPr>
              <w:spacing w:line="420" w:lineRule="exact"/>
              <w:rPr>
                <w:rFonts w:ascii="宋体" w:hAnsi="宋体" w:cs="宋体"/>
                <w:sz w:val="24"/>
                <w:highlight w:val="none"/>
              </w:rPr>
            </w:pPr>
            <w:r>
              <w:rPr>
                <w:rFonts w:hint="eastAsia" w:ascii="宋体" w:hAnsi="宋体" w:cs="宋体"/>
                <w:sz w:val="24"/>
                <w:highlight w:val="none"/>
              </w:rPr>
              <w:t>《应急响应报告》（按实际需求提供）</w:t>
            </w:r>
          </w:p>
          <w:p>
            <w:pPr>
              <w:spacing w:line="420" w:lineRule="exact"/>
              <w:rPr>
                <w:rFonts w:ascii="宋体" w:hAnsi="宋体" w:cs="宋体"/>
                <w:sz w:val="24"/>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00" w:type="pct"/>
            <w:gridSpan w:val="2"/>
          </w:tcPr>
          <w:p>
            <w:pPr>
              <w:spacing w:line="420" w:lineRule="exact"/>
              <w:ind w:firstLine="482" w:firstLineChars="200"/>
              <w:rPr>
                <w:rFonts w:ascii="宋体" w:hAnsi="宋体" w:cs="宋体"/>
                <w:sz w:val="24"/>
                <w:highlight w:val="none"/>
              </w:rPr>
            </w:pPr>
            <w:r>
              <w:rPr>
                <w:rFonts w:hint="eastAsia" w:ascii="宋体" w:hAnsi="宋体" w:cs="宋体"/>
                <w:b/>
                <w:sz w:val="24"/>
                <w:highlight w:val="none"/>
              </w:rPr>
              <w:t>14、边界通道租赁服务：</w:t>
            </w:r>
            <w:r>
              <w:rPr>
                <w:rFonts w:hint="eastAsia" w:ascii="宋体" w:hAnsi="宋体" w:cs="宋体"/>
                <w:sz w:val="24"/>
                <w:highlight w:val="none"/>
              </w:rPr>
              <w:t>数据交换前置服务器集群、双单向光闸池和数据交换后置服务器集群，组成3条边界通道，每条边界通道包括数据交换前置服务器、数据交换后置服务器。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服务内容</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因服务要求，边界通道租赁服务需提供通道。</w:t>
            </w:r>
          </w:p>
          <w:p>
            <w:pPr>
              <w:spacing w:line="420" w:lineRule="exact"/>
              <w:ind w:firstLine="480" w:firstLineChars="200"/>
              <w:rPr>
                <w:rFonts w:ascii="宋体" w:hAnsi="宋体" w:cs="宋体"/>
                <w:sz w:val="24"/>
                <w:highlight w:val="none"/>
                <w:lang w:eastAsia="zh-Hans"/>
              </w:rPr>
            </w:pPr>
            <w:r>
              <w:rPr>
                <w:rFonts w:hint="eastAsia" w:ascii="宋体" w:hAnsi="宋体" w:cs="宋体"/>
                <w:sz w:val="24"/>
                <w:highlight w:val="none"/>
              </w:rPr>
              <w:t>共3条通道，每条都为（2+4+2）池化架构或其他架构来确保两侧交换系统及进出各单向2光闸的冗余能力，包含外侧防火墙。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服务要求</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该服务需要提供以下的服务要求支持：</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1、服务性能：吞吐量≥8Gbps；数据库同步速率（1KB）≥12000条/秒；FTP文件同步速率（40KB）≥2600个/秒；消息同步速率（1KB）≥7000个/秒；传输时延≤50ms。</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2、技术架构：支持集群化扩展，无需独立集群管理节点，具备集群节点并行交换、负载均衡和容灾切换功能（提供具备CMA资质或国家权威机构认可的第三方机构出具的检测报告）。</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3、部署模式：交换前置和交换后置支持非对称部署。</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4、数据库同步：支持异构数据库异构同步、多对一同步、一对多同步、全量同步、增量同步、定时任务同步、自定义主键同步方式等功能。</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5、文件共享交换：支持FTP、SFTP、SMB、NFS，支持文件断点续传，支持大文件（GB级）同步。</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6、文件同步：支持文件目录双向同步、镜像同步、源端删除同步、更新同步、累加同步、文件同步重名等同步策略。</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7、API交换：支持前端API用户对后端Web资源访问、API反向代理；支持API调用方Token身份认证、数据格式检查、关键字过滤、请求报文完整性验证功能（提供具备CMA资质或国家权威机构认可的第三方机构出具的检测报告）。</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8、API接口认证：Http Basic认证、Soap头认证、JWT认证、HMAC 签名认证等功能（提供具备CMA资质或国家权威机构认可的第三方机构出具的检测报告）。</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9、敏感信息字段处理：加插数据水印，并支持通过数据水印溯源（提供具备CMA资质或国家权威机构认可的第三方机构出具的检测报告）。</w:t>
            </w:r>
          </w:p>
          <w:p>
            <w:pPr>
              <w:spacing w:line="420" w:lineRule="exact"/>
              <w:ind w:firstLine="480" w:firstLineChars="200"/>
              <w:rPr>
                <w:rFonts w:ascii="宋体" w:hAnsi="宋体" w:cs="宋体"/>
                <w:sz w:val="24"/>
                <w:highlight w:val="none"/>
              </w:rPr>
            </w:pPr>
            <w:r>
              <w:rPr>
                <w:rFonts w:hint="eastAsia" w:ascii="宋体" w:hAnsi="宋体" w:cs="宋体"/>
                <w:sz w:val="24"/>
                <w:highlight w:val="none"/>
              </w:rPr>
              <w:t>10、敏感数据脱敏：数据库表中姓名、身份证号码、手机号码、详细地址等敏感或隐私信息的字段进行数据脱敏（提供具备CMA资质或国家权威机构认可的第三方机构出具的检测报告）。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3" w:type="pct"/>
          </w:tcPr>
          <w:p>
            <w:pPr>
              <w:spacing w:line="420" w:lineRule="exact"/>
              <w:rPr>
                <w:rFonts w:ascii="宋体" w:hAnsi="宋体" w:cs="宋体"/>
                <w:sz w:val="24"/>
                <w:highlight w:val="none"/>
                <w:lang w:eastAsia="zh-Hans"/>
              </w:rPr>
            </w:pPr>
            <w:r>
              <w:rPr>
                <w:rFonts w:hint="eastAsia" w:ascii="宋体" w:hAnsi="宋体" w:cs="宋体"/>
                <w:sz w:val="24"/>
                <w:highlight w:val="none"/>
                <w:lang w:eastAsia="zh-Hans"/>
              </w:rPr>
              <w:t>交付物</w:t>
            </w:r>
          </w:p>
        </w:tc>
        <w:tc>
          <w:tcPr>
            <w:tcW w:w="4186" w:type="pct"/>
          </w:tcPr>
          <w:p>
            <w:pPr>
              <w:spacing w:line="420" w:lineRule="exact"/>
              <w:ind w:firstLine="480" w:firstLineChars="200"/>
              <w:rPr>
                <w:rFonts w:ascii="宋体" w:hAnsi="宋体" w:cs="宋体"/>
                <w:sz w:val="24"/>
                <w:highlight w:val="none"/>
              </w:rPr>
            </w:pPr>
            <w:r>
              <w:rPr>
                <w:rFonts w:hint="eastAsia" w:ascii="宋体" w:hAnsi="宋体" w:cs="宋体"/>
                <w:sz w:val="24"/>
                <w:highlight w:val="none"/>
              </w:rPr>
              <w:t>《边界通道服务总结报告》</w:t>
            </w:r>
          </w:p>
        </w:tc>
      </w:tr>
    </w:tbl>
    <w:p>
      <w:pPr>
        <w:spacing w:line="460" w:lineRule="exact"/>
        <w:rPr>
          <w:rFonts w:ascii="宋体" w:hAnsi="宋体" w:cs="宋体"/>
          <w:b/>
          <w:color w:val="000000"/>
          <w:sz w:val="24"/>
          <w:highlight w:val="none"/>
        </w:rPr>
      </w:pPr>
      <w:r>
        <w:rPr>
          <w:rFonts w:hint="eastAsia" w:ascii="宋体" w:hAnsi="宋体" w:cs="宋体"/>
          <w:b/>
          <w:color w:val="000000"/>
          <w:sz w:val="24"/>
          <w:highlight w:val="none"/>
        </w:rPr>
        <w:t>4、总体要求</w:t>
      </w:r>
    </w:p>
    <w:p>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（1）本项目中服务涉及多张公安业务网络，不同服务内容对应不同技术要求，均应当满足各服务内容中对应的服务要求。</w:t>
      </w:r>
    </w:p>
    <w:p>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（2）系统安全检测服务中使用的工具软件必须为正版产品。</w:t>
      </w:r>
    </w:p>
    <w:p>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网络安全检查过程中进行的渗透测试，在渗透测试之前必须要先提供相应的技术方案与甲方技术人员充分沟通,不能影响各项业务的正常进行，对一些可能引发事故的测试项要在甲方可控制的情况下以单独授权的方式进行。</w:t>
      </w:r>
    </w:p>
    <w:p>
      <w:pPr>
        <w:spacing w:line="480" w:lineRule="exact"/>
        <w:ind w:firstLine="480" w:firstLineChars="200"/>
        <w:rPr>
          <w:rFonts w:ascii="宋体" w:hAnsi="宋体" w:cs="宋体"/>
          <w:sz w:val="24"/>
          <w:highlight w:val="none"/>
        </w:rPr>
      </w:pPr>
      <w:r>
        <w:rPr>
          <w:rFonts w:hint="eastAsia" w:ascii="宋体" w:hAnsi="宋体" w:cs="宋体"/>
          <w:color w:val="000000"/>
          <w:sz w:val="24"/>
          <w:highlight w:val="none"/>
        </w:rPr>
        <w:t>（4）实施过程中应尽可能小的影响系统和网络的正常运行,做好备份和应急措施,不能对甲方应用系统的正常运行产生影响,包括系统性能明显下降、网络拥塞、服务中断等,如无法避免出现这些情况应先停止项目实施,并向甲方书面详细描述。</w:t>
      </w:r>
    </w:p>
    <w:p>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（5）服务期内提供7*24小时的技术支持（包括电话咨询与现场服务）。</w:t>
      </w:r>
      <w:r>
        <w:rPr>
          <w:rFonts w:hint="eastAsia" w:ascii="宋体" w:hAnsi="宋体" w:cs="宋体"/>
          <w:color w:val="000000"/>
          <w:sz w:val="24"/>
          <w:highlight w:val="none"/>
          <w:lang w:eastAsia="zh-Hans"/>
        </w:rPr>
        <w:t>在服务期内，发生或可能发生应急事件时，</w:t>
      </w:r>
      <w:r>
        <w:rPr>
          <w:rFonts w:hint="eastAsia" w:ascii="宋体" w:hAnsi="宋体" w:cs="宋体"/>
          <w:color w:val="000000"/>
          <w:sz w:val="24"/>
          <w:highlight w:val="none"/>
        </w:rPr>
        <w:t>乙方</w:t>
      </w:r>
      <w:r>
        <w:rPr>
          <w:rFonts w:hint="eastAsia" w:ascii="宋体" w:hAnsi="宋体" w:cs="宋体"/>
          <w:color w:val="000000"/>
          <w:sz w:val="24"/>
          <w:highlight w:val="none"/>
          <w:lang w:eastAsia="zh-Hans"/>
        </w:rPr>
        <w:t>应快速响应并到达现场，协助进行应急事件处理，直到应急事件排除。对于影响服务的故障，在进行故障处理时，应先考虑服务恢复，再彻底解决故障。如</w:t>
      </w:r>
      <w:r>
        <w:rPr>
          <w:rFonts w:hint="eastAsia" w:ascii="宋体" w:hAnsi="宋体" w:cs="宋体"/>
          <w:color w:val="000000"/>
          <w:sz w:val="24"/>
          <w:highlight w:val="none"/>
        </w:rPr>
        <w:t>乙方</w:t>
      </w:r>
      <w:r>
        <w:rPr>
          <w:rFonts w:hint="eastAsia" w:ascii="宋体" w:hAnsi="宋体" w:cs="宋体"/>
          <w:color w:val="000000"/>
          <w:sz w:val="24"/>
          <w:highlight w:val="none"/>
          <w:lang w:eastAsia="zh-Hans"/>
        </w:rPr>
        <w:t>工程师不能在时限内解决问题，则应调动专家协助解决。</w:t>
      </w:r>
      <w:r>
        <w:rPr>
          <w:rFonts w:hint="eastAsia" w:ascii="宋体" w:hAnsi="宋体" w:cs="宋体"/>
          <w:color w:val="000000"/>
          <w:sz w:val="24"/>
          <w:highlight w:val="none"/>
        </w:rPr>
        <w:t>乙方在接到应急电话后，须在应急响应服务规定的时限内响应。</w:t>
      </w:r>
    </w:p>
    <w:p>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（6）乙方需协助甲方完成安全检查工作。</w:t>
      </w:r>
    </w:p>
    <w:p>
      <w:pPr>
        <w:spacing w:line="4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（7）乙方应在完成服务后五个工作日内提交相关报告，所有报告均以纸质版提交（需经甲方经办人、审核人、乙方签字并加盖公章）。</w:t>
      </w:r>
    </w:p>
    <w:p>
      <w:pPr>
        <w:spacing w:line="480" w:lineRule="exact"/>
        <w:ind w:firstLine="420" w:firstLineChars="175"/>
        <w:jc w:val="left"/>
        <w:rPr>
          <w:rFonts w:ascii="宋体" w:hAnsi="宋体" w:cs="宋体"/>
          <w:color w:val="000000"/>
          <w:sz w:val="24"/>
          <w:highlight w:val="none"/>
          <w:lang w:eastAsia="zh-Hans"/>
        </w:rPr>
      </w:pPr>
      <w:r>
        <w:rPr>
          <w:rFonts w:hint="eastAsia" w:ascii="宋体" w:hAnsi="宋体" w:cs="宋体"/>
          <w:color w:val="000000"/>
          <w:sz w:val="24"/>
          <w:highlight w:val="none"/>
        </w:rPr>
        <w:t>（8）乙方</w:t>
      </w:r>
      <w:r>
        <w:rPr>
          <w:rFonts w:hint="eastAsia" w:ascii="宋体" w:hAnsi="宋体" w:cs="宋体"/>
          <w:color w:val="000000"/>
          <w:sz w:val="24"/>
          <w:highlight w:val="none"/>
          <w:lang w:eastAsia="zh-Hans"/>
        </w:rPr>
        <w:t>应针对本项目建立</w:t>
      </w:r>
      <w:r>
        <w:rPr>
          <w:rFonts w:hint="eastAsia" w:ascii="宋体" w:hAnsi="宋体" w:cs="宋体"/>
          <w:color w:val="000000"/>
          <w:sz w:val="24"/>
          <w:highlight w:val="none"/>
        </w:rPr>
        <w:t>健</w:t>
      </w:r>
      <w:r>
        <w:rPr>
          <w:rFonts w:hint="eastAsia" w:ascii="宋体" w:hAnsi="宋体" w:cs="宋体"/>
          <w:color w:val="000000"/>
          <w:sz w:val="24"/>
          <w:highlight w:val="none"/>
          <w:lang w:eastAsia="zh-Hans"/>
        </w:rPr>
        <w:t>全相应的管理制度，包括日常管理规章制度、内部岗位责任制度（包括各岗位职责等）、管理运作制度、考核制度（包括考核机制、激励机制、监督机制等）等。</w:t>
      </w:r>
    </w:p>
    <w:p>
      <w:pPr>
        <w:pStyle w:val="25"/>
        <w:rPr>
          <w:rFonts w:cs="宋体"/>
          <w:color w:val="000000"/>
          <w:highlight w:val="none"/>
        </w:rPr>
      </w:pPr>
      <w:r>
        <w:rPr>
          <w:rFonts w:hint="eastAsia" w:cs="宋体"/>
          <w:color w:val="000000"/>
          <w:highlight w:val="none"/>
        </w:rPr>
        <w:t>（9）乙方</w:t>
      </w:r>
      <w:r>
        <w:rPr>
          <w:rFonts w:hint="eastAsia" w:cs="宋体"/>
          <w:color w:val="000000"/>
          <w:highlight w:val="none"/>
          <w:lang w:eastAsia="zh-Hans"/>
        </w:rPr>
        <w:t>应针对本项目建立紧急事件处理应急方案，包括建立运行服务保障应急预案、对可能遇到的问题具有相应的应对措施，在服务期间巡检、故障处理的组织和联系机制等。</w:t>
      </w:r>
    </w:p>
    <w:p>
      <w:pPr>
        <w:spacing w:before="124" w:after="124" w:line="460" w:lineRule="exact"/>
        <w:rPr>
          <w:rFonts w:ascii="宋体" w:hAnsi="宋体" w:cs="宋体"/>
          <w:b/>
          <w:bCs/>
          <w:color w:val="000000"/>
          <w:sz w:val="24"/>
          <w:highlight w:val="none"/>
        </w:rPr>
      </w:pPr>
      <w:r>
        <w:rPr>
          <w:rFonts w:hint="eastAsia" w:ascii="宋体" w:hAnsi="宋体" w:cs="宋体"/>
          <w:b/>
          <w:bCs/>
          <w:color w:val="000000"/>
          <w:sz w:val="24"/>
          <w:highlight w:val="none"/>
          <w:shd w:val="clear" w:color="auto" w:fill="FFFFFF" w:themeFill="background1"/>
        </w:rPr>
        <w:t>5、</w:t>
      </w:r>
      <w:r>
        <w:rPr>
          <w:rFonts w:hint="eastAsia" w:ascii="宋体" w:hAnsi="宋体" w:cs="宋体"/>
          <w:b/>
          <w:bCs/>
          <w:color w:val="000000"/>
          <w:sz w:val="24"/>
          <w:highlight w:val="none"/>
        </w:rPr>
        <w:t>人员要求</w:t>
      </w:r>
    </w:p>
    <w:p>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乙方须为本项目组织项目小组，保障各项服务内容的顺利开展。</w:t>
      </w:r>
    </w:p>
    <w:p>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乙方提供不少于2名驻点人员提供</w:t>
      </w:r>
      <w:r>
        <w:rPr>
          <w:rFonts w:hint="eastAsia" w:ascii="宋体" w:hAnsi="宋体" w:cs="宋体"/>
          <w:color w:val="000000"/>
          <w:sz w:val="24"/>
          <w:highlight w:val="none"/>
          <w:lang w:eastAsia="zh-Hans"/>
        </w:rPr>
        <w:t>安全</w:t>
      </w:r>
      <w:r>
        <w:rPr>
          <w:rFonts w:hint="eastAsia" w:ascii="宋体" w:hAnsi="宋体" w:cs="宋体"/>
          <w:color w:val="000000"/>
          <w:sz w:val="24"/>
          <w:highlight w:val="none"/>
        </w:rPr>
        <w:t>服务。</w:t>
      </w:r>
    </w:p>
    <w:p>
      <w:pPr>
        <w:spacing w:before="124" w:after="124" w:line="460" w:lineRule="exact"/>
        <w:rPr>
          <w:rFonts w:ascii="宋体" w:hAnsi="宋体" w:cs="宋体"/>
          <w:b/>
          <w:bCs/>
          <w:color w:val="000000"/>
          <w:sz w:val="24"/>
          <w:highlight w:val="none"/>
        </w:rPr>
      </w:pPr>
      <w:r>
        <w:rPr>
          <w:rFonts w:hint="eastAsia" w:ascii="宋体" w:hAnsi="宋体" w:cs="宋体"/>
          <w:b/>
          <w:bCs/>
          <w:color w:val="000000"/>
          <w:sz w:val="24"/>
          <w:highlight w:val="none"/>
        </w:rPr>
        <w:t>5.1项目组人员要求</w:t>
      </w:r>
    </w:p>
    <w:p>
      <w:pPr>
        <w:spacing w:before="124" w:after="124" w:line="460" w:lineRule="exact"/>
        <w:ind w:firstLine="480" w:firstLineChars="200"/>
        <w:rPr>
          <w:rFonts w:ascii="宋体" w:hAnsi="宋体" w:cs="宋体"/>
          <w:color w:val="000000"/>
          <w:sz w:val="24"/>
          <w:highlight w:val="none"/>
          <w:lang w:eastAsia="zh-Hans"/>
        </w:rPr>
      </w:pPr>
      <w:r>
        <w:rPr>
          <w:rFonts w:hint="eastAsia" w:ascii="宋体" w:hAnsi="宋体" w:cs="宋体"/>
          <w:color w:val="000000"/>
          <w:sz w:val="24"/>
          <w:highlight w:val="none"/>
          <w:lang w:eastAsia="zh-Hans"/>
        </w:rPr>
        <w:t>（1）按照实际工作需求</w:t>
      </w:r>
      <w:r>
        <w:rPr>
          <w:rFonts w:hint="eastAsia" w:ascii="宋体" w:hAnsi="宋体" w:cs="宋体"/>
          <w:color w:val="000000"/>
          <w:sz w:val="24"/>
          <w:highlight w:val="none"/>
        </w:rPr>
        <w:t>为本项目配备项目小组，并明确人员分工职责（须包含一名项目负责人）。</w:t>
      </w:r>
    </w:p>
    <w:p>
      <w:pPr>
        <w:pStyle w:val="25"/>
        <w:rPr>
          <w:rFonts w:cs="宋体"/>
          <w:color w:val="000000"/>
          <w:highlight w:val="none"/>
        </w:rPr>
      </w:pPr>
      <w:r>
        <w:rPr>
          <w:rFonts w:hint="eastAsia" w:cs="宋体"/>
          <w:color w:val="000000"/>
          <w:highlight w:val="none"/>
          <w:lang w:eastAsia="zh-Hans"/>
        </w:rPr>
        <w:t>（2）人员服务时间：项目负责人、服务团队人员提供7*24小时</w:t>
      </w:r>
      <w:r>
        <w:rPr>
          <w:rFonts w:hint="eastAsia" w:cs="宋体"/>
          <w:color w:val="000000"/>
          <w:highlight w:val="none"/>
        </w:rPr>
        <w:t>响应</w:t>
      </w:r>
      <w:r>
        <w:rPr>
          <w:rFonts w:hint="eastAsia" w:cs="宋体"/>
          <w:color w:val="000000"/>
          <w:highlight w:val="none"/>
          <w:lang w:eastAsia="zh-Hans"/>
        </w:rPr>
        <w:t>服务</w:t>
      </w:r>
      <w:r>
        <w:rPr>
          <w:rFonts w:hint="eastAsia" w:cs="宋体"/>
          <w:color w:val="000000"/>
          <w:highlight w:val="none"/>
        </w:rPr>
        <w:t>，接到甲方通知后，应在半小时内响应，如需提供现场服务，需在2小时内到达甲方指定地点。</w:t>
      </w:r>
    </w:p>
    <w:p>
      <w:pPr>
        <w:spacing w:before="124" w:after="124" w:line="460" w:lineRule="exact"/>
        <w:ind w:firstLine="480" w:firstLineChars="200"/>
        <w:rPr>
          <w:rFonts w:ascii="宋体" w:hAnsi="宋体" w:cs="宋体"/>
          <w:color w:val="000000"/>
          <w:sz w:val="24"/>
          <w:highlight w:val="none"/>
          <w:lang w:eastAsia="zh-Hans"/>
        </w:rPr>
      </w:pPr>
      <w:r>
        <w:rPr>
          <w:rFonts w:hint="eastAsia" w:ascii="宋体" w:hAnsi="宋体" w:cs="宋体"/>
          <w:color w:val="000000"/>
          <w:sz w:val="24"/>
          <w:highlight w:val="none"/>
          <w:lang w:eastAsia="zh-Hans"/>
        </w:rPr>
        <w:t>（3）人员配备标准：</w:t>
      </w:r>
      <w:r>
        <w:rPr>
          <w:rFonts w:hint="eastAsia" w:ascii="宋体" w:hAnsi="宋体" w:cs="宋体"/>
          <w:color w:val="000000"/>
          <w:sz w:val="24"/>
          <w:highlight w:val="none"/>
        </w:rPr>
        <w:t>除2名驻点人员外，项目组人员中须配备</w:t>
      </w:r>
      <w:r>
        <w:rPr>
          <w:rFonts w:hint="eastAsia" w:ascii="宋体" w:hAnsi="宋体" w:cs="宋体"/>
          <w:color w:val="000000"/>
          <w:sz w:val="24"/>
          <w:highlight w:val="none"/>
          <w:lang w:eastAsia="zh-Hans"/>
        </w:rPr>
        <w:t>至少2名人员具有</w:t>
      </w:r>
      <w:r>
        <w:rPr>
          <w:rFonts w:hint="eastAsia" w:ascii="宋体" w:hAnsi="宋体" w:cs="宋体"/>
          <w:color w:val="000000"/>
          <w:sz w:val="24"/>
          <w:highlight w:val="none"/>
        </w:rPr>
        <w:t>信息安全工程师</w:t>
      </w:r>
      <w:r>
        <w:rPr>
          <w:rFonts w:hint="eastAsia" w:ascii="宋体" w:hAnsi="宋体" w:cs="宋体"/>
          <w:color w:val="000000"/>
          <w:sz w:val="24"/>
          <w:highlight w:val="none"/>
          <w:lang w:eastAsia="zh-Hans"/>
        </w:rPr>
        <w:t>（国家人力资源和社会保障部、工业和信息化部共同颁发）</w:t>
      </w:r>
      <w:r>
        <w:rPr>
          <w:rFonts w:hint="eastAsia" w:ascii="宋体" w:hAnsi="宋体" w:cs="宋体"/>
          <w:color w:val="000000"/>
          <w:sz w:val="24"/>
          <w:highlight w:val="none"/>
        </w:rPr>
        <w:t>或</w:t>
      </w:r>
      <w:r>
        <w:rPr>
          <w:rFonts w:hint="eastAsia" w:ascii="宋体" w:hAnsi="宋体" w:cs="宋体"/>
          <w:color w:val="000000"/>
          <w:sz w:val="24"/>
          <w:highlight w:val="none"/>
          <w:lang w:eastAsia="zh-Hans"/>
        </w:rPr>
        <w:t>系统集成项目管理工程师（国家人力资源和社会保障部、工业和信息化部共同颁发）。</w:t>
      </w:r>
    </w:p>
    <w:p>
      <w:pPr>
        <w:spacing w:before="124" w:after="124"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lang w:eastAsia="zh-Hans"/>
        </w:rPr>
        <w:t>（4）工作职责：项目负责人主要负责本次项目的实施以及</w:t>
      </w:r>
      <w:r>
        <w:rPr>
          <w:rFonts w:hint="eastAsia" w:ascii="宋体" w:hAnsi="宋体" w:cs="宋体"/>
          <w:color w:val="000000"/>
          <w:sz w:val="24"/>
          <w:highlight w:val="none"/>
        </w:rPr>
        <w:t>甲方</w:t>
      </w:r>
      <w:r>
        <w:rPr>
          <w:rFonts w:hint="eastAsia" w:ascii="宋体" w:hAnsi="宋体" w:cs="宋体"/>
          <w:color w:val="000000"/>
          <w:sz w:val="24"/>
          <w:highlight w:val="none"/>
          <w:lang w:eastAsia="zh-Hans"/>
        </w:rPr>
        <w:t>的对接工作。项目团队人员应有明确的岗位分配，各岗位有专人负责，需提供人员配置表，保障工作顺利有序进行。</w:t>
      </w:r>
    </w:p>
    <w:p>
      <w:pPr>
        <w:pStyle w:val="25"/>
        <w:ind w:firstLine="0" w:firstLineChars="0"/>
        <w:rPr>
          <w:rFonts w:cs="宋体"/>
          <w:b/>
          <w:bCs/>
          <w:color w:val="000000"/>
          <w:highlight w:val="none"/>
          <w:lang w:eastAsia="zh-Hans"/>
        </w:rPr>
      </w:pPr>
      <w:r>
        <w:rPr>
          <w:rFonts w:hint="eastAsia" w:cs="宋体"/>
          <w:b/>
          <w:bCs/>
          <w:color w:val="000000"/>
          <w:highlight w:val="none"/>
        </w:rPr>
        <w:t>5</w:t>
      </w:r>
      <w:r>
        <w:rPr>
          <w:rFonts w:hint="eastAsia" w:cs="宋体"/>
          <w:b/>
          <w:bCs/>
          <w:color w:val="000000"/>
          <w:highlight w:val="none"/>
          <w:lang w:eastAsia="zh-Hans"/>
        </w:rPr>
        <w:t>.</w:t>
      </w:r>
      <w:r>
        <w:rPr>
          <w:rFonts w:hint="eastAsia" w:cs="宋体"/>
          <w:b/>
          <w:bCs/>
          <w:color w:val="000000"/>
          <w:highlight w:val="none"/>
        </w:rPr>
        <w:t>2</w:t>
      </w:r>
      <w:r>
        <w:rPr>
          <w:rFonts w:hint="eastAsia" w:cs="宋体"/>
          <w:b/>
          <w:bCs/>
          <w:color w:val="000000"/>
          <w:highlight w:val="none"/>
          <w:lang w:eastAsia="zh-Hans"/>
        </w:rPr>
        <w:t>驻点人员要求</w:t>
      </w:r>
    </w:p>
    <w:p>
      <w:pPr>
        <w:spacing w:line="460" w:lineRule="exact"/>
        <w:ind w:firstLine="240" w:firstLineChars="100"/>
        <w:rPr>
          <w:rFonts w:ascii="宋体" w:hAnsi="宋体" w:cs="宋体"/>
          <w:color w:val="000000"/>
          <w:sz w:val="24"/>
          <w:highlight w:val="none"/>
          <w:lang w:eastAsia="zh-Hans"/>
        </w:rPr>
      </w:pPr>
      <w:r>
        <w:rPr>
          <w:rFonts w:hint="eastAsia" w:ascii="宋体" w:hAnsi="宋体" w:cs="宋体"/>
          <w:color w:val="000000"/>
          <w:sz w:val="24"/>
          <w:highlight w:val="none"/>
        </w:rPr>
        <w:t>（1）提供2名全日制专科以上计算机专业学历，具有1年以上网络安全工作经验，</w:t>
      </w:r>
      <w:r>
        <w:rPr>
          <w:rFonts w:hint="eastAsia" w:ascii="宋体" w:hAnsi="宋体" w:cs="宋体"/>
          <w:color w:val="000000"/>
          <w:sz w:val="24"/>
          <w:highlight w:val="none"/>
          <w:lang w:eastAsia="zh-Hans"/>
        </w:rPr>
        <w:t>年龄55周岁（含）以下，</w:t>
      </w:r>
      <w:r>
        <w:rPr>
          <w:rFonts w:hint="eastAsia" w:ascii="宋体" w:hAnsi="宋体" w:cs="宋体"/>
          <w:color w:val="000000"/>
          <w:sz w:val="24"/>
          <w:highlight w:val="none"/>
        </w:rPr>
        <w:t>提供5*8小时现场驻点服务（甲方提供办公工位）。</w:t>
      </w:r>
      <w:r>
        <w:rPr>
          <w:rFonts w:hint="eastAsia" w:ascii="宋体" w:hAnsi="宋体" w:cs="宋体"/>
          <w:color w:val="000000"/>
          <w:sz w:val="24"/>
          <w:highlight w:val="none"/>
          <w:lang w:eastAsia="zh-Hans"/>
        </w:rPr>
        <w:t>至少</w:t>
      </w:r>
      <w:r>
        <w:rPr>
          <w:rFonts w:hint="eastAsia" w:ascii="宋体" w:hAnsi="宋体" w:cs="宋体"/>
          <w:color w:val="000000"/>
          <w:sz w:val="24"/>
          <w:highlight w:val="none"/>
        </w:rPr>
        <w:t>1名</w:t>
      </w:r>
      <w:r>
        <w:rPr>
          <w:rFonts w:hint="eastAsia" w:ascii="宋体" w:hAnsi="宋体" w:cs="宋体"/>
          <w:color w:val="000000"/>
          <w:sz w:val="24"/>
          <w:highlight w:val="none"/>
          <w:lang w:eastAsia="zh-Hans"/>
        </w:rPr>
        <w:t>需具备以下能力：</w:t>
      </w:r>
    </w:p>
    <w:p>
      <w:pPr>
        <w:spacing w:line="460" w:lineRule="exact"/>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①熟练掌握各类安全技术，具有开展安全咨询和安全服务的经验；</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②了解网络信息安全相关技能，如传统网络安全、网络攻防。</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③具有编写网络规划方案能力熟悉网络安全解决方案能力。</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④具备文档、汇报材料编写能力。</w:t>
      </w:r>
    </w:p>
    <w:p>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⑤熟练掌握主流安全设备的运行维护操作。</w:t>
      </w:r>
    </w:p>
    <w:p>
      <w:pPr>
        <w:spacing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⑥信息安全工程师</w:t>
      </w:r>
      <w:r>
        <w:rPr>
          <w:rFonts w:hint="eastAsia" w:ascii="宋体" w:hAnsi="宋体" w:cs="宋体"/>
          <w:color w:val="000000"/>
          <w:sz w:val="24"/>
          <w:highlight w:val="none"/>
          <w:lang w:eastAsia="zh-Hans"/>
        </w:rPr>
        <w:t>（国家人力资源和社会保障部、工业和信息化部共同颁发）</w:t>
      </w:r>
      <w:r>
        <w:rPr>
          <w:rFonts w:hint="eastAsia" w:ascii="宋体" w:hAnsi="宋体" w:cs="宋体"/>
          <w:color w:val="000000"/>
          <w:sz w:val="24"/>
          <w:highlight w:val="none"/>
        </w:rPr>
        <w:t>或</w:t>
      </w:r>
      <w:r>
        <w:rPr>
          <w:rFonts w:hint="eastAsia" w:ascii="宋体" w:hAnsi="宋体" w:cs="宋体"/>
          <w:color w:val="000000"/>
          <w:sz w:val="24"/>
          <w:highlight w:val="none"/>
          <w:lang w:eastAsia="zh-Hans"/>
        </w:rPr>
        <w:t>系统集成项目管理工程师（国家人力资源和社会保障部、工业和信息化部共同颁发）</w:t>
      </w:r>
      <w:r>
        <w:rPr>
          <w:rFonts w:hint="eastAsia" w:ascii="宋体" w:hAnsi="宋体" w:cs="宋体"/>
          <w:color w:val="000000"/>
          <w:sz w:val="24"/>
          <w:highlight w:val="none"/>
        </w:rPr>
        <w:t>。</w:t>
      </w:r>
    </w:p>
    <w:p>
      <w:pPr>
        <w:spacing w:line="460" w:lineRule="exact"/>
        <w:ind w:firstLine="240" w:firstLineChars="100"/>
        <w:rPr>
          <w:rFonts w:ascii="宋体" w:hAnsi="宋体" w:cs="宋体"/>
          <w:color w:val="000000"/>
          <w:sz w:val="24"/>
          <w:highlight w:val="none"/>
        </w:rPr>
      </w:pPr>
      <w:r>
        <w:rPr>
          <w:rFonts w:hint="eastAsia" w:ascii="宋体" w:hAnsi="宋体" w:cs="宋体"/>
          <w:color w:val="000000"/>
          <w:sz w:val="24"/>
          <w:highlight w:val="none"/>
        </w:rPr>
        <w:t>（2）驻点人员服务内容</w:t>
      </w:r>
    </w:p>
    <w:p>
      <w:pPr>
        <w:spacing w:before="124" w:after="124" w:line="460" w:lineRule="exact"/>
        <w:ind w:firstLine="480" w:firstLineChars="200"/>
        <w:rPr>
          <w:rFonts w:ascii="宋体" w:hAnsi="宋体" w:cs="宋体"/>
          <w:color w:val="000000"/>
          <w:sz w:val="24"/>
          <w:highlight w:val="none"/>
          <w:lang w:eastAsia="zh-Hans"/>
        </w:rPr>
      </w:pPr>
      <w:r>
        <w:rPr>
          <w:rFonts w:hint="eastAsia" w:ascii="宋体" w:hAnsi="宋体" w:cs="宋体"/>
          <w:color w:val="000000"/>
          <w:sz w:val="24"/>
          <w:highlight w:val="none"/>
          <w:lang w:eastAsia="zh-Hans"/>
        </w:rPr>
        <w:t>1.负责安全监控、监测系统的日常运行状态巡查。</w:t>
      </w:r>
    </w:p>
    <w:p>
      <w:pPr>
        <w:spacing w:before="124" w:after="124" w:line="460" w:lineRule="exact"/>
        <w:ind w:firstLine="480" w:firstLineChars="200"/>
        <w:rPr>
          <w:rFonts w:ascii="宋体" w:hAnsi="宋体" w:cs="宋体"/>
          <w:color w:val="000000"/>
          <w:sz w:val="24"/>
          <w:highlight w:val="none"/>
          <w:lang w:eastAsia="zh-Hans"/>
        </w:rPr>
      </w:pPr>
      <w:r>
        <w:rPr>
          <w:rFonts w:hint="eastAsia" w:ascii="宋体" w:hAnsi="宋体" w:cs="宋体"/>
          <w:color w:val="000000"/>
          <w:sz w:val="24"/>
          <w:highlight w:val="none"/>
          <w:lang w:eastAsia="zh-Hans"/>
        </w:rPr>
        <w:t>2.负责采购单位的资产梳理。</w:t>
      </w:r>
    </w:p>
    <w:p>
      <w:pPr>
        <w:spacing w:before="124" w:after="124" w:line="460" w:lineRule="exact"/>
        <w:ind w:firstLine="480" w:firstLineChars="200"/>
        <w:rPr>
          <w:rFonts w:ascii="宋体" w:hAnsi="宋体" w:cs="宋体"/>
          <w:color w:val="000000"/>
          <w:sz w:val="24"/>
          <w:highlight w:val="none"/>
          <w:lang w:eastAsia="zh-Hans"/>
        </w:rPr>
      </w:pPr>
      <w:r>
        <w:rPr>
          <w:rFonts w:hint="eastAsia" w:ascii="宋体" w:hAnsi="宋体" w:cs="宋体"/>
          <w:color w:val="000000"/>
          <w:sz w:val="24"/>
          <w:highlight w:val="none"/>
          <w:lang w:eastAsia="zh-Hans"/>
        </w:rPr>
        <w:t>3.负责日常安全事件、安全威胁的响应处理。</w:t>
      </w:r>
    </w:p>
    <w:p>
      <w:pPr>
        <w:spacing w:before="124" w:after="124" w:line="460" w:lineRule="exact"/>
        <w:ind w:firstLine="480" w:firstLineChars="200"/>
        <w:rPr>
          <w:rFonts w:ascii="宋体" w:hAnsi="宋体" w:cs="宋体"/>
          <w:color w:val="000000"/>
          <w:sz w:val="24"/>
          <w:highlight w:val="none"/>
          <w:lang w:eastAsia="zh-Hans"/>
        </w:rPr>
      </w:pPr>
      <w:r>
        <w:rPr>
          <w:rFonts w:hint="eastAsia" w:ascii="宋体" w:hAnsi="宋体" w:cs="宋体"/>
          <w:color w:val="000000"/>
          <w:sz w:val="24"/>
          <w:highlight w:val="none"/>
          <w:lang w:eastAsia="zh-Hans"/>
        </w:rPr>
        <w:t>4.负责定期对安全设备（系统）日志进行分析、处理，并提交报告。</w:t>
      </w:r>
    </w:p>
    <w:p>
      <w:pPr>
        <w:spacing w:before="124" w:after="124" w:line="460" w:lineRule="exact"/>
        <w:ind w:firstLine="480" w:firstLineChars="200"/>
        <w:rPr>
          <w:rFonts w:ascii="宋体" w:hAnsi="宋体" w:cs="宋体"/>
          <w:color w:val="000000"/>
          <w:sz w:val="24"/>
          <w:highlight w:val="none"/>
          <w:lang w:eastAsia="zh-Hans"/>
        </w:rPr>
      </w:pPr>
      <w:r>
        <w:rPr>
          <w:rFonts w:hint="eastAsia" w:ascii="宋体" w:hAnsi="宋体" w:cs="宋体"/>
          <w:color w:val="000000"/>
          <w:sz w:val="24"/>
          <w:highlight w:val="none"/>
          <w:lang w:eastAsia="zh-Hans"/>
        </w:rPr>
        <w:t>5.提供新增服务器杀毒软件安装、策略优化、安全加固服务。</w:t>
      </w:r>
    </w:p>
    <w:p>
      <w:pPr>
        <w:spacing w:before="124" w:after="124" w:line="460" w:lineRule="exact"/>
        <w:ind w:firstLine="480" w:firstLineChars="200"/>
        <w:rPr>
          <w:rFonts w:ascii="宋体" w:hAnsi="宋体" w:cs="宋体"/>
          <w:color w:val="000000"/>
          <w:sz w:val="24"/>
          <w:highlight w:val="none"/>
          <w:lang w:eastAsia="zh-Hans"/>
        </w:rPr>
      </w:pPr>
      <w:r>
        <w:rPr>
          <w:rFonts w:hint="eastAsia" w:ascii="宋体" w:hAnsi="宋体" w:cs="宋体"/>
          <w:color w:val="000000"/>
          <w:sz w:val="24"/>
          <w:highlight w:val="none"/>
          <w:lang w:eastAsia="zh-Hans"/>
        </w:rPr>
        <w:t>6.每月、季、年度编制并提交安全工作专题报告。</w:t>
      </w:r>
    </w:p>
    <w:p>
      <w:pPr>
        <w:spacing w:before="124" w:after="124" w:line="460" w:lineRule="exact"/>
        <w:ind w:firstLine="480" w:firstLineChars="200"/>
        <w:rPr>
          <w:rFonts w:ascii="宋体" w:hAnsi="宋体" w:cs="宋体"/>
          <w:color w:val="000000"/>
          <w:sz w:val="24"/>
          <w:highlight w:val="none"/>
          <w:lang w:eastAsia="zh-Hans"/>
        </w:rPr>
      </w:pPr>
      <w:r>
        <w:rPr>
          <w:rFonts w:hint="eastAsia" w:ascii="宋体" w:hAnsi="宋体" w:cs="宋体"/>
          <w:color w:val="000000"/>
          <w:sz w:val="24"/>
          <w:highlight w:val="none"/>
          <w:lang w:eastAsia="zh-Hans"/>
        </w:rPr>
        <w:t>7.用户安排的其他网络与信息安全相关工作。</w:t>
      </w:r>
    </w:p>
    <w:p>
      <w:pPr>
        <w:spacing w:before="124" w:after="124" w:line="460" w:lineRule="exact"/>
        <w:rPr>
          <w:rFonts w:ascii="宋体" w:hAnsi="宋体" w:cs="宋体"/>
          <w:color w:val="000000"/>
          <w:sz w:val="24"/>
          <w:highlight w:val="none"/>
        </w:rPr>
      </w:pPr>
      <w:r>
        <w:rPr>
          <w:rFonts w:hint="eastAsia" w:ascii="宋体" w:hAnsi="宋体" w:cs="宋体"/>
          <w:b/>
          <w:bCs/>
          <w:color w:val="000000"/>
          <w:sz w:val="24"/>
          <w:highlight w:val="none"/>
        </w:rPr>
        <w:t>5.3驻点人员变动</w:t>
      </w:r>
    </w:p>
    <w:p>
      <w:pPr>
        <w:pStyle w:val="25"/>
        <w:spacing w:line="460" w:lineRule="exact"/>
        <w:rPr>
          <w:rFonts w:cs="宋体"/>
          <w:highlight w:val="none"/>
        </w:rPr>
      </w:pPr>
      <w:r>
        <w:rPr>
          <w:rFonts w:hint="eastAsia" w:cs="宋体"/>
          <w:color w:val="000000"/>
          <w:highlight w:val="none"/>
        </w:rPr>
        <w:t>乙方派出驻点人员必须达到甲方</w:t>
      </w:r>
      <w:r>
        <w:rPr>
          <w:rFonts w:hint="eastAsia" w:cs="宋体"/>
          <w:color w:val="000000"/>
          <w:highlight w:val="none"/>
          <w:lang w:eastAsia="zh-Hans"/>
        </w:rPr>
        <w:t>服务</w:t>
      </w:r>
      <w:r>
        <w:rPr>
          <w:rFonts w:hint="eastAsia" w:cs="宋体"/>
          <w:color w:val="000000"/>
          <w:highlight w:val="none"/>
        </w:rPr>
        <w:t>要求，经过甲方认可方可上岗（需提供资质证明材料、乙方和拟派人员共同出具保证能在本项目服务期间为本项目服务的承诺函）。</w:t>
      </w:r>
    </w:p>
    <w:p>
      <w:pPr>
        <w:spacing w:before="124" w:after="124" w:line="46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驻点人员应相对稳定，人员变动需提前1个月征求甲方意见并经甲方书面同意，乙方应在其人员变动后4小时响应，24小时内保证更换人员到位，且更换人员资历不低于投标时人员资历，并确保任何时候无人员缺位现象发生。</w:t>
      </w:r>
    </w:p>
    <w:p>
      <w:pPr>
        <w:autoSpaceDE w:val="0"/>
        <w:autoSpaceDN w:val="0"/>
        <w:spacing w:line="460" w:lineRule="exact"/>
        <w:rPr>
          <w:rFonts w:ascii="宋体" w:hAnsi="宋体" w:cs="宋体"/>
          <w:b/>
          <w:color w:val="000000"/>
          <w:sz w:val="24"/>
          <w:highlight w:val="none"/>
        </w:rPr>
      </w:pPr>
      <w:r>
        <w:rPr>
          <w:rFonts w:hint="eastAsia" w:ascii="宋体" w:hAnsi="宋体" w:cs="宋体"/>
          <w:b/>
          <w:color w:val="000000"/>
          <w:sz w:val="24"/>
          <w:highlight w:val="none"/>
        </w:rPr>
        <w:t>6、保密要求</w:t>
      </w:r>
    </w:p>
    <w:p>
      <w:pPr>
        <w:spacing w:line="460" w:lineRule="exact"/>
        <w:ind w:firstLine="480" w:firstLineChars="200"/>
        <w:jc w:val="left"/>
        <w:rPr>
          <w:rFonts w:ascii="宋体" w:hAnsi="宋体" w:cs="宋体"/>
          <w:sz w:val="24"/>
          <w:highlight w:val="none"/>
        </w:rPr>
      </w:pPr>
      <w:r>
        <w:rPr>
          <w:rFonts w:hint="eastAsia" w:ascii="宋体" w:hAnsi="宋体" w:cs="宋体"/>
          <w:sz w:val="24"/>
          <w:highlight w:val="none"/>
        </w:rPr>
        <w:t>①乙方应当对涉及甲方的信息严格保密，确保派遣的工作人员严格遵守保密纪律。乙方需和甲方签订保密协议，不得将信息泄露给第三方（包括但不限于合同期内）。否则，甲方有保留追究法律责任的权利。</w:t>
      </w:r>
    </w:p>
    <w:p>
      <w:pPr>
        <w:spacing w:line="460" w:lineRule="exact"/>
        <w:ind w:firstLine="480" w:firstLineChars="200"/>
        <w:jc w:val="left"/>
        <w:rPr>
          <w:rFonts w:ascii="宋体" w:hAnsi="宋体" w:cs="宋体"/>
          <w:sz w:val="24"/>
          <w:highlight w:val="none"/>
        </w:rPr>
      </w:pPr>
      <w:r>
        <w:rPr>
          <w:rFonts w:hint="eastAsia" w:ascii="宋体" w:hAnsi="宋体" w:cs="宋体"/>
          <w:sz w:val="24"/>
          <w:highlight w:val="none"/>
        </w:rPr>
        <w:t>②甲方应当对乙方及工作人员开展常态化安全保密教育，组织签订安全保密承诺书，明确具体安全管理内容、安全保密义务和责任。乙方应当严格按照甲方规定使用、存储、处理文档资料和数据。合同终止时，乙方应当交还全部资料和数据。</w:t>
      </w:r>
    </w:p>
    <w:p>
      <w:pPr>
        <w:spacing w:line="460" w:lineRule="exact"/>
        <w:ind w:firstLine="480" w:firstLineChars="200"/>
        <w:jc w:val="left"/>
        <w:rPr>
          <w:rFonts w:ascii="宋体" w:hAnsi="宋体" w:cs="宋体"/>
          <w:sz w:val="24"/>
          <w:highlight w:val="none"/>
        </w:rPr>
      </w:pPr>
      <w:r>
        <w:rPr>
          <w:rFonts w:hint="eastAsia" w:ascii="宋体" w:hAnsi="宋体" w:cs="宋体"/>
          <w:sz w:val="24"/>
          <w:highlight w:val="none"/>
        </w:rPr>
        <w:t>③乙方及工作人员违反安全管理要求，构成违法犯罪的，甲方应当及时报送本级政府采购和市场监督管理部门，提请列入政府采购严重违法失信行为记录名单、市场监督管理严重失信名单，并追究相关责任。</w:t>
      </w:r>
    </w:p>
    <w:p>
      <w:pPr>
        <w:spacing w:line="460" w:lineRule="exact"/>
        <w:jc w:val="left"/>
        <w:outlineLvl w:val="1"/>
        <w:rPr>
          <w:rFonts w:ascii="宋体" w:hAnsi="宋体" w:cs="宋体"/>
          <w:b/>
          <w:sz w:val="24"/>
          <w:highlight w:val="none"/>
        </w:rPr>
      </w:pPr>
      <w:r>
        <w:rPr>
          <w:rFonts w:hint="eastAsia" w:ascii="宋体" w:hAnsi="宋体" w:cs="宋体"/>
          <w:b/>
          <w:sz w:val="24"/>
          <w:highlight w:val="none"/>
        </w:rPr>
        <w:t>7、乙方网络安全责任和义务：</w:t>
      </w:r>
    </w:p>
    <w:p>
      <w:pPr>
        <w:widowControl/>
        <w:spacing w:line="460" w:lineRule="exact"/>
        <w:ind w:firstLine="480" w:firstLineChars="200"/>
        <w:jc w:val="left"/>
        <w:outlineLvl w:val="1"/>
        <w:rPr>
          <w:rFonts w:ascii="宋体" w:hAnsi="宋体" w:cs="宋体"/>
          <w:sz w:val="24"/>
          <w:highlight w:val="none"/>
          <w:lang w:bidi="ar"/>
        </w:rPr>
      </w:pP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 1 \* GB3 \* MERGEFORMAT </w:instrText>
      </w:r>
      <w:r>
        <w:rPr>
          <w:rFonts w:hint="eastAsia" w:ascii="宋体" w:hAnsi="宋体" w:cs="宋体"/>
          <w:sz w:val="24"/>
          <w:highlight w:val="none"/>
          <w:lang w:bidi="ar"/>
        </w:rPr>
        <w:fldChar w:fldCharType="separate"/>
      </w:r>
      <w:r>
        <w:rPr>
          <w:rFonts w:hint="eastAsia" w:ascii="宋体" w:hAnsi="宋体" w:cs="宋体"/>
          <w:sz w:val="24"/>
          <w:highlight w:val="none"/>
        </w:rPr>
        <w:t>①</w:t>
      </w:r>
      <w:r>
        <w:rPr>
          <w:rFonts w:hint="eastAsia" w:ascii="宋体" w:hAnsi="宋体" w:cs="宋体"/>
          <w:sz w:val="24"/>
          <w:highlight w:val="none"/>
          <w:lang w:bidi="ar"/>
        </w:rPr>
        <w:fldChar w:fldCharType="end"/>
      </w:r>
      <w:r>
        <w:rPr>
          <w:rFonts w:hint="eastAsia" w:ascii="宋体" w:hAnsi="宋体" w:cs="宋体"/>
          <w:sz w:val="24"/>
          <w:highlight w:val="none"/>
          <w:lang w:bidi="ar"/>
        </w:rPr>
        <w:t>明确乙方法定代表人为合作事项网络安全第一责任人，具体承担合作事项的部门主要负责人为直接责任人。</w:t>
      </w:r>
    </w:p>
    <w:p>
      <w:pPr>
        <w:pStyle w:val="7"/>
        <w:rPr>
          <w:rFonts w:hAnsi="宋体" w:cs="宋体"/>
          <w:sz w:val="24"/>
          <w:szCs w:val="24"/>
          <w:highlight w:val="none"/>
        </w:rPr>
      </w:pPr>
      <w:r>
        <w:rPr>
          <w:rFonts w:hint="eastAsia" w:hAnsi="宋体" w:cs="宋体"/>
          <w:sz w:val="24"/>
          <w:szCs w:val="24"/>
          <w:highlight w:val="none"/>
          <w:lang w:bidi="ar"/>
        </w:rPr>
        <w:t>②不得转包合同任务。</w:t>
      </w:r>
    </w:p>
    <w:p>
      <w:pPr>
        <w:widowControl/>
        <w:spacing w:line="460" w:lineRule="exact"/>
        <w:ind w:firstLine="480" w:firstLineChars="200"/>
        <w:jc w:val="left"/>
        <w:outlineLvl w:val="1"/>
        <w:rPr>
          <w:rFonts w:ascii="宋体" w:hAnsi="宋体" w:cs="宋体"/>
          <w:sz w:val="24"/>
          <w:highlight w:val="none"/>
          <w:lang w:bidi="ar"/>
        </w:rPr>
      </w:pPr>
      <w:r>
        <w:rPr>
          <w:rFonts w:hint="eastAsia" w:ascii="宋体" w:hAnsi="宋体" w:cs="宋体"/>
          <w:sz w:val="24"/>
          <w:highlight w:val="none"/>
          <w:lang w:bidi="ar"/>
        </w:rPr>
        <w:t>③乙方应制订与合作事项相关的网络安全保障方案和网络安全事件应急预案。</w:t>
      </w:r>
    </w:p>
    <w:p>
      <w:pPr>
        <w:widowControl/>
        <w:spacing w:line="460" w:lineRule="exact"/>
        <w:ind w:firstLine="480" w:firstLineChars="200"/>
        <w:jc w:val="left"/>
        <w:outlineLvl w:val="1"/>
        <w:rPr>
          <w:rFonts w:ascii="宋体" w:hAnsi="宋体" w:cs="宋体"/>
          <w:sz w:val="24"/>
          <w:highlight w:val="none"/>
          <w:lang w:bidi="ar"/>
        </w:rPr>
      </w:pP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 4 \* GB3 \* MERGEFORMAT </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④</w:t>
      </w:r>
      <w:r>
        <w:rPr>
          <w:rFonts w:hint="eastAsia" w:ascii="宋体" w:hAnsi="宋体" w:cs="宋体"/>
          <w:sz w:val="24"/>
          <w:highlight w:val="none"/>
          <w:lang w:bidi="ar"/>
        </w:rPr>
        <w:fldChar w:fldCharType="end"/>
      </w:r>
      <w:r>
        <w:rPr>
          <w:rFonts w:hint="eastAsia" w:ascii="宋体" w:hAnsi="宋体" w:cs="宋体"/>
          <w:sz w:val="24"/>
          <w:highlight w:val="none"/>
          <w:lang w:bidi="ar"/>
        </w:rPr>
        <w:t>乙方发现网络安全漏洞、缺陷或者其他严重网络安全风险，应及时向甲方报告。</w:t>
      </w:r>
    </w:p>
    <w:p>
      <w:pPr>
        <w:widowControl/>
        <w:spacing w:line="460" w:lineRule="exact"/>
        <w:ind w:firstLine="480" w:firstLineChars="200"/>
        <w:jc w:val="left"/>
        <w:outlineLvl w:val="1"/>
        <w:rPr>
          <w:rFonts w:ascii="宋体" w:hAnsi="宋体" w:cs="宋体"/>
          <w:sz w:val="24"/>
          <w:highlight w:val="none"/>
          <w:lang w:bidi="ar"/>
        </w:rPr>
      </w:pP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 5 \* GB3 \* MERGEFORMAT </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⑤</w:t>
      </w:r>
      <w:r>
        <w:rPr>
          <w:rFonts w:hint="eastAsia" w:ascii="宋体" w:hAnsi="宋体" w:cs="宋体"/>
          <w:sz w:val="24"/>
          <w:highlight w:val="none"/>
          <w:lang w:bidi="ar"/>
        </w:rPr>
        <w:fldChar w:fldCharType="end"/>
      </w:r>
      <w:r>
        <w:rPr>
          <w:rFonts w:hint="eastAsia" w:ascii="宋体" w:hAnsi="宋体" w:cs="宋体"/>
          <w:sz w:val="24"/>
          <w:highlight w:val="none"/>
          <w:lang w:bidi="ar"/>
        </w:rPr>
        <w:t>处理合作事项的信息平台应当优先采用安全可信的硬件和软件产品。</w:t>
      </w:r>
    </w:p>
    <w:p>
      <w:pPr>
        <w:widowControl/>
        <w:spacing w:line="460" w:lineRule="exact"/>
        <w:ind w:firstLine="480" w:firstLineChars="200"/>
        <w:jc w:val="left"/>
        <w:outlineLvl w:val="1"/>
        <w:rPr>
          <w:rFonts w:ascii="宋体" w:hAnsi="宋体" w:cs="宋体"/>
          <w:sz w:val="24"/>
          <w:highlight w:val="none"/>
          <w:lang w:bidi="ar"/>
        </w:rPr>
      </w:pP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 6 \* GB3 \* MERGEFORMAT </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⑥</w:t>
      </w:r>
      <w:r>
        <w:rPr>
          <w:rFonts w:hint="eastAsia" w:ascii="宋体" w:hAnsi="宋体" w:cs="宋体"/>
          <w:sz w:val="24"/>
          <w:highlight w:val="none"/>
          <w:lang w:bidi="ar"/>
        </w:rPr>
        <w:fldChar w:fldCharType="end"/>
      </w:r>
      <w:r>
        <w:rPr>
          <w:rFonts w:hint="eastAsia" w:ascii="宋体" w:hAnsi="宋体" w:cs="宋体"/>
          <w:sz w:val="24"/>
          <w:highlight w:val="none"/>
          <w:lang w:bidi="ar"/>
        </w:rPr>
        <w:t>发生可能影响合作事项的网络安全重大事项，包括负责人及重要工作人员变更、业务转型、合并重组和投资并购等，乙方应提前向甲方报告。</w:t>
      </w:r>
    </w:p>
    <w:p>
      <w:pPr>
        <w:widowControl/>
        <w:spacing w:line="460" w:lineRule="exact"/>
        <w:ind w:firstLine="480" w:firstLineChars="200"/>
        <w:jc w:val="left"/>
        <w:outlineLvl w:val="1"/>
        <w:rPr>
          <w:rFonts w:ascii="宋体" w:hAnsi="宋体" w:cs="宋体"/>
          <w:sz w:val="24"/>
          <w:highlight w:val="none"/>
          <w:lang w:bidi="ar"/>
        </w:rPr>
      </w:pP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 7 \* GB3 \* MERGEFORMAT </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⑦</w:t>
      </w:r>
      <w:r>
        <w:rPr>
          <w:rFonts w:hint="eastAsia" w:ascii="宋体" w:hAnsi="宋体" w:cs="宋体"/>
          <w:sz w:val="24"/>
          <w:highlight w:val="none"/>
          <w:lang w:bidi="ar"/>
        </w:rPr>
        <w:fldChar w:fldCharType="end"/>
      </w:r>
      <w:r>
        <w:rPr>
          <w:rFonts w:hint="eastAsia" w:ascii="宋体" w:hAnsi="宋体" w:cs="宋体"/>
          <w:sz w:val="24"/>
          <w:highlight w:val="none"/>
          <w:lang w:bidi="ar"/>
        </w:rPr>
        <w:t>采用社会公共网络平台实施合作事项时，严禁涉及国家秘密和警务工作秘密。</w:t>
      </w:r>
    </w:p>
    <w:p>
      <w:pPr>
        <w:widowControl/>
        <w:spacing w:line="460" w:lineRule="exact"/>
        <w:ind w:firstLine="480" w:firstLineChars="200"/>
        <w:jc w:val="left"/>
        <w:outlineLvl w:val="1"/>
        <w:rPr>
          <w:rFonts w:ascii="宋体" w:hAnsi="宋体" w:cs="宋体"/>
          <w:sz w:val="24"/>
          <w:highlight w:val="none"/>
          <w:lang w:bidi="ar"/>
        </w:rPr>
      </w:pPr>
      <w:r>
        <w:rPr>
          <w:rFonts w:hint="eastAsia" w:ascii="宋体" w:hAnsi="宋体" w:cs="宋体"/>
          <w:sz w:val="24"/>
          <w:highlight w:val="none"/>
          <w:lang w:bidi="ar"/>
        </w:rPr>
        <w:fldChar w:fldCharType="begin"/>
      </w:r>
      <w:r>
        <w:rPr>
          <w:rFonts w:hint="eastAsia" w:ascii="宋体" w:hAnsi="宋体" w:cs="宋体"/>
          <w:sz w:val="24"/>
          <w:highlight w:val="none"/>
          <w:lang w:bidi="ar"/>
        </w:rPr>
        <w:instrText xml:space="preserve"> = 8 \* GB3 \* MERGEFORMAT </w:instrText>
      </w:r>
      <w:r>
        <w:rPr>
          <w:rFonts w:hint="eastAsia" w:ascii="宋体" w:hAnsi="宋体" w:cs="宋体"/>
          <w:sz w:val="24"/>
          <w:highlight w:val="none"/>
          <w:lang w:bidi="ar"/>
        </w:rPr>
        <w:fldChar w:fldCharType="separate"/>
      </w:r>
      <w:r>
        <w:rPr>
          <w:rFonts w:hint="eastAsia" w:ascii="宋体" w:hAnsi="宋体" w:cs="宋体"/>
          <w:sz w:val="24"/>
          <w:highlight w:val="none"/>
          <w:lang w:bidi="ar"/>
        </w:rPr>
        <w:t>⑧</w:t>
      </w:r>
      <w:r>
        <w:rPr>
          <w:rFonts w:hint="eastAsia" w:ascii="宋体" w:hAnsi="宋体" w:cs="宋体"/>
          <w:sz w:val="24"/>
          <w:highlight w:val="none"/>
          <w:lang w:bidi="ar"/>
        </w:rPr>
        <w:fldChar w:fldCharType="end"/>
      </w:r>
      <w:r>
        <w:rPr>
          <w:rFonts w:hint="eastAsia" w:ascii="宋体" w:hAnsi="宋体" w:cs="宋体"/>
          <w:sz w:val="24"/>
          <w:highlight w:val="none"/>
          <w:lang w:bidi="ar"/>
        </w:rPr>
        <w:t>乙方应每年向甲方提交网络安全报告。</w:t>
      </w:r>
    </w:p>
    <w:p>
      <w:pPr>
        <w:spacing w:line="460" w:lineRule="exact"/>
        <w:ind w:firstLine="480" w:firstLineChars="200"/>
        <w:jc w:val="left"/>
        <w:outlineLvl w:val="1"/>
        <w:rPr>
          <w:rFonts w:ascii="宋体" w:hAnsi="宋体" w:cs="宋体"/>
          <w:sz w:val="24"/>
          <w:highlight w:val="none"/>
        </w:rPr>
      </w:pPr>
      <w:r>
        <w:rPr>
          <w:rFonts w:hint="eastAsia" w:ascii="宋体" w:hAnsi="宋体" w:cs="宋体"/>
          <w:sz w:val="24"/>
          <w:highlight w:val="none"/>
          <w:lang w:bidi="ar"/>
        </w:rPr>
        <w:t>⑨其他应当落实的网络安全责任和义务</w:t>
      </w:r>
      <w:r>
        <w:rPr>
          <w:rFonts w:hint="eastAsia" w:ascii="宋体" w:hAnsi="宋体" w:cs="宋体"/>
          <w:sz w:val="24"/>
          <w:highlight w:val="none"/>
        </w:rPr>
        <w:t>。</w:t>
      </w:r>
    </w:p>
    <w:p>
      <w:pPr>
        <w:widowControl/>
        <w:spacing w:line="460" w:lineRule="exact"/>
        <w:jc w:val="left"/>
        <w:outlineLvl w:val="1"/>
        <w:rPr>
          <w:rFonts w:ascii="宋体" w:hAnsi="宋体" w:cs="宋体"/>
          <w:b/>
          <w:bCs/>
          <w:sz w:val="24"/>
          <w:highlight w:val="none"/>
          <w:lang w:bidi="ar"/>
        </w:rPr>
      </w:pPr>
      <w:r>
        <w:rPr>
          <w:rFonts w:hint="eastAsia" w:ascii="宋体" w:hAnsi="宋体" w:cs="宋体"/>
          <w:b/>
          <w:bCs/>
          <w:sz w:val="24"/>
          <w:highlight w:val="none"/>
          <w:lang w:bidi="ar"/>
        </w:rPr>
        <w:t>8、知识产权：</w:t>
      </w:r>
    </w:p>
    <w:p>
      <w:pPr>
        <w:widowControl/>
        <w:spacing w:line="460" w:lineRule="exact"/>
        <w:ind w:firstLine="480" w:firstLineChars="200"/>
        <w:jc w:val="left"/>
        <w:outlineLvl w:val="1"/>
        <w:rPr>
          <w:rFonts w:ascii="宋体" w:hAnsi="宋体" w:cs="宋体"/>
          <w:sz w:val="24"/>
          <w:highlight w:val="none"/>
          <w:lang w:bidi="ar"/>
        </w:rPr>
      </w:pPr>
      <w:r>
        <w:rPr>
          <w:rFonts w:hint="eastAsia" w:ascii="宋体" w:hAnsi="宋体" w:cs="宋体"/>
          <w:sz w:val="24"/>
          <w:highlight w:val="none"/>
          <w:lang w:bidi="ar"/>
        </w:rPr>
        <w:t>乙方应保证用户在使用投标标的物或其任何一部分时不受任何第三方提出的侵犯其著作权、商标权、专利权等知识产权方面的起诉；如果任何第三方提出侵权指控，那么乙方须与该第三方交涉并承担由此发生的一切责任、费用和赔偿；乙方已获取的知识产权归承建方所有，若涉及定制化部分的知识产权均归属于用户。</w:t>
      </w:r>
    </w:p>
    <w:p>
      <w:pPr>
        <w:widowControl/>
        <w:spacing w:line="460" w:lineRule="exact"/>
        <w:ind w:firstLine="420" w:firstLineChars="200"/>
        <w:jc w:val="left"/>
        <w:outlineLvl w:val="1"/>
        <w:rPr>
          <w:rFonts w:ascii="宋体" w:hAnsi="宋体" w:cs="宋体"/>
          <w:highlight w:val="none"/>
        </w:rPr>
      </w:pPr>
    </w:p>
    <w:p>
      <w:pPr>
        <w:rPr>
          <w:rFonts w:ascii="宋体" w:hAnsi="宋体" w:cs="宋体"/>
          <w:highlight w:val="none"/>
        </w:rPr>
      </w:pPr>
    </w:p>
    <w:p>
      <w:pPr>
        <w:pStyle w:val="2"/>
        <w:rPr>
          <w:rFonts w:hAnsi="宋体" w:cs="宋体"/>
          <w:b/>
          <w:bCs/>
          <w:highlight w:val="none"/>
          <w:lang w:val="en-US"/>
        </w:rPr>
      </w:pPr>
      <w:r>
        <w:rPr>
          <w:rFonts w:hint="eastAsia" w:hAnsi="宋体" w:cs="宋体"/>
          <w:b/>
          <w:bCs/>
          <w:highlight w:val="none"/>
          <w:lang w:val="en-US"/>
        </w:rPr>
        <w:t>附件1：合同价格清单</w:t>
      </w:r>
    </w:p>
    <w:tbl>
      <w:tblPr>
        <w:tblStyle w:val="62"/>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5"/>
        <w:gridCol w:w="1292"/>
        <w:gridCol w:w="3888"/>
        <w:gridCol w:w="732"/>
        <w:gridCol w:w="524"/>
        <w:gridCol w:w="731"/>
        <w:gridCol w:w="85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95"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序号</w:t>
            </w:r>
          </w:p>
        </w:tc>
        <w:tc>
          <w:tcPr>
            <w:tcW w:w="129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名称</w:t>
            </w:r>
          </w:p>
        </w:tc>
        <w:tc>
          <w:tcPr>
            <w:tcW w:w="3888"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内容</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数量</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单位</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单价（元）</w:t>
            </w: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总价（元）</w:t>
            </w: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备注（中小、小微企业提供的服务内容）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1</w:t>
            </w:r>
          </w:p>
        </w:tc>
        <w:tc>
          <w:tcPr>
            <w:tcW w:w="129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等保测评服务</w:t>
            </w:r>
          </w:p>
        </w:tc>
        <w:tc>
          <w:tcPr>
            <w:tcW w:w="3888" w:type="dxa"/>
            <w:shd w:val="clear" w:color="auto" w:fill="auto"/>
            <w:vAlign w:val="center"/>
          </w:tcPr>
          <w:p>
            <w:pPr>
              <w:spacing w:before="156" w:beforeLines="50" w:line="360" w:lineRule="auto"/>
              <w:jc w:val="left"/>
              <w:rPr>
                <w:rFonts w:ascii="宋体" w:hAnsi="宋体" w:cs="宋体"/>
                <w:sz w:val="24"/>
                <w:highlight w:val="none"/>
              </w:rPr>
            </w:pPr>
            <w:r>
              <w:rPr>
                <w:rFonts w:hint="eastAsia" w:ascii="宋体" w:hAnsi="宋体" w:cs="宋体"/>
                <w:sz w:val="24"/>
                <w:highlight w:val="none"/>
              </w:rPr>
              <w:t>1、对于测评结论符合等保要求的，出具测评报告及整改建议书。</w:t>
            </w:r>
          </w:p>
          <w:p>
            <w:pPr>
              <w:spacing w:before="156" w:beforeLines="50" w:line="360" w:lineRule="auto"/>
              <w:jc w:val="left"/>
              <w:rPr>
                <w:rFonts w:ascii="宋体" w:hAnsi="宋体" w:cs="宋体"/>
                <w:sz w:val="24"/>
                <w:highlight w:val="none"/>
              </w:rPr>
            </w:pPr>
            <w:r>
              <w:rPr>
                <w:rFonts w:hint="eastAsia" w:ascii="宋体" w:hAnsi="宋体" w:cs="宋体"/>
                <w:sz w:val="24"/>
                <w:highlight w:val="none"/>
              </w:rPr>
              <w:t>2、对于测评结论不符合等保要求的，出具差距分析报告及整改建议书。</w:t>
            </w:r>
          </w:p>
          <w:p>
            <w:pPr>
              <w:spacing w:before="156" w:beforeLines="50" w:line="360" w:lineRule="auto"/>
              <w:jc w:val="left"/>
              <w:rPr>
                <w:rFonts w:ascii="宋体" w:hAnsi="宋体" w:cs="宋体"/>
                <w:sz w:val="24"/>
                <w:highlight w:val="none"/>
              </w:rPr>
            </w:pPr>
            <w:r>
              <w:rPr>
                <w:rFonts w:hint="eastAsia" w:ascii="宋体" w:hAnsi="宋体" w:cs="宋体"/>
                <w:sz w:val="24"/>
                <w:highlight w:val="none"/>
              </w:rPr>
              <w:t>3、本项目服务期内测评系统数量不少于25个。</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25</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个</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vMerge w:val="restart"/>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2</w:t>
            </w:r>
          </w:p>
        </w:tc>
        <w:tc>
          <w:tcPr>
            <w:tcW w:w="1292" w:type="dxa"/>
            <w:vMerge w:val="restart"/>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数据库审计服务</w:t>
            </w:r>
          </w:p>
        </w:tc>
        <w:tc>
          <w:tcPr>
            <w:tcW w:w="3888" w:type="dxa"/>
            <w:shd w:val="clear" w:color="auto" w:fill="auto"/>
            <w:vAlign w:val="center"/>
          </w:tcPr>
          <w:p>
            <w:pPr>
              <w:spacing w:before="156" w:beforeLines="50" w:line="360" w:lineRule="auto"/>
              <w:jc w:val="left"/>
              <w:rPr>
                <w:rFonts w:ascii="宋体" w:hAnsi="宋体" w:cs="宋体"/>
                <w:sz w:val="24"/>
                <w:highlight w:val="none"/>
              </w:rPr>
            </w:pPr>
            <w:r>
              <w:rPr>
                <w:rFonts w:hint="eastAsia" w:ascii="宋体" w:hAnsi="宋体" w:cs="宋体"/>
                <w:sz w:val="24"/>
                <w:highlight w:val="none"/>
              </w:rPr>
              <w:t>政务网不少于2套（不限制支持的数据库实例个数）</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2</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套</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vMerge w:val="continue"/>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292" w:type="dxa"/>
            <w:vMerge w:val="continue"/>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3888" w:type="dxa"/>
            <w:shd w:val="clear" w:color="auto" w:fill="auto"/>
            <w:vAlign w:val="center"/>
          </w:tcPr>
          <w:p>
            <w:pPr>
              <w:spacing w:before="156" w:beforeLines="50" w:line="360" w:lineRule="auto"/>
              <w:jc w:val="left"/>
              <w:rPr>
                <w:rFonts w:ascii="宋体" w:hAnsi="宋体" w:cs="宋体"/>
                <w:sz w:val="24"/>
                <w:highlight w:val="none"/>
              </w:rPr>
            </w:pPr>
            <w:r>
              <w:rPr>
                <w:rFonts w:hint="eastAsia" w:ascii="宋体" w:hAnsi="宋体" w:cs="宋体"/>
                <w:sz w:val="24"/>
                <w:highlight w:val="none"/>
              </w:rPr>
              <w:t>视频专网不少于4台</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4</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台</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vMerge w:val="continue"/>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292" w:type="dxa"/>
            <w:vMerge w:val="continue"/>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3888" w:type="dxa"/>
            <w:shd w:val="clear" w:color="auto" w:fill="auto"/>
            <w:vAlign w:val="center"/>
          </w:tcPr>
          <w:p>
            <w:pPr>
              <w:spacing w:before="156" w:beforeLines="50" w:line="360" w:lineRule="auto"/>
              <w:jc w:val="left"/>
              <w:rPr>
                <w:rFonts w:ascii="宋体" w:hAnsi="宋体" w:cs="宋体"/>
                <w:sz w:val="24"/>
                <w:highlight w:val="none"/>
              </w:rPr>
            </w:pPr>
            <w:r>
              <w:rPr>
                <w:rFonts w:hint="eastAsia" w:ascii="宋体" w:hAnsi="宋体" w:cs="宋体"/>
                <w:sz w:val="24"/>
                <w:highlight w:val="none"/>
              </w:rPr>
              <w:t>公安网不少于6台</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6</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台</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3</w:t>
            </w:r>
          </w:p>
        </w:tc>
        <w:tc>
          <w:tcPr>
            <w:tcW w:w="129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政务网云日志审计服务</w:t>
            </w:r>
          </w:p>
        </w:tc>
        <w:tc>
          <w:tcPr>
            <w:tcW w:w="3888" w:type="dxa"/>
            <w:shd w:val="clear" w:color="auto" w:fill="auto"/>
            <w:vAlign w:val="center"/>
          </w:tcPr>
          <w:p>
            <w:pPr>
              <w:pStyle w:val="58"/>
              <w:spacing w:before="156" w:beforeLines="50" w:beforeAutospacing="0" w:after="0" w:afterAutospacing="0" w:line="360" w:lineRule="auto"/>
              <w:rPr>
                <w:rFonts w:cs="宋体"/>
                <w:highlight w:val="none"/>
              </w:rPr>
            </w:pPr>
            <w:r>
              <w:rPr>
                <w:rFonts w:hint="eastAsia" w:cs="宋体"/>
                <w:highlight w:val="none"/>
              </w:rPr>
              <w:t>提供不少于2套政务网日志审计（每</w:t>
            </w:r>
          </w:p>
          <w:p>
            <w:pPr>
              <w:pStyle w:val="58"/>
              <w:spacing w:before="156" w:beforeLines="50" w:beforeAutospacing="0" w:after="0" w:afterAutospacing="0" w:line="360" w:lineRule="auto"/>
              <w:rPr>
                <w:rFonts w:cs="宋体"/>
                <w:highlight w:val="none"/>
              </w:rPr>
            </w:pPr>
            <w:r>
              <w:rPr>
                <w:rFonts w:hint="eastAsia" w:cs="宋体"/>
                <w:highlight w:val="none"/>
              </w:rPr>
              <w:t>套支持500个日志源授权）</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2</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套</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4</w:t>
            </w:r>
          </w:p>
        </w:tc>
        <w:tc>
          <w:tcPr>
            <w:tcW w:w="129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政务网态势感知服务</w:t>
            </w:r>
          </w:p>
        </w:tc>
        <w:tc>
          <w:tcPr>
            <w:tcW w:w="3888" w:type="dxa"/>
            <w:shd w:val="clear" w:color="auto" w:fill="auto"/>
            <w:vAlign w:val="center"/>
          </w:tcPr>
          <w:p>
            <w:pPr>
              <w:pStyle w:val="58"/>
              <w:spacing w:before="156" w:beforeLines="50" w:beforeAutospacing="0" w:after="0" w:afterAutospacing="0" w:line="360" w:lineRule="auto"/>
              <w:rPr>
                <w:rFonts w:cs="宋体"/>
                <w:highlight w:val="none"/>
              </w:rPr>
            </w:pPr>
            <w:r>
              <w:rPr>
                <w:rFonts w:hint="eastAsia" w:cs="宋体"/>
                <w:highlight w:val="none"/>
              </w:rPr>
              <w:t>提供1套政务网态势感知</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1</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套</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vMerge w:val="restart"/>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5</w:t>
            </w:r>
          </w:p>
        </w:tc>
        <w:tc>
          <w:tcPr>
            <w:tcW w:w="1292" w:type="dxa"/>
            <w:vMerge w:val="restart"/>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SaaS化安全服务</w:t>
            </w:r>
          </w:p>
        </w:tc>
        <w:tc>
          <w:tcPr>
            <w:tcW w:w="3888" w:type="dxa"/>
            <w:shd w:val="clear" w:color="auto" w:fill="auto"/>
            <w:vAlign w:val="center"/>
          </w:tcPr>
          <w:p>
            <w:pPr>
              <w:pStyle w:val="58"/>
              <w:spacing w:before="156" w:beforeLines="50" w:beforeAutospacing="0" w:after="0" w:afterAutospacing="0" w:line="360" w:lineRule="auto"/>
              <w:rPr>
                <w:rFonts w:cs="宋体"/>
                <w:highlight w:val="none"/>
              </w:rPr>
            </w:pPr>
            <w:r>
              <w:rPr>
                <w:rFonts w:hint="eastAsia" w:cs="宋体"/>
                <w:highlight w:val="none"/>
              </w:rPr>
              <w:t>提供不超过10个主域名的云防护服务（每个主域名+10个子域名）</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10</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个</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vMerge w:val="continue"/>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292" w:type="dxa"/>
            <w:vMerge w:val="continue"/>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3888" w:type="dxa"/>
            <w:shd w:val="clear" w:color="auto" w:fill="auto"/>
            <w:vAlign w:val="center"/>
          </w:tcPr>
          <w:p>
            <w:pPr>
              <w:pStyle w:val="58"/>
              <w:spacing w:before="156" w:beforeLines="50" w:beforeAutospacing="0" w:after="0" w:afterAutospacing="0" w:line="360" w:lineRule="auto"/>
              <w:rPr>
                <w:rFonts w:cs="宋体"/>
                <w:highlight w:val="none"/>
              </w:rPr>
            </w:pPr>
            <w:r>
              <w:rPr>
                <w:rFonts w:hint="eastAsia" w:cs="宋体"/>
                <w:highlight w:val="none"/>
              </w:rPr>
              <w:t>提供不超过10个主域名的云监测服务</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10</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个</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595"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6</w:t>
            </w:r>
          </w:p>
        </w:tc>
        <w:tc>
          <w:tcPr>
            <w:tcW w:w="129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公安网安全风险感知服务</w:t>
            </w:r>
          </w:p>
        </w:tc>
        <w:tc>
          <w:tcPr>
            <w:tcW w:w="3888" w:type="dxa"/>
            <w:shd w:val="clear" w:color="auto" w:fill="auto"/>
            <w:vAlign w:val="center"/>
          </w:tcPr>
          <w:p>
            <w:pPr>
              <w:spacing w:before="156" w:beforeLines="50" w:line="360" w:lineRule="auto"/>
              <w:jc w:val="left"/>
              <w:rPr>
                <w:rFonts w:ascii="宋体" w:hAnsi="宋体" w:cs="宋体"/>
                <w:sz w:val="24"/>
                <w:highlight w:val="none"/>
              </w:rPr>
            </w:pPr>
            <w:r>
              <w:rPr>
                <w:rFonts w:hint="eastAsia" w:ascii="宋体" w:hAnsi="宋体" w:cs="宋体"/>
                <w:sz w:val="24"/>
                <w:highlight w:val="none"/>
              </w:rPr>
              <w:t>提供不少于8次的安全风险感知服务支持</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8</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次</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8" w:hRule="atLeast"/>
          <w:jc w:val="center"/>
        </w:trPr>
        <w:tc>
          <w:tcPr>
            <w:tcW w:w="595" w:type="dxa"/>
            <w:vMerge w:val="restart"/>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7</w:t>
            </w:r>
          </w:p>
        </w:tc>
        <w:tc>
          <w:tcPr>
            <w:tcW w:w="1292" w:type="dxa"/>
            <w:vMerge w:val="restart"/>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公安网桌面云服务</w:t>
            </w:r>
          </w:p>
        </w:tc>
        <w:tc>
          <w:tcPr>
            <w:tcW w:w="3888" w:type="dxa"/>
            <w:shd w:val="clear" w:color="auto" w:fill="auto"/>
            <w:vAlign w:val="center"/>
          </w:tcPr>
          <w:p>
            <w:pPr>
              <w:rPr>
                <w:highlight w:val="none"/>
              </w:rPr>
            </w:pPr>
            <w:r>
              <w:rPr>
                <w:rFonts w:hint="eastAsia" w:ascii="宋体" w:hAnsi="宋体" w:cs="宋体"/>
                <w:sz w:val="24"/>
                <w:highlight w:val="none"/>
              </w:rPr>
              <w:t>提供不低于300点云桌面授权</w:t>
            </w:r>
          </w:p>
          <w:p>
            <w:pPr>
              <w:widowControl/>
              <w:spacing w:before="156" w:beforeLines="50" w:line="360" w:lineRule="auto"/>
              <w:jc w:val="left"/>
              <w:rPr>
                <w:rFonts w:ascii="宋体" w:hAnsi="宋体" w:cs="宋体"/>
                <w:sz w:val="24"/>
                <w:highlight w:val="none"/>
              </w:rPr>
            </w:pPr>
            <w:r>
              <w:rPr>
                <w:rFonts w:hint="eastAsia" w:ascii="宋体" w:hAnsi="宋体" w:cs="宋体"/>
                <w:sz w:val="24"/>
                <w:highlight w:val="none"/>
              </w:rPr>
              <w:t>（平均每个人员使用的资源不低于2核8G内存和300G磁盘空间）</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300</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点</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8" w:hRule="atLeast"/>
          <w:jc w:val="center"/>
        </w:trPr>
        <w:tc>
          <w:tcPr>
            <w:tcW w:w="595" w:type="dxa"/>
            <w:vMerge w:val="continue"/>
            <w:shd w:val="clear" w:color="auto" w:fill="auto"/>
            <w:vAlign w:val="center"/>
          </w:tcPr>
          <w:p>
            <w:pPr>
              <w:pStyle w:val="58"/>
              <w:spacing w:before="156" w:beforeLines="50" w:beforeAutospacing="0" w:after="0" w:afterAutospacing="0" w:line="360" w:lineRule="auto"/>
              <w:jc w:val="center"/>
              <w:rPr>
                <w:highlight w:val="none"/>
              </w:rPr>
            </w:pPr>
          </w:p>
        </w:tc>
        <w:tc>
          <w:tcPr>
            <w:tcW w:w="1292" w:type="dxa"/>
            <w:vMerge w:val="continue"/>
            <w:shd w:val="clear" w:color="auto" w:fill="auto"/>
            <w:vAlign w:val="center"/>
          </w:tcPr>
          <w:p>
            <w:pPr>
              <w:pStyle w:val="58"/>
              <w:spacing w:before="156" w:beforeLines="50" w:beforeAutospacing="0" w:after="0" w:afterAutospacing="0" w:line="360" w:lineRule="auto"/>
              <w:jc w:val="center"/>
              <w:rPr>
                <w:highlight w:val="none"/>
              </w:rPr>
            </w:pPr>
          </w:p>
        </w:tc>
        <w:tc>
          <w:tcPr>
            <w:tcW w:w="3888" w:type="dxa"/>
            <w:shd w:val="clear" w:color="auto" w:fill="auto"/>
            <w:vAlign w:val="center"/>
          </w:tcPr>
          <w:p>
            <w:pPr>
              <w:pStyle w:val="2"/>
              <w:spacing w:before="156" w:beforeLines="50"/>
              <w:jc w:val="left"/>
              <w:rPr>
                <w:rFonts w:hAnsi="宋体" w:cs="宋体"/>
                <w:szCs w:val="24"/>
                <w:highlight w:val="none"/>
              </w:rPr>
            </w:pPr>
            <w:r>
              <w:rPr>
                <w:rFonts w:hint="eastAsia" w:hAnsi="宋体" w:cs="宋体"/>
                <w:szCs w:val="24"/>
                <w:highlight w:val="none"/>
                <w:lang w:val="en-US"/>
              </w:rPr>
              <w:t>提供</w:t>
            </w:r>
            <w:r>
              <w:rPr>
                <w:rFonts w:hint="eastAsia" w:hAnsi="宋体" w:cs="宋体"/>
                <w:szCs w:val="24"/>
                <w:highlight w:val="none"/>
              </w:rPr>
              <w:t>不低于35台瘦终端</w:t>
            </w:r>
          </w:p>
          <w:p>
            <w:pPr>
              <w:pStyle w:val="2"/>
              <w:spacing w:before="156" w:beforeLines="50"/>
              <w:jc w:val="left"/>
              <w:rPr>
                <w:rFonts w:hAnsi="宋体" w:cs="宋体"/>
                <w:szCs w:val="24"/>
                <w:highlight w:val="none"/>
              </w:rPr>
            </w:pPr>
            <w:r>
              <w:rPr>
                <w:rFonts w:hint="eastAsia" w:hAnsi="宋体" w:cs="宋体"/>
                <w:szCs w:val="24"/>
                <w:highlight w:val="none"/>
              </w:rPr>
              <w:t>（</w:t>
            </w:r>
            <w:r>
              <w:rPr>
                <w:rFonts w:hint="eastAsia" w:hAnsi="宋体" w:cs="宋体"/>
                <w:color w:val="0000FF"/>
                <w:szCs w:val="24"/>
                <w:highlight w:val="none"/>
                <w:lang w:val="en-US"/>
              </w:rPr>
              <w:t>每台终端</w:t>
            </w:r>
            <w:r>
              <w:rPr>
                <w:rFonts w:hint="eastAsia" w:hAnsi="宋体" w:cs="宋体"/>
                <w:szCs w:val="24"/>
                <w:highlight w:val="none"/>
              </w:rPr>
              <w:t>不低于2核8G内存和300G磁盘空间）</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35</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台</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8</w:t>
            </w:r>
          </w:p>
        </w:tc>
        <w:tc>
          <w:tcPr>
            <w:tcW w:w="129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公安网一机两用服务</w:t>
            </w:r>
          </w:p>
        </w:tc>
        <w:tc>
          <w:tcPr>
            <w:tcW w:w="3888" w:type="dxa"/>
            <w:shd w:val="clear" w:color="auto" w:fill="auto"/>
            <w:vAlign w:val="center"/>
          </w:tcPr>
          <w:p>
            <w:pPr>
              <w:spacing w:before="156" w:beforeLines="50" w:line="360" w:lineRule="auto"/>
              <w:jc w:val="left"/>
              <w:rPr>
                <w:rFonts w:ascii="宋体" w:hAnsi="宋体" w:cs="宋体"/>
                <w:sz w:val="24"/>
                <w:highlight w:val="none"/>
                <w:lang w:eastAsia="zh-Hans"/>
              </w:rPr>
            </w:pPr>
            <w:r>
              <w:rPr>
                <w:rFonts w:hint="eastAsia" w:ascii="宋体" w:hAnsi="宋体" w:cs="宋体"/>
                <w:sz w:val="24"/>
                <w:highlight w:val="none"/>
                <w:lang w:eastAsia="zh-Hans"/>
              </w:rPr>
              <w:t>1、定期巡检服务，为杭州市公安局“一机两用”监控系统提供每月一次的巡检服务。</w:t>
            </w:r>
          </w:p>
          <w:p>
            <w:pPr>
              <w:spacing w:before="156" w:beforeLines="50" w:line="360" w:lineRule="auto"/>
              <w:jc w:val="left"/>
              <w:rPr>
                <w:rFonts w:ascii="宋体" w:hAnsi="宋体" w:cs="宋体"/>
                <w:sz w:val="24"/>
                <w:highlight w:val="none"/>
              </w:rPr>
            </w:pPr>
            <w:r>
              <w:rPr>
                <w:rFonts w:hint="eastAsia" w:ascii="宋体" w:hAnsi="宋体" w:cs="宋体"/>
                <w:sz w:val="24"/>
                <w:highlight w:val="none"/>
                <w:lang w:eastAsia="zh-Hans"/>
              </w:rPr>
              <w:t>2、技术支持服务，每月10日至20日使用专用工具对服务器列表进行清理，确保每月服务器漏洞扫描工作的准确性；每月20日至下月10日，使用专用工具对杭州市公安局“一机两用”监控系统注册率、“一机两用”监控系统补丁下载率、防病毒软件覆盖率等公安部考核数据进行清理。</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1</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项</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vMerge w:val="restart"/>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9</w:t>
            </w:r>
          </w:p>
          <w:p>
            <w:pPr>
              <w:pStyle w:val="58"/>
              <w:spacing w:before="156" w:beforeLines="50" w:beforeAutospacing="0" w:after="0" w:afterAutospacing="0" w:line="360" w:lineRule="auto"/>
              <w:jc w:val="center"/>
              <w:rPr>
                <w:rFonts w:cs="宋体"/>
                <w:highlight w:val="none"/>
              </w:rPr>
            </w:pPr>
          </w:p>
        </w:tc>
        <w:tc>
          <w:tcPr>
            <w:tcW w:w="1292" w:type="dxa"/>
            <w:vMerge w:val="restart"/>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视频网终端杀毒服务</w:t>
            </w:r>
          </w:p>
          <w:p>
            <w:pPr>
              <w:pStyle w:val="58"/>
              <w:spacing w:before="156" w:beforeLines="50" w:beforeAutospacing="0" w:after="0" w:afterAutospacing="0" w:line="360" w:lineRule="auto"/>
              <w:jc w:val="center"/>
              <w:rPr>
                <w:rFonts w:cs="宋体"/>
                <w:highlight w:val="none"/>
              </w:rPr>
            </w:pPr>
          </w:p>
        </w:tc>
        <w:tc>
          <w:tcPr>
            <w:tcW w:w="3888" w:type="dxa"/>
            <w:shd w:val="clear" w:color="auto" w:fill="auto"/>
            <w:vAlign w:val="center"/>
          </w:tcPr>
          <w:p>
            <w:pPr>
              <w:spacing w:before="156" w:beforeLines="50" w:line="360" w:lineRule="auto"/>
              <w:jc w:val="left"/>
              <w:rPr>
                <w:rFonts w:ascii="宋体" w:hAnsi="宋体" w:cs="宋体"/>
                <w:sz w:val="24"/>
                <w:highlight w:val="none"/>
              </w:rPr>
            </w:pPr>
            <w:r>
              <w:rPr>
                <w:rFonts w:hint="eastAsia" w:ascii="宋体" w:hAnsi="宋体" w:cs="宋体"/>
                <w:sz w:val="24"/>
                <w:highlight w:val="none"/>
              </w:rPr>
              <w:t>提供不少于1500点PC终端</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1500</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点</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0" w:hRule="atLeast"/>
          <w:jc w:val="center"/>
        </w:trPr>
        <w:tc>
          <w:tcPr>
            <w:tcW w:w="595" w:type="dxa"/>
            <w:vMerge w:val="continue"/>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292" w:type="dxa"/>
            <w:vMerge w:val="continue"/>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3888" w:type="dxa"/>
            <w:shd w:val="clear" w:color="auto" w:fill="auto"/>
            <w:vAlign w:val="center"/>
          </w:tcPr>
          <w:p>
            <w:pPr>
              <w:spacing w:before="156" w:beforeLines="50" w:line="360" w:lineRule="auto"/>
              <w:jc w:val="left"/>
              <w:rPr>
                <w:rFonts w:ascii="宋体" w:hAnsi="宋体" w:cs="宋体"/>
                <w:sz w:val="24"/>
                <w:highlight w:val="none"/>
              </w:rPr>
            </w:pPr>
            <w:r>
              <w:rPr>
                <w:rFonts w:hint="eastAsia" w:ascii="宋体" w:hAnsi="宋体" w:cs="宋体"/>
                <w:sz w:val="24"/>
                <w:highlight w:val="none"/>
              </w:rPr>
              <w:t>提供不少于250点服务器授权</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250</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点</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10</w:t>
            </w:r>
          </w:p>
        </w:tc>
        <w:tc>
          <w:tcPr>
            <w:tcW w:w="1292" w:type="dxa"/>
            <w:shd w:val="clear" w:color="auto" w:fill="auto"/>
            <w:vAlign w:val="center"/>
          </w:tcPr>
          <w:p>
            <w:pPr>
              <w:pStyle w:val="58"/>
              <w:spacing w:before="156" w:beforeLines="50" w:beforeAutospacing="0" w:after="0" w:afterAutospacing="0" w:line="360" w:lineRule="auto"/>
              <w:jc w:val="center"/>
              <w:rPr>
                <w:rFonts w:cs="宋体"/>
                <w:highlight w:val="none"/>
                <w:lang w:eastAsia="zh-Hans"/>
              </w:rPr>
            </w:pPr>
            <w:r>
              <w:rPr>
                <w:rFonts w:hint="eastAsia" w:cs="宋体"/>
                <w:highlight w:val="none"/>
              </w:rPr>
              <w:t>系统安全检测</w:t>
            </w:r>
          </w:p>
        </w:tc>
        <w:tc>
          <w:tcPr>
            <w:tcW w:w="3888" w:type="dxa"/>
            <w:shd w:val="clear" w:color="auto" w:fill="auto"/>
            <w:vAlign w:val="center"/>
          </w:tcPr>
          <w:p>
            <w:pPr>
              <w:spacing w:before="156" w:beforeLines="50" w:line="360" w:lineRule="auto"/>
              <w:jc w:val="left"/>
              <w:rPr>
                <w:rFonts w:ascii="宋体" w:hAnsi="宋体" w:cs="宋体"/>
                <w:sz w:val="24"/>
                <w:highlight w:val="none"/>
              </w:rPr>
            </w:pPr>
            <w:r>
              <w:rPr>
                <w:rFonts w:hint="eastAsia" w:ascii="宋体" w:hAnsi="宋体" w:cs="宋体"/>
                <w:sz w:val="24"/>
                <w:highlight w:val="none"/>
              </w:rPr>
              <w:t>不少于6次系统安全检测。</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6</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次</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11</w:t>
            </w:r>
          </w:p>
        </w:tc>
        <w:tc>
          <w:tcPr>
            <w:tcW w:w="129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网络安全检查</w:t>
            </w:r>
          </w:p>
        </w:tc>
        <w:tc>
          <w:tcPr>
            <w:tcW w:w="3888" w:type="dxa"/>
            <w:shd w:val="clear" w:color="auto" w:fill="auto"/>
            <w:vAlign w:val="center"/>
          </w:tcPr>
          <w:p>
            <w:pPr>
              <w:spacing w:before="156" w:beforeLines="50" w:line="360" w:lineRule="auto"/>
              <w:jc w:val="left"/>
              <w:rPr>
                <w:rFonts w:ascii="宋体" w:hAnsi="宋体" w:cs="宋体"/>
                <w:sz w:val="24"/>
                <w:highlight w:val="none"/>
              </w:rPr>
            </w:pPr>
            <w:r>
              <w:rPr>
                <w:rFonts w:hint="eastAsia" w:ascii="宋体" w:hAnsi="宋体" w:cs="宋体"/>
                <w:kern w:val="0"/>
                <w:sz w:val="24"/>
                <w:highlight w:val="none"/>
              </w:rPr>
              <w:t>不少于3次网络安全检查。</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3</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次</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12</w:t>
            </w:r>
          </w:p>
        </w:tc>
        <w:tc>
          <w:tcPr>
            <w:tcW w:w="129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重保</w:t>
            </w:r>
          </w:p>
        </w:tc>
        <w:tc>
          <w:tcPr>
            <w:tcW w:w="3888" w:type="dxa"/>
            <w:shd w:val="clear" w:color="auto" w:fill="auto"/>
            <w:vAlign w:val="center"/>
          </w:tcPr>
          <w:p>
            <w:pPr>
              <w:spacing w:before="156" w:beforeLines="50" w:line="360" w:lineRule="auto"/>
              <w:jc w:val="left"/>
              <w:rPr>
                <w:rFonts w:ascii="宋体" w:hAnsi="宋体" w:cs="宋体"/>
                <w:sz w:val="24"/>
                <w:highlight w:val="none"/>
              </w:rPr>
            </w:pPr>
            <w:r>
              <w:rPr>
                <w:rFonts w:hint="eastAsia" w:ascii="宋体" w:hAnsi="宋体" w:cs="宋体"/>
                <w:sz w:val="24"/>
                <w:highlight w:val="none"/>
              </w:rPr>
              <w:t>不少于3次重大活动安全保障。</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3</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次</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13</w:t>
            </w:r>
          </w:p>
        </w:tc>
        <w:tc>
          <w:tcPr>
            <w:tcW w:w="129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应急响应</w:t>
            </w:r>
          </w:p>
        </w:tc>
        <w:tc>
          <w:tcPr>
            <w:tcW w:w="3888" w:type="dxa"/>
            <w:shd w:val="clear" w:color="auto" w:fill="auto"/>
            <w:vAlign w:val="center"/>
          </w:tcPr>
          <w:p>
            <w:pPr>
              <w:pStyle w:val="58"/>
              <w:spacing w:before="156" w:beforeLines="50" w:beforeAutospacing="0" w:after="0" w:afterAutospacing="0" w:line="360" w:lineRule="auto"/>
              <w:rPr>
                <w:rFonts w:cs="宋体"/>
                <w:highlight w:val="none"/>
              </w:rPr>
            </w:pPr>
            <w:r>
              <w:rPr>
                <w:rFonts w:hint="eastAsia" w:cs="宋体"/>
                <w:highlight w:val="none"/>
              </w:rPr>
              <w:t>按需提供应急响应服务，不少于8次。</w:t>
            </w:r>
          </w:p>
        </w:tc>
        <w:tc>
          <w:tcPr>
            <w:tcW w:w="732"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8</w:t>
            </w:r>
          </w:p>
        </w:tc>
        <w:tc>
          <w:tcPr>
            <w:tcW w:w="524"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次</w:t>
            </w:r>
          </w:p>
        </w:tc>
        <w:tc>
          <w:tcPr>
            <w:tcW w:w="731"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859" w:type="dxa"/>
            <w:shd w:val="clear" w:color="auto" w:fill="auto"/>
            <w:vAlign w:val="center"/>
          </w:tcPr>
          <w:p>
            <w:pPr>
              <w:pStyle w:val="58"/>
              <w:spacing w:before="156" w:beforeLines="50" w:beforeAutospacing="0" w:after="0" w:afterAutospacing="0" w:line="360" w:lineRule="auto"/>
              <w:jc w:val="center"/>
              <w:rPr>
                <w:rFonts w:cs="宋体"/>
                <w:highlight w:val="none"/>
              </w:rPr>
            </w:pPr>
          </w:p>
        </w:tc>
        <w:tc>
          <w:tcPr>
            <w:tcW w:w="1408" w:type="dxa"/>
            <w:shd w:val="clear" w:color="auto" w:fill="auto"/>
            <w:vAlign w:val="center"/>
          </w:tcPr>
          <w:p>
            <w:pPr>
              <w:pStyle w:val="58"/>
              <w:spacing w:before="156" w:beforeLines="50" w:beforeAutospacing="0" w:after="0" w:afterAutospacing="0" w:line="360" w:lineRule="auto"/>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 w:hRule="atLeast"/>
          <w:jc w:val="center"/>
        </w:trPr>
        <w:tc>
          <w:tcPr>
            <w:tcW w:w="595" w:type="dxa"/>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14</w:t>
            </w:r>
          </w:p>
        </w:tc>
        <w:tc>
          <w:tcPr>
            <w:tcW w:w="1292" w:type="dxa"/>
            <w:shd w:val="clear" w:color="auto" w:fill="auto"/>
            <w:vAlign w:val="center"/>
          </w:tcPr>
          <w:p>
            <w:pPr>
              <w:pStyle w:val="58"/>
              <w:spacing w:before="156" w:beforeLines="50" w:beforeAutospacing="0" w:after="0" w:afterAutospacing="0" w:line="360" w:lineRule="auto"/>
              <w:jc w:val="center"/>
              <w:rPr>
                <w:highlight w:val="none"/>
              </w:rPr>
            </w:pPr>
            <w:r>
              <w:rPr>
                <w:rFonts w:hint="eastAsia" w:cs="宋体"/>
                <w:highlight w:val="none"/>
              </w:rPr>
              <w:t>边界通道租赁服务</w:t>
            </w:r>
          </w:p>
        </w:tc>
        <w:tc>
          <w:tcPr>
            <w:tcW w:w="3888" w:type="dxa"/>
            <w:shd w:val="clear" w:color="auto" w:fill="auto"/>
            <w:vAlign w:val="center"/>
          </w:tcPr>
          <w:p>
            <w:pPr>
              <w:pStyle w:val="58"/>
              <w:spacing w:before="156" w:beforeLines="50" w:beforeAutospacing="0" w:after="0" w:afterAutospacing="0" w:line="360" w:lineRule="auto"/>
              <w:rPr>
                <w:rFonts w:cs="宋体"/>
                <w:highlight w:val="none"/>
              </w:rPr>
            </w:pPr>
            <w:r>
              <w:rPr>
                <w:rFonts w:hint="eastAsia" w:cs="宋体"/>
                <w:highlight w:val="none"/>
              </w:rPr>
              <w:t>共3条通道，每条都为（2+4+2）池化架构或其他架构来确保两侧交换系统及进出各单向2光闸的冗余能力，包含外侧防火墙。</w:t>
            </w:r>
          </w:p>
        </w:tc>
        <w:tc>
          <w:tcPr>
            <w:tcW w:w="732" w:type="dxa"/>
            <w:shd w:val="clear" w:color="auto" w:fill="auto"/>
            <w:vAlign w:val="center"/>
          </w:tcPr>
          <w:p>
            <w:pPr>
              <w:pStyle w:val="58"/>
              <w:spacing w:before="156" w:beforeLines="50" w:beforeAutospacing="0" w:after="0" w:afterAutospacing="0" w:line="360" w:lineRule="auto"/>
              <w:jc w:val="center"/>
              <w:rPr>
                <w:highlight w:val="none"/>
              </w:rPr>
            </w:pPr>
            <w:r>
              <w:rPr>
                <w:rFonts w:hint="eastAsia" w:cs="宋体"/>
                <w:highlight w:val="none"/>
              </w:rPr>
              <w:t>3</w:t>
            </w:r>
          </w:p>
        </w:tc>
        <w:tc>
          <w:tcPr>
            <w:tcW w:w="524" w:type="dxa"/>
            <w:shd w:val="clear" w:color="auto" w:fill="auto"/>
            <w:vAlign w:val="center"/>
          </w:tcPr>
          <w:p>
            <w:pPr>
              <w:pStyle w:val="58"/>
              <w:spacing w:before="156" w:beforeLines="50" w:beforeAutospacing="0" w:after="0" w:afterAutospacing="0" w:line="360" w:lineRule="auto"/>
              <w:jc w:val="center"/>
              <w:rPr>
                <w:highlight w:val="none"/>
              </w:rPr>
            </w:pPr>
            <w:r>
              <w:rPr>
                <w:rFonts w:hint="eastAsia" w:cs="宋体"/>
                <w:highlight w:val="none"/>
              </w:rPr>
              <w:t>条</w:t>
            </w:r>
          </w:p>
        </w:tc>
        <w:tc>
          <w:tcPr>
            <w:tcW w:w="731" w:type="dxa"/>
            <w:shd w:val="clear" w:color="auto" w:fill="auto"/>
            <w:vAlign w:val="center"/>
          </w:tcPr>
          <w:p>
            <w:pPr>
              <w:pStyle w:val="58"/>
              <w:spacing w:before="156" w:beforeLines="50" w:beforeAutospacing="0" w:after="0" w:afterAutospacing="0" w:line="360" w:lineRule="auto"/>
              <w:jc w:val="center"/>
              <w:rPr>
                <w:highlight w:val="none"/>
              </w:rPr>
            </w:pPr>
          </w:p>
        </w:tc>
        <w:tc>
          <w:tcPr>
            <w:tcW w:w="859" w:type="dxa"/>
            <w:shd w:val="clear" w:color="auto" w:fill="auto"/>
            <w:vAlign w:val="center"/>
          </w:tcPr>
          <w:p>
            <w:pPr>
              <w:pStyle w:val="58"/>
              <w:spacing w:before="156" w:beforeLines="50" w:beforeAutospacing="0" w:after="0" w:afterAutospacing="0" w:line="360" w:lineRule="auto"/>
              <w:jc w:val="center"/>
              <w:rPr>
                <w:highlight w:val="none"/>
              </w:rPr>
            </w:pPr>
          </w:p>
        </w:tc>
        <w:tc>
          <w:tcPr>
            <w:tcW w:w="1408" w:type="dxa"/>
            <w:shd w:val="clear" w:color="auto" w:fill="auto"/>
            <w:vAlign w:val="center"/>
          </w:tcPr>
          <w:p>
            <w:pPr>
              <w:pStyle w:val="58"/>
              <w:spacing w:before="156" w:beforeLines="50" w:beforeAutospacing="0" w:after="0" w:afterAutospacing="0"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887" w:type="dxa"/>
            <w:gridSpan w:val="2"/>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合同总价人民币（小写）</w:t>
            </w:r>
          </w:p>
        </w:tc>
        <w:tc>
          <w:tcPr>
            <w:tcW w:w="8142" w:type="dxa"/>
            <w:gridSpan w:val="6"/>
            <w:shd w:val="clear" w:color="auto" w:fill="auto"/>
            <w:vAlign w:val="center"/>
          </w:tcPr>
          <w:p>
            <w:pPr>
              <w:pStyle w:val="58"/>
              <w:spacing w:before="156" w:beforeLines="50" w:beforeAutospacing="0" w:after="0" w:afterAutospacing="0" w:line="360" w:lineRule="auto"/>
              <w:ind w:right="-2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887" w:type="dxa"/>
            <w:gridSpan w:val="2"/>
            <w:shd w:val="clear" w:color="auto" w:fill="auto"/>
            <w:vAlign w:val="center"/>
          </w:tcPr>
          <w:p>
            <w:pPr>
              <w:pStyle w:val="58"/>
              <w:spacing w:before="156" w:beforeLines="50" w:beforeAutospacing="0" w:after="0" w:afterAutospacing="0" w:line="360" w:lineRule="auto"/>
              <w:jc w:val="center"/>
              <w:rPr>
                <w:rFonts w:cs="宋体"/>
                <w:highlight w:val="none"/>
              </w:rPr>
            </w:pPr>
            <w:r>
              <w:rPr>
                <w:rFonts w:hint="eastAsia" w:cs="宋体"/>
                <w:highlight w:val="none"/>
              </w:rPr>
              <w:t>合同总价人民币（大写）</w:t>
            </w:r>
          </w:p>
        </w:tc>
        <w:tc>
          <w:tcPr>
            <w:tcW w:w="8142" w:type="dxa"/>
            <w:gridSpan w:val="6"/>
            <w:shd w:val="clear" w:color="auto" w:fill="auto"/>
            <w:vAlign w:val="center"/>
          </w:tcPr>
          <w:p>
            <w:pPr>
              <w:pStyle w:val="58"/>
              <w:spacing w:before="156" w:beforeLines="50" w:beforeAutospacing="0" w:after="0" w:afterAutospacing="0" w:line="360" w:lineRule="auto"/>
              <w:ind w:right="-20"/>
              <w:jc w:val="center"/>
              <w:rPr>
                <w:rFonts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029" w:type="dxa"/>
            <w:gridSpan w:val="8"/>
            <w:shd w:val="clear" w:color="auto" w:fill="auto"/>
            <w:vAlign w:val="center"/>
          </w:tcPr>
          <w:p>
            <w:pPr>
              <w:pStyle w:val="58"/>
              <w:spacing w:before="156" w:beforeLines="50" w:beforeAutospacing="0" w:after="0" w:afterAutospacing="0" w:line="360" w:lineRule="auto"/>
              <w:ind w:right="-20"/>
              <w:rPr>
                <w:rFonts w:cs="宋体"/>
                <w:highlight w:val="none"/>
              </w:rPr>
            </w:pPr>
            <w:r>
              <w:rPr>
                <w:rFonts w:hint="eastAsia" w:cs="宋体"/>
                <w:highlight w:val="none"/>
              </w:rPr>
              <w:t>其中：中小企业金额达到    元，占合同总价的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029" w:type="dxa"/>
            <w:gridSpan w:val="8"/>
            <w:shd w:val="clear" w:color="auto" w:fill="auto"/>
            <w:vAlign w:val="center"/>
          </w:tcPr>
          <w:p>
            <w:pPr>
              <w:pStyle w:val="58"/>
              <w:spacing w:before="156" w:beforeLines="50" w:beforeAutospacing="0" w:after="0" w:afterAutospacing="0" w:line="360" w:lineRule="auto"/>
              <w:ind w:right="-20"/>
              <w:rPr>
                <w:rFonts w:cs="宋体"/>
                <w:highlight w:val="none"/>
              </w:rPr>
            </w:pPr>
            <w:r>
              <w:rPr>
                <w:rFonts w:hint="eastAsia" w:cs="宋体"/>
                <w:highlight w:val="none"/>
              </w:rPr>
              <w:t>小微企业金额达到    元，占合同总价的   %</w:t>
            </w:r>
          </w:p>
        </w:tc>
      </w:tr>
    </w:tbl>
    <w:p>
      <w:pPr>
        <w:snapToGrid w:val="0"/>
        <w:spacing w:line="360" w:lineRule="auto"/>
        <w:outlineLvl w:val="2"/>
        <w:rPr>
          <w:rFonts w:ascii="宋体" w:hAnsi="宋体" w:cs="宋体"/>
          <w:b/>
          <w:snapToGrid w:val="0"/>
          <w:kern w:val="0"/>
          <w:sz w:val="24"/>
          <w:highlight w:val="none"/>
        </w:rPr>
      </w:pPr>
    </w:p>
    <w:p>
      <w:pPr>
        <w:snapToGrid w:val="0"/>
        <w:spacing w:line="360" w:lineRule="auto"/>
        <w:outlineLvl w:val="2"/>
        <w:rPr>
          <w:rFonts w:ascii="宋体" w:hAnsi="宋体" w:cs="宋体"/>
          <w:b/>
          <w:snapToGrid w:val="0"/>
          <w:kern w:val="0"/>
          <w:sz w:val="24"/>
          <w:highlight w:val="none"/>
        </w:rPr>
      </w:pPr>
      <w:r>
        <w:rPr>
          <w:rFonts w:hint="eastAsia" w:ascii="宋体" w:hAnsi="宋体" w:cs="宋体"/>
          <w:b/>
          <w:snapToGrid w:val="0"/>
          <w:kern w:val="0"/>
          <w:sz w:val="24"/>
          <w:highlight w:val="none"/>
        </w:rPr>
        <w:t>附件2：项目人员清单</w:t>
      </w:r>
    </w:p>
    <w:tbl>
      <w:tblPr>
        <w:tblStyle w:val="62"/>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46"/>
        <w:gridCol w:w="1314"/>
        <w:gridCol w:w="1431"/>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35" w:type="dxa"/>
            <w:vAlign w:val="center"/>
          </w:tcPr>
          <w:p>
            <w:pPr>
              <w:jc w:val="center"/>
              <w:rPr>
                <w:rFonts w:ascii="宋体" w:hAnsi="宋体" w:cs="宋体"/>
                <w:sz w:val="24"/>
                <w:highlight w:val="none"/>
              </w:rPr>
            </w:pPr>
            <w:r>
              <w:rPr>
                <w:rFonts w:hint="eastAsia" w:ascii="宋体" w:hAnsi="宋体" w:cs="宋体"/>
                <w:sz w:val="24"/>
                <w:highlight w:val="none"/>
              </w:rPr>
              <w:t>序号</w:t>
            </w:r>
          </w:p>
        </w:tc>
        <w:tc>
          <w:tcPr>
            <w:tcW w:w="1246" w:type="dxa"/>
            <w:vAlign w:val="center"/>
          </w:tcPr>
          <w:p>
            <w:pPr>
              <w:jc w:val="center"/>
              <w:rPr>
                <w:rFonts w:ascii="宋体" w:hAnsi="宋体" w:cs="宋体"/>
                <w:sz w:val="24"/>
                <w:highlight w:val="none"/>
              </w:rPr>
            </w:pPr>
            <w:r>
              <w:rPr>
                <w:rFonts w:hint="eastAsia" w:ascii="宋体" w:hAnsi="宋体" w:cs="宋体"/>
                <w:sz w:val="24"/>
                <w:highlight w:val="none"/>
              </w:rPr>
              <w:t>姓名</w:t>
            </w:r>
          </w:p>
        </w:tc>
        <w:tc>
          <w:tcPr>
            <w:tcW w:w="1314" w:type="dxa"/>
            <w:vAlign w:val="center"/>
          </w:tcPr>
          <w:p>
            <w:pPr>
              <w:jc w:val="center"/>
              <w:rPr>
                <w:rFonts w:ascii="宋体" w:hAnsi="宋体" w:cs="宋体"/>
                <w:sz w:val="24"/>
                <w:highlight w:val="none"/>
              </w:rPr>
            </w:pPr>
            <w:r>
              <w:rPr>
                <w:rFonts w:hint="eastAsia" w:ascii="宋体" w:hAnsi="宋体" w:cs="宋体"/>
                <w:sz w:val="24"/>
                <w:highlight w:val="none"/>
              </w:rPr>
              <w:t>联系方式</w:t>
            </w:r>
          </w:p>
        </w:tc>
        <w:tc>
          <w:tcPr>
            <w:tcW w:w="1431" w:type="dxa"/>
            <w:vAlign w:val="center"/>
          </w:tcPr>
          <w:p>
            <w:pPr>
              <w:jc w:val="center"/>
              <w:rPr>
                <w:rFonts w:ascii="宋体" w:hAnsi="宋体" w:cs="宋体"/>
                <w:sz w:val="24"/>
                <w:highlight w:val="none"/>
              </w:rPr>
            </w:pPr>
            <w:r>
              <w:rPr>
                <w:rFonts w:hint="eastAsia" w:ascii="宋体" w:hAnsi="宋体" w:cs="宋体"/>
                <w:sz w:val="24"/>
                <w:highlight w:val="none"/>
              </w:rPr>
              <w:t>身份证号码</w:t>
            </w:r>
          </w:p>
        </w:tc>
        <w:tc>
          <w:tcPr>
            <w:tcW w:w="1430" w:type="dxa"/>
            <w:vAlign w:val="center"/>
          </w:tcPr>
          <w:p>
            <w:pPr>
              <w:jc w:val="center"/>
              <w:rPr>
                <w:rFonts w:ascii="宋体" w:hAnsi="宋体" w:cs="宋体"/>
                <w:sz w:val="24"/>
                <w:highlight w:val="none"/>
              </w:rPr>
            </w:pPr>
            <w:r>
              <w:rPr>
                <w:rFonts w:hint="eastAsia" w:ascii="宋体" w:hAnsi="宋体" w:cs="宋体"/>
                <w:sz w:val="24"/>
                <w:highlight w:val="none"/>
              </w:rPr>
              <w:t>人员资质证书</w:t>
            </w:r>
          </w:p>
        </w:tc>
        <w:tc>
          <w:tcPr>
            <w:tcW w:w="1430" w:type="dxa"/>
            <w:vAlign w:val="center"/>
          </w:tcPr>
          <w:p>
            <w:pPr>
              <w:jc w:val="center"/>
              <w:rPr>
                <w:rFonts w:ascii="宋体" w:hAnsi="宋体" w:cs="宋体"/>
                <w:sz w:val="24"/>
                <w:highlight w:val="none"/>
              </w:rPr>
            </w:pPr>
            <w:r>
              <w:rPr>
                <w:rFonts w:hint="eastAsia" w:ascii="宋体" w:hAnsi="宋体" w:cs="宋体"/>
                <w:sz w:val="24"/>
                <w:highlight w:val="none"/>
              </w:rPr>
              <w:t>本项目承担的岗位</w:t>
            </w:r>
          </w:p>
        </w:tc>
        <w:tc>
          <w:tcPr>
            <w:tcW w:w="1430" w:type="dxa"/>
            <w:vAlign w:val="center"/>
          </w:tcPr>
          <w:p>
            <w:pPr>
              <w:jc w:val="center"/>
              <w:rPr>
                <w:rFonts w:ascii="宋体" w:hAnsi="宋体" w:cs="宋体"/>
                <w:sz w:val="24"/>
                <w:highlight w:val="none"/>
              </w:rPr>
            </w:pPr>
            <w:r>
              <w:rPr>
                <w:rFonts w:hint="eastAsia" w:ascii="宋体" w:hAnsi="宋体" w:cs="宋体"/>
                <w:sz w:val="24"/>
                <w:highlight w:val="none"/>
              </w:rPr>
              <w:t>驻点情况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35"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1246" w:type="dxa"/>
            <w:vAlign w:val="center"/>
          </w:tcPr>
          <w:p>
            <w:pPr>
              <w:jc w:val="center"/>
              <w:rPr>
                <w:rFonts w:ascii="宋体" w:hAnsi="宋体" w:cs="宋体"/>
                <w:sz w:val="24"/>
                <w:highlight w:val="none"/>
              </w:rPr>
            </w:pPr>
          </w:p>
        </w:tc>
        <w:tc>
          <w:tcPr>
            <w:tcW w:w="1314" w:type="dxa"/>
            <w:vAlign w:val="center"/>
          </w:tcPr>
          <w:p>
            <w:pPr>
              <w:jc w:val="center"/>
              <w:rPr>
                <w:rFonts w:ascii="宋体" w:hAnsi="宋体" w:cs="宋体"/>
                <w:sz w:val="24"/>
                <w:highlight w:val="none"/>
              </w:rPr>
            </w:pPr>
          </w:p>
        </w:tc>
        <w:tc>
          <w:tcPr>
            <w:tcW w:w="1431" w:type="dxa"/>
            <w:vAlign w:val="center"/>
          </w:tcPr>
          <w:p>
            <w:pPr>
              <w:jc w:val="center"/>
              <w:rPr>
                <w:rFonts w:ascii="宋体" w:hAnsi="宋体" w:cs="宋体"/>
                <w:sz w:val="24"/>
                <w:highlight w:val="none"/>
              </w:rPr>
            </w:pPr>
          </w:p>
        </w:tc>
        <w:tc>
          <w:tcPr>
            <w:tcW w:w="1430" w:type="dxa"/>
            <w:vAlign w:val="center"/>
          </w:tcPr>
          <w:p>
            <w:pPr>
              <w:jc w:val="center"/>
              <w:rPr>
                <w:rFonts w:ascii="宋体" w:hAnsi="宋体" w:cs="宋体"/>
                <w:sz w:val="24"/>
                <w:highlight w:val="none"/>
              </w:rPr>
            </w:pPr>
          </w:p>
        </w:tc>
        <w:tc>
          <w:tcPr>
            <w:tcW w:w="1430" w:type="dxa"/>
            <w:vAlign w:val="center"/>
          </w:tcPr>
          <w:p>
            <w:pPr>
              <w:jc w:val="center"/>
              <w:rPr>
                <w:rFonts w:ascii="宋体" w:hAnsi="宋体" w:cs="宋体"/>
                <w:sz w:val="24"/>
                <w:highlight w:val="none"/>
              </w:rPr>
            </w:pPr>
          </w:p>
        </w:tc>
        <w:tc>
          <w:tcPr>
            <w:tcW w:w="1430"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35"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1246" w:type="dxa"/>
            <w:vAlign w:val="center"/>
          </w:tcPr>
          <w:p>
            <w:pPr>
              <w:jc w:val="center"/>
              <w:rPr>
                <w:rFonts w:ascii="宋体" w:hAnsi="宋体" w:cs="宋体"/>
                <w:sz w:val="24"/>
                <w:highlight w:val="none"/>
              </w:rPr>
            </w:pPr>
          </w:p>
        </w:tc>
        <w:tc>
          <w:tcPr>
            <w:tcW w:w="1314" w:type="dxa"/>
            <w:vAlign w:val="center"/>
          </w:tcPr>
          <w:p>
            <w:pPr>
              <w:jc w:val="center"/>
              <w:rPr>
                <w:rFonts w:ascii="宋体" w:hAnsi="宋体" w:cs="宋体"/>
                <w:sz w:val="24"/>
                <w:highlight w:val="none"/>
              </w:rPr>
            </w:pPr>
          </w:p>
        </w:tc>
        <w:tc>
          <w:tcPr>
            <w:tcW w:w="1431"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35"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1246" w:type="dxa"/>
            <w:vAlign w:val="center"/>
          </w:tcPr>
          <w:p>
            <w:pPr>
              <w:jc w:val="center"/>
              <w:rPr>
                <w:rFonts w:ascii="宋体" w:hAnsi="宋体" w:cs="宋体"/>
                <w:sz w:val="24"/>
                <w:highlight w:val="none"/>
              </w:rPr>
            </w:pPr>
          </w:p>
        </w:tc>
        <w:tc>
          <w:tcPr>
            <w:tcW w:w="1314" w:type="dxa"/>
            <w:vAlign w:val="center"/>
          </w:tcPr>
          <w:p>
            <w:pPr>
              <w:jc w:val="center"/>
              <w:rPr>
                <w:rFonts w:ascii="宋体" w:hAnsi="宋体" w:cs="宋体"/>
                <w:sz w:val="24"/>
                <w:highlight w:val="none"/>
              </w:rPr>
            </w:pPr>
          </w:p>
        </w:tc>
        <w:tc>
          <w:tcPr>
            <w:tcW w:w="1431"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35" w:type="dxa"/>
            <w:vAlign w:val="center"/>
          </w:tcPr>
          <w:p>
            <w:pPr>
              <w:jc w:val="center"/>
              <w:rPr>
                <w:rFonts w:ascii="宋体" w:hAnsi="宋体" w:cs="宋体"/>
                <w:sz w:val="24"/>
                <w:highlight w:val="none"/>
              </w:rPr>
            </w:pPr>
            <w:r>
              <w:rPr>
                <w:rFonts w:hint="eastAsia" w:ascii="宋体" w:hAnsi="宋体" w:cs="宋体"/>
                <w:sz w:val="24"/>
                <w:highlight w:val="none"/>
              </w:rPr>
              <w:t>4</w:t>
            </w:r>
          </w:p>
        </w:tc>
        <w:tc>
          <w:tcPr>
            <w:tcW w:w="1246" w:type="dxa"/>
            <w:vAlign w:val="center"/>
          </w:tcPr>
          <w:p>
            <w:pPr>
              <w:jc w:val="center"/>
              <w:rPr>
                <w:rFonts w:ascii="宋体" w:hAnsi="宋体" w:cs="宋体"/>
                <w:sz w:val="24"/>
                <w:highlight w:val="none"/>
              </w:rPr>
            </w:pPr>
          </w:p>
        </w:tc>
        <w:tc>
          <w:tcPr>
            <w:tcW w:w="1314" w:type="dxa"/>
            <w:vAlign w:val="center"/>
          </w:tcPr>
          <w:p>
            <w:pPr>
              <w:jc w:val="center"/>
              <w:rPr>
                <w:rFonts w:ascii="宋体" w:hAnsi="宋体" w:cs="宋体"/>
                <w:sz w:val="24"/>
                <w:highlight w:val="none"/>
              </w:rPr>
            </w:pPr>
          </w:p>
        </w:tc>
        <w:tc>
          <w:tcPr>
            <w:tcW w:w="1431"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35" w:type="dxa"/>
            <w:vAlign w:val="center"/>
          </w:tcPr>
          <w:p>
            <w:pPr>
              <w:jc w:val="center"/>
              <w:rPr>
                <w:rFonts w:ascii="宋体" w:hAnsi="宋体" w:cs="宋体"/>
                <w:sz w:val="24"/>
                <w:highlight w:val="none"/>
              </w:rPr>
            </w:pPr>
            <w:r>
              <w:rPr>
                <w:rFonts w:hint="eastAsia" w:ascii="宋体" w:hAnsi="宋体" w:cs="宋体"/>
                <w:sz w:val="24"/>
                <w:highlight w:val="none"/>
              </w:rPr>
              <w:t>5</w:t>
            </w:r>
          </w:p>
        </w:tc>
        <w:tc>
          <w:tcPr>
            <w:tcW w:w="1246" w:type="dxa"/>
            <w:vAlign w:val="center"/>
          </w:tcPr>
          <w:p>
            <w:pPr>
              <w:jc w:val="center"/>
              <w:rPr>
                <w:rFonts w:ascii="宋体" w:hAnsi="宋体" w:cs="宋体"/>
                <w:sz w:val="24"/>
                <w:highlight w:val="none"/>
              </w:rPr>
            </w:pPr>
          </w:p>
        </w:tc>
        <w:tc>
          <w:tcPr>
            <w:tcW w:w="1314" w:type="dxa"/>
            <w:vAlign w:val="center"/>
          </w:tcPr>
          <w:p>
            <w:pPr>
              <w:jc w:val="center"/>
              <w:rPr>
                <w:rFonts w:ascii="宋体" w:hAnsi="宋体" w:cs="宋体"/>
                <w:sz w:val="24"/>
                <w:highlight w:val="none"/>
              </w:rPr>
            </w:pPr>
          </w:p>
        </w:tc>
        <w:tc>
          <w:tcPr>
            <w:tcW w:w="1431"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c>
          <w:tcPr>
            <w:tcW w:w="1430" w:type="dxa"/>
            <w:vAlign w:val="center"/>
          </w:tcPr>
          <w:p>
            <w:pPr>
              <w:jc w:val="center"/>
              <w:rPr>
                <w:rFonts w:ascii="宋体" w:hAnsi="宋体" w:cs="宋体"/>
                <w:kern w:val="0"/>
                <w:sz w:val="24"/>
                <w:highlight w:val="none"/>
              </w:rPr>
            </w:pPr>
          </w:p>
        </w:tc>
      </w:tr>
    </w:tbl>
    <w:p>
      <w:pPr>
        <w:rPr>
          <w:rFonts w:ascii="宋体" w:hAnsi="宋体" w:cs="宋体"/>
          <w:highlight w:val="none"/>
        </w:rPr>
      </w:pPr>
    </w:p>
    <w:p>
      <w:pPr>
        <w:snapToGrid w:val="0"/>
        <w:outlineLvl w:val="2"/>
        <w:rPr>
          <w:rFonts w:ascii="宋体" w:hAnsi="宋体" w:cs="宋体"/>
          <w:b/>
          <w:snapToGrid w:val="0"/>
          <w:kern w:val="0"/>
          <w:sz w:val="24"/>
          <w:highlight w:val="none"/>
        </w:rPr>
      </w:pPr>
    </w:p>
    <w:p>
      <w:pPr>
        <w:snapToGrid w:val="0"/>
        <w:outlineLvl w:val="2"/>
        <w:rPr>
          <w:rFonts w:ascii="宋体" w:hAnsi="宋体" w:cs="宋体"/>
          <w:b/>
          <w:snapToGrid w:val="0"/>
          <w:kern w:val="0"/>
          <w:sz w:val="24"/>
          <w:highlight w:val="none"/>
        </w:rPr>
      </w:pPr>
      <w:r>
        <w:rPr>
          <w:rFonts w:hint="eastAsia" w:ascii="宋体" w:hAnsi="宋体" w:cs="宋体"/>
          <w:b/>
          <w:snapToGrid w:val="0"/>
          <w:kern w:val="0"/>
          <w:sz w:val="24"/>
          <w:highlight w:val="none"/>
        </w:rPr>
        <w:t>附件3：考核</w:t>
      </w:r>
    </w:p>
    <w:p>
      <w:pPr>
        <w:autoSpaceDE w:val="0"/>
        <w:autoSpaceDN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服务期内，甲方将对乙方进行</w:t>
      </w:r>
      <w:r>
        <w:rPr>
          <w:rFonts w:hint="eastAsia" w:ascii="宋体" w:hAnsi="宋体" w:cs="宋体"/>
          <w:sz w:val="24"/>
          <w:highlight w:val="none"/>
        </w:rPr>
        <w:t>月度考核</w:t>
      </w:r>
      <w:r>
        <w:rPr>
          <w:rFonts w:hint="eastAsia" w:ascii="宋体" w:hAnsi="宋体" w:cs="宋体"/>
          <w:sz w:val="24"/>
          <w:highlight w:val="none"/>
          <w:lang w:val="zh-CN"/>
        </w:rPr>
        <w:t>，采取100分制计分方式，每扣1分扣违约金200元。如果乙方</w:t>
      </w:r>
      <w:r>
        <w:rPr>
          <w:rFonts w:hint="eastAsia" w:ascii="宋体" w:hAnsi="宋体" w:cs="宋体"/>
          <w:sz w:val="24"/>
          <w:highlight w:val="none"/>
        </w:rPr>
        <w:t>月度考核</w:t>
      </w:r>
      <w:r>
        <w:rPr>
          <w:rFonts w:hint="eastAsia" w:ascii="宋体" w:hAnsi="宋体" w:cs="宋体"/>
          <w:sz w:val="24"/>
          <w:highlight w:val="none"/>
          <w:lang w:val="zh-CN"/>
        </w:rPr>
        <w:t>结果低于80分的，应递交书面整改报告。如乙方</w:t>
      </w:r>
      <w:r>
        <w:rPr>
          <w:rFonts w:hint="eastAsia" w:ascii="宋体" w:hAnsi="宋体" w:cs="宋体"/>
          <w:sz w:val="24"/>
          <w:highlight w:val="none"/>
        </w:rPr>
        <w:t>月度考核</w:t>
      </w:r>
      <w:r>
        <w:rPr>
          <w:rFonts w:hint="eastAsia" w:ascii="宋体" w:hAnsi="宋体" w:cs="宋体"/>
          <w:sz w:val="24"/>
          <w:highlight w:val="none"/>
          <w:lang w:val="zh-CN"/>
        </w:rPr>
        <w:t>结果低于60分、或连续两个</w:t>
      </w:r>
      <w:r>
        <w:rPr>
          <w:rFonts w:hint="eastAsia" w:ascii="宋体" w:hAnsi="宋体" w:cs="宋体"/>
          <w:sz w:val="24"/>
          <w:highlight w:val="none"/>
        </w:rPr>
        <w:t>月度考核</w:t>
      </w:r>
      <w:r>
        <w:rPr>
          <w:rFonts w:hint="eastAsia" w:ascii="宋体" w:hAnsi="宋体" w:cs="宋体"/>
          <w:sz w:val="24"/>
          <w:highlight w:val="none"/>
          <w:lang w:val="zh-CN"/>
        </w:rPr>
        <w:t>结果低于70分、或连续三个</w:t>
      </w:r>
      <w:r>
        <w:rPr>
          <w:rFonts w:hint="eastAsia" w:ascii="宋体" w:hAnsi="宋体" w:cs="宋体"/>
          <w:sz w:val="24"/>
          <w:highlight w:val="none"/>
        </w:rPr>
        <w:t>月度考核</w:t>
      </w:r>
      <w:r>
        <w:rPr>
          <w:rFonts w:hint="eastAsia" w:ascii="宋体" w:hAnsi="宋体" w:cs="宋体"/>
          <w:sz w:val="24"/>
          <w:highlight w:val="none"/>
          <w:lang w:val="zh-CN"/>
        </w:rPr>
        <w:t>结果低于80分，甲方有权没收乙方全部履约保证金，并通知乙方解除合同，如给甲方造成损失的有权向乙方提出索赔。</w:t>
      </w:r>
    </w:p>
    <w:p>
      <w:pPr>
        <w:autoSpaceDE w:val="0"/>
        <w:autoSpaceDN w:val="0"/>
        <w:snapToGrid w:val="0"/>
        <w:spacing w:line="360" w:lineRule="auto"/>
        <w:ind w:firstLine="480" w:firstLineChars="200"/>
        <w:jc w:val="left"/>
        <w:rPr>
          <w:rFonts w:ascii="宋体" w:hAnsi="宋体" w:cs="宋体"/>
          <w:b/>
          <w:sz w:val="24"/>
          <w:highlight w:val="none"/>
        </w:rPr>
      </w:pPr>
      <w:r>
        <w:rPr>
          <w:rFonts w:hint="eastAsia" w:ascii="宋体" w:hAnsi="宋体" w:cs="宋体"/>
          <w:sz w:val="24"/>
          <w:highlight w:val="none"/>
          <w:lang w:val="zh-CN"/>
        </w:rPr>
        <w:t>如考核周期内重复出现相同扣分情形，累计计算扣除分值。</w:t>
      </w:r>
    </w:p>
    <w:p>
      <w:pPr>
        <w:autoSpaceDE w:val="0"/>
        <w:autoSpaceDN w:val="0"/>
        <w:snapToGrid w:val="0"/>
        <w:spacing w:line="360" w:lineRule="auto"/>
        <w:jc w:val="center"/>
        <w:rPr>
          <w:rFonts w:ascii="宋体" w:hAnsi="宋体" w:cs="宋体"/>
          <w:sz w:val="24"/>
          <w:highlight w:val="none"/>
        </w:rPr>
      </w:pPr>
      <w:r>
        <w:rPr>
          <w:rFonts w:hint="eastAsia" w:ascii="宋体" w:hAnsi="宋体" w:cs="宋体"/>
          <w:b/>
          <w:sz w:val="24"/>
          <w:highlight w:val="none"/>
        </w:rPr>
        <w:t>月度考核表</w:t>
      </w:r>
    </w:p>
    <w:tbl>
      <w:tblPr>
        <w:tblStyle w:val="62"/>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311"/>
        <w:gridCol w:w="3500"/>
        <w:gridCol w:w="1369"/>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26" w:type="dxa"/>
            <w:gridSpan w:val="2"/>
            <w:vAlign w:val="center"/>
          </w:tcPr>
          <w:p>
            <w:pPr>
              <w:autoSpaceDE w:val="0"/>
              <w:autoSpaceDN w:val="0"/>
              <w:snapToGrid w:val="0"/>
              <w:spacing w:line="360" w:lineRule="auto"/>
              <w:jc w:val="center"/>
              <w:rPr>
                <w:rFonts w:ascii="宋体" w:hAnsi="宋体" w:cs="宋体"/>
                <w:b/>
                <w:sz w:val="24"/>
                <w:highlight w:val="none"/>
              </w:rPr>
            </w:pPr>
            <w:r>
              <w:rPr>
                <w:rFonts w:hint="eastAsia" w:ascii="宋体" w:hAnsi="宋体" w:cs="宋体"/>
                <w:b/>
                <w:sz w:val="24"/>
                <w:highlight w:val="none"/>
              </w:rPr>
              <w:t>考核时间：</w:t>
            </w:r>
          </w:p>
        </w:tc>
        <w:tc>
          <w:tcPr>
            <w:tcW w:w="3500" w:type="dxa"/>
            <w:vAlign w:val="center"/>
          </w:tcPr>
          <w:p>
            <w:pPr>
              <w:autoSpaceDE w:val="0"/>
              <w:autoSpaceDN w:val="0"/>
              <w:snapToGrid w:val="0"/>
              <w:spacing w:line="360" w:lineRule="auto"/>
              <w:jc w:val="center"/>
              <w:rPr>
                <w:rFonts w:ascii="宋体" w:hAnsi="宋体" w:cs="宋体"/>
                <w:sz w:val="24"/>
                <w:highlight w:val="none"/>
              </w:rPr>
            </w:pPr>
          </w:p>
        </w:tc>
        <w:tc>
          <w:tcPr>
            <w:tcW w:w="1369" w:type="dxa"/>
            <w:vAlign w:val="center"/>
          </w:tcPr>
          <w:p>
            <w:pPr>
              <w:autoSpaceDE w:val="0"/>
              <w:autoSpaceDN w:val="0"/>
              <w:snapToGrid w:val="0"/>
              <w:spacing w:line="360" w:lineRule="auto"/>
              <w:jc w:val="center"/>
              <w:rPr>
                <w:rFonts w:ascii="宋体" w:hAnsi="宋体" w:cs="宋体"/>
                <w:b/>
                <w:sz w:val="24"/>
                <w:highlight w:val="none"/>
              </w:rPr>
            </w:pPr>
            <w:r>
              <w:rPr>
                <w:rFonts w:hint="eastAsia" w:ascii="宋体" w:hAnsi="宋体" w:cs="宋体"/>
                <w:b/>
                <w:sz w:val="24"/>
                <w:highlight w:val="none"/>
              </w:rPr>
              <w:t>填表日期：</w:t>
            </w:r>
          </w:p>
        </w:tc>
        <w:tc>
          <w:tcPr>
            <w:tcW w:w="2302"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b/>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126" w:type="dxa"/>
            <w:gridSpan w:val="2"/>
            <w:vAlign w:val="center"/>
          </w:tcPr>
          <w:p>
            <w:pPr>
              <w:autoSpaceDE w:val="0"/>
              <w:autoSpaceDN w:val="0"/>
              <w:snapToGrid w:val="0"/>
              <w:spacing w:line="360" w:lineRule="auto"/>
              <w:jc w:val="center"/>
              <w:rPr>
                <w:rFonts w:ascii="宋体" w:hAnsi="宋体" w:cs="宋体"/>
                <w:b/>
                <w:sz w:val="24"/>
                <w:highlight w:val="none"/>
              </w:rPr>
            </w:pPr>
            <w:r>
              <w:rPr>
                <w:rFonts w:hint="eastAsia" w:ascii="宋体" w:hAnsi="宋体" w:cs="宋体"/>
                <w:b/>
                <w:sz w:val="24"/>
                <w:highlight w:val="none"/>
              </w:rPr>
              <w:t>乙方：</w:t>
            </w:r>
          </w:p>
        </w:tc>
        <w:tc>
          <w:tcPr>
            <w:tcW w:w="7171" w:type="dxa"/>
            <w:gridSpan w:val="3"/>
            <w:vAlign w:val="center"/>
          </w:tcPr>
          <w:p>
            <w:pPr>
              <w:autoSpaceDE w:val="0"/>
              <w:autoSpaceDN w:val="0"/>
              <w:snapToGrid w:val="0"/>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15" w:type="dxa"/>
            <w:vAlign w:val="center"/>
          </w:tcPr>
          <w:p>
            <w:pPr>
              <w:autoSpaceDE w:val="0"/>
              <w:autoSpaceDN w:val="0"/>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4811" w:type="dxa"/>
            <w:gridSpan w:val="2"/>
            <w:vAlign w:val="center"/>
          </w:tcPr>
          <w:p>
            <w:pPr>
              <w:autoSpaceDE w:val="0"/>
              <w:autoSpaceDN w:val="0"/>
              <w:snapToGrid w:val="0"/>
              <w:spacing w:line="360" w:lineRule="auto"/>
              <w:jc w:val="center"/>
              <w:rPr>
                <w:rFonts w:ascii="宋体" w:hAnsi="宋体" w:cs="宋体"/>
                <w:b/>
                <w:sz w:val="24"/>
                <w:highlight w:val="none"/>
              </w:rPr>
            </w:pPr>
            <w:r>
              <w:rPr>
                <w:rFonts w:hint="eastAsia" w:ascii="宋体" w:hAnsi="宋体" w:cs="宋体"/>
                <w:b/>
                <w:sz w:val="24"/>
                <w:highlight w:val="none"/>
              </w:rPr>
              <w:t>考核内容</w:t>
            </w:r>
          </w:p>
        </w:tc>
        <w:tc>
          <w:tcPr>
            <w:tcW w:w="1369" w:type="dxa"/>
            <w:vAlign w:val="center"/>
          </w:tcPr>
          <w:p>
            <w:pPr>
              <w:autoSpaceDE w:val="0"/>
              <w:autoSpaceDN w:val="0"/>
              <w:snapToGrid w:val="0"/>
              <w:spacing w:line="360" w:lineRule="auto"/>
              <w:jc w:val="center"/>
              <w:rPr>
                <w:rFonts w:ascii="宋体" w:hAnsi="宋体" w:cs="宋体"/>
                <w:b/>
                <w:sz w:val="24"/>
                <w:highlight w:val="none"/>
              </w:rPr>
            </w:pPr>
            <w:r>
              <w:rPr>
                <w:rFonts w:hint="eastAsia" w:ascii="宋体" w:hAnsi="宋体" w:cs="宋体"/>
                <w:b/>
                <w:sz w:val="24"/>
                <w:highlight w:val="none"/>
              </w:rPr>
              <w:t>扣分情况</w:t>
            </w:r>
          </w:p>
        </w:tc>
        <w:tc>
          <w:tcPr>
            <w:tcW w:w="2302" w:type="dxa"/>
            <w:vAlign w:val="center"/>
          </w:tcPr>
          <w:p>
            <w:pPr>
              <w:autoSpaceDE w:val="0"/>
              <w:autoSpaceDN w:val="0"/>
              <w:snapToGrid w:val="0"/>
              <w:spacing w:line="360" w:lineRule="auto"/>
              <w:jc w:val="center"/>
              <w:rPr>
                <w:rFonts w:ascii="宋体" w:hAnsi="宋体" w:cs="宋体"/>
                <w:b/>
                <w:sz w:val="24"/>
                <w:highlight w:val="none"/>
              </w:rPr>
            </w:pPr>
            <w:r>
              <w:rPr>
                <w:rFonts w:hint="eastAsia" w:ascii="宋体" w:hAnsi="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626" w:type="dxa"/>
            <w:gridSpan w:val="3"/>
            <w:vAlign w:val="center"/>
          </w:tcPr>
          <w:p>
            <w:pPr>
              <w:autoSpaceDE w:val="0"/>
              <w:autoSpaceDN w:val="0"/>
              <w:snapToGrid w:val="0"/>
              <w:spacing w:line="360" w:lineRule="auto"/>
              <w:jc w:val="center"/>
              <w:rPr>
                <w:rFonts w:ascii="宋体" w:hAnsi="宋体" w:cs="宋体"/>
                <w:b/>
                <w:sz w:val="24"/>
                <w:highlight w:val="none"/>
              </w:rPr>
            </w:pPr>
            <w:r>
              <w:rPr>
                <w:rFonts w:hint="eastAsia" w:ascii="宋体" w:hAnsi="宋体" w:cs="宋体"/>
                <w:b/>
                <w:sz w:val="24"/>
                <w:highlight w:val="none"/>
              </w:rPr>
              <w:t>（一）考核扣分项</w:t>
            </w:r>
          </w:p>
        </w:tc>
        <w:tc>
          <w:tcPr>
            <w:tcW w:w="1369" w:type="dxa"/>
            <w:vAlign w:val="center"/>
          </w:tcPr>
          <w:p>
            <w:pPr>
              <w:autoSpaceDE w:val="0"/>
              <w:autoSpaceDN w:val="0"/>
              <w:snapToGrid w:val="0"/>
              <w:spacing w:line="360" w:lineRule="auto"/>
              <w:jc w:val="center"/>
              <w:rPr>
                <w:rFonts w:ascii="宋体" w:hAnsi="宋体" w:cs="宋体"/>
                <w:b/>
                <w:sz w:val="24"/>
                <w:highlight w:val="none"/>
              </w:rPr>
            </w:pPr>
          </w:p>
        </w:tc>
        <w:tc>
          <w:tcPr>
            <w:tcW w:w="2302" w:type="dxa"/>
            <w:vAlign w:val="center"/>
          </w:tcPr>
          <w:p>
            <w:pPr>
              <w:autoSpaceDE w:val="0"/>
              <w:autoSpaceDN w:val="0"/>
              <w:snapToGrid w:val="0"/>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4811" w:type="dxa"/>
            <w:gridSpan w:val="2"/>
            <w:vAlign w:val="center"/>
          </w:tcPr>
          <w:p>
            <w:pPr>
              <w:spacing w:line="360" w:lineRule="auto"/>
              <w:rPr>
                <w:rFonts w:ascii="宋体" w:hAnsi="宋体" w:cs="宋体"/>
                <w:sz w:val="24"/>
                <w:highlight w:val="none"/>
              </w:rPr>
            </w:pPr>
            <w:r>
              <w:rPr>
                <w:rFonts w:hint="eastAsia" w:ascii="宋体" w:hAnsi="宋体" w:cs="宋体"/>
                <w:bCs/>
                <w:sz w:val="24"/>
                <w:highlight w:val="none"/>
                <w:lang w:eastAsia="zh-Hans"/>
              </w:rPr>
              <w:t>针对</w:t>
            </w:r>
            <w:r>
              <w:rPr>
                <w:rFonts w:hint="eastAsia" w:ascii="宋体" w:hAnsi="宋体" w:cs="宋体"/>
                <w:bCs/>
                <w:sz w:val="24"/>
                <w:highlight w:val="none"/>
              </w:rPr>
              <w:t>等保测评服务，乙方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bCs/>
                <w:sz w:val="24"/>
                <w:highlight w:val="none"/>
                <w:lang w:eastAsia="zh-Hans"/>
              </w:rPr>
              <w:t>针对</w:t>
            </w:r>
            <w:r>
              <w:rPr>
                <w:rFonts w:hint="eastAsia" w:ascii="宋体" w:hAnsi="宋体" w:cs="宋体"/>
                <w:bCs/>
                <w:sz w:val="24"/>
                <w:highlight w:val="none"/>
              </w:rPr>
              <w:t>数据库审计服务，乙方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bCs/>
                <w:sz w:val="24"/>
                <w:highlight w:val="none"/>
                <w:lang w:eastAsia="zh-Hans"/>
              </w:rPr>
              <w:t>针对</w:t>
            </w:r>
            <w:r>
              <w:rPr>
                <w:rFonts w:hint="eastAsia" w:ascii="宋体" w:hAnsi="宋体" w:cs="宋体"/>
                <w:bCs/>
                <w:sz w:val="24"/>
                <w:highlight w:val="none"/>
              </w:rPr>
              <w:t>政务网云日志审计服务，乙方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bCs/>
                <w:sz w:val="24"/>
                <w:highlight w:val="none"/>
                <w:lang w:eastAsia="zh-Hans"/>
              </w:rPr>
              <w:t>针对政务网态势感知服务</w:t>
            </w:r>
            <w:r>
              <w:rPr>
                <w:rFonts w:hint="eastAsia" w:ascii="宋体" w:hAnsi="宋体" w:cs="宋体"/>
                <w:bCs/>
                <w:sz w:val="24"/>
                <w:highlight w:val="none"/>
              </w:rPr>
              <w:t>，乙方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4811" w:type="dxa"/>
            <w:gridSpan w:val="2"/>
            <w:vAlign w:val="center"/>
          </w:tcPr>
          <w:p>
            <w:pPr>
              <w:snapToGrid w:val="0"/>
              <w:spacing w:line="360" w:lineRule="auto"/>
              <w:rPr>
                <w:rFonts w:ascii="宋体" w:hAnsi="宋体" w:cs="宋体"/>
                <w:bCs/>
                <w:sz w:val="24"/>
                <w:highlight w:val="none"/>
                <w:lang w:eastAsia="zh-Hans"/>
              </w:rPr>
            </w:pPr>
            <w:r>
              <w:rPr>
                <w:rFonts w:hint="eastAsia" w:ascii="宋体" w:hAnsi="宋体" w:cs="宋体"/>
                <w:bCs/>
                <w:sz w:val="24"/>
                <w:highlight w:val="none"/>
                <w:lang w:eastAsia="zh-Hans"/>
              </w:rPr>
              <w:t>针对SaaS化安全服务</w:t>
            </w:r>
            <w:r>
              <w:rPr>
                <w:rFonts w:hint="eastAsia" w:ascii="宋体" w:hAnsi="宋体" w:cs="宋体"/>
                <w:bCs/>
                <w:sz w:val="24"/>
                <w:highlight w:val="none"/>
              </w:rPr>
              <w:t>，乙方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4811" w:type="dxa"/>
            <w:gridSpan w:val="2"/>
            <w:vAlign w:val="center"/>
          </w:tcPr>
          <w:p>
            <w:pPr>
              <w:snapToGrid w:val="0"/>
              <w:spacing w:line="360" w:lineRule="auto"/>
              <w:rPr>
                <w:rFonts w:ascii="宋体" w:hAnsi="宋体" w:cs="宋体"/>
                <w:highlight w:val="none"/>
              </w:rPr>
            </w:pPr>
            <w:r>
              <w:rPr>
                <w:rFonts w:hint="eastAsia" w:ascii="宋体" w:hAnsi="宋体" w:cs="宋体"/>
                <w:bCs/>
                <w:sz w:val="24"/>
                <w:highlight w:val="none"/>
                <w:lang w:eastAsia="zh-Hans"/>
              </w:rPr>
              <w:t>针对</w:t>
            </w:r>
            <w:r>
              <w:rPr>
                <w:rFonts w:hint="eastAsia" w:ascii="宋体" w:hAnsi="宋体" w:cs="宋体"/>
                <w:bCs/>
                <w:sz w:val="24"/>
                <w:highlight w:val="none"/>
              </w:rPr>
              <w:t>公安网安全风险感知服务，乙方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bCs/>
                <w:sz w:val="24"/>
                <w:highlight w:val="none"/>
                <w:lang w:eastAsia="zh-Hans"/>
              </w:rPr>
              <w:t>针对</w:t>
            </w:r>
            <w:r>
              <w:rPr>
                <w:rFonts w:hint="eastAsia" w:ascii="宋体" w:hAnsi="宋体" w:cs="宋体"/>
                <w:bCs/>
                <w:sz w:val="24"/>
                <w:highlight w:val="none"/>
              </w:rPr>
              <w:t>公安网桌面云服务，乙方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bCs/>
                <w:sz w:val="24"/>
                <w:highlight w:val="none"/>
                <w:lang w:eastAsia="zh-Hans"/>
              </w:rPr>
              <w:t>针对</w:t>
            </w:r>
            <w:r>
              <w:rPr>
                <w:rFonts w:hint="eastAsia" w:ascii="宋体" w:hAnsi="宋体" w:cs="宋体"/>
                <w:bCs/>
                <w:sz w:val="24"/>
                <w:highlight w:val="none"/>
              </w:rPr>
              <w:t>公安网一机两用服务，乙方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bCs/>
                <w:sz w:val="24"/>
                <w:highlight w:val="none"/>
                <w:lang w:eastAsia="zh-Hans"/>
              </w:rPr>
              <w:t>针对</w:t>
            </w:r>
            <w:r>
              <w:rPr>
                <w:rFonts w:hint="eastAsia" w:ascii="宋体" w:hAnsi="宋体" w:cs="宋体"/>
                <w:bCs/>
                <w:sz w:val="24"/>
                <w:highlight w:val="none"/>
              </w:rPr>
              <w:t>视频网终端杀毒服务，乙方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bCs/>
                <w:sz w:val="24"/>
                <w:highlight w:val="none"/>
                <w:lang w:eastAsia="zh-Hans"/>
              </w:rPr>
              <w:t>针对</w:t>
            </w:r>
            <w:r>
              <w:rPr>
                <w:rFonts w:hint="eastAsia" w:ascii="宋体" w:hAnsi="宋体" w:cs="宋体"/>
                <w:bCs/>
                <w:sz w:val="24"/>
                <w:highlight w:val="none"/>
              </w:rPr>
              <w:t>系统安全检测服务，乙方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bCs/>
                <w:sz w:val="24"/>
                <w:highlight w:val="none"/>
                <w:lang w:eastAsia="zh-Hans"/>
              </w:rPr>
              <w:t>针对</w:t>
            </w:r>
            <w:r>
              <w:rPr>
                <w:rFonts w:hint="eastAsia" w:ascii="宋体" w:hAnsi="宋体" w:cs="宋体"/>
                <w:bCs/>
                <w:sz w:val="24"/>
                <w:highlight w:val="none"/>
              </w:rPr>
              <w:t>网络安全检查服务，乙方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bCs/>
                <w:sz w:val="24"/>
                <w:highlight w:val="none"/>
                <w:lang w:eastAsia="zh-Hans"/>
              </w:rPr>
              <w:t>针对</w:t>
            </w:r>
            <w:r>
              <w:rPr>
                <w:rFonts w:hint="eastAsia" w:ascii="宋体" w:hAnsi="宋体" w:cs="宋体"/>
                <w:sz w:val="24"/>
                <w:highlight w:val="none"/>
                <w:lang w:eastAsia="zh-Hans"/>
              </w:rPr>
              <w:t>重要时期重大活动安全保障服务</w:t>
            </w:r>
            <w:r>
              <w:rPr>
                <w:rFonts w:hint="eastAsia" w:ascii="宋体" w:hAnsi="宋体" w:cs="宋体"/>
                <w:bCs/>
                <w:sz w:val="24"/>
                <w:highlight w:val="none"/>
              </w:rPr>
              <w:t>，乙方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bCs/>
                <w:sz w:val="24"/>
                <w:highlight w:val="none"/>
                <w:lang w:eastAsia="zh-Hans"/>
              </w:rPr>
              <w:t>针对</w:t>
            </w:r>
            <w:r>
              <w:rPr>
                <w:rFonts w:hint="eastAsia" w:ascii="宋体" w:hAnsi="宋体" w:cs="宋体"/>
                <w:bCs/>
                <w:sz w:val="24"/>
                <w:highlight w:val="none"/>
              </w:rPr>
              <w:t>应急响应服务，乙方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bCs/>
                <w:sz w:val="24"/>
                <w:highlight w:val="none"/>
                <w:lang w:eastAsia="zh-Hans"/>
              </w:rPr>
              <w:t>针对</w:t>
            </w:r>
            <w:r>
              <w:rPr>
                <w:rFonts w:hint="eastAsia" w:ascii="宋体" w:hAnsi="宋体" w:cs="宋体"/>
                <w:bCs/>
                <w:sz w:val="24"/>
                <w:highlight w:val="none"/>
              </w:rPr>
              <w:t>边界通道租赁服务，乙方</w:t>
            </w:r>
            <w:r>
              <w:rPr>
                <w:rFonts w:hint="eastAsia" w:ascii="宋体" w:hAnsi="宋体" w:cs="宋体"/>
                <w:bCs/>
                <w:sz w:val="24"/>
                <w:highlight w:val="none"/>
                <w:lang w:eastAsia="zh-Hans"/>
              </w:rPr>
              <w:t>未按采购需求要求提供服务，每发生一次扣3分。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15</w:t>
            </w:r>
          </w:p>
        </w:tc>
        <w:tc>
          <w:tcPr>
            <w:tcW w:w="4811" w:type="dxa"/>
            <w:gridSpan w:val="2"/>
            <w:vAlign w:val="center"/>
          </w:tcPr>
          <w:p>
            <w:pPr>
              <w:spacing w:line="360" w:lineRule="auto"/>
              <w:rPr>
                <w:rFonts w:ascii="宋体" w:hAnsi="宋体" w:cs="宋体"/>
                <w:sz w:val="24"/>
                <w:highlight w:val="none"/>
                <w:lang w:eastAsia="zh-Hans"/>
              </w:rPr>
            </w:pPr>
            <w:r>
              <w:rPr>
                <w:rFonts w:hint="eastAsia" w:ascii="宋体" w:hAnsi="宋体" w:cs="宋体"/>
                <w:sz w:val="24"/>
                <w:highlight w:val="none"/>
              </w:rPr>
              <w:t>乙方</w:t>
            </w:r>
            <w:r>
              <w:rPr>
                <w:rFonts w:hint="eastAsia" w:ascii="宋体" w:hAnsi="宋体" w:cs="宋体"/>
                <w:kern w:val="0"/>
                <w:sz w:val="24"/>
                <w:highlight w:val="none"/>
                <w:lang w:bidi="ar"/>
              </w:rPr>
              <w:t>人员配备要求达不到合同条款要求的，每发生一次扣5</w:t>
            </w:r>
            <w:r>
              <w:rPr>
                <w:rFonts w:hint="eastAsia" w:ascii="宋体" w:hAnsi="宋体" w:cs="宋体"/>
                <w:kern w:val="0"/>
                <w:sz w:val="24"/>
                <w:highlight w:val="none"/>
                <w:lang w:eastAsia="zh-Hans" w:bidi="ar"/>
              </w:rPr>
              <w:t>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16</w:t>
            </w:r>
          </w:p>
        </w:tc>
        <w:tc>
          <w:tcPr>
            <w:tcW w:w="4811" w:type="dxa"/>
            <w:gridSpan w:val="2"/>
            <w:vAlign w:val="center"/>
          </w:tcPr>
          <w:p>
            <w:pPr>
              <w:spacing w:line="360" w:lineRule="auto"/>
              <w:rPr>
                <w:rFonts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lang w:eastAsia="zh-Hans"/>
              </w:rPr>
              <w:t>在</w:t>
            </w:r>
            <w:r>
              <w:rPr>
                <w:rFonts w:hint="eastAsia" w:ascii="宋体" w:hAnsi="宋体" w:cs="宋体"/>
                <w:sz w:val="24"/>
                <w:highlight w:val="none"/>
              </w:rPr>
              <w:t>服务期内</w:t>
            </w:r>
            <w:r>
              <w:rPr>
                <w:rFonts w:hint="eastAsia" w:ascii="宋体" w:hAnsi="宋体" w:cs="宋体"/>
                <w:sz w:val="24"/>
                <w:highlight w:val="none"/>
                <w:lang w:eastAsia="zh-Hans"/>
              </w:rPr>
              <w:t>未</w:t>
            </w:r>
            <w:r>
              <w:rPr>
                <w:rFonts w:hint="eastAsia" w:ascii="宋体" w:hAnsi="宋体" w:cs="宋体"/>
                <w:sz w:val="24"/>
                <w:highlight w:val="none"/>
              </w:rPr>
              <w:t>提供7*24小时的技术支持（包括电话咨询与现场服务）。乙方在接到应急电话后，</w:t>
            </w:r>
            <w:r>
              <w:rPr>
                <w:rFonts w:hint="eastAsia" w:ascii="宋体" w:hAnsi="宋体" w:cs="宋体"/>
                <w:sz w:val="24"/>
                <w:highlight w:val="none"/>
                <w:lang w:eastAsia="zh-Hans"/>
              </w:rPr>
              <w:t>未在</w:t>
            </w:r>
            <w:r>
              <w:rPr>
                <w:rFonts w:hint="eastAsia" w:ascii="宋体" w:hAnsi="宋体" w:cs="宋体"/>
                <w:sz w:val="24"/>
                <w:highlight w:val="none"/>
              </w:rPr>
              <w:t>应规定时间内响应，</w:t>
            </w:r>
            <w:r>
              <w:rPr>
                <w:rFonts w:hint="eastAsia" w:ascii="宋体" w:hAnsi="宋体" w:cs="宋体"/>
                <w:bCs/>
                <w:sz w:val="24"/>
                <w:highlight w:val="none"/>
                <w:lang w:eastAsia="zh-Hans"/>
              </w:rPr>
              <w:t>每发生一次扣3分</w:t>
            </w:r>
            <w:r>
              <w:rPr>
                <w:rFonts w:hint="eastAsia" w:ascii="宋体" w:hAnsi="宋体" w:cs="宋体"/>
                <w:sz w:val="24"/>
                <w:highlight w:val="none"/>
              </w:rPr>
              <w:t>。</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17</w:t>
            </w:r>
          </w:p>
        </w:tc>
        <w:tc>
          <w:tcPr>
            <w:tcW w:w="4811" w:type="dxa"/>
            <w:gridSpan w:val="2"/>
            <w:vAlign w:val="center"/>
          </w:tcPr>
          <w:p>
            <w:pPr>
              <w:spacing w:line="360" w:lineRule="auto"/>
              <w:rPr>
                <w:rFonts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lang w:eastAsia="zh-Hans"/>
              </w:rPr>
              <w:t>未</w:t>
            </w:r>
            <w:r>
              <w:rPr>
                <w:rFonts w:hint="eastAsia" w:ascii="宋体" w:hAnsi="宋体" w:cs="宋体"/>
                <w:sz w:val="24"/>
                <w:highlight w:val="none"/>
              </w:rPr>
              <w:t>协助甲方完成安全检查工作，</w:t>
            </w:r>
            <w:r>
              <w:rPr>
                <w:rFonts w:hint="eastAsia" w:ascii="宋体" w:hAnsi="宋体" w:cs="宋体"/>
                <w:bCs/>
                <w:sz w:val="24"/>
                <w:highlight w:val="none"/>
                <w:lang w:eastAsia="zh-Hans"/>
              </w:rPr>
              <w:t>每发生一次扣3分</w:t>
            </w:r>
            <w:r>
              <w:rPr>
                <w:rFonts w:hint="eastAsia" w:ascii="宋体" w:hAnsi="宋体" w:cs="宋体"/>
                <w:sz w:val="24"/>
                <w:highlight w:val="none"/>
              </w:rPr>
              <w:t>。</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18</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sz w:val="24"/>
                <w:highlight w:val="none"/>
              </w:rPr>
              <w:t>乙方未按照要求提供文档，每发</w:t>
            </w:r>
            <w:r>
              <w:rPr>
                <w:rFonts w:hint="eastAsia" w:ascii="宋体" w:hAnsi="宋体" w:cs="宋体"/>
                <w:sz w:val="24"/>
                <w:highlight w:val="none"/>
                <w:lang w:eastAsia="zh-Hans"/>
              </w:rPr>
              <w:t>生一</w:t>
            </w:r>
            <w:r>
              <w:rPr>
                <w:rFonts w:hint="eastAsia" w:ascii="宋体" w:hAnsi="宋体" w:cs="宋体"/>
                <w:sz w:val="24"/>
                <w:highlight w:val="none"/>
              </w:rPr>
              <w:t>次扣5分。</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19</w:t>
            </w:r>
          </w:p>
        </w:tc>
        <w:tc>
          <w:tcPr>
            <w:tcW w:w="4811" w:type="dxa"/>
            <w:gridSpan w:val="2"/>
            <w:vAlign w:val="center"/>
          </w:tcPr>
          <w:p>
            <w:pPr>
              <w:snapToGrid w:val="0"/>
              <w:spacing w:line="360" w:lineRule="auto"/>
              <w:rPr>
                <w:rFonts w:ascii="宋体" w:hAnsi="宋体" w:cs="宋体"/>
                <w:sz w:val="24"/>
                <w:highlight w:val="none"/>
                <w:lang w:eastAsia="zh-Hans"/>
              </w:rPr>
            </w:pPr>
            <w:r>
              <w:rPr>
                <w:rFonts w:hint="eastAsia" w:ascii="宋体" w:hAnsi="宋体" w:cs="宋体"/>
                <w:sz w:val="24"/>
                <w:highlight w:val="none"/>
              </w:rPr>
              <w:t>乙方</w:t>
            </w:r>
            <w:r>
              <w:rPr>
                <w:rFonts w:hint="eastAsia" w:ascii="宋体" w:hAnsi="宋体" w:cs="宋体"/>
                <w:kern w:val="0"/>
                <w:sz w:val="24"/>
                <w:highlight w:val="none"/>
                <w:lang w:bidi="ar"/>
              </w:rPr>
              <w:t>发生违反相关保密规定、未按网络安全履行责任和义务的,每发生一次扣除违约金10000元/次外，甲方将追究乙方一切法律责任。</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815" w:type="dxa"/>
            <w:vAlign w:val="center"/>
          </w:tcPr>
          <w:p>
            <w:pPr>
              <w:autoSpaceDE w:val="0"/>
              <w:autoSpaceDN w:val="0"/>
              <w:snapToGrid w:val="0"/>
              <w:spacing w:line="360" w:lineRule="auto"/>
              <w:jc w:val="center"/>
              <w:rPr>
                <w:rFonts w:ascii="宋体" w:hAnsi="宋体" w:cs="宋体"/>
                <w:sz w:val="24"/>
                <w:highlight w:val="none"/>
              </w:rPr>
            </w:pPr>
            <w:r>
              <w:rPr>
                <w:rFonts w:hint="eastAsia" w:ascii="宋体" w:hAnsi="宋体" w:cs="宋体"/>
                <w:sz w:val="24"/>
                <w:highlight w:val="none"/>
              </w:rPr>
              <w:t>20</w:t>
            </w:r>
          </w:p>
        </w:tc>
        <w:tc>
          <w:tcPr>
            <w:tcW w:w="4811" w:type="dxa"/>
            <w:gridSpan w:val="2"/>
            <w:vAlign w:val="center"/>
          </w:tcPr>
          <w:p>
            <w:pPr>
              <w:snapToGrid w:val="0"/>
              <w:spacing w:line="360" w:lineRule="auto"/>
              <w:rPr>
                <w:rFonts w:ascii="宋体" w:hAnsi="宋体" w:cs="宋体"/>
                <w:sz w:val="24"/>
                <w:highlight w:val="none"/>
              </w:rPr>
            </w:pPr>
            <w:r>
              <w:rPr>
                <w:rFonts w:hint="eastAsia" w:ascii="宋体" w:hAnsi="宋体" w:cs="宋体"/>
                <w:iCs/>
                <w:sz w:val="24"/>
                <w:highlight w:val="none"/>
              </w:rPr>
              <w:t>未按承诺预留中小企业的比例达到合同总价的43%、小微企业的比例达到合同总价的28%，甲方有权无条件终止合同,并没收乙方全部履约保证金（如有），报送本级政府采购监管部门，提前列入失信行为记录名单，追究相关责任，且乙方应向甲方支付合同总价30%的违约金。</w:t>
            </w:r>
          </w:p>
        </w:tc>
        <w:tc>
          <w:tcPr>
            <w:tcW w:w="1369" w:type="dxa"/>
            <w:vAlign w:val="center"/>
          </w:tcPr>
          <w:p>
            <w:pPr>
              <w:autoSpaceDE w:val="0"/>
              <w:autoSpaceDN w:val="0"/>
              <w:snapToGrid w:val="0"/>
              <w:spacing w:line="360" w:lineRule="auto"/>
              <w:rPr>
                <w:rFonts w:ascii="宋体" w:hAnsi="宋体" w:cs="宋体"/>
                <w:sz w:val="24"/>
                <w:highlight w:val="none"/>
              </w:rPr>
            </w:pPr>
          </w:p>
        </w:tc>
        <w:tc>
          <w:tcPr>
            <w:tcW w:w="2302" w:type="dxa"/>
            <w:vAlign w:val="center"/>
          </w:tcPr>
          <w:p>
            <w:pPr>
              <w:autoSpaceDE w:val="0"/>
              <w:autoSpaceDN w:val="0"/>
              <w:snapToGrid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blHeader/>
          <w:jc w:val="center"/>
        </w:trPr>
        <w:tc>
          <w:tcPr>
            <w:tcW w:w="9297" w:type="dxa"/>
            <w:gridSpan w:val="5"/>
            <w:vAlign w:val="center"/>
          </w:tcPr>
          <w:p>
            <w:pPr>
              <w:widowControl/>
              <w:jc w:val="left"/>
              <w:rPr>
                <w:rFonts w:ascii="宋体" w:hAnsi="宋体" w:cs="宋体"/>
                <w:kern w:val="0"/>
                <w:sz w:val="24"/>
                <w:highlight w:val="none"/>
              </w:rPr>
            </w:pPr>
            <w:r>
              <w:rPr>
                <w:rFonts w:hint="eastAsia" w:ascii="宋体" w:hAnsi="宋体" w:cs="宋体"/>
                <w:kern w:val="0"/>
                <w:sz w:val="24"/>
                <w:highlight w:val="none"/>
              </w:rPr>
              <w:t>甲方项目经办人（签字）：                 乙方项目负责人（签字盖章）：</w:t>
            </w:r>
          </w:p>
          <w:p>
            <w:pPr>
              <w:widowControl/>
              <w:jc w:val="left"/>
              <w:rPr>
                <w:rFonts w:ascii="宋体" w:hAnsi="宋体" w:cs="宋体"/>
                <w:sz w:val="24"/>
                <w:highlight w:val="none"/>
              </w:rPr>
            </w:pPr>
            <w:r>
              <w:rPr>
                <w:rFonts w:hint="eastAsia" w:ascii="宋体" w:hAnsi="宋体" w:cs="宋体"/>
                <w:kern w:val="0"/>
                <w:sz w:val="24"/>
                <w:highlight w:val="none"/>
              </w:rPr>
              <w:t>项目审核人（签字盖章）：                  日  期：</w:t>
            </w:r>
          </w:p>
        </w:tc>
      </w:tr>
    </w:tbl>
    <w:p>
      <w:pPr>
        <w:pStyle w:val="2"/>
        <w:rPr>
          <w:highlight w:val="none"/>
          <w:lang w:val="en-US"/>
        </w:rPr>
      </w:pPr>
    </w:p>
    <w:p>
      <w:pPr>
        <w:snapToGrid w:val="0"/>
        <w:spacing w:line="360" w:lineRule="auto"/>
        <w:outlineLvl w:val="2"/>
        <w:rPr>
          <w:rFonts w:ascii="宋体" w:hAnsi="宋体" w:cs="宋体"/>
          <w:b/>
          <w:snapToGrid w:val="0"/>
          <w:kern w:val="0"/>
          <w:sz w:val="24"/>
          <w:highlight w:val="none"/>
        </w:rPr>
      </w:pPr>
      <w:r>
        <w:rPr>
          <w:rFonts w:hint="eastAsia" w:ascii="宋体" w:hAnsi="宋体" w:cs="宋体"/>
          <w:b/>
          <w:snapToGrid w:val="0"/>
          <w:kern w:val="0"/>
          <w:sz w:val="24"/>
          <w:highlight w:val="none"/>
        </w:rPr>
        <w:t>附件4：检测工具清单</w:t>
      </w:r>
    </w:p>
    <w:p>
      <w:pPr>
        <w:snapToGrid w:val="0"/>
        <w:outlineLvl w:val="2"/>
        <w:rPr>
          <w:rFonts w:ascii="宋体" w:hAnsi="宋体" w:cs="宋体"/>
          <w:b/>
          <w:snapToGrid w:val="0"/>
          <w:kern w:val="0"/>
          <w:sz w:val="24"/>
          <w:highlight w:val="none"/>
        </w:rPr>
      </w:pPr>
      <w:r>
        <w:rPr>
          <w:rFonts w:hint="eastAsia" w:ascii="宋体" w:hAnsi="宋体" w:cs="宋体"/>
          <w:b/>
          <w:snapToGrid w:val="0"/>
          <w:kern w:val="0"/>
          <w:sz w:val="24"/>
          <w:highlight w:val="none"/>
        </w:rPr>
        <w:t>附件5：分包协议（如有）</w:t>
      </w:r>
    </w:p>
    <w:p>
      <w:pPr>
        <w:spacing w:before="124" w:after="124" w:line="360" w:lineRule="auto"/>
        <w:ind w:firstLine="480" w:firstLineChars="200"/>
        <w:rPr>
          <w:rFonts w:asciiTheme="majorEastAsia" w:hAnsiTheme="majorEastAsia" w:eastAsiaTheme="majorEastAsia" w:cstheme="majorEastAsia"/>
          <w:sz w:val="24"/>
          <w:highlight w:val="none"/>
        </w:rPr>
      </w:pPr>
    </w:p>
    <w:p>
      <w:pPr>
        <w:spacing w:before="124" w:after="124" w:line="360" w:lineRule="auto"/>
        <w:ind w:firstLine="480" w:firstLineChars="200"/>
        <w:rPr>
          <w:rFonts w:asciiTheme="majorEastAsia" w:hAnsiTheme="majorEastAsia" w:eastAsiaTheme="majorEastAsia" w:cstheme="majorEastAsia"/>
          <w:sz w:val="24"/>
          <w:highlight w:val="none"/>
        </w:rPr>
      </w:pPr>
    </w:p>
    <w:p>
      <w:pPr>
        <w:rPr>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hint="eastAsia" w:ascii="宋体" w:hAnsi="宋体" w:cs="宋体"/>
          <w:b/>
          <w:color w:val="auto"/>
          <w:sz w:val="36"/>
          <w:szCs w:val="20"/>
          <w:highlight w:val="none"/>
        </w:rPr>
      </w:pPr>
    </w:p>
    <w:p>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杭州市公安业务网安全服务项目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ZHZB-2024HZGA-02</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杭州市公安业务网安全服务项目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ZHZB-2024HZGA-02</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395" w:name="_Hlk101257010"/>
      <w:r>
        <w:rPr>
          <w:rFonts w:hint="eastAsia" w:ascii="宋体" w:hAnsi="宋体" w:cs="宋体"/>
          <w:color w:val="auto"/>
          <w:sz w:val="24"/>
          <w:highlight w:val="none"/>
        </w:rPr>
        <w:t>（如果有)</w:t>
      </w:r>
      <w:bookmarkEnd w:id="395"/>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pPr>
        <w:spacing w:line="360" w:lineRule="auto"/>
        <w:ind w:left="420" w:leftChars="200" w:firstLine="480" w:firstLineChars="200"/>
        <w:rPr>
          <w:rFonts w:hint="default" w:eastAsia="仿宋_GB2312"/>
          <w:color w:val="auto"/>
          <w:highlight w:val="none"/>
          <w:lang w:val="en-US" w:eastAsia="zh-CN"/>
        </w:rPr>
      </w:pPr>
      <w:r>
        <w:rPr>
          <w:rFonts w:hint="eastAsia" w:ascii="宋体" w:hAnsi="宋体" w:cs="宋体"/>
          <w:color w:val="auto"/>
          <w:sz w:val="24"/>
          <w:highlight w:val="none"/>
          <w:lang w:val="en-US" w:eastAsia="zh-CN"/>
        </w:rPr>
        <w:t>2.3.2 报价情况说明（如果有）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pStyle w:val="81"/>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left"/>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杭州市公安业务网安全服务项目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杭州市公安业务网安全服务项目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50"/>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numPr>
          <w:ilvl w:val="0"/>
          <w:numId w:val="7"/>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pPr>
        <w:spacing w:line="360" w:lineRule="auto"/>
        <w:rPr>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pPr>
        <w:pStyle w:val="81"/>
        <w:rPr>
          <w:rFonts w:hint="eastAsia"/>
          <w:color w:val="auto"/>
          <w:highlight w:val="none"/>
        </w:rPr>
      </w:pPr>
    </w:p>
    <w:p>
      <w:pPr>
        <w:pStyle w:val="81"/>
        <w:rPr>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spacing w:line="240" w:lineRule="auto"/>
        <w:ind w:right="0"/>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杭州市公安局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浙江正浩招标代理有限公司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杭州市公安业务网安全服务项目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ZHZB-2024HZGA-02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p>
      <w:pPr>
        <w:pStyle w:val="3"/>
        <w:rPr>
          <w:rFonts w:hint="eastAsia" w:ascii="宋体" w:hAnsi="宋体" w:cs="宋体"/>
          <w:b/>
          <w:color w:val="auto"/>
          <w:kern w:val="0"/>
          <w:sz w:val="24"/>
          <w:highlight w:val="none"/>
          <w:lang w:val="zh-CN"/>
        </w:rPr>
      </w:pPr>
    </w:p>
    <w:tbl>
      <w:tblPr>
        <w:tblStyle w:val="62"/>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5"/>
        <w:gridCol w:w="1292"/>
        <w:gridCol w:w="3888"/>
        <w:gridCol w:w="732"/>
        <w:gridCol w:w="524"/>
        <w:gridCol w:w="731"/>
        <w:gridCol w:w="859"/>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595"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29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p>
        </w:tc>
        <w:tc>
          <w:tcPr>
            <w:tcW w:w="388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内容</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数量</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单位</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单价（元）</w:t>
            </w: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总价（元）</w:t>
            </w: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备注</w:t>
            </w:r>
            <w:r>
              <w:rPr>
                <w:rFonts w:hint="eastAsia" w:cs="宋体"/>
                <w:b w:val="0"/>
                <w:bCs w:val="0"/>
                <w:color w:val="auto"/>
                <w:sz w:val="24"/>
                <w:szCs w:val="24"/>
                <w:highlight w:val="none"/>
                <w:lang w:eastAsia="zh-CN"/>
              </w:rPr>
              <w:t>（</w:t>
            </w:r>
            <w:r>
              <w:rPr>
                <w:rFonts w:hint="eastAsia" w:cs="宋体"/>
                <w:b w:val="0"/>
                <w:bCs w:val="0"/>
                <w:color w:val="auto"/>
                <w:sz w:val="24"/>
                <w:szCs w:val="24"/>
                <w:highlight w:val="none"/>
                <w:lang w:val="en-US" w:eastAsia="zh-CN"/>
              </w:rPr>
              <w:t>中小、小微企业提供的服务内容</w:t>
            </w:r>
            <w:r>
              <w:rPr>
                <w:rFonts w:hint="eastAsia"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29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等保测评服务</w:t>
            </w:r>
          </w:p>
        </w:tc>
        <w:tc>
          <w:tcPr>
            <w:tcW w:w="3888" w:type="dxa"/>
            <w:shd w:val="clear" w:color="auto" w:fill="auto"/>
            <w:vAlign w:val="center"/>
          </w:tcPr>
          <w:p>
            <w:pPr>
              <w:spacing w:before="157" w:beforeLines="5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1、对于测评结论符合等保要求的，出具测评报告及整改建议书。</w:t>
            </w:r>
          </w:p>
          <w:p>
            <w:pPr>
              <w:spacing w:before="157" w:beforeLines="5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2、对于测评结论不符合等保要求的，出具差距分析报告及整改建议书。</w:t>
            </w:r>
          </w:p>
          <w:p>
            <w:pPr>
              <w:spacing w:before="157" w:beforeLines="5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3、本项目服务期内测评</w:t>
            </w:r>
            <w:r>
              <w:rPr>
                <w:rFonts w:hint="eastAsia" w:ascii="宋体" w:hAnsi="宋体" w:cs="宋体"/>
                <w:b w:val="0"/>
                <w:bCs w:val="0"/>
                <w:color w:val="auto"/>
                <w:sz w:val="24"/>
                <w:szCs w:val="24"/>
                <w:highlight w:val="none"/>
                <w:lang w:val="en-US" w:eastAsia="zh-CN"/>
              </w:rPr>
              <w:t>系统</w:t>
            </w:r>
            <w:r>
              <w:rPr>
                <w:rFonts w:hint="eastAsia" w:ascii="宋体" w:hAnsi="宋体" w:eastAsia="宋体" w:cs="宋体"/>
                <w:b w:val="0"/>
                <w:bCs w:val="0"/>
                <w:color w:val="auto"/>
                <w:sz w:val="24"/>
                <w:szCs w:val="24"/>
                <w:highlight w:val="none"/>
              </w:rPr>
              <w:t>数量不少于25</w:t>
            </w:r>
            <w:r>
              <w:rPr>
                <w:rFonts w:hint="eastAsia" w:ascii="宋体" w:hAnsi="宋体" w:cs="宋体"/>
                <w:b w:val="0"/>
                <w:bCs w:val="0"/>
                <w:color w:val="auto"/>
                <w:sz w:val="24"/>
                <w:szCs w:val="24"/>
                <w:highlight w:val="none"/>
                <w:lang w:val="en-US" w:eastAsia="zh-CN"/>
              </w:rPr>
              <w:t>个</w:t>
            </w:r>
            <w:r>
              <w:rPr>
                <w:rFonts w:hint="eastAsia" w:ascii="宋体" w:hAnsi="宋体" w:eastAsia="宋体" w:cs="宋体"/>
                <w:b w:val="0"/>
                <w:bCs w:val="0"/>
                <w:color w:val="auto"/>
                <w:sz w:val="24"/>
                <w:szCs w:val="24"/>
                <w:highlight w:val="none"/>
              </w:rPr>
              <w:t>。</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25</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cs="宋体"/>
                <w:b w:val="0"/>
                <w:bCs w:val="0"/>
                <w:color w:val="auto"/>
                <w:sz w:val="24"/>
                <w:szCs w:val="24"/>
                <w:highlight w:val="none"/>
                <w:lang w:val="en-US" w:eastAsia="zh-CN"/>
              </w:rPr>
              <w:t>个</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vMerge w:val="restart"/>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1292" w:type="dxa"/>
            <w:vMerge w:val="restart"/>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数据库审计服务</w:t>
            </w:r>
          </w:p>
        </w:tc>
        <w:tc>
          <w:tcPr>
            <w:tcW w:w="3888" w:type="dxa"/>
            <w:shd w:val="clear" w:color="auto" w:fill="auto"/>
            <w:vAlign w:val="center"/>
          </w:tcPr>
          <w:p>
            <w:pPr>
              <w:spacing w:before="157" w:beforeLines="5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政务网不少于2套（不限制支持的数据库实例个数）</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套</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vMerge w:val="continue"/>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292" w:type="dxa"/>
            <w:vMerge w:val="continue"/>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3888" w:type="dxa"/>
            <w:shd w:val="clear" w:color="auto" w:fill="auto"/>
            <w:vAlign w:val="center"/>
          </w:tcPr>
          <w:p>
            <w:pPr>
              <w:spacing w:before="157" w:beforeLines="5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视频专网不少于4台</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台</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vMerge w:val="continue"/>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292" w:type="dxa"/>
            <w:vMerge w:val="continue"/>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3888" w:type="dxa"/>
            <w:shd w:val="clear" w:color="auto" w:fill="auto"/>
            <w:vAlign w:val="center"/>
          </w:tcPr>
          <w:p>
            <w:pPr>
              <w:spacing w:before="157" w:beforeLines="5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公安网不少于6台</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台</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129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政务网云日志审计</w:t>
            </w:r>
            <w:r>
              <w:rPr>
                <w:rFonts w:hint="eastAsia" w:ascii="宋体" w:hAnsi="宋体" w:eastAsia="宋体" w:cs="宋体"/>
                <w:b w:val="0"/>
                <w:bCs w:val="0"/>
                <w:color w:val="auto"/>
                <w:sz w:val="24"/>
                <w:szCs w:val="24"/>
                <w:highlight w:val="none"/>
                <w:lang w:val="en-US" w:eastAsia="zh-CN"/>
              </w:rPr>
              <w:t>服务</w:t>
            </w:r>
          </w:p>
        </w:tc>
        <w:tc>
          <w:tcPr>
            <w:tcW w:w="3888" w:type="dxa"/>
            <w:shd w:val="clear" w:color="auto" w:fill="auto"/>
            <w:vAlign w:val="center"/>
          </w:tcPr>
          <w:p>
            <w:pPr>
              <w:pStyle w:val="58"/>
              <w:spacing w:before="157" w:beforeLines="50" w:beforeAutospacing="0" w:after="0" w:afterAutospacing="0"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提供不少于2套政务网日志审计（每</w:t>
            </w:r>
          </w:p>
          <w:p>
            <w:pPr>
              <w:pStyle w:val="58"/>
              <w:spacing w:before="157" w:beforeLines="50" w:beforeAutospacing="0" w:after="0" w:afterAutospacing="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套支持500个日志源授权）</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套</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129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政务网态势感知服务</w:t>
            </w:r>
          </w:p>
        </w:tc>
        <w:tc>
          <w:tcPr>
            <w:tcW w:w="3888" w:type="dxa"/>
            <w:shd w:val="clear" w:color="auto" w:fill="auto"/>
            <w:vAlign w:val="center"/>
          </w:tcPr>
          <w:p>
            <w:pPr>
              <w:pStyle w:val="58"/>
              <w:spacing w:before="157" w:beforeLines="50" w:beforeAutospacing="0" w:after="0" w:afterAutospacing="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提供1套政务网态势感知</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套</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vMerge w:val="restart"/>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1292" w:type="dxa"/>
            <w:vMerge w:val="restart"/>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SaaS化安全服务</w:t>
            </w:r>
          </w:p>
        </w:tc>
        <w:tc>
          <w:tcPr>
            <w:tcW w:w="3888" w:type="dxa"/>
            <w:shd w:val="clear" w:color="auto" w:fill="auto"/>
            <w:vAlign w:val="center"/>
          </w:tcPr>
          <w:p>
            <w:pPr>
              <w:pStyle w:val="58"/>
              <w:spacing w:before="157" w:beforeLines="50" w:beforeAutospacing="0" w:after="0" w:afterAutospacing="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提供不超过10个主域名的云防护服务（每个主域名+10个子域名）</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个</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vMerge w:val="continue"/>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292" w:type="dxa"/>
            <w:vMerge w:val="continue"/>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sz w:val="24"/>
                <w:szCs w:val="24"/>
                <w:highlight w:val="none"/>
              </w:rPr>
            </w:pPr>
          </w:p>
        </w:tc>
        <w:tc>
          <w:tcPr>
            <w:tcW w:w="3888" w:type="dxa"/>
            <w:shd w:val="clear" w:color="auto" w:fill="auto"/>
            <w:vAlign w:val="center"/>
          </w:tcPr>
          <w:p>
            <w:pPr>
              <w:pStyle w:val="58"/>
              <w:spacing w:before="157" w:beforeLines="50" w:beforeAutospacing="0" w:after="0" w:afterAutospacing="0"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提供不超过10个主域名的云监测服务</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个</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1" w:hRule="atLeast"/>
          <w:jc w:val="center"/>
        </w:trPr>
        <w:tc>
          <w:tcPr>
            <w:tcW w:w="595"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129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公安网安全风险感知服务</w:t>
            </w:r>
          </w:p>
        </w:tc>
        <w:tc>
          <w:tcPr>
            <w:tcW w:w="3888" w:type="dxa"/>
            <w:shd w:val="clear" w:color="auto" w:fill="auto"/>
            <w:vAlign w:val="center"/>
          </w:tcPr>
          <w:p>
            <w:pPr>
              <w:spacing w:before="157" w:beforeLines="50"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sz w:val="24"/>
                <w:szCs w:val="24"/>
                <w:highlight w:val="none"/>
              </w:rPr>
              <w:t>提供不少于8次的安全风险感知服务支持</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次</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8" w:hRule="atLeast"/>
          <w:jc w:val="center"/>
        </w:trPr>
        <w:tc>
          <w:tcPr>
            <w:tcW w:w="595" w:type="dxa"/>
            <w:vMerge w:val="restart"/>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1292" w:type="dxa"/>
            <w:vMerge w:val="restart"/>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公安网桌面云服务</w:t>
            </w:r>
          </w:p>
        </w:tc>
        <w:tc>
          <w:tcPr>
            <w:tcW w:w="3888" w:type="dxa"/>
            <w:shd w:val="clear" w:color="auto" w:fill="auto"/>
            <w:vAlign w:val="center"/>
          </w:tcPr>
          <w:p>
            <w:pPr>
              <w:pStyle w:val="2"/>
              <w:numPr>
                <w:ilvl w:val="-1"/>
                <w:numId w:val="0"/>
              </w:numPr>
              <w:autoSpaceDE/>
              <w:autoSpaceDN/>
              <w:spacing w:before="157" w:beforeLines="50"/>
              <w:rPr>
                <w:rFonts w:hint="eastAsia" w:hAnsi="宋体" w:cs="宋体"/>
                <w:b w:val="0"/>
                <w:bCs w:val="0"/>
                <w:sz w:val="24"/>
                <w:szCs w:val="24"/>
                <w:highlight w:val="none"/>
                <w:lang w:val="en-US" w:eastAsia="zh-CN"/>
              </w:rPr>
            </w:pPr>
            <w:r>
              <w:rPr>
                <w:rFonts w:hint="eastAsia" w:ascii="宋体" w:hAnsi="宋体" w:eastAsia="宋体" w:cs="宋体"/>
                <w:b w:val="0"/>
                <w:bCs w:val="0"/>
                <w:sz w:val="24"/>
                <w:szCs w:val="24"/>
                <w:highlight w:val="none"/>
              </w:rPr>
              <w:t>提供不低于300点云桌面授权</w:t>
            </w:r>
          </w:p>
          <w:p>
            <w:pPr>
              <w:widowControl/>
              <w:spacing w:before="157" w:beforeLines="50"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rPr>
              <w:t>平均每个人员使用的资源不低于2核8G内存和300G磁盘空间</w:t>
            </w:r>
            <w:r>
              <w:rPr>
                <w:rFonts w:hint="eastAsia" w:ascii="宋体" w:hAnsi="宋体" w:cs="宋体"/>
                <w:b w:val="0"/>
                <w:bCs w:val="0"/>
                <w:sz w:val="24"/>
                <w:szCs w:val="24"/>
                <w:highlight w:val="none"/>
                <w:lang w:eastAsia="zh-CN"/>
              </w:rPr>
              <w:t>）</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300</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cs="宋体"/>
                <w:b w:val="0"/>
                <w:bCs w:val="0"/>
                <w:color w:val="auto"/>
                <w:sz w:val="24"/>
                <w:szCs w:val="24"/>
                <w:highlight w:val="none"/>
                <w:lang w:val="en-US" w:eastAsia="zh-CN"/>
              </w:rPr>
              <w:t>点</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8" w:hRule="atLeast"/>
          <w:jc w:val="center"/>
        </w:trPr>
        <w:tc>
          <w:tcPr>
            <w:tcW w:w="595" w:type="dxa"/>
            <w:vMerge w:val="continue"/>
            <w:shd w:val="clear" w:color="auto" w:fill="auto"/>
            <w:vAlign w:val="center"/>
          </w:tcPr>
          <w:p>
            <w:pPr>
              <w:pStyle w:val="58"/>
              <w:spacing w:before="157" w:beforeLines="50" w:beforeAutospacing="0" w:after="0" w:afterAutospacing="0" w:line="360" w:lineRule="auto"/>
              <w:jc w:val="center"/>
              <w:rPr>
                <w:highlight w:val="none"/>
              </w:rPr>
            </w:pPr>
          </w:p>
        </w:tc>
        <w:tc>
          <w:tcPr>
            <w:tcW w:w="1292" w:type="dxa"/>
            <w:vMerge w:val="continue"/>
            <w:shd w:val="clear" w:color="auto" w:fill="auto"/>
            <w:vAlign w:val="center"/>
          </w:tcPr>
          <w:p>
            <w:pPr>
              <w:pStyle w:val="58"/>
              <w:spacing w:before="157" w:beforeLines="50" w:beforeAutospacing="0" w:after="0" w:afterAutospacing="0" w:line="360" w:lineRule="auto"/>
              <w:jc w:val="center"/>
              <w:rPr>
                <w:highlight w:val="none"/>
              </w:rPr>
            </w:pPr>
          </w:p>
        </w:tc>
        <w:tc>
          <w:tcPr>
            <w:tcW w:w="3888" w:type="dxa"/>
            <w:shd w:val="clear" w:color="auto" w:fill="auto"/>
            <w:vAlign w:val="center"/>
          </w:tcPr>
          <w:p>
            <w:pPr>
              <w:pStyle w:val="2"/>
              <w:numPr>
                <w:ilvl w:val="0"/>
                <w:numId w:val="0"/>
              </w:numPr>
              <w:adjustRightInd w:val="0"/>
              <w:spacing w:before="157" w:beforeLines="50" w:line="360" w:lineRule="auto"/>
              <w:jc w:val="left"/>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提供</w:t>
            </w:r>
            <w:r>
              <w:rPr>
                <w:rFonts w:hint="eastAsia" w:ascii="宋体" w:hAnsi="宋体" w:eastAsia="宋体" w:cs="宋体"/>
                <w:b w:val="0"/>
                <w:bCs w:val="0"/>
                <w:sz w:val="24"/>
                <w:szCs w:val="24"/>
                <w:highlight w:val="none"/>
              </w:rPr>
              <w:t>不低于35台瘦终端</w:t>
            </w:r>
          </w:p>
          <w:p>
            <w:pPr>
              <w:pStyle w:val="2"/>
              <w:spacing w:before="157" w:beforeLines="50" w:beforeAutospacing="0" w:after="0" w:afterAutospacing="0" w:line="360" w:lineRule="auto"/>
              <w:jc w:val="center"/>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w:t>
            </w:r>
            <w:r>
              <w:rPr>
                <w:rFonts w:hint="eastAsia" w:hAnsi="宋体" w:cs="宋体"/>
                <w:b w:val="0"/>
                <w:bCs w:val="0"/>
                <w:color w:val="0000FF"/>
                <w:sz w:val="24"/>
                <w:szCs w:val="24"/>
                <w:highlight w:val="none"/>
                <w:lang w:val="en-US" w:eastAsia="zh-CN"/>
              </w:rPr>
              <w:t>每台终端</w:t>
            </w:r>
            <w:r>
              <w:rPr>
                <w:rFonts w:hint="eastAsia" w:ascii="宋体" w:hAnsi="宋体" w:eastAsia="宋体" w:cs="宋体"/>
                <w:b w:val="0"/>
                <w:bCs w:val="0"/>
                <w:sz w:val="24"/>
                <w:szCs w:val="24"/>
                <w:highlight w:val="none"/>
              </w:rPr>
              <w:t>不低于2核8G内存和300G磁盘空间</w:t>
            </w:r>
            <w:r>
              <w:rPr>
                <w:rFonts w:hint="eastAsia" w:ascii="宋体" w:hAnsi="宋体" w:cs="宋体"/>
                <w:b w:val="0"/>
                <w:bCs w:val="0"/>
                <w:sz w:val="24"/>
                <w:szCs w:val="24"/>
                <w:highlight w:val="none"/>
                <w:lang w:eastAsia="zh-CN"/>
              </w:rPr>
              <w:t>）</w:t>
            </w:r>
          </w:p>
        </w:tc>
        <w:tc>
          <w:tcPr>
            <w:tcW w:w="732" w:type="dxa"/>
            <w:shd w:val="clear" w:color="auto" w:fill="auto"/>
            <w:vAlign w:val="center"/>
          </w:tcPr>
          <w:p>
            <w:pPr>
              <w:pStyle w:val="58"/>
              <w:spacing w:before="157" w:beforeLines="50" w:beforeAutospacing="0" w:after="0" w:afterAutospacing="0" w:line="360" w:lineRule="auto"/>
              <w:jc w:val="center"/>
              <w:rPr>
                <w:rFonts w:hint="default"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35</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台</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129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公安网一机两用服务</w:t>
            </w:r>
          </w:p>
        </w:tc>
        <w:tc>
          <w:tcPr>
            <w:tcW w:w="3888" w:type="dxa"/>
            <w:shd w:val="clear" w:color="auto" w:fill="auto"/>
            <w:vAlign w:val="center"/>
          </w:tcPr>
          <w:p>
            <w:pPr>
              <w:adjustRightInd w:val="0"/>
              <w:spacing w:before="157" w:beforeLines="50" w:line="360" w:lineRule="auto"/>
              <w:jc w:val="left"/>
              <w:rPr>
                <w:rFonts w:hint="eastAsia" w:ascii="宋体" w:hAnsi="宋体" w:eastAsia="宋体" w:cs="宋体"/>
                <w:b w:val="0"/>
                <w:bCs w:val="0"/>
                <w:sz w:val="24"/>
                <w:szCs w:val="24"/>
                <w:highlight w:val="none"/>
                <w:lang w:eastAsia="zh-Hans"/>
              </w:rPr>
            </w:pPr>
            <w:r>
              <w:rPr>
                <w:rFonts w:hint="eastAsia" w:ascii="宋体" w:hAnsi="宋体" w:eastAsia="宋体" w:cs="宋体"/>
                <w:b w:val="0"/>
                <w:bCs w:val="0"/>
                <w:sz w:val="24"/>
                <w:szCs w:val="24"/>
                <w:highlight w:val="none"/>
                <w:lang w:eastAsia="zh-Hans"/>
              </w:rPr>
              <w:t>1、定期巡检服务，为杭州市公安局“一机两用”监控系统提供每月一次的巡检服务。</w:t>
            </w:r>
          </w:p>
          <w:p>
            <w:pPr>
              <w:spacing w:before="157" w:beforeLines="5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lang w:eastAsia="zh-Hans"/>
              </w:rPr>
              <w:t>2、技术支持服务，每月10日至20日使用专用工具对服务器列表进行清理，确保每月服务器漏洞扫描工作的准确性；每月20日至下月10日，使用专用工具对杭州市公安局“一机两用”监控系统注册率、“一机两用”监控系统补丁下载率、防病毒软件覆盖率等公安部考核数据进行清理。</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项</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vMerge w:val="restart"/>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9</w:t>
            </w:r>
          </w:p>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292" w:type="dxa"/>
            <w:vMerge w:val="restart"/>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视频网终端杀毒服务</w:t>
            </w:r>
          </w:p>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3888" w:type="dxa"/>
            <w:shd w:val="clear" w:color="auto" w:fill="auto"/>
            <w:vAlign w:val="center"/>
          </w:tcPr>
          <w:p>
            <w:pPr>
              <w:spacing w:before="157" w:beforeLines="50"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提供不少于1500点PC终端</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1500</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点</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0" w:hRule="atLeast"/>
          <w:jc w:val="center"/>
        </w:trPr>
        <w:tc>
          <w:tcPr>
            <w:tcW w:w="595" w:type="dxa"/>
            <w:vMerge w:val="continue"/>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292" w:type="dxa"/>
            <w:vMerge w:val="continue"/>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3888" w:type="dxa"/>
            <w:shd w:val="clear" w:color="auto" w:fill="auto"/>
            <w:vAlign w:val="center"/>
          </w:tcPr>
          <w:p>
            <w:pPr>
              <w:spacing w:before="157" w:beforeLines="50"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提供不少于250点服务器授权</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cs="宋体"/>
                <w:b w:val="0"/>
                <w:bCs w:val="0"/>
                <w:color w:val="auto"/>
                <w:sz w:val="24"/>
                <w:szCs w:val="24"/>
                <w:highlight w:val="none"/>
                <w:lang w:val="en-US" w:eastAsia="zh-CN"/>
              </w:rPr>
              <w:t>250</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点</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w:t>
            </w:r>
          </w:p>
        </w:tc>
        <w:tc>
          <w:tcPr>
            <w:tcW w:w="129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Hans"/>
              </w:rPr>
            </w:pPr>
            <w:r>
              <w:rPr>
                <w:rFonts w:hint="eastAsia" w:ascii="宋体" w:hAnsi="宋体" w:eastAsia="宋体" w:cs="宋体"/>
                <w:b w:val="0"/>
                <w:bCs w:val="0"/>
                <w:sz w:val="24"/>
                <w:szCs w:val="24"/>
                <w:highlight w:val="none"/>
              </w:rPr>
              <w:t>系统安全检测</w:t>
            </w:r>
          </w:p>
        </w:tc>
        <w:tc>
          <w:tcPr>
            <w:tcW w:w="3888" w:type="dxa"/>
            <w:shd w:val="clear" w:color="auto" w:fill="auto"/>
            <w:vAlign w:val="center"/>
          </w:tcPr>
          <w:p>
            <w:pPr>
              <w:spacing w:before="157" w:beforeLines="50"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不少于6次系统安全检测。</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6</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次</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11</w:t>
            </w:r>
          </w:p>
        </w:tc>
        <w:tc>
          <w:tcPr>
            <w:tcW w:w="129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网络安全检查</w:t>
            </w:r>
          </w:p>
        </w:tc>
        <w:tc>
          <w:tcPr>
            <w:tcW w:w="3888" w:type="dxa"/>
            <w:shd w:val="clear" w:color="auto" w:fill="auto"/>
            <w:vAlign w:val="center"/>
          </w:tcPr>
          <w:p>
            <w:pPr>
              <w:spacing w:before="157" w:beforeLines="5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highlight w:val="none"/>
              </w:rPr>
              <w:t>不少于3次网络安全检查。</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次</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w:t>
            </w:r>
          </w:p>
        </w:tc>
        <w:tc>
          <w:tcPr>
            <w:tcW w:w="129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重保</w:t>
            </w:r>
          </w:p>
        </w:tc>
        <w:tc>
          <w:tcPr>
            <w:tcW w:w="3888" w:type="dxa"/>
            <w:shd w:val="clear" w:color="auto" w:fill="auto"/>
            <w:vAlign w:val="center"/>
          </w:tcPr>
          <w:p>
            <w:pPr>
              <w:spacing w:before="157" w:beforeLines="50" w:line="36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不少于3次重大活动安全保障。</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次</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595"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13</w:t>
            </w:r>
          </w:p>
        </w:tc>
        <w:tc>
          <w:tcPr>
            <w:tcW w:w="129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应急响应</w:t>
            </w:r>
          </w:p>
        </w:tc>
        <w:tc>
          <w:tcPr>
            <w:tcW w:w="3888" w:type="dxa"/>
            <w:shd w:val="clear" w:color="auto" w:fill="auto"/>
            <w:vAlign w:val="center"/>
          </w:tcPr>
          <w:p>
            <w:pPr>
              <w:pStyle w:val="58"/>
              <w:spacing w:before="157" w:beforeLines="50" w:beforeAutospacing="0" w:after="0" w:afterAutospacing="0" w:line="360"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按需提供应急响应服务，不少于8次。</w:t>
            </w:r>
          </w:p>
        </w:tc>
        <w:tc>
          <w:tcPr>
            <w:tcW w:w="732"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524"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次</w:t>
            </w:r>
          </w:p>
        </w:tc>
        <w:tc>
          <w:tcPr>
            <w:tcW w:w="731"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859"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c>
          <w:tcPr>
            <w:tcW w:w="1408"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1" w:hRule="atLeast"/>
          <w:jc w:val="center"/>
        </w:trPr>
        <w:tc>
          <w:tcPr>
            <w:tcW w:w="595" w:type="dxa"/>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14</w:t>
            </w:r>
          </w:p>
        </w:tc>
        <w:tc>
          <w:tcPr>
            <w:tcW w:w="1292" w:type="dxa"/>
            <w:shd w:val="clear" w:color="auto" w:fill="auto"/>
            <w:vAlign w:val="center"/>
          </w:tcPr>
          <w:p>
            <w:pPr>
              <w:pStyle w:val="58"/>
              <w:spacing w:before="157" w:beforeLines="50" w:beforeAutospacing="0" w:after="0" w:afterAutospacing="0" w:line="360" w:lineRule="auto"/>
              <w:jc w:val="center"/>
              <w:rPr>
                <w:highlight w:val="none"/>
              </w:rPr>
            </w:pPr>
            <w:r>
              <w:rPr>
                <w:rFonts w:hint="eastAsia" w:ascii="宋体" w:hAnsi="宋体" w:eastAsia="宋体" w:cs="宋体"/>
                <w:b w:val="0"/>
                <w:bCs w:val="0"/>
                <w:sz w:val="24"/>
                <w:szCs w:val="24"/>
                <w:highlight w:val="none"/>
              </w:rPr>
              <w:t>边界通道租赁服务</w:t>
            </w:r>
          </w:p>
        </w:tc>
        <w:tc>
          <w:tcPr>
            <w:tcW w:w="3888" w:type="dxa"/>
            <w:shd w:val="clear" w:color="auto" w:fill="auto"/>
            <w:vAlign w:val="center"/>
          </w:tcPr>
          <w:p>
            <w:pPr>
              <w:pStyle w:val="58"/>
              <w:spacing w:before="157" w:beforeLines="50" w:beforeAutospacing="0" w:after="0" w:afterAutospacing="0"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sz w:val="24"/>
                <w:szCs w:val="24"/>
                <w:highlight w:val="none"/>
              </w:rPr>
              <w:t>共3条通道，每条都为（2+4+2）池化架构或其他架构来确保两侧交换系统及进出各单向2光闸的冗余能力，包含外侧防火墙。</w:t>
            </w:r>
          </w:p>
        </w:tc>
        <w:tc>
          <w:tcPr>
            <w:tcW w:w="732" w:type="dxa"/>
            <w:shd w:val="clear" w:color="auto" w:fill="auto"/>
            <w:vAlign w:val="center"/>
          </w:tcPr>
          <w:p>
            <w:pPr>
              <w:pStyle w:val="58"/>
              <w:spacing w:before="157" w:beforeLines="50" w:beforeAutospacing="0" w:after="0" w:afterAutospacing="0" w:line="360" w:lineRule="auto"/>
              <w:jc w:val="center"/>
              <w:rPr>
                <w:highlight w:val="none"/>
              </w:rPr>
            </w:pPr>
            <w:r>
              <w:rPr>
                <w:rFonts w:hint="eastAsia" w:ascii="宋体" w:hAnsi="宋体" w:eastAsia="宋体" w:cs="宋体"/>
                <w:b w:val="0"/>
                <w:bCs w:val="0"/>
                <w:color w:val="auto"/>
                <w:sz w:val="24"/>
                <w:szCs w:val="24"/>
                <w:highlight w:val="none"/>
                <w:lang w:val="en-US" w:eastAsia="zh-CN"/>
              </w:rPr>
              <w:t>3</w:t>
            </w:r>
          </w:p>
        </w:tc>
        <w:tc>
          <w:tcPr>
            <w:tcW w:w="524" w:type="dxa"/>
            <w:shd w:val="clear" w:color="auto" w:fill="auto"/>
            <w:vAlign w:val="center"/>
          </w:tcPr>
          <w:p>
            <w:pPr>
              <w:pStyle w:val="58"/>
              <w:spacing w:before="157" w:beforeLines="50" w:beforeAutospacing="0" w:after="0" w:afterAutospacing="0" w:line="360" w:lineRule="auto"/>
              <w:jc w:val="center"/>
              <w:rPr>
                <w:highlight w:val="none"/>
              </w:rPr>
            </w:pPr>
            <w:r>
              <w:rPr>
                <w:rFonts w:hint="eastAsia" w:ascii="宋体" w:hAnsi="宋体" w:eastAsia="宋体" w:cs="宋体"/>
                <w:b w:val="0"/>
                <w:bCs w:val="0"/>
                <w:color w:val="auto"/>
                <w:sz w:val="24"/>
                <w:szCs w:val="24"/>
                <w:highlight w:val="none"/>
                <w:lang w:val="en-US" w:eastAsia="zh-CN"/>
              </w:rPr>
              <w:t>条</w:t>
            </w:r>
          </w:p>
        </w:tc>
        <w:tc>
          <w:tcPr>
            <w:tcW w:w="731" w:type="dxa"/>
            <w:shd w:val="clear" w:color="auto" w:fill="auto"/>
            <w:vAlign w:val="center"/>
          </w:tcPr>
          <w:p>
            <w:pPr>
              <w:pStyle w:val="58"/>
              <w:spacing w:before="157" w:beforeLines="50" w:beforeAutospacing="0" w:after="0" w:afterAutospacing="0" w:line="360" w:lineRule="auto"/>
              <w:jc w:val="center"/>
              <w:rPr>
                <w:highlight w:val="none"/>
              </w:rPr>
            </w:pPr>
          </w:p>
        </w:tc>
        <w:tc>
          <w:tcPr>
            <w:tcW w:w="859" w:type="dxa"/>
            <w:shd w:val="clear" w:color="auto" w:fill="auto"/>
            <w:vAlign w:val="center"/>
          </w:tcPr>
          <w:p>
            <w:pPr>
              <w:pStyle w:val="58"/>
              <w:spacing w:before="157" w:beforeLines="50" w:beforeAutospacing="0" w:after="0" w:afterAutospacing="0" w:line="360" w:lineRule="auto"/>
              <w:jc w:val="center"/>
              <w:rPr>
                <w:highlight w:val="none"/>
              </w:rPr>
            </w:pPr>
          </w:p>
        </w:tc>
        <w:tc>
          <w:tcPr>
            <w:tcW w:w="1408" w:type="dxa"/>
            <w:shd w:val="clear" w:color="auto" w:fill="auto"/>
            <w:vAlign w:val="center"/>
          </w:tcPr>
          <w:p>
            <w:pPr>
              <w:pStyle w:val="58"/>
              <w:spacing w:before="157" w:beforeLines="50" w:beforeAutospacing="0" w:after="0" w:afterAutospacing="0" w:line="36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887" w:type="dxa"/>
            <w:gridSpan w:val="2"/>
            <w:shd w:val="clear" w:color="auto" w:fill="auto"/>
            <w:vAlign w:val="center"/>
          </w:tcPr>
          <w:p>
            <w:pPr>
              <w:pStyle w:val="58"/>
              <w:spacing w:before="157" w:beforeLines="50" w:beforeAutospacing="0" w:after="0" w:afterAutospacing="0" w:line="360" w:lineRule="auto"/>
              <w:jc w:val="center"/>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总价人民币（小写）</w:t>
            </w:r>
          </w:p>
        </w:tc>
        <w:tc>
          <w:tcPr>
            <w:tcW w:w="8142" w:type="dxa"/>
            <w:gridSpan w:val="6"/>
            <w:shd w:val="clear" w:color="auto" w:fill="auto"/>
            <w:vAlign w:val="center"/>
          </w:tcPr>
          <w:p>
            <w:pPr>
              <w:pStyle w:val="58"/>
              <w:spacing w:before="157" w:beforeLines="50" w:beforeAutospacing="0" w:after="0" w:afterAutospacing="0" w:line="360" w:lineRule="auto"/>
              <w:ind w:right="-20" w:rightChars="0"/>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887" w:type="dxa"/>
            <w:gridSpan w:val="2"/>
            <w:shd w:val="clear" w:color="auto" w:fill="auto"/>
            <w:vAlign w:val="center"/>
          </w:tcPr>
          <w:p>
            <w:pPr>
              <w:pStyle w:val="58"/>
              <w:spacing w:before="157" w:beforeLines="50" w:beforeAutospacing="0" w:after="0" w:afterAutospacing="0" w:line="360" w:lineRule="auto"/>
              <w:jc w:val="center"/>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投标</w:t>
            </w:r>
            <w:r>
              <w:rPr>
                <w:rFonts w:hint="eastAsia" w:ascii="宋体" w:hAnsi="宋体" w:eastAsia="宋体" w:cs="宋体"/>
                <w:b w:val="0"/>
                <w:bCs w:val="0"/>
                <w:color w:val="auto"/>
                <w:sz w:val="24"/>
                <w:szCs w:val="24"/>
                <w:highlight w:val="none"/>
              </w:rPr>
              <w:t>总价人民币（大写）</w:t>
            </w:r>
          </w:p>
        </w:tc>
        <w:tc>
          <w:tcPr>
            <w:tcW w:w="8142" w:type="dxa"/>
            <w:gridSpan w:val="6"/>
            <w:shd w:val="clear" w:color="auto" w:fill="auto"/>
            <w:vAlign w:val="center"/>
          </w:tcPr>
          <w:p>
            <w:pPr>
              <w:pStyle w:val="58"/>
              <w:spacing w:before="157" w:beforeLines="50" w:beforeAutospacing="0" w:after="0" w:afterAutospacing="0" w:line="360" w:lineRule="auto"/>
              <w:ind w:right="-20" w:rightChars="0"/>
              <w:jc w:val="center"/>
              <w:rPr>
                <w:rFonts w:hint="eastAsia" w:ascii="宋体" w:hAnsi="宋体" w:eastAsia="宋体" w:cs="宋体"/>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029" w:type="dxa"/>
            <w:gridSpan w:val="8"/>
            <w:shd w:val="clear" w:color="auto" w:fill="auto"/>
            <w:vAlign w:val="center"/>
          </w:tcPr>
          <w:p>
            <w:pPr>
              <w:pStyle w:val="58"/>
              <w:spacing w:before="157" w:beforeLines="50" w:beforeAutospacing="0" w:after="0" w:afterAutospacing="0" w:line="360" w:lineRule="auto"/>
              <w:ind w:right="-20" w:rightChars="0"/>
              <w:jc w:val="left"/>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其中：中小企业金额达到    元，占投标报价的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029" w:type="dxa"/>
            <w:gridSpan w:val="8"/>
            <w:shd w:val="clear" w:color="auto" w:fill="auto"/>
            <w:vAlign w:val="center"/>
          </w:tcPr>
          <w:p>
            <w:pPr>
              <w:pStyle w:val="58"/>
              <w:spacing w:before="157" w:beforeLines="50" w:beforeAutospacing="0" w:after="0" w:afterAutospacing="0" w:line="360" w:lineRule="auto"/>
              <w:ind w:right="-20" w:rightChars="0"/>
              <w:jc w:val="left"/>
              <w:rPr>
                <w:rFonts w:hint="eastAsia" w:ascii="宋体" w:hAnsi="宋体" w:eastAsia="宋体" w:cs="宋体"/>
                <w:b w:val="0"/>
                <w:bCs w:val="0"/>
                <w:color w:val="auto"/>
                <w:sz w:val="24"/>
                <w:szCs w:val="24"/>
                <w:highlight w:val="none"/>
              </w:rPr>
            </w:pPr>
            <w:r>
              <w:rPr>
                <w:rFonts w:hint="eastAsia" w:cs="宋体"/>
                <w:b w:val="0"/>
                <w:bCs w:val="0"/>
                <w:color w:val="auto"/>
                <w:sz w:val="24"/>
                <w:szCs w:val="24"/>
                <w:highlight w:val="none"/>
                <w:lang w:val="en-US" w:eastAsia="zh-CN"/>
              </w:rPr>
              <w:t>小微企业金额达到    元，占投标报价的   %</w:t>
            </w: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pStyle w:val="2"/>
        <w:snapToGrid w:val="0"/>
        <w:spacing w:line="360" w:lineRule="auto"/>
        <w:ind w:right="480"/>
        <w:jc w:val="center"/>
        <w:rPr>
          <w:rFonts w:ascii="宋体" w:hAnsi="宋体" w:cs="宋体"/>
          <w:b/>
          <w:color w:val="auto"/>
          <w:kern w:val="0"/>
          <w:sz w:val="32"/>
          <w:szCs w:val="32"/>
          <w:highlight w:val="none"/>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0" w:firstLineChars="0"/>
        <w:jc w:val="center"/>
        <w:rPr>
          <w:rFonts w:ascii="宋体" w:hAnsi="宋体" w:cs="宋体"/>
          <w:b/>
          <w:color w:val="auto"/>
          <w:kern w:val="0"/>
          <w:sz w:val="24"/>
          <w:highlight w:val="none"/>
        </w:rPr>
      </w:pPr>
    </w:p>
    <w:p>
      <w:pPr>
        <w:pStyle w:val="692"/>
        <w:keepNext w:val="0"/>
        <w:pageBreakBefore/>
        <w:tabs>
          <w:tab w:val="left" w:pos="6433"/>
          <w:tab w:val="left" w:pos="8173"/>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pPr>
        <w:pStyle w:val="5"/>
        <w:keepNext w:val="0"/>
        <w:pageBreakBefore w:val="0"/>
        <w:numPr>
          <w:ilvl w:val="-1"/>
          <w:numId w:val="0"/>
        </w:numPr>
        <w:snapToGrid w:val="0"/>
        <w:spacing w:before="120" w:after="120"/>
        <w:ind w:firstLine="0"/>
        <w:outlineLvl w:val="9"/>
        <w:rPr>
          <w:rFonts w:hint="default" w:ascii="宋体" w:hAnsi="宋体" w:eastAsia="宋体" w:cs="宋体"/>
          <w:color w:val="auto"/>
          <w:kern w:val="2"/>
          <w:sz w:val="32"/>
          <w:szCs w:val="32"/>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w:t>
      </w:r>
      <w:r>
        <w:rPr>
          <w:rFonts w:hint="eastAsia" w:ascii="宋体" w:hAnsi="宋体" w:eastAsia="宋体" w:cs="宋体"/>
          <w:color w:val="auto"/>
          <w:kern w:val="2"/>
          <w:sz w:val="32"/>
          <w:szCs w:val="32"/>
          <w:highlight w:val="none"/>
          <w:lang w:val="en-US" w:eastAsia="zh-CN"/>
        </w:rPr>
        <w:t xml:space="preserve"> </w:t>
      </w:r>
      <w:r>
        <w:rPr>
          <w:rFonts w:hint="eastAsia" w:ascii="宋体" w:hAnsi="宋体" w:eastAsia="宋体" w:cs="宋体"/>
          <w:b w:val="0"/>
          <w:bCs w:val="0"/>
          <w:color w:val="auto"/>
          <w:sz w:val="24"/>
          <w:szCs w:val="24"/>
          <w:highlight w:val="none"/>
          <w:lang w:val="en-US"/>
        </w:rPr>
        <w:t>者诚信履约的具体原因</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val="en-US" w:eastAsia="zh-CN"/>
        </w:rPr>
      </w:pPr>
    </w:p>
    <w:p>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81"/>
        <w:rPr>
          <w:rFonts w:hint="eastAsia" w:ascii="宋体" w:hAnsi="宋体" w:cs="宋体"/>
          <w:b/>
          <w:color w:val="auto"/>
          <w:sz w:val="24"/>
          <w:highlight w:val="none"/>
        </w:rPr>
      </w:pPr>
    </w:p>
    <w:p>
      <w:pPr>
        <w:pStyle w:val="81"/>
        <w:rPr>
          <w:rFonts w:hint="eastAsia" w:ascii="宋体" w:hAnsi="宋体" w:cs="宋体"/>
          <w:b/>
          <w:color w:val="auto"/>
          <w:sz w:val="24"/>
          <w:highlight w:val="none"/>
        </w:rPr>
      </w:pPr>
    </w:p>
    <w:p>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396" w:name="OLE_LINK14"/>
      <w:bookmarkStart w:id="397" w:name="OLE_LINK13"/>
      <w:r>
        <w:rPr>
          <w:rFonts w:hint="eastAsia" w:ascii="宋体" w:hAnsi="宋体" w:cs="宋体"/>
          <w:b/>
          <w:color w:val="auto"/>
          <w:spacing w:val="6"/>
          <w:sz w:val="32"/>
          <w:szCs w:val="32"/>
          <w:highlight w:val="none"/>
        </w:rPr>
        <w:t>残疾人福利性单位声明函</w:t>
      </w:r>
    </w:p>
    <w:bookmarkEnd w:id="396"/>
    <w:bookmarkEnd w:id="397"/>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杭州市公安业务网安全服务项目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杭州市公安局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浙江正浩招标代理有限公司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杭州市公安业务网安全服务项目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杭州市公安业务网安全服务项目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3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3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3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399"/>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0"/>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杭州市公安业务网安全服务项目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ZHZB-2024HZGA-02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杭州市公安局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杭州市公安业务网安全服务项目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spacing w:line="360" w:lineRule="auto"/>
        <w:rPr>
          <w:rFonts w:ascii="宋体" w:hAnsi="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91899912"/>
    <w:bookmarkStart w:id="402" w:name="_Toc36110187"/>
    <w:bookmarkStart w:id="403" w:name="_Toc131845147"/>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81</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4D667"/>
    <w:multiLevelType w:val="singleLevel"/>
    <w:tmpl w:val="A6E4D667"/>
    <w:lvl w:ilvl="0" w:tentative="0">
      <w:start w:val="1"/>
      <w:numFmt w:val="decimal"/>
      <w:suff w:val="nothing"/>
      <w:lvlText w:val="（%1）"/>
      <w:lvlJc w:val="left"/>
    </w:lvl>
  </w:abstractNum>
  <w:abstractNum w:abstractNumId="1">
    <w:nsid w:val="A903D5AC"/>
    <w:multiLevelType w:val="singleLevel"/>
    <w:tmpl w:val="A903D5AC"/>
    <w:lvl w:ilvl="0" w:tentative="0">
      <w:start w:val="1"/>
      <w:numFmt w:val="decimal"/>
      <w:suff w:val="nothing"/>
      <w:lvlText w:val="（%1）"/>
      <w:lvlJc w:val="left"/>
    </w:lvl>
  </w:abstractNum>
  <w:abstractNum w:abstractNumId="2">
    <w:nsid w:val="1F36AC32"/>
    <w:multiLevelType w:val="singleLevel"/>
    <w:tmpl w:val="1F36AC32"/>
    <w:lvl w:ilvl="0" w:tentative="0">
      <w:start w:val="2"/>
      <w:numFmt w:val="chineseCounting"/>
      <w:suff w:val="nothing"/>
      <w:lvlText w:val="（%1）"/>
      <w:lvlJc w:val="left"/>
      <w:rPr>
        <w:rFonts w:hint="eastAsia"/>
        <w:b/>
        <w:bCs/>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8B57EDB"/>
    <w:multiLevelType w:val="singleLevel"/>
    <w:tmpl w:val="58B57EDB"/>
    <w:lvl w:ilvl="0" w:tentative="0">
      <w:start w:val="1"/>
      <w:numFmt w:val="decimal"/>
      <w:suff w:val="nothing"/>
      <w:lvlText w:val="（%1）"/>
      <w:lvlJc w:val="left"/>
    </w:lvl>
  </w:abstractNum>
  <w:abstractNum w:abstractNumId="5">
    <w:nsid w:val="67FF7D30"/>
    <w:multiLevelType w:val="multilevel"/>
    <w:tmpl w:val="67FF7D30"/>
    <w:lvl w:ilvl="0" w:tentative="0">
      <w:start w:val="1"/>
      <w:numFmt w:val="decimal"/>
      <w:lvlText w:val="（%1）"/>
      <w:lvlJc w:val="left"/>
      <w:pPr>
        <w:ind w:left="1288" w:hanging="7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6">
    <w:nsid w:val="784CEBC4"/>
    <w:multiLevelType w:val="multilevel"/>
    <w:tmpl w:val="784CEBC4"/>
    <w:lvl w:ilvl="0" w:tentative="0">
      <w:start w:val="1"/>
      <w:numFmt w:val="decimal"/>
      <w:lvlText w:val="（%1）"/>
      <w:lvlJc w:val="left"/>
      <w:pPr>
        <w:ind w:left="1288" w:hanging="72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TE0NTAxNTRmZDk4ZmI2ZWQ2N2ExZWYyZDA1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7343F"/>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75759E"/>
    <w:rsid w:val="03DD35E4"/>
    <w:rsid w:val="04076900"/>
    <w:rsid w:val="041A5A3B"/>
    <w:rsid w:val="042311BA"/>
    <w:rsid w:val="042B157A"/>
    <w:rsid w:val="048F763B"/>
    <w:rsid w:val="049F330E"/>
    <w:rsid w:val="04AA775C"/>
    <w:rsid w:val="04AF1889"/>
    <w:rsid w:val="04F66F48"/>
    <w:rsid w:val="05251E14"/>
    <w:rsid w:val="059C3E27"/>
    <w:rsid w:val="05A16594"/>
    <w:rsid w:val="05A7762D"/>
    <w:rsid w:val="060E5941"/>
    <w:rsid w:val="06110FAF"/>
    <w:rsid w:val="06493CA7"/>
    <w:rsid w:val="065A6178"/>
    <w:rsid w:val="066F1CF3"/>
    <w:rsid w:val="06930BB8"/>
    <w:rsid w:val="07245D42"/>
    <w:rsid w:val="07264C62"/>
    <w:rsid w:val="0779354C"/>
    <w:rsid w:val="08061376"/>
    <w:rsid w:val="082459BA"/>
    <w:rsid w:val="08452D77"/>
    <w:rsid w:val="08500640"/>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B24E4"/>
    <w:rsid w:val="09B06B87"/>
    <w:rsid w:val="09C13146"/>
    <w:rsid w:val="09DC1158"/>
    <w:rsid w:val="09E04166"/>
    <w:rsid w:val="0A124C7C"/>
    <w:rsid w:val="0A1C0718"/>
    <w:rsid w:val="0A3E7710"/>
    <w:rsid w:val="0A4E70E3"/>
    <w:rsid w:val="0A5B7E63"/>
    <w:rsid w:val="0AA374A5"/>
    <w:rsid w:val="0AAB7649"/>
    <w:rsid w:val="0ABC5606"/>
    <w:rsid w:val="0AD46352"/>
    <w:rsid w:val="0B015412"/>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47538A"/>
    <w:rsid w:val="10646583"/>
    <w:rsid w:val="107D4B15"/>
    <w:rsid w:val="108A3C80"/>
    <w:rsid w:val="109D2F7A"/>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C827E6"/>
    <w:rsid w:val="12D81596"/>
    <w:rsid w:val="13072A44"/>
    <w:rsid w:val="135F4BE2"/>
    <w:rsid w:val="138B6C17"/>
    <w:rsid w:val="139B1A0A"/>
    <w:rsid w:val="139D25C7"/>
    <w:rsid w:val="13BF3CE4"/>
    <w:rsid w:val="141008D8"/>
    <w:rsid w:val="14125FE6"/>
    <w:rsid w:val="146D271E"/>
    <w:rsid w:val="14982588"/>
    <w:rsid w:val="149A5AD9"/>
    <w:rsid w:val="14A7619D"/>
    <w:rsid w:val="150536C3"/>
    <w:rsid w:val="150C1963"/>
    <w:rsid w:val="151447A0"/>
    <w:rsid w:val="154A6454"/>
    <w:rsid w:val="15762120"/>
    <w:rsid w:val="16077D51"/>
    <w:rsid w:val="16455398"/>
    <w:rsid w:val="16A8729C"/>
    <w:rsid w:val="16B33777"/>
    <w:rsid w:val="16BC70A7"/>
    <w:rsid w:val="16C6339E"/>
    <w:rsid w:val="172F2D79"/>
    <w:rsid w:val="17557BEF"/>
    <w:rsid w:val="17802B71"/>
    <w:rsid w:val="17D349C1"/>
    <w:rsid w:val="1830729E"/>
    <w:rsid w:val="1870062C"/>
    <w:rsid w:val="18817102"/>
    <w:rsid w:val="18830A15"/>
    <w:rsid w:val="18852B28"/>
    <w:rsid w:val="188B5321"/>
    <w:rsid w:val="19932372"/>
    <w:rsid w:val="19A20DD5"/>
    <w:rsid w:val="19AE03F1"/>
    <w:rsid w:val="1A071A03"/>
    <w:rsid w:val="1A1F16AE"/>
    <w:rsid w:val="1A306632"/>
    <w:rsid w:val="1A3B5C77"/>
    <w:rsid w:val="1A984BAD"/>
    <w:rsid w:val="1AB8220E"/>
    <w:rsid w:val="1AE4166C"/>
    <w:rsid w:val="1AF06CFB"/>
    <w:rsid w:val="1AF11B8D"/>
    <w:rsid w:val="1B11359C"/>
    <w:rsid w:val="1B2A271F"/>
    <w:rsid w:val="1B530544"/>
    <w:rsid w:val="1B713184"/>
    <w:rsid w:val="1BA209CF"/>
    <w:rsid w:val="1BA3785E"/>
    <w:rsid w:val="1BB4777D"/>
    <w:rsid w:val="1BD75AB8"/>
    <w:rsid w:val="1C0459C2"/>
    <w:rsid w:val="1C1B3B4A"/>
    <w:rsid w:val="1C88086E"/>
    <w:rsid w:val="1CCD5A66"/>
    <w:rsid w:val="1CF82A75"/>
    <w:rsid w:val="1D266CE1"/>
    <w:rsid w:val="1D3963AF"/>
    <w:rsid w:val="1D6A673C"/>
    <w:rsid w:val="1D9247AE"/>
    <w:rsid w:val="1DAC11C8"/>
    <w:rsid w:val="1DAF24EA"/>
    <w:rsid w:val="1DB567EC"/>
    <w:rsid w:val="1DF51A98"/>
    <w:rsid w:val="1E3D060F"/>
    <w:rsid w:val="1E3F7D2E"/>
    <w:rsid w:val="1E4134E4"/>
    <w:rsid w:val="1E5062B3"/>
    <w:rsid w:val="1E523514"/>
    <w:rsid w:val="1E714A66"/>
    <w:rsid w:val="1E7B6870"/>
    <w:rsid w:val="1E802593"/>
    <w:rsid w:val="1E8B6156"/>
    <w:rsid w:val="1EA703CC"/>
    <w:rsid w:val="1EB03850"/>
    <w:rsid w:val="1EB7330C"/>
    <w:rsid w:val="1F0A0FF3"/>
    <w:rsid w:val="1F264A2D"/>
    <w:rsid w:val="1F5771FF"/>
    <w:rsid w:val="1FD52DD5"/>
    <w:rsid w:val="1FE868A9"/>
    <w:rsid w:val="20034907"/>
    <w:rsid w:val="20173E4B"/>
    <w:rsid w:val="204E48BC"/>
    <w:rsid w:val="208921B3"/>
    <w:rsid w:val="20973DEB"/>
    <w:rsid w:val="20B26522"/>
    <w:rsid w:val="20B44310"/>
    <w:rsid w:val="20D4652C"/>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CE1D82"/>
    <w:rsid w:val="23E95BEF"/>
    <w:rsid w:val="23FD0064"/>
    <w:rsid w:val="245375B0"/>
    <w:rsid w:val="24642C0A"/>
    <w:rsid w:val="24B22173"/>
    <w:rsid w:val="24B95AD9"/>
    <w:rsid w:val="24BE24DA"/>
    <w:rsid w:val="24CF5825"/>
    <w:rsid w:val="24D663E6"/>
    <w:rsid w:val="24D77F2B"/>
    <w:rsid w:val="258B00E2"/>
    <w:rsid w:val="258C2C2E"/>
    <w:rsid w:val="25992838"/>
    <w:rsid w:val="259D4D16"/>
    <w:rsid w:val="25A917A6"/>
    <w:rsid w:val="25BE27CC"/>
    <w:rsid w:val="25F74A5C"/>
    <w:rsid w:val="2628662C"/>
    <w:rsid w:val="262D45DE"/>
    <w:rsid w:val="26871DC8"/>
    <w:rsid w:val="26A53EF9"/>
    <w:rsid w:val="26A75792"/>
    <w:rsid w:val="26A94201"/>
    <w:rsid w:val="26AC274F"/>
    <w:rsid w:val="26BB2FF2"/>
    <w:rsid w:val="27044A29"/>
    <w:rsid w:val="271D34C8"/>
    <w:rsid w:val="27385813"/>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A86AFE"/>
    <w:rsid w:val="29F26D24"/>
    <w:rsid w:val="2A15033F"/>
    <w:rsid w:val="2A1662C1"/>
    <w:rsid w:val="2A1C7367"/>
    <w:rsid w:val="2A2815FA"/>
    <w:rsid w:val="2A6D6092"/>
    <w:rsid w:val="2A7D76B4"/>
    <w:rsid w:val="2B1B18D7"/>
    <w:rsid w:val="2B437463"/>
    <w:rsid w:val="2B7807EE"/>
    <w:rsid w:val="2B7B5151"/>
    <w:rsid w:val="2B8F74B6"/>
    <w:rsid w:val="2BA50BF7"/>
    <w:rsid w:val="2BBF00EC"/>
    <w:rsid w:val="2BC37CFD"/>
    <w:rsid w:val="2BD5237F"/>
    <w:rsid w:val="2BE536CE"/>
    <w:rsid w:val="2BE758D9"/>
    <w:rsid w:val="2C09049E"/>
    <w:rsid w:val="2C0A653C"/>
    <w:rsid w:val="2C191F85"/>
    <w:rsid w:val="2C19299F"/>
    <w:rsid w:val="2C5E4111"/>
    <w:rsid w:val="2C701124"/>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4F1BC2"/>
    <w:rsid w:val="315D1895"/>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F590C"/>
    <w:rsid w:val="363A3B40"/>
    <w:rsid w:val="365302AE"/>
    <w:rsid w:val="36607A0A"/>
    <w:rsid w:val="366E227C"/>
    <w:rsid w:val="366F2E0D"/>
    <w:rsid w:val="367B6A5C"/>
    <w:rsid w:val="36A74ADA"/>
    <w:rsid w:val="36AD60D5"/>
    <w:rsid w:val="36B224F9"/>
    <w:rsid w:val="36E3011C"/>
    <w:rsid w:val="36EC0CC9"/>
    <w:rsid w:val="373F410B"/>
    <w:rsid w:val="37EE7094"/>
    <w:rsid w:val="38296C89"/>
    <w:rsid w:val="383002EB"/>
    <w:rsid w:val="38586797"/>
    <w:rsid w:val="38BC0149"/>
    <w:rsid w:val="38D87D1C"/>
    <w:rsid w:val="39636459"/>
    <w:rsid w:val="396B7F6C"/>
    <w:rsid w:val="39961330"/>
    <w:rsid w:val="39B417A9"/>
    <w:rsid w:val="39FC5695"/>
    <w:rsid w:val="3A006D8E"/>
    <w:rsid w:val="3A3651E5"/>
    <w:rsid w:val="3A744481"/>
    <w:rsid w:val="3A8C7BEF"/>
    <w:rsid w:val="3A906246"/>
    <w:rsid w:val="3B2349B7"/>
    <w:rsid w:val="3B616CFF"/>
    <w:rsid w:val="3B6259F6"/>
    <w:rsid w:val="3B976654"/>
    <w:rsid w:val="3B994F55"/>
    <w:rsid w:val="3BC01EFC"/>
    <w:rsid w:val="3BCA786A"/>
    <w:rsid w:val="3BD31E2F"/>
    <w:rsid w:val="3BF15831"/>
    <w:rsid w:val="3C105946"/>
    <w:rsid w:val="3C1F4DCA"/>
    <w:rsid w:val="3C471448"/>
    <w:rsid w:val="3C5F759A"/>
    <w:rsid w:val="3C6C525A"/>
    <w:rsid w:val="3CC461BB"/>
    <w:rsid w:val="3CCE23CB"/>
    <w:rsid w:val="3CD17D17"/>
    <w:rsid w:val="3D3C7F39"/>
    <w:rsid w:val="3D440F09"/>
    <w:rsid w:val="3D4504A0"/>
    <w:rsid w:val="3D5F10F9"/>
    <w:rsid w:val="3D8734BB"/>
    <w:rsid w:val="3D9A11D4"/>
    <w:rsid w:val="3DA16D89"/>
    <w:rsid w:val="3DA364BE"/>
    <w:rsid w:val="3DE041CB"/>
    <w:rsid w:val="3DFC7448"/>
    <w:rsid w:val="3E0D48F6"/>
    <w:rsid w:val="3E1868B4"/>
    <w:rsid w:val="3E377251"/>
    <w:rsid w:val="3E42664B"/>
    <w:rsid w:val="3E5A7334"/>
    <w:rsid w:val="3E5A7DF8"/>
    <w:rsid w:val="3E7B5D6B"/>
    <w:rsid w:val="3E843E66"/>
    <w:rsid w:val="3E8F51FE"/>
    <w:rsid w:val="3E926F87"/>
    <w:rsid w:val="3E9A59DE"/>
    <w:rsid w:val="3EAF4836"/>
    <w:rsid w:val="3EC33DFA"/>
    <w:rsid w:val="3F060E16"/>
    <w:rsid w:val="3F1D1096"/>
    <w:rsid w:val="3F2F0234"/>
    <w:rsid w:val="3F6363FE"/>
    <w:rsid w:val="3F756B8F"/>
    <w:rsid w:val="3F95482B"/>
    <w:rsid w:val="4019356B"/>
    <w:rsid w:val="403E0C3B"/>
    <w:rsid w:val="40592157"/>
    <w:rsid w:val="406E1CAE"/>
    <w:rsid w:val="40A0133A"/>
    <w:rsid w:val="40C31A53"/>
    <w:rsid w:val="40FF545D"/>
    <w:rsid w:val="410067C8"/>
    <w:rsid w:val="418F0D2A"/>
    <w:rsid w:val="41C5383B"/>
    <w:rsid w:val="41D01505"/>
    <w:rsid w:val="42474939"/>
    <w:rsid w:val="424C3C57"/>
    <w:rsid w:val="42613FF3"/>
    <w:rsid w:val="42660D96"/>
    <w:rsid w:val="426D6205"/>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490DEE"/>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8B6380"/>
    <w:rsid w:val="489130C1"/>
    <w:rsid w:val="48937E21"/>
    <w:rsid w:val="489A0361"/>
    <w:rsid w:val="48B94FF3"/>
    <w:rsid w:val="48BD5009"/>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1456E5"/>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367AC5"/>
    <w:rsid w:val="4F47354A"/>
    <w:rsid w:val="4F6D4A83"/>
    <w:rsid w:val="4F911C54"/>
    <w:rsid w:val="4FE625E0"/>
    <w:rsid w:val="500F1C57"/>
    <w:rsid w:val="5021480F"/>
    <w:rsid w:val="50962ECB"/>
    <w:rsid w:val="50A42E38"/>
    <w:rsid w:val="50A4577F"/>
    <w:rsid w:val="50B73D1F"/>
    <w:rsid w:val="50BD5BC9"/>
    <w:rsid w:val="50C11EEE"/>
    <w:rsid w:val="50E97CFC"/>
    <w:rsid w:val="50FA4028"/>
    <w:rsid w:val="510D65B7"/>
    <w:rsid w:val="511157AB"/>
    <w:rsid w:val="5142540C"/>
    <w:rsid w:val="517A6E10"/>
    <w:rsid w:val="518832C8"/>
    <w:rsid w:val="519D3C50"/>
    <w:rsid w:val="51A0432A"/>
    <w:rsid w:val="51A86090"/>
    <w:rsid w:val="51B7396D"/>
    <w:rsid w:val="522E4CC3"/>
    <w:rsid w:val="5244713B"/>
    <w:rsid w:val="52513196"/>
    <w:rsid w:val="52615633"/>
    <w:rsid w:val="526F4DE4"/>
    <w:rsid w:val="52977FD4"/>
    <w:rsid w:val="52A25790"/>
    <w:rsid w:val="52A96B6F"/>
    <w:rsid w:val="52B45975"/>
    <w:rsid w:val="52CC0713"/>
    <w:rsid w:val="52D94AA4"/>
    <w:rsid w:val="52EA3A62"/>
    <w:rsid w:val="52F50BB8"/>
    <w:rsid w:val="53097272"/>
    <w:rsid w:val="53544462"/>
    <w:rsid w:val="5397158E"/>
    <w:rsid w:val="53C2401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157235"/>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260DD6"/>
    <w:rsid w:val="5D397964"/>
    <w:rsid w:val="5D5A391C"/>
    <w:rsid w:val="5D5F10C0"/>
    <w:rsid w:val="5D891B7B"/>
    <w:rsid w:val="5DAD38EE"/>
    <w:rsid w:val="5DF36857"/>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8C2E2B"/>
    <w:rsid w:val="609F2AC4"/>
    <w:rsid w:val="60FA2EE8"/>
    <w:rsid w:val="60FC0DF8"/>
    <w:rsid w:val="61054A27"/>
    <w:rsid w:val="610A52BC"/>
    <w:rsid w:val="611D2366"/>
    <w:rsid w:val="61421856"/>
    <w:rsid w:val="615227C4"/>
    <w:rsid w:val="61654E3F"/>
    <w:rsid w:val="6182292A"/>
    <w:rsid w:val="619F7F92"/>
    <w:rsid w:val="61DB173E"/>
    <w:rsid w:val="61F94C26"/>
    <w:rsid w:val="62000E56"/>
    <w:rsid w:val="624F3E49"/>
    <w:rsid w:val="62632286"/>
    <w:rsid w:val="62885958"/>
    <w:rsid w:val="62C86618"/>
    <w:rsid w:val="62F40B65"/>
    <w:rsid w:val="62FC2CFE"/>
    <w:rsid w:val="63024505"/>
    <w:rsid w:val="635600A5"/>
    <w:rsid w:val="635B1DB5"/>
    <w:rsid w:val="63711FED"/>
    <w:rsid w:val="63880DDC"/>
    <w:rsid w:val="638D750D"/>
    <w:rsid w:val="63AC6CC0"/>
    <w:rsid w:val="63BF2E3F"/>
    <w:rsid w:val="64055776"/>
    <w:rsid w:val="64240056"/>
    <w:rsid w:val="643E143A"/>
    <w:rsid w:val="64491666"/>
    <w:rsid w:val="648379D1"/>
    <w:rsid w:val="648B6EEF"/>
    <w:rsid w:val="64C158BF"/>
    <w:rsid w:val="64CE2EAA"/>
    <w:rsid w:val="653C3090"/>
    <w:rsid w:val="65854376"/>
    <w:rsid w:val="658767BE"/>
    <w:rsid w:val="65892531"/>
    <w:rsid w:val="66195831"/>
    <w:rsid w:val="662E75B1"/>
    <w:rsid w:val="66342C2E"/>
    <w:rsid w:val="663E784C"/>
    <w:rsid w:val="668B6A45"/>
    <w:rsid w:val="66BA6934"/>
    <w:rsid w:val="67011F07"/>
    <w:rsid w:val="672F3F24"/>
    <w:rsid w:val="673E055F"/>
    <w:rsid w:val="67551CE3"/>
    <w:rsid w:val="67A22552"/>
    <w:rsid w:val="67B22DCC"/>
    <w:rsid w:val="67BE71AA"/>
    <w:rsid w:val="67D90273"/>
    <w:rsid w:val="67DE5875"/>
    <w:rsid w:val="67E32578"/>
    <w:rsid w:val="67E55852"/>
    <w:rsid w:val="67EB1AB4"/>
    <w:rsid w:val="67FA1285"/>
    <w:rsid w:val="68551F4F"/>
    <w:rsid w:val="687C10C9"/>
    <w:rsid w:val="68840C16"/>
    <w:rsid w:val="68872541"/>
    <w:rsid w:val="68876EFB"/>
    <w:rsid w:val="68884654"/>
    <w:rsid w:val="689F444F"/>
    <w:rsid w:val="68B96DBB"/>
    <w:rsid w:val="68C42F08"/>
    <w:rsid w:val="68CA2805"/>
    <w:rsid w:val="68E937A3"/>
    <w:rsid w:val="691664E5"/>
    <w:rsid w:val="693E15D3"/>
    <w:rsid w:val="69627681"/>
    <w:rsid w:val="696A0FAE"/>
    <w:rsid w:val="6977531D"/>
    <w:rsid w:val="697A026E"/>
    <w:rsid w:val="69CC2BFF"/>
    <w:rsid w:val="69FD55B8"/>
    <w:rsid w:val="6A0B1C62"/>
    <w:rsid w:val="6A2406C8"/>
    <w:rsid w:val="6ADE0BD1"/>
    <w:rsid w:val="6AE96859"/>
    <w:rsid w:val="6B147746"/>
    <w:rsid w:val="6B24787C"/>
    <w:rsid w:val="6B555802"/>
    <w:rsid w:val="6B573233"/>
    <w:rsid w:val="6B5B6274"/>
    <w:rsid w:val="6B935D53"/>
    <w:rsid w:val="6C196F71"/>
    <w:rsid w:val="6C226FCB"/>
    <w:rsid w:val="6C31226F"/>
    <w:rsid w:val="6C552F0B"/>
    <w:rsid w:val="6C8C67B7"/>
    <w:rsid w:val="6C9D744C"/>
    <w:rsid w:val="6CBC3F58"/>
    <w:rsid w:val="6D167928"/>
    <w:rsid w:val="6D26299B"/>
    <w:rsid w:val="6D4772EC"/>
    <w:rsid w:val="6D5755D4"/>
    <w:rsid w:val="6D9078AF"/>
    <w:rsid w:val="6DAA3FEF"/>
    <w:rsid w:val="6DC0172B"/>
    <w:rsid w:val="6DCB690C"/>
    <w:rsid w:val="6DD41A5B"/>
    <w:rsid w:val="6DF43C2E"/>
    <w:rsid w:val="6DF51CA3"/>
    <w:rsid w:val="6E6C065E"/>
    <w:rsid w:val="6E8335BD"/>
    <w:rsid w:val="6E8E12EF"/>
    <w:rsid w:val="6E972936"/>
    <w:rsid w:val="6ED446C5"/>
    <w:rsid w:val="6F2A7D94"/>
    <w:rsid w:val="6F735BDE"/>
    <w:rsid w:val="6F8331F1"/>
    <w:rsid w:val="6FAE1A09"/>
    <w:rsid w:val="6FD75BF8"/>
    <w:rsid w:val="6FFF6EF1"/>
    <w:rsid w:val="704B4683"/>
    <w:rsid w:val="707723D0"/>
    <w:rsid w:val="70F5661B"/>
    <w:rsid w:val="71360107"/>
    <w:rsid w:val="713B688E"/>
    <w:rsid w:val="71D43752"/>
    <w:rsid w:val="71DA7D16"/>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86102B"/>
    <w:rsid w:val="758E3CD4"/>
    <w:rsid w:val="75D20F1D"/>
    <w:rsid w:val="75DA2C18"/>
    <w:rsid w:val="75F54412"/>
    <w:rsid w:val="761D08E0"/>
    <w:rsid w:val="765D347C"/>
    <w:rsid w:val="76826699"/>
    <w:rsid w:val="768941A0"/>
    <w:rsid w:val="76C87133"/>
    <w:rsid w:val="76CD08D5"/>
    <w:rsid w:val="76DB4B92"/>
    <w:rsid w:val="76FD013A"/>
    <w:rsid w:val="77052AA4"/>
    <w:rsid w:val="77136511"/>
    <w:rsid w:val="77340A39"/>
    <w:rsid w:val="77351FD0"/>
    <w:rsid w:val="77472422"/>
    <w:rsid w:val="777F31F2"/>
    <w:rsid w:val="77A05FDA"/>
    <w:rsid w:val="77D1700D"/>
    <w:rsid w:val="77EC04CC"/>
    <w:rsid w:val="78775729"/>
    <w:rsid w:val="78A42DB0"/>
    <w:rsid w:val="78A656AB"/>
    <w:rsid w:val="78B2245C"/>
    <w:rsid w:val="78E172CC"/>
    <w:rsid w:val="78EA1D1F"/>
    <w:rsid w:val="7904172F"/>
    <w:rsid w:val="790F7E27"/>
    <w:rsid w:val="792A231A"/>
    <w:rsid w:val="79316829"/>
    <w:rsid w:val="797E66A9"/>
    <w:rsid w:val="798518A4"/>
    <w:rsid w:val="7992458B"/>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7E186E"/>
    <w:rsid w:val="7BA9702E"/>
    <w:rsid w:val="7BEE0103"/>
    <w:rsid w:val="7C0A0FE4"/>
    <w:rsid w:val="7C254906"/>
    <w:rsid w:val="7C590818"/>
    <w:rsid w:val="7C7520A5"/>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link w:val="320"/>
    <w:autoRedefine/>
    <w:qFormat/>
    <w:uiPriority w:val="0"/>
    <w:pPr>
      <w:ind w:firstLine="420"/>
    </w:pPr>
    <w:rPr>
      <w:rFonts w:hAnsi="Calibri" w:cs="Times New Roman"/>
      <w:snapToGrid/>
      <w:szCs w:val="20"/>
    </w:rPr>
  </w:style>
  <w:style w:type="paragraph" w:styleId="7">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3"/>
    <w:autoRedefine/>
    <w:qFormat/>
    <w:uiPriority w:val="0"/>
    <w:pPr>
      <w:shd w:val="clear" w:color="auto" w:fill="000080"/>
    </w:pPr>
  </w:style>
  <w:style w:type="paragraph" w:styleId="21">
    <w:name w:val="annotation text"/>
    <w:basedOn w:val="1"/>
    <w:link w:val="343"/>
    <w:autoRedefine/>
    <w:qFormat/>
    <w:uiPriority w:val="99"/>
    <w:pPr>
      <w:jc w:val="left"/>
    </w:pPr>
  </w:style>
  <w:style w:type="paragraph" w:styleId="22">
    <w:name w:val="Salutation"/>
    <w:basedOn w:val="1"/>
    <w:next w:val="1"/>
    <w:link w:val="297"/>
    <w:autoRedefine/>
    <w:qFormat/>
    <w:uiPriority w:val="0"/>
    <w:rPr>
      <w:rFonts w:ascii="仿宋_GB2312" w:eastAsia="仿宋_GB2312"/>
      <w:sz w:val="28"/>
      <w:szCs w:val="20"/>
    </w:rPr>
  </w:style>
  <w:style w:type="paragraph" w:styleId="23">
    <w:name w:val="Body Text 3"/>
    <w:basedOn w:val="1"/>
    <w:link w:val="329"/>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2"/>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9"/>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7"/>
    <w:autoRedefine/>
    <w:qFormat/>
    <w:uiPriority w:val="0"/>
    <w:rPr>
      <w:b/>
      <w:bCs/>
    </w:rPr>
  </w:style>
  <w:style w:type="paragraph" w:styleId="61">
    <w:name w:val="Body Text First Indent 2"/>
    <w:basedOn w:val="25"/>
    <w:link w:val="122"/>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标题 2 Char"/>
    <w:autoRedefine/>
    <w:qFormat/>
    <w:uiPriority w:val="0"/>
    <w:rPr>
      <w:rFonts w:ascii="Arial" w:hAnsi="Arial" w:eastAsia="黑体"/>
      <w:b/>
      <w:kern w:val="2"/>
      <w:sz w:val="32"/>
      <w:lang w:val="en-US" w:eastAsia="zh-CN"/>
    </w:rPr>
  </w:style>
  <w:style w:type="character" w:customStyle="1" w:styleId="80">
    <w:name w:val="标题 1 Char"/>
    <w:link w:val="4"/>
    <w:autoRedefine/>
    <w:qFormat/>
    <w:uiPriority w:val="9"/>
    <w:rPr>
      <w:b/>
      <w:bCs/>
      <w:kern w:val="44"/>
      <w:sz w:val="44"/>
      <w:szCs w:val="44"/>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69"/>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Char"/>
    <w:link w:val="10"/>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5"/>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6"/>
    <w:autoRedefine/>
    <w:qFormat/>
    <w:uiPriority w:val="0"/>
    <w:rPr>
      <w:rFonts w:ascii="宋体"/>
      <w:kern w:val="2"/>
      <w:sz w:val="24"/>
      <w:szCs w:val="21"/>
      <w:lang w:val="zh-CN"/>
    </w:rPr>
  </w:style>
  <w:style w:type="character" w:customStyle="1" w:styleId="183">
    <w:name w:val="标题 9 Char"/>
    <w:link w:val="13"/>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99"/>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39"/>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20"/>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70"/>
    <w:autoRedefine/>
    <w:qFormat/>
    <w:uiPriority w:val="0"/>
    <w:rPr>
      <w:rFonts w:ascii="仿宋_GB2312" w:hAnsi="仿宋" w:eastAsia="仿宋_GB2312" w:cs="仿宋_GB2312"/>
      <w:sz w:val="32"/>
      <w:szCs w:val="30"/>
      <w:lang w:val="zh-CN"/>
    </w:rPr>
  </w:style>
  <w:style w:type="character" w:customStyle="1" w:styleId="219">
    <w:name w:val="HTML 地址 Char"/>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8"/>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8"/>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9"/>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2"/>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8"/>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1"/>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3"/>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8"/>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3"/>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7"/>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5"/>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6"/>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9"/>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6"/>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_0_0"/>
    <w:autoRedefine/>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30821</Words>
  <Characters>32591</Characters>
  <Lines>281</Lines>
  <Paragraphs>79</Paragraphs>
  <TotalTime>0</TotalTime>
  <ScaleCrop>false</ScaleCrop>
  <LinksUpToDate>false</LinksUpToDate>
  <CharactersWithSpaces>38052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liulu</cp:lastModifiedBy>
  <cp:lastPrinted>2024-01-23T08:08:00Z</cp:lastPrinted>
  <dcterms:modified xsi:type="dcterms:W3CDTF">2024-04-03T14:45:16Z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6E721E506C8748BBB8B4579F13D874BA_13</vt:lpwstr>
  </property>
</Properties>
</file>