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hint="eastAsia" w:cs="仿宋_GB2312" w:asciiTheme="minorEastAsia" w:hAnsiTheme="minorEastAsia" w:eastAsiaTheme="minorEastAsia"/>
          <w:b/>
          <w:color w:val="auto"/>
          <w:sz w:val="44"/>
          <w:szCs w:val="44"/>
          <w:highlight w:val="none"/>
          <w:lang w:eastAsia="zh-CN"/>
        </w:rPr>
      </w:pPr>
      <w:r>
        <w:rPr>
          <w:rFonts w:hint="eastAsia" w:cs="仿宋_GB2312" w:asciiTheme="minorEastAsia" w:hAnsiTheme="minorEastAsia" w:eastAsiaTheme="minorEastAsia"/>
          <w:b/>
          <w:color w:val="auto"/>
          <w:sz w:val="44"/>
          <w:szCs w:val="44"/>
          <w:highlight w:val="none"/>
          <w:lang w:eastAsia="zh-CN"/>
        </w:rPr>
        <w:t>浙江省红十字生命教育体验馆运营维护项目</w:t>
      </w:r>
    </w:p>
    <w:p>
      <w:pPr>
        <w:adjustRightInd/>
        <w:spacing w:line="360" w:lineRule="auto"/>
        <w:jc w:val="center"/>
        <w:rPr>
          <w:rFonts w:cs="仿宋_GB2312" w:asciiTheme="minorEastAsia" w:hAnsiTheme="minorEastAsia" w:eastAsiaTheme="minorEastAsia"/>
          <w:b/>
          <w:color w:val="auto"/>
          <w:sz w:val="72"/>
          <w:szCs w:val="72"/>
          <w:highlight w:val="none"/>
        </w:rPr>
      </w:pPr>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p>
    <w:p>
      <w:pP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snapToGrid w:val="0"/>
        <w:spacing w:line="360" w:lineRule="auto"/>
        <w:jc w:val="center"/>
        <w:rPr>
          <w:rFonts w:cs="仿宋_GB2312" w:asciiTheme="minorEastAsia" w:hAnsiTheme="minorEastAsia" w:eastAsiaTheme="minorEastAsia"/>
          <w:color w:val="auto"/>
          <w:sz w:val="30"/>
          <w:szCs w:val="30"/>
          <w:highlight w:val="none"/>
        </w:rPr>
      </w:pPr>
    </w:p>
    <w:p>
      <w:pPr>
        <w:snapToGrid w:val="0"/>
        <w:spacing w:line="360" w:lineRule="auto"/>
        <w:jc w:val="center"/>
        <w:rPr>
          <w:rFonts w:hint="eastAsia" w:cs="仿宋_GB2312" w:asciiTheme="minorEastAsia" w:hAnsiTheme="minorEastAsia" w:eastAsiaTheme="minorEastAsia"/>
          <w:color w:val="auto"/>
          <w:sz w:val="30"/>
          <w:szCs w:val="30"/>
          <w:highlight w:val="none"/>
          <w:lang w:eastAsia="zh-CN"/>
        </w:rPr>
      </w:pPr>
      <w:r>
        <w:rPr>
          <w:rFonts w:hint="eastAsia" w:cs="仿宋_GB2312" w:asciiTheme="minorEastAsia" w:hAnsiTheme="minorEastAsia" w:eastAsiaTheme="minorEastAsia"/>
          <w:color w:val="auto"/>
          <w:sz w:val="30"/>
          <w:szCs w:val="30"/>
          <w:highlight w:val="none"/>
        </w:rPr>
        <w:t>项目编号:</w:t>
      </w:r>
      <w:r>
        <w:rPr>
          <w:rFonts w:hint="eastAsia" w:cs="仿宋_GB2312" w:asciiTheme="minorEastAsia" w:hAnsiTheme="minorEastAsia" w:eastAsiaTheme="minorEastAsia"/>
          <w:color w:val="auto"/>
          <w:sz w:val="30"/>
          <w:szCs w:val="30"/>
          <w:highlight w:val="none"/>
          <w:lang w:eastAsia="zh-CN"/>
        </w:rPr>
        <w:t>ZHZB-2023SHSZH-02</w:t>
      </w:r>
    </w:p>
    <w:p>
      <w:pPr>
        <w:adjustRightInd/>
        <w:spacing w:line="360" w:lineRule="auto"/>
        <w:rPr>
          <w:rFonts w:cs="仿宋_GB2312" w:asciiTheme="minorEastAsia" w:hAnsiTheme="minorEastAsia" w:eastAsiaTheme="minorEastAsia"/>
          <w:color w:val="auto"/>
          <w:sz w:val="28"/>
          <w:szCs w:val="20"/>
          <w:highlight w:val="none"/>
        </w:rPr>
      </w:pPr>
    </w:p>
    <w:p>
      <w:pPr>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color w:val="auto"/>
          <w:sz w:val="24"/>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snapToGrid w:val="0"/>
        <w:spacing w:line="360" w:lineRule="auto"/>
        <w:jc w:val="center"/>
        <w:rPr>
          <w:rFonts w:cs="仿宋_GB2312" w:asciiTheme="minorEastAsia" w:hAnsiTheme="minorEastAsia" w:eastAsiaTheme="minorEastAsia"/>
          <w:color w:val="auto"/>
          <w:sz w:val="32"/>
          <w:szCs w:val="32"/>
          <w:highlight w:val="none"/>
        </w:rPr>
      </w:pPr>
    </w:p>
    <w:p>
      <w:pPr>
        <w:spacing w:line="360" w:lineRule="auto"/>
        <w:jc w:val="center"/>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lang w:eastAsia="zh-CN"/>
        </w:rPr>
        <w:t>浙江省红十字会</w:t>
      </w:r>
    </w:p>
    <w:p>
      <w:pPr>
        <w:snapToGrid w:val="0"/>
        <w:spacing w:line="360" w:lineRule="auto"/>
        <w:jc w:val="center"/>
        <w:rPr>
          <w:rFonts w:hint="eastAsia" w:ascii="宋体" w:hAnsi="宋体" w:cs="宋体" w:eastAsiaTheme="minorEastAsia"/>
          <w:bCs/>
          <w:color w:val="auto"/>
          <w:sz w:val="32"/>
          <w:szCs w:val="32"/>
          <w:highlight w:val="none"/>
          <w:lang w:eastAsia="zh-CN"/>
        </w:rPr>
      </w:pPr>
      <w:r>
        <w:rPr>
          <w:rFonts w:hint="eastAsia" w:ascii="宋体" w:hAnsi="宋体" w:cs="宋体" w:eastAsiaTheme="minorEastAsia"/>
          <w:bCs/>
          <w:color w:val="auto"/>
          <w:sz w:val="32"/>
          <w:szCs w:val="32"/>
          <w:highlight w:val="none"/>
          <w:lang w:eastAsia="zh-CN"/>
        </w:rPr>
        <w:t>浙江正浩招标代理有限公司</w:t>
      </w:r>
    </w:p>
    <w:p>
      <w:pPr>
        <w:snapToGrid w:val="0"/>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val="en-US" w:eastAsia="zh-CN"/>
        </w:rPr>
        <w:t>三</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val="en-US" w:eastAsia="zh-CN"/>
        </w:rPr>
        <w:t>三</w:t>
      </w:r>
      <w:r>
        <w:rPr>
          <w:rFonts w:hint="eastAsia" w:cs="仿宋_GB2312" w:asciiTheme="minorEastAsia" w:hAnsiTheme="minorEastAsia" w:eastAsiaTheme="minorEastAsia"/>
          <w:bCs/>
          <w:color w:val="auto"/>
          <w:sz w:val="32"/>
          <w:szCs w:val="32"/>
          <w:highlight w:val="none"/>
        </w:rPr>
        <w:t>月</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pacing w:line="360" w:lineRule="auto"/>
        <w:rPr>
          <w:rFonts w:cs="仿宋_GB2312" w:asciiTheme="minorEastAsia" w:hAnsiTheme="minorEastAsia" w:eastAsiaTheme="minorEastAsia"/>
          <w:color w:val="auto"/>
          <w:sz w:val="32"/>
          <w:szCs w:val="32"/>
          <w:highlight w:val="none"/>
        </w:rPr>
      </w:pPr>
    </w:p>
    <w:p>
      <w:pPr>
        <w:spacing w:line="360" w:lineRule="auto"/>
        <w:rPr>
          <w:rFonts w:cs="仿宋_GB2312" w:asciiTheme="minorEastAsia" w:hAnsiTheme="minorEastAsia" w:eastAsiaTheme="minorEastAsia"/>
          <w:color w:val="auto"/>
          <w:sz w:val="32"/>
          <w:szCs w:val="32"/>
          <w:highlight w:val="none"/>
        </w:rPr>
      </w:pP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第一部分      邀请供应商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第三部分      供应商须知</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第四部分      采购需求</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第八部分      最后报价格式</w:t>
      </w:r>
    </w:p>
    <w:p>
      <w:pP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1" w:name="_Hlt91233176"/>
      <w:bookmarkEnd w:id="1"/>
      <w:bookmarkStart w:id="2" w:name="_Toc91899869"/>
      <w:bookmarkStart w:id="3" w:name="第一部分"/>
      <w:r>
        <w:rPr>
          <w:rFonts w:hint="eastAsia" w:cs="仿宋_GB2312" w:asciiTheme="minorEastAsia" w:hAnsiTheme="minorEastAsia" w:eastAsiaTheme="minorEastAsia"/>
          <w:b/>
          <w:color w:val="auto"/>
          <w:sz w:val="36"/>
          <w:szCs w:val="36"/>
          <w:highlight w:val="none"/>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cs="仿宋_GB2312" w:asciiTheme="minorEastAsia" w:hAnsiTheme="minorEastAsia" w:eastAsiaTheme="minorEastAsia"/>
          <w:b/>
          <w:color w:val="auto"/>
          <w:sz w:val="36"/>
          <w:szCs w:val="20"/>
          <w:highlight w:val="none"/>
        </w:rPr>
        <w:t>第一部分  邀请供应商</w:t>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竞争性磋商邀请公告</w:t>
      </w:r>
    </w:p>
    <w:p>
      <w:pPr>
        <w:spacing w:line="360" w:lineRule="auto"/>
        <w:rPr>
          <w:rFonts w:asciiTheme="minorEastAsia" w:hAnsiTheme="minorEastAsia" w:eastAsiaTheme="minorEastAsia"/>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lang w:eastAsia="zh-CN"/>
        </w:rPr>
        <w:t>浙江省红十字生命教育体验馆运营维护项目</w:t>
      </w:r>
      <w:r>
        <w:rPr>
          <w:rFonts w:hint="eastAsia" w:asciiTheme="minorEastAsia" w:hAnsiTheme="minorEastAsia" w:eastAsiaTheme="minorEastAsia"/>
          <w:color w:val="auto"/>
          <w:sz w:val="24"/>
          <w:highlight w:val="none"/>
        </w:rPr>
        <w:t>采购项目的潜在供应商应在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color w:val="auto"/>
          <w:sz w:val="24"/>
          <w:highlight w:val="none"/>
          <w:u w:val="single"/>
        </w:rPr>
        <w:t>https://www.zcygov.cn/</w:t>
      </w:r>
      <w:r>
        <w:rPr>
          <w:rStyle w:val="71"/>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20</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15</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11" w:name="_Toc35393629"/>
      <w:bookmarkStart w:id="12" w:name="_Toc28359089"/>
      <w:bookmarkStart w:id="13" w:name="_Toc28359012"/>
      <w:bookmarkStart w:id="14" w:name="_Toc35393798"/>
      <w:r>
        <w:rPr>
          <w:rFonts w:hint="eastAsia" w:cs="宋体" w:asciiTheme="minorEastAsia" w:hAnsiTheme="minorEastAsia" w:eastAsiaTheme="minorEastAsia"/>
          <w:color w:val="auto"/>
          <w:sz w:val="24"/>
          <w:szCs w:val="24"/>
          <w:highlight w:val="none"/>
        </w:rPr>
        <w:t>一、项目基本情况</w:t>
      </w:r>
      <w:bookmarkEnd w:id="11"/>
      <w:bookmarkEnd w:id="12"/>
      <w:bookmarkEnd w:id="13"/>
      <w:bookmarkEnd w:id="14"/>
    </w:p>
    <w:p>
      <w:pPr>
        <w:spacing w:line="360" w:lineRule="auto"/>
        <w:ind w:firstLine="482"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color w:val="auto"/>
          <w:sz w:val="24"/>
          <w:highlight w:val="none"/>
          <w:lang w:eastAsia="zh-CN"/>
        </w:rPr>
        <w:t>ZHZB-2023SHSZH-02</w:t>
      </w:r>
    </w:p>
    <w:p>
      <w:pPr>
        <w:spacing w:line="360" w:lineRule="auto"/>
        <w:ind w:firstLine="482"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color w:val="auto"/>
          <w:sz w:val="24"/>
          <w:highlight w:val="none"/>
          <w:lang w:eastAsia="zh-CN"/>
        </w:rPr>
        <w:t>浙江省红十字生命教育体验馆运营维护项目</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spacing w:line="360" w:lineRule="auto"/>
        <w:ind w:firstLine="482" w:firstLineChars="200"/>
        <w:rPr>
          <w:rFonts w:hint="default"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rPr>
        <w:t>预算金额（元）：</w:t>
      </w:r>
      <w:r>
        <w:rPr>
          <w:rFonts w:hint="eastAsia" w:asciiTheme="minorEastAsia" w:hAnsiTheme="minorEastAsia" w:eastAsiaTheme="minorEastAsia"/>
          <w:b w:val="0"/>
          <w:bCs/>
          <w:color w:val="auto"/>
          <w:sz w:val="24"/>
          <w:highlight w:val="none"/>
        </w:rPr>
        <w:t>171400</w:t>
      </w:r>
    </w:p>
    <w:p>
      <w:pPr>
        <w:spacing w:line="360" w:lineRule="auto"/>
        <w:ind w:firstLine="482" w:firstLineChars="200"/>
        <w:rPr>
          <w:rFonts w:hint="eastAsia"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Theme="minorEastAsia" w:hAnsiTheme="minorEastAsia" w:eastAsiaTheme="minorEastAsia"/>
          <w:b w:val="0"/>
          <w:bCs/>
          <w:color w:val="auto"/>
          <w:sz w:val="24"/>
          <w:highlight w:val="none"/>
        </w:rPr>
        <w:t>171400</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cs="Times New Roman" w:asciiTheme="minorEastAsia" w:hAnsiTheme="minorEastAsia" w:eastAsiaTheme="minorEastAsia"/>
          <w:color w:val="auto"/>
          <w:sz w:val="24"/>
          <w:highlight w:val="none"/>
          <w:lang w:eastAsia="zh-CN"/>
        </w:rPr>
        <w:t>浙江省红十字生命教育体验馆运营维护项目主要内容：</w:t>
      </w:r>
      <w:r>
        <w:rPr>
          <w:rFonts w:hint="eastAsia" w:cs="Times New Roman" w:asciiTheme="minorEastAsia" w:hAnsiTheme="minorEastAsia" w:eastAsiaTheme="minorEastAsia"/>
          <w:color w:val="auto"/>
          <w:sz w:val="24"/>
          <w:highlight w:val="none"/>
          <w:lang w:val="en-US" w:eastAsia="zh-CN"/>
        </w:rPr>
        <w:t>场馆运营管理、馆内培训讲解服务、馆外红十字生命教育服务、馆内应急演练活动、其他服务等等</w:t>
      </w:r>
      <w:r>
        <w:rPr>
          <w:rFonts w:hint="eastAsia" w:cs="Times New Roman" w:asciiTheme="minorEastAsia" w:hAnsiTheme="minorEastAsia" w:eastAsiaTheme="minorEastAsia"/>
          <w:color w:val="auto"/>
          <w:sz w:val="24"/>
          <w:highlight w:val="none"/>
          <w:lang w:eastAsia="zh-CN"/>
        </w:rPr>
        <w:t>。</w:t>
      </w:r>
      <w:r>
        <w:rPr>
          <w:rFonts w:hint="eastAsia" w:cs="Times New Roman" w:asciiTheme="minorEastAsia" w:hAnsiTheme="minorEastAsia" w:eastAsiaTheme="minorEastAsia"/>
          <w:color w:val="auto"/>
          <w:sz w:val="24"/>
          <w:highlight w:val="none"/>
          <w:lang w:val="en-US" w:eastAsia="zh-CN"/>
        </w:rPr>
        <w:t>具体内容</w:t>
      </w:r>
      <w:r>
        <w:rPr>
          <w:rFonts w:hint="eastAsia" w:cs="Times New Roman" w:asciiTheme="minorEastAsia" w:hAnsiTheme="minorEastAsia" w:eastAsiaTheme="minorEastAsia"/>
          <w:color w:val="auto"/>
          <w:sz w:val="24"/>
          <w:highlight w:val="none"/>
          <w:lang w:eastAsia="zh-CN"/>
        </w:rPr>
        <w:t>详见磋商文件。</w:t>
      </w:r>
    </w:p>
    <w:p>
      <w:pPr>
        <w:spacing w:line="360" w:lineRule="auto"/>
        <w:ind w:firstLine="482"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合同履行期限</w:t>
      </w:r>
      <w:r>
        <w:rPr>
          <w:rFonts w:hint="eastAsia" w:asciiTheme="minorEastAsia" w:hAnsiTheme="minorEastAsia" w:eastAsiaTheme="minorEastAsia"/>
          <w:color w:val="auto"/>
          <w:sz w:val="24"/>
          <w:highlight w:val="none"/>
        </w:rPr>
        <w:t>：2023年4月1日至2024年3月31日</w:t>
      </w:r>
      <w:r>
        <w:rPr>
          <w:rFonts w:hint="eastAsia" w:cs="Times New Roman" w:asciiTheme="minorEastAsia" w:hAnsiTheme="minorEastAsia" w:eastAsiaTheme="minorEastAsia"/>
          <w:color w:val="auto"/>
          <w:sz w:val="24"/>
          <w:highlight w:val="none"/>
          <w:u w:val="none"/>
          <w:lang w:eastAsia="zh-CN"/>
        </w:rPr>
        <w:t>。</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MS Gothic" w:hAnsi="MS Gothic" w:eastAsia="MS Gothic"/>
              <w:b/>
              <w:color w:val="auto"/>
              <w:sz w:val="24"/>
              <w:highlight w:val="none"/>
            </w:rPr>
            <w:t>☐</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Wingdings" w:hAnsi="Wingdings" w:eastAsia="MS Mincho" w:cs="MS Mincho"/>
              <w:b/>
              <w:color w:val="auto"/>
              <w:kern w:val="2"/>
              <w:sz w:val="24"/>
              <w:szCs w:val="24"/>
              <w:highlight w:val="none"/>
              <w:lang w:val="en-US" w:eastAsia="zh-CN" w:bidi="ar-SA"/>
            </w:rPr>
            <w:t>þ</w:t>
          </w:r>
        </w:sdtContent>
      </w:sdt>
      <w:r>
        <w:rPr>
          <w:rFonts w:hint="eastAsia" w:asciiTheme="minorEastAsia" w:hAnsiTheme="minorEastAsia" w:eastAsiaTheme="minorEastAsia"/>
          <w:b/>
          <w:color w:val="auto"/>
          <w:sz w:val="24"/>
          <w:highlight w:val="none"/>
        </w:rPr>
        <w:t>否。</w:t>
      </w:r>
    </w:p>
    <w:p>
      <w:pPr>
        <w:spacing w:line="360" w:lineRule="auto"/>
        <w:ind w:firstLine="480" w:firstLineChars="200"/>
        <w:rPr>
          <w:rFonts w:cs="宋体" w:asciiTheme="minorEastAsia" w:hAnsiTheme="minorEastAsia" w:eastAsiaTheme="minorEastAsia"/>
          <w:color w:val="auto"/>
          <w:sz w:val="24"/>
          <w:highlight w:val="none"/>
        </w:rPr>
      </w:pPr>
      <w:bookmarkStart w:id="15" w:name="_Toc28359013"/>
      <w:bookmarkStart w:id="16" w:name="_Toc28359090"/>
      <w:bookmarkStart w:id="17" w:name="_Toc35393630"/>
      <w:bookmarkStart w:id="18" w:name="_Toc35393799"/>
      <w:r>
        <w:rPr>
          <w:rFonts w:hint="eastAsia" w:cs="宋体" w:asciiTheme="minorEastAsia" w:hAnsiTheme="minorEastAsia" w:eastAsiaTheme="minorEastAsia"/>
          <w:color w:val="auto"/>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.以联合体形式响应的，提供联合协议(本项目不接受联合体响应或者供应商不以联合体形式响应的，则不需要提供)；</w:t>
      </w:r>
    </w:p>
    <w:p>
      <w:pP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.本项目的特定资格要求：无；</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color w:val="auto"/>
          <w:sz w:val="24"/>
          <w:highlight w:val="none"/>
        </w:rPr>
      </w:pPr>
      <w:bookmarkStart w:id="19" w:name="_Toc35393631"/>
      <w:bookmarkStart w:id="20" w:name="_Toc35393800"/>
      <w:bookmarkStart w:id="21" w:name="_Toc28359091"/>
      <w:bookmarkStart w:id="22" w:name="_Toc28359014"/>
      <w:r>
        <w:rPr>
          <w:rFonts w:hint="eastAsia" w:cs="宋体" w:asciiTheme="minorEastAsia" w:hAnsiTheme="minorEastAsia" w:eastAsiaTheme="minorEastAsia"/>
          <w:color w:val="auto"/>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asciiTheme="minorEastAsia" w:hAnsiTheme="minorEastAsia" w:eastAsiaTheme="minorEastAsia"/>
          <w:color w:val="auto"/>
          <w:sz w:val="27"/>
          <w:szCs w:val="27"/>
          <w:highlight w:val="none"/>
        </w:rPr>
        <w:t>/</w:t>
      </w:r>
      <w:r>
        <w:rPr>
          <w:rFonts w:hint="eastAsia" w:cs="宋体" w:asciiTheme="minorEastAsia" w:hAnsiTheme="minorEastAsia" w:eastAsiaTheme="minorEastAsia"/>
          <w:color w:val="auto"/>
          <w:sz w:val="24"/>
          <w:highlight w:val="none"/>
        </w:rPr>
        <w:t>至202</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lang w:val="en-US" w:eastAsia="zh-CN"/>
        </w:rPr>
        <w:t>20</w:t>
      </w:r>
      <w:r>
        <w:rPr>
          <w:rFonts w:hint="eastAsia" w:cs="宋体" w:asciiTheme="minorEastAsia" w:hAnsiTheme="minorEastAsia" w:eastAsiaTheme="minorEastAsia"/>
          <w:color w:val="auto"/>
          <w:sz w:val="24"/>
          <w:highlight w:val="none"/>
        </w:rPr>
        <w:t>日，每天上午</w:t>
      </w:r>
      <w:r>
        <w:rPr>
          <w:rFonts w:hint="eastAsia" w:asciiTheme="minorEastAsia" w:hAnsiTheme="minorEastAsia" w:eastAsiaTheme="minorEastAsia"/>
          <w:color w:val="auto"/>
          <w:sz w:val="24"/>
          <w:highlight w:val="none"/>
        </w:rPr>
        <w:t>00:00至12:00，下午12:00至23:59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spacing w:line="360" w:lineRule="auto"/>
        <w:ind w:firstLine="54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b/>
          <w:color w:val="auto"/>
          <w:sz w:val="24"/>
          <w:highlight w:val="none"/>
        </w:rPr>
        <w:t>https://www.zcygov.cn/</w:t>
      </w:r>
      <w:r>
        <w:rPr>
          <w:rStyle w:val="71"/>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color w:val="auto"/>
          <w:sz w:val="24"/>
          <w:highlight w:val="none"/>
        </w:rPr>
        <w:t>）</w:t>
      </w:r>
    </w:p>
    <w:p>
      <w:pPr>
        <w:spacing w:line="360" w:lineRule="auto"/>
        <w:ind w:firstLine="54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23" w:name="_Toc28359015"/>
      <w:bookmarkStart w:id="24" w:name="_Toc28359092"/>
      <w:bookmarkStart w:id="25" w:name="_Toc35393801"/>
      <w:bookmarkStart w:id="26" w:name="_Toc35393632"/>
      <w:r>
        <w:rPr>
          <w:rFonts w:hint="eastAsia" w:cs="宋体" w:asciiTheme="minorEastAsia" w:hAnsiTheme="minorEastAsia" w:eastAsiaTheme="minorEastAsia"/>
          <w:color w:val="auto"/>
          <w:sz w:val="24"/>
          <w:szCs w:val="24"/>
          <w:highlight w:val="none"/>
        </w:rPr>
        <w:t>四、响应文件提交</w:t>
      </w:r>
      <w:bookmarkEnd w:id="23"/>
      <w:bookmarkEnd w:id="24"/>
      <w:bookmarkEnd w:id="25"/>
      <w:bookmarkEnd w:id="26"/>
      <w:r>
        <w:rPr>
          <w:rFonts w:hint="eastAsia" w:cs="宋体" w:asciiTheme="minorEastAsia" w:hAnsiTheme="minorEastAsia" w:eastAsiaTheme="minorEastAsia"/>
          <w:color w:val="auto"/>
          <w:sz w:val="24"/>
          <w:szCs w:val="24"/>
          <w:highlight w:val="none"/>
        </w:rPr>
        <w:t>（上传）</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20</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15</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仿宋_GB2312" w:asciiTheme="minorEastAsia" w:hAnsiTheme="minorEastAsia" w:eastAsiaTheme="minorEastAsia"/>
          <w:b/>
          <w:color w:val="auto"/>
          <w:kern w:val="2"/>
          <w:sz w:val="24"/>
          <w:szCs w:val="24"/>
          <w:highlight w:val="none"/>
        </w:rPr>
        <w:t>https://www.zcygov.cn/</w:t>
      </w:r>
      <w:r>
        <w:rPr>
          <w:rStyle w:val="71"/>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color w:val="auto"/>
          <w:sz w:val="24"/>
          <w:highlight w:val="none"/>
        </w:rPr>
        <w:t>）。</w:t>
      </w: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27" w:name="_Toc28359016"/>
      <w:bookmarkStart w:id="28" w:name="_Toc35393633"/>
      <w:bookmarkStart w:id="29" w:name="_Toc28359093"/>
      <w:bookmarkStart w:id="30" w:name="_Toc35393802"/>
      <w:r>
        <w:rPr>
          <w:rFonts w:hint="eastAsia" w:cs="宋体" w:asciiTheme="minorEastAsia" w:hAnsiTheme="minorEastAsia" w:eastAsiaTheme="minorEastAsia"/>
          <w:color w:val="auto"/>
          <w:sz w:val="24"/>
          <w:szCs w:val="24"/>
          <w:highlight w:val="none"/>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20</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15</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rPr>
        <w:t>政采云平台（https://www.zcygov.cn/）。</w:t>
      </w: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31" w:name="_Toc35393634"/>
      <w:bookmarkStart w:id="32" w:name="_Toc28359017"/>
      <w:bookmarkStart w:id="33" w:name="_Toc35393803"/>
      <w:bookmarkStart w:id="34" w:name="_Toc28359094"/>
      <w:r>
        <w:rPr>
          <w:rFonts w:hint="eastAsia" w:cs="宋体" w:asciiTheme="minorEastAsia" w:hAnsiTheme="minorEastAsia" w:eastAsiaTheme="minorEastAsia"/>
          <w:color w:val="auto"/>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35" w:name="_Toc35393804"/>
      <w:bookmarkStart w:id="36" w:name="_Toc35393635"/>
      <w:r>
        <w:rPr>
          <w:rFonts w:hint="eastAsia" w:cs="宋体" w:asciiTheme="minorEastAsia" w:hAnsiTheme="minorEastAsia" w:eastAsiaTheme="minorEastAsia"/>
          <w:color w:val="auto"/>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b w:val="0"/>
          <w:bCs/>
          <w:color w:val="auto"/>
          <w:sz w:val="24"/>
          <w:highlight w:val="none"/>
        </w:rPr>
      </w:pPr>
      <w:r>
        <w:rPr>
          <w:rFonts w:hint="eastAsia" w:cs="宋体" w:asciiTheme="minorEastAsia" w:hAnsiTheme="minorEastAsia" w:eastAsiaTheme="minorEastAsia"/>
          <w:b/>
          <w:color w:val="auto"/>
          <w:kern w:val="0"/>
          <w:sz w:val="24"/>
          <w:highlight w:val="none"/>
        </w:rPr>
        <w:t>4. 其他事项：</w:t>
      </w:r>
      <w:r>
        <w:rPr>
          <w:rFonts w:hint="eastAsia" w:cs="宋体" w:asciiTheme="minorEastAsia" w:hAnsiTheme="minorEastAsia" w:eastAsiaTheme="minorEastAsia"/>
          <w:b w:val="0"/>
          <w:bCs/>
          <w:color w:val="auto"/>
          <w:kern w:val="0"/>
          <w:sz w:val="24"/>
          <w:highlight w:val="none"/>
        </w:rPr>
        <w:t>（1）需要落实的政府采购政策：包括节约资源、保护环境、</w:t>
      </w:r>
      <w:r>
        <w:rPr>
          <w:rFonts w:hint="eastAsia" w:cs="宋体" w:asciiTheme="minorEastAsia" w:hAnsiTheme="minorEastAsia" w:eastAsiaTheme="minorEastAsia"/>
          <w:b w:val="0"/>
          <w:bCs/>
          <w:color w:val="auto"/>
          <w:sz w:val="24"/>
          <w:highlight w:val="none"/>
        </w:rPr>
        <w:t>支持创新、</w:t>
      </w:r>
      <w:r>
        <w:rPr>
          <w:rFonts w:hint="eastAsia" w:cs="宋体" w:asciiTheme="minorEastAsia" w:hAnsiTheme="minorEastAsia" w:eastAsiaTheme="minorEastAsia"/>
          <w:b w:val="0"/>
          <w:bCs/>
          <w:color w:val="auto"/>
          <w:kern w:val="0"/>
          <w:sz w:val="24"/>
          <w:highlight w:val="none"/>
        </w:rPr>
        <w:t>促进中小企业发展等，详见磋商文件第三部分。</w:t>
      </w:r>
      <w:r>
        <w:rPr>
          <w:rFonts w:hint="eastAsia" w:cs="宋体" w:asciiTheme="minorEastAsia" w:hAnsiTheme="minorEastAsia" w:eastAsiaTheme="minorEastAsia"/>
          <w:b w:val="0"/>
          <w:bCs/>
          <w:color w:val="auto"/>
          <w:kern w:val="0"/>
          <w:sz w:val="24"/>
          <w:szCs w:val="20"/>
          <w:highlight w:val="none"/>
        </w:rPr>
        <w:t>（2）</w:t>
      </w:r>
      <w:r>
        <w:rPr>
          <w:rFonts w:hint="eastAsia" w:cs="仿宋_GB2312" w:asciiTheme="minorEastAsia" w:hAnsiTheme="minorEastAsia" w:eastAsiaTheme="minorEastAsia"/>
          <w:b w:val="0"/>
          <w:bCs/>
          <w:color w:val="auto"/>
          <w:sz w:val="24"/>
          <w:highlight w:val="none"/>
        </w:rPr>
        <w:t>电子交易的说明:1）电子交易：本项目以数据电文形式，依托“政府采购云平台（www.zcygov.cn）”进行采购活动，不接受纸质响应文件。2）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磋商文件的获取：使用账号登录或者使用CA登录政采云平台；进入“项目采购”应用，在获取采购文件菜单中选择项目，获取磋商文件。4）响应文件的制作：在“政采云电子交易客户端”中完成“填写基本信息”、“导入投标文件”、“标书关联”、“标书检查”、“电子签名”、“生成电子标书”等操作。</w:t>
      </w:r>
      <w:r>
        <w:rPr>
          <w:rFonts w:cs="仿宋_GB2312" w:asciiTheme="minorEastAsia" w:hAnsiTheme="minorEastAsia" w:eastAsiaTheme="minorEastAsia"/>
          <w:b w:val="0"/>
          <w:bCs/>
          <w:color w:val="auto"/>
          <w:sz w:val="24"/>
          <w:highlight w:val="none"/>
        </w:rPr>
        <w:t>5）</w:t>
      </w:r>
      <w:r>
        <w:rPr>
          <w:rFonts w:hint="eastAsia" w:cs="仿宋_GB2312" w:asciiTheme="minorEastAsia" w:hAnsiTheme="minorEastAsia" w:eastAsiaTheme="minorEastAsia"/>
          <w:b w:val="0"/>
          <w:bCs/>
          <w:color w:val="auto"/>
          <w:sz w:val="24"/>
          <w:highlight w:val="none"/>
        </w:rPr>
        <w:t>采购人、</w:t>
      </w:r>
      <w:r>
        <w:rPr>
          <w:rFonts w:hint="eastAsia" w:cs="仿宋_GB2312" w:asciiTheme="minorEastAsia" w:hAnsiTheme="minorEastAsia" w:eastAsiaTheme="minorEastAsia"/>
          <w:b w:val="0"/>
          <w:bCs/>
          <w:color w:val="auto"/>
          <w:sz w:val="24"/>
          <w:highlight w:val="none"/>
          <w:lang w:eastAsia="zh-CN"/>
        </w:rPr>
        <w:t>采购代理机构</w:t>
      </w:r>
      <w:r>
        <w:rPr>
          <w:rFonts w:hint="eastAsia" w:cs="仿宋_GB2312" w:asciiTheme="minorEastAsia" w:hAnsiTheme="minorEastAsia" w:eastAsiaTheme="minorEastAsia"/>
          <w:b w:val="0"/>
          <w:bCs/>
          <w:color w:val="auto"/>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val="0"/>
          <w:bCs/>
          <w:color w:val="auto"/>
          <w:sz w:val="24"/>
          <w:highlight w:val="none"/>
        </w:rPr>
        <w:t>6）</w:t>
      </w:r>
      <w:r>
        <w:rPr>
          <w:rFonts w:hint="eastAsia" w:cs="仿宋_GB2312" w:asciiTheme="minorEastAsia" w:hAnsiTheme="minorEastAsia" w:eastAsiaTheme="minorEastAsia"/>
          <w:b w:val="0"/>
          <w:bCs/>
          <w:color w:val="auto"/>
          <w:sz w:val="24"/>
          <w:highlight w:val="none"/>
        </w:rPr>
        <w:t>对未按上述方式获取磋商文件的供应商对该文件提出的质疑，采购人或采购代理机构将不予处理；</w:t>
      </w:r>
      <w:r>
        <w:rPr>
          <w:rFonts w:cs="仿宋_GB2312" w:asciiTheme="minorEastAsia" w:hAnsiTheme="minorEastAsia" w:eastAsiaTheme="minorEastAsia"/>
          <w:b w:val="0"/>
          <w:bCs/>
          <w:color w:val="auto"/>
          <w:sz w:val="24"/>
          <w:highlight w:val="none"/>
        </w:rPr>
        <w:t>7）</w:t>
      </w:r>
      <w:r>
        <w:rPr>
          <w:rFonts w:hint="eastAsia" w:cs="仿宋_GB2312" w:asciiTheme="minorEastAsia" w:hAnsiTheme="minorEastAsia" w:eastAsiaTheme="minorEastAsia"/>
          <w:b w:val="0"/>
          <w:bCs/>
          <w:color w:val="auto"/>
          <w:sz w:val="24"/>
          <w:highlight w:val="none"/>
        </w:rPr>
        <w:t>不提供磋商文件纸质版；</w:t>
      </w:r>
      <w:r>
        <w:rPr>
          <w:rFonts w:cs="仿宋_GB2312" w:asciiTheme="minorEastAsia" w:hAnsiTheme="minorEastAsia" w:eastAsiaTheme="minorEastAsia"/>
          <w:b w:val="0"/>
          <w:bCs/>
          <w:color w:val="auto"/>
          <w:sz w:val="24"/>
          <w:highlight w:val="none"/>
        </w:rPr>
        <w:t>8</w:t>
      </w:r>
      <w:r>
        <w:rPr>
          <w:rFonts w:hint="eastAsia" w:cs="仿宋_GB2312" w:asciiTheme="minorEastAsia" w:hAnsiTheme="minorEastAsia" w:eastAsiaTheme="minorEastAsia"/>
          <w:b w:val="0"/>
          <w:bCs/>
          <w:color w:val="auto"/>
          <w:sz w:val="24"/>
          <w:highlight w:val="none"/>
        </w:rPr>
        <w:t>）响应文件的传输提交：供应商在提交响应文件的截止时间前将加密的响应文件上传至政府采购云平台，还可以在提交响应文件的截止时间前直接提交或者以快递方式提交备份响应文件1份。备份响应文件的制作、存储、密封详见磋商文件第三部分 “备份响应文件”；9）响应文件的解密：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具体操作指南：详见政采云平台“服务中心-帮助文档-项目采购-操作流程-电子招投标-政府采购项目电子交易管理操作指南-供应商”。</w:t>
      </w:r>
      <w:r>
        <w:rPr>
          <w:rFonts w:hint="eastAsia" w:cs="宋体" w:asciiTheme="minorEastAsia" w:hAnsiTheme="minorEastAsia" w:eastAsiaTheme="minorEastAsia"/>
          <w:b w:val="0"/>
          <w:bCs/>
          <w:color w:val="auto"/>
          <w:sz w:val="24"/>
          <w:highlight w:val="none"/>
        </w:rPr>
        <w:t>（3</w:t>
      </w:r>
      <w:r>
        <w:rPr>
          <w:rFonts w:hint="eastAsia" w:cs="宋体" w:asciiTheme="minorEastAsia" w:hAnsiTheme="minorEastAsia" w:eastAsiaTheme="minorEastAsia"/>
          <w:b w:val="0"/>
          <w:bCs/>
          <w:color w:val="auto"/>
          <w:sz w:val="24"/>
          <w:highlight w:val="none"/>
          <w:lang w:eastAsia="zh-CN"/>
        </w:rPr>
        <w:t>）</w:t>
      </w:r>
      <w:r>
        <w:rPr>
          <w:rFonts w:hint="eastAsia" w:cs="宋体" w:asciiTheme="minorEastAsia" w:hAnsiTheme="minorEastAsia" w:eastAsiaTheme="minorEastAsia"/>
          <w:b w:val="0"/>
          <w:bCs/>
          <w:color w:val="auto"/>
          <w:sz w:val="24"/>
          <w:highlight w:val="none"/>
        </w:rPr>
        <w:t>磋商文件公告期限与磋商公告的公告期限一致。</w:t>
      </w:r>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37" w:name="_Toc28359095"/>
      <w:bookmarkStart w:id="38" w:name="_Toc28359018"/>
      <w:bookmarkStart w:id="39" w:name="_Toc35393805"/>
      <w:bookmarkStart w:id="40" w:name="_Toc35393636"/>
      <w:r>
        <w:rPr>
          <w:rFonts w:hint="eastAsia" w:cs="宋体" w:asciiTheme="minorEastAsia" w:hAnsiTheme="minorEastAsia" w:eastAsiaTheme="minorEastAsia"/>
          <w:color w:val="auto"/>
          <w:sz w:val="24"/>
          <w:szCs w:val="24"/>
          <w:highlight w:val="none"/>
        </w:rPr>
        <w:t>八、凡对本次采购提出询问</w:t>
      </w:r>
      <w:r>
        <w:rPr>
          <w:rFonts w:hint="eastAsia" w:cs="宋体" w:asciiTheme="minorEastAsia" w:hAnsiTheme="minorEastAsia" w:eastAsiaTheme="minorEastAsia"/>
          <w:bCs w:val="0"/>
          <w:color w:val="auto"/>
          <w:sz w:val="24"/>
          <w:szCs w:val="24"/>
          <w:highlight w:val="none"/>
        </w:rPr>
        <w:t>、质疑、投诉</w:t>
      </w:r>
      <w:r>
        <w:rPr>
          <w:rFonts w:hint="eastAsia" w:cs="宋体" w:asciiTheme="minorEastAsia" w:hAnsiTheme="minorEastAsia" w:eastAsiaTheme="minorEastAsia"/>
          <w:color w:val="auto"/>
          <w:sz w:val="24"/>
          <w:szCs w:val="24"/>
          <w:highlight w:val="none"/>
        </w:rPr>
        <w:t>，请按以下方式联系</w:t>
      </w:r>
      <w:bookmarkEnd w:id="37"/>
      <w:bookmarkEnd w:id="38"/>
      <w:bookmarkEnd w:id="39"/>
      <w:bookmarkEnd w:id="40"/>
    </w:p>
    <w:p>
      <w:pPr>
        <w:pStyle w:val="5"/>
        <w:numPr>
          <w:ilvl w:val="0"/>
          <w:numId w:val="0"/>
        </w:numPr>
        <w:ind w:left="432" w:hanging="432"/>
        <w:rPr>
          <w:rFonts w:cs="宋体" w:asciiTheme="minorEastAsia" w:hAnsiTheme="minorEastAsia" w:eastAsiaTheme="minorEastAsia"/>
          <w:color w:val="auto"/>
          <w:sz w:val="24"/>
          <w:szCs w:val="24"/>
          <w:highlight w:val="none"/>
        </w:rPr>
      </w:pPr>
      <w:bookmarkStart w:id="41" w:name="_Toc35393637"/>
      <w:bookmarkStart w:id="42" w:name="_Toc35393806"/>
      <w:bookmarkStart w:id="43" w:name="_Toc28359096"/>
      <w:bookmarkStart w:id="44" w:name="_Toc28359019"/>
      <w:r>
        <w:rPr>
          <w:rFonts w:hint="eastAsia" w:cs="宋体" w:asciiTheme="minorEastAsia" w:hAnsiTheme="minorEastAsia" w:eastAsiaTheme="minorEastAsia"/>
          <w:color w:val="auto"/>
          <w:sz w:val="24"/>
          <w:szCs w:val="24"/>
          <w:highlight w:val="none"/>
        </w:rPr>
        <w:t>1.采购人信息</w:t>
      </w:r>
      <w:bookmarkEnd w:id="41"/>
      <w:bookmarkEnd w:id="42"/>
      <w:bookmarkEnd w:id="43"/>
      <w:bookmarkEnd w:id="44"/>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hint="eastAsia" w:ascii="宋体" w:hAnsi="宋体" w:cs="宋体" w:eastAsiaTheme="minorEastAsia"/>
          <w:color w:val="auto"/>
          <w:sz w:val="24"/>
          <w:highlight w:val="none"/>
          <w:lang w:eastAsia="zh-CN"/>
        </w:rPr>
      </w:pPr>
      <w:r>
        <w:rPr>
          <w:rFonts w:hint="eastAsia" w:asciiTheme="minorEastAsia" w:hAnsiTheme="minorEastAsia" w:eastAsiaTheme="minorEastAsia"/>
          <w:color w:val="auto"/>
          <w:sz w:val="24"/>
          <w:highlight w:val="none"/>
        </w:rPr>
        <w:t>名</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称：</w:t>
      </w:r>
      <w:r>
        <w:rPr>
          <w:rFonts w:hint="eastAsia" w:ascii="宋体" w:hAnsi="宋体" w:cs="宋体" w:eastAsiaTheme="minorEastAsia"/>
          <w:color w:val="auto"/>
          <w:sz w:val="24"/>
          <w:highlight w:val="none"/>
          <w:lang w:eastAsia="zh-CN"/>
        </w:rPr>
        <w:t>浙江省红十字会</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地    址：杭州市上城区秋涛北路324号</w:t>
      </w:r>
    </w:p>
    <w:p>
      <w:pPr>
        <w:spacing w:line="360" w:lineRule="auto"/>
        <w:ind w:firstLine="480" w:firstLine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传    真：</w:t>
      </w:r>
      <w:r>
        <w:rPr>
          <w:rFonts w:hint="eastAsia" w:asciiTheme="minorEastAsia" w:hAnsiTheme="minorEastAsia" w:eastAsiaTheme="minorEastAsia"/>
          <w:color w:val="auto"/>
          <w:sz w:val="24"/>
          <w:highlight w:val="none"/>
          <w:lang w:val="en-US" w:eastAsia="zh-CN"/>
        </w:rPr>
        <w:t>/</w:t>
      </w:r>
    </w:p>
    <w:p>
      <w:pPr>
        <w:spacing w:line="360" w:lineRule="auto"/>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 xml:space="preserve">   项目联系人（询问）：</w:t>
      </w:r>
      <w:r>
        <w:rPr>
          <w:rFonts w:hint="eastAsia" w:asciiTheme="minorEastAsia" w:hAnsiTheme="minorEastAsia" w:eastAsiaTheme="minorEastAsia"/>
          <w:color w:val="auto"/>
          <w:sz w:val="24"/>
          <w:highlight w:val="none"/>
          <w:lang w:val="en-US" w:eastAsia="zh-CN"/>
        </w:rPr>
        <w:t>张老师</w:t>
      </w:r>
    </w:p>
    <w:p>
      <w:pPr>
        <w:spacing w:line="360" w:lineRule="auto"/>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 xml:space="preserve">    项目联系方式（询问）：</w:t>
      </w:r>
      <w:r>
        <w:rPr>
          <w:rFonts w:hint="eastAsia" w:asciiTheme="minorEastAsia" w:hAnsiTheme="minorEastAsia" w:eastAsiaTheme="minorEastAsia"/>
          <w:color w:val="auto"/>
          <w:sz w:val="24"/>
          <w:highlight w:val="none"/>
          <w:lang w:val="en-US" w:eastAsia="zh-CN"/>
        </w:rPr>
        <w:t>0571-86496908</w:t>
      </w:r>
    </w:p>
    <w:p>
      <w:pPr>
        <w:spacing w:line="360" w:lineRule="auto"/>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 xml:space="preserve">    质疑联系人：</w:t>
      </w:r>
      <w:r>
        <w:rPr>
          <w:rFonts w:hint="eastAsia" w:asciiTheme="minorEastAsia" w:hAnsiTheme="minorEastAsia" w:eastAsiaTheme="minorEastAsia"/>
          <w:color w:val="auto"/>
          <w:sz w:val="24"/>
          <w:highlight w:val="none"/>
          <w:lang w:val="en-US" w:eastAsia="zh-CN"/>
        </w:rPr>
        <w:t>吴老师</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质疑联系方式：0571</w:t>
      </w:r>
      <w:r>
        <w:rPr>
          <w:rFonts w:hint="eastAsia" w:asciiTheme="minorEastAsia" w:hAnsiTheme="minorEastAsia" w:eastAsiaTheme="minorEastAsia"/>
          <w:color w:val="auto"/>
          <w:sz w:val="24"/>
          <w:highlight w:val="none"/>
          <w:lang w:val="en-US" w:eastAsia="zh-CN"/>
        </w:rPr>
        <w:t>-</w:t>
      </w:r>
      <w:r>
        <w:rPr>
          <w:rFonts w:hint="eastAsia" w:asciiTheme="minorEastAsia" w:hAnsiTheme="minorEastAsia" w:eastAsiaTheme="minorEastAsia"/>
          <w:color w:val="auto"/>
          <w:sz w:val="24"/>
          <w:highlight w:val="none"/>
        </w:rPr>
        <w:t>87707675</w:t>
      </w:r>
    </w:p>
    <w:p>
      <w:pPr>
        <w:pStyle w:val="5"/>
        <w:numPr>
          <w:ilvl w:val="0"/>
          <w:numId w:val="0"/>
        </w:numPr>
        <w:ind w:left="432" w:hanging="432"/>
        <w:rPr>
          <w:rFonts w:cs="宋体" w:asciiTheme="minorEastAsia" w:hAnsiTheme="minorEastAsia" w:eastAsiaTheme="minorEastAsia"/>
          <w:color w:val="auto"/>
          <w:sz w:val="24"/>
          <w:highlight w:val="none"/>
        </w:rPr>
      </w:pPr>
      <w:bookmarkStart w:id="45" w:name="_Toc28359097"/>
      <w:bookmarkStart w:id="46" w:name="_Toc28359020"/>
      <w:bookmarkStart w:id="47" w:name="_Toc35393638"/>
      <w:bookmarkStart w:id="48" w:name="_Toc35393807"/>
      <w:r>
        <w:rPr>
          <w:rFonts w:hint="eastAsia" w:cs="宋体" w:asciiTheme="minorEastAsia" w:hAnsiTheme="minorEastAsia" w:eastAsiaTheme="minorEastAsia"/>
          <w:color w:val="auto"/>
          <w:sz w:val="24"/>
          <w:szCs w:val="24"/>
          <w:highlight w:val="none"/>
        </w:rPr>
        <w:t>2.采购代理机构信息</w:t>
      </w:r>
      <w:bookmarkEnd w:id="45"/>
      <w:bookmarkEnd w:id="46"/>
      <w:bookmarkEnd w:id="47"/>
      <w:bookmarkEnd w:id="48"/>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    称：</w:t>
      </w:r>
      <w:r>
        <w:rPr>
          <w:rFonts w:hint="eastAsia" w:asciiTheme="minorEastAsia" w:hAnsiTheme="minorEastAsia" w:eastAsiaTheme="minorEastAsia"/>
          <w:color w:val="auto"/>
          <w:sz w:val="24"/>
          <w:highlight w:val="none"/>
          <w:lang w:eastAsia="zh-CN"/>
        </w:rPr>
        <w:t>浙江正浩招标代理有限公司</w:t>
      </w:r>
    </w:p>
    <w:p>
      <w:pPr>
        <w:spacing w:line="360" w:lineRule="auto"/>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 xml:space="preserve">    地    址：</w:t>
      </w:r>
      <w:r>
        <w:rPr>
          <w:rFonts w:hint="eastAsia" w:asciiTheme="minorEastAsia" w:hAnsiTheme="minorEastAsia" w:eastAsiaTheme="minorEastAsia"/>
          <w:color w:val="auto"/>
          <w:sz w:val="24"/>
          <w:highlight w:val="none"/>
          <w:lang w:val="en-US" w:eastAsia="zh-CN"/>
        </w:rPr>
        <w:t>浙江省杭州市拱墅区文晖路183号中国通信服务浙江产业园6楼</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传    真：/</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项目联系人（询问）：陈瑶、陈涵珺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项目联系方式（询问）：18757567243、15395821972</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质疑联系人：许工</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质疑联系方式：0571-86838130</w:t>
      </w:r>
    </w:p>
    <w:p>
      <w:pPr>
        <w:spacing w:line="360" w:lineRule="auto"/>
        <w:rPr>
          <w:rFonts w:asciiTheme="minorEastAsia" w:hAnsiTheme="minorEastAsia" w:eastAsiaTheme="minorEastAsia"/>
          <w:b/>
          <w:color w:val="auto"/>
          <w:sz w:val="24"/>
          <w:highlight w:val="none"/>
        </w:rPr>
      </w:pPr>
      <w:bookmarkStart w:id="49" w:name="_Toc35393808"/>
      <w:bookmarkStart w:id="50" w:name="_Toc28359021"/>
      <w:bookmarkStart w:id="51" w:name="_Toc28359098"/>
      <w:bookmarkStart w:id="52" w:name="_Toc35393639"/>
      <w:r>
        <w:rPr>
          <w:rFonts w:hint="eastAsia" w:cs="宋体" w:asciiTheme="minorEastAsia" w:hAnsiTheme="minorEastAsia" w:eastAsiaTheme="minorEastAsia"/>
          <w:b/>
          <w:bCs/>
          <w:color w:val="auto"/>
          <w:sz w:val="24"/>
          <w:highlight w:val="none"/>
        </w:rPr>
        <w:t>3.</w:t>
      </w:r>
      <w:r>
        <w:rPr>
          <w:rFonts w:hint="eastAsia" w:asciiTheme="minorEastAsia" w:hAnsiTheme="minorEastAsia" w:eastAsiaTheme="minorEastAsia"/>
          <w:b/>
          <w:color w:val="auto"/>
          <w:sz w:val="24"/>
          <w:highlight w:val="none"/>
        </w:rPr>
        <w:t xml:space="preserve"> 同级政府采购监督管理部门：</w:t>
      </w:r>
    </w:p>
    <w:p>
      <w:pPr>
        <w:spacing w:line="360" w:lineRule="auto"/>
        <w:ind w:left="1680" w:hanging="1680" w:hangingChars="700"/>
        <w:rPr>
          <w:rFonts w:ascii="宋体" w:hAnsi="宋体" w:cs="宋体"/>
          <w:color w:val="auto"/>
          <w:sz w:val="24"/>
          <w:highlight w:val="none"/>
        </w:rPr>
      </w:pPr>
      <w:r>
        <w:rPr>
          <w:rFonts w:hint="eastAsia" w:asciiTheme="minorEastAsia" w:hAnsiTheme="minorEastAsia" w:eastAsiaTheme="minorEastAsia"/>
          <w:color w:val="auto"/>
          <w:sz w:val="24"/>
          <w:highlight w:val="none"/>
        </w:rPr>
        <w:t xml:space="preserve">    </w:t>
      </w:r>
      <w:bookmarkEnd w:id="49"/>
      <w:bookmarkEnd w:id="50"/>
      <w:bookmarkEnd w:id="51"/>
      <w:bookmarkEnd w:id="52"/>
      <w:r>
        <w:rPr>
          <w:rFonts w:hint="eastAsia" w:ascii="宋体" w:hAnsi="宋体" w:cs="宋体"/>
          <w:color w:val="auto"/>
          <w:sz w:val="24"/>
          <w:highlight w:val="none"/>
        </w:rPr>
        <w:t>名    称：浙江省财政厅政府采购监管处/浙江省政府采购行政裁决服务中心（杭州）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联系人：朱女士、王女士</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监督投诉电话：0571-85252453</w:t>
      </w:r>
    </w:p>
    <w:p>
      <w:pP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预算金额未达100万元的采购项目，由采购人处理采购争议。</w:t>
      </w:r>
    </w:p>
    <w:p>
      <w:pPr>
        <w:spacing w:line="360" w:lineRule="auto"/>
        <w:ind w:firstLine="480" w:firstLineChars="200"/>
        <w:rPr>
          <w:rFonts w:hint="eastAsia"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若对项目采购电子交易系统操作有疑问，可登录政采云（</w:t>
      </w:r>
      <w:r>
        <w:rPr>
          <w:rFonts w:asciiTheme="minorEastAsia" w:hAnsiTheme="minorEastAsia" w:eastAsiaTheme="minorEastAsia"/>
          <w:color w:val="auto"/>
          <w:sz w:val="24"/>
          <w:highlight w:val="none"/>
        </w:rPr>
        <w:t>https://www.zcygov.cn/），点击右侧咨询小采，获取采小蜜智能服务管家帮助，或拨打政</w:t>
      </w:r>
      <w:r>
        <w:rPr>
          <w:rFonts w:hint="eastAsia" w:asciiTheme="minorEastAsia" w:hAnsiTheme="minorEastAsia" w:eastAsiaTheme="minorEastAsia"/>
          <w:color w:val="auto"/>
          <w:sz w:val="24"/>
          <w:highlight w:val="none"/>
        </w:rPr>
        <w:t>采云服务热线</w:t>
      </w:r>
      <w:r>
        <w:rPr>
          <w:rFonts w:asciiTheme="minorEastAsia" w:hAnsiTheme="minorEastAsia" w:eastAsiaTheme="minorEastAsia"/>
          <w:color w:val="auto"/>
          <w:sz w:val="24"/>
          <w:highlight w:val="none"/>
        </w:rPr>
        <w:t>400-881-7190获取热线服务帮助。</w:t>
      </w:r>
    </w:p>
    <w:p>
      <w:pPr>
        <w:spacing w:line="360" w:lineRule="auto"/>
        <w:ind w:firstLine="480" w:firstLineChars="200"/>
        <w:rPr>
          <w:rFonts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CA问题联系电话（人工）：</w:t>
      </w:r>
      <w:r>
        <w:rPr>
          <w:rFonts w:hint="eastAsia" w:asciiTheme="minorEastAsia" w:hAnsiTheme="minorEastAsia" w:eastAsiaTheme="minorEastAsia"/>
          <w:color w:val="auto"/>
          <w:sz w:val="24"/>
          <w:highlight w:val="none"/>
        </w:rPr>
        <w:t>汇信</w:t>
      </w:r>
      <w:r>
        <w:rPr>
          <w:rFonts w:asciiTheme="minorEastAsia" w:hAnsiTheme="minorEastAsia" w:eastAsiaTheme="minorEastAsia"/>
          <w:color w:val="auto"/>
          <w:sz w:val="24"/>
          <w:highlight w:val="none"/>
        </w:rPr>
        <w:t>CA 400-888-4636；天谷CA 400-087-8198。</w:t>
      </w:r>
    </w:p>
    <w:p>
      <w:pPr>
        <w:pStyle w:val="34"/>
        <w:spacing w:line="360" w:lineRule="auto"/>
        <w:ind w:firstLine="480" w:firstLineChars="200"/>
        <w:jc w:val="right"/>
        <w:rPr>
          <w:rFonts w:cs="仿宋_GB2312" w:asciiTheme="minorEastAsia" w:hAnsiTheme="minorEastAsia" w:eastAsiaTheme="minorEastAsia"/>
          <w:color w:val="auto"/>
          <w:sz w:val="24"/>
          <w:szCs w:val="24"/>
          <w:highlight w:val="none"/>
        </w:rPr>
      </w:pPr>
    </w:p>
    <w:p>
      <w:pPr>
        <w:pStyle w:val="34"/>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6"/>
          <w:szCs w:val="20"/>
          <w:highlight w:val="none"/>
        </w:rPr>
        <w:t>第二部分 竞争性磋商流程</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2"/>
        <w:numPr>
          <w:ilvl w:val="0"/>
          <w:numId w:val="0"/>
        </w:numPr>
        <w:spacing w:before="0"/>
        <w:ind w:left="480" w:leftChars="0"/>
        <w:rPr>
          <w:rFonts w:asciiTheme="minorEastAsia" w:hAnsiTheme="minorEastAsia" w:eastAsiaTheme="minorEastAsia"/>
          <w:color w:val="auto"/>
          <w:szCs w:val="24"/>
          <w:highlight w:val="none"/>
        </w:rPr>
      </w:pPr>
      <w:sdt>
        <w:sdtPr>
          <w:rPr>
            <w:rFonts w:hint="eastAsia" w:cs="宋体" w:asciiTheme="minorEastAsia" w:hAnsiTheme="minorEastAsia" w:eastAsiaTheme="minorEastAsia"/>
            <w:color w:val="auto"/>
            <w:kern w:val="0"/>
            <w:sz w:val="24"/>
            <w:highlight w:val="none"/>
          </w:rPr>
          <w:id w:val="34630645"/>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在省级以上人民政府财政部门指定的政府采购信息发布媒体上发布磋商公告，邀请符合相应资格条件的供应商参与竞争性磋商采购活动。</w:t>
      </w:r>
    </w:p>
    <w:p>
      <w:pPr>
        <w:pStyle w:val="392"/>
        <w:numPr>
          <w:ilvl w:val="0"/>
          <w:numId w:val="0"/>
        </w:numPr>
        <w:spacing w:before="0"/>
        <w:ind w:left="480" w:leftChars="0"/>
        <w:rPr>
          <w:rFonts w:asciiTheme="minorEastAsia" w:hAnsiTheme="minorEastAsia" w:eastAsiaTheme="minorEastAsia"/>
          <w:color w:val="auto"/>
          <w:szCs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asciiTheme="minorEastAsia" w:hAnsiTheme="minorEastAsia" w:eastAsiaTheme="minorEastAsia"/>
          <w:b/>
          <w:color w:val="auto"/>
          <w:szCs w:val="24"/>
          <w:highlight w:val="none"/>
        </w:rPr>
        <w:t>采用随机抽取方式邀请供应商的，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从省级以上财政部门建立的供应商库中随机抽取不少于3家符合相应资格条件的供应商参与竞争性磋商采购活动。</w:t>
      </w:r>
    </w:p>
    <w:p>
      <w:pPr>
        <w:pStyle w:val="392"/>
        <w:numPr>
          <w:ilvl w:val="0"/>
          <w:numId w:val="0"/>
        </w:numPr>
        <w:spacing w:before="0"/>
        <w:ind w:left="480" w:leftChars="0"/>
        <w:rPr>
          <w:rFonts w:asciiTheme="minorEastAsia" w:hAnsiTheme="minorEastAsia" w:eastAsiaTheme="minorEastAsia"/>
          <w:color w:val="auto"/>
          <w:szCs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asciiTheme="minorEastAsia" w:hAnsiTheme="minorEastAsia" w:eastAsiaTheme="minorEastAsia"/>
          <w:b/>
          <w:color w:val="auto"/>
          <w:szCs w:val="24"/>
          <w:highlight w:val="none"/>
        </w:rPr>
        <w:t>采用书面推荐方式邀请供应商的，</w:t>
      </w:r>
      <w:r>
        <w:rPr>
          <w:rFonts w:hint="eastAsia" w:asciiTheme="minorEastAsia" w:hAnsiTheme="minorEastAsia" w:eastAsiaTheme="minorEastAsia"/>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1"/>
          <w:rFonts w:hint="eastAsia" w:asciiTheme="minorEastAsia" w:hAnsiTheme="minorEastAsia" w:eastAsiaTheme="minorEastAsia"/>
          <w:snapToGrid/>
          <w:color w:val="auto"/>
          <w:sz w:val="24"/>
          <w:szCs w:val="24"/>
          <w:highlight w:val="none"/>
        </w:rPr>
        <w:t>www.creditchina.gov.cn</w:t>
      </w:r>
      <w:r>
        <w:rPr>
          <w:rStyle w:val="71"/>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宣布有关纪律以及磋商、评审工作程序。</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说明情况。</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利用政采云平台发起磋商邀请</w:t>
      </w:r>
      <w:r>
        <w:rPr>
          <w:rFonts w:hint="eastAsia" w:asciiTheme="minorEastAsia" w:hAnsiTheme="minorEastAsia" w:eastAsiaTheme="minorEastAsia"/>
          <w:color w:val="auto"/>
          <w:szCs w:val="24"/>
          <w:highlight w:val="none"/>
          <w:lang w:eastAsia="zh-CN"/>
        </w:rPr>
        <w:t>。</w:t>
      </w:r>
      <w:r>
        <w:rPr>
          <w:rFonts w:hint="eastAsia" w:asciiTheme="minorEastAsia" w:hAnsiTheme="minorEastAsia" w:eastAsiaTheme="minorEastAsia"/>
          <w:color w:val="auto"/>
          <w:szCs w:val="24"/>
          <w:highlight w:val="none"/>
          <w:lang w:val="en-US" w:eastAsia="zh-CN"/>
        </w:rPr>
        <w:t>视情况：</w:t>
      </w:r>
      <w:r>
        <w:rPr>
          <w:rFonts w:hint="eastAsia" w:asciiTheme="minorEastAsia" w:hAnsiTheme="minorEastAsia" w:eastAsiaTheme="minorEastAsia"/>
          <w:color w:val="auto"/>
          <w:szCs w:val="24"/>
          <w:highlight w:val="none"/>
        </w:rPr>
        <w:t>供应商</w:t>
      </w:r>
      <w:r>
        <w:rPr>
          <w:rFonts w:hint="eastAsia" w:asciiTheme="minorEastAsia" w:hAnsiTheme="minorEastAsia" w:eastAsiaTheme="minorEastAsia"/>
          <w:color w:val="auto"/>
          <w:szCs w:val="24"/>
          <w:highlight w:val="none"/>
          <w:lang w:val="en-US" w:eastAsia="zh-CN"/>
        </w:rPr>
        <w:t>可以</w:t>
      </w:r>
      <w:r>
        <w:rPr>
          <w:rFonts w:hint="eastAsia" w:asciiTheme="minorEastAsia" w:hAnsiTheme="minorEastAsia" w:eastAsiaTheme="minorEastAsia"/>
          <w:color w:val="auto"/>
          <w:szCs w:val="24"/>
          <w:highlight w:val="none"/>
        </w:rPr>
        <w:t>通过政采云“在线评审室”进行远程视频磋商。供应商使用CA数字证书登陆政采云平台——收到视频评审邀请——点击“视频评审”进入“视频评审系统”——开始远程磋商活动;对于要求到</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现场进行磋商的供应商，可在</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讲标室通过视频会议系统或自备CA数字证书、笔记本电脑等开展磋商活动</w:t>
      </w:r>
      <w:r>
        <w:rPr>
          <w:rFonts w:hint="eastAsia" w:asciiTheme="minorEastAsia" w:hAnsiTheme="minorEastAsia" w:eastAsiaTheme="minorEastAsia"/>
          <w:color w:val="auto"/>
          <w:szCs w:val="24"/>
          <w:highlight w:val="none"/>
          <w:lang w:eastAsia="zh-CN"/>
        </w:rPr>
        <w:t>；</w:t>
      </w:r>
      <w:r>
        <w:rPr>
          <w:rFonts w:hint="eastAsia" w:asciiTheme="minorEastAsia" w:hAnsiTheme="minorEastAsia" w:eastAsiaTheme="minorEastAsia"/>
          <w:color w:val="auto"/>
          <w:szCs w:val="24"/>
          <w:highlight w:val="none"/>
          <w:lang w:val="en-US" w:eastAsia="zh-CN"/>
        </w:rPr>
        <w:t>供应商也</w:t>
      </w:r>
      <w:r>
        <w:rPr>
          <w:rFonts w:hint="eastAsia" w:asciiTheme="minorEastAsia" w:hAnsiTheme="minorEastAsia" w:eastAsiaTheme="minorEastAsia"/>
          <w:color w:val="auto"/>
          <w:szCs w:val="24"/>
          <w:highlight w:val="none"/>
        </w:rPr>
        <w:t>可</w:t>
      </w:r>
      <w:r>
        <w:rPr>
          <w:rFonts w:hint="eastAsia" w:asciiTheme="minorEastAsia" w:hAnsiTheme="minorEastAsia" w:eastAsiaTheme="minorEastAsia"/>
          <w:color w:val="auto"/>
          <w:szCs w:val="24"/>
          <w:highlight w:val="none"/>
          <w:lang w:val="en-US" w:eastAsia="zh-CN"/>
        </w:rPr>
        <w:t>远程提供</w:t>
      </w:r>
      <w:r>
        <w:rPr>
          <w:rFonts w:hint="eastAsia" w:asciiTheme="minorEastAsia" w:hAnsiTheme="minorEastAsia" w:eastAsiaTheme="minorEastAsia"/>
          <w:color w:val="auto"/>
          <w:szCs w:val="24"/>
          <w:highlight w:val="none"/>
        </w:rPr>
        <w:t>会议系统或自备CA数字证书、笔记本电脑等开展磋商活动。</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唱价。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4.成交</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w:t>
      </w:r>
      <w:r>
        <w:rPr>
          <w:rFonts w:hint="eastAsia" w:asciiTheme="minorEastAsia" w:hAnsiTheme="minorEastAsia" w:eastAsiaTheme="minorEastAsia"/>
          <w:color w:val="auto"/>
          <w:szCs w:val="24"/>
          <w:highlight w:val="none"/>
          <w:lang w:val="en-US" w:eastAsia="zh-CN"/>
        </w:rPr>
        <w:t>30</w:t>
      </w:r>
      <w:r>
        <w:rPr>
          <w:rFonts w:hint="eastAsia" w:asciiTheme="minorEastAsia" w:hAnsiTheme="minorEastAsia" w:eastAsiaTheme="minorEastAsia"/>
          <w:color w:val="auto"/>
          <w:szCs w:val="24"/>
          <w:highlight w:val="none"/>
        </w:rPr>
        <w:t>日内签订政府采购合同。</w:t>
      </w:r>
    </w:p>
    <w:p>
      <w:pP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如果有</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widowControl/>
        <w:adjustRightInd/>
        <w:jc w:val="left"/>
        <w:rPr>
          <w:rFonts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第三部分</w:t>
      </w:r>
      <w:bookmarkEnd w:id="8"/>
      <w:r>
        <w:rPr>
          <w:rFonts w:hint="eastAsia" w:cs="仿宋_GB2312" w:asciiTheme="minorEastAsia" w:hAnsiTheme="minorEastAsia" w:eastAsiaTheme="minorEastAsia"/>
          <w:b/>
          <w:color w:val="auto"/>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3"/>
        <w:tblW w:w="85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3742"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tcBorders>
              <w:tl2br w:val="nil"/>
              <w:tr2bl w:val="nil"/>
            </w:tcBorders>
            <w:vAlign w:val="center"/>
          </w:tcPr>
          <w:p>
            <w:pPr>
              <w:snapToGrid w:val="0"/>
              <w:spacing w:line="360" w:lineRule="auto"/>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095" w:type="dxa"/>
            <w:tcBorders>
              <w:tl2br w:val="nil"/>
              <w:tr2bl w:val="nil"/>
            </w:tcBorders>
            <w:vAlign w:val="center"/>
          </w:tcPr>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（1）标的：</w:t>
            </w:r>
            <w:r>
              <w:rPr>
                <w:rFonts w:hint="eastAsia" w:cs="宋体" w:asciiTheme="minorEastAsia" w:hAnsiTheme="minorEastAsia" w:eastAsiaTheme="minorEastAsia"/>
                <w:color w:val="auto"/>
                <w:kern w:val="0"/>
                <w:sz w:val="24"/>
                <w:highlight w:val="none"/>
                <w:u w:val="single"/>
                <w:lang w:eastAsia="zh-CN"/>
              </w:rPr>
              <w:t>浙江省红十字生命教育体验馆运营维护项目</w:t>
            </w:r>
            <w:r>
              <w:rPr>
                <w:rFonts w:hint="eastAsia" w:cs="宋体" w:asciiTheme="minorEastAsia" w:hAnsiTheme="minorEastAsia" w:eastAsiaTheme="minorEastAsia"/>
                <w:color w:val="auto"/>
                <w:kern w:val="0"/>
                <w:sz w:val="24"/>
                <w:highlight w:val="none"/>
              </w:rPr>
              <w:t>，属于</w:t>
            </w:r>
            <w:r>
              <w:rPr>
                <w:rFonts w:hint="eastAsia" w:cs="宋体" w:asciiTheme="minorEastAsia" w:hAnsiTheme="minorEastAsia" w:eastAsiaTheme="minorEastAsia"/>
                <w:color w:val="auto"/>
                <w:kern w:val="0"/>
                <w:sz w:val="24"/>
                <w:highlight w:val="none"/>
                <w:u w:val="single"/>
              </w:rPr>
              <w:t>（十六）其他未列明</w:t>
            </w:r>
            <w:r>
              <w:rPr>
                <w:rFonts w:hint="eastAsia" w:cs="宋体" w:asciiTheme="minorEastAsia" w:hAnsiTheme="minorEastAsia" w:eastAsiaTheme="minorEastAsia"/>
                <w:color w:val="auto"/>
                <w:kern w:val="0"/>
                <w:sz w:val="24"/>
                <w:highlight w:val="none"/>
                <w:u w:val="none"/>
              </w:rPr>
              <w:t>行业</w:t>
            </w:r>
            <w:r>
              <w:rPr>
                <w:rFonts w:hint="eastAsia" w:cs="宋体" w:asciiTheme="minorEastAsia" w:hAnsiTheme="minorEastAsia" w:eastAsiaTheme="minorEastAsia"/>
                <w:color w:val="auto"/>
                <w:kern w:val="0"/>
                <w:sz w:val="24"/>
                <w:highlight w:val="none"/>
              </w:rPr>
              <w:t>；</w:t>
            </w:r>
          </w:p>
          <w:p>
            <w:pPr>
              <w:pStyle w:val="5"/>
              <w:numPr>
                <w:ilvl w:val="0"/>
                <w:numId w:val="0"/>
              </w:numPr>
              <w:jc w:val="both"/>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b w:val="0"/>
                <w:bCs w:val="0"/>
                <w:color w:val="auto"/>
                <w:kern w:val="0"/>
                <w:sz w:val="24"/>
                <w:szCs w:val="24"/>
                <w:highlight w:val="none"/>
                <w:u w:val="none"/>
                <w:lang w:val="en-US" w:eastAsia="zh-CN" w:bidi="ar-SA"/>
              </w:rPr>
              <w:t>注：根据《关于印发中小企业划型标准规定的通知》（工信部联企业〔2011〕300号），其他未列明行业：从业人员300人以下的为中小微型企业。其中，从业人员100人及以上的为中型企业；从业人员10人及以上的为小型企业；从业人员10人以下的为微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593"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tcBorders>
              <w:tl2br w:val="nil"/>
              <w:tr2bl w:val="nil"/>
            </w:tcBorders>
            <w:vAlign w:val="center"/>
          </w:tcPr>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本项目不允许采购进口产品。</w:t>
            </w:r>
          </w:p>
          <w:p>
            <w:pPr>
              <w:spacing w:line="360" w:lineRule="auto"/>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09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tcBorders>
              <w:tl2br w:val="nil"/>
              <w:tr2bl w:val="nil"/>
            </w:tcBorders>
            <w:vAlign w:val="center"/>
          </w:tcPr>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工作分包。</w:t>
            </w:r>
            <w:sdt>
              <w:sdtPr>
                <w:rPr>
                  <w:rFonts w:hint="eastAsia" w:cs="宋体" w:asciiTheme="minorEastAsia" w:hAnsiTheme="minorEastAsia" w:eastAsiaTheme="minorEastAsia"/>
                  <w:color w:val="auto"/>
                  <w:kern w:val="0"/>
                  <w:sz w:val="24"/>
                  <w:highlight w:val="none"/>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88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评审标准</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(6)采购活动结束后，对于未成交人提供的样品，采购人、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将通知未成交人在规定的时间内取回，逾期未取回的，采购人、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不负保管义务；对于成交人提供的样品，采购人将进行保管、封存，并作为履约验收的参考。</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（1）在评审时安排每个供应商进行方案讲解演示。每个供应商时间不超过20分钟，讲解次序以响应文件解密时间先后次序为准，讲解演示人员不超过3人。讲解演示结束后按要求解答评标委员会提问。</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方式二：现场讲解演示。现场讲解地点为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vMerge w:val="restart"/>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（1）资格证明文件：见招标文件第二部分11.1。</w:t>
            </w:r>
          </w:p>
          <w:p>
            <w:pPr>
              <w:spacing w:line="360" w:lineRule="auto"/>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vMerge w:val="continue"/>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p>
        </w:tc>
        <w:tc>
          <w:tcPr>
            <w:tcW w:w="6095" w:type="dxa"/>
            <w:tcBorders>
              <w:tl2br w:val="nil"/>
              <w:tr2bl w:val="nil"/>
            </w:tcBorders>
            <w:vAlign w:val="center"/>
          </w:tcPr>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tcBorders>
              <w:tl2br w:val="nil"/>
              <w:tr2bl w:val="nil"/>
            </w:tcBorders>
            <w:vAlign w:val="center"/>
          </w:tcPr>
          <w:p>
            <w:pPr>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最后报价要求</w:t>
            </w:r>
          </w:p>
        </w:tc>
        <w:tc>
          <w:tcPr>
            <w:tcW w:w="6095" w:type="dxa"/>
            <w:tcBorders>
              <w:tl2br w:val="nil"/>
              <w:tr2bl w:val="nil"/>
            </w:tcBorders>
            <w:vAlign w:val="center"/>
          </w:tcPr>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有关本项目实施所需的所有费用（含税费）均计入最后报价。《最后报价</w:t>
            </w:r>
            <w:r>
              <w:rPr>
                <w:rFonts w:hint="eastAsia" w:cs="宋体" w:asciiTheme="minorEastAsia" w:hAnsiTheme="minorEastAsia" w:eastAsiaTheme="minorEastAsia"/>
                <w:color w:val="auto"/>
                <w:sz w:val="24"/>
                <w:highlight w:val="none"/>
              </w:rPr>
              <w:t>一览表（报价表）</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sz w:val="24"/>
                <w:highlight w:val="none"/>
              </w:rPr>
              <w:t>是最后报价的唯一载体</w:t>
            </w:r>
            <w:r>
              <w:rPr>
                <w:rFonts w:hint="eastAsia" w:cs="宋体" w:asciiTheme="minorEastAsia" w:hAnsiTheme="minorEastAsia" w:eastAsiaTheme="minorEastAsia"/>
                <w:color w:val="auto"/>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color w:val="auto"/>
                <w:kern w:val="0"/>
                <w:sz w:val="24"/>
                <w:highlight w:val="none"/>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rPr>
              <w:t>;</w:t>
            </w:r>
          </w:p>
          <w:p>
            <w:pPr>
              <w:spacing w:line="360" w:lineRule="auto"/>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供应商对根据修正原则修正后的报价不确认的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tcBorders>
              <w:tl2br w:val="nil"/>
              <w:tr2bl w:val="nil"/>
            </w:tcBorders>
            <w:vAlign w:val="center"/>
          </w:tcPr>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095" w:type="dxa"/>
            <w:tcBorders>
              <w:tl2br w:val="nil"/>
              <w:tr2bl w:val="nil"/>
            </w:tcBorders>
            <w:vAlign w:val="center"/>
          </w:tcPr>
          <w:p>
            <w:pPr>
              <w:pStyle w:val="34"/>
              <w:spacing w:line="360" w:lineRule="auto"/>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color w:val="auto"/>
                <w:kern w:val="28"/>
                <w:sz w:val="24"/>
                <w:szCs w:val="24"/>
                <w:highlight w:val="none"/>
              </w:rPr>
              <w:t>备份响应文件送达地点：</w:t>
            </w:r>
            <w:r>
              <w:rPr>
                <w:rFonts w:hint="eastAsia" w:cs="宋体" w:asciiTheme="minorEastAsia" w:hAnsiTheme="minorEastAsia" w:eastAsiaTheme="minorEastAsia"/>
                <w:color w:val="auto"/>
                <w:sz w:val="24"/>
                <w:highlight w:val="none"/>
                <w:u w:val="single"/>
                <w:lang w:val="en-US" w:eastAsia="zh-CN"/>
              </w:rPr>
              <w:t>浙江省杭州市拱墅区文晖路183号中国通信服务浙江产业园6楼</w:t>
            </w:r>
            <w:r>
              <w:rPr>
                <w:rFonts w:hint="eastAsia" w:cs="宋体" w:asciiTheme="minorEastAsia" w:hAnsiTheme="minorEastAsia" w:eastAsiaTheme="minorEastAsia"/>
                <w:color w:val="auto"/>
                <w:kern w:val="28"/>
                <w:sz w:val="24"/>
                <w:szCs w:val="24"/>
                <w:highlight w:val="none"/>
              </w:rPr>
              <w:t>；备份响应文件签收人员联系电话：</w:t>
            </w:r>
            <w:r>
              <w:rPr>
                <w:rFonts w:hint="eastAsia" w:cs="宋体" w:asciiTheme="minorEastAsia" w:hAnsiTheme="minorEastAsia" w:eastAsiaTheme="minorEastAsia"/>
                <w:color w:val="auto"/>
                <w:kern w:val="28"/>
                <w:sz w:val="24"/>
                <w:szCs w:val="24"/>
                <w:highlight w:val="none"/>
                <w:u w:val="single"/>
              </w:rPr>
              <w:t>陈涵珺，15395821972</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不强制或变相强制供应商提交备份响应文件。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2" w:hRule="atLeast"/>
        </w:trPr>
        <w:tc>
          <w:tcPr>
            <w:tcW w:w="629" w:type="dxa"/>
            <w:tcBorders>
              <w:tl2br w:val="nil"/>
              <w:tr2bl w:val="nil"/>
            </w:tcBorders>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w:t>
            </w:r>
          </w:p>
        </w:tc>
        <w:tc>
          <w:tcPr>
            <w:tcW w:w="1843" w:type="dxa"/>
            <w:tcBorders>
              <w:tl2br w:val="nil"/>
              <w:tr2bl w:val="nil"/>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采购代理服务费</w:t>
            </w:r>
          </w:p>
        </w:tc>
        <w:tc>
          <w:tcPr>
            <w:tcW w:w="6095" w:type="dxa"/>
            <w:tcBorders>
              <w:tl2br w:val="nil"/>
              <w:tr2bl w:val="nil"/>
            </w:tcBorders>
            <w:vAlign w:val="center"/>
          </w:tcPr>
          <w:p>
            <w:pPr>
              <w:pStyle w:val="34"/>
              <w:spacing w:line="360" w:lineRule="auto"/>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定额叁仟元整。</w:t>
            </w:r>
          </w:p>
          <w:p>
            <w:pPr>
              <w:pStyle w:val="34"/>
              <w:spacing w:line="360" w:lineRule="auto"/>
              <w:rPr>
                <w:rFonts w:ascii="宋体" w:hAnsi="宋体" w:cs="宋体"/>
                <w:snapToGrid w:val="0"/>
                <w:color w:val="auto"/>
                <w:kern w:val="28"/>
                <w:sz w:val="24"/>
                <w:highlight w:val="none"/>
              </w:rPr>
            </w:pPr>
            <w:r>
              <w:rPr>
                <w:rFonts w:hint="eastAsia" w:cs="宋体" w:asciiTheme="minorEastAsia" w:hAnsiTheme="minorEastAsia" w:eastAsiaTheme="minorEastAsia"/>
                <w:color w:val="auto"/>
                <w:kern w:val="28"/>
                <w:sz w:val="24"/>
                <w:szCs w:val="24"/>
                <w:highlight w:val="none"/>
              </w:rPr>
              <w:t>结算方式及时间为：在领取中标通知书时由中标人一次性向采购代理机构付清。(开户名：浙江正浩招标代理有限公司,开户银行：浙商银行杭州分行营业部，账户号码：3310010010120101045391)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2" w:hRule="atLeast"/>
        </w:trPr>
        <w:tc>
          <w:tcPr>
            <w:tcW w:w="629" w:type="dxa"/>
            <w:vMerge w:val="restart"/>
            <w:tcBorders>
              <w:tl2br w:val="nil"/>
              <w:tr2bl w:val="nil"/>
            </w:tcBorders>
            <w:vAlign w:val="center"/>
          </w:tcPr>
          <w:p>
            <w:pPr>
              <w:snapToGrid w:val="0"/>
              <w:spacing w:line="360" w:lineRule="auto"/>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14</w:t>
            </w:r>
          </w:p>
        </w:tc>
        <w:tc>
          <w:tcPr>
            <w:tcW w:w="1843" w:type="dxa"/>
            <w:vMerge w:val="restart"/>
            <w:tcBorders>
              <w:tl2br w:val="nil"/>
              <w:tr2bl w:val="nil"/>
            </w:tcBorders>
            <w:vAlign w:val="center"/>
          </w:tcPr>
          <w:p>
            <w:pPr>
              <w:snapToGrid w:val="0"/>
              <w:spacing w:line="360" w:lineRule="auto"/>
              <w:jc w:val="center"/>
              <w:rPr>
                <w:rFonts w:hint="eastAsia"/>
                <w:color w:val="auto"/>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l2br w:val="nil"/>
              <w:tr2bl w:val="nil"/>
            </w:tcBorders>
            <w:vAlign w:val="center"/>
          </w:tcPr>
          <w:p>
            <w:pPr>
              <w:spacing w:line="360" w:lineRule="auto"/>
              <w:rPr>
                <w:rFonts w:hint="default" w:cs="宋体" w:asciiTheme="minorEastAsia" w:hAnsiTheme="minorEastAsia" w:eastAsiaTheme="minorEastAsia"/>
                <w:snapToGrid w:val="0"/>
                <w:color w:val="auto"/>
                <w:kern w:val="28"/>
                <w:sz w:val="24"/>
                <w:highlight w:val="none"/>
                <w:lang w:val="en-US" w:eastAsia="zh-CN"/>
              </w:rPr>
            </w:pPr>
            <w:sdt>
              <w:sdtPr>
                <w:rPr>
                  <w:rFonts w:hint="eastAsia" w:cs="Arial" w:asciiTheme="minorEastAsia" w:hAnsiTheme="minorEastAsia" w:eastAsiaTheme="minorEastAsia"/>
                  <w:color w:val="auto"/>
                  <w:kern w:val="0"/>
                  <w:sz w:val="24"/>
                  <w:highlight w:val="none"/>
                </w:rPr>
                <w:id w:val="-1816336663"/>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snapToGrid w:val="0"/>
                <w:color w:val="auto"/>
                <w:kern w:val="28"/>
                <w:sz w:val="24"/>
                <w:highlight w:val="none"/>
                <w:lang w:val="en-US" w:eastAsia="zh-CN"/>
              </w:rPr>
              <w:t>本项目不接受联合体投标</w:t>
            </w:r>
          </w:p>
          <w:p>
            <w:pPr>
              <w:spacing w:line="360" w:lineRule="auto"/>
              <w:rPr>
                <w:rFonts w:hint="eastAsia" w:cs="宋体" w:asciiTheme="minorEastAsia" w:hAnsiTheme="minorEastAsia" w:eastAsiaTheme="minorEastAsia"/>
                <w:color w:val="auto"/>
                <w:kern w:val="28"/>
                <w:sz w:val="24"/>
                <w:szCs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2" w:hRule="atLeast"/>
        </w:trPr>
        <w:tc>
          <w:tcPr>
            <w:tcW w:w="629" w:type="dxa"/>
            <w:vMerge w:val="continue"/>
            <w:tcBorders>
              <w:tl2br w:val="nil"/>
              <w:tr2bl w:val="nil"/>
            </w:tcBorders>
            <w:vAlign w:val="center"/>
          </w:tcPr>
          <w:p>
            <w:pPr>
              <w:snapToGrid w:val="0"/>
              <w:spacing w:line="360" w:lineRule="auto"/>
              <w:jc w:val="center"/>
              <w:rPr>
                <w:rFonts w:hint="eastAsia" w:cs="宋体" w:asciiTheme="minorEastAsia" w:hAnsiTheme="minorEastAsia" w:eastAsiaTheme="minorEastAsia"/>
                <w:color w:val="auto"/>
                <w:sz w:val="24"/>
                <w:highlight w:val="none"/>
              </w:rPr>
            </w:pPr>
          </w:p>
        </w:tc>
        <w:tc>
          <w:tcPr>
            <w:tcW w:w="1843" w:type="dxa"/>
            <w:vMerge w:val="continue"/>
            <w:tcBorders>
              <w:tl2br w:val="nil"/>
              <w:tr2bl w:val="nil"/>
            </w:tcBorders>
            <w:vAlign w:val="center"/>
          </w:tcPr>
          <w:p>
            <w:pPr>
              <w:snapToGrid w:val="0"/>
              <w:spacing w:line="360" w:lineRule="auto"/>
              <w:jc w:val="center"/>
              <w:rPr>
                <w:rFonts w:hint="eastAsia" w:cs="宋体" w:asciiTheme="minorEastAsia" w:hAnsiTheme="minorEastAsia" w:eastAsiaTheme="minorEastAsia"/>
                <w:b/>
                <w:color w:val="auto"/>
                <w:sz w:val="24"/>
                <w:highlight w:val="none"/>
              </w:rPr>
            </w:pPr>
          </w:p>
        </w:tc>
        <w:tc>
          <w:tcPr>
            <w:tcW w:w="6095" w:type="dxa"/>
            <w:tcBorders>
              <w:tl2br w:val="nil"/>
              <w:tr2bl w:val="nil"/>
            </w:tcBorders>
            <w:vAlign w:val="center"/>
          </w:tcPr>
          <w:p>
            <w:pPr>
              <w:spacing w:line="360" w:lineRule="auto"/>
              <w:rPr>
                <w:rFonts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snapToGrid w:val="0"/>
                <w:color w:val="auto"/>
                <w:kern w:val="28"/>
                <w:sz w:val="24"/>
                <w:highlight w:val="none"/>
              </w:rPr>
              <w:t>联合体响应的，联合体各方均需按磋商文件第五部分评审标准要求提供资信证明文件，否则视为不符合相关要求。</w:t>
            </w:r>
          </w:p>
          <w:p>
            <w:pPr>
              <w:spacing w:line="360" w:lineRule="auto"/>
              <w:rPr>
                <w:rFonts w:hint="eastAsia"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snapToGrid w:val="0"/>
                <w:color w:val="auto"/>
                <w:kern w:val="28"/>
                <w:sz w:val="24"/>
                <w:highlight w:val="none"/>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color w:val="auto"/>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napToGrid w:val="0"/>
        <w:spacing w:line="360" w:lineRule="auto"/>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w:t>
      </w:r>
      <w:r>
        <w:rPr>
          <w:rFonts w:hint="eastAsia" w:cs="Arial" w:asciiTheme="minorEastAsia" w:hAnsiTheme="minorEastAsia" w:eastAsiaTheme="minorEastAsia"/>
          <w:color w:val="auto"/>
          <w:kern w:val="0"/>
          <w:sz w:val="24"/>
          <w:highlight w:val="none"/>
          <w:lang w:val="en-US" w:eastAsia="zh-CN"/>
        </w:rPr>
        <w:t>采购代理机构</w:t>
      </w:r>
      <w:r>
        <w:rPr>
          <w:rFonts w:hint="eastAsia" w:asciiTheme="minorEastAsia" w:hAnsiTheme="minorEastAsia" w:eastAsiaTheme="minorEastAsia"/>
          <w:color w:val="auto"/>
          <w:sz w:val="24"/>
          <w:highlight w:val="none"/>
        </w:rPr>
        <w:t>”系指磋商邀请公告中载明的本项目的</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2.7“电子交易平台”是指本项目政府采购活动所依托的政府采购云平台（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hint="eastAsia" w:cs="Times New Roman" w:asciiTheme="minorEastAsia" w:hAnsiTheme="minorEastAsia" w:eastAsiaTheme="minorEastAsia"/>
          <w:snapToGrid/>
          <w:color w:val="auto"/>
          <w:kern w:val="2"/>
          <w:sz w:val="24"/>
          <w:szCs w:val="24"/>
          <w:highlight w:val="none"/>
        </w:rPr>
        <w:t>https://www.zcygov.cn/</w:t>
      </w:r>
      <w:r>
        <w:rPr>
          <w:rStyle w:val="71"/>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2.10“▲”系指实质性要求条款，“※”系指磋商过程中可能实质性变动的内容，</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ascii="Wingdings" w:hAnsi="Wingdings" w:cs="宋体" w:eastAsiaTheme="minorEastAsia"/>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”系指不适用本项目的要求。</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3.响应有效期</w:t>
      </w:r>
    </w:p>
    <w:p>
      <w:pP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4"/>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4"/>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优先采购绿色包装产品、绿色物流配送服务以及循环利用产品。</w:t>
      </w:r>
    </w:p>
    <w:p>
      <w:pPr>
        <w:pStyle w:val="34"/>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4"/>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4"/>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提出质疑，否则，采购人或者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不予受理：</w:t>
      </w:r>
    </w:p>
    <w:p>
      <w:pPr>
        <w:pStyle w:val="2"/>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4"/>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4"/>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4"/>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4"/>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4"/>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4"/>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4"/>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4"/>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4"/>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4"/>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4"/>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4"/>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bl>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3.2.2采购人或者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应当在收到供应商的书面质疑后七个工作日内作出答复，并以书面形式通知质疑供应商和其他与质疑处理结果有利害关系的政府采购当事人，但答复的内容不得涉及商业秘密。3. 2.3询问或者质疑事项可能影响采购结果的，采购人应当暂停签订合同，已经签订合同的，应当中止履行合同。</w:t>
      </w:r>
    </w:p>
    <w:p>
      <w:pPr>
        <w:pStyle w:val="34"/>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4"/>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4.5浙江省本级、杭州市本级、拱墅区、富阳区政府采购项目投诉材料可寄送浙江省政府采购行政裁决服务中心（杭州），地址：杭州市上城区四季青街道新业路市民之家G03办公室，收件人：朱女士，电话：15121014815。</w:t>
      </w:r>
    </w:p>
    <w:p>
      <w:pPr>
        <w:pStyle w:val="34"/>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4"/>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4"/>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4"/>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2"/>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提出。</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lang w:eastAsia="zh-CN"/>
        </w:rPr>
        <w:t>采购代理机构</w:t>
      </w:r>
      <w:r>
        <w:rPr>
          <w:rFonts w:hint="eastAsia" w:cs="宋体" w:asciiTheme="minorEastAsia" w:hAnsiTheme="minorEastAsia" w:eastAsiaTheme="minorEastAsia"/>
          <w:color w:val="auto"/>
          <w:highlight w:val="none"/>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应当顺延提交首次响应文件截止时间。</w:t>
      </w:r>
    </w:p>
    <w:p>
      <w:pPr>
        <w:pStyle w:val="392"/>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pStyle w:val="23"/>
        <w:rPr>
          <w:rFonts w:cs="仿宋_GB2312" w:asciiTheme="minorEastAsia" w:hAnsiTheme="minorEastAsia" w:eastAsiaTheme="minorEastAsia"/>
          <w:color w:val="auto"/>
          <w:sz w:val="18"/>
          <w:szCs w:val="18"/>
          <w:highlight w:val="none"/>
          <w:lang w:val="en-US"/>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4"/>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4"/>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4"/>
        <w:spacing w:line="360" w:lineRule="auto"/>
        <w:ind w:firstLine="480" w:firstLineChars="200"/>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本项目需提供《中小企业声明函》</w:t>
      </w:r>
      <w:r>
        <w:rPr>
          <w:rFonts w:hint="eastAsia" w:cs="宋体" w:asciiTheme="minorEastAsia" w:hAnsiTheme="minorEastAsia" w:eastAsiaTheme="minorEastAsia"/>
          <w:snapToGrid w:val="0"/>
          <w:color w:val="auto"/>
          <w:kern w:val="28"/>
          <w:sz w:val="24"/>
          <w:highlight w:val="none"/>
        </w:rPr>
        <w:t>；</w:t>
      </w:r>
    </w:p>
    <w:p>
      <w:pPr>
        <w:pStyle w:val="34"/>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highlight w:val="none"/>
        </w:rPr>
        <w:t>所有资信文件</w:t>
      </w:r>
      <w:r>
        <w:rPr>
          <w:rFonts w:hint="eastAsia" w:cs="宋体" w:asciiTheme="minorEastAsia" w:hAnsiTheme="minorEastAsia" w:eastAsiaTheme="minorEastAsia"/>
          <w:color w:val="auto"/>
          <w:kern w:val="0"/>
          <w:sz w:val="24"/>
          <w:highlight w:val="none"/>
        </w:rPr>
        <w:t>（如果有）；</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w:t>
      </w:r>
      <w:r>
        <w:rPr>
          <w:rFonts w:hint="eastAsia" w:cs="宋体" w:asciiTheme="minorEastAsia" w:hAnsiTheme="minorEastAsia" w:eastAsiaTheme="minorEastAsia"/>
          <w:color w:val="auto"/>
          <w:kern w:val="0"/>
          <w:sz w:val="24"/>
          <w:highlight w:val="none"/>
          <w:lang w:val="en-US" w:eastAsia="zh-CN"/>
        </w:rPr>
        <w:t>5</w:t>
      </w:r>
      <w:r>
        <w:rPr>
          <w:rFonts w:hint="eastAsia" w:cs="宋体" w:asciiTheme="minorEastAsia" w:hAnsiTheme="minorEastAsia" w:eastAsiaTheme="minorEastAsia"/>
          <w:color w:val="auto"/>
          <w:kern w:val="0"/>
          <w:sz w:val="24"/>
          <w:highlight w:val="none"/>
        </w:rPr>
        <w:t>）</w:t>
      </w:r>
      <w:r>
        <w:rPr>
          <w:rFonts w:hint="eastAsia" w:asciiTheme="minorEastAsia" w:hAnsiTheme="minorEastAsia" w:eastAsiaTheme="minorEastAsia"/>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snapToGrid w:val="0"/>
          <w:color w:val="auto"/>
          <w:sz w:val="24"/>
          <w:highlight w:val="none"/>
          <w:lang w:val="en-US" w:eastAsia="zh-CN"/>
        </w:rPr>
        <w:t>6</w:t>
      </w:r>
      <w:r>
        <w:rPr>
          <w:rFonts w:hint="eastAsia" w:asciiTheme="minorEastAsia" w:hAnsiTheme="minorEastAsia" w:eastAsiaTheme="minorEastAsia"/>
          <w:snapToGrid w:val="0"/>
          <w:color w:val="auto"/>
          <w:sz w:val="24"/>
          <w:highlight w:val="none"/>
        </w:rPr>
        <w:t>）</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kern w:val="0"/>
          <w:sz w:val="24"/>
          <w:highlight w:val="none"/>
          <w:lang w:val="zh-CN"/>
        </w:rPr>
        <w:t>认为需要的其他商务文件或说明 (如果有) ；</w:t>
      </w:r>
    </w:p>
    <w:p>
      <w:pPr>
        <w:pStyle w:val="34"/>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lang w:val="en-US" w:eastAsia="zh-CN"/>
        </w:rPr>
        <w:t>8</w:t>
      </w: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sz w:val="24"/>
          <w:highlight w:val="none"/>
          <w:lang w:val="zh-CN"/>
        </w:rPr>
        <w:t>服务方案。针对本项目的完整服务方案和实施方案；详细阐述项目方案的实现思路及关键技术；符合本项目对当前和未来发展的要求；以及对功能设计和实施计划的建议；</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lang w:val="en-US" w:eastAsia="zh-CN"/>
        </w:rPr>
        <w:t>9</w:t>
      </w:r>
      <w:r>
        <w:rPr>
          <w:rFonts w:hint="eastAsia" w:asciiTheme="minorEastAsia" w:hAnsiTheme="minorEastAsia" w:eastAsiaTheme="minorEastAsia"/>
          <w:color w:val="auto"/>
          <w:kern w:val="0"/>
          <w:sz w:val="24"/>
          <w:highlight w:val="none"/>
          <w:lang w:val="zh-CN"/>
        </w:rPr>
        <w:t>）组织实施方案。本项目详细工作实施组织方案，包括(但不限于)以下内容：组织机构、工作时间进度表、工作程序和步骤、管理和协调方法、关键步骤的思路和要点；</w:t>
      </w:r>
    </w:p>
    <w:p>
      <w:pPr>
        <w:pStyle w:val="34"/>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w:t>
      </w:r>
      <w:r>
        <w:rPr>
          <w:rFonts w:hint="eastAsia" w:asciiTheme="minorEastAsia" w:hAnsiTheme="minorEastAsia" w:eastAsiaTheme="minorEastAsia"/>
          <w:color w:val="auto"/>
          <w:kern w:val="0"/>
          <w:sz w:val="24"/>
          <w:highlight w:val="none"/>
          <w:lang w:val="en-US" w:eastAsia="zh-CN"/>
        </w:rPr>
        <w:t>0）</w:t>
      </w:r>
      <w:r>
        <w:rPr>
          <w:rFonts w:hint="eastAsia" w:asciiTheme="minorEastAsia" w:hAnsiTheme="minorEastAsia" w:eastAsiaTheme="minorEastAsia"/>
          <w:color w:val="auto"/>
          <w:kern w:val="0"/>
          <w:sz w:val="24"/>
          <w:highlight w:val="none"/>
          <w:lang w:val="zh-CN"/>
        </w:rPr>
        <w:t>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color w:val="auto"/>
          <w:kern w:val="0"/>
          <w:sz w:val="24"/>
          <w:highlight w:val="none"/>
          <w:lang w:val="zh-CN"/>
        </w:rPr>
        <w:t>资质情况等</w:t>
      </w:r>
      <w:r>
        <w:rPr>
          <w:rFonts w:hint="eastAsia" w:asciiTheme="minorEastAsia" w:hAnsiTheme="minorEastAsia" w:eastAsiaTheme="minorEastAsia"/>
          <w:color w:val="auto"/>
          <w:kern w:val="0"/>
          <w:sz w:val="24"/>
          <w:highlight w:val="none"/>
          <w:lang w:val="zh-CN"/>
        </w:rPr>
        <w:t>；</w:t>
      </w:r>
    </w:p>
    <w:p>
      <w:pPr>
        <w:pStyle w:val="34"/>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4"/>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12</w:t>
      </w:r>
      <w:r>
        <w:rPr>
          <w:rFonts w:hint="eastAsia"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4"/>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2"/>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pStyle w:val="34"/>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2"/>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可以视情况延长提交响应文件的截止时间。在上述情况下，</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与供应商以前在响应截止期方面的全部权利、责任和义务，将适用于延长至新的响应截止期。</w:t>
      </w:r>
    </w:p>
    <w:p>
      <w:pPr>
        <w:pStyle w:val="34"/>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4"/>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供应商在电子交易平台传输提交响应文件后，还可以在响应截止时间前直接提交或者以快递方式递交备份响应文件1份，</w:t>
      </w:r>
      <w:r>
        <w:rPr>
          <w:rFonts w:hint="eastAsia" w:cs="仿宋_GB2312" w:asciiTheme="minorEastAsia" w:hAnsiTheme="minorEastAsia" w:eastAsiaTheme="minorEastAsia"/>
          <w:b/>
          <w:color w:val="auto"/>
          <w:sz w:val="24"/>
          <w:szCs w:val="24"/>
          <w:highlight w:val="none"/>
        </w:rPr>
        <w:t>但采购人、</w:t>
      </w:r>
      <w:r>
        <w:rPr>
          <w:rFonts w:hint="eastAsia" w:cs="仿宋_GB2312" w:asciiTheme="minorEastAsia" w:hAnsiTheme="minorEastAsia" w:eastAsiaTheme="minorEastAsia"/>
          <w:b/>
          <w:color w:val="auto"/>
          <w:sz w:val="24"/>
          <w:szCs w:val="24"/>
          <w:highlight w:val="none"/>
          <w:lang w:eastAsia="zh-CN"/>
        </w:rPr>
        <w:t>采购代理机构</w:t>
      </w:r>
      <w:r>
        <w:rPr>
          <w:rFonts w:hint="eastAsia" w:cs="仿宋_GB2312" w:asciiTheme="minorEastAsia" w:hAnsiTheme="minorEastAsia" w:eastAsiaTheme="minorEastAsia"/>
          <w:b/>
          <w:color w:val="auto"/>
          <w:sz w:val="24"/>
          <w:szCs w:val="24"/>
          <w:highlight w:val="none"/>
        </w:rPr>
        <w:t>不强制或变相强制供应商提交备份响应文件。</w:t>
      </w:r>
    </w:p>
    <w:p>
      <w:pPr>
        <w:pStyle w:val="34"/>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备份响应文件须在“政采云投标客户端”制作生成，并储存在不可修改的</w:t>
      </w:r>
      <w:r>
        <w:rPr>
          <w:rFonts w:hint="eastAsia" w:asciiTheme="minorEastAsia" w:hAnsiTheme="minorEastAsia" w:eastAsiaTheme="minorEastAsia"/>
          <w:b/>
          <w:color w:val="auto"/>
          <w:sz w:val="24"/>
          <w:highlight w:val="none"/>
          <w:u w:val="single"/>
        </w:rPr>
        <w:t>电子光盘</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4"/>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w:t>
      </w:r>
    </w:p>
    <w:p>
      <w:pPr>
        <w:pStyle w:val="34"/>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以快递方式递交备份响应文件的，供应商应先将备份响应文件按要求密封和标记，再进行快递包装后邮寄。备份响应文件须在提交响应文件截止时间之前送达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将拒绝接受逾期送达的备份响应文件。邮寄过程中，电子备份响应文件发生泄露、遗失、损坏或延期送达等情况的，由供应商自行负责。</w:t>
      </w:r>
    </w:p>
    <w:p>
      <w:pPr>
        <w:pStyle w:val="34"/>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4"/>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4"/>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 xml:space="preserve">1.1 </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4"/>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依托电子交易平台发起开始解密指令，供应商按照平台提示和磋商文件的规定在半小时内完成在线解密。</w:t>
      </w:r>
    </w:p>
    <w:p>
      <w:pPr>
        <w:pStyle w:val="34"/>
        <w:spacing w:line="360" w:lineRule="auto"/>
        <w:ind w:firstLine="361"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71"/>
          <w:rFonts w:hint="eastAsia" w:asciiTheme="minorEastAsia" w:hAnsiTheme="minorEastAsia" w:eastAsiaTheme="minorEastAsia"/>
          <w:snapToGrid/>
          <w:color w:val="auto"/>
          <w:sz w:val="24"/>
          <w:szCs w:val="24"/>
          <w:highlight w:val="none"/>
        </w:rPr>
        <w:t>www.creditchina.gov.cn</w:t>
      </w:r>
      <w:r>
        <w:rPr>
          <w:rStyle w:val="71"/>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4"/>
        <w:spacing w:line="360" w:lineRule="auto"/>
        <w:rPr>
          <w:rFonts w:cs="仿宋_GB2312" w:asciiTheme="minorEastAsia" w:hAnsiTheme="minorEastAsia" w:eastAsiaTheme="minorEastAsia"/>
          <w:b/>
          <w:color w:val="auto"/>
          <w:sz w:val="24"/>
          <w:szCs w:val="24"/>
          <w:highlight w:val="none"/>
        </w:rPr>
      </w:pPr>
    </w:p>
    <w:p>
      <w:pPr>
        <w:adjustRightInd/>
        <w:spacing w:line="360" w:lineRule="auto"/>
        <w:jc w:val="center"/>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4"/>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2"/>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2"/>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2"/>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4"/>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4"/>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pacing w:line="360" w:lineRule="auto"/>
        <w:ind w:firstLine="360" w:firstLineChars="150"/>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lang w:eastAsia="zh-CN"/>
        </w:rPr>
        <w:t>采购代理机构</w:t>
      </w:r>
      <w:r>
        <w:rPr>
          <w:rFonts w:hint="eastAsia" w:ascii="宋体" w:hAnsi="宋体" w:cs="宋体"/>
          <w:color w:val="auto"/>
          <w:sz w:val="24"/>
          <w:highlight w:val="none"/>
        </w:rPr>
        <w:t>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color w:val="auto"/>
          <w:sz w:val="24"/>
          <w:highlight w:val="none"/>
        </w:rPr>
        <w:t>资格审查情况、评审专家抽取规则、符合性审查情况、</w:t>
      </w:r>
      <w:bookmarkEnd w:id="53"/>
      <w:r>
        <w:rPr>
          <w:rFonts w:hint="eastAsia" w:cs="宋体" w:asciiTheme="minorEastAsia" w:hAnsiTheme="minorEastAsia" w:eastAsiaTheme="minorEastAsia"/>
          <w:color w:val="auto"/>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snapToGrid w:val="0"/>
        <w:spacing w:line="360" w:lineRule="auto"/>
        <w:jc w:val="center"/>
        <w:outlineLvl w:val="0"/>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w:t>
      </w:r>
      <w:r>
        <w:rPr>
          <w:rFonts w:hint="eastAsia" w:asciiTheme="minorEastAsia" w:hAnsiTheme="minorEastAsia" w:eastAsiaTheme="minorEastAsia"/>
          <w:color w:val="auto"/>
          <w:sz w:val="24"/>
          <w:highlight w:val="none"/>
          <w:lang w:val="en-US" w:eastAsia="zh-CN"/>
        </w:rPr>
        <w:t xml:space="preserve"> </w:t>
      </w:r>
      <w:r>
        <w:rPr>
          <w:rFonts w:hint="eastAsia" w:asciiTheme="minorEastAsia" w:hAnsiTheme="minorEastAsia" w:eastAsiaTheme="minorEastAsia"/>
          <w:color w:val="auto"/>
          <w:sz w:val="24"/>
          <w:highlight w:val="none"/>
        </w:rPr>
        <w:t>拟签订的合同文本”。</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w:t>
      </w:r>
      <w:r>
        <w:rPr>
          <w:rFonts w:hint="eastAsia" w:cs="宋体" w:asciiTheme="minorEastAsia" w:hAnsiTheme="minorEastAsia" w:eastAsiaTheme="minorEastAsia"/>
          <w:color w:val="auto"/>
          <w:kern w:val="0"/>
          <w:sz w:val="24"/>
          <w:highlight w:val="none"/>
          <w:lang w:val="en-US" w:eastAsia="zh-CN"/>
        </w:rPr>
        <w:t>30</w:t>
      </w:r>
      <w:r>
        <w:rPr>
          <w:rFonts w:hint="eastAsia" w:cs="宋体" w:asciiTheme="minorEastAsia" w:hAnsiTheme="minorEastAsia" w:eastAsiaTheme="minorEastAsia"/>
          <w:color w:val="auto"/>
          <w:kern w:val="0"/>
          <w:sz w:val="24"/>
          <w:highlight w:val="none"/>
        </w:rPr>
        <w:t>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磋商文件、响应文件等内容通过政府采购电子交易平台在线签订，备案。</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spacing w:line="360" w:lineRule="auto"/>
        <w:ind w:firstLine="482"/>
        <w:rPr>
          <w:rFonts w:cs="Helvetica" w:asciiTheme="minorEastAsia" w:hAnsiTheme="minorEastAsia" w:eastAsiaTheme="minorEastAsia"/>
          <w:color w:val="auto"/>
          <w:kern w:val="0"/>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3"/>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highlight w:val="none"/>
          <w:lang w:eastAsia="zh-CN"/>
        </w:rPr>
        <w:t>采购代理机构</w:t>
      </w:r>
      <w:r>
        <w:rPr>
          <w:rFonts w:hint="eastAsia" w:cs="Helvetica" w:asciiTheme="minorEastAsia" w:hAnsiTheme="minorEastAsia" w:eastAsiaTheme="minorEastAsia"/>
          <w:color w:val="auto"/>
          <w:kern w:val="0"/>
          <w:sz w:val="24"/>
          <w:highlight w:val="none"/>
        </w:rPr>
        <w:t>可中止电子交易活动：</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290"/>
      <w:bookmarkEnd w:id="54"/>
      <w:bookmarkStart w:id="55" w:name="_Hlt74707468"/>
      <w:bookmarkEnd w:id="55"/>
      <w:bookmarkStart w:id="56" w:name="_Hlt75236101"/>
      <w:bookmarkEnd w:id="56"/>
      <w:bookmarkStart w:id="57" w:name="_Hlt75236011"/>
      <w:bookmarkEnd w:id="57"/>
      <w:bookmarkStart w:id="58" w:name="_Hlt74714665"/>
      <w:bookmarkEnd w:id="58"/>
      <w:bookmarkStart w:id="59" w:name="_Hlt68072990"/>
      <w:bookmarkEnd w:id="59"/>
      <w:bookmarkStart w:id="60" w:name="_Hlt74729768"/>
      <w:bookmarkEnd w:id="60"/>
      <w:bookmarkStart w:id="61" w:name="_Hlt68057669"/>
      <w:bookmarkEnd w:id="61"/>
      <w:bookmarkStart w:id="62" w:name="_Hlt74730295"/>
      <w:bookmarkEnd w:id="62"/>
      <w:bookmarkStart w:id="63" w:name="第三部分"/>
      <w:bookmarkStart w:id="64" w:name="_Toc164416483"/>
      <w:r>
        <w:rPr>
          <w:rFonts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第四部分  采购需求</w:t>
      </w:r>
    </w:p>
    <w:p>
      <w:pPr>
        <w:keepNext w:val="0"/>
        <w:keepLines w:val="0"/>
        <w:pageBreakBefore w:val="0"/>
        <w:widowControl w:val="0"/>
        <w:kinsoku/>
        <w:wordWrap/>
        <w:overflowPunct/>
        <w:topLinePunct w:val="0"/>
        <w:autoSpaceDE w:val="0"/>
        <w:autoSpaceDN w:val="0"/>
        <w:bidi w:val="0"/>
        <w:spacing w:line="560" w:lineRule="exact"/>
        <w:jc w:val="left"/>
        <w:textAlignment w:val="bottom"/>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一、运营费用</w:t>
      </w:r>
      <w:r>
        <w:rPr>
          <w:rFonts w:hint="eastAsia" w:ascii="宋体" w:hAnsi="宋体" w:eastAsia="宋体" w:cs="宋体"/>
          <w:b/>
          <w:bCs/>
          <w:color w:val="auto"/>
          <w:sz w:val="24"/>
          <w:szCs w:val="24"/>
          <w:highlight w:val="none"/>
        </w:rPr>
        <w:t>和说明</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预算：17.14万元。有关本项目实施所需的所有费用（应考虑完成本项目全部内容可能发生的各项费用，包括但不限于人员工资、外聘人员劳务费、运营成本费、经营成本费、企业管理费、利润、税金等费用均计入报价。开标一览表（报价表）是报价的唯一载体。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2.场馆运营过程中发生</w:t>
      </w:r>
      <w:r>
        <w:rPr>
          <w:rFonts w:hint="eastAsia" w:ascii="宋体" w:hAnsi="宋体" w:cs="宋体"/>
          <w:color w:val="auto"/>
          <w:sz w:val="24"/>
          <w:szCs w:val="24"/>
          <w:highlight w:val="none"/>
          <w:lang w:val="en-US" w:eastAsia="zh-CN"/>
        </w:rPr>
        <w:t>的设备维修费、</w:t>
      </w:r>
      <w:r>
        <w:rPr>
          <w:rFonts w:hint="eastAsia" w:ascii="宋体" w:hAnsi="宋体" w:eastAsia="宋体" w:cs="宋体"/>
          <w:color w:val="auto"/>
          <w:sz w:val="24"/>
          <w:szCs w:val="24"/>
          <w:highlight w:val="none"/>
          <w:lang w:val="en-US" w:eastAsia="zh-CN"/>
        </w:rPr>
        <w:t>电费、水费等场馆运营支出，由采购人自行承担。</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3.付款方式：</w:t>
      </w:r>
      <w:r>
        <w:rPr>
          <w:rFonts w:hint="eastAsia" w:cs="仿宋_GB2312" w:asciiTheme="minorEastAsia" w:hAnsiTheme="minorEastAsia" w:eastAsiaTheme="minorEastAsia"/>
          <w:color w:val="auto"/>
          <w:sz w:val="24"/>
          <w:highlight w:val="none"/>
        </w:rPr>
        <w:t>正式签署合同</w:t>
      </w:r>
      <w:r>
        <w:rPr>
          <w:rFonts w:hint="eastAsia" w:cs="仿宋_GB2312" w:asciiTheme="minorEastAsia" w:hAnsiTheme="minorEastAsia" w:eastAsiaTheme="minorEastAsia"/>
          <w:color w:val="auto"/>
          <w:sz w:val="24"/>
          <w:highlight w:val="none"/>
          <w:lang w:val="en-US" w:eastAsia="zh-CN"/>
        </w:rPr>
        <w:t>后</w:t>
      </w:r>
      <w:r>
        <w:rPr>
          <w:rFonts w:hint="eastAsia" w:cs="仿宋_GB2312" w:asciiTheme="minorEastAsia" w:hAnsiTheme="minorEastAsia" w:eastAsiaTheme="minorEastAsia"/>
          <w:color w:val="auto"/>
          <w:sz w:val="24"/>
          <w:highlight w:val="none"/>
        </w:rPr>
        <w:t>5个工作日内</w:t>
      </w:r>
      <w:r>
        <w:rPr>
          <w:rFonts w:hint="eastAsia" w:ascii="宋体" w:hAnsi="宋体" w:eastAsia="宋体" w:cs="宋体"/>
          <w:bCs/>
          <w:color w:val="auto"/>
          <w:kern w:val="2"/>
          <w:sz w:val="24"/>
          <w:szCs w:val="24"/>
          <w:highlight w:val="none"/>
        </w:rPr>
        <w:t>，采购人支付中标人合同金额的</w:t>
      </w:r>
      <w:r>
        <w:rPr>
          <w:rFonts w:hint="eastAsia" w:ascii="宋体" w:hAnsi="宋体" w:eastAsia="宋体" w:cs="宋体"/>
          <w:bCs/>
          <w:color w:val="auto"/>
          <w:kern w:val="2"/>
          <w:sz w:val="24"/>
          <w:szCs w:val="24"/>
          <w:highlight w:val="none"/>
          <w:lang w:val="en-US" w:eastAsia="zh-CN"/>
        </w:rPr>
        <w:t>4</w:t>
      </w:r>
      <w:r>
        <w:rPr>
          <w:rFonts w:hint="eastAsia" w:ascii="宋体" w:hAnsi="宋体" w:eastAsia="宋体" w:cs="宋体"/>
          <w:bCs/>
          <w:color w:val="auto"/>
          <w:kern w:val="2"/>
          <w:sz w:val="24"/>
          <w:szCs w:val="24"/>
          <w:highlight w:val="none"/>
        </w:rPr>
        <w:t>0%，</w:t>
      </w:r>
      <w:r>
        <w:rPr>
          <w:rFonts w:hint="eastAsia" w:ascii="宋体" w:hAnsi="宋体" w:eastAsia="宋体" w:cs="宋体"/>
          <w:bCs/>
          <w:color w:val="auto"/>
          <w:kern w:val="2"/>
          <w:sz w:val="24"/>
          <w:szCs w:val="24"/>
          <w:highlight w:val="none"/>
          <w:lang w:val="en-US" w:eastAsia="zh-CN"/>
        </w:rPr>
        <w:t>2023年</w:t>
      </w:r>
      <w:r>
        <w:rPr>
          <w:rFonts w:hint="eastAsia" w:ascii="宋体" w:hAnsi="宋体" w:cs="宋体"/>
          <w:bCs/>
          <w:color w:val="auto"/>
          <w:kern w:val="2"/>
          <w:sz w:val="24"/>
          <w:szCs w:val="24"/>
          <w:highlight w:val="none"/>
          <w:lang w:val="en-US" w:eastAsia="zh-CN"/>
        </w:rPr>
        <w:t>11月底前</w:t>
      </w:r>
      <w:r>
        <w:rPr>
          <w:rFonts w:hint="eastAsia" w:ascii="宋体" w:hAnsi="宋体" w:eastAsia="宋体" w:cs="宋体"/>
          <w:bCs/>
          <w:color w:val="auto"/>
          <w:kern w:val="2"/>
          <w:sz w:val="24"/>
          <w:szCs w:val="24"/>
          <w:highlight w:val="none"/>
          <w:lang w:val="en-US" w:eastAsia="zh-CN"/>
        </w:rPr>
        <w:t>，</w:t>
      </w:r>
      <w:r>
        <w:rPr>
          <w:rFonts w:hint="eastAsia" w:ascii="宋体" w:hAnsi="宋体" w:eastAsia="宋体" w:cs="宋体"/>
          <w:bCs/>
          <w:color w:val="auto"/>
          <w:kern w:val="2"/>
          <w:sz w:val="24"/>
          <w:szCs w:val="24"/>
          <w:highlight w:val="none"/>
        </w:rPr>
        <w:t>项目</w:t>
      </w:r>
      <w:r>
        <w:rPr>
          <w:rFonts w:hint="eastAsia" w:ascii="宋体" w:hAnsi="宋体" w:cs="宋体"/>
          <w:bCs/>
          <w:color w:val="auto"/>
          <w:kern w:val="2"/>
          <w:sz w:val="24"/>
          <w:szCs w:val="24"/>
          <w:highlight w:val="none"/>
          <w:lang w:val="en-US" w:eastAsia="zh-CN"/>
        </w:rPr>
        <w:t>中期</w:t>
      </w:r>
      <w:r>
        <w:rPr>
          <w:rFonts w:hint="eastAsia" w:ascii="宋体" w:hAnsi="宋体" w:eastAsia="宋体" w:cs="宋体"/>
          <w:bCs/>
          <w:color w:val="auto"/>
          <w:kern w:val="2"/>
          <w:sz w:val="24"/>
          <w:szCs w:val="24"/>
          <w:highlight w:val="none"/>
        </w:rPr>
        <w:t>验收合格后一次性向中标人支付合同余款。中标人应在采购人付款前向采购人开具同等金额增值税发票，采购人收到发票后须在上述约定时间内支付款项。</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二、运营时</w:t>
      </w:r>
      <w:r>
        <w:rPr>
          <w:rFonts w:hint="eastAsia" w:ascii="宋体" w:hAnsi="宋体" w:eastAsia="宋体" w:cs="宋体"/>
          <w:b/>
          <w:bCs/>
          <w:color w:val="auto"/>
          <w:sz w:val="24"/>
          <w:szCs w:val="24"/>
          <w:highlight w:val="none"/>
          <w:lang w:val="en-US" w:eastAsia="zh-CN"/>
        </w:rPr>
        <w:t>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2023年4月1日至2024年3月31日。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三、场馆开放时间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常态化开放。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1.开放日期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每周</w:t>
      </w:r>
      <w:r>
        <w:rPr>
          <w:rFonts w:hint="eastAsia" w:ascii="宋体" w:hAnsi="宋体" w:eastAsia="宋体" w:cs="宋体"/>
          <w:color w:val="auto"/>
          <w:sz w:val="24"/>
          <w:szCs w:val="24"/>
          <w:highlight w:val="none"/>
          <w:lang w:val="en-US" w:eastAsia="zh-CN"/>
        </w:rPr>
        <w:t>正常开放</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天（周三至周</w:t>
      </w:r>
      <w:r>
        <w:rPr>
          <w:rFonts w:hint="eastAsia" w:ascii="宋体" w:hAnsi="宋体" w:cs="宋体"/>
          <w:color w:val="auto"/>
          <w:sz w:val="24"/>
          <w:szCs w:val="24"/>
          <w:highlight w:val="none"/>
          <w:lang w:val="en-US" w:eastAsia="zh-CN"/>
        </w:rPr>
        <w:t>日</w:t>
      </w:r>
      <w:r>
        <w:rPr>
          <w:rFonts w:hint="eastAsia" w:ascii="宋体" w:hAnsi="宋体" w:eastAsia="宋体" w:cs="宋体"/>
          <w:color w:val="auto"/>
          <w:sz w:val="24"/>
          <w:szCs w:val="24"/>
          <w:highlight w:val="none"/>
          <w:lang w:val="en-US" w:eastAsia="zh-CN"/>
        </w:rPr>
        <w:t>开放；周一、周二闭馆，为设备维护检修日）</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如遇</w:t>
      </w:r>
      <w:r>
        <w:rPr>
          <w:rFonts w:hint="eastAsia" w:ascii="宋体" w:hAnsi="宋体" w:eastAsia="宋体" w:cs="宋体"/>
          <w:color w:val="auto"/>
          <w:sz w:val="24"/>
          <w:szCs w:val="24"/>
          <w:highlight w:val="none"/>
          <w:lang w:val="en-US" w:eastAsia="zh-CN"/>
        </w:rPr>
        <w:t>法定节假日</w:t>
      </w:r>
      <w:r>
        <w:rPr>
          <w:rFonts w:hint="eastAsia" w:ascii="宋体" w:hAnsi="宋体" w:cs="宋体"/>
          <w:color w:val="auto"/>
          <w:sz w:val="24"/>
          <w:szCs w:val="24"/>
          <w:highlight w:val="none"/>
          <w:lang w:val="en-US" w:eastAsia="zh-CN"/>
        </w:rPr>
        <w:t>，开馆时间另行安排</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2.开放时间段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09:00开馆（场馆人员08:30到岗），16:30闭馆（16:00不再允许访客入馆）。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四、投标人要求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1.具有独立企人法人资格或者企业化管理事业单位法人资格；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2.具有承接场馆运营服务、开展相关活动的能力和资质；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3.具有场馆运营服务、生命教育活动等经验优先。</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五、运营人员要求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选派</w:t>
      </w:r>
      <w:r>
        <w:rPr>
          <w:rFonts w:hint="eastAsia" w:ascii="宋体" w:hAnsi="宋体" w:eastAsia="宋体" w:cs="宋体"/>
          <w:color w:val="auto"/>
          <w:sz w:val="24"/>
          <w:szCs w:val="24"/>
          <w:highlight w:val="none"/>
          <w:lang w:val="en-US" w:eastAsia="zh-CN"/>
        </w:rPr>
        <w:t>2名人员常驻场馆服务，负责场馆的管理和讲解；1名技术人员定期开展日常检修，保障重要领导和活动；</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2.管理和讲解人员外表端庄、口齿清楚、普通话标准、语言表达能力强、工作责任心强，</w:t>
      </w:r>
      <w:r>
        <w:rPr>
          <w:rFonts w:hint="eastAsia" w:ascii="宋体" w:hAnsi="宋体" w:cs="宋体"/>
          <w:color w:val="auto"/>
          <w:sz w:val="24"/>
          <w:szCs w:val="24"/>
          <w:highlight w:val="none"/>
          <w:lang w:val="en-US" w:eastAsia="zh-CN"/>
        </w:rPr>
        <w:t>工作时间</w:t>
      </w:r>
      <w:r>
        <w:rPr>
          <w:rFonts w:hint="eastAsia" w:ascii="宋体" w:hAnsi="宋体" w:eastAsia="宋体" w:cs="宋体"/>
          <w:color w:val="auto"/>
          <w:sz w:val="24"/>
          <w:szCs w:val="24"/>
          <w:highlight w:val="none"/>
          <w:lang w:val="en-US" w:eastAsia="zh-CN"/>
        </w:rPr>
        <w:t>统一着装；</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3.至少1名讲解员持有红十字救护员证书。</w:t>
      </w:r>
    </w:p>
    <w:p>
      <w:pPr>
        <w:pStyle w:val="43"/>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lang w:val="en-US" w:eastAsia="zh-CN"/>
        </w:rPr>
        <w:t>运营</w:t>
      </w:r>
      <w:r>
        <w:rPr>
          <w:rFonts w:hint="eastAsia" w:ascii="宋体" w:hAnsi="宋体" w:eastAsia="宋体" w:cs="宋体"/>
          <w:b/>
          <w:bCs/>
          <w:color w:val="auto"/>
          <w:sz w:val="24"/>
          <w:szCs w:val="24"/>
          <w:highlight w:val="none"/>
        </w:rPr>
        <w:t>项目内容</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场馆运营管理。开展体验馆日常接待、主题活动等内容；开展场馆推广宣传活动，扩大红十字生命教育宣传，提升体验馆影响力；制作开展红十字生命教育活动所需的体验卡、宣传折页（各5000份）；保障日常接待所需易耗品（茶叶、咖啡等）。</w:t>
      </w:r>
    </w:p>
    <w:p>
      <w:pPr>
        <w:pStyle w:val="43"/>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2.馆内培训讲解服务。根据体验馆各部分内容，制定详尽参观讲解路线，并根据参观人数、群体不同，设定相应的讲解时间</w:t>
      </w:r>
      <w:r>
        <w:rPr>
          <w:rFonts w:hint="eastAsia" w:ascii="宋体" w:hAnsi="宋体" w:eastAsia="宋体" w:cs="宋体"/>
          <w:color w:val="auto"/>
          <w:kern w:val="0"/>
          <w:sz w:val="24"/>
          <w:szCs w:val="24"/>
          <w:highlight w:val="none"/>
          <w:lang w:eastAsia="zh-CN"/>
        </w:rPr>
        <w:t>和内容</w:t>
      </w:r>
      <w:r>
        <w:rPr>
          <w:rFonts w:hint="eastAsia" w:ascii="宋体" w:hAnsi="宋体" w:eastAsia="宋体" w:cs="宋体"/>
          <w:color w:val="auto"/>
          <w:kern w:val="0"/>
          <w:sz w:val="24"/>
          <w:szCs w:val="24"/>
          <w:highlight w:val="none"/>
        </w:rPr>
        <w:t>，确保体验效果</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开发一批红十字生命教育精品课程</w:t>
      </w:r>
      <w:r>
        <w:rPr>
          <w:rFonts w:hint="eastAsia" w:ascii="宋体" w:hAnsi="宋体" w:eastAsia="宋体" w:cs="宋体"/>
          <w:color w:val="auto"/>
          <w:kern w:val="0"/>
          <w:sz w:val="24"/>
          <w:szCs w:val="24"/>
          <w:highlight w:val="none"/>
          <w:lang w:eastAsia="zh-CN"/>
        </w:rPr>
        <w:t>。</w:t>
      </w:r>
    </w:p>
    <w:p>
      <w:pPr>
        <w:pStyle w:val="43"/>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3.馆外红十字生命教育服务。在做好馆内接待的同时，积极“走出去”</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进社区（居民小区）、学校、重点场所开展生命教育宣传活动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参与</w:t>
      </w:r>
      <w:r>
        <w:rPr>
          <w:rFonts w:hint="eastAsia" w:ascii="宋体" w:hAnsi="宋体" w:eastAsia="宋体" w:cs="宋体"/>
          <w:color w:val="auto"/>
          <w:kern w:val="0"/>
          <w:sz w:val="24"/>
          <w:szCs w:val="24"/>
          <w:highlight w:val="none"/>
        </w:rPr>
        <w:t>编写红十字生命教育读本</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4.馆内应急演练活动。制定完备的突发事件应急预案，每年组织不少于4次馆内突发事故应急演练，提高工作人员应对突发状况时的应变能力。</w:t>
      </w:r>
    </w:p>
    <w:p>
      <w:pPr>
        <w:spacing w:line="60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5.其他服务。包括馆内设备维护、</w:t>
      </w:r>
      <w:r>
        <w:rPr>
          <w:rFonts w:hint="eastAsia" w:ascii="宋体" w:hAnsi="宋体" w:eastAsia="宋体" w:cs="宋体"/>
          <w:color w:val="auto"/>
          <w:kern w:val="0"/>
          <w:sz w:val="24"/>
          <w:szCs w:val="24"/>
          <w:highlight w:val="none"/>
          <w:lang w:eastAsia="zh-CN"/>
        </w:rPr>
        <w:t>内容更新、</w:t>
      </w:r>
      <w:r>
        <w:rPr>
          <w:rFonts w:hint="eastAsia" w:ascii="宋体" w:hAnsi="宋体" w:eastAsia="宋体" w:cs="宋体"/>
          <w:color w:val="auto"/>
          <w:kern w:val="0"/>
          <w:sz w:val="24"/>
          <w:szCs w:val="24"/>
          <w:highlight w:val="none"/>
        </w:rPr>
        <w:t>馆内清洁服务、</w:t>
      </w:r>
      <w:r>
        <w:rPr>
          <w:rFonts w:hint="eastAsia" w:ascii="宋体" w:hAnsi="宋体" w:eastAsia="宋体" w:cs="宋体"/>
          <w:color w:val="auto"/>
          <w:kern w:val="0"/>
          <w:sz w:val="24"/>
          <w:szCs w:val="24"/>
          <w:highlight w:val="none"/>
          <w:lang w:val="en-US" w:eastAsia="zh-CN"/>
        </w:rPr>
        <w:t>安全巡检</w:t>
      </w:r>
      <w:r>
        <w:rPr>
          <w:rFonts w:hint="eastAsia" w:ascii="宋体" w:hAnsi="宋体" w:eastAsia="宋体" w:cs="宋体"/>
          <w:color w:val="auto"/>
          <w:kern w:val="0"/>
          <w:sz w:val="24"/>
          <w:szCs w:val="24"/>
          <w:highlight w:val="none"/>
          <w:lang w:eastAsia="zh-CN"/>
        </w:rPr>
        <w:t>、维护</w:t>
      </w:r>
      <w:r>
        <w:rPr>
          <w:rFonts w:hint="eastAsia" w:ascii="宋体" w:hAnsi="宋体" w:eastAsia="宋体" w:cs="宋体"/>
          <w:color w:val="auto"/>
          <w:kern w:val="0"/>
          <w:sz w:val="24"/>
          <w:szCs w:val="24"/>
          <w:highlight w:val="none"/>
        </w:rPr>
        <w:t>场馆宣传平台等。</w:t>
      </w:r>
    </w:p>
    <w:p>
      <w:pPr>
        <w:pStyle w:val="43"/>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年度绩效</w:t>
      </w:r>
      <w:r>
        <w:rPr>
          <w:rFonts w:hint="eastAsia" w:ascii="宋体" w:hAnsi="宋体" w:eastAsia="宋体" w:cs="宋体"/>
          <w:b/>
          <w:bCs/>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面向社会大众普及“保护生命、珍爱生命”的理念，增强防灾避险等意识，掌握必备的自救互救技能。</w:t>
      </w:r>
    </w:p>
    <w:tbl>
      <w:tblPr>
        <w:tblStyle w:val="63"/>
        <w:tblW w:w="7479" w:type="dxa"/>
        <w:jc w:val="center"/>
        <w:tblLayout w:type="fixed"/>
        <w:tblCellMar>
          <w:top w:w="0" w:type="dxa"/>
          <w:left w:w="108" w:type="dxa"/>
          <w:bottom w:w="0" w:type="dxa"/>
          <w:right w:w="108" w:type="dxa"/>
        </w:tblCellMar>
      </w:tblPr>
      <w:tblGrid>
        <w:gridCol w:w="4578"/>
        <w:gridCol w:w="2901"/>
      </w:tblGrid>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参观接待人数</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6000人次</w:t>
            </w:r>
          </w:p>
        </w:tc>
      </w:tr>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场馆开放时间</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≥250天</w:t>
            </w:r>
          </w:p>
        </w:tc>
      </w:tr>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开展应急救护知识普及培训</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1000人</w:t>
            </w:r>
          </w:p>
        </w:tc>
      </w:tr>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开展红十字救护员培训</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≥300人</w:t>
            </w:r>
          </w:p>
        </w:tc>
      </w:tr>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开展馆外生命教育宣传活动</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≥6次</w:t>
            </w:r>
          </w:p>
        </w:tc>
      </w:tr>
      <w:tr>
        <w:tblPrEx>
          <w:tblCellMar>
            <w:top w:w="0" w:type="dxa"/>
            <w:left w:w="108" w:type="dxa"/>
            <w:bottom w:w="0" w:type="dxa"/>
            <w:right w:w="108" w:type="dxa"/>
          </w:tblCellMar>
        </w:tblPrEx>
        <w:trPr>
          <w:trHeight w:val="255" w:hRule="atLeast"/>
          <w:jc w:val="center"/>
        </w:trPr>
        <w:tc>
          <w:tcPr>
            <w:tcW w:w="45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生命教育宣传活动受益人数</w:t>
            </w:r>
          </w:p>
        </w:tc>
        <w:tc>
          <w:tcPr>
            <w:tcW w:w="29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≥500人</w:t>
            </w:r>
          </w:p>
        </w:tc>
      </w:tr>
    </w:tbl>
    <w:p>
      <w:pPr>
        <w:pStyle w:val="43"/>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八、其他</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应采购人要求制作的体验卡、宣传折页、精品课程、红十字生命教育读本等所有权及使用权归采购人所有。中标人必须保证履行相关保密约定；必须保证遵守知识产权保护规定，因知识产权引起的纠纷由中标人负全部责任。</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 w:val="0"/>
          <w:bCs/>
          <w:color w:val="auto"/>
          <w:sz w:val="24"/>
          <w:szCs w:val="24"/>
          <w:highlight w:val="none"/>
        </w:rPr>
        <w:t>服务地点</w:t>
      </w:r>
      <w:r>
        <w:rPr>
          <w:rFonts w:hint="eastAsia" w:ascii="宋体" w:hAnsi="宋体" w:eastAsia="宋体" w:cs="宋体"/>
          <w:b w:val="0"/>
          <w:bCs/>
          <w:color w:val="auto"/>
          <w:sz w:val="24"/>
          <w:szCs w:val="24"/>
          <w:highlight w:val="none"/>
          <w:lang w:eastAsia="zh-CN"/>
        </w:rPr>
        <w:t>：</w:t>
      </w:r>
      <w:r>
        <w:rPr>
          <w:rFonts w:hint="eastAsia" w:ascii="宋体" w:hAnsi="宋体" w:eastAsia="宋体" w:cs="宋体"/>
          <w:bCs/>
          <w:color w:val="auto"/>
          <w:sz w:val="24"/>
          <w:szCs w:val="24"/>
          <w:highlight w:val="none"/>
        </w:rPr>
        <w:t>浙江省红十字</w:t>
      </w:r>
      <w:r>
        <w:rPr>
          <w:rFonts w:hint="eastAsia" w:ascii="宋体" w:hAnsi="宋体" w:eastAsia="宋体" w:cs="宋体"/>
          <w:bCs/>
          <w:color w:val="auto"/>
          <w:sz w:val="24"/>
          <w:szCs w:val="24"/>
          <w:highlight w:val="none"/>
          <w:lang w:val="en-US" w:eastAsia="zh-CN"/>
        </w:rPr>
        <w:t>生命教育体验馆。</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3.本项目不允许分包或转包。</w:t>
      </w:r>
    </w:p>
    <w:p>
      <w:pPr>
        <w:pStyle w:val="2"/>
        <w:ind w:left="0" w:leftChars="0" w:firstLine="480" w:firstLineChars="200"/>
        <w:rPr>
          <w:rFonts w:hint="default"/>
          <w:color w:val="auto"/>
          <w:highlight w:val="none"/>
          <w:lang w:val="en-US" w:eastAsia="zh-CN"/>
        </w:rPr>
      </w:pPr>
      <w:r>
        <w:rPr>
          <w:rFonts w:hint="eastAsia" w:ascii="宋体" w:hAnsi="宋体" w:eastAsia="宋体" w:cs="宋体"/>
          <w:bCs/>
          <w:color w:val="auto"/>
          <w:sz w:val="24"/>
          <w:szCs w:val="24"/>
          <w:highlight w:val="none"/>
          <w:lang w:val="en-US" w:eastAsia="zh-CN"/>
        </w:rPr>
        <w:t>4.因管理不善、养护不当等失职行为导致场馆发生火灾、水淹、人员伤亡以及物品损毁、损坏、遗失等情况发生，采购人有权终止合同，</w:t>
      </w:r>
      <w:r>
        <w:rPr>
          <w:rFonts w:hint="eastAsia" w:hAnsi="宋体" w:cs="宋体"/>
          <w:bCs/>
          <w:color w:val="auto"/>
          <w:sz w:val="24"/>
          <w:szCs w:val="24"/>
          <w:highlight w:val="none"/>
          <w:lang w:val="en-US" w:eastAsia="zh-CN"/>
        </w:rPr>
        <w:t>因</w:t>
      </w:r>
      <w:r>
        <w:rPr>
          <w:rFonts w:hint="eastAsia" w:ascii="宋体" w:hAnsi="宋体" w:eastAsia="宋体" w:cs="宋体"/>
          <w:bCs/>
          <w:color w:val="auto"/>
          <w:sz w:val="24"/>
          <w:szCs w:val="24"/>
          <w:highlight w:val="none"/>
          <w:lang w:val="en-US" w:eastAsia="zh-CN"/>
        </w:rPr>
        <w:t>此造成的经济损失由中标人按实际金额赔偿。</w:t>
      </w:r>
    </w:p>
    <w:p>
      <w:pPr>
        <w:pStyle w:val="43"/>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九、验收</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1.验收由采购人负责实施；</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2.验收依据：</w:t>
      </w:r>
    </w:p>
    <w:p>
      <w:pPr>
        <w:autoSpaceDE w:val="0"/>
        <w:autoSpaceDN w:val="0"/>
        <w:adjustRightInd/>
        <w:snapToGrid/>
        <w:spacing w:line="560" w:lineRule="exact"/>
        <w:ind w:firstLine="720" w:firstLineChars="3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2.1合同、招标文件、投标文件；</w:t>
      </w:r>
    </w:p>
    <w:p>
      <w:pPr>
        <w:autoSpaceDE w:val="0"/>
        <w:autoSpaceDN w:val="0"/>
        <w:adjustRightInd/>
        <w:snapToGrid/>
        <w:spacing w:line="560" w:lineRule="exact"/>
        <w:ind w:firstLine="720" w:firstLineChars="3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2.2投标人提供经采购人认可的有效文件；</w:t>
      </w:r>
    </w:p>
    <w:p>
      <w:pPr>
        <w:autoSpaceDE w:val="0"/>
        <w:autoSpaceDN w:val="0"/>
        <w:adjustRightInd/>
        <w:snapToGrid/>
        <w:spacing w:line="560" w:lineRule="exact"/>
        <w:ind w:firstLine="720" w:firstLineChars="3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2.3投标人投标文件中提供的经采购人认可的验收标准（符合中国有关的国家、地方、行业标准）。</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3.验收时发现问题，</w:t>
      </w:r>
      <w:r>
        <w:rPr>
          <w:rFonts w:hint="eastAsia" w:ascii="宋体" w:hAnsi="宋体" w:eastAsia="宋体" w:cs="宋体"/>
          <w:bCs/>
          <w:color w:val="auto"/>
          <w:sz w:val="24"/>
          <w:szCs w:val="24"/>
          <w:highlight w:val="none"/>
          <w:lang w:val="en-US" w:eastAsia="zh-CN"/>
        </w:rPr>
        <w:t>中标人</w:t>
      </w:r>
      <w:r>
        <w:rPr>
          <w:rFonts w:hint="eastAsia" w:ascii="宋体" w:hAnsi="宋体" w:eastAsia="宋体" w:cs="宋体"/>
          <w:bCs/>
          <w:color w:val="auto"/>
          <w:sz w:val="24"/>
          <w:szCs w:val="24"/>
          <w:highlight w:val="none"/>
        </w:rPr>
        <w:t>负责妥善处理直至采购人满意，由此产生的费用由</w:t>
      </w:r>
      <w:r>
        <w:rPr>
          <w:rFonts w:hint="eastAsia" w:ascii="宋体" w:hAnsi="宋体" w:eastAsia="宋体" w:cs="宋体"/>
          <w:bCs/>
          <w:color w:val="auto"/>
          <w:sz w:val="24"/>
          <w:szCs w:val="24"/>
          <w:highlight w:val="none"/>
          <w:lang w:val="en-US" w:eastAsia="zh-CN"/>
        </w:rPr>
        <w:t>中标人</w:t>
      </w:r>
      <w:r>
        <w:rPr>
          <w:rFonts w:hint="eastAsia" w:ascii="宋体" w:hAnsi="宋体" w:eastAsia="宋体" w:cs="宋体"/>
          <w:bCs/>
          <w:color w:val="auto"/>
          <w:sz w:val="24"/>
          <w:szCs w:val="24"/>
          <w:highlight w:val="none"/>
        </w:rPr>
        <w:t>承担。</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4.验收合格的条件：</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4.1所提供的服务符合招标文件、投标文件及合同的要求；</w:t>
      </w:r>
    </w:p>
    <w:p>
      <w:pPr>
        <w:autoSpaceDE w:val="0"/>
        <w:autoSpaceDN w:val="0"/>
        <w:adjustRightInd/>
        <w:snapToGrid/>
        <w:spacing w:line="560" w:lineRule="exact"/>
        <w:ind w:firstLine="480" w:firstLineChars="200"/>
        <w:jc w:val="left"/>
        <w:textAlignment w:val="bottom"/>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4.2在服务、验收过程中发现的问题已被解决并得到采购人的认可；</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jc w:val="left"/>
        <w:textAlignment w:val="bottom"/>
        <w:rPr>
          <w:rFonts w:hint="eastAsia" w:ascii="宋体" w:hAnsi="宋体" w:eastAsia="宋体" w:cs="宋体"/>
          <w:b w:val="0"/>
          <w:bCs/>
          <w:color w:val="auto"/>
          <w:sz w:val="24"/>
          <w:szCs w:val="24"/>
          <w:highlight w:val="none"/>
        </w:rPr>
      </w:pPr>
      <w:r>
        <w:rPr>
          <w:rFonts w:hint="eastAsia" w:ascii="宋体" w:hAnsi="宋体" w:eastAsia="宋体" w:cs="宋体"/>
          <w:bCs/>
          <w:color w:val="auto"/>
          <w:sz w:val="24"/>
          <w:szCs w:val="24"/>
          <w:highlight w:val="none"/>
        </w:rPr>
        <w:t>4.3所有相关的技术文件及资料均已提交并得到接受。</w:t>
      </w:r>
    </w:p>
    <w:p>
      <w:pPr>
        <w:rPr>
          <w:rFonts w:hint="eastAsia"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第五部分  </w:t>
      </w:r>
      <w:bookmarkEnd w:id="63"/>
      <w:bookmarkEnd w:id="64"/>
      <w:bookmarkStart w:id="65" w:name="第四部分"/>
      <w:r>
        <w:rPr>
          <w:rFonts w:hint="eastAsia" w:cs="仿宋_GB2312" w:asciiTheme="minorEastAsia" w:hAnsiTheme="minorEastAsia" w:eastAsiaTheme="minorEastAsia"/>
          <w:b/>
          <w:color w:val="auto"/>
          <w:sz w:val="36"/>
          <w:szCs w:val="36"/>
          <w:highlight w:val="none"/>
        </w:rPr>
        <w:t>评审方法及评审标准</w:t>
      </w:r>
    </w:p>
    <w:p>
      <w:pPr>
        <w:pStyle w:val="392"/>
        <w:spacing w:before="0"/>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173"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磋商文件中评审标准相应的商务技术资料目录</w:t>
            </w:r>
            <w:r>
              <w:rPr>
                <w:rFonts w:hint="eastAsia" w:ascii="宋体" w:hAnsi="宋体" w:eastAsia="宋体" w:cs="宋体"/>
                <w:color w:val="auto"/>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4173" w:type="dxa"/>
            <w:vAlign w:val="center"/>
          </w:tcPr>
          <w:p>
            <w:pPr>
              <w:pStyle w:val="392"/>
              <w:spacing w:before="0"/>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业绩：</w:t>
            </w:r>
          </w:p>
          <w:p>
            <w:pPr>
              <w:pStyle w:val="392"/>
              <w:spacing w:before="0"/>
              <w:ind w:firstLine="0" w:firstLineChars="0"/>
              <w:jc w:val="left"/>
              <w:rPr>
                <w:rFonts w:hint="eastAsia" w:ascii="宋体" w:hAnsi="宋体" w:eastAsia="宋体" w:cs="宋体"/>
                <w:b/>
                <w:bCs/>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投标人自2019年1月1日以来（以合同签订时间为准）同类项目业绩（以提供的合同扫描件为准）：每提供1份合同业绩得0.5分，最高得1分。</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4173" w:type="dxa"/>
            <w:vAlign w:val="center"/>
          </w:tcPr>
          <w:p>
            <w:pPr>
              <w:pStyle w:val="392"/>
              <w:spacing w:before="0"/>
              <w:ind w:firstLine="0" w:firstLineChars="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服务满意度：</w:t>
            </w:r>
          </w:p>
          <w:p>
            <w:pPr>
              <w:pStyle w:val="392"/>
              <w:spacing w:before="0"/>
              <w:ind w:firstLine="0" w:firstLineChars="0"/>
              <w:jc w:val="left"/>
              <w:rPr>
                <w:rFonts w:hint="default"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投标人自2019年1月1日以来</w:t>
            </w:r>
            <w:r>
              <w:rPr>
                <w:rFonts w:hint="eastAsia" w:ascii="宋体" w:hAnsi="宋体" w:cs="宋体"/>
                <w:color w:val="auto"/>
                <w:kern w:val="2"/>
                <w:sz w:val="24"/>
                <w:szCs w:val="24"/>
                <w:highlight w:val="none"/>
                <w:lang w:val="en-US" w:eastAsia="zh-CN" w:bidi="ar-SA"/>
              </w:rPr>
              <w:t>收到的服务单位正向的满意度评价，每提供一份证明材料得1分，最高得3分。</w:t>
            </w:r>
          </w:p>
        </w:tc>
        <w:tc>
          <w:tcPr>
            <w:tcW w:w="1097"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4173" w:type="dxa"/>
            <w:vAlign w:val="center"/>
          </w:tcPr>
          <w:p>
            <w:pPr>
              <w:pStyle w:val="392"/>
              <w:spacing w:before="0"/>
              <w:ind w:firstLine="0" w:firstLineChars="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供应商资质：</w:t>
            </w:r>
          </w:p>
          <w:p>
            <w:pPr>
              <w:pStyle w:val="392"/>
              <w:spacing w:before="0"/>
              <w:ind w:firstLine="0" w:firstLineChars="0"/>
              <w:jc w:val="left"/>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供应商通过ISO9001质量管理体系认证、ISO14001环境管理体系认证、ISO18001职业健康安全体系认证的，一个认证证书得</w:t>
            </w:r>
            <w:r>
              <w:rPr>
                <w:rFonts w:hint="eastAsia" w:ascii="宋体" w:hAnsi="宋体" w:cs="宋体"/>
                <w:color w:val="auto"/>
                <w:kern w:val="2"/>
                <w:sz w:val="24"/>
                <w:szCs w:val="24"/>
                <w:highlight w:val="none"/>
                <w:lang w:val="en-US" w:eastAsia="zh-CN" w:bidi="ar-SA"/>
              </w:rPr>
              <w:t>1</w:t>
            </w:r>
            <w:r>
              <w:rPr>
                <w:rFonts w:hint="default" w:ascii="宋体" w:hAnsi="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。本项</w:t>
            </w:r>
            <w:r>
              <w:rPr>
                <w:rFonts w:hint="default" w:ascii="宋体" w:hAnsi="宋体" w:cs="宋体"/>
                <w:color w:val="auto"/>
                <w:kern w:val="2"/>
                <w:sz w:val="24"/>
                <w:szCs w:val="24"/>
                <w:highlight w:val="none"/>
                <w:lang w:val="en-US" w:eastAsia="zh-CN" w:bidi="ar-SA"/>
              </w:rPr>
              <w:t>最高</w:t>
            </w:r>
            <w:r>
              <w:rPr>
                <w:rFonts w:hint="eastAsia" w:ascii="宋体" w:hAnsi="宋体" w:cs="宋体"/>
                <w:color w:val="auto"/>
                <w:kern w:val="2"/>
                <w:sz w:val="24"/>
                <w:szCs w:val="24"/>
                <w:highlight w:val="none"/>
                <w:lang w:val="en-US" w:eastAsia="zh-CN" w:bidi="ar-SA"/>
              </w:rPr>
              <w:t>得3</w:t>
            </w:r>
            <w:r>
              <w:rPr>
                <w:rFonts w:hint="default" w:ascii="宋体" w:hAnsi="宋体" w:cs="宋体"/>
                <w:color w:val="auto"/>
                <w:kern w:val="2"/>
                <w:sz w:val="24"/>
                <w:szCs w:val="24"/>
                <w:highlight w:val="none"/>
                <w:lang w:val="en-US" w:eastAsia="zh-CN" w:bidi="ar-SA"/>
              </w:rPr>
              <w:t>分。</w:t>
            </w:r>
          </w:p>
          <w:p>
            <w:pPr>
              <w:pStyle w:val="392"/>
              <w:spacing w:before="0"/>
              <w:ind w:firstLine="0" w:firstLineChars="0"/>
              <w:jc w:val="left"/>
              <w:rPr>
                <w:rFonts w:hint="default" w:ascii="宋体" w:hAnsi="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val="en-US" w:eastAsia="zh-CN" w:bidi="ar-SA"/>
              </w:rPr>
              <w:t>（各类认证证书以中文版本为准、未提供相关证书复印件或超出有效期的证书不计分）</w:t>
            </w:r>
          </w:p>
        </w:tc>
        <w:tc>
          <w:tcPr>
            <w:tcW w:w="1097" w:type="dxa"/>
            <w:vAlign w:val="center"/>
          </w:tcPr>
          <w:p>
            <w:pPr>
              <w:pStyle w:val="392"/>
              <w:spacing w:before="0"/>
              <w:ind w:firstLine="0" w:firstLineChars="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4173" w:type="dxa"/>
            <w:vAlign w:val="center"/>
          </w:tcPr>
          <w:p>
            <w:pPr>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项目的理解及熟悉程度：</w:t>
            </w:r>
          </w:p>
          <w:p>
            <w:pPr>
              <w:adjustRightInd w:val="0"/>
              <w:snapToGrid w:val="0"/>
              <w:spacing w:line="288"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对本项目的特点、背景、工作内容等理解程度</w:t>
            </w:r>
            <w:r>
              <w:rPr>
                <w:rFonts w:hint="eastAsia" w:ascii="宋体" w:hAnsi="宋体" w:eastAsia="宋体" w:cs="宋体"/>
                <w:color w:val="auto"/>
                <w:sz w:val="24"/>
                <w:szCs w:val="24"/>
                <w:highlight w:val="none"/>
                <w:lang w:val="en-US" w:eastAsia="zh-CN"/>
              </w:rPr>
              <w:t>,是否充分</w:t>
            </w:r>
            <w:r>
              <w:rPr>
                <w:rFonts w:hint="eastAsia" w:ascii="宋体" w:hAnsi="宋体" w:eastAsia="宋体" w:cs="宋体"/>
                <w:color w:val="auto"/>
                <w:sz w:val="24"/>
                <w:szCs w:val="24"/>
                <w:highlight w:val="none"/>
              </w:rPr>
              <w:t>考虑用户的需求，对本次服务内容的目标是否有较深入的理解和渗透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了解全面得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分，熟悉度有所欠缺得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基本不了解得1分，完全不了解或不提供</w:t>
            </w:r>
            <w:r>
              <w:rPr>
                <w:rFonts w:hint="eastAsia" w:ascii="宋体" w:hAnsi="宋体" w:eastAsia="宋体" w:cs="宋体"/>
                <w:color w:val="auto"/>
                <w:sz w:val="24"/>
                <w:szCs w:val="24"/>
                <w:highlight w:val="none"/>
                <w:lang w:val="en-US" w:eastAsia="zh-CN"/>
              </w:rPr>
              <w:t>不得分，本项最高得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4173" w:type="dxa"/>
            <w:vAlign w:val="center"/>
          </w:tcPr>
          <w:p>
            <w:pPr>
              <w:adjustRightInd w:val="0"/>
              <w:snapToGrid w:val="0"/>
              <w:spacing w:line="288" w:lineRule="auto"/>
              <w:rPr>
                <w:rFonts w:hint="eastAsia" w:ascii="宋体" w:hAnsi="宋体" w:eastAsia="宋体" w:cs="宋体"/>
                <w:b/>
                <w:bCs w:val="0"/>
                <w:color w:val="auto"/>
                <w:spacing w:val="-4"/>
                <w:sz w:val="24"/>
                <w:szCs w:val="24"/>
                <w:highlight w:val="none"/>
                <w:lang w:eastAsia="zh-CN"/>
              </w:rPr>
            </w:pPr>
            <w:r>
              <w:rPr>
                <w:rFonts w:hint="eastAsia" w:ascii="宋体" w:hAnsi="宋体" w:eastAsia="宋体" w:cs="宋体"/>
                <w:b/>
                <w:bCs w:val="0"/>
                <w:color w:val="auto"/>
                <w:spacing w:val="-4"/>
                <w:sz w:val="24"/>
                <w:szCs w:val="24"/>
                <w:highlight w:val="none"/>
              </w:rPr>
              <w:t>对采购内容和服务要求的响应</w:t>
            </w:r>
            <w:r>
              <w:rPr>
                <w:rFonts w:hint="eastAsia" w:ascii="宋体" w:hAnsi="宋体" w:eastAsia="宋体" w:cs="宋体"/>
                <w:b/>
                <w:bCs w:val="0"/>
                <w:color w:val="auto"/>
                <w:spacing w:val="-4"/>
                <w:sz w:val="24"/>
                <w:szCs w:val="24"/>
                <w:highlight w:val="none"/>
                <w:lang w:eastAsia="zh-CN"/>
              </w:rPr>
              <w:t>：</w:t>
            </w:r>
          </w:p>
          <w:p>
            <w:pPr>
              <w:adjustRightInd w:val="0"/>
              <w:snapToGrid w:val="0"/>
              <w:spacing w:line="288" w:lineRule="auto"/>
              <w:rPr>
                <w:rFonts w:hint="eastAsia" w:ascii="宋体" w:hAnsi="宋体" w:eastAsia="宋体" w:cs="宋体"/>
                <w:color w:val="auto"/>
                <w:sz w:val="24"/>
                <w:szCs w:val="24"/>
                <w:highlight w:val="none"/>
                <w:lang w:eastAsia="zh-CN"/>
              </w:rPr>
            </w:pPr>
            <w:r>
              <w:rPr>
                <w:rFonts w:hint="eastAsia" w:ascii="宋体" w:hAnsi="宋体" w:eastAsia="宋体" w:cs="宋体"/>
                <w:bCs/>
                <w:color w:val="auto"/>
                <w:spacing w:val="-4"/>
                <w:sz w:val="24"/>
                <w:szCs w:val="24"/>
                <w:highlight w:val="none"/>
              </w:rPr>
              <w:t>针对“第四部分  采购需求”的响应情况，全部满足的，得</w:t>
            </w:r>
            <w:r>
              <w:rPr>
                <w:rFonts w:hint="eastAsia" w:ascii="宋体" w:hAnsi="宋体" w:eastAsia="宋体" w:cs="宋体"/>
                <w:bCs/>
                <w:color w:val="auto"/>
                <w:spacing w:val="-4"/>
                <w:sz w:val="24"/>
                <w:szCs w:val="24"/>
                <w:highlight w:val="none"/>
                <w:lang w:val="en-US" w:eastAsia="zh-CN"/>
              </w:rPr>
              <w:t>10</w:t>
            </w:r>
            <w:r>
              <w:rPr>
                <w:rFonts w:hint="eastAsia" w:ascii="宋体" w:hAnsi="宋体" w:eastAsia="宋体" w:cs="宋体"/>
                <w:bCs/>
                <w:color w:val="auto"/>
                <w:spacing w:val="-4"/>
                <w:sz w:val="24"/>
                <w:szCs w:val="24"/>
                <w:highlight w:val="none"/>
              </w:rPr>
              <w:t>分；每缺漏一项具体内容响应或存在负偏离等扣2分，扣完</w:t>
            </w:r>
            <w:r>
              <w:rPr>
                <w:rFonts w:hint="eastAsia" w:ascii="宋体" w:hAnsi="宋体" w:eastAsia="宋体" w:cs="宋体"/>
                <w:bCs/>
                <w:color w:val="auto"/>
                <w:spacing w:val="-4"/>
                <w:sz w:val="24"/>
                <w:szCs w:val="24"/>
                <w:highlight w:val="none"/>
                <w:lang w:val="en-US" w:eastAsia="zh-CN"/>
              </w:rPr>
              <w:t>10</w:t>
            </w:r>
            <w:r>
              <w:rPr>
                <w:rFonts w:hint="eastAsia" w:ascii="宋体" w:hAnsi="宋体" w:eastAsia="宋体" w:cs="宋体"/>
                <w:bCs/>
                <w:color w:val="auto"/>
                <w:spacing w:val="-4"/>
                <w:sz w:val="24"/>
                <w:szCs w:val="24"/>
                <w:highlight w:val="none"/>
              </w:rPr>
              <w:t>分止。</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4173" w:type="dxa"/>
            <w:vAlign w:val="center"/>
          </w:tcPr>
          <w:p>
            <w:pPr>
              <w:adjustRightInd w:val="0"/>
              <w:snapToGrid w:val="0"/>
              <w:spacing w:line="288" w:lineRule="auto"/>
              <w:rPr>
                <w:rFonts w:hint="eastAsia" w:ascii="宋体" w:hAnsi="宋体" w:eastAsia="宋体" w:cs="宋体"/>
                <w:bCs/>
                <w:color w:val="auto"/>
                <w:spacing w:val="-4"/>
                <w:sz w:val="24"/>
                <w:szCs w:val="24"/>
                <w:highlight w:val="none"/>
                <w:lang w:val="en-US" w:eastAsia="zh-CN"/>
              </w:rPr>
            </w:pPr>
            <w:r>
              <w:rPr>
                <w:rFonts w:hint="eastAsia" w:ascii="宋体" w:hAnsi="宋体" w:eastAsia="宋体" w:cs="宋体"/>
                <w:bCs/>
                <w:color w:val="auto"/>
                <w:spacing w:val="-4"/>
                <w:sz w:val="24"/>
                <w:szCs w:val="24"/>
                <w:highlight w:val="none"/>
                <w:lang w:val="en-US" w:eastAsia="zh-CN"/>
              </w:rPr>
              <w:t>服务方案：</w:t>
            </w:r>
          </w:p>
          <w:p>
            <w:pPr>
              <w:adjustRightInd w:val="0"/>
              <w:snapToGrid w:val="0"/>
              <w:spacing w:line="288" w:lineRule="auto"/>
              <w:rPr>
                <w:rFonts w:hint="eastAsia" w:ascii="宋体" w:hAnsi="宋体" w:eastAsia="宋体" w:cs="宋体"/>
                <w:bCs/>
                <w:color w:val="auto"/>
                <w:spacing w:val="-4"/>
                <w:sz w:val="24"/>
                <w:szCs w:val="24"/>
                <w:highlight w:val="none"/>
                <w:lang w:val="en-US" w:eastAsia="zh-CN"/>
              </w:rPr>
            </w:pPr>
            <w:r>
              <w:rPr>
                <w:rFonts w:hint="eastAsia" w:ascii="宋体" w:hAnsi="宋体" w:eastAsia="宋体" w:cs="宋体"/>
                <w:bCs/>
                <w:color w:val="auto"/>
                <w:spacing w:val="-4"/>
                <w:sz w:val="24"/>
                <w:szCs w:val="24"/>
                <w:highlight w:val="none"/>
              </w:rPr>
              <w:t>（1）</w:t>
            </w:r>
            <w:r>
              <w:rPr>
                <w:rFonts w:hint="eastAsia" w:ascii="宋体" w:hAnsi="宋体" w:eastAsia="宋体" w:cs="宋体"/>
                <w:bCs/>
                <w:color w:val="auto"/>
                <w:spacing w:val="-4"/>
                <w:sz w:val="24"/>
                <w:szCs w:val="24"/>
                <w:highlight w:val="none"/>
                <w:lang w:val="en-US" w:eastAsia="zh-CN"/>
              </w:rPr>
              <w:t>针对本项目提供的服务方案，主要包括①场馆运营管理方案；②</w:t>
            </w:r>
            <w:r>
              <w:rPr>
                <w:rFonts w:hint="eastAsia" w:ascii="宋体" w:hAnsi="宋体" w:eastAsia="宋体" w:cs="宋体"/>
                <w:bCs/>
                <w:color w:val="auto"/>
                <w:spacing w:val="-4"/>
                <w:sz w:val="24"/>
                <w:szCs w:val="24"/>
                <w:highlight w:val="none"/>
              </w:rPr>
              <w:t>馆内培训讲解服务</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bCs/>
                <w:color w:val="auto"/>
                <w:spacing w:val="-4"/>
                <w:sz w:val="24"/>
                <w:szCs w:val="24"/>
                <w:highlight w:val="none"/>
                <w:lang w:val="en-US" w:eastAsia="zh-CN"/>
              </w:rPr>
              <w:t>③</w:t>
            </w:r>
            <w:r>
              <w:rPr>
                <w:rFonts w:hint="eastAsia" w:ascii="宋体" w:hAnsi="宋体" w:eastAsia="宋体" w:cs="宋体"/>
                <w:bCs/>
                <w:color w:val="auto"/>
                <w:spacing w:val="-4"/>
                <w:sz w:val="24"/>
                <w:szCs w:val="24"/>
                <w:highlight w:val="none"/>
              </w:rPr>
              <w:t>馆外红十字生命教育服务</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bCs/>
                <w:color w:val="auto"/>
                <w:spacing w:val="-4"/>
                <w:sz w:val="24"/>
                <w:szCs w:val="24"/>
                <w:highlight w:val="none"/>
                <w:lang w:val="en-US" w:eastAsia="zh-CN"/>
              </w:rPr>
              <w:t>④</w:t>
            </w:r>
            <w:r>
              <w:rPr>
                <w:rFonts w:hint="eastAsia" w:ascii="宋体" w:hAnsi="宋体" w:eastAsia="宋体" w:cs="宋体"/>
                <w:bCs/>
                <w:color w:val="auto"/>
                <w:spacing w:val="-4"/>
                <w:sz w:val="24"/>
                <w:szCs w:val="24"/>
                <w:highlight w:val="none"/>
              </w:rPr>
              <w:t>馆内应急演练活动</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bCs/>
                <w:color w:val="auto"/>
                <w:spacing w:val="-4"/>
                <w:sz w:val="24"/>
                <w:szCs w:val="24"/>
                <w:highlight w:val="none"/>
                <w:lang w:val="en-US" w:eastAsia="zh-CN"/>
              </w:rPr>
              <w:t>⑤</w:t>
            </w:r>
            <w:r>
              <w:rPr>
                <w:rFonts w:hint="eastAsia" w:ascii="宋体" w:hAnsi="宋体" w:eastAsia="宋体" w:cs="宋体"/>
                <w:bCs/>
                <w:color w:val="auto"/>
                <w:spacing w:val="-4"/>
                <w:sz w:val="24"/>
                <w:szCs w:val="24"/>
                <w:highlight w:val="none"/>
              </w:rPr>
              <w:t>其他服务</w:t>
            </w:r>
            <w:r>
              <w:rPr>
                <w:rFonts w:hint="eastAsia" w:ascii="宋体" w:hAnsi="宋体" w:eastAsia="宋体" w:cs="宋体"/>
                <w:bCs/>
                <w:color w:val="auto"/>
                <w:spacing w:val="-4"/>
                <w:sz w:val="24"/>
                <w:szCs w:val="24"/>
                <w:highlight w:val="none"/>
                <w:lang w:val="en-US" w:eastAsia="zh-CN"/>
              </w:rPr>
              <w:t>，每项内容针对性强、科学合理得6分，部分满足得3分，不满足或不提供不得分，本项最高的30分。</w:t>
            </w:r>
          </w:p>
          <w:p>
            <w:pPr>
              <w:spacing w:line="288" w:lineRule="auto"/>
              <w:rPr>
                <w:rFonts w:hint="eastAsia"/>
                <w:color w:val="auto"/>
                <w:highlight w:val="none"/>
              </w:rPr>
            </w:pPr>
            <w:r>
              <w:rPr>
                <w:rFonts w:hint="eastAsia" w:ascii="宋体" w:hAnsi="宋体" w:eastAsia="宋体" w:cs="宋体"/>
                <w:bCs/>
                <w:color w:val="auto"/>
                <w:spacing w:val="-4"/>
                <w:sz w:val="24"/>
                <w:szCs w:val="24"/>
                <w:highlight w:val="none"/>
              </w:rPr>
              <w:t>（2）</w:t>
            </w:r>
            <w:r>
              <w:rPr>
                <w:rFonts w:hint="eastAsia" w:ascii="宋体" w:hAnsi="宋体" w:eastAsia="宋体" w:cs="宋体"/>
                <w:b w:val="0"/>
                <w:bCs/>
                <w:color w:val="auto"/>
                <w:spacing w:val="-4"/>
                <w:sz w:val="24"/>
                <w:szCs w:val="24"/>
                <w:highlight w:val="none"/>
                <w:lang w:val="en-US" w:eastAsia="zh-CN"/>
              </w:rPr>
              <w:t>根据不同服务内容拟定具体的工作进度计划安排，</w:t>
            </w:r>
            <w:r>
              <w:rPr>
                <w:rFonts w:hint="eastAsia" w:ascii="宋体" w:hAnsi="宋体" w:cs="宋体"/>
                <w:b w:val="0"/>
                <w:bCs/>
                <w:color w:val="auto"/>
                <w:spacing w:val="-4"/>
                <w:sz w:val="24"/>
                <w:szCs w:val="24"/>
                <w:highlight w:val="none"/>
                <w:lang w:val="en-US" w:eastAsia="zh-CN"/>
              </w:rPr>
              <w:t>完全满足年度绩效要求，</w:t>
            </w:r>
            <w:r>
              <w:rPr>
                <w:rFonts w:hint="eastAsia" w:ascii="宋体" w:hAnsi="宋体" w:eastAsia="宋体" w:cs="宋体"/>
                <w:b w:val="0"/>
                <w:bCs/>
                <w:color w:val="auto"/>
                <w:spacing w:val="-4"/>
                <w:sz w:val="24"/>
                <w:szCs w:val="24"/>
                <w:highlight w:val="none"/>
                <w:lang w:val="en-US" w:eastAsia="zh-CN"/>
              </w:rPr>
              <w:t>工作节点明确、进度合理的得</w:t>
            </w:r>
            <w:r>
              <w:rPr>
                <w:rFonts w:hint="eastAsia" w:ascii="宋体" w:hAnsi="宋体" w:cs="宋体"/>
                <w:b w:val="0"/>
                <w:bCs/>
                <w:color w:val="auto"/>
                <w:spacing w:val="-4"/>
                <w:sz w:val="24"/>
                <w:szCs w:val="24"/>
                <w:highlight w:val="none"/>
                <w:lang w:val="en-US" w:eastAsia="zh-CN"/>
              </w:rPr>
              <w:t>2</w:t>
            </w:r>
            <w:r>
              <w:rPr>
                <w:rFonts w:hint="eastAsia" w:ascii="宋体" w:hAnsi="宋体" w:eastAsia="宋体" w:cs="宋体"/>
                <w:b w:val="0"/>
                <w:bCs/>
                <w:color w:val="auto"/>
                <w:spacing w:val="-4"/>
                <w:sz w:val="24"/>
                <w:szCs w:val="24"/>
                <w:highlight w:val="none"/>
                <w:lang w:val="en-US" w:eastAsia="zh-CN"/>
              </w:rPr>
              <w:t>分；进度安排有缺陷、工作节点不明确的得</w:t>
            </w:r>
            <w:r>
              <w:rPr>
                <w:rFonts w:hint="eastAsia" w:ascii="宋体" w:hAnsi="宋体" w:cs="宋体"/>
                <w:b w:val="0"/>
                <w:bCs/>
                <w:color w:val="auto"/>
                <w:spacing w:val="-4"/>
                <w:sz w:val="24"/>
                <w:szCs w:val="24"/>
                <w:highlight w:val="none"/>
                <w:lang w:val="en-US" w:eastAsia="zh-CN"/>
              </w:rPr>
              <w:t>1</w:t>
            </w:r>
            <w:r>
              <w:rPr>
                <w:rFonts w:hint="eastAsia" w:ascii="宋体" w:hAnsi="宋体" w:eastAsia="宋体" w:cs="宋体"/>
                <w:b w:val="0"/>
                <w:bCs/>
                <w:color w:val="auto"/>
                <w:spacing w:val="-4"/>
                <w:sz w:val="24"/>
                <w:szCs w:val="24"/>
                <w:highlight w:val="none"/>
                <w:lang w:val="en-US" w:eastAsia="zh-CN"/>
              </w:rPr>
              <w:t>分；无工作进度计划或与本项目无关或安排不合理的</w:t>
            </w:r>
            <w:r>
              <w:rPr>
                <w:rFonts w:hint="eastAsia" w:ascii="宋体" w:hAnsi="宋体" w:cs="宋体"/>
                <w:b w:val="0"/>
                <w:bCs/>
                <w:color w:val="auto"/>
                <w:spacing w:val="-4"/>
                <w:sz w:val="24"/>
                <w:szCs w:val="24"/>
                <w:highlight w:val="none"/>
                <w:lang w:val="en-US" w:eastAsia="zh-CN"/>
              </w:rPr>
              <w:t>不得分，本项最高得2分</w:t>
            </w:r>
            <w:r>
              <w:rPr>
                <w:rFonts w:hint="eastAsia" w:ascii="宋体" w:hAnsi="宋体" w:eastAsia="宋体" w:cs="宋体"/>
                <w:b w:val="0"/>
                <w:bCs/>
                <w:color w:val="auto"/>
                <w:spacing w:val="-4"/>
                <w:sz w:val="24"/>
                <w:szCs w:val="24"/>
                <w:highlight w:val="none"/>
                <w:lang w:val="en-US" w:eastAsia="zh-CN"/>
              </w:rPr>
              <w:t>。</w:t>
            </w:r>
          </w:p>
        </w:tc>
        <w:tc>
          <w:tcPr>
            <w:tcW w:w="1097"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4173" w:type="dxa"/>
            <w:vAlign w:val="center"/>
          </w:tcPr>
          <w:p>
            <w:pPr>
              <w:adjustRightInd w:val="0"/>
              <w:snapToGrid w:val="0"/>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响应能力：</w:t>
            </w:r>
          </w:p>
          <w:p>
            <w:pPr>
              <w:pStyle w:val="392"/>
              <w:spacing w:before="0"/>
              <w:ind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针对</w:t>
            </w:r>
            <w:r>
              <w:rPr>
                <w:rFonts w:hint="eastAsia" w:ascii="宋体" w:hAnsi="宋体" w:eastAsia="宋体" w:cs="宋体"/>
                <w:color w:val="auto"/>
                <w:sz w:val="24"/>
                <w:szCs w:val="24"/>
                <w:highlight w:val="none"/>
              </w:rPr>
              <w:t>本项目的支撑响应配合程度进行综合评分。有详细的</w:t>
            </w:r>
            <w:r>
              <w:rPr>
                <w:rFonts w:hint="eastAsia" w:ascii="宋体" w:hAnsi="宋体" w:eastAsia="宋体" w:cs="宋体"/>
                <w:color w:val="auto"/>
                <w:sz w:val="24"/>
                <w:szCs w:val="24"/>
                <w:highlight w:val="none"/>
                <w:lang w:val="en-US" w:eastAsia="zh-CN"/>
              </w:rPr>
              <w:t>时效响应方案</w:t>
            </w:r>
            <w:r>
              <w:rPr>
                <w:rFonts w:hint="eastAsia" w:ascii="宋体" w:hAnsi="宋体" w:eastAsia="宋体" w:cs="宋体"/>
                <w:color w:val="auto"/>
                <w:sz w:val="24"/>
                <w:szCs w:val="24"/>
                <w:highlight w:val="none"/>
              </w:rPr>
              <w:t>，响应速度及时，响应规模和质量充分满足采购人需求</w:t>
            </w:r>
            <w:r>
              <w:rPr>
                <w:rFonts w:hint="eastAsia" w:ascii="宋体" w:hAnsi="宋体" w:eastAsia="宋体" w:cs="宋体"/>
                <w:color w:val="auto"/>
                <w:sz w:val="24"/>
                <w:szCs w:val="24"/>
                <w:highlight w:val="none"/>
                <w:lang w:val="en-US" w:eastAsia="zh-CN"/>
              </w:rPr>
              <w:t>得5分，</w:t>
            </w:r>
            <w:r>
              <w:rPr>
                <w:rFonts w:hint="eastAsia" w:ascii="宋体" w:hAnsi="宋体" w:eastAsia="宋体" w:cs="宋体"/>
                <w:b w:val="0"/>
                <w:bCs w:val="0"/>
                <w:color w:val="auto"/>
                <w:sz w:val="24"/>
                <w:szCs w:val="24"/>
                <w:highlight w:val="none"/>
              </w:rPr>
              <w:t>响应能力一般的得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分；响应能力欠缺的得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不提供或不满足不得分。</w:t>
            </w:r>
            <w:r>
              <w:rPr>
                <w:rFonts w:hint="eastAsia" w:ascii="宋体" w:hAnsi="宋体" w:eastAsia="宋体" w:cs="宋体"/>
                <w:color w:val="auto"/>
                <w:sz w:val="24"/>
                <w:szCs w:val="24"/>
                <w:highlight w:val="none"/>
                <w:lang w:val="en-US" w:eastAsia="zh-CN"/>
              </w:rPr>
              <w:t>本项最高得5分</w:t>
            </w:r>
            <w:r>
              <w:rPr>
                <w:rFonts w:hint="eastAsia" w:ascii="宋体" w:hAnsi="宋体" w:eastAsia="宋体" w:cs="宋体"/>
                <w:b w:val="0"/>
                <w:bCs w:val="0"/>
                <w:color w:val="auto"/>
                <w:sz w:val="24"/>
                <w:szCs w:val="24"/>
                <w:highlight w:val="none"/>
              </w:rPr>
              <w:t>。</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4173" w:type="dxa"/>
            <w:vAlign w:val="center"/>
          </w:tcPr>
          <w:p>
            <w:pPr>
              <w:pStyle w:val="392"/>
              <w:spacing w:before="0"/>
              <w:ind w:firstLine="0" w:firstLineChars="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运营人员团队：</w:t>
            </w:r>
          </w:p>
          <w:p>
            <w:pPr>
              <w:pStyle w:val="392"/>
              <w:numPr>
                <w:ilvl w:val="0"/>
                <w:numId w:val="0"/>
              </w:numPr>
              <w:spacing w:before="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1.承诺在此项目期间，</w:t>
            </w:r>
            <w:r>
              <w:rPr>
                <w:rFonts w:hint="eastAsia" w:ascii="宋体" w:hAnsi="宋体" w:eastAsia="宋体" w:cs="宋体"/>
                <w:color w:val="auto"/>
                <w:sz w:val="24"/>
                <w:szCs w:val="24"/>
                <w:highlight w:val="none"/>
                <w:lang w:eastAsia="zh-CN"/>
              </w:rPr>
              <w:t>选派</w:t>
            </w:r>
            <w:r>
              <w:rPr>
                <w:rFonts w:hint="eastAsia" w:ascii="宋体" w:hAnsi="宋体" w:eastAsia="宋体" w:cs="宋体"/>
                <w:color w:val="auto"/>
                <w:sz w:val="24"/>
                <w:szCs w:val="24"/>
                <w:highlight w:val="none"/>
                <w:lang w:val="en-US" w:eastAsia="zh-CN"/>
              </w:rPr>
              <w:t>2名人员常驻场馆服务</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1名技术人员定期开展日常检修，保障重要领导和活动</w:t>
            </w:r>
            <w:r>
              <w:rPr>
                <w:rFonts w:hint="eastAsia" w:ascii="宋体" w:hAnsi="宋体" w:cs="宋体"/>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分，不满足不得分。本项最高得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p>
          <w:p>
            <w:pPr>
              <w:pStyle w:val="392"/>
              <w:numPr>
                <w:ilvl w:val="0"/>
                <w:numId w:val="0"/>
              </w:numPr>
              <w:spacing w:before="0"/>
              <w:jc w:val="both"/>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运营团队中</w:t>
            </w:r>
            <w:r>
              <w:rPr>
                <w:rFonts w:hint="eastAsia" w:ascii="宋体" w:hAnsi="宋体" w:eastAsia="宋体" w:cs="宋体"/>
                <w:b w:val="0"/>
                <w:bCs w:val="0"/>
                <w:color w:val="auto"/>
                <w:sz w:val="24"/>
                <w:szCs w:val="24"/>
                <w:highlight w:val="none"/>
                <w:lang w:val="en-US" w:eastAsia="zh-CN"/>
              </w:rPr>
              <w:t>1名讲解员持有红十字救护员证书</w:t>
            </w:r>
            <w:r>
              <w:rPr>
                <w:rFonts w:hint="eastAsia" w:ascii="宋体" w:hAnsi="宋体" w:cs="宋体"/>
                <w:b w:val="0"/>
                <w:bCs w:val="0"/>
                <w:color w:val="auto"/>
                <w:sz w:val="24"/>
                <w:szCs w:val="24"/>
                <w:highlight w:val="none"/>
                <w:lang w:val="en-US" w:eastAsia="zh-CN"/>
              </w:rPr>
              <w:t>的得2分，每增加一名得2分。本项最高得4分。</w:t>
            </w:r>
          </w:p>
          <w:p>
            <w:pPr>
              <w:pStyle w:val="392"/>
              <w:numPr>
                <w:ilvl w:val="0"/>
                <w:numId w:val="0"/>
              </w:numPr>
              <w:spacing w:before="0"/>
              <w:jc w:val="both"/>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拟派人员组织结构完全满足用户要求，工作经验丰富、专业性强的得5分，拟派人员组织结构基本满足用户要求，具有一定的经验和专业性的得3分，拟派人员组织结构没有类似经验、专业能力较差的不得分。本项最高得5分。</w:t>
            </w:r>
          </w:p>
        </w:tc>
        <w:tc>
          <w:tcPr>
            <w:tcW w:w="1097"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463"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客观分</w:t>
            </w:r>
            <w:r>
              <w:rPr>
                <w:rFonts w:hint="eastAsia" w:ascii="宋体" w:hAnsi="宋体" w:cs="宋体"/>
                <w:bCs/>
                <w:color w:val="auto"/>
                <w:sz w:val="24"/>
                <w:szCs w:val="24"/>
                <w:highlight w:val="none"/>
                <w:lang w:val="en-US" w:eastAsia="zh-CN"/>
              </w:rPr>
              <w:t>/</w:t>
            </w:r>
            <w:bookmarkStart w:id="230" w:name="_GoBack"/>
            <w:bookmarkEnd w:id="230"/>
            <w:r>
              <w:rPr>
                <w:rFonts w:hint="eastAsia" w:ascii="宋体" w:hAnsi="宋体" w:eastAsia="宋体" w:cs="宋体"/>
                <w:color w:val="auto"/>
                <w:sz w:val="24"/>
                <w:szCs w:val="24"/>
                <w:highlight w:val="none"/>
                <w:lang w:val="en-US" w:eastAsia="zh-CN"/>
              </w:rPr>
              <w:t>主</w:t>
            </w:r>
            <w:r>
              <w:rPr>
                <w:rFonts w:hint="eastAsia" w:ascii="宋体" w:hAnsi="宋体" w:cs="宋体"/>
                <w:bCs/>
                <w:color w:val="auto"/>
                <w:sz w:val="24"/>
                <w:szCs w:val="24"/>
                <w:highlight w:val="none"/>
                <w:lang w:val="en-US" w:eastAsia="zh-CN"/>
              </w:rPr>
              <w:t>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4173" w:type="dxa"/>
            <w:vAlign w:val="center"/>
          </w:tcPr>
          <w:p>
            <w:pPr>
              <w:adjustRightInd w:val="0"/>
              <w:snapToGrid w:val="0"/>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人员管理</w:t>
            </w:r>
            <w:r>
              <w:rPr>
                <w:rFonts w:hint="eastAsia" w:ascii="宋体" w:hAnsi="宋体" w:eastAsia="宋体" w:cs="宋体"/>
                <w:b/>
                <w:color w:val="auto"/>
                <w:sz w:val="24"/>
                <w:szCs w:val="24"/>
                <w:highlight w:val="none"/>
                <w:lang w:val="en-US" w:eastAsia="zh-CN"/>
              </w:rPr>
              <w:t>及稳定性保障</w:t>
            </w:r>
            <w:r>
              <w:rPr>
                <w:rFonts w:hint="eastAsia" w:ascii="宋体" w:hAnsi="宋体" w:eastAsia="宋体" w:cs="宋体"/>
                <w:b/>
                <w:color w:val="auto"/>
                <w:sz w:val="24"/>
                <w:szCs w:val="24"/>
                <w:highlight w:val="none"/>
              </w:rPr>
              <w:t>：</w:t>
            </w:r>
          </w:p>
          <w:p>
            <w:pPr>
              <w:spacing w:line="360" w:lineRule="auto"/>
              <w:rPr>
                <w:rFonts w:hint="eastAsia" w:ascii="宋体" w:hAnsi="宋体" w:eastAsia="宋体" w:cs="宋体"/>
                <w:bCs/>
                <w:color w:val="auto"/>
                <w:spacing w:val="-4"/>
                <w:sz w:val="24"/>
                <w:szCs w:val="24"/>
                <w:highlight w:val="none"/>
              </w:rPr>
            </w:pPr>
            <w:r>
              <w:rPr>
                <w:rFonts w:hint="eastAsia" w:ascii="宋体" w:hAnsi="宋体" w:eastAsia="宋体" w:cs="宋体"/>
                <w:bCs/>
                <w:color w:val="auto"/>
                <w:spacing w:val="-4"/>
                <w:sz w:val="24"/>
                <w:szCs w:val="24"/>
                <w:highlight w:val="none"/>
              </w:rPr>
              <w:t>（1）</w:t>
            </w:r>
            <w:r>
              <w:rPr>
                <w:rFonts w:hint="eastAsia" w:ascii="宋体" w:hAnsi="宋体" w:eastAsia="宋体" w:cs="宋体"/>
                <w:bCs/>
                <w:color w:val="auto"/>
                <w:spacing w:val="-4"/>
                <w:sz w:val="24"/>
                <w:szCs w:val="24"/>
                <w:highlight w:val="none"/>
                <w:lang w:val="en-US" w:eastAsia="zh-CN"/>
              </w:rPr>
              <w:t>驻场</w:t>
            </w:r>
            <w:r>
              <w:rPr>
                <w:rFonts w:hint="eastAsia" w:ascii="宋体" w:hAnsi="宋体" w:eastAsia="宋体" w:cs="宋体"/>
                <w:bCs/>
                <w:color w:val="auto"/>
                <w:spacing w:val="-4"/>
                <w:sz w:val="24"/>
                <w:szCs w:val="24"/>
                <w:highlight w:val="none"/>
              </w:rPr>
              <w:t>服务人员的管理制度</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bCs/>
                <w:color w:val="auto"/>
                <w:spacing w:val="-4"/>
                <w:sz w:val="24"/>
                <w:szCs w:val="24"/>
                <w:highlight w:val="none"/>
                <w:lang w:val="en-US" w:eastAsia="zh-CN"/>
              </w:rPr>
              <w:t>制度</w:t>
            </w:r>
            <w:r>
              <w:rPr>
                <w:rFonts w:hint="eastAsia" w:ascii="宋体" w:hAnsi="宋体" w:eastAsia="宋体" w:cs="宋体"/>
                <w:bCs/>
                <w:color w:val="auto"/>
                <w:spacing w:val="-4"/>
                <w:sz w:val="24"/>
                <w:szCs w:val="24"/>
                <w:highlight w:val="none"/>
              </w:rPr>
              <w:t>健全程度</w:t>
            </w:r>
            <w:r>
              <w:rPr>
                <w:rFonts w:hint="eastAsia" w:ascii="宋体" w:hAnsi="宋体" w:eastAsia="宋体" w:cs="宋体"/>
                <w:bCs/>
                <w:color w:val="auto"/>
                <w:spacing w:val="-4"/>
                <w:sz w:val="24"/>
                <w:szCs w:val="24"/>
                <w:highlight w:val="none"/>
                <w:lang w:val="en-US" w:eastAsia="zh-CN"/>
              </w:rPr>
              <w:t>得3</w:t>
            </w:r>
            <w:r>
              <w:rPr>
                <w:rFonts w:hint="eastAsia" w:ascii="宋体" w:hAnsi="宋体" w:eastAsia="宋体" w:cs="宋体"/>
                <w:bCs/>
                <w:color w:val="auto"/>
                <w:spacing w:val="-4"/>
                <w:sz w:val="24"/>
                <w:szCs w:val="24"/>
                <w:highlight w:val="none"/>
              </w:rPr>
              <w:t>分</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bCs/>
                <w:color w:val="auto"/>
                <w:spacing w:val="-4"/>
                <w:sz w:val="24"/>
                <w:szCs w:val="24"/>
                <w:highlight w:val="none"/>
                <w:lang w:val="en-US" w:eastAsia="zh-CN"/>
              </w:rPr>
              <w:t>有所欠缺得1分，不提供或不满足不得分，本项最高得3分</w:t>
            </w:r>
            <w:r>
              <w:rPr>
                <w:rFonts w:hint="eastAsia" w:ascii="宋体" w:hAnsi="宋体" w:eastAsia="宋体" w:cs="宋体"/>
                <w:bCs/>
                <w:color w:val="auto"/>
                <w:spacing w:val="-4"/>
                <w:sz w:val="24"/>
                <w:szCs w:val="24"/>
                <w:highlight w:val="none"/>
              </w:rPr>
              <w:t>。</w:t>
            </w:r>
          </w:p>
          <w:p>
            <w:pPr>
              <w:pStyle w:val="392"/>
              <w:numPr>
                <w:ilvl w:val="0"/>
                <w:numId w:val="0"/>
              </w:numPr>
              <w:spacing w:before="0"/>
              <w:jc w:val="both"/>
              <w:rPr>
                <w:rFonts w:hint="eastAsia" w:ascii="宋体" w:hAnsi="宋体" w:eastAsia="宋体" w:cs="宋体"/>
                <w:b/>
                <w:bCs/>
                <w:color w:val="auto"/>
                <w:sz w:val="24"/>
                <w:szCs w:val="24"/>
                <w:highlight w:val="none"/>
                <w:lang w:val="en-US"/>
              </w:rPr>
            </w:pPr>
            <w:r>
              <w:rPr>
                <w:rFonts w:hint="eastAsia" w:ascii="宋体" w:hAnsi="宋体" w:eastAsia="宋体" w:cs="宋体"/>
                <w:bCs/>
                <w:color w:val="auto"/>
                <w:spacing w:val="-4"/>
                <w:sz w:val="24"/>
                <w:szCs w:val="24"/>
                <w:highlight w:val="none"/>
              </w:rPr>
              <w:t>（2）服务人员稳定性及保障措施</w:t>
            </w:r>
            <w:r>
              <w:rPr>
                <w:rFonts w:hint="eastAsia" w:ascii="宋体" w:hAnsi="宋体" w:eastAsia="宋体" w:cs="宋体"/>
                <w:bCs/>
                <w:color w:val="auto"/>
                <w:spacing w:val="-4"/>
                <w:sz w:val="24"/>
                <w:szCs w:val="24"/>
                <w:highlight w:val="none"/>
                <w:lang w:eastAsia="zh-CN"/>
              </w:rPr>
              <w:t>：</w:t>
            </w:r>
            <w:r>
              <w:rPr>
                <w:rFonts w:hint="eastAsia" w:ascii="宋体" w:hAnsi="宋体" w:eastAsia="宋体" w:cs="宋体"/>
                <w:color w:val="auto"/>
                <w:sz w:val="24"/>
                <w:szCs w:val="24"/>
                <w:highlight w:val="none"/>
                <w:lang w:val="en-US" w:eastAsia="zh-CN"/>
              </w:rPr>
              <w:t>措施科学可行得5分，内容有所欠缺得3分，</w:t>
            </w:r>
            <w:r>
              <w:rPr>
                <w:rFonts w:hint="eastAsia" w:ascii="宋体" w:hAnsi="宋体" w:eastAsia="宋体" w:cs="宋体"/>
                <w:b w:val="0"/>
                <w:bCs w:val="0"/>
                <w:color w:val="auto"/>
                <w:sz w:val="24"/>
                <w:szCs w:val="24"/>
                <w:highlight w:val="none"/>
                <w:lang w:val="en-US" w:eastAsia="zh-CN"/>
              </w:rPr>
              <w:t>方案内容较为简单，不够合理的1分，不提供或不满足不得分。本项最高得5分。</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463" w:type="dxa"/>
            <w:vAlign w:val="center"/>
          </w:tcPr>
          <w:p>
            <w:pPr>
              <w:pStyle w:val="392"/>
              <w:spacing w:before="0"/>
              <w:ind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4173" w:type="dxa"/>
            <w:vAlign w:val="center"/>
          </w:tcPr>
          <w:p>
            <w:pPr>
              <w:pStyle w:val="392"/>
              <w:numPr>
                <w:ilvl w:val="0"/>
                <w:numId w:val="0"/>
              </w:numPr>
              <w:spacing w:before="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应对突发情况保障</w:t>
            </w:r>
            <w:r>
              <w:rPr>
                <w:rFonts w:hint="eastAsia" w:ascii="宋体" w:hAnsi="宋体" w:eastAsia="宋体" w:cs="宋体"/>
                <w:b/>
                <w:bCs/>
                <w:color w:val="auto"/>
                <w:sz w:val="24"/>
                <w:szCs w:val="24"/>
                <w:highlight w:val="none"/>
              </w:rPr>
              <w:t>措施</w:t>
            </w:r>
            <w:r>
              <w:rPr>
                <w:rFonts w:hint="eastAsia" w:ascii="宋体" w:hAnsi="宋体" w:eastAsia="宋体" w:cs="宋体"/>
                <w:b/>
                <w:bCs/>
                <w:color w:val="auto"/>
                <w:sz w:val="24"/>
                <w:szCs w:val="24"/>
                <w:highlight w:val="none"/>
                <w:lang w:eastAsia="zh-CN"/>
              </w:rPr>
              <w:t>：</w:t>
            </w:r>
          </w:p>
          <w:p>
            <w:pPr>
              <w:pStyle w:val="392"/>
              <w:numPr>
                <w:ilvl w:val="0"/>
                <w:numId w:val="0"/>
              </w:numPr>
              <w:spacing w:before="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针对该项目可能发生的突发事件、危机事件的处理方案和防范措施，可实施性强</w:t>
            </w:r>
            <w:r>
              <w:rPr>
                <w:rFonts w:hint="eastAsia" w:ascii="宋体" w:hAnsi="宋体" w:eastAsia="宋体" w:cs="宋体"/>
                <w:color w:val="auto"/>
                <w:sz w:val="24"/>
                <w:szCs w:val="24"/>
                <w:highlight w:val="none"/>
                <w:lang w:eastAsia="zh-CN"/>
              </w:rPr>
              <w:t>，方案内容合理</w:t>
            </w:r>
            <w:r>
              <w:rPr>
                <w:rFonts w:hint="eastAsia" w:ascii="宋体" w:hAnsi="宋体" w:eastAsia="宋体" w:cs="宋体"/>
                <w:color w:val="auto"/>
                <w:sz w:val="24"/>
                <w:szCs w:val="24"/>
                <w:highlight w:val="none"/>
                <w:lang w:val="en-US" w:eastAsia="zh-CN"/>
              </w:rPr>
              <w:t>的得5分，</w:t>
            </w:r>
            <w:r>
              <w:rPr>
                <w:rFonts w:hint="eastAsia" w:ascii="宋体" w:hAnsi="宋体" w:eastAsia="宋体" w:cs="宋体"/>
                <w:color w:val="auto"/>
                <w:sz w:val="24"/>
                <w:szCs w:val="24"/>
                <w:highlight w:val="none"/>
                <w:lang w:eastAsia="zh-CN"/>
              </w:rPr>
              <w:t>方案内容</w:t>
            </w:r>
            <w:r>
              <w:rPr>
                <w:rFonts w:hint="eastAsia" w:ascii="宋体" w:hAnsi="宋体" w:eastAsia="宋体" w:cs="宋体"/>
                <w:color w:val="auto"/>
                <w:sz w:val="24"/>
                <w:szCs w:val="24"/>
                <w:highlight w:val="none"/>
                <w:lang w:val="en-US" w:eastAsia="zh-CN"/>
              </w:rPr>
              <w:t>欠缺的得3分，</w:t>
            </w:r>
            <w:r>
              <w:rPr>
                <w:rFonts w:hint="eastAsia" w:ascii="宋体" w:hAnsi="宋体" w:eastAsia="宋体" w:cs="宋体"/>
                <w:color w:val="auto"/>
                <w:sz w:val="24"/>
                <w:szCs w:val="24"/>
                <w:highlight w:val="none"/>
              </w:rPr>
              <w:t>可实施性</w:t>
            </w:r>
            <w:r>
              <w:rPr>
                <w:rFonts w:hint="eastAsia" w:ascii="宋体" w:hAnsi="宋体" w:eastAsia="宋体" w:cs="宋体"/>
                <w:color w:val="auto"/>
                <w:sz w:val="24"/>
                <w:szCs w:val="24"/>
                <w:highlight w:val="none"/>
                <w:lang w:val="en-US" w:eastAsia="zh-CN"/>
              </w:rPr>
              <w:t>较弱的1分，</w:t>
            </w:r>
            <w:r>
              <w:rPr>
                <w:rFonts w:hint="eastAsia" w:ascii="宋体" w:hAnsi="宋体" w:eastAsia="宋体" w:cs="宋体"/>
                <w:bCs/>
                <w:color w:val="auto"/>
                <w:sz w:val="24"/>
                <w:szCs w:val="24"/>
                <w:highlight w:val="none"/>
              </w:rPr>
              <w:t>未提供或不可行的不得分，最高得</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分</w:t>
            </w:r>
            <w:r>
              <w:rPr>
                <w:rFonts w:hint="eastAsia" w:ascii="宋体" w:hAnsi="宋体" w:eastAsia="宋体" w:cs="宋体"/>
                <w:color w:val="auto"/>
                <w:sz w:val="24"/>
                <w:szCs w:val="24"/>
                <w:highlight w:val="none"/>
              </w:rPr>
              <w:t>。</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61"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4173" w:type="dxa"/>
            <w:vAlign w:val="center"/>
          </w:tcPr>
          <w:p>
            <w:pPr>
              <w:pStyle w:val="392"/>
              <w:spacing w:before="0"/>
              <w:ind w:firstLine="0" w:firstLineChars="0"/>
              <w:jc w:val="both"/>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合理化建议及优惠承诺</w:t>
            </w:r>
            <w:r>
              <w:rPr>
                <w:rFonts w:hint="eastAsia" w:ascii="宋体" w:hAnsi="宋体" w:eastAsia="宋体" w:cs="宋体"/>
                <w:b/>
                <w:bCs/>
                <w:color w:val="auto"/>
                <w:sz w:val="24"/>
                <w:szCs w:val="24"/>
                <w:highlight w:val="none"/>
                <w:lang w:eastAsia="zh-CN"/>
              </w:rPr>
              <w:t>：</w:t>
            </w:r>
          </w:p>
          <w:p>
            <w:pPr>
              <w:pStyle w:val="392"/>
              <w:spacing w:before="0"/>
              <w:ind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投标人对本项目的</w:t>
            </w:r>
            <w:r>
              <w:rPr>
                <w:rFonts w:hint="eastAsia" w:ascii="宋体" w:hAnsi="宋体" w:cs="宋体"/>
                <w:color w:val="auto"/>
                <w:sz w:val="24"/>
                <w:szCs w:val="24"/>
                <w:highlight w:val="none"/>
                <w:lang w:val="en-US" w:eastAsia="zh-CN"/>
              </w:rPr>
              <w:t>提供合理化建议及优惠承诺，每提供一条</w:t>
            </w:r>
            <w:r>
              <w:rPr>
                <w:rFonts w:hint="eastAsia" w:ascii="宋体" w:hAnsi="宋体" w:eastAsia="宋体" w:cs="宋体"/>
                <w:bCs w:val="0"/>
                <w:color w:val="auto"/>
                <w:sz w:val="24"/>
                <w:szCs w:val="24"/>
                <w:highlight w:val="none"/>
              </w:rPr>
              <w:t>合理、可行</w:t>
            </w:r>
            <w:r>
              <w:rPr>
                <w:rFonts w:hint="eastAsia" w:ascii="宋体" w:hAnsi="宋体" w:cs="宋体"/>
                <w:bCs w:val="0"/>
                <w:color w:val="auto"/>
                <w:sz w:val="24"/>
                <w:szCs w:val="24"/>
                <w:highlight w:val="none"/>
                <w:lang w:val="en-US" w:eastAsia="zh-CN"/>
              </w:rPr>
              <w:t>的合理化建议及优惠承诺得1分。</w:t>
            </w:r>
            <w:r>
              <w:rPr>
                <w:rFonts w:hint="eastAsia" w:ascii="宋体" w:hAnsi="宋体" w:eastAsia="宋体" w:cs="宋体"/>
                <w:bCs w:val="0"/>
                <w:color w:val="auto"/>
                <w:sz w:val="24"/>
                <w:szCs w:val="24"/>
                <w:highlight w:val="none"/>
                <w:lang w:val="en-US" w:eastAsia="zh-CN"/>
              </w:rPr>
              <w:t>本项</w:t>
            </w:r>
            <w:r>
              <w:rPr>
                <w:rFonts w:hint="eastAsia" w:ascii="宋体" w:hAnsi="宋体" w:cs="宋体"/>
                <w:bCs w:val="0"/>
                <w:color w:val="auto"/>
                <w:sz w:val="24"/>
                <w:szCs w:val="24"/>
                <w:highlight w:val="none"/>
                <w:lang w:val="en-US" w:eastAsia="zh-CN"/>
              </w:rPr>
              <w:t>目最高得5分。</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4173" w:type="dxa"/>
            <w:vAlign w:val="center"/>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评审过程中，不得去掉报价中的最高报价和最低报价。</w:t>
            </w:r>
          </w:p>
        </w:tc>
        <w:tc>
          <w:tcPr>
            <w:tcW w:w="1097"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463"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pStyle w:val="392"/>
        <w:spacing w:before="0"/>
        <w:ind w:firstLine="643"/>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adjustRightInd/>
        <w:spacing w:line="360"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color w:val="auto"/>
          <w:kern w:val="0"/>
          <w:sz w:val="24"/>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二、磋商小组的组成</w:t>
      </w:r>
    </w:p>
    <w:p>
      <w:pPr>
        <w:pStyle w:val="392"/>
        <w:spacing w:before="0"/>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人员不得参加本机构代理的采购项目的评审。</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2.1参加采购活动前3年内与供应商存在劳动关系；</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2.2参加采购活动前3年内担任供应商的董事、监事；</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2.3参加采购活动前3年内是供应商的控股股东或者实际控制人；</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或者有关部门报告评审中发现的违法行为；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2"/>
        <w:spacing w:before="0"/>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3"/>
        <w:spacing w:line="360"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pacing w:line="360"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7"/>
        <w:numPr>
          <w:ilvl w:val="0"/>
          <w:numId w:val="7"/>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7"/>
        <w:numPr>
          <w:ilvl w:val="0"/>
          <w:numId w:val="7"/>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7"/>
        <w:numPr>
          <w:ilvl w:val="0"/>
          <w:numId w:val="7"/>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7"/>
        <w:numPr>
          <w:ilvl w:val="0"/>
          <w:numId w:val="7"/>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7"/>
        <w:numPr>
          <w:ilvl w:val="0"/>
          <w:numId w:val="7"/>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处获得其他供应商的相关情况并修改其响应文件；</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的授意撤换、修改投标文件或者响应文件；</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之间、供应商相互之间，为谋求特定供应商中标、成交或者排斥其他供应商的其他串通行为。</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7"/>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pacing w:line="360" w:lineRule="auto"/>
        <w:ind w:firstLine="407" w:firstLineChars="194"/>
        <w:rPr>
          <w:rFonts w:asciiTheme="minorEastAsia" w:hAnsiTheme="minorEastAsia" w:eastAsiaTheme="minorEastAsia"/>
          <w:color w:val="auto"/>
          <w:sz w:val="24"/>
          <w:szCs w:val="21"/>
          <w:highlight w:val="none"/>
        </w:rPr>
      </w:pPr>
      <w:r>
        <w:rPr>
          <w:rFonts w:hint="eastAsia" w:cs="Arial"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 w:val="24"/>
          <w:szCs w:val="21"/>
          <w:highlight w:val="none"/>
        </w:rPr>
        <w:t>出现下列情形之一的，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lang w:eastAsia="zh-CN"/>
        </w:rPr>
        <w:t>采购代理机构</w:t>
      </w:r>
      <w:r>
        <w:rPr>
          <w:rFonts w:hint="eastAsia" w:cs="仿宋_GB2312" w:asciiTheme="minorEastAsia" w:hAnsiTheme="minorEastAsia" w:eastAsiaTheme="minorEastAsia"/>
          <w:b/>
          <w:color w:val="auto"/>
          <w:sz w:val="24"/>
          <w:highlight w:val="none"/>
        </w:rPr>
        <w:t>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审查的，</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将向同级政府采购监督管理部门报告并予以处理。</w:t>
      </w:r>
    </w:p>
    <w:p>
      <w:pPr>
        <w:pStyle w:val="392"/>
        <w:spacing w:before="0"/>
        <w:ind w:firstLine="0" w:firstLineChars="0"/>
        <w:rPr>
          <w:rFonts w:cs="仿宋_GB2312" w:asciiTheme="minorEastAsia" w:hAnsiTheme="minorEastAsia" w:eastAsiaTheme="minorEastAsia"/>
          <w:b/>
          <w:color w:val="auto"/>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第六部分</w:t>
      </w:r>
      <w:bookmarkEnd w:id="65"/>
      <w:r>
        <w:rPr>
          <w:rFonts w:hint="eastAsia" w:cs="仿宋_GB2312" w:asciiTheme="minorEastAsia" w:hAnsiTheme="minorEastAsia" w:eastAsiaTheme="minorEastAsia"/>
          <w:b/>
          <w:color w:val="auto"/>
          <w:sz w:val="36"/>
          <w:szCs w:val="36"/>
          <w:highlight w:val="none"/>
        </w:rPr>
        <w:t xml:space="preserve">  拟签订的合同文本</w:t>
      </w:r>
    </w:p>
    <w:p>
      <w:pPr>
        <w:pStyle w:val="34"/>
        <w:snapToGrid w:val="0"/>
        <w:spacing w:line="360" w:lineRule="auto"/>
        <w:jc w:val="center"/>
        <w:rPr>
          <w:rFonts w:hAnsi="宋体" w:cs="仿宋"/>
          <w:b/>
          <w:bCs/>
          <w:color w:val="auto"/>
          <w:sz w:val="24"/>
          <w:szCs w:val="24"/>
          <w:highlight w:val="none"/>
        </w:rPr>
      </w:pPr>
      <w:bookmarkStart w:id="66" w:name="第五部分"/>
      <w:bookmarkStart w:id="67" w:name="_Toc86217003"/>
      <w:r>
        <w:rPr>
          <w:rFonts w:hint="eastAsia" w:hAnsi="宋体" w:cs="仿宋"/>
          <w:b/>
          <w:bCs/>
          <w:color w:val="auto"/>
          <w:sz w:val="24"/>
          <w:szCs w:val="24"/>
          <w:highlight w:val="none"/>
        </w:rPr>
        <w:t>（本合同为合同样稿，最终稿由双方协商后确定）</w:t>
      </w: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合同编号：</w:t>
      </w:r>
      <w:r>
        <w:rPr>
          <w:rFonts w:hint="eastAsia" w:asciiTheme="minorEastAsia" w:hAnsiTheme="minorEastAsia" w:eastAsiaTheme="minorEastAsia"/>
          <w:color w:val="auto"/>
          <w:sz w:val="24"/>
          <w:highlight w:val="none"/>
          <w:u w:val="single"/>
        </w:rPr>
        <w:t xml:space="preserve">           </w:t>
      </w:r>
    </w:p>
    <w:p>
      <w:pPr>
        <w:spacing w:line="360" w:lineRule="auto"/>
        <w:rPr>
          <w:rFonts w:asciiTheme="minorEastAsia" w:hAnsiTheme="minorEastAsia" w:eastAsiaTheme="minorEastAsia"/>
          <w:color w:val="auto"/>
          <w:sz w:val="24"/>
          <w:highlight w:val="none"/>
          <w:u w:val="single"/>
        </w:rPr>
      </w:pPr>
    </w:p>
    <w:p>
      <w:pPr>
        <w:pStyle w:val="281"/>
        <w:ind w:leftChars="0" w:firstLine="2465" w:firstLineChars="682"/>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政府采购合同书</w:t>
      </w:r>
    </w:p>
    <w:p>
      <w:pPr>
        <w:pStyle w:val="281"/>
        <w:rPr>
          <w:rFonts w:asciiTheme="minorEastAsia" w:hAnsiTheme="minorEastAsia" w:eastAsiaTheme="minorEastAsia"/>
          <w:color w:val="auto"/>
          <w:szCs w:val="24"/>
          <w:highlight w:val="none"/>
        </w:rPr>
      </w:pPr>
    </w:p>
    <w:p>
      <w:pPr>
        <w:pStyle w:val="281"/>
        <w:rPr>
          <w:rFonts w:asciiTheme="minorEastAsia" w:hAnsiTheme="minorEastAsia" w:eastAsiaTheme="minorEastAsia"/>
          <w:color w:val="auto"/>
          <w:szCs w:val="24"/>
          <w:highlight w:val="none"/>
        </w:rPr>
      </w:pP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w:t>
      </w:r>
      <w:r>
        <w:rPr>
          <w:rFonts w:hint="eastAsia" w:asciiTheme="minorEastAsia" w:hAnsiTheme="minorEastAsia" w:eastAsiaTheme="minorEastAsia"/>
          <w:color w:val="auto"/>
          <w:sz w:val="24"/>
          <w:highlight w:val="none"/>
          <w:u w:val="single"/>
        </w:rPr>
        <w:t xml:space="preserve">                                   </w:t>
      </w:r>
    </w:p>
    <w:p>
      <w:pPr>
        <w:pStyle w:val="616"/>
        <w:spacing w:before="12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w:t>
      </w:r>
      <w:r>
        <w:rPr>
          <w:rFonts w:hint="eastAsia" w:asciiTheme="minorEastAsia" w:hAnsiTheme="minorEastAsia" w:eastAsiaTheme="minorEastAsia"/>
          <w:color w:val="auto"/>
          <w:sz w:val="24"/>
          <w:highlight w:val="none"/>
          <w:u w:val="single"/>
        </w:rPr>
        <w:t xml:space="preserve">                                     </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ind w:firstLine="562" w:firstLineChars="200"/>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第一部分 合同书</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u w:val="single"/>
          <w:lang w:val="en-US" w:eastAsia="zh-CN"/>
        </w:rPr>
        <w:t xml:space="preserve">2023 </w:t>
      </w:r>
      <w:r>
        <w:rPr>
          <w:rFonts w:hint="eastAsia" w:asciiTheme="minorEastAsia" w:hAnsiTheme="minorEastAsia" w:eastAsiaTheme="minorEastAsia"/>
          <w:color w:val="auto"/>
          <w:sz w:val="24"/>
          <w:highlight w:val="none"/>
          <w:lang w:val="zh-CN"/>
        </w:rPr>
        <w:t>年</w:t>
      </w:r>
      <w:r>
        <w:rPr>
          <w:rFonts w:hint="eastAsia" w:asciiTheme="minorEastAsia" w:hAnsiTheme="minorEastAsia" w:eastAsiaTheme="minorEastAsia"/>
          <w:color w:val="auto"/>
          <w:sz w:val="24"/>
          <w:highlight w:val="none"/>
          <w:u w:val="single"/>
          <w:lang w:val="zh-CN"/>
        </w:rPr>
        <w:t xml:space="preserve">    </w:t>
      </w:r>
      <w:r>
        <w:rPr>
          <w:rFonts w:hint="eastAsia" w:asciiTheme="minorEastAsia" w:hAnsiTheme="minorEastAsia" w:eastAsiaTheme="minorEastAsia"/>
          <w:color w:val="auto"/>
          <w:sz w:val="24"/>
          <w:highlight w:val="none"/>
          <w:lang w:val="zh-CN"/>
        </w:rPr>
        <w:t>月</w:t>
      </w:r>
      <w:r>
        <w:rPr>
          <w:rFonts w:hint="eastAsia" w:asciiTheme="minorEastAsia" w:hAnsiTheme="minorEastAsia" w:eastAsiaTheme="minorEastAsia"/>
          <w:color w:val="auto"/>
          <w:sz w:val="24"/>
          <w:highlight w:val="none"/>
          <w:u w:val="single"/>
          <w:lang w:val="zh-CN"/>
        </w:rPr>
        <w:t xml:space="preserve">    </w:t>
      </w:r>
      <w:r>
        <w:rPr>
          <w:rFonts w:hint="eastAsia" w:asciiTheme="minorEastAsia" w:hAnsiTheme="minorEastAsia" w:eastAsiaTheme="minorEastAsia"/>
          <w:color w:val="auto"/>
          <w:sz w:val="24"/>
          <w:highlight w:val="none"/>
          <w:lang w:val="zh-CN"/>
        </w:rPr>
        <w:t>日</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lang w:eastAsia="zh-CN"/>
        </w:rPr>
        <w:t>浙江省红十字会</w:t>
      </w:r>
      <w:r>
        <w:rPr>
          <w:rFonts w:hint="eastAsia" w:asciiTheme="minorEastAsia" w:hAnsiTheme="minorEastAsia" w:eastAsiaTheme="minorEastAsia"/>
          <w:color w:val="auto"/>
          <w:sz w:val="24"/>
          <w:highlight w:val="none"/>
        </w:rPr>
        <w:t>以</w:t>
      </w:r>
      <w:r>
        <w:rPr>
          <w:rFonts w:hint="eastAsia" w:asciiTheme="minorEastAsia" w:hAnsiTheme="minorEastAsia" w:eastAsiaTheme="minorEastAsia"/>
          <w:color w:val="auto"/>
          <w:sz w:val="24"/>
          <w:highlight w:val="none"/>
          <w:u w:val="single"/>
          <w:lang w:val="en-US" w:eastAsia="zh-CN"/>
        </w:rPr>
        <w:t>竞争性磋商方式</w:t>
      </w:r>
      <w:r>
        <w:rPr>
          <w:rFonts w:hint="eastAsia" w:asciiTheme="minorEastAsia" w:hAnsiTheme="minorEastAsia" w:eastAsiaTheme="minorEastAsia"/>
          <w:color w:val="auto"/>
          <w:sz w:val="24"/>
          <w:highlight w:val="none"/>
        </w:rPr>
        <w:t>对</w:t>
      </w:r>
      <w:r>
        <w:rPr>
          <w:rFonts w:hint="eastAsia" w:asciiTheme="minorEastAsia" w:hAnsiTheme="minorEastAsia" w:eastAsiaTheme="minorEastAsia"/>
          <w:color w:val="auto"/>
          <w:sz w:val="24"/>
          <w:highlight w:val="none"/>
          <w:u w:val="single"/>
          <w:lang w:eastAsia="zh-CN"/>
        </w:rPr>
        <w:t>浙江省红十字生命教育体验馆运营维护项目</w:t>
      </w:r>
      <w:r>
        <w:rPr>
          <w:rFonts w:hint="eastAsia" w:asciiTheme="minorEastAsia" w:hAnsiTheme="minorEastAsia" w:eastAsiaTheme="minorEastAsia"/>
          <w:color w:val="auto"/>
          <w:sz w:val="24"/>
          <w:highlight w:val="none"/>
        </w:rPr>
        <w:t>项目进行了采购。经</w:t>
      </w:r>
      <w:r>
        <w:rPr>
          <w:rFonts w:hint="eastAsia" w:asciiTheme="minorEastAsia" w:hAnsiTheme="minorEastAsia" w:eastAsiaTheme="minorEastAsia"/>
          <w:color w:val="auto"/>
          <w:sz w:val="24"/>
          <w:highlight w:val="none"/>
          <w:u w:val="single"/>
        </w:rPr>
        <w:t>（相关评定主体名称）</w:t>
      </w:r>
      <w:r>
        <w:rPr>
          <w:rFonts w:hint="eastAsia" w:asciiTheme="minorEastAsia" w:hAnsiTheme="minorEastAsia" w:eastAsiaTheme="minorEastAsia"/>
          <w:color w:val="auto"/>
          <w:sz w:val="24"/>
          <w:highlight w:val="none"/>
        </w:rPr>
        <w:t>评定，</w:t>
      </w:r>
      <w:r>
        <w:rPr>
          <w:rFonts w:hint="eastAsia" w:asciiTheme="minorEastAsia" w:hAnsiTheme="minorEastAsia" w:eastAsiaTheme="minorEastAsia"/>
          <w:color w:val="auto"/>
          <w:sz w:val="24"/>
          <w:highlight w:val="none"/>
          <w:u w:val="single"/>
        </w:rPr>
        <w:t>（成交供应商名称）</w:t>
      </w:r>
      <w:r>
        <w:rPr>
          <w:rFonts w:hint="eastAsia" w:asciiTheme="minorEastAsia" w:hAnsiTheme="minorEastAsia" w:eastAsiaTheme="minorEastAsia"/>
          <w:color w:val="auto"/>
          <w:sz w:val="24"/>
          <w:highlight w:val="none"/>
        </w:rPr>
        <w:t>为该项目成交供应商。现于成交通知书发出之日起</w:t>
      </w:r>
      <w:r>
        <w:rPr>
          <w:rFonts w:hint="eastAsia" w:asciiTheme="minorEastAsia" w:hAnsiTheme="minorEastAsia" w:eastAsiaTheme="minorEastAsia"/>
          <w:color w:val="auto"/>
          <w:sz w:val="24"/>
          <w:highlight w:val="none"/>
          <w:lang w:val="en-US" w:eastAsia="zh-CN"/>
        </w:rPr>
        <w:t>三十</w:t>
      </w:r>
      <w:r>
        <w:rPr>
          <w:rFonts w:hint="eastAsia" w:asciiTheme="minorEastAsia" w:hAnsiTheme="minorEastAsia" w:eastAsiaTheme="minorEastAsia"/>
          <w:color w:val="auto"/>
          <w:sz w:val="24"/>
          <w:highlight w:val="none"/>
        </w:rPr>
        <w:t>日内，按照采购文件确定的事项签订本合同。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根据《中华人民共和国民法典》、《中华人民共和国政府采购法》等相关法律法规之规定，按照平等、自愿、公平和诚实信用的原则，经</w:t>
      </w:r>
      <w:r>
        <w:rPr>
          <w:rFonts w:hint="eastAsia" w:asciiTheme="minorEastAsia" w:hAnsiTheme="minorEastAsia" w:eastAsiaTheme="minorEastAsia"/>
          <w:color w:val="auto"/>
          <w:sz w:val="24"/>
          <w:highlight w:val="none"/>
          <w:u w:val="single"/>
          <w:lang w:eastAsia="zh-CN"/>
        </w:rPr>
        <w:t>浙江省红十</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lang w:eastAsia="zh-CN"/>
        </w:rPr>
        <w:t>字会</w:t>
      </w:r>
      <w:r>
        <w:rPr>
          <w:rFonts w:hint="eastAsia" w:asciiTheme="minorEastAsia" w:hAnsiTheme="minorEastAsia" w:eastAsiaTheme="minorEastAsia"/>
          <w:color w:val="auto"/>
          <w:sz w:val="24"/>
          <w:highlight w:val="none"/>
          <w:lang w:val="zh-CN"/>
        </w:rPr>
        <w:t>(以下简称：甲方)和</w:t>
      </w:r>
      <w:r>
        <w:rPr>
          <w:rFonts w:hint="eastAsia" w:asciiTheme="minorEastAsia" w:hAnsiTheme="minorEastAsia" w:eastAsiaTheme="minorEastAsia"/>
          <w:color w:val="auto"/>
          <w:sz w:val="24"/>
          <w:highlight w:val="none"/>
          <w:u w:val="single"/>
        </w:rPr>
        <w:t>（成交供应商名称）</w:t>
      </w:r>
      <w:r>
        <w:rPr>
          <w:rFonts w:hint="eastAsia" w:asciiTheme="minorEastAsia" w:hAnsiTheme="minorEastAsia" w:eastAsiaTheme="minorEastAsia"/>
          <w:color w:val="auto"/>
          <w:sz w:val="24"/>
          <w:highlight w:val="none"/>
          <w:lang w:val="zh-CN"/>
        </w:rPr>
        <w:t>(以下简称：乙方)协商一致，约定以下合同</w:t>
      </w:r>
      <w:r>
        <w:rPr>
          <w:rFonts w:hint="eastAsia" w:asciiTheme="minorEastAsia" w:hAnsiTheme="minorEastAsia" w:eastAsiaTheme="minorEastAsia"/>
          <w:color w:val="auto"/>
          <w:sz w:val="24"/>
          <w:highlight w:val="none"/>
        </w:rPr>
        <w:t>条款，以兹共同遵守、全面履行。</w:t>
      </w:r>
    </w:p>
    <w:p>
      <w:pPr>
        <w:spacing w:line="360" w:lineRule="auto"/>
        <w:ind w:firstLine="482" w:firstLineChars="200"/>
        <w:outlineLvl w:val="0"/>
        <w:rPr>
          <w:rFonts w:asciiTheme="minorEastAsia" w:hAnsiTheme="minorEastAsia" w:eastAsiaTheme="minorEastAsia"/>
          <w:b/>
          <w:color w:val="auto"/>
          <w:sz w:val="24"/>
          <w:highlight w:val="none"/>
        </w:rPr>
      </w:pPr>
      <w:bookmarkStart w:id="68" w:name="_Toc3029"/>
      <w:bookmarkStart w:id="69" w:name="_Toc24059"/>
      <w:bookmarkStart w:id="70" w:name="_Toc2232"/>
      <w:r>
        <w:rPr>
          <w:rFonts w:hint="eastAsia" w:asciiTheme="minorEastAsia" w:hAnsiTheme="minorEastAsia" w:eastAsiaTheme="minorEastAsia"/>
          <w:b/>
          <w:color w:val="auto"/>
          <w:sz w:val="24"/>
          <w:highlight w:val="none"/>
        </w:rPr>
        <w:t>1.1 合同组成部分</w:t>
      </w:r>
      <w:bookmarkEnd w:id="68"/>
      <w:bookmarkEnd w:id="69"/>
      <w:bookmarkEnd w:id="70"/>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1.1.1 本合同及其补充合同、变更协议；</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1.1.2 成交通知书；</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1.1.3 响应文件及“最后报价”（含澄清或者说明文件）；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1.1.4 磋商文件（含澄清或者修改文件）；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1.1.5 其他相关采购文件。</w:t>
      </w:r>
    </w:p>
    <w:p>
      <w:pPr>
        <w:spacing w:line="360" w:lineRule="auto"/>
        <w:ind w:firstLine="482" w:firstLineChars="200"/>
        <w:outlineLvl w:val="0"/>
        <w:rPr>
          <w:rFonts w:asciiTheme="minorEastAsia" w:hAnsiTheme="minorEastAsia" w:eastAsiaTheme="minorEastAsia"/>
          <w:b/>
          <w:color w:val="auto"/>
          <w:sz w:val="24"/>
          <w:highlight w:val="none"/>
        </w:rPr>
      </w:pPr>
      <w:bookmarkStart w:id="71" w:name="_Toc24300"/>
      <w:bookmarkStart w:id="72" w:name="_Toc27126"/>
      <w:bookmarkStart w:id="73" w:name="_Toc21295"/>
      <w:r>
        <w:rPr>
          <w:rFonts w:hint="eastAsia" w:asciiTheme="minorEastAsia" w:hAnsiTheme="minorEastAsia" w:eastAsiaTheme="minorEastAsia"/>
          <w:b/>
          <w:color w:val="auto"/>
          <w:sz w:val="24"/>
          <w:highlight w:val="none"/>
        </w:rPr>
        <w:t>1.2 标的物</w:t>
      </w:r>
      <w:bookmarkEnd w:id="71"/>
      <w:bookmarkEnd w:id="72"/>
      <w:bookmarkEnd w:id="73"/>
    </w:p>
    <w:p>
      <w:pP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1.2.1 标的名称：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1.2.2 标的数量：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1.2.3 标的质量：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74" w:name="_Toc23292"/>
      <w:bookmarkStart w:id="75" w:name="_Toc21631"/>
      <w:bookmarkStart w:id="76" w:name="_Toc21551"/>
      <w:r>
        <w:rPr>
          <w:rFonts w:hint="eastAsia" w:asciiTheme="minorEastAsia" w:hAnsiTheme="minorEastAsia" w:eastAsiaTheme="minorEastAsia"/>
          <w:b/>
          <w:color w:val="auto"/>
          <w:sz w:val="24"/>
          <w:highlight w:val="none"/>
        </w:rPr>
        <w:t>1.3 价款</w:t>
      </w:r>
      <w:bookmarkEnd w:id="74"/>
      <w:bookmarkEnd w:id="75"/>
      <w:bookmarkEnd w:id="76"/>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本合同总价为：人民币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元人民币）。</w:t>
      </w:r>
    </w:p>
    <w:p>
      <w:pP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340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分项名称</w:t>
            </w:r>
          </w:p>
        </w:tc>
        <w:tc>
          <w:tcPr>
            <w:tcW w:w="2552" w:type="dxa"/>
            <w:vAlign w:val="center"/>
          </w:tcPr>
          <w:p>
            <w:pPr>
              <w:pStyle w:val="621"/>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340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c>
          <w:tcPr>
            <w:tcW w:w="255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360" w:lineRule="auto"/>
              <w:ind w:firstLine="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w:t>
            </w:r>
          </w:p>
        </w:tc>
        <w:tc>
          <w:tcPr>
            <w:tcW w:w="2552" w:type="dxa"/>
            <w:vAlign w:val="center"/>
          </w:tcPr>
          <w:p>
            <w:pPr>
              <w:pStyle w:val="621"/>
              <w:spacing w:line="360" w:lineRule="auto"/>
              <w:ind w:firstLine="200"/>
              <w:jc w:val="center"/>
              <w:rPr>
                <w:rFonts w:asciiTheme="minorEastAsia" w:hAnsiTheme="minorEastAsia" w:eastAsiaTheme="minorEastAsia"/>
                <w:color w:val="auto"/>
                <w:sz w:val="24"/>
                <w:szCs w:val="24"/>
                <w:highlight w:val="none"/>
              </w:rPr>
            </w:pPr>
          </w:p>
        </w:tc>
      </w:tr>
    </w:tbl>
    <w:p>
      <w:pPr>
        <w:pStyle w:val="629"/>
        <w:spacing w:before="0" w:beforeAutospacing="0" w:after="0" w:afterAutospacing="0" w:line="360" w:lineRule="auto"/>
        <w:ind w:firstLine="480"/>
        <w:rPr>
          <w:rFonts w:cs="Times New Roman" w:asciiTheme="minorEastAsia" w:hAnsiTheme="minorEastAsia" w:eastAsiaTheme="minorEastAsia"/>
          <w:color w:val="auto"/>
          <w:highlight w:val="none"/>
        </w:rPr>
      </w:pPr>
      <w:bookmarkStart w:id="77" w:name="_Toc2846"/>
      <w:bookmarkStart w:id="78" w:name="_Toc32071"/>
      <w:bookmarkStart w:id="79" w:name="_Toc19304"/>
      <w:r>
        <w:rPr>
          <w:rFonts w:cs="Times New Roman" w:asciiTheme="minorEastAsia" w:hAnsiTheme="minorEastAsia" w:eastAsiaTheme="minorEastAsia"/>
          <w:color w:val="auto"/>
          <w:highlight w:val="none"/>
        </w:rPr>
        <w:t>1.4.1</w:t>
      </w:r>
      <w:r>
        <w:rPr>
          <w:rFonts w:hint="eastAsia" w:cs="Times New Roman" w:asciiTheme="minorEastAsia" w:hAnsiTheme="minorEastAsia" w:eastAsiaTheme="minorEastAsia"/>
          <w:color w:val="auto"/>
          <w:highlight w:val="none"/>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1.4.2 </w:t>
      </w:r>
      <w:r>
        <w:rPr>
          <w:rFonts w:hint="eastAsia" w:asciiTheme="minorEastAsia" w:hAnsiTheme="minorEastAsia" w:eastAsiaTheme="minorEastAsia"/>
          <w:color w:val="auto"/>
          <w:sz w:val="24"/>
          <w:highlight w:val="none"/>
        </w:rPr>
        <w:t>合同预付款比例为合同金额的</w:t>
      </w:r>
      <w:r>
        <w:rPr>
          <w:rFonts w:asciiTheme="minorEastAsia" w:hAnsiTheme="minorEastAsia" w:eastAsiaTheme="minorEastAsia"/>
          <w:color w:val="auto"/>
          <w:sz w:val="24"/>
          <w:highlight w:val="none"/>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个工作日内支付。</w:t>
      </w:r>
      <w:r>
        <w:rPr>
          <w:rFonts w:hint="eastAsia" w:asciiTheme="minorEastAsia" w:hAnsiTheme="minorEastAsia" w:eastAsiaTheme="minorEastAsia"/>
          <w:color w:val="auto"/>
          <w:sz w:val="24"/>
          <w:highlight w:val="none"/>
        </w:rPr>
        <w:t>政府采购工程以及与工程建设有关的货物、服务，采用招标方式采购的，预付款从其相关规定。乙方可登录政采云前台大厅选择金融服务</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【保函保险服务】出具预付款保函，具体步骤：选择产品—填写供应商信息—选择中标项目—确认信息—等待保险</w:t>
      </w:r>
      <w:r>
        <w:rPr>
          <w:rFonts w:asciiTheme="minorEastAsia" w:hAnsiTheme="minorEastAsia" w:eastAsiaTheme="minorEastAsia"/>
          <w:color w:val="auto"/>
          <w:sz w:val="24"/>
          <w:highlight w:val="none"/>
        </w:rPr>
        <w:t>/保函受理—确认保单—支付保费—成功出单。政</w:t>
      </w:r>
      <w:r>
        <w:rPr>
          <w:rFonts w:hint="eastAsia" w:asciiTheme="minorEastAsia" w:hAnsiTheme="minorEastAsia" w:eastAsiaTheme="minorEastAsia"/>
          <w:color w:val="auto"/>
          <w:sz w:val="24"/>
          <w:highlight w:val="none"/>
        </w:rPr>
        <w:t>采云金融专线</w:t>
      </w:r>
      <w:r>
        <w:rPr>
          <w:rFonts w:asciiTheme="minorEastAsia" w:hAnsiTheme="minorEastAsia" w:eastAsiaTheme="minorEastAsia"/>
          <w:color w:val="auto"/>
          <w:sz w:val="24"/>
          <w:highlight w:val="none"/>
        </w:rPr>
        <w:t>400-903-9583。</w:t>
      </w:r>
    </w:p>
    <w:p>
      <w:pPr>
        <w:spacing w:line="5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1.4.3</w:t>
      </w:r>
      <w:r>
        <w:rPr>
          <w:rFonts w:hint="eastAsia" w:asciiTheme="minorEastAsia" w:hAnsiTheme="minorEastAsia" w:eastAsiaTheme="minorEastAsia"/>
          <w:color w:val="auto"/>
          <w:sz w:val="24"/>
          <w:highlight w:val="none"/>
        </w:rPr>
        <w:t>甲方迟延支付乙方款项的，向乙方支付逾期利息。双方可以在合同专用条款中约定逾期利率，约定利率不得低于合同订立时</w:t>
      </w:r>
      <w:r>
        <w:rPr>
          <w:rFonts w:asciiTheme="minorEastAsia" w:hAnsiTheme="minorEastAsia" w:eastAsiaTheme="minorEastAsia"/>
          <w:color w:val="auto"/>
          <w:sz w:val="24"/>
          <w:highlight w:val="none"/>
        </w:rPr>
        <w:t>1年</w:t>
      </w:r>
      <w:r>
        <w:rPr>
          <w:rFonts w:hint="eastAsia" w:asciiTheme="minorEastAsia" w:hAnsiTheme="minorEastAsia" w:eastAsiaTheme="minorEastAsia"/>
          <w:color w:val="auto"/>
          <w:sz w:val="24"/>
          <w:highlight w:val="none"/>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1.4.4资金支付的方式、时间和条件详见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1.5 履行期限、地点和方式</w:t>
      </w:r>
      <w:bookmarkEnd w:id="77"/>
      <w:bookmarkEnd w:id="78"/>
      <w:bookmarkEnd w:id="79"/>
    </w:p>
    <w:p>
      <w:pP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 履行期限：</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 履行地点：</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 履行方式：</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80" w:name="_Toc27250"/>
      <w:bookmarkStart w:id="81" w:name="_Toc19554"/>
      <w:bookmarkStart w:id="82" w:name="_Toc21423"/>
      <w:r>
        <w:rPr>
          <w:rFonts w:hint="eastAsia" w:asciiTheme="minorEastAsia" w:hAnsiTheme="minorEastAsia" w:eastAsiaTheme="minorEastAsia"/>
          <w:b/>
          <w:color w:val="auto"/>
          <w:sz w:val="24"/>
          <w:highlight w:val="none"/>
        </w:rPr>
        <w:t>1.6 违约责任</w:t>
      </w:r>
      <w:bookmarkEnd w:id="80"/>
      <w:bookmarkEnd w:id="81"/>
      <w:bookmarkEnd w:id="82"/>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 除不可抗力外，如果乙方没有按照本合同约定的期限、地点和方式交付标的物，那么甲方可要求乙方支付违约金，违约金按每迟延交付标的物一日的应交付而未交付标的物价格的</w:t>
      </w:r>
      <w:r>
        <w:rPr>
          <w:rFonts w:hint="eastAsia" w:asciiTheme="minorEastAsia" w:hAnsiTheme="minorEastAsia" w:eastAsiaTheme="minorEastAsia"/>
          <w:color w:val="auto"/>
          <w:sz w:val="24"/>
          <w:highlight w:val="none"/>
          <w:u w:val="single"/>
        </w:rPr>
        <w:t>万分之五</w:t>
      </w:r>
      <w:r>
        <w:rPr>
          <w:rFonts w:hint="eastAsia" w:asciiTheme="minorEastAsia" w:hAnsiTheme="minorEastAsia" w:eastAsiaTheme="minorEastAsia"/>
          <w:color w:val="auto"/>
          <w:sz w:val="24"/>
          <w:highlight w:val="none"/>
        </w:rPr>
        <w:t>计算，最高限额为本合同总价的</w:t>
      </w:r>
      <w:r>
        <w:rPr>
          <w:rFonts w:hint="eastAsia" w:asciiTheme="minorEastAsia" w:hAnsiTheme="minorEastAsia" w:eastAsiaTheme="minorEastAsia"/>
          <w:color w:val="auto"/>
          <w:sz w:val="24"/>
          <w:highlight w:val="none"/>
          <w:u w:val="single"/>
        </w:rPr>
        <w:t>20</w:t>
      </w:r>
      <w:r>
        <w:rPr>
          <w:rFonts w:hint="eastAsia" w:asciiTheme="minorEastAsia" w:hAnsiTheme="minorEastAsia" w:eastAsiaTheme="minorEastAsia"/>
          <w:color w:val="auto"/>
          <w:sz w:val="24"/>
          <w:highlight w:val="none"/>
        </w:rPr>
        <w:t>%；迟延交付标的物的违约金计算数额达到前述最高限额之日起，甲方有权在要求乙方支付违约金的同时，书面通知乙方解除本合同；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 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olor w:val="auto"/>
          <w:sz w:val="24"/>
          <w:highlight w:val="none"/>
          <w:u w:val="single"/>
        </w:rPr>
        <w:t>万分之五</w:t>
      </w:r>
      <w:r>
        <w:rPr>
          <w:rFonts w:hint="eastAsia" w:asciiTheme="minorEastAsia" w:hAnsiTheme="minorEastAsia" w:eastAsiaTheme="minorEastAsia"/>
          <w:color w:val="auto"/>
          <w:sz w:val="24"/>
          <w:highlight w:val="none"/>
        </w:rPr>
        <w:t>计算，最高限额为本合同总价的</w:t>
      </w:r>
      <w:r>
        <w:rPr>
          <w:rFonts w:hint="eastAsia" w:asciiTheme="minorEastAsia" w:hAnsiTheme="minorEastAsia" w:eastAsiaTheme="minorEastAsia"/>
          <w:color w:val="auto"/>
          <w:sz w:val="24"/>
          <w:highlight w:val="none"/>
          <w:u w:val="single"/>
        </w:rPr>
        <w:t>20</w:t>
      </w:r>
      <w:r>
        <w:rPr>
          <w:rFonts w:hint="eastAsia" w:asciiTheme="minorEastAsia" w:hAnsiTheme="minorEastAsia" w:eastAsiaTheme="minorEastAsia"/>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outlineLvl w:val="0"/>
        <w:rPr>
          <w:rFonts w:asciiTheme="minorEastAsia" w:hAnsiTheme="minorEastAsia" w:eastAsiaTheme="minorEastAsia"/>
          <w:b/>
          <w:color w:val="auto"/>
          <w:sz w:val="24"/>
          <w:highlight w:val="none"/>
        </w:rPr>
      </w:pPr>
      <w:bookmarkStart w:id="83" w:name="_Toc15583"/>
      <w:bookmarkStart w:id="84" w:name="_Toc28375"/>
      <w:bookmarkStart w:id="85" w:name="_Toc16021"/>
      <w:r>
        <w:rPr>
          <w:rFonts w:hint="eastAsia" w:asciiTheme="minorEastAsia" w:hAnsiTheme="minorEastAsia" w:eastAsiaTheme="minorEastAsia"/>
          <w:b/>
          <w:color w:val="auto"/>
          <w:sz w:val="24"/>
          <w:highlight w:val="none"/>
        </w:rPr>
        <w:t>1.7 合同争议的解决</w:t>
      </w:r>
      <w:bookmarkEnd w:id="83"/>
      <w:bookmarkEnd w:id="84"/>
      <w:bookmarkEnd w:id="8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本合同履行过程中发生的任何争议，双方当事人均可通过和解或者调解解决；不愿和解、调解或者和解、调解不成的，可以选择下列第</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种方式解决：</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1.7.1 将争议提交</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仲裁委员会依申请仲裁时其现行有效的仲裁规则裁决；</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1.7.2 向</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人民法院起诉。</w:t>
      </w:r>
    </w:p>
    <w:p>
      <w:pPr>
        <w:spacing w:line="360" w:lineRule="auto"/>
        <w:ind w:firstLine="482" w:firstLineChars="200"/>
        <w:outlineLvl w:val="0"/>
        <w:rPr>
          <w:rFonts w:asciiTheme="minorEastAsia" w:hAnsiTheme="minorEastAsia" w:eastAsiaTheme="minorEastAsia"/>
          <w:b/>
          <w:color w:val="auto"/>
          <w:sz w:val="24"/>
          <w:highlight w:val="none"/>
        </w:rPr>
      </w:pPr>
      <w:bookmarkStart w:id="86" w:name="_Toc15322"/>
      <w:bookmarkStart w:id="87" w:name="_Toc7245"/>
      <w:bookmarkStart w:id="88" w:name="_Toc11173"/>
      <w:r>
        <w:rPr>
          <w:rFonts w:hint="eastAsia" w:asciiTheme="minorEastAsia" w:hAnsiTheme="minorEastAsia" w:eastAsiaTheme="minorEastAsia"/>
          <w:b/>
          <w:color w:val="auto"/>
          <w:sz w:val="24"/>
          <w:highlight w:val="none"/>
        </w:rPr>
        <w:t>1.8 合同生效</w:t>
      </w:r>
      <w:bookmarkEnd w:id="86"/>
      <w:bookmarkEnd w:id="87"/>
      <w:bookmarkEnd w:id="88"/>
    </w:p>
    <w:p>
      <w:pPr>
        <w:spacing w:line="360" w:lineRule="auto"/>
        <w:ind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本合同自双方当事人盖章或者签字时生效。</w:t>
      </w:r>
    </w:p>
    <w:p>
      <w:pPr>
        <w:autoSpaceDE w:val="0"/>
        <w:autoSpaceDN w:val="0"/>
        <w:spacing w:line="360" w:lineRule="auto"/>
        <w:rPr>
          <w:rFonts w:asciiTheme="minorEastAsia" w:hAnsiTheme="minorEastAsia" w:eastAsiaTheme="minorEastAsia"/>
          <w:color w:val="auto"/>
          <w:sz w:val="24"/>
          <w:highlight w:val="none"/>
          <w:lang w:val="zh-CN"/>
        </w:rPr>
      </w:pP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甲方：                                   乙方：</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统一社会信用代码：                        统一社会信用代码或身份证号码：</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住所：                                   住所：</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法定代表人或                             法定代表人</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 xml:space="preserve">授权代表（签字）：                        或授权代表（签字）: </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联系人：                                 联系人：</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约定送达地址：                           约定送达地址：</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邮政编码：                               邮政编码：</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 xml:space="preserve">电话:                                    电话: </w:t>
      </w:r>
    </w:p>
    <w:p>
      <w:pPr>
        <w:autoSpaceDE w:val="0"/>
        <w:autoSpaceDN w:val="0"/>
        <w:spacing w:line="360" w:lineRule="auto"/>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传真:                                    传真:</w:t>
      </w:r>
    </w:p>
    <w:p>
      <w:pPr>
        <w:autoSpaceDE w:val="0"/>
        <w:autoSpaceDN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zh-CN"/>
        </w:rPr>
        <w:t>电子邮箱：                               电子邮箱：</w:t>
      </w:r>
    </w:p>
    <w:p>
      <w:pPr>
        <w:autoSpaceDE w:val="0"/>
        <w:autoSpaceDN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开户银行：                               开户银行： </w:t>
      </w:r>
    </w:p>
    <w:p>
      <w:pPr>
        <w:autoSpaceDE w:val="0"/>
        <w:autoSpaceDN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开户名称：                               开户名称： </w:t>
      </w:r>
    </w:p>
    <w:p>
      <w:pPr>
        <w:autoSpaceDE w:val="0"/>
        <w:autoSpaceDN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开户账号：</w:t>
      </w:r>
      <w:r>
        <w:rPr>
          <w:rFonts w:hint="eastAsia" w:asciiTheme="minorEastAsia" w:hAnsiTheme="minorEastAsia" w:eastAsiaTheme="minorEastAsia"/>
          <w:color w:val="auto"/>
          <w:sz w:val="24"/>
          <w:highlight w:val="none"/>
          <w:lang w:val="zh-CN"/>
        </w:rPr>
        <w:t xml:space="preserve">                               </w:t>
      </w:r>
      <w:r>
        <w:rPr>
          <w:rFonts w:hint="eastAsia" w:asciiTheme="minorEastAsia" w:hAnsiTheme="minorEastAsia" w:eastAsiaTheme="minorEastAsia"/>
          <w:color w:val="auto"/>
          <w:sz w:val="24"/>
          <w:highlight w:val="none"/>
        </w:rPr>
        <w:t>开户账号：</w:t>
      </w:r>
    </w:p>
    <w:p>
      <w:pPr>
        <w:widowControl/>
        <w:adjustRightInd/>
        <w:ind w:firstLine="482"/>
        <w:jc w:val="center"/>
        <w:rPr>
          <w:rFonts w:asciiTheme="minorEastAsia" w:hAnsiTheme="minorEastAsia" w:eastAsiaTheme="minorEastAsia"/>
          <w:b/>
          <w:color w:val="auto"/>
          <w:sz w:val="28"/>
          <w:szCs w:val="28"/>
          <w:highlight w:val="none"/>
        </w:rPr>
      </w:pPr>
      <w:bookmarkStart w:id="89" w:name="_Toc331685783"/>
      <w:r>
        <w:rPr>
          <w:rFonts w:hint="eastAsia" w:asciiTheme="minorEastAsia" w:hAnsiTheme="minorEastAsia" w:eastAsiaTheme="minorEastAsia"/>
          <w:b/>
          <w:color w:val="auto"/>
          <w:highlight w:val="none"/>
        </w:rPr>
        <w:br w:type="page"/>
      </w:r>
      <w:r>
        <w:rPr>
          <w:rFonts w:hint="eastAsia" w:asciiTheme="minorEastAsia" w:hAnsiTheme="minorEastAsia" w:eastAsiaTheme="minorEastAsia"/>
          <w:b/>
          <w:color w:val="auto"/>
          <w:sz w:val="28"/>
          <w:szCs w:val="28"/>
          <w:highlight w:val="none"/>
        </w:rPr>
        <w:t>第二部分 合同一般条款</w:t>
      </w:r>
      <w:bookmarkEnd w:id="89"/>
    </w:p>
    <w:p>
      <w:pPr>
        <w:spacing w:line="360" w:lineRule="auto"/>
        <w:ind w:firstLine="482" w:firstLineChars="200"/>
        <w:outlineLvl w:val="0"/>
        <w:rPr>
          <w:rFonts w:asciiTheme="minorEastAsia" w:hAnsiTheme="minorEastAsia" w:eastAsiaTheme="minorEastAsia"/>
          <w:b/>
          <w:color w:val="auto"/>
          <w:sz w:val="24"/>
          <w:highlight w:val="none"/>
        </w:rPr>
      </w:pPr>
      <w:bookmarkStart w:id="90" w:name="_Ref467378499"/>
      <w:bookmarkStart w:id="91" w:name="_Ref467379094"/>
      <w:bookmarkStart w:id="92" w:name="_Toc28763"/>
      <w:bookmarkStart w:id="93" w:name="_Toc487900349"/>
      <w:bookmarkStart w:id="94" w:name="_Ref467379225"/>
      <w:bookmarkStart w:id="95" w:name="_Toc259093669"/>
      <w:bookmarkStart w:id="96" w:name="_Ref467379109"/>
      <w:bookmarkStart w:id="97" w:name="_Ref467378404"/>
      <w:bookmarkStart w:id="98" w:name="_Toc19614"/>
      <w:bookmarkStart w:id="99" w:name="_Ref467378463"/>
      <w:bookmarkStart w:id="100" w:name="_Ref467379214"/>
      <w:bookmarkStart w:id="101" w:name="_Ref467379101"/>
      <w:bookmarkStart w:id="102" w:name="_Ref467379195"/>
      <w:bookmarkStart w:id="103" w:name="_Ref467379205"/>
      <w:bookmarkStart w:id="104" w:name="_Toc16917"/>
      <w:bookmarkStart w:id="105" w:name="_Toc279701240"/>
      <w:r>
        <w:rPr>
          <w:rFonts w:hint="eastAsia" w:asciiTheme="minorEastAsia" w:hAnsiTheme="minorEastAsia" w:eastAsiaTheme="minorEastAsia"/>
          <w:b/>
          <w:color w:val="auto"/>
          <w:sz w:val="24"/>
          <w:highlight w:val="none"/>
        </w:rPr>
        <w:t>2.1 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本合同中的下列词语应按以下内容进行解释：</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2.1.1 “合同”系指采购人和成交供应商签订的载明双方当事人所达成的协议，并包括所有的附件、附录和构成合同的其他文件。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2.1.2 “合同价”系指根据合同约定，成交供应商在完全履行合同义务后，采购人应支付给成交供应商的价格。</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 “标的物”系指成交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Theme="minorEastAsia" w:hAnsiTheme="minorEastAsia" w:eastAsiaTheme="minorEastAsia"/>
          <w:color w:val="auto"/>
          <w:sz w:val="24"/>
          <w:highlight w:val="none"/>
        </w:rPr>
      </w:pPr>
      <w:bookmarkStart w:id="106" w:name="_Ref467378840"/>
      <w:r>
        <w:rPr>
          <w:rFonts w:hint="eastAsia" w:asciiTheme="minorEastAsia" w:hAnsiTheme="minorEastAsia" w:eastAsiaTheme="minorEastAsia"/>
          <w:color w:val="auto"/>
          <w:sz w:val="24"/>
          <w:highlight w:val="none"/>
        </w:rPr>
        <w:t>2.1.4 “甲方”系指与成交供应商签署合同的采购人</w:t>
      </w:r>
      <w:bookmarkEnd w:id="106"/>
      <w:r>
        <w:rPr>
          <w:rFonts w:hint="eastAsia" w:asciiTheme="minorEastAsia" w:hAnsiTheme="minorEastAsia" w:eastAsiaTheme="minorEastAsia"/>
          <w:color w:val="auto"/>
          <w:sz w:val="24"/>
          <w:highlight w:val="none"/>
        </w:rPr>
        <w:t>；采购人委托</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代表其与乙方签订合同的，采购人的授权委托书作为合同附件。</w:t>
      </w:r>
    </w:p>
    <w:p>
      <w:pPr>
        <w:spacing w:line="360" w:lineRule="auto"/>
        <w:ind w:firstLine="480" w:firstLineChars="200"/>
        <w:rPr>
          <w:rFonts w:asciiTheme="minorEastAsia" w:hAnsiTheme="minorEastAsia" w:eastAsiaTheme="minorEastAsia"/>
          <w:color w:val="auto"/>
          <w:sz w:val="24"/>
          <w:highlight w:val="none"/>
        </w:rPr>
      </w:pPr>
      <w:bookmarkStart w:id="107" w:name="_Ref467379400"/>
      <w:r>
        <w:rPr>
          <w:rFonts w:hint="eastAsia" w:asciiTheme="minorEastAsia" w:hAnsiTheme="minorEastAsia" w:eastAsiaTheme="minorEastAsia"/>
          <w:color w:val="auto"/>
          <w:sz w:val="24"/>
          <w:highlight w:val="none"/>
        </w:rPr>
        <w:t>2.1.5 “乙方”系指根据合同约定交付标的物的成交供应商</w:t>
      </w:r>
      <w:bookmarkEnd w:id="107"/>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Theme="minorEastAsia" w:hAnsiTheme="minorEastAsia" w:eastAsiaTheme="minorEastAsia"/>
          <w:color w:val="auto"/>
          <w:sz w:val="24"/>
          <w:highlight w:val="none"/>
        </w:rPr>
      </w:pPr>
      <w:bookmarkStart w:id="108" w:name="_Ref467379436"/>
      <w:r>
        <w:rPr>
          <w:rFonts w:hint="eastAsia" w:asciiTheme="minorEastAsia" w:hAnsiTheme="minorEastAsia" w:eastAsiaTheme="minorEastAsia"/>
          <w:color w:val="auto"/>
          <w:sz w:val="24"/>
          <w:highlight w:val="none"/>
        </w:rPr>
        <w:t>2.1.6 “现场”系指合同约定标的物将要运至或者实施或者安装的地点。</w:t>
      </w:r>
      <w:bookmarkEnd w:id="108"/>
    </w:p>
    <w:p>
      <w:pPr>
        <w:spacing w:line="360" w:lineRule="auto"/>
        <w:ind w:firstLine="482" w:firstLineChars="200"/>
        <w:outlineLvl w:val="0"/>
        <w:rPr>
          <w:rFonts w:asciiTheme="minorEastAsia" w:hAnsiTheme="minorEastAsia" w:eastAsiaTheme="minorEastAsia"/>
          <w:b/>
          <w:color w:val="auto"/>
          <w:sz w:val="24"/>
          <w:highlight w:val="none"/>
        </w:rPr>
      </w:pPr>
      <w:bookmarkStart w:id="109" w:name="_Toc487900350"/>
      <w:bookmarkStart w:id="110" w:name="_Toc259093670"/>
      <w:bookmarkStart w:id="111" w:name="_Toc27635"/>
      <w:bookmarkStart w:id="112" w:name="_Toc13336"/>
      <w:bookmarkStart w:id="113" w:name="_Toc32504"/>
      <w:bookmarkStart w:id="114" w:name="_Toc279701241"/>
      <w:r>
        <w:rPr>
          <w:rFonts w:hint="eastAsia" w:asciiTheme="minorEastAsia" w:hAnsiTheme="minorEastAsia" w:eastAsiaTheme="minorEastAsia"/>
          <w:b/>
          <w:color w:val="auto"/>
          <w:sz w:val="24"/>
          <w:highlight w:val="none"/>
        </w:rPr>
        <w:t>2.2 技术规范</w:t>
      </w:r>
      <w:bookmarkEnd w:id="109"/>
      <w:bookmarkEnd w:id="110"/>
      <w:bookmarkEnd w:id="111"/>
      <w:bookmarkEnd w:id="112"/>
      <w:bookmarkEnd w:id="113"/>
      <w:bookmarkEnd w:id="114"/>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Theme="minorEastAsia" w:hAnsiTheme="minorEastAsia" w:eastAsiaTheme="minorEastAsia"/>
          <w:b/>
          <w:color w:val="auto"/>
          <w:sz w:val="24"/>
          <w:highlight w:val="none"/>
        </w:rPr>
      </w:pPr>
      <w:bookmarkStart w:id="115" w:name="_Toc259093671"/>
      <w:bookmarkStart w:id="116" w:name="_Toc487900351"/>
      <w:bookmarkStart w:id="117" w:name="_Toc9829"/>
      <w:bookmarkStart w:id="118" w:name="_Toc31634"/>
      <w:bookmarkStart w:id="119" w:name="_Toc279701242"/>
      <w:bookmarkStart w:id="120" w:name="_Toc27853"/>
      <w:r>
        <w:rPr>
          <w:rFonts w:hint="eastAsia" w:asciiTheme="minorEastAsia" w:hAnsiTheme="minorEastAsia" w:eastAsiaTheme="minorEastAsia"/>
          <w:b/>
          <w:color w:val="auto"/>
          <w:sz w:val="24"/>
          <w:highlight w:val="none"/>
        </w:rPr>
        <w:t>2.3 知识产权</w:t>
      </w:r>
      <w:bookmarkEnd w:id="115"/>
      <w:bookmarkEnd w:id="116"/>
      <w:bookmarkEnd w:id="117"/>
      <w:bookmarkEnd w:id="118"/>
      <w:bookmarkEnd w:id="119"/>
      <w:bookmarkEnd w:id="120"/>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2.3.2具有知识产权的计算机软件等标的物的知识产权归属，详见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121" w:name="_Toc11932"/>
      <w:bookmarkStart w:id="122" w:name="_Toc29149"/>
      <w:bookmarkStart w:id="123" w:name="_Toc4194"/>
      <w:r>
        <w:rPr>
          <w:rFonts w:hint="eastAsia" w:asciiTheme="minorEastAsia" w:hAnsiTheme="minorEastAsia" w:eastAsiaTheme="minorEastAsia"/>
          <w:b/>
          <w:color w:val="auto"/>
          <w:sz w:val="24"/>
          <w:highlight w:val="none"/>
        </w:rPr>
        <w:t>2.4 包装和装运</w:t>
      </w:r>
      <w:bookmarkEnd w:id="121"/>
      <w:bookmarkEnd w:id="122"/>
      <w:bookmarkEnd w:id="123"/>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2.4.1除</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2.4.2 装运标的物的要求和通知，详见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124" w:name="_Toc487900354"/>
      <w:bookmarkStart w:id="125" w:name="_Ref467378541"/>
      <w:bookmarkStart w:id="126" w:name="_Ref467378591"/>
      <w:bookmarkStart w:id="127" w:name="_Toc279701245"/>
      <w:bookmarkStart w:id="128" w:name="_Toc259093674"/>
      <w:bookmarkStart w:id="129" w:name="_Ref467379527"/>
      <w:bookmarkStart w:id="130" w:name="_Ref467379542"/>
      <w:bookmarkStart w:id="131" w:name="_Ref467379536"/>
      <w:bookmarkStart w:id="132" w:name="_Toc19074"/>
      <w:bookmarkStart w:id="133" w:name="_Toc30272"/>
      <w:bookmarkStart w:id="134" w:name="_Toc26182"/>
      <w:r>
        <w:rPr>
          <w:rFonts w:hint="eastAsia" w:asciiTheme="minorEastAsia" w:hAnsiTheme="minorEastAsia" w:eastAsiaTheme="minorEastAsia"/>
          <w:b/>
          <w:color w:val="auto"/>
          <w:sz w:val="24"/>
          <w:highlight w:val="none"/>
        </w:rPr>
        <w:t>2.</w:t>
      </w:r>
      <w:bookmarkEnd w:id="124"/>
      <w:bookmarkEnd w:id="125"/>
      <w:bookmarkEnd w:id="126"/>
      <w:bookmarkEnd w:id="127"/>
      <w:bookmarkEnd w:id="128"/>
      <w:bookmarkEnd w:id="129"/>
      <w:bookmarkEnd w:id="130"/>
      <w:bookmarkEnd w:id="131"/>
      <w:r>
        <w:rPr>
          <w:rFonts w:hint="eastAsia" w:asciiTheme="minorEastAsia" w:hAnsiTheme="minorEastAsia" w:eastAsiaTheme="minorEastAsia"/>
          <w:b/>
          <w:color w:val="auto"/>
          <w:sz w:val="24"/>
          <w:highlight w:val="none"/>
        </w:rPr>
        <w:t>5 履约检查和问题反馈</w:t>
      </w:r>
      <w:bookmarkEnd w:id="132"/>
      <w:bookmarkEnd w:id="133"/>
      <w:bookmarkEnd w:id="134"/>
    </w:p>
    <w:p>
      <w:pPr>
        <w:spacing w:line="360" w:lineRule="auto"/>
        <w:ind w:firstLine="480" w:firstLineChars="200"/>
        <w:rPr>
          <w:rFonts w:asciiTheme="minorEastAsia" w:hAnsiTheme="minorEastAsia" w:eastAsiaTheme="minorEastAsia"/>
          <w:color w:val="auto"/>
          <w:sz w:val="24"/>
          <w:highlight w:val="none"/>
        </w:rPr>
      </w:pPr>
      <w:bookmarkStart w:id="135" w:name="_Ref467379657"/>
      <w:r>
        <w:rPr>
          <w:rFonts w:hint="eastAsia" w:asciiTheme="minorEastAsia" w:hAnsiTheme="minorEastAsia" w:eastAsiaTheme="minorEastAsia"/>
          <w:color w:val="auto"/>
          <w:sz w:val="24"/>
          <w:highlight w:val="none"/>
        </w:rPr>
        <w:t>2.5.1</w:t>
      </w:r>
      <w:bookmarkEnd w:id="135"/>
      <w:bookmarkStart w:id="136" w:name="_Toc186431854"/>
      <w:bookmarkStart w:id="137" w:name="_Toc279701247"/>
      <w:bookmarkStart w:id="138" w:name="_Toc259093676"/>
      <w:bookmarkStart w:id="139" w:name="_Ref467379807"/>
      <w:bookmarkStart w:id="140" w:name="_Toc487900357"/>
      <w:bookmarkStart w:id="141" w:name="_Ref467379793"/>
      <w:r>
        <w:rPr>
          <w:rFonts w:hint="eastAsia" w:asciiTheme="minorEastAsia" w:hAnsiTheme="minorEastAsia" w:eastAsiaTheme="minorEastAsia"/>
          <w:color w:val="auto"/>
          <w:sz w:val="24"/>
          <w:highlight w:val="none"/>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2.5.2 合同履行期间，甲方有权将履行过程中出现的问题反馈给乙方，双方当事人应以书面形式约定需要完善和改进的内容</w:t>
      </w:r>
      <w:bookmarkEnd w:id="136"/>
      <w:bookmarkStart w:id="142" w:name="_Toc186431855"/>
      <w:r>
        <w:rPr>
          <w:rFonts w:hint="eastAsia" w:asciiTheme="minorEastAsia" w:hAnsiTheme="minorEastAsia" w:eastAsiaTheme="minorEastAsia"/>
          <w:color w:val="auto"/>
          <w:sz w:val="24"/>
          <w:highlight w:val="none"/>
        </w:rPr>
        <w:t>。</w:t>
      </w:r>
    </w:p>
    <w:bookmarkEnd w:id="142"/>
    <w:p>
      <w:pPr>
        <w:spacing w:line="360" w:lineRule="auto"/>
        <w:ind w:firstLine="482" w:firstLineChars="200"/>
        <w:outlineLvl w:val="0"/>
        <w:rPr>
          <w:rFonts w:asciiTheme="minorEastAsia" w:hAnsiTheme="minorEastAsia" w:eastAsiaTheme="minorEastAsia"/>
          <w:b/>
          <w:color w:val="auto"/>
          <w:sz w:val="24"/>
          <w:highlight w:val="none"/>
        </w:rPr>
      </w:pPr>
      <w:bookmarkStart w:id="143" w:name="_Toc7836"/>
      <w:bookmarkStart w:id="144" w:name="_Toc28451"/>
      <w:bookmarkStart w:id="145" w:name="_Toc19219"/>
      <w:r>
        <w:rPr>
          <w:rFonts w:hint="eastAsia" w:asciiTheme="minorEastAsia" w:hAnsiTheme="minorEastAsia" w:eastAsiaTheme="minorEastAsia"/>
          <w:b/>
          <w:color w:val="auto"/>
          <w:sz w:val="24"/>
          <w:highlight w:val="none"/>
        </w:rPr>
        <w:t>2.6 结算方式和付款条件</w:t>
      </w:r>
      <w:bookmarkEnd w:id="137"/>
      <w:bookmarkEnd w:id="138"/>
      <w:bookmarkEnd w:id="139"/>
      <w:bookmarkEnd w:id="140"/>
      <w:bookmarkEnd w:id="141"/>
      <w:bookmarkEnd w:id="143"/>
      <w:bookmarkEnd w:id="144"/>
      <w:bookmarkEnd w:id="14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146" w:name="_Ref467379852"/>
      <w:bookmarkStart w:id="147" w:name="_Toc259093677"/>
      <w:bookmarkStart w:id="148" w:name="_Toc279701248"/>
      <w:bookmarkStart w:id="149" w:name="_Ref467379863"/>
      <w:bookmarkStart w:id="150" w:name="_Ref467379923"/>
      <w:bookmarkStart w:id="151" w:name="_Toc487900358"/>
      <w:bookmarkStart w:id="152" w:name="_Toc774"/>
      <w:bookmarkStart w:id="153" w:name="_Toc16110"/>
      <w:bookmarkStart w:id="154" w:name="_Toc3225"/>
      <w:r>
        <w:rPr>
          <w:rFonts w:hint="eastAsia" w:asciiTheme="minorEastAsia" w:hAnsiTheme="minorEastAsia" w:eastAsiaTheme="minorEastAsia"/>
          <w:b/>
          <w:color w:val="auto"/>
          <w:sz w:val="24"/>
          <w:highlight w:val="none"/>
        </w:rPr>
        <w:t>2.7 技术资料</w:t>
      </w:r>
      <w:bookmarkEnd w:id="146"/>
      <w:bookmarkEnd w:id="147"/>
      <w:bookmarkEnd w:id="148"/>
      <w:bookmarkEnd w:id="149"/>
      <w:bookmarkEnd w:id="150"/>
      <w:bookmarkEnd w:id="151"/>
      <w:r>
        <w:rPr>
          <w:rFonts w:hint="eastAsia" w:asciiTheme="minorEastAsia" w:hAnsiTheme="minorEastAsia" w:eastAsiaTheme="minorEastAsia"/>
          <w:b/>
          <w:color w:val="auto"/>
          <w:sz w:val="24"/>
          <w:highlight w:val="none"/>
        </w:rPr>
        <w:t>和保密义务</w:t>
      </w:r>
      <w:bookmarkEnd w:id="152"/>
      <w:bookmarkEnd w:id="153"/>
      <w:bookmarkEnd w:id="154"/>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2.7.1 乙方有权依据合同约定和项目需要，向甲方了解有关情况，调阅有关资料等，甲方应予积极配合；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2.7.2 乙方有义务妥善保管和保护由甲方提供的前款信息和资料等；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asciiTheme="minorEastAsia" w:hAnsiTheme="minorEastAsia" w:eastAsiaTheme="minorEastAsia"/>
          <w:b/>
          <w:color w:val="auto"/>
          <w:sz w:val="24"/>
          <w:highlight w:val="none"/>
        </w:rPr>
      </w:pPr>
      <w:bookmarkStart w:id="155" w:name="_Toc7860"/>
      <w:r>
        <w:rPr>
          <w:rFonts w:hint="eastAsia" w:asciiTheme="minorEastAsia" w:hAnsiTheme="minorEastAsia" w:eastAsiaTheme="minorEastAsia"/>
          <w:b/>
          <w:color w:val="auto"/>
          <w:sz w:val="24"/>
          <w:highlight w:val="none"/>
        </w:rPr>
        <w:t>2.8 质量保证</w:t>
      </w:r>
      <w:bookmarkEnd w:id="15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2.8.1 乙方应建立和完善履行合同的内部质量保证体系，并提供相关内部规章制度给甲方，以便甲方进行监督检查；</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Theme="minorEastAsia" w:hAnsiTheme="minorEastAsia" w:eastAsiaTheme="minorEastAsia"/>
          <w:b/>
          <w:color w:val="auto"/>
          <w:sz w:val="24"/>
          <w:highlight w:val="none"/>
        </w:rPr>
      </w:pPr>
      <w:bookmarkStart w:id="156" w:name="_Toc17244"/>
      <w:bookmarkStart w:id="157" w:name="_Toc279701252"/>
      <w:bookmarkStart w:id="158" w:name="_Toc259093681"/>
      <w:bookmarkStart w:id="159" w:name="_Toc487900362"/>
      <w:r>
        <w:rPr>
          <w:rFonts w:hint="eastAsia" w:asciiTheme="minorEastAsia" w:hAnsiTheme="minorEastAsia" w:eastAsiaTheme="minorEastAsia"/>
          <w:b/>
          <w:color w:val="auto"/>
          <w:sz w:val="24"/>
          <w:highlight w:val="none"/>
        </w:rPr>
        <w:t>2.9 标的物的风险负担</w:t>
      </w:r>
      <w:bookmarkEnd w:id="156"/>
    </w:p>
    <w:p>
      <w:pPr>
        <w:spacing w:line="360" w:lineRule="auto"/>
        <w:ind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标的物或者在途标的物或者交付给第一承运人后的标的物毁损、灭失的风险负担详见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82" w:firstLineChars="200"/>
        <w:outlineLvl w:val="0"/>
        <w:rPr>
          <w:rFonts w:asciiTheme="minorEastAsia" w:hAnsiTheme="minorEastAsia" w:eastAsiaTheme="minorEastAsia"/>
          <w:b/>
          <w:color w:val="auto"/>
          <w:sz w:val="24"/>
          <w:highlight w:val="none"/>
        </w:rPr>
      </w:pPr>
      <w:bookmarkStart w:id="160" w:name="_Toc14055"/>
      <w:r>
        <w:rPr>
          <w:rFonts w:hint="eastAsia" w:asciiTheme="minorEastAsia" w:hAnsiTheme="minorEastAsia" w:eastAsiaTheme="minorEastAsia"/>
          <w:b/>
          <w:color w:val="auto"/>
          <w:sz w:val="24"/>
          <w:highlight w:val="none"/>
        </w:rPr>
        <w:t>2.10 延迟交货</w:t>
      </w:r>
      <w:bookmarkEnd w:id="157"/>
      <w:bookmarkEnd w:id="158"/>
      <w:bookmarkEnd w:id="159"/>
      <w:bookmarkEnd w:id="160"/>
      <w:r>
        <w:rPr>
          <w:rFonts w:hint="eastAsia" w:asciiTheme="minorEastAsia" w:hAnsiTheme="minorEastAsia" w:eastAsiaTheme="minorEastAsia"/>
          <w:b/>
          <w:color w:val="auto"/>
          <w:sz w:val="24"/>
          <w:highlight w:val="none"/>
        </w:rPr>
        <w:t>/交付</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Theme="minorEastAsia" w:hAnsiTheme="minorEastAsia" w:eastAsiaTheme="minorEastAsia"/>
          <w:b/>
          <w:color w:val="auto"/>
          <w:sz w:val="24"/>
          <w:highlight w:val="none"/>
        </w:rPr>
      </w:pPr>
      <w:bookmarkStart w:id="161" w:name="_Toc7502"/>
      <w:bookmarkStart w:id="162" w:name="_Toc279701254"/>
      <w:bookmarkStart w:id="163" w:name="_Toc487900364"/>
      <w:bookmarkStart w:id="164" w:name="_Ref467378121"/>
      <w:bookmarkStart w:id="165" w:name="_Toc259093683"/>
      <w:r>
        <w:rPr>
          <w:rFonts w:hint="eastAsia" w:asciiTheme="minorEastAsia" w:hAnsiTheme="minorEastAsia" w:eastAsiaTheme="minorEastAsia"/>
          <w:b/>
          <w:color w:val="auto"/>
          <w:sz w:val="24"/>
          <w:highlight w:val="none"/>
        </w:rPr>
        <w:t>2.11 合同变更</w:t>
      </w:r>
      <w:bookmarkEnd w:id="161"/>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166" w:name="_Toc487900369"/>
      <w:bookmarkStart w:id="167" w:name="_Toc279701259"/>
      <w:bookmarkStart w:id="168" w:name="_Toc259093688"/>
    </w:p>
    <w:p>
      <w:pPr>
        <w:spacing w:line="360" w:lineRule="auto"/>
        <w:ind w:firstLine="482" w:firstLineChars="200"/>
        <w:outlineLvl w:val="0"/>
        <w:rPr>
          <w:rFonts w:asciiTheme="minorEastAsia" w:hAnsiTheme="minorEastAsia" w:eastAsiaTheme="minorEastAsia"/>
          <w:b/>
          <w:color w:val="auto"/>
          <w:sz w:val="24"/>
          <w:highlight w:val="none"/>
        </w:rPr>
      </w:pPr>
      <w:bookmarkStart w:id="169" w:name="_Toc22955"/>
      <w:bookmarkStart w:id="170" w:name="_Toc10366"/>
      <w:bookmarkStart w:id="171" w:name="_Toc15237"/>
      <w:r>
        <w:rPr>
          <w:rFonts w:hint="eastAsia" w:asciiTheme="minorEastAsia" w:hAnsiTheme="minorEastAsia" w:eastAsiaTheme="minorEastAsia"/>
          <w:b/>
          <w:color w:val="auto"/>
          <w:sz w:val="24"/>
          <w:highlight w:val="none"/>
        </w:rPr>
        <w:t>2.12 合同转让</w:t>
      </w:r>
      <w:bookmarkEnd w:id="166"/>
      <w:bookmarkEnd w:id="167"/>
      <w:bookmarkEnd w:id="168"/>
      <w:r>
        <w:rPr>
          <w:rFonts w:hint="eastAsia" w:asciiTheme="minorEastAsia" w:hAnsiTheme="minorEastAsia" w:eastAsiaTheme="minorEastAsia"/>
          <w:b/>
          <w:color w:val="auto"/>
          <w:sz w:val="24"/>
          <w:highlight w:val="none"/>
        </w:rPr>
        <w:t>和分包</w:t>
      </w:r>
      <w:bookmarkEnd w:id="169"/>
      <w:bookmarkEnd w:id="170"/>
      <w:bookmarkEnd w:id="171"/>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asciiTheme="minorEastAsia" w:hAnsiTheme="minorEastAsia" w:eastAsiaTheme="minorEastAsia"/>
          <w:b/>
          <w:color w:val="auto"/>
          <w:sz w:val="24"/>
          <w:highlight w:val="none"/>
        </w:rPr>
      </w:pPr>
      <w:bookmarkStart w:id="172" w:name="_Toc16508"/>
      <w:bookmarkStart w:id="173" w:name="_Toc14066"/>
      <w:bookmarkStart w:id="174" w:name="_Toc13566"/>
      <w:r>
        <w:rPr>
          <w:rFonts w:hint="eastAsia" w:asciiTheme="minorEastAsia" w:hAnsiTheme="minorEastAsia" w:eastAsiaTheme="minorEastAsia"/>
          <w:b/>
          <w:color w:val="auto"/>
          <w:sz w:val="24"/>
          <w:highlight w:val="none"/>
        </w:rPr>
        <w:t>2.13 不可抗力</w:t>
      </w:r>
      <w:bookmarkEnd w:id="172"/>
      <w:bookmarkEnd w:id="173"/>
      <w:bookmarkEnd w:id="174"/>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2.13.2受不可抗力影响的一方在不可抗力发生后，应在</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约定时间内以书面形式通知对方当事人，并在</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约定时间内，将有关部门出具的证明文件送达对方当事人。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2.13.3 因不可抗力致使不能实现合同目的的，当事人可以解除合同；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2.13.4 因不可抗力致使合同有变更必要的，双方当事人应在</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约定时间内以书面形式变更合同；</w:t>
      </w:r>
    </w:p>
    <w:p>
      <w:pPr>
        <w:spacing w:line="360" w:lineRule="auto"/>
        <w:ind w:firstLine="482" w:firstLineChars="200"/>
        <w:outlineLvl w:val="0"/>
        <w:rPr>
          <w:rFonts w:asciiTheme="minorEastAsia" w:hAnsiTheme="minorEastAsia" w:eastAsiaTheme="minorEastAsia"/>
          <w:b/>
          <w:color w:val="auto"/>
          <w:sz w:val="24"/>
          <w:highlight w:val="none"/>
        </w:rPr>
      </w:pPr>
      <w:bookmarkStart w:id="175" w:name="_Toc6969"/>
      <w:bookmarkStart w:id="176" w:name="_Toc689"/>
      <w:bookmarkStart w:id="177" w:name="_Toc279701255"/>
      <w:bookmarkStart w:id="178" w:name="_Toc30676"/>
      <w:bookmarkStart w:id="179" w:name="_Toc259093684"/>
      <w:bookmarkStart w:id="180" w:name="_Toc487900365"/>
      <w:r>
        <w:rPr>
          <w:rFonts w:hint="eastAsia" w:asciiTheme="minorEastAsia" w:hAnsiTheme="minorEastAsia" w:eastAsiaTheme="minorEastAsia"/>
          <w:b/>
          <w:color w:val="auto"/>
          <w:sz w:val="24"/>
          <w:highlight w:val="none"/>
        </w:rPr>
        <w:t>2.14 税费</w:t>
      </w:r>
      <w:bookmarkEnd w:id="175"/>
      <w:bookmarkEnd w:id="176"/>
      <w:bookmarkEnd w:id="177"/>
      <w:bookmarkEnd w:id="178"/>
      <w:bookmarkEnd w:id="179"/>
      <w:bookmarkEnd w:id="180"/>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与合同有关的一切税费，均按照中华人民共和国法律的相关规定执行。</w:t>
      </w:r>
    </w:p>
    <w:p>
      <w:pPr>
        <w:spacing w:line="360" w:lineRule="auto"/>
        <w:ind w:firstLine="482" w:firstLineChars="200"/>
        <w:outlineLvl w:val="0"/>
        <w:rPr>
          <w:rFonts w:asciiTheme="minorEastAsia" w:hAnsiTheme="minorEastAsia" w:eastAsiaTheme="minorEastAsia"/>
          <w:b/>
          <w:color w:val="auto"/>
          <w:sz w:val="24"/>
          <w:highlight w:val="none"/>
        </w:rPr>
      </w:pPr>
      <w:bookmarkStart w:id="181" w:name="_Toc259093687"/>
      <w:bookmarkStart w:id="182" w:name="_Toc8298"/>
      <w:bookmarkStart w:id="183" w:name="_Toc7102"/>
      <w:bookmarkStart w:id="184" w:name="_Toc487900368"/>
      <w:bookmarkStart w:id="185" w:name="_Toc16959"/>
      <w:bookmarkStart w:id="186" w:name="_Toc279701258"/>
      <w:r>
        <w:rPr>
          <w:rFonts w:hint="eastAsia" w:asciiTheme="minorEastAsia" w:hAnsiTheme="minorEastAsia" w:eastAsiaTheme="minorEastAsia"/>
          <w:b/>
          <w:color w:val="auto"/>
          <w:sz w:val="24"/>
          <w:highlight w:val="none"/>
        </w:rPr>
        <w:t>2.15 乙方破产</w:t>
      </w:r>
      <w:bookmarkEnd w:id="181"/>
      <w:bookmarkEnd w:id="182"/>
      <w:bookmarkEnd w:id="183"/>
      <w:bookmarkEnd w:id="184"/>
      <w:bookmarkEnd w:id="185"/>
      <w:bookmarkEnd w:id="186"/>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Theme="minorEastAsia" w:hAnsiTheme="minorEastAsia" w:eastAsiaTheme="minorEastAsia"/>
          <w:b/>
          <w:color w:val="auto"/>
          <w:sz w:val="24"/>
          <w:highlight w:val="none"/>
        </w:rPr>
      </w:pPr>
      <w:bookmarkStart w:id="187" w:name="_Toc6134"/>
      <w:bookmarkStart w:id="188" w:name="_Toc29333"/>
      <w:bookmarkStart w:id="189" w:name="_Toc15387"/>
      <w:r>
        <w:rPr>
          <w:rFonts w:hint="eastAsia" w:asciiTheme="minorEastAsia" w:hAnsiTheme="minorEastAsia" w:eastAsiaTheme="minorEastAsia"/>
          <w:b/>
          <w:color w:val="auto"/>
          <w:sz w:val="24"/>
          <w:highlight w:val="none"/>
        </w:rPr>
        <w:t>2.16 合同中止、终止</w:t>
      </w:r>
      <w:bookmarkEnd w:id="187"/>
      <w:bookmarkEnd w:id="188"/>
      <w:bookmarkEnd w:id="189"/>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2.16.1 双方当事人不得擅自中止或者终止合同；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2.16.3因甲方原因导致变更、中止或终止合同的，甲方应对乙方受到的损失予以赔偿或者补偿。</w:t>
      </w:r>
    </w:p>
    <w:p>
      <w:pPr>
        <w:spacing w:line="360" w:lineRule="auto"/>
        <w:ind w:firstLine="482" w:firstLineChars="200"/>
        <w:rPr>
          <w:rFonts w:asciiTheme="minorEastAsia" w:hAnsiTheme="minorEastAsia" w:eastAsiaTheme="minorEastAsia"/>
          <w:b/>
          <w:color w:val="auto"/>
          <w:sz w:val="24"/>
          <w:highlight w:val="none"/>
        </w:rPr>
      </w:pPr>
      <w:bookmarkStart w:id="190" w:name="_Toc1125"/>
      <w:bookmarkStart w:id="191" w:name="_Toc14563"/>
      <w:bookmarkStart w:id="192" w:name="_Toc6596"/>
      <w:r>
        <w:rPr>
          <w:rFonts w:hint="eastAsia" w:asciiTheme="minorEastAsia" w:hAnsiTheme="minorEastAsia" w:eastAsiaTheme="minorEastAsia"/>
          <w:b/>
          <w:color w:val="auto"/>
          <w:sz w:val="24"/>
          <w:highlight w:val="none"/>
        </w:rPr>
        <w:t>2.17 检验和验收</w:t>
      </w:r>
      <w:bookmarkEnd w:id="190"/>
      <w:bookmarkEnd w:id="191"/>
      <w:bookmarkEnd w:id="192"/>
    </w:p>
    <w:p>
      <w:pPr>
        <w:tabs>
          <w:tab w:val="left" w:pos="360"/>
          <w:tab w:val="left" w:pos="540"/>
          <w:tab w:val="left" w:pos="108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2.17.1标的物交付前，乙方应对标的物的质量、数量等方面进行详细、全面的检验，并向甲方出具证明标的物符合合同约定的文件；标的物交付时，乙方在</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约定时间内组织验收，并可依法邀请相关方参加，验收应出具验收书。</w:t>
      </w:r>
    </w:p>
    <w:p>
      <w:pPr>
        <w:tabs>
          <w:tab w:val="left" w:pos="360"/>
          <w:tab w:val="left" w:pos="540"/>
          <w:tab w:val="left" w:pos="108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2.17.3 检验和验收标准、程序等具体内容以及前述验收书的效力详见</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2"/>
    <w:bookmarkEnd w:id="163"/>
    <w:bookmarkEnd w:id="164"/>
    <w:bookmarkEnd w:id="165"/>
    <w:p>
      <w:pPr>
        <w:spacing w:line="360" w:lineRule="auto"/>
        <w:ind w:firstLine="482" w:firstLineChars="200"/>
        <w:outlineLvl w:val="0"/>
        <w:rPr>
          <w:rFonts w:asciiTheme="minorEastAsia" w:hAnsiTheme="minorEastAsia" w:eastAsiaTheme="minorEastAsia"/>
          <w:b/>
          <w:color w:val="auto"/>
          <w:sz w:val="24"/>
          <w:highlight w:val="none"/>
        </w:rPr>
      </w:pPr>
      <w:bookmarkStart w:id="193" w:name="_Toc259093690"/>
      <w:bookmarkStart w:id="194" w:name="_Toc279701261"/>
      <w:bookmarkStart w:id="195" w:name="_Toc487900371"/>
      <w:bookmarkStart w:id="196" w:name="_Toc19604"/>
      <w:bookmarkStart w:id="197" w:name="_Toc25182"/>
      <w:bookmarkStart w:id="198" w:name="_Toc11284"/>
      <w:r>
        <w:rPr>
          <w:rFonts w:hint="eastAsia" w:asciiTheme="minorEastAsia" w:hAnsiTheme="minorEastAsia" w:eastAsiaTheme="minorEastAsia"/>
          <w:b/>
          <w:color w:val="auto"/>
          <w:sz w:val="24"/>
          <w:highlight w:val="none"/>
        </w:rPr>
        <w:t>2.18 通知</w:t>
      </w:r>
      <w:bookmarkEnd w:id="193"/>
      <w:bookmarkEnd w:id="194"/>
      <w:bookmarkEnd w:id="195"/>
      <w:r>
        <w:rPr>
          <w:rFonts w:hint="eastAsia" w:asciiTheme="minorEastAsia" w:hAnsiTheme="minorEastAsia" w:eastAsiaTheme="minorEastAsia"/>
          <w:b/>
          <w:color w:val="auto"/>
          <w:sz w:val="24"/>
          <w:highlight w:val="none"/>
        </w:rPr>
        <w:t>和送达</w:t>
      </w:r>
      <w:bookmarkEnd w:id="196"/>
      <w:bookmarkEnd w:id="197"/>
      <w:bookmarkEnd w:id="198"/>
    </w:p>
    <w:p>
      <w:pPr>
        <w:spacing w:line="360" w:lineRule="auto"/>
        <w:ind w:firstLine="480" w:firstLineChars="200"/>
        <w:rPr>
          <w:rFonts w:asciiTheme="minorEastAsia" w:hAnsiTheme="minorEastAsia" w:eastAsiaTheme="minorEastAsia"/>
          <w:color w:val="auto"/>
          <w:sz w:val="24"/>
          <w:highlight w:val="none"/>
        </w:rPr>
      </w:pPr>
      <w:bookmarkStart w:id="199" w:name="_Toc3135"/>
      <w:bookmarkStart w:id="200" w:name="_Toc6698"/>
      <w:bookmarkStart w:id="201" w:name="_Toc279701262"/>
      <w:bookmarkStart w:id="202" w:name="_Toc487900372"/>
      <w:bookmarkStart w:id="203" w:name="_Toc259093691"/>
      <w:r>
        <w:rPr>
          <w:rFonts w:hint="eastAsia" w:asciiTheme="minorEastAsia" w:hAnsiTheme="minorEastAsia" w:eastAsiaTheme="minorEastAsia"/>
          <w:color w:val="auto"/>
          <w:sz w:val="24"/>
          <w:highlight w:val="none"/>
        </w:rPr>
        <w:t>2.18.1 任何一方因履行合同而以合同第一部分尾部所列明的</w:t>
      </w:r>
      <w:r>
        <w:rPr>
          <w:rFonts w:hint="eastAsia" w:asciiTheme="minorEastAsia" w:hAnsiTheme="minorEastAsia" w:eastAsiaTheme="minorEastAsia"/>
          <w:color w:val="auto"/>
          <w:sz w:val="24"/>
          <w:highlight w:val="none"/>
          <w:u w:val="single"/>
        </w:rPr>
        <w:t>“约定送达地址”</w:t>
      </w:r>
      <w:r>
        <w:rPr>
          <w:rFonts w:hint="eastAsia" w:asciiTheme="minorEastAsia" w:hAnsiTheme="minorEastAsia" w:eastAsiaTheme="minorEastAsia"/>
          <w:color w:val="auto"/>
          <w:sz w:val="24"/>
          <w:highlight w:val="none"/>
        </w:rPr>
        <w:t>为收件地址的所有通知、文件、材料，均视为已向对方当事人送达；任何一方变更上述送达方式或者地址的，应于</w:t>
      </w:r>
      <w:r>
        <w:rPr>
          <w:rFonts w:hint="eastAsia" w:asciiTheme="minorEastAsia" w:hAnsiTheme="minorEastAsia" w:eastAsiaTheme="minorEastAsia"/>
          <w:color w:val="auto"/>
          <w:sz w:val="24"/>
          <w:highlight w:val="none"/>
          <w:u w:val="single"/>
        </w:rPr>
        <w:t xml:space="preserve"> 5 </w:t>
      </w:r>
      <w:r>
        <w:rPr>
          <w:rFonts w:hint="eastAsia" w:asciiTheme="minorEastAsia" w:hAnsiTheme="minorEastAsia" w:eastAsiaTheme="minorEastAsia"/>
          <w:color w:val="auto"/>
          <w:sz w:val="24"/>
          <w:highlight w:val="none"/>
        </w:rPr>
        <w:t>个工作日内书面通知对方当事人，在对方当事人收到有关变更通知之前，变更前的约定送达方式或者地址仍视为有效。</w:t>
      </w:r>
      <w:bookmarkEnd w:id="199"/>
      <w:bookmarkEnd w:id="200"/>
    </w:p>
    <w:p>
      <w:pPr>
        <w:spacing w:line="360" w:lineRule="auto"/>
        <w:ind w:firstLine="480" w:firstLineChars="200"/>
        <w:rPr>
          <w:rFonts w:asciiTheme="minorEastAsia" w:hAnsiTheme="minorEastAsia" w:eastAsiaTheme="minorEastAsia"/>
          <w:color w:val="auto"/>
          <w:sz w:val="24"/>
          <w:highlight w:val="none"/>
        </w:rPr>
      </w:pPr>
      <w:bookmarkStart w:id="204" w:name="_Toc23128"/>
      <w:bookmarkStart w:id="205" w:name="_Toc23294"/>
      <w:r>
        <w:rPr>
          <w:rFonts w:hint="eastAsia" w:asciiTheme="minorEastAsia" w:hAnsiTheme="minorEastAsia" w:eastAsiaTheme="minorEastAsia"/>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4"/>
      <w:bookmarkEnd w:id="205"/>
    </w:p>
    <w:p>
      <w:pPr>
        <w:spacing w:line="360" w:lineRule="auto"/>
        <w:ind w:firstLine="482" w:firstLineChars="200"/>
        <w:outlineLvl w:val="0"/>
        <w:rPr>
          <w:rFonts w:asciiTheme="minorEastAsia" w:hAnsiTheme="minorEastAsia" w:eastAsiaTheme="minorEastAsia"/>
          <w:b/>
          <w:color w:val="auto"/>
          <w:sz w:val="24"/>
          <w:highlight w:val="none"/>
        </w:rPr>
      </w:pPr>
      <w:bookmarkStart w:id="206" w:name="_Toc30599"/>
      <w:bookmarkStart w:id="207" w:name="_Toc18540"/>
      <w:bookmarkStart w:id="208" w:name="_Toc4355"/>
      <w:r>
        <w:rPr>
          <w:rFonts w:hint="eastAsia" w:asciiTheme="minorEastAsia" w:hAnsiTheme="minorEastAsia" w:eastAsiaTheme="minorEastAsia"/>
          <w:b/>
          <w:color w:val="auto"/>
          <w:sz w:val="24"/>
          <w:highlight w:val="none"/>
        </w:rPr>
        <w:t>2.19 计量单位</w:t>
      </w:r>
      <w:bookmarkEnd w:id="201"/>
      <w:bookmarkEnd w:id="202"/>
      <w:bookmarkEnd w:id="203"/>
      <w:bookmarkEnd w:id="206"/>
      <w:bookmarkEnd w:id="207"/>
      <w:bookmarkEnd w:id="208"/>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82" w:firstLineChars="200"/>
        <w:outlineLvl w:val="0"/>
        <w:rPr>
          <w:rFonts w:asciiTheme="minorEastAsia" w:hAnsiTheme="minorEastAsia" w:eastAsiaTheme="minorEastAsia"/>
          <w:b/>
          <w:color w:val="auto"/>
          <w:sz w:val="24"/>
          <w:highlight w:val="none"/>
        </w:rPr>
      </w:pPr>
      <w:bookmarkStart w:id="209" w:name="_Toc10330"/>
      <w:bookmarkStart w:id="210" w:name="_Toc259093692"/>
      <w:bookmarkStart w:id="211" w:name="_Toc487900373"/>
      <w:bookmarkStart w:id="212" w:name="_Toc18567"/>
      <w:bookmarkStart w:id="213" w:name="_Toc12773"/>
      <w:bookmarkStart w:id="214" w:name="_Toc279701263"/>
      <w:r>
        <w:rPr>
          <w:rFonts w:hint="eastAsia" w:asciiTheme="minorEastAsia" w:hAnsiTheme="minorEastAsia" w:eastAsiaTheme="minorEastAsia"/>
          <w:b/>
          <w:color w:val="auto"/>
          <w:sz w:val="24"/>
          <w:highlight w:val="none"/>
        </w:rPr>
        <w:t>2.20 合同使用的文字和适用的法律</w:t>
      </w:r>
      <w:bookmarkEnd w:id="209"/>
      <w:bookmarkEnd w:id="210"/>
      <w:bookmarkEnd w:id="211"/>
      <w:bookmarkEnd w:id="212"/>
      <w:bookmarkEnd w:id="213"/>
      <w:bookmarkEnd w:id="214"/>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2.20.1 合同使用汉语书</w:t>
      </w:r>
      <w:r>
        <w:rPr>
          <w:rFonts w:hint="eastAsia" w:asciiTheme="minorEastAsia" w:hAnsiTheme="minorEastAsia" w:eastAsiaTheme="minorEastAsia"/>
          <w:color w:val="auto"/>
          <w:sz w:val="24"/>
          <w:highlight w:val="none"/>
          <w:lang w:val="en-US" w:eastAsia="zh-CN"/>
        </w:rPr>
        <w:t>进行</w:t>
      </w:r>
      <w:r>
        <w:rPr>
          <w:rFonts w:hint="eastAsia" w:asciiTheme="minorEastAsia" w:hAnsiTheme="minorEastAsia" w:eastAsiaTheme="minorEastAsia"/>
          <w:color w:val="auto"/>
          <w:sz w:val="24"/>
          <w:highlight w:val="none"/>
        </w:rPr>
        <w:t>变更和解释；</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2.20.2 合同适用中华人民共和国法律。</w:t>
      </w:r>
    </w:p>
    <w:p>
      <w:pPr>
        <w:spacing w:line="360" w:lineRule="auto"/>
        <w:ind w:firstLine="482" w:firstLineChars="200"/>
        <w:outlineLvl w:val="0"/>
        <w:rPr>
          <w:rFonts w:asciiTheme="minorEastAsia" w:hAnsiTheme="minorEastAsia" w:eastAsiaTheme="minorEastAsia"/>
          <w:b/>
          <w:color w:val="auto"/>
          <w:sz w:val="24"/>
          <w:highlight w:val="none"/>
        </w:rPr>
      </w:pPr>
      <w:bookmarkStart w:id="215" w:name="_Toc16673"/>
      <w:bookmarkStart w:id="216" w:name="_Toc279701264"/>
      <w:bookmarkStart w:id="217" w:name="_Toc259093693"/>
      <w:bookmarkStart w:id="218" w:name="_Toc12004"/>
      <w:bookmarkStart w:id="219" w:name="_Toc3148"/>
      <w:bookmarkStart w:id="220" w:name="_Toc487900374"/>
      <w:r>
        <w:rPr>
          <w:rFonts w:hint="eastAsia" w:asciiTheme="minorEastAsia" w:hAnsiTheme="minorEastAsia" w:eastAsiaTheme="minorEastAsia"/>
          <w:b/>
          <w:color w:val="auto"/>
          <w:sz w:val="24"/>
          <w:highlight w:val="none"/>
        </w:rPr>
        <w:t>2.21 履约保证金</w:t>
      </w:r>
      <w:bookmarkEnd w:id="215"/>
      <w:bookmarkEnd w:id="216"/>
      <w:bookmarkEnd w:id="217"/>
      <w:bookmarkEnd w:id="218"/>
      <w:bookmarkEnd w:id="219"/>
    </w:p>
    <w:p>
      <w:pPr>
        <w:pStyle w:val="629"/>
        <w:spacing w:before="0" w:beforeAutospacing="0" w:after="0" w:afterAutospacing="0" w:line="360" w:lineRule="auto"/>
        <w:ind w:firstLine="42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2.21.1采购文件要求乙方提交履约保证金的，乙方应按</w:t>
      </w:r>
      <w:r>
        <w:rPr>
          <w:rFonts w:hint="eastAsia" w:asciiTheme="minorEastAsia" w:hAnsiTheme="minorEastAsia" w:eastAsiaTheme="minorEastAsia"/>
          <w:b/>
          <w:i/>
          <w:color w:val="auto"/>
          <w:highlight w:val="none"/>
          <w:u w:val="single"/>
        </w:rPr>
        <w:t>合同专用条款</w:t>
      </w:r>
      <w:r>
        <w:rPr>
          <w:rFonts w:hint="eastAsia" w:asciiTheme="minorEastAsia" w:hAnsiTheme="minorEastAsia" w:eastAsiaTheme="minorEastAsia"/>
          <w:color w:val="auto"/>
          <w:highlight w:val="none"/>
        </w:rPr>
        <w:t>约定的方式，以支票、汇票、本票或者金融机构、担保机构出具的保函等非现金形式，提交不超过合同金额</w:t>
      </w:r>
      <w:r>
        <w:rPr>
          <w:rFonts w:asciiTheme="minorEastAsia" w:hAnsiTheme="minorEastAsia" w:eastAsiaTheme="minorEastAsia"/>
          <w:color w:val="auto"/>
          <w:highlight w:val="none"/>
        </w:rPr>
        <w:t>1%的履约保证金；鼓励和支持乙方以银行、保险公司出具的保函形式提供履约保证</w:t>
      </w:r>
      <w:r>
        <w:rPr>
          <w:rFonts w:hint="eastAsia" w:asciiTheme="minorEastAsia" w:hAnsiTheme="minorEastAsia" w:eastAsiaTheme="minorEastAsia"/>
          <w:color w:val="auto"/>
          <w:highlight w:val="none"/>
        </w:rPr>
        <w:t>，乙方以银行、保险公司出具保函形式提交履约保证金的，甲方不得拒收。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2.21.2  甲方在项目验收结束后及时退还履约保证金。甲方在项目通过验收之日起</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个工作日内将履约保证金退还乙方，逾期退还的，乙方可要求甲方支付违约金，违约金按每迟延退还一日的应退还而未退还金额的</w:t>
      </w:r>
      <w:r>
        <w:rPr>
          <w:rFonts w:asciiTheme="minorEastAsia" w:hAnsiTheme="minorEastAsia" w:eastAsiaTheme="minorEastAsia"/>
          <w:color w:val="auto"/>
          <w:sz w:val="24"/>
          <w:highlight w:val="none"/>
          <w:u w:val="single"/>
        </w:rPr>
        <w:t>0.05</w:t>
      </w:r>
      <w:r>
        <w:rPr>
          <w:rFonts w:asciiTheme="minorEastAsia" w:hAnsiTheme="minorEastAsia" w:eastAsiaTheme="minorEastAsia"/>
          <w:color w:val="auto"/>
          <w:sz w:val="24"/>
          <w:highlight w:val="none"/>
        </w:rPr>
        <w:t>%计算，最高限额为本合同履约保证金的</w:t>
      </w:r>
      <w:r>
        <w:rPr>
          <w:rFonts w:asciiTheme="minorEastAsia" w:hAnsiTheme="minorEastAsia" w:eastAsiaTheme="minorEastAsia"/>
          <w:color w:val="auto"/>
          <w:sz w:val="24"/>
          <w:highlight w:val="none"/>
          <w:u w:val="single"/>
        </w:rPr>
        <w:t xml:space="preserve"> 20</w:t>
      </w:r>
      <w:r>
        <w:rPr>
          <w:rFonts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2.21.4甲方</w:t>
      </w:r>
      <w:r>
        <w:rPr>
          <w:rFonts w:asciiTheme="minorEastAsia" w:hAnsiTheme="minorEastAsia" w:eastAsiaTheme="minorEastAsia"/>
          <w:color w:val="auto"/>
          <w:sz w:val="24"/>
          <w:highlight w:val="none"/>
        </w:rPr>
        <w:t>在</w:t>
      </w:r>
      <w:r>
        <w:rPr>
          <w:rFonts w:hint="eastAsia" w:asciiTheme="minorEastAsia" w:hAnsiTheme="minorEastAsia" w:eastAsiaTheme="minorEastAsia"/>
          <w:color w:val="auto"/>
          <w:sz w:val="24"/>
          <w:highlight w:val="none"/>
        </w:rPr>
        <w:t>乙方</w:t>
      </w:r>
      <w:r>
        <w:rPr>
          <w:rFonts w:asciiTheme="minorEastAsia" w:hAnsiTheme="minorEastAsia" w:eastAsiaTheme="minorEastAsia"/>
          <w:color w:val="auto"/>
          <w:sz w:val="24"/>
          <w:highlight w:val="none"/>
        </w:rPr>
        <w:t>履行完合同约定义务事项后及时退还，延迟退还的，应当按照合同约定和法律规定承担相应的赔偿责任。</w:t>
      </w:r>
    </w:p>
    <w:p>
      <w:pPr>
        <w:spacing w:line="360" w:lineRule="auto"/>
        <w:ind w:firstLine="480"/>
        <w:outlineLvl w:val="0"/>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b/>
          <w:color w:val="auto"/>
          <w:sz w:val="24"/>
          <w:highlight w:val="none"/>
        </w:rPr>
        <w:t>2.22 中小企业政策</w:t>
      </w:r>
    </w:p>
    <w:p>
      <w:pPr>
        <w:spacing w:line="360" w:lineRule="auto"/>
        <w:ind w:firstLine="480"/>
        <w:outlineLvl w:val="0"/>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2.22.1本合同（□是  □否）为可融资合同。</w:t>
      </w:r>
    </w:p>
    <w:p>
      <w:pPr>
        <w:spacing w:line="360" w:lineRule="auto"/>
        <w:ind w:firstLine="480"/>
        <w:outlineLvl w:val="0"/>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2.22.2</w:t>
      </w:r>
      <w:r>
        <w:rPr>
          <w:rFonts w:asciiTheme="minorEastAsia" w:hAnsiTheme="minorEastAsia" w:eastAsiaTheme="minorEastAsia"/>
          <w:color w:val="auto"/>
          <w:kern w:val="0"/>
          <w:sz w:val="24"/>
          <w:highlight w:val="none"/>
          <w:lang w:val="zh-CN"/>
        </w:rPr>
        <w:t xml:space="preserve">本合同（□是  </w:t>
      </w:r>
      <w:r>
        <w:rPr>
          <w:rFonts w:hint="eastAsia" w:asciiTheme="minorEastAsia" w:hAnsiTheme="minorEastAsia" w:eastAsiaTheme="minorEastAsia"/>
          <w:color w:val="auto"/>
          <w:kern w:val="0"/>
          <w:sz w:val="24"/>
          <w:highlight w:val="none"/>
          <w:lang w:val="zh-CN"/>
        </w:rPr>
        <w:t>□否）为中小企业预留合同。</w:t>
      </w:r>
    </w:p>
    <w:bookmarkEnd w:id="220"/>
    <w:p>
      <w:pPr>
        <w:spacing w:line="360" w:lineRule="auto"/>
        <w:ind w:firstLine="482" w:firstLineChars="200"/>
        <w:outlineLvl w:val="0"/>
        <w:rPr>
          <w:rFonts w:asciiTheme="minorEastAsia" w:hAnsiTheme="minorEastAsia" w:eastAsiaTheme="minorEastAsia"/>
          <w:b/>
          <w:color w:val="auto"/>
          <w:sz w:val="24"/>
          <w:highlight w:val="none"/>
        </w:rPr>
      </w:pPr>
      <w:bookmarkStart w:id="221" w:name="_Toc19890"/>
      <w:bookmarkStart w:id="222" w:name="_Toc6885"/>
      <w:bookmarkStart w:id="223" w:name="_Toc14001"/>
      <w:r>
        <w:rPr>
          <w:rFonts w:hint="eastAsia" w:asciiTheme="minorEastAsia" w:hAnsiTheme="minorEastAsia" w:eastAsiaTheme="minorEastAsia"/>
          <w:b/>
          <w:color w:val="auto"/>
          <w:sz w:val="24"/>
          <w:highlight w:val="none"/>
        </w:rPr>
        <w:t>2.23 合同份数</w:t>
      </w:r>
      <w:bookmarkEnd w:id="221"/>
      <w:bookmarkEnd w:id="222"/>
      <w:bookmarkEnd w:id="223"/>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本合同一式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份，甲方执</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份，乙方执</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份。每份均具有同等法律效力。</w:t>
      </w:r>
    </w:p>
    <w:p>
      <w:pPr>
        <w:pStyle w:val="281"/>
        <w:jc w:val="center"/>
        <w:rPr>
          <w:rFonts w:asciiTheme="minorEastAsia" w:hAnsiTheme="minorEastAsia" w:eastAsiaTheme="minorEastAsia"/>
          <w:b/>
          <w:color w:val="auto"/>
          <w:szCs w:val="24"/>
          <w:highlight w:val="none"/>
        </w:rPr>
      </w:pPr>
      <w:r>
        <w:rPr>
          <w:rFonts w:hint="eastAsia" w:asciiTheme="minorEastAsia" w:hAnsiTheme="minorEastAsia" w:eastAsiaTheme="minorEastAsia"/>
          <w:color w:val="auto"/>
          <w:szCs w:val="24"/>
          <w:highlight w:val="none"/>
        </w:rPr>
        <w:br w:type="page"/>
      </w:r>
      <w:bookmarkStart w:id="224" w:name="_Toc331685784"/>
      <w:r>
        <w:rPr>
          <w:rFonts w:hint="eastAsia" w:asciiTheme="minorEastAsia" w:hAnsiTheme="minorEastAsia" w:eastAsiaTheme="minorEastAsia"/>
          <w:b/>
          <w:color w:val="auto"/>
          <w:szCs w:val="24"/>
          <w:highlight w:val="none"/>
        </w:rPr>
        <w:t xml:space="preserve">第三部分  </w:t>
      </w:r>
      <w:r>
        <w:rPr>
          <w:rFonts w:hint="eastAsia" w:asciiTheme="minorEastAsia" w:hAnsiTheme="minorEastAsia" w:eastAsiaTheme="minorEastAsia"/>
          <w:b/>
          <w:color w:val="auto"/>
          <w:highlight w:val="none"/>
        </w:rPr>
        <w:t>※</w:t>
      </w:r>
      <w:r>
        <w:rPr>
          <w:rFonts w:hint="eastAsia" w:asciiTheme="minorEastAsia" w:hAnsiTheme="minorEastAsia" w:eastAsiaTheme="minorEastAsia"/>
          <w:b/>
          <w:color w:val="auto"/>
          <w:szCs w:val="24"/>
          <w:highlight w:val="none"/>
        </w:rPr>
        <w:t>合同专用条款</w:t>
      </w:r>
      <w:bookmarkEnd w:id="224"/>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条款号</w:t>
            </w:r>
          </w:p>
        </w:tc>
        <w:tc>
          <w:tcPr>
            <w:tcW w:w="8185"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1.4.4</w:t>
            </w:r>
          </w:p>
        </w:tc>
        <w:tc>
          <w:tcPr>
            <w:tcW w:w="8185" w:type="dxa"/>
          </w:tcPr>
          <w:p>
            <w:pPr>
              <w:spacing w:line="360" w:lineRule="auto"/>
              <w:outlineLvl w:val="0"/>
              <w:rPr>
                <w:rFonts w:hint="default" w:cs="仿宋_GB2312" w:asciiTheme="minorEastAsia" w:hAnsiTheme="minorEastAsia" w:eastAsiaTheme="minorEastAsia"/>
                <w:color w:val="auto"/>
                <w:sz w:val="24"/>
                <w:highlight w:val="none"/>
                <w:lang w:val="en-US" w:eastAsia="zh-CN"/>
              </w:rPr>
            </w:pPr>
            <w:r>
              <w:rPr>
                <w:rFonts w:asciiTheme="minorEastAsia" w:hAnsiTheme="minorEastAsia" w:eastAsiaTheme="minorEastAsia"/>
                <w:color w:val="auto"/>
                <w:sz w:val="24"/>
                <w:highlight w:val="none"/>
              </w:rPr>
              <w:t>资金支付的方式、时间和条件</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银行转账</w:t>
            </w:r>
            <w:r>
              <w:rPr>
                <w:rFonts w:hint="eastAsia" w:cs="Times New Roman" w:asciiTheme="minorEastAsia" w:hAnsiTheme="minorEastAsia" w:eastAsiaTheme="minorEastAsia"/>
                <w:color w:val="auto"/>
                <w:sz w:val="24"/>
                <w:highlight w:val="none"/>
                <w:lang w:val="en-US" w:eastAsia="zh-CN"/>
              </w:rPr>
              <w:t>，具体详见</w:t>
            </w:r>
            <w:r>
              <w:rPr>
                <w:rFonts w:hint="eastAsia" w:cs="Times New Roman" w:asciiTheme="minorEastAsia" w:hAnsiTheme="minorEastAsia" w:eastAsiaTheme="minorEastAsia"/>
                <w:color w:val="auto"/>
                <w:sz w:val="24"/>
                <w:highlight w:val="none"/>
              </w:rPr>
              <w:t>结算方式和付款条件</w:t>
            </w:r>
            <w:r>
              <w:rPr>
                <w:rFonts w:hint="eastAsia" w:cs="Times New Roman" w:asciiTheme="minorEastAsia" w:hAnsiTheme="minorEastAsia" w:eastAsiaTheme="minor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1.5.1</w:t>
            </w:r>
          </w:p>
        </w:tc>
        <w:tc>
          <w:tcPr>
            <w:tcW w:w="8185" w:type="dxa"/>
          </w:tcPr>
          <w:p>
            <w:pPr>
              <w:spacing w:line="360" w:lineRule="auto"/>
              <w:rPr>
                <w:rFonts w:hint="default" w:cs="仿宋_GB2312"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履行期限：2023年4月1日至2024年3月31日。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1.5.2</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履行地点：</w:t>
            </w:r>
            <w:r>
              <w:rPr>
                <w:rFonts w:hint="eastAsia" w:asciiTheme="minorEastAsia" w:hAnsiTheme="minorEastAsia" w:eastAsiaTheme="minorEastAsia"/>
                <w:color w:val="auto"/>
                <w:sz w:val="24"/>
                <w:highlight w:val="none"/>
                <w:lang w:val="en-US" w:eastAsia="zh-CN"/>
              </w:rPr>
              <w:t>甲方</w:t>
            </w:r>
            <w:r>
              <w:rPr>
                <w:rFonts w:hint="eastAsia" w:asciiTheme="minorEastAsia" w:hAnsiTheme="minorEastAsia" w:eastAsiaTheme="minorEastAsia"/>
                <w:color w:val="auto"/>
                <w:sz w:val="24"/>
                <w:highlight w:val="none"/>
              </w:rPr>
              <w:t>及其指定地点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1.5.3</w:t>
            </w:r>
          </w:p>
        </w:tc>
        <w:tc>
          <w:tcPr>
            <w:tcW w:w="8185" w:type="dxa"/>
          </w:tcPr>
          <w:p>
            <w:pPr>
              <w:spacing w:line="360" w:lineRule="auto"/>
              <w:rPr>
                <w:rFonts w:hint="default" w:cs="仿宋_GB2312"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履行方式：</w:t>
            </w:r>
            <w:r>
              <w:rPr>
                <w:rFonts w:hint="eastAsia" w:asciiTheme="minorEastAsia" w:hAnsiTheme="minorEastAsia" w:eastAsiaTheme="minorEastAsia"/>
                <w:color w:val="auto"/>
                <w:sz w:val="24"/>
                <w:highlight w:val="none"/>
                <w:lang w:val="en-US" w:eastAsia="zh-CN"/>
              </w:rPr>
              <w:t>根据甲方具体安排提供运维服务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1.7</w:t>
            </w:r>
          </w:p>
        </w:tc>
        <w:tc>
          <w:tcPr>
            <w:tcW w:w="8185" w:type="dxa"/>
          </w:tcPr>
          <w:p>
            <w:pPr>
              <w:spacing w:line="360" w:lineRule="auto"/>
              <w:rPr>
                <w:rFonts w:hint="default" w:cs="仿宋_GB2312" w:asciiTheme="minorEastAsia" w:hAnsiTheme="minorEastAsia" w:eastAsiaTheme="minorEastAsia"/>
                <w:color w:val="auto"/>
                <w:sz w:val="24"/>
                <w:highlight w:val="none"/>
                <w:lang w:val="en-US"/>
              </w:rPr>
            </w:pPr>
            <w:r>
              <w:rPr>
                <w:rFonts w:hint="eastAsia" w:asciiTheme="minorEastAsia" w:hAnsiTheme="minorEastAsia" w:eastAsiaTheme="minorEastAsia"/>
                <w:color w:val="auto"/>
                <w:sz w:val="24"/>
                <w:highlight w:val="none"/>
                <w:lang w:val="en-US" w:eastAsia="zh-CN"/>
              </w:rPr>
              <w:t>1.7.1或1.7.2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1.7.1</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将争议提交</w:t>
            </w:r>
            <w:r>
              <w:rPr>
                <w:rFonts w:hint="eastAsia" w:asciiTheme="minorEastAsia" w:hAnsiTheme="minorEastAsia" w:eastAsiaTheme="minorEastAsia"/>
                <w:color w:val="auto"/>
                <w:sz w:val="24"/>
                <w:highlight w:val="none"/>
                <w:u w:val="single"/>
                <w:lang w:val="en-US" w:eastAsia="zh-CN"/>
              </w:rPr>
              <w:t>甲方所在地</w:t>
            </w:r>
            <w:r>
              <w:rPr>
                <w:rFonts w:hint="eastAsia" w:asciiTheme="minorEastAsia" w:hAnsiTheme="minorEastAsia" w:eastAsiaTheme="minorEastAsia"/>
                <w:color w:val="auto"/>
                <w:sz w:val="24"/>
                <w:highlight w:val="none"/>
              </w:rPr>
              <w:t>仲裁委员会依申请仲裁时其现行有效的仲裁规则裁决；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1.7.2</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向</w:t>
            </w:r>
            <w:r>
              <w:rPr>
                <w:rFonts w:hint="eastAsia" w:asciiTheme="minorEastAsia" w:hAnsiTheme="minorEastAsia" w:eastAsiaTheme="minorEastAsia"/>
                <w:color w:val="auto"/>
                <w:sz w:val="24"/>
                <w:highlight w:val="none"/>
                <w:u w:val="single"/>
                <w:lang w:val="en-US" w:eastAsia="zh-CN"/>
              </w:rPr>
              <w:t>甲方所在地</w:t>
            </w:r>
            <w:r>
              <w:rPr>
                <w:rFonts w:hint="eastAsia" w:asciiTheme="minorEastAsia" w:hAnsiTheme="minorEastAsia" w:eastAsiaTheme="minorEastAsia"/>
                <w:color w:val="auto"/>
                <w:sz w:val="24"/>
                <w:highlight w:val="none"/>
              </w:rPr>
              <w:t>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2.3.2</w:t>
            </w:r>
          </w:p>
        </w:tc>
        <w:tc>
          <w:tcPr>
            <w:tcW w:w="8185" w:type="dxa"/>
          </w:tcPr>
          <w:p>
            <w:pPr>
              <w:spacing w:line="360" w:lineRule="auto"/>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乙方</w:t>
            </w:r>
            <w:r>
              <w:rPr>
                <w:rFonts w:hint="eastAsia" w:cs="仿宋_GB2312" w:asciiTheme="minorEastAsia" w:hAnsiTheme="minorEastAsia" w:eastAsiaTheme="minorEastAsia"/>
                <w:color w:val="auto"/>
                <w:sz w:val="24"/>
                <w:highlight w:val="none"/>
                <w:lang w:eastAsia="zh-CN"/>
              </w:rPr>
              <w:t>必须保证遵守知识产权保护规定，因知识产权引起的纠纷由</w:t>
            </w:r>
            <w:r>
              <w:rPr>
                <w:rFonts w:hint="eastAsia" w:cs="仿宋_GB2312" w:asciiTheme="minorEastAsia" w:hAnsiTheme="minorEastAsia" w:eastAsiaTheme="minorEastAsia"/>
                <w:color w:val="auto"/>
                <w:sz w:val="24"/>
                <w:highlight w:val="none"/>
                <w:lang w:val="en-US" w:eastAsia="zh-CN"/>
              </w:rPr>
              <w:t>乙方</w:t>
            </w:r>
            <w:r>
              <w:rPr>
                <w:rFonts w:hint="eastAsia" w:cs="仿宋_GB2312" w:asciiTheme="minorEastAsia" w:hAnsiTheme="minorEastAsia" w:eastAsiaTheme="minorEastAsia"/>
                <w:color w:val="auto"/>
                <w:sz w:val="24"/>
                <w:highlight w:val="none"/>
                <w:lang w:eastAsia="zh-CN"/>
              </w:rPr>
              <w:t>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2.4.1</w:t>
            </w:r>
          </w:p>
        </w:tc>
        <w:tc>
          <w:tcPr>
            <w:tcW w:w="8185" w:type="dxa"/>
          </w:tcPr>
          <w:p>
            <w:pPr>
              <w:spacing w:line="360" w:lineRule="auto"/>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2.4.2</w:t>
            </w:r>
          </w:p>
        </w:tc>
        <w:tc>
          <w:tcPr>
            <w:tcW w:w="8185" w:type="dxa"/>
          </w:tcPr>
          <w:p>
            <w:pPr>
              <w:spacing w:line="360" w:lineRule="auto"/>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2.6</w:t>
            </w:r>
          </w:p>
        </w:tc>
        <w:tc>
          <w:tcPr>
            <w:tcW w:w="8185" w:type="dxa"/>
          </w:tcPr>
          <w:p>
            <w:pPr>
              <w:spacing w:line="360" w:lineRule="auto"/>
              <w:outlineLvl w:val="0"/>
              <w:rPr>
                <w:rFonts w:hint="eastAsia"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结算方式和付款条件</w:t>
            </w:r>
            <w:r>
              <w:rPr>
                <w:rFonts w:hint="eastAsia" w:asciiTheme="minorEastAsia" w:hAnsiTheme="minorEastAsia" w:eastAsiaTheme="minorEastAsia"/>
                <w:b/>
                <w:color w:val="auto"/>
                <w:sz w:val="24"/>
                <w:highlight w:val="none"/>
                <w:lang w:eastAsia="zh-CN"/>
              </w:rPr>
              <w:t>：</w:t>
            </w:r>
          </w:p>
          <w:p>
            <w:pPr>
              <w:keepNext w:val="0"/>
              <w:keepLines w:val="0"/>
              <w:pageBreakBefore w:val="0"/>
              <w:widowControl w:val="0"/>
              <w:kinsoku/>
              <w:wordWrap/>
              <w:overflowPunct/>
              <w:topLinePunct w:val="0"/>
              <w:autoSpaceDE w:val="0"/>
              <w:autoSpaceDN w:val="0"/>
              <w:bidi w:val="0"/>
              <w:spacing w:line="560" w:lineRule="exact"/>
              <w:ind w:firstLine="480" w:firstLineChars="200"/>
              <w:jc w:val="left"/>
              <w:textAlignment w:val="bottom"/>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正式签署合同</w:t>
            </w:r>
            <w:r>
              <w:rPr>
                <w:rFonts w:hint="eastAsia" w:cs="仿宋_GB2312" w:asciiTheme="minorEastAsia" w:hAnsiTheme="minorEastAsia" w:eastAsiaTheme="minorEastAsia"/>
                <w:color w:val="auto"/>
                <w:sz w:val="24"/>
                <w:highlight w:val="none"/>
                <w:lang w:val="en-US" w:eastAsia="zh-CN"/>
              </w:rPr>
              <w:t>后</w:t>
            </w:r>
            <w:r>
              <w:rPr>
                <w:rFonts w:hint="eastAsia" w:cs="仿宋_GB2312" w:asciiTheme="minorEastAsia" w:hAnsiTheme="minorEastAsia" w:eastAsiaTheme="minorEastAsia"/>
                <w:color w:val="auto"/>
                <w:sz w:val="24"/>
                <w:highlight w:val="none"/>
              </w:rPr>
              <w:t>5个工作日内</w:t>
            </w:r>
            <w:r>
              <w:rPr>
                <w:rFonts w:hint="eastAsia" w:ascii="宋体" w:hAnsi="宋体" w:eastAsia="宋体" w:cs="宋体"/>
                <w:bCs/>
                <w:color w:val="auto"/>
                <w:kern w:val="2"/>
                <w:sz w:val="24"/>
                <w:szCs w:val="24"/>
                <w:highlight w:val="none"/>
              </w:rPr>
              <w:t>，</w:t>
            </w:r>
            <w:r>
              <w:rPr>
                <w:rFonts w:hint="eastAsia" w:ascii="宋体" w:hAnsi="宋体" w:cs="宋体"/>
                <w:bCs/>
                <w:color w:val="auto"/>
                <w:kern w:val="2"/>
                <w:sz w:val="24"/>
                <w:szCs w:val="24"/>
                <w:highlight w:val="none"/>
                <w:lang w:val="en-US" w:eastAsia="zh-CN"/>
              </w:rPr>
              <w:t>甲方</w:t>
            </w:r>
            <w:r>
              <w:rPr>
                <w:rFonts w:hint="eastAsia" w:ascii="宋体" w:hAnsi="宋体" w:eastAsia="宋体" w:cs="宋体"/>
                <w:bCs/>
                <w:color w:val="auto"/>
                <w:kern w:val="2"/>
                <w:sz w:val="24"/>
                <w:szCs w:val="24"/>
                <w:highlight w:val="none"/>
              </w:rPr>
              <w:t>支付</w:t>
            </w:r>
            <w:r>
              <w:rPr>
                <w:rFonts w:hint="eastAsia" w:ascii="宋体" w:hAnsi="宋体" w:cs="宋体"/>
                <w:bCs/>
                <w:color w:val="auto"/>
                <w:kern w:val="2"/>
                <w:sz w:val="24"/>
                <w:szCs w:val="24"/>
                <w:highlight w:val="none"/>
                <w:lang w:val="en-US" w:eastAsia="zh-CN"/>
              </w:rPr>
              <w:t>乙方</w:t>
            </w:r>
            <w:r>
              <w:rPr>
                <w:rFonts w:hint="eastAsia" w:ascii="宋体" w:hAnsi="宋体" w:eastAsia="宋体" w:cs="宋体"/>
                <w:bCs/>
                <w:color w:val="auto"/>
                <w:kern w:val="2"/>
                <w:sz w:val="24"/>
                <w:szCs w:val="24"/>
                <w:highlight w:val="none"/>
              </w:rPr>
              <w:t>合同金额的</w:t>
            </w:r>
            <w:r>
              <w:rPr>
                <w:rFonts w:hint="eastAsia" w:ascii="宋体" w:hAnsi="宋体" w:eastAsia="宋体" w:cs="宋体"/>
                <w:bCs/>
                <w:color w:val="auto"/>
                <w:kern w:val="2"/>
                <w:sz w:val="24"/>
                <w:szCs w:val="24"/>
                <w:highlight w:val="none"/>
                <w:lang w:val="en-US" w:eastAsia="zh-CN"/>
              </w:rPr>
              <w:t>4</w:t>
            </w:r>
            <w:r>
              <w:rPr>
                <w:rFonts w:hint="eastAsia" w:ascii="宋体" w:hAnsi="宋体" w:eastAsia="宋体" w:cs="宋体"/>
                <w:bCs/>
                <w:color w:val="auto"/>
                <w:kern w:val="2"/>
                <w:sz w:val="24"/>
                <w:szCs w:val="24"/>
                <w:highlight w:val="none"/>
              </w:rPr>
              <w:t>0%，</w:t>
            </w:r>
            <w:r>
              <w:rPr>
                <w:rFonts w:hint="eastAsia" w:ascii="宋体" w:hAnsi="宋体" w:eastAsia="宋体" w:cs="宋体"/>
                <w:bCs/>
                <w:color w:val="auto"/>
                <w:kern w:val="2"/>
                <w:sz w:val="24"/>
                <w:szCs w:val="24"/>
                <w:highlight w:val="none"/>
                <w:lang w:val="en-US" w:eastAsia="zh-CN"/>
              </w:rPr>
              <w:t>2023年1</w:t>
            </w:r>
            <w:r>
              <w:rPr>
                <w:rFonts w:hint="eastAsia" w:ascii="宋体" w:hAnsi="宋体" w:cs="宋体"/>
                <w:bCs/>
                <w:color w:val="auto"/>
                <w:kern w:val="2"/>
                <w:sz w:val="24"/>
                <w:szCs w:val="24"/>
                <w:highlight w:val="none"/>
                <w:lang w:val="en-US" w:eastAsia="zh-CN"/>
              </w:rPr>
              <w:t>1月底前</w:t>
            </w:r>
            <w:r>
              <w:rPr>
                <w:rFonts w:hint="eastAsia" w:ascii="宋体" w:hAnsi="宋体" w:eastAsia="宋体" w:cs="宋体"/>
                <w:bCs/>
                <w:color w:val="auto"/>
                <w:kern w:val="2"/>
                <w:sz w:val="24"/>
                <w:szCs w:val="24"/>
                <w:highlight w:val="none"/>
                <w:lang w:val="en-US" w:eastAsia="zh-CN"/>
              </w:rPr>
              <w:t>，</w:t>
            </w:r>
            <w:r>
              <w:rPr>
                <w:rFonts w:hint="eastAsia" w:ascii="宋体" w:hAnsi="宋体" w:eastAsia="宋体" w:cs="宋体"/>
                <w:bCs/>
                <w:color w:val="auto"/>
                <w:kern w:val="2"/>
                <w:sz w:val="24"/>
                <w:szCs w:val="24"/>
                <w:highlight w:val="none"/>
              </w:rPr>
              <w:t>项目</w:t>
            </w:r>
            <w:r>
              <w:rPr>
                <w:rFonts w:hint="eastAsia" w:ascii="宋体" w:hAnsi="宋体" w:cs="宋体"/>
                <w:bCs/>
                <w:color w:val="auto"/>
                <w:kern w:val="2"/>
                <w:sz w:val="24"/>
                <w:szCs w:val="24"/>
                <w:highlight w:val="none"/>
                <w:lang w:val="en-US" w:eastAsia="zh-CN"/>
              </w:rPr>
              <w:t>中期</w:t>
            </w:r>
            <w:r>
              <w:rPr>
                <w:rFonts w:hint="eastAsia" w:ascii="宋体" w:hAnsi="宋体" w:eastAsia="宋体" w:cs="宋体"/>
                <w:bCs/>
                <w:color w:val="auto"/>
                <w:kern w:val="2"/>
                <w:sz w:val="24"/>
                <w:szCs w:val="24"/>
                <w:highlight w:val="none"/>
              </w:rPr>
              <w:t>验收合格后一次性向</w:t>
            </w:r>
            <w:r>
              <w:rPr>
                <w:rFonts w:hint="eastAsia" w:ascii="宋体" w:hAnsi="宋体" w:cs="宋体"/>
                <w:bCs/>
                <w:color w:val="auto"/>
                <w:kern w:val="2"/>
                <w:sz w:val="24"/>
                <w:szCs w:val="24"/>
                <w:highlight w:val="none"/>
                <w:lang w:val="en-US" w:eastAsia="zh-CN"/>
              </w:rPr>
              <w:t>乙方</w:t>
            </w:r>
            <w:r>
              <w:rPr>
                <w:rFonts w:hint="eastAsia" w:ascii="宋体" w:hAnsi="宋体" w:eastAsia="宋体" w:cs="宋体"/>
                <w:bCs/>
                <w:color w:val="auto"/>
                <w:kern w:val="2"/>
                <w:sz w:val="24"/>
                <w:szCs w:val="24"/>
                <w:highlight w:val="none"/>
              </w:rPr>
              <w:t>支付合同余款。</w:t>
            </w:r>
            <w:r>
              <w:rPr>
                <w:rFonts w:hint="eastAsia" w:ascii="宋体" w:hAnsi="宋体" w:cs="宋体"/>
                <w:bCs/>
                <w:color w:val="auto"/>
                <w:kern w:val="2"/>
                <w:sz w:val="24"/>
                <w:szCs w:val="24"/>
                <w:highlight w:val="none"/>
                <w:lang w:val="en-US" w:eastAsia="zh-CN"/>
              </w:rPr>
              <w:t>乙方</w:t>
            </w:r>
            <w:r>
              <w:rPr>
                <w:rFonts w:hint="eastAsia" w:ascii="宋体" w:hAnsi="宋体" w:eastAsia="宋体" w:cs="宋体"/>
                <w:bCs/>
                <w:color w:val="auto"/>
                <w:kern w:val="2"/>
                <w:sz w:val="24"/>
                <w:szCs w:val="24"/>
                <w:highlight w:val="none"/>
              </w:rPr>
              <w:t>应在</w:t>
            </w:r>
            <w:r>
              <w:rPr>
                <w:rFonts w:hint="eastAsia" w:ascii="宋体" w:hAnsi="宋体" w:cs="宋体"/>
                <w:bCs/>
                <w:color w:val="auto"/>
                <w:kern w:val="2"/>
                <w:sz w:val="24"/>
                <w:szCs w:val="24"/>
                <w:highlight w:val="none"/>
                <w:lang w:val="en-US" w:eastAsia="zh-CN"/>
              </w:rPr>
              <w:t>甲方</w:t>
            </w:r>
            <w:r>
              <w:rPr>
                <w:rFonts w:hint="eastAsia" w:ascii="宋体" w:hAnsi="宋体" w:eastAsia="宋体" w:cs="宋体"/>
                <w:bCs/>
                <w:color w:val="auto"/>
                <w:kern w:val="2"/>
                <w:sz w:val="24"/>
                <w:szCs w:val="24"/>
                <w:highlight w:val="none"/>
              </w:rPr>
              <w:t>付款前向</w:t>
            </w:r>
            <w:r>
              <w:rPr>
                <w:rFonts w:hint="eastAsia" w:ascii="宋体" w:hAnsi="宋体" w:cs="宋体"/>
                <w:bCs/>
                <w:color w:val="auto"/>
                <w:kern w:val="2"/>
                <w:sz w:val="24"/>
                <w:szCs w:val="24"/>
                <w:highlight w:val="none"/>
                <w:lang w:val="en-US" w:eastAsia="zh-CN"/>
              </w:rPr>
              <w:t>甲方</w:t>
            </w:r>
            <w:r>
              <w:rPr>
                <w:rFonts w:hint="eastAsia" w:ascii="宋体" w:hAnsi="宋体" w:eastAsia="宋体" w:cs="宋体"/>
                <w:bCs/>
                <w:color w:val="auto"/>
                <w:kern w:val="2"/>
                <w:sz w:val="24"/>
                <w:szCs w:val="24"/>
                <w:highlight w:val="none"/>
              </w:rPr>
              <w:t>开具同等金额增值税发票，</w:t>
            </w:r>
            <w:r>
              <w:rPr>
                <w:rFonts w:hint="eastAsia" w:ascii="宋体" w:hAnsi="宋体" w:cs="宋体"/>
                <w:bCs/>
                <w:color w:val="auto"/>
                <w:kern w:val="2"/>
                <w:sz w:val="24"/>
                <w:szCs w:val="24"/>
                <w:highlight w:val="none"/>
                <w:lang w:val="en-US" w:eastAsia="zh-CN"/>
              </w:rPr>
              <w:t>甲方</w:t>
            </w:r>
            <w:r>
              <w:rPr>
                <w:rFonts w:hint="eastAsia" w:ascii="宋体" w:hAnsi="宋体" w:eastAsia="宋体" w:cs="宋体"/>
                <w:bCs/>
                <w:color w:val="auto"/>
                <w:kern w:val="2"/>
                <w:sz w:val="24"/>
                <w:szCs w:val="24"/>
                <w:highlight w:val="none"/>
              </w:rPr>
              <w:t>收到发票后须在上述约定时间内支付款项。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2.9</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2.13.2</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受不可抗力影响的一方在不可抗力发生后，应在</w:t>
            </w:r>
            <w:r>
              <w:rPr>
                <w:rFonts w:hint="eastAsia" w:asciiTheme="minorEastAsia" w:hAnsiTheme="minorEastAsia" w:eastAsiaTheme="minorEastAsia"/>
                <w:b/>
                <w:i/>
                <w:color w:val="auto"/>
                <w:sz w:val="24"/>
                <w:highlight w:val="none"/>
                <w:u w:val="single"/>
                <w:lang w:val="en-US" w:eastAsia="zh-CN"/>
              </w:rPr>
              <w:t>7个工作日内</w:t>
            </w:r>
            <w:r>
              <w:rPr>
                <w:rFonts w:hint="eastAsia" w:asciiTheme="minorEastAsia" w:hAnsiTheme="minorEastAsia" w:eastAsiaTheme="minorEastAsia"/>
                <w:color w:val="auto"/>
                <w:sz w:val="24"/>
                <w:highlight w:val="none"/>
              </w:rPr>
              <w:t>内以书面形式通知对方当事人，并在</w:t>
            </w:r>
            <w:r>
              <w:rPr>
                <w:rFonts w:hint="eastAsia" w:asciiTheme="minorEastAsia" w:hAnsiTheme="minorEastAsia" w:eastAsiaTheme="minorEastAsia"/>
                <w:b/>
                <w:i/>
                <w:color w:val="auto"/>
                <w:sz w:val="24"/>
                <w:highlight w:val="none"/>
                <w:u w:val="single"/>
                <w:lang w:val="en-US" w:eastAsia="zh-CN"/>
              </w:rPr>
              <w:t>15个工作日内</w:t>
            </w:r>
            <w:r>
              <w:rPr>
                <w:rFonts w:hint="eastAsia" w:asciiTheme="minorEastAsia" w:hAnsiTheme="minorEastAsia" w:eastAsiaTheme="minorEastAsia"/>
                <w:color w:val="auto"/>
                <w:sz w:val="24"/>
                <w:highlight w:val="none"/>
              </w:rPr>
              <w:t>时间内，将有关部门出具的证明文件送达对方当事人。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2.13.4</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因不可抗力致使合同有变更必要的，双方当事人应在</w:t>
            </w:r>
            <w:r>
              <w:rPr>
                <w:rFonts w:hint="eastAsia" w:asciiTheme="minorEastAsia" w:hAnsiTheme="minorEastAsia" w:eastAsiaTheme="minorEastAsia"/>
                <w:b/>
                <w:i/>
                <w:color w:val="auto"/>
                <w:sz w:val="24"/>
                <w:highlight w:val="none"/>
                <w:u w:val="single"/>
                <w:lang w:val="en-US" w:eastAsia="zh-CN"/>
              </w:rPr>
              <w:t>15个工作日内</w:t>
            </w:r>
            <w:r>
              <w:rPr>
                <w:rFonts w:hint="eastAsia" w:asciiTheme="minorEastAsia" w:hAnsiTheme="minorEastAsia" w:eastAsiaTheme="minorEastAsia"/>
                <w:color w:val="auto"/>
                <w:sz w:val="24"/>
                <w:highlight w:val="none"/>
              </w:rPr>
              <w:t>以书面形式变更合同；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2.17.1</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乙方在</w:t>
            </w:r>
            <w:r>
              <w:rPr>
                <w:rFonts w:hint="eastAsia" w:asciiTheme="minorEastAsia" w:hAnsiTheme="minorEastAsia" w:eastAsiaTheme="minorEastAsia"/>
                <w:b/>
                <w:i/>
                <w:color w:val="auto"/>
                <w:sz w:val="24"/>
                <w:highlight w:val="none"/>
                <w:u w:val="single"/>
                <w:lang w:val="en-US" w:eastAsia="zh-CN"/>
              </w:rPr>
              <w:t>甲方指定时间</w:t>
            </w:r>
            <w:r>
              <w:rPr>
                <w:rFonts w:hint="eastAsia" w:asciiTheme="minorEastAsia" w:hAnsiTheme="minorEastAsia" w:eastAsiaTheme="minorEastAsia"/>
                <w:color w:val="auto"/>
                <w:sz w:val="24"/>
                <w:highlight w:val="none"/>
              </w:rPr>
              <w:t>内组织验收，并可依法邀请相关方参加，验收应出具验收书。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2.17.3</w:t>
            </w:r>
          </w:p>
        </w:tc>
        <w:tc>
          <w:tcPr>
            <w:tcW w:w="8185" w:type="dxa"/>
          </w:tcPr>
          <w:p>
            <w:pPr>
              <w:tabs>
                <w:tab w:val="left" w:pos="360"/>
                <w:tab w:val="left" w:pos="540"/>
                <w:tab w:val="left" w:pos="1080"/>
              </w:tabs>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验收由甲方负责实施。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2.21.1</w:t>
            </w:r>
          </w:p>
        </w:tc>
        <w:tc>
          <w:tcPr>
            <w:tcW w:w="8185" w:type="dxa"/>
          </w:tcPr>
          <w:p>
            <w:pPr>
              <w:spacing w:line="360" w:lineRule="auto"/>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不适用。本项目不收取履约保证金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2.21.2</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不适用。本项目不收取履约保证金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2.23</w:t>
            </w:r>
          </w:p>
        </w:tc>
        <w:tc>
          <w:tcPr>
            <w:tcW w:w="8185" w:type="dxa"/>
          </w:tcPr>
          <w:p>
            <w:pPr>
              <w:spacing w:line="360" w:lineRule="auto"/>
              <w:rPr>
                <w:rFonts w:cs="仿宋_GB2312"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本合同一式</w:t>
            </w:r>
            <w:r>
              <w:rPr>
                <w:rFonts w:hint="eastAsia" w:asciiTheme="minorEastAsia" w:hAnsiTheme="minorEastAsia" w:eastAsiaTheme="minorEastAsia"/>
                <w:color w:val="auto"/>
                <w:sz w:val="24"/>
                <w:highlight w:val="none"/>
                <w:u w:val="single"/>
                <w:lang w:val="en-US" w:eastAsia="zh-CN"/>
              </w:rPr>
              <w:t>陆</w:t>
            </w:r>
            <w:r>
              <w:rPr>
                <w:rFonts w:hint="eastAsia" w:asciiTheme="minorEastAsia" w:hAnsiTheme="minorEastAsia" w:eastAsiaTheme="minorEastAsia"/>
                <w:color w:val="auto"/>
                <w:sz w:val="24"/>
                <w:highlight w:val="none"/>
              </w:rPr>
              <w:t>份，甲方执</w:t>
            </w:r>
            <w:r>
              <w:rPr>
                <w:rFonts w:hint="eastAsia" w:asciiTheme="minorEastAsia" w:hAnsiTheme="minorEastAsia" w:eastAsiaTheme="minorEastAsia"/>
                <w:color w:val="auto"/>
                <w:sz w:val="24"/>
                <w:highlight w:val="none"/>
                <w:u w:val="single"/>
                <w:lang w:val="en-US" w:eastAsia="zh-CN"/>
              </w:rPr>
              <w:t>叁</w:t>
            </w:r>
            <w:r>
              <w:rPr>
                <w:rFonts w:hint="eastAsia" w:asciiTheme="minorEastAsia" w:hAnsiTheme="minorEastAsia" w:eastAsiaTheme="minorEastAsia"/>
                <w:color w:val="auto"/>
                <w:sz w:val="24"/>
                <w:highlight w:val="none"/>
              </w:rPr>
              <w:t>份，乙方执</w:t>
            </w:r>
            <w:r>
              <w:rPr>
                <w:rFonts w:hint="eastAsia" w:asciiTheme="minorEastAsia" w:hAnsiTheme="minorEastAsia" w:eastAsiaTheme="minorEastAsia"/>
                <w:color w:val="auto"/>
                <w:sz w:val="24"/>
                <w:highlight w:val="none"/>
                <w:u w:val="single"/>
                <w:lang w:val="en-US" w:eastAsia="zh-CN"/>
              </w:rPr>
              <w:t>叁</w:t>
            </w:r>
            <w:r>
              <w:rPr>
                <w:rFonts w:hint="eastAsia" w:asciiTheme="minorEastAsia" w:hAnsiTheme="minorEastAsia" w:eastAsiaTheme="minorEastAsia"/>
                <w:color w:val="auto"/>
                <w:sz w:val="24"/>
                <w:highlight w:val="none"/>
              </w:rPr>
              <w:t>份。每份均具有同等法律效力。</w:t>
            </w:r>
          </w:p>
        </w:tc>
      </w:tr>
    </w:tbl>
    <w:p>
      <w:pPr>
        <w:widowControl/>
        <w:adjustRightInd/>
        <w:jc w:val="left"/>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66"/>
      <w:r>
        <w:rPr>
          <w:rFonts w:hint="eastAsia" w:cs="仿宋_GB2312" w:asciiTheme="minorEastAsia" w:hAnsiTheme="minorEastAsia" w:eastAsiaTheme="minorEastAsia"/>
          <w:b/>
          <w:color w:val="auto"/>
          <w:sz w:val="36"/>
          <w:szCs w:val="20"/>
          <w:highlight w:val="none"/>
        </w:rPr>
        <w:t xml:space="preserve">  </w:t>
      </w:r>
      <w:bookmarkEnd w:id="67"/>
      <w:r>
        <w:rPr>
          <w:rFonts w:hint="eastAsia" w:cs="仿宋_GB2312" w:asciiTheme="minorEastAsia" w:hAnsiTheme="minorEastAsia" w:eastAsiaTheme="minorEastAsia"/>
          <w:b/>
          <w:color w:val="auto"/>
          <w:sz w:val="36"/>
          <w:szCs w:val="20"/>
          <w:highlight w:val="none"/>
        </w:rPr>
        <w:t>应提交的有关格式范例</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4</w:t>
      </w:r>
      <w:r>
        <w:rPr>
          <w:rFonts w:hint="eastAsia" w:cs="仿宋_GB2312" w:asciiTheme="minorEastAsia" w:hAnsiTheme="minorEastAsia" w:eastAsiaTheme="minorEastAsia"/>
          <w:color w:val="auto"/>
          <w:highlight w:val="none"/>
        </w:rPr>
        <w:t>）所有资信文件（复印件）…………………………………………………（页码）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5</w:t>
      </w:r>
      <w:r>
        <w:rPr>
          <w:rFonts w:hint="eastAsia" w:cs="仿宋_GB2312" w:asciiTheme="minorEastAsia" w:hAnsiTheme="minorEastAsia" w:eastAsiaTheme="minorEastAsia"/>
          <w:color w:val="auto"/>
          <w:highlight w:val="none"/>
        </w:rPr>
        <w:t>）主要业绩证明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6</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en-US" w:eastAsia="zh-CN"/>
        </w:rPr>
        <w:t>7</w:t>
      </w:r>
      <w:r>
        <w:rPr>
          <w:rFonts w:hint="eastAsia" w:cs="仿宋_GB2312" w:asciiTheme="minorEastAsia" w:hAnsiTheme="minorEastAsia" w:eastAsiaTheme="minorEastAsia"/>
          <w:color w:val="auto"/>
          <w:highlight w:val="none"/>
        </w:rPr>
        <w:t>）认为需要的其他商务文件或说明…………………………………………（页码）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8</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eastAsia="zh-CN"/>
        </w:rPr>
        <w:t>服务方案</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en-US" w:eastAsia="zh-CN"/>
        </w:rPr>
        <w:t>9</w:t>
      </w:r>
      <w:r>
        <w:rPr>
          <w:rFonts w:cs="仿宋_GB2312" w:asciiTheme="minorEastAsia" w:hAnsiTheme="minorEastAsia" w:eastAsiaTheme="minorEastAsia"/>
          <w:color w:val="auto"/>
          <w:kern w:val="0"/>
          <w:sz w:val="24"/>
          <w:highlight w:val="none"/>
        </w:rPr>
        <w:t>）组织实施方案………………………………………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lang w:val="en-US" w:eastAsia="zh-CN"/>
        </w:rPr>
        <w:t>0</w:t>
      </w:r>
      <w:r>
        <w:rPr>
          <w:rFonts w:cs="仿宋_GB2312" w:asciiTheme="minorEastAsia" w:hAnsiTheme="minorEastAsia" w:eastAsiaTheme="minorEastAsia"/>
          <w:color w:val="auto"/>
          <w:kern w:val="0"/>
          <w:sz w:val="24"/>
          <w:highlight w:val="none"/>
        </w:rPr>
        <w:t>）项目小组人员名单…</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lang w:val="en-US" w:eastAsia="zh-CN"/>
        </w:rPr>
        <w:t>1</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lang w:val="en-US" w:eastAsia="zh-CN"/>
        </w:rPr>
        <w:t>2</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浙江正浩招标代理有限公司</w:t>
      </w: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(供应商全称)授权</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(全权代表姓名)</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(职务、职称)为全权代表，参加贵方组织的</w:t>
      </w:r>
      <w:r>
        <w:rPr>
          <w:rFonts w:hint="eastAsia" w:cs="仿宋_GB2312" w:asciiTheme="minorEastAsia" w:hAnsiTheme="minorEastAsia" w:eastAsiaTheme="minorEastAsia"/>
          <w:color w:val="auto"/>
          <w:sz w:val="24"/>
          <w:highlight w:val="none"/>
          <w:lang w:eastAsia="zh-CN"/>
        </w:rPr>
        <w:t>浙江省红十字生命教育体验馆运营维护项目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ZHZB-2023SHSZH-02</w:t>
      </w:r>
      <w:r>
        <w:rPr>
          <w:rFonts w:hint="eastAsia" w:cs="仿宋_GB2312" w:asciiTheme="minorEastAsia" w:hAnsiTheme="minorEastAsia" w:eastAsiaTheme="minorEastAsia"/>
          <w:color w:val="auto"/>
          <w:sz w:val="24"/>
          <w:highlight w:val="none"/>
        </w:rPr>
        <w:t>】的有关活动，并对此项目进行响应。为此：</w:t>
      </w:r>
    </w:p>
    <w:p>
      <w:pPr>
        <w:pStyle w:val="107"/>
        <w:numPr>
          <w:ilvl w:val="0"/>
          <w:numId w:val="9"/>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 xml:space="preserve">     </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10、我方已详细阅读全部磋商文件，包括磋商文件“更正（延期）公告”（如果有）、参考资料及有关附件，确认无误。</w:t>
      </w:r>
    </w:p>
    <w:p>
      <w:pPr>
        <w:numPr>
          <w:ilvl w:val="0"/>
          <w:numId w:val="9"/>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4.4在合同约定的期限内完成合同规定的全部义务。 </w:t>
      </w:r>
    </w:p>
    <w:p>
      <w:pPr>
        <w:numPr>
          <w:ilvl w:val="0"/>
          <w:numId w:val="9"/>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117"/>
        <w:keepNext w:val="0"/>
        <w:pageBreakBefore w:val="0"/>
        <w:tabs>
          <w:tab w:val="clear" w:pos="720"/>
        </w:tabs>
        <w:jc w:val="both"/>
        <w:outlineLvl w:val="9"/>
        <w:rPr>
          <w:rFonts w:cs="仿宋_GB2312" w:asciiTheme="minorEastAsia" w:hAnsiTheme="minorEastAsia" w:eastAsiaTheme="minorEastAsia"/>
          <w:color w:val="auto"/>
          <w:sz w:val="24"/>
          <w:szCs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18"/>
          <w:szCs w:val="18"/>
          <w:highlight w:val="none"/>
        </w:rPr>
      </w:pPr>
    </w:p>
    <w:p>
      <w:pPr>
        <w:spacing w:line="360" w:lineRule="auto"/>
        <w:rPr>
          <w:rFonts w:cs="仿宋_GB2312" w:asciiTheme="minorEastAsia" w:hAnsiTheme="minorEastAsia" w:eastAsiaTheme="minorEastAsia"/>
          <w:color w:val="auto"/>
          <w:sz w:val="18"/>
          <w:szCs w:val="18"/>
          <w:highlight w:val="none"/>
        </w:rPr>
      </w:pPr>
    </w:p>
    <w:p>
      <w:pPr>
        <w:widowControl/>
        <w:adjustRightInd/>
        <w:jc w:val="left"/>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7"/>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浙江正浩招标代理有限公司</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lang w:eastAsia="zh-CN"/>
        </w:rPr>
        <w:t>浙江省红十字生命教育体验馆运营维护项目</w:t>
      </w:r>
      <w:r>
        <w:rPr>
          <w:rFonts w:hint="eastAsia" w:cs="仿宋_GB2312" w:asciiTheme="minorEastAsia" w:hAnsiTheme="minorEastAsia" w:eastAsiaTheme="minorEastAsia"/>
          <w:color w:val="auto"/>
          <w:kern w:val="0"/>
          <w:sz w:val="24"/>
          <w:highlight w:val="none"/>
          <w:lang w:val="zh-CN"/>
        </w:rPr>
        <w:t>【项目编号：ZHZB-2023SHSZH-02】</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napToGrid w:val="0"/>
        <w:spacing w:line="360" w:lineRule="auto"/>
        <w:ind w:right="480"/>
        <w:jc w:val="center"/>
        <w:rPr>
          <w:rFonts w:cs="仿宋_GB2312" w:asciiTheme="minorEastAsia" w:hAnsiTheme="minorEastAsia" w:eastAsiaTheme="minorEastAsia"/>
          <w:b/>
          <w:color w:val="auto"/>
          <w:sz w:val="32"/>
          <w:szCs w:val="32"/>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lang w:val="en-US" w:eastAsia="zh-CN"/>
        </w:rPr>
        <w:t>B</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落实政府采购政策需满足的资格要求</w:t>
      </w:r>
    </w:p>
    <w:p>
      <w:pPr>
        <w:snapToGrid w:val="0"/>
        <w:spacing w:before="50" w:after="50" w:line="360" w:lineRule="auto"/>
        <w:ind w:firstLine="472" w:firstLineChars="196"/>
        <w:jc w:val="left"/>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 xml:space="preserve">.专门面向中小企业，服务全部由符合政策要求的中小企业（或小微企业）承接的，提供相应的中小企业声明函。 </w:t>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中小企业声明函（服务）</w:t>
      </w:r>
    </w:p>
    <w:p>
      <w:pPr>
        <w:spacing w:line="360" w:lineRule="auto"/>
        <w:jc w:val="center"/>
        <w:rPr>
          <w:rFonts w:cs="宋体" w:asciiTheme="minorEastAsia" w:hAnsiTheme="minorEastAsia" w:eastAsiaTheme="minorEastAsia"/>
          <w:b/>
          <w:color w:val="auto"/>
          <w:sz w:val="32"/>
          <w:szCs w:val="32"/>
          <w:highlight w:val="none"/>
        </w:rPr>
      </w:pP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lang w:eastAsia="zh-CN"/>
        </w:rPr>
        <w:t>浙江省红十字会</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eastAsia="zh-CN"/>
        </w:rPr>
        <w:t>浙江省红十字生命教育体验馆运营维护项目</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lang w:eastAsia="zh-CN"/>
        </w:rPr>
        <w:t>浙江省红十字生命教育体验馆运营维护项目</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（十六）其他未列明</w:t>
      </w:r>
      <w:r>
        <w:rPr>
          <w:rFonts w:hint="eastAsia" w:cs="宋体" w:asciiTheme="minorEastAsia" w:hAnsiTheme="minorEastAsia" w:eastAsiaTheme="minorEastAsia"/>
          <w:color w:val="auto"/>
          <w:sz w:val="24"/>
          <w:highlight w:val="none"/>
          <w:u w:val="single"/>
          <w:lang w:val="en-US" w:eastAsia="zh-CN"/>
        </w:rPr>
        <w:t>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color w:val="auto"/>
          <w:sz w:val="24"/>
          <w:highlight w:val="none"/>
        </w:rPr>
      </w:pP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rPr>
          <w:rFonts w:hint="eastAsia"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br w:type="page"/>
      </w: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浙江正浩招标代理有限公司</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先生/女士(其在本公司的职务是：</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 xml:space="preserve"> ，联系电话：</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手机：</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传真：</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)，代表我公司全权处理</w:t>
      </w:r>
      <w:r>
        <w:rPr>
          <w:rFonts w:hint="eastAsia" w:cs="仿宋_GB2312" w:asciiTheme="minorEastAsia" w:hAnsiTheme="minorEastAsia" w:eastAsiaTheme="minorEastAsia"/>
          <w:color w:val="auto"/>
          <w:sz w:val="24"/>
          <w:highlight w:val="none"/>
          <w:lang w:eastAsia="zh-CN"/>
        </w:rPr>
        <w:t>浙江省红十字生命教育体验馆运营维护项目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ZHZB-2023SHSZH-02</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18"/>
              <w:spacing w:line="360" w:lineRule="auto"/>
              <w:rPr>
                <w:rFonts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en-US" w:eastAsia="zh-CN"/>
        </w:rPr>
        <w:t>四</w:t>
      </w:r>
      <w:r>
        <w:rPr>
          <w:rFonts w:hint="eastAsia" w:cs="仿宋_GB2312" w:asciiTheme="minorEastAsia" w:hAnsiTheme="minorEastAsia" w:eastAsiaTheme="minorEastAsia"/>
          <w:b/>
          <w:color w:val="auto"/>
          <w:sz w:val="32"/>
          <w:szCs w:val="32"/>
          <w:highlight w:val="none"/>
        </w:rPr>
        <w:t>、所有资信文件（复印件）</w:t>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highlight w:val="none"/>
        </w:rPr>
      </w:pPr>
    </w:p>
    <w:p>
      <w:pP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日</w:t>
      </w:r>
    </w:p>
    <w:p>
      <w:pPr>
        <w:spacing w:line="360" w:lineRule="auto"/>
        <w:jc w:val="center"/>
        <w:rPr>
          <w:rFonts w:cs="仿宋_GB2312" w:asciiTheme="minorEastAsia" w:hAnsiTheme="minorEastAsia" w:eastAsiaTheme="minorEastAsia"/>
          <w:b/>
          <w:color w:val="auto"/>
          <w:kern w:val="0"/>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en-US" w:eastAsia="zh-CN"/>
        </w:rPr>
        <w:t>五</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:相关项目建设业绩一览表</w:t>
      </w:r>
    </w:p>
    <w:tbl>
      <w:tblPr>
        <w:tblStyle w:val="6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投资</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lang w:val="en-US" w:eastAsia="zh-CN"/>
        </w:rPr>
        <w:t>六</w:t>
      </w:r>
      <w:r>
        <w:rPr>
          <w:rFonts w:hint="eastAsia" w:cs="仿宋_GB2312" w:asciiTheme="minorEastAsia" w:hAnsiTheme="minorEastAsia" w:eastAsiaTheme="minorEastAsia"/>
          <w:b/>
          <w:bCs/>
          <w:color w:val="auto"/>
          <w:sz w:val="32"/>
          <w:szCs w:val="32"/>
          <w:highlight w:val="none"/>
        </w:rPr>
        <w:t>、关于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lang w:val="en-US" w:eastAsia="zh-CN"/>
        </w:rPr>
        <w:t>七</w:t>
      </w:r>
      <w:r>
        <w:rPr>
          <w:rFonts w:hint="eastAsia" w:cs="仿宋_GB2312" w:asciiTheme="minorEastAsia" w:hAnsiTheme="minorEastAsia" w:eastAsiaTheme="minorEastAsia"/>
          <w:b/>
          <w:bCs/>
          <w:color w:val="auto"/>
          <w:sz w:val="32"/>
          <w:szCs w:val="32"/>
          <w:highlight w:val="none"/>
        </w:rPr>
        <w:t>、认为需要的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rPr>
          <w:rFonts w:cs="仿宋_GB2312" w:asciiTheme="minorEastAsia" w:hAnsiTheme="minorEastAsia" w:eastAsiaTheme="minorEastAsia"/>
          <w:b/>
          <w:bCs/>
          <w:color w:val="auto"/>
          <w:kern w:val="0"/>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highlight w:val="none"/>
        </w:rPr>
        <w:br w:type="page"/>
      </w:r>
    </w:p>
    <w:p>
      <w:pPr>
        <w:spacing w:line="360" w:lineRule="auto"/>
        <w:jc w:val="center"/>
        <w:rPr>
          <w:rFonts w:hint="eastAsia" w:cs="仿宋_GB2312" w:asciiTheme="minorEastAsia" w:hAnsiTheme="minorEastAsia" w:eastAsiaTheme="minorEastAsia"/>
          <w:b/>
          <w:bCs/>
          <w:color w:val="auto"/>
          <w:sz w:val="32"/>
          <w:szCs w:val="32"/>
          <w:highlight w:val="none"/>
          <w:lang w:eastAsia="zh-CN"/>
        </w:rPr>
      </w:pPr>
      <w:r>
        <w:rPr>
          <w:rFonts w:hint="eastAsia" w:cs="仿宋_GB2312" w:asciiTheme="minorEastAsia" w:hAnsiTheme="minorEastAsia" w:eastAsiaTheme="minorEastAsia"/>
          <w:b/>
          <w:bCs/>
          <w:color w:val="auto"/>
          <w:sz w:val="32"/>
          <w:szCs w:val="32"/>
          <w:highlight w:val="none"/>
          <w:lang w:val="en-US" w:eastAsia="zh-CN"/>
        </w:rPr>
        <w:t>八</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bCs/>
          <w:color w:val="auto"/>
          <w:sz w:val="32"/>
          <w:szCs w:val="32"/>
          <w:highlight w:val="none"/>
          <w:lang w:eastAsia="zh-CN"/>
        </w:rPr>
        <w:t>服务方案</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color w:val="auto"/>
          <w:sz w:val="24"/>
          <w:highlight w:val="none"/>
        </w:rPr>
      </w:pPr>
    </w:p>
    <w:p>
      <w:pPr>
        <w:autoSpaceDE w:val="0"/>
        <w:autoSpaceDN w:val="0"/>
        <w:spacing w:line="360" w:lineRule="auto"/>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r>
        <w:rPr>
          <w:rFonts w:hint="eastAsia" w:cs="仿宋_GB2312" w:asciiTheme="minorEastAsia" w:hAnsiTheme="minorEastAsia" w:eastAsiaTheme="minorEastAsia"/>
          <w:b/>
          <w:bCs/>
          <w:color w:val="auto"/>
          <w:kern w:val="0"/>
          <w:sz w:val="32"/>
          <w:szCs w:val="32"/>
          <w:highlight w:val="none"/>
          <w:lang w:val="en-US" w:eastAsia="zh-CN"/>
        </w:rPr>
        <w:t>九</w:t>
      </w:r>
      <w:r>
        <w:rPr>
          <w:rFonts w:hint="eastAsia" w:cs="仿宋_GB2312" w:asciiTheme="minorEastAsia" w:hAnsiTheme="minorEastAsia" w:eastAsiaTheme="minorEastAsia"/>
          <w:b/>
          <w:bCs/>
          <w:color w:val="auto"/>
          <w:kern w:val="0"/>
          <w:sz w:val="32"/>
          <w:szCs w:val="32"/>
          <w:highlight w:val="none"/>
          <w:lang w:val="zh-CN"/>
        </w:rPr>
        <w:t>、组织实施方案</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color w:val="auto"/>
          <w:kern w:val="0"/>
          <w:sz w:val="24"/>
          <w:highlight w:val="none"/>
          <w:lang w:val="zh-CN"/>
        </w:rPr>
      </w:pPr>
      <w:r>
        <w:rPr>
          <w:rFonts w:hint="eastAsia" w:cs="仿宋_GB2312" w:asciiTheme="minorEastAsia" w:hAnsiTheme="minorEastAsia" w:eastAsiaTheme="minorEastAsia"/>
          <w:b/>
          <w:bCs/>
          <w:color w:val="auto"/>
          <w:kern w:val="0"/>
          <w:sz w:val="24"/>
          <w:highlight w:val="none"/>
          <w:lang w:val="zh-CN"/>
        </w:rPr>
        <w:t>附表:项目实施进度计划表</w:t>
      </w:r>
      <w:r>
        <w:rPr>
          <w:rFonts w:hint="eastAsia" w:cs="仿宋_GB2312" w:asciiTheme="minorEastAsia" w:hAnsiTheme="minorEastAsia" w:eastAsiaTheme="minorEastAsia"/>
          <w:b/>
          <w:color w:val="auto"/>
          <w:sz w:val="24"/>
          <w:highlight w:val="none"/>
        </w:rPr>
        <w:t xml:space="preserve">(以生效日算起) </w:t>
      </w:r>
    </w:p>
    <w:tbl>
      <w:tblPr>
        <w:tblStyle w:val="63"/>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内容</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9</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12</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13</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14</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w:t>
      </w:r>
      <w:r>
        <w:rPr>
          <w:rFonts w:hint="eastAsia" w:cs="仿宋_GB2312" w:asciiTheme="minorEastAsia" w:hAnsiTheme="minorEastAsia" w:eastAsiaTheme="minorEastAsia"/>
          <w:b/>
          <w:bCs/>
          <w:color w:val="auto"/>
          <w:sz w:val="32"/>
          <w:szCs w:val="32"/>
          <w:highlight w:val="none"/>
          <w:lang w:eastAsia="zh-CN"/>
        </w:rPr>
        <w:t>、</w:t>
      </w:r>
      <w:r>
        <w:rPr>
          <w:rFonts w:hint="eastAsia" w:cs="仿宋_GB2312" w:asciiTheme="minorEastAsia" w:hAnsiTheme="minorEastAsia" w:eastAsiaTheme="minorEastAsia"/>
          <w:b/>
          <w:bCs/>
          <w:color w:val="auto"/>
          <w:sz w:val="32"/>
          <w:szCs w:val="32"/>
          <w:highlight w:val="none"/>
        </w:rPr>
        <w:t>项目小组人员名单</w:t>
      </w:r>
    </w:p>
    <w:p>
      <w:pPr>
        <w:spacing w:line="360" w:lineRule="auto"/>
        <w:jc w:val="center"/>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附表A:本项目的项目经理情况表</w:t>
      </w:r>
    </w:p>
    <w:tbl>
      <w:tblPr>
        <w:tblStyle w:val="63"/>
        <w:tblW w:w="9286" w:type="dxa"/>
        <w:tblInd w:w="0" w:type="dxa"/>
        <w:tblLayout w:type="fixed"/>
        <w:tblCellMar>
          <w:top w:w="0" w:type="dxa"/>
          <w:left w:w="108" w:type="dxa"/>
          <w:bottom w:w="0" w:type="dxa"/>
          <w:right w:w="108" w:type="dxa"/>
        </w:tblCellMar>
      </w:tblPr>
      <w:tblGrid>
        <w:gridCol w:w="2554"/>
        <w:gridCol w:w="1595"/>
        <w:gridCol w:w="5137"/>
      </w:tblGrid>
      <w:tr>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附表B:本项目的项目小组人员情况表</w:t>
      </w:r>
      <w:r>
        <w:rPr>
          <w:rFonts w:hint="eastAsia" w:cs="仿宋_GB2312" w:asciiTheme="minorEastAsia" w:hAnsiTheme="minorEastAsia" w:eastAsiaTheme="minorEastAsia"/>
          <w:color w:val="auto"/>
          <w:sz w:val="24"/>
          <w:highlight w:val="none"/>
        </w:rPr>
        <w:t>（按此格式自制）</w:t>
      </w:r>
    </w:p>
    <w:tbl>
      <w:tblPr>
        <w:tblStyle w:val="63"/>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专业</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附表C:本项目的项目经理和小组人员交纳社保记录情况表</w:t>
      </w:r>
      <w:r>
        <w:rPr>
          <w:rFonts w:hint="eastAsia" w:cs="仿宋_GB2312" w:asciiTheme="minorEastAsia" w:hAnsiTheme="minorEastAsia" w:eastAsiaTheme="minorEastAsia"/>
          <w:color w:val="auto"/>
          <w:sz w:val="24"/>
          <w:highlight w:val="none"/>
        </w:rPr>
        <w:t>（以社保局缴纳凭证作附件）</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24"/>
          <w:highlight w:val="none"/>
        </w:rPr>
        <w:br w:type="page"/>
      </w:r>
      <w:r>
        <w:rPr>
          <w:rFonts w:hint="eastAsia" w:cs="仿宋_GB2312" w:asciiTheme="minorEastAsia" w:hAnsiTheme="minorEastAsia" w:eastAsiaTheme="minorEastAsia"/>
          <w:b/>
          <w:color w:val="auto"/>
          <w:kern w:val="0"/>
          <w:sz w:val="32"/>
          <w:szCs w:val="32"/>
          <w:highlight w:val="none"/>
          <w:lang w:val="zh-CN"/>
        </w:rPr>
        <w:t>十</w:t>
      </w:r>
      <w:r>
        <w:rPr>
          <w:rFonts w:hint="eastAsia" w:cs="仿宋_GB2312" w:asciiTheme="minorEastAsia" w:hAnsiTheme="minorEastAsia" w:eastAsiaTheme="minorEastAsia"/>
          <w:b/>
          <w:color w:val="auto"/>
          <w:kern w:val="0"/>
          <w:sz w:val="32"/>
          <w:szCs w:val="32"/>
          <w:highlight w:val="none"/>
          <w:lang w:val="en-US" w:eastAsia="zh-CN"/>
        </w:rPr>
        <w:t>一、</w:t>
      </w:r>
      <w:r>
        <w:rPr>
          <w:rFonts w:hint="eastAsia" w:cs="仿宋_GB2312" w:asciiTheme="minorEastAsia" w:hAnsiTheme="minorEastAsia" w:eastAsiaTheme="minorEastAsia"/>
          <w:b/>
          <w:bCs/>
          <w:color w:val="auto"/>
          <w:sz w:val="32"/>
          <w:szCs w:val="32"/>
          <w:highlight w:val="none"/>
        </w:rPr>
        <w:t>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highlight w:val="none"/>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p>
    <w:p>
      <w:pPr>
        <w:widowControl/>
        <w:adjustRightInd/>
        <w:jc w:val="left"/>
        <w:rPr>
          <w:rFonts w:cs="仿宋_GB2312" w:asciiTheme="minorEastAsia" w:hAnsiTheme="minorEastAsia" w:eastAsiaTheme="minorEastAsia"/>
          <w:b/>
          <w:bCs/>
          <w:color w:val="auto"/>
          <w:sz w:val="30"/>
          <w:szCs w:val="30"/>
          <w:highlight w:val="none"/>
        </w:rPr>
      </w:pPr>
      <w:r>
        <w:rPr>
          <w:rFonts w:cs="仿宋_GB2312" w:asciiTheme="minorEastAsia" w:hAnsiTheme="minorEastAsia" w:eastAsiaTheme="minorEastAsia"/>
          <w:b/>
          <w:bCs/>
          <w:color w:val="auto"/>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w:t>
      </w:r>
      <w:r>
        <w:rPr>
          <w:rFonts w:hint="eastAsia" w:cs="仿宋_GB2312" w:asciiTheme="minorEastAsia" w:hAnsiTheme="minorEastAsia" w:eastAsiaTheme="minorEastAsia"/>
          <w:b/>
          <w:bCs/>
          <w:color w:val="auto"/>
          <w:sz w:val="30"/>
          <w:szCs w:val="30"/>
          <w:highlight w:val="none"/>
          <w:lang w:val="en-US" w:eastAsia="zh-CN"/>
        </w:rPr>
        <w:t>二</w:t>
      </w:r>
      <w:r>
        <w:rPr>
          <w:rFonts w:hint="eastAsia" w:cs="仿宋_GB2312" w:asciiTheme="minorEastAsia" w:hAnsiTheme="minorEastAsia" w:eastAsiaTheme="minorEastAsia"/>
          <w:b/>
          <w:bCs/>
          <w:color w:val="auto"/>
          <w:sz w:val="30"/>
          <w:szCs w:val="30"/>
          <w:highlight w:val="none"/>
        </w:rPr>
        <w:t>、</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pacing w:line="360" w:lineRule="auto"/>
        <w:jc w:val="center"/>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pStyle w:val="117"/>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sectPr>
          <w:headerReference r:id="rId4" w:type="first"/>
          <w:footerReference r:id="rId7" w:type="first"/>
          <w:headerReference r:id="rId3" w:type="default"/>
          <w:footerReference r:id="rId5" w:type="default"/>
          <w:footerReference r:id="rId6" w:type="even"/>
          <w:pgSz w:w="11906" w:h="16838"/>
          <w:pgMar w:top="779"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92"/>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第八部分 最后报价格式</w:t>
      </w:r>
    </w:p>
    <w:p>
      <w:pPr>
        <w:pStyle w:val="117"/>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浙江正浩招标代理有限公司</w:t>
      </w:r>
      <w:r>
        <w:rPr>
          <w:rFonts w:hint="eastAsia" w:cs="仿宋_GB2312" w:asciiTheme="minorEastAsia" w:hAnsiTheme="minorEastAsia" w:eastAsiaTheme="minorEastAsia"/>
          <w:color w:val="auto"/>
          <w:kern w:val="0"/>
          <w:sz w:val="24"/>
          <w:highlight w:val="none"/>
          <w:lang w:val="zh-CN"/>
        </w:rPr>
        <w:t>：</w:t>
      </w:r>
    </w:p>
    <w:p>
      <w:pPr>
        <w:spacing w:line="360" w:lineRule="auto"/>
        <w:ind w:firstLine="72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按你方磋商文件要求，</w:t>
      </w:r>
      <w:r>
        <w:rPr>
          <w:rFonts w:hint="eastAsia" w:cs="仿宋_GB2312" w:asciiTheme="minorEastAsia" w:hAnsiTheme="minorEastAsia" w:eastAsiaTheme="minorEastAsia"/>
          <w:color w:val="auto"/>
          <w:sz w:val="24"/>
          <w:highlight w:val="none"/>
        </w:rPr>
        <w:t>我们即</w:t>
      </w:r>
      <w:r>
        <w:rPr>
          <w:rFonts w:hint="eastAsia" w:cs="仿宋_GB2312" w:asciiTheme="minorEastAsia" w:hAnsiTheme="minorEastAsia" w:eastAsiaTheme="minorEastAsia"/>
          <w:color w:val="auto"/>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highlight w:val="none"/>
          <w:lang w:eastAsia="zh-CN"/>
        </w:rPr>
        <w:t>浙江省红十字生命教育体验馆运营维护项目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ZHZB-2023SHSZH-02</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color w:val="auto"/>
          <w:kern w:val="0"/>
          <w:sz w:val="24"/>
          <w:highlight w:val="none"/>
          <w:lang w:val="zh-CN"/>
        </w:rPr>
      </w:pPr>
      <w:r>
        <w:rPr>
          <w:rFonts w:hint="eastAsia" w:cs="仿宋_GB2312" w:asciiTheme="minorEastAsia" w:hAnsiTheme="minorEastAsia" w:eastAsiaTheme="minorEastAsia"/>
          <w:b/>
          <w:color w:val="auto"/>
          <w:kern w:val="0"/>
          <w:sz w:val="24"/>
          <w:highlight w:val="none"/>
          <w:lang w:val="zh-CN"/>
        </w:rPr>
        <w:t>最后报价一览表(单位均为人民币元)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992"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2268"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服务要求</w:t>
            </w:r>
          </w:p>
        </w:tc>
        <w:tc>
          <w:tcPr>
            <w:tcW w:w="2268"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2127"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pacing w:line="360" w:lineRule="auto"/>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bl>
    <w:p>
      <w:pPr>
        <w:spacing w:line="360" w:lineRule="auto"/>
        <w:ind w:left="-2" w:leftChars="-1"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注：</w:t>
      </w:r>
      <w:r>
        <w:rPr>
          <w:rFonts w:hint="eastAsia" w:cs="仿宋_GB2312"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lang w:val="zh-CN"/>
        </w:rPr>
        <w:t>供应商需按本表格式填写</w:t>
      </w:r>
      <w:r>
        <w:rPr>
          <w:rFonts w:hint="eastAsia" w:cs="宋体" w:asciiTheme="minorEastAsia" w:hAnsiTheme="minorEastAsia" w:eastAsiaTheme="minorEastAsia"/>
          <w:b/>
          <w:color w:val="auto"/>
          <w:kern w:val="0"/>
          <w:sz w:val="24"/>
          <w:highlight w:val="none"/>
          <w:lang w:val="zh-CN"/>
        </w:rPr>
        <w:t>，</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响应文件含有采购人不能接受的附加条件，响应无效</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w:t>
      </w:r>
      <w:r>
        <w:rPr>
          <w:rFonts w:cs="仿宋_GB2312"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lang w:val="zh-CN"/>
        </w:rPr>
        <w:t>有关本项目实施所涉及的一切费用均计入报价。</w:t>
      </w:r>
      <w:r>
        <w:rPr>
          <w:rFonts w:hint="eastAsia" w:cs="宋体" w:asciiTheme="minorEastAsia" w:hAnsiTheme="minorEastAsia" w:eastAsiaTheme="minorEastAsia"/>
          <w:b/>
          <w:color w:val="auto"/>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不得出现“0元”“免费赠送”等形式的无偿报价，</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最后报价文件含有采购人不能接受的附加条件，响应无效</w:t>
      </w:r>
      <w:r>
        <w:rPr>
          <w:rFonts w:hint="eastAsia" w:cs="宋体" w:asciiTheme="minorEastAsia" w:hAnsiTheme="minorEastAsia" w:eastAsiaTheme="minorEastAsia"/>
          <w:b/>
          <w:color w:val="auto"/>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highlight w:val="none"/>
        </w:rPr>
        <w:t>视为</w:t>
      </w:r>
      <w:r>
        <w:rPr>
          <w:rFonts w:hint="eastAsia" w:cs="宋体" w:asciiTheme="minorEastAsia" w:hAnsiTheme="minorEastAsia" w:eastAsiaTheme="minorEastAsia"/>
          <w:b/>
          <w:color w:val="auto"/>
          <w:sz w:val="24"/>
          <w:highlight w:val="none"/>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highlight w:val="none"/>
          <w:lang w:val="zh-CN"/>
        </w:rPr>
        <w:t>。</w:t>
      </w:r>
    </w:p>
    <w:p>
      <w:pPr>
        <w:spacing w:line="360" w:lineRule="auto"/>
        <w:ind w:firstLine="480" w:firstLineChars="200"/>
        <w:rPr>
          <w:rFonts w:cs="仿宋_GB2312" w:asciiTheme="minorEastAsia" w:hAnsiTheme="minorEastAsia" w:eastAsiaTheme="minorEastAsia"/>
          <w:color w:val="auto"/>
          <w:kern w:val="0"/>
          <w:sz w:val="24"/>
          <w:highlight w:val="none"/>
          <w:u w:val="single"/>
          <w:lang w:val="zh-CN"/>
        </w:rPr>
      </w:pPr>
      <w:r>
        <w:rPr>
          <w:rFonts w:hint="eastAsia" w:cs="仿宋_GB2312" w:asciiTheme="minorEastAsia" w:hAnsiTheme="minorEastAsia" w:eastAsiaTheme="minorEastAsia"/>
          <w:color w:val="auto"/>
          <w:kern w:val="0"/>
          <w:sz w:val="24"/>
          <w:szCs w:val="22"/>
          <w:highlight w:val="none"/>
          <w:lang w:val="zh-CN"/>
        </w:rPr>
        <w:t>4</w:t>
      </w:r>
      <w:r>
        <w:rPr>
          <w:rFonts w:cs="仿宋_GB2312" w:asciiTheme="minorEastAsia" w:hAnsiTheme="minorEastAsia" w:eastAsiaTheme="minorEastAsia"/>
          <w:color w:val="auto"/>
          <w:kern w:val="0"/>
          <w:sz w:val="24"/>
          <w:szCs w:val="22"/>
          <w:highlight w:val="none"/>
          <w:lang w:val="zh-CN"/>
        </w:rPr>
        <w:t>、</w:t>
      </w:r>
      <w:r>
        <w:rPr>
          <w:rFonts w:hint="eastAsia" w:cs="仿宋_GB2312" w:asciiTheme="minorEastAsia" w:hAnsiTheme="minorEastAsia" w:eastAsiaTheme="minorEastAsia"/>
          <w:color w:val="auto"/>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4"/>
          <w:highlight w:val="none"/>
          <w:lang w:val="zh-CN"/>
        </w:rPr>
        <w:t>提供</w:t>
      </w:r>
      <w:r>
        <w:rPr>
          <w:rFonts w:hint="eastAsia" w:cs="仿宋_GB2312" w:asciiTheme="minorEastAsia" w:hAnsiTheme="minorEastAsia" w:eastAsiaTheme="minorEastAsia"/>
          <w:color w:val="auto"/>
          <w:kern w:val="0"/>
          <w:sz w:val="24"/>
          <w:highlight w:val="none"/>
          <w:lang w:val="zh-CN"/>
        </w:rPr>
        <w:t>的中小企业</w:t>
      </w:r>
      <w:r>
        <w:rPr>
          <w:rFonts w:cs="仿宋_GB2312" w:asciiTheme="minorEastAsia" w:hAnsiTheme="minorEastAsia" w:eastAsiaTheme="minorEastAsia"/>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 xml:space="preserve">                                           </w:t>
      </w:r>
      <w:r>
        <w:rPr>
          <w:rFonts w:hint="eastAsia" w:cs="仿宋_GB2312" w:asciiTheme="minorEastAsia" w:hAnsiTheme="minorEastAsia" w:eastAsiaTheme="minorEastAsia"/>
          <w:color w:val="auto"/>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sectPr>
          <w:pgSz w:w="16838" w:h="11906" w:orient="landscape"/>
          <w:pgMar w:top="1418" w:right="471" w:bottom="1418" w:left="777"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_GB2312" w:asciiTheme="minorEastAsia" w:hAnsiTheme="minorEastAsia" w:eastAsiaTheme="minorEastAsia"/>
          <w:color w:val="auto"/>
          <w:kern w:val="0"/>
          <w:sz w:val="24"/>
          <w:highlight w:val="none"/>
          <w:lang w:val="zh-CN"/>
        </w:rPr>
        <w:t xml:space="preserve">                                            日期：    年  月   日</w:t>
      </w:r>
    </w:p>
    <w:p>
      <w:pPr>
        <w:pStyle w:val="4"/>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highlight w:val="none"/>
        </w:rPr>
      </w:pPr>
      <w:bookmarkStart w:id="225" w:name="_Toc465665161"/>
      <w:r>
        <w:rPr>
          <w:rFonts w:hint="eastAsia" w:cs="仿宋_GB2312" w:asciiTheme="minorEastAsia" w:hAnsiTheme="minorEastAsia" w:eastAsiaTheme="minorEastAsia"/>
          <w:color w:val="auto"/>
          <w:highlight w:val="none"/>
        </w:rPr>
        <w:t>附件</w:t>
      </w:r>
      <w:bookmarkEnd w:id="225"/>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240"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地址： </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日,向</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提出质疑，质疑事项为：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日,就质疑事项作出了答复/没有在法定期限内作出答复。</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pacing w:line="360" w:lineRule="auto"/>
        <w:rPr>
          <w:rFonts w:asciiTheme="minorEastAsia" w:hAnsiTheme="minorEastAsia" w:eastAsiaTheme="minorEastAsia"/>
          <w:b/>
          <w:color w:val="auto"/>
          <w:spacing w:val="6"/>
          <w:sz w:val="30"/>
          <w:szCs w:val="30"/>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single"/>
          <w:lang w:eastAsia="zh-CN"/>
        </w:rPr>
        <w:t>浙江省红十字会</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single"/>
          <w:lang w:eastAsia="zh-CN"/>
        </w:rPr>
        <w:t>浙江省红十字生命教育体验馆运营维护项目</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pacing w:line="360" w:lineRule="auto"/>
        <w:ind w:firstLine="480" w:firstLineChars="200"/>
        <w:rPr>
          <w:rFonts w:cs="仿宋_GB2312"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left"/>
        <w:rPr>
          <w:rFonts w:cs="仿宋_GB2312" w:asciiTheme="minorEastAsia" w:hAnsiTheme="minorEastAsia" w:eastAsiaTheme="minorEastAsia"/>
          <w:b/>
          <w:color w:val="auto"/>
          <w:sz w:val="24"/>
          <w:highlight w:val="none"/>
        </w:rPr>
      </w:pPr>
    </w:p>
    <w:p>
      <w:pPr>
        <w:autoSpaceDE w:val="0"/>
        <w:autoSpaceDN w:val="0"/>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业务专用章使用说明函</w:t>
      </w:r>
    </w:p>
    <w:p>
      <w:pPr>
        <w:autoSpaceDE w:val="0"/>
        <w:autoSpaceDN w:val="0"/>
        <w:jc w:val="center"/>
        <w:rPr>
          <w:rFonts w:asciiTheme="minorEastAsia" w:hAnsiTheme="minorEastAsia" w:eastAsiaTheme="minorEastAsia"/>
          <w:b/>
          <w:bCs/>
          <w:color w:val="auto"/>
          <w:sz w:val="32"/>
          <w:szCs w:val="32"/>
          <w:highlight w:val="none"/>
        </w:rPr>
      </w:pPr>
    </w:p>
    <w:p>
      <w:pP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浙江省红十字会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浙江正浩招标代理有限公司</w:t>
      </w:r>
      <w:r>
        <w:rPr>
          <w:rFonts w:hint="eastAsia" w:cs="仿宋_GB2312"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w:t>
      </w:r>
      <w:r>
        <w:rPr>
          <w:rFonts w:hint="eastAsia" w:cs="仿宋_GB2312" w:asciiTheme="minorEastAsia" w:hAnsiTheme="minorEastAsia" w:eastAsiaTheme="minorEastAsia"/>
          <w:color w:val="auto"/>
          <w:sz w:val="24"/>
          <w:highlight w:val="none"/>
          <w:lang w:eastAsia="zh-CN"/>
        </w:rPr>
        <w:t>浙江省红十字生命教育体验馆运营维护项目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ZHZB-2023SHSZH-02</w:t>
      </w:r>
      <w:r>
        <w:rPr>
          <w:rFonts w:hint="eastAsia" w:cs="仿宋_GB2312" w:asciiTheme="minorEastAsia" w:hAnsiTheme="minorEastAsia" w:eastAsiaTheme="minorEastAsia"/>
          <w:color w:val="auto"/>
          <w:sz w:val="24"/>
          <w:highlight w:val="none"/>
        </w:rPr>
        <w:t>】</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p>
    <w:p>
      <w:pPr>
        <w:snapToGrid w:val="0"/>
        <w:spacing w:line="360" w:lineRule="auto"/>
        <w:jc w:val="cente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p>
    <w:sectPr>
      <w:pgSz w:w="11906" w:h="16838"/>
      <w:pgMar w:top="779" w:right="1418" w:bottom="468"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roman"/>
    <w:pitch w:val="default"/>
    <w:sig w:usb0="A00002BF" w:usb1="68C7FCFB" w:usb2="00000010"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lang w:val="en-US" w:eastAsia="zh-CN"/>
      </w:rPr>
      <w:t>·</w:t>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7"/>
      </w:rPr>
    </w:pPr>
    <w:r>
      <w:fldChar w:fldCharType="begin"/>
    </w:r>
    <w:r>
      <w:rPr>
        <w:rStyle w:val="67"/>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226" w:name="_Toc131845147"/>
    <w:bookmarkStart w:id="227" w:name="_Toc36110187"/>
    <w:bookmarkStart w:id="228" w:name="_Toc164085800"/>
    <w:bookmarkStart w:id="229" w:name="_Toc91899912"/>
    <w:r>
      <w:rPr>
        <w:rFonts w:hint="eastAsia" w:ascii="仿宋_GB2312" w:eastAsia="仿宋_GB2312"/>
        <w:kern w:val="0"/>
        <w:szCs w:val="21"/>
      </w:rPr>
      <w:t xml:space="preserve"> 页</w:t>
    </w:r>
    <w:bookmarkEnd w:id="226"/>
    <w:bookmarkEnd w:id="227"/>
    <w:bookmarkEnd w:id="228"/>
    <w:bookmarkEnd w:id="22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eastAsia="仿宋_GB2312"/>
      </w:rPr>
    </w:pPr>
    <w:r>
      <w:rPr>
        <w:rFonts w:hint="eastAsia"/>
      </w:rPr>
      <w:drawing>
        <wp:inline distT="0" distB="0" distL="114300" distR="114300">
          <wp:extent cx="1016000" cy="224155"/>
          <wp:effectExtent l="0" t="0" r="12700" b="4445"/>
          <wp:docPr id="24" name="图片 24"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logo正浩招标透明"/>
                  <pic:cNvPicPr>
                    <a:picLocks noChangeAspect="1"/>
                  </pic:cNvPicPr>
                </pic:nvPicPr>
                <pic:blipFill>
                  <a:blip r:embed="rId1"/>
                  <a:stretch>
                    <a:fillRect/>
                  </a:stretch>
                </pic:blipFill>
                <pic:spPr>
                  <a:xfrm>
                    <a:off x="0" y="0"/>
                    <a:ext cx="1016000" cy="2241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hint="eastAsia" w:eastAsia="仿宋_GB2312"/>
        <w:lang w:eastAsia="zh-CN"/>
      </w:rPr>
    </w:pPr>
    <w:r>
      <w:rPr>
        <w:rFonts w:hint="eastAsia"/>
      </w:rPr>
      <w:drawing>
        <wp:inline distT="0" distB="0" distL="114300" distR="114300">
          <wp:extent cx="1016000" cy="224155"/>
          <wp:effectExtent l="0" t="0" r="12700" b="4445"/>
          <wp:docPr id="23" name="图片 23"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logo正浩招标透明"/>
                  <pic:cNvPicPr>
                    <a:picLocks noChangeAspect="1"/>
                  </pic:cNvPicPr>
                </pic:nvPicPr>
                <pic:blipFill>
                  <a:blip r:embed="rId1"/>
                  <a:stretch>
                    <a:fillRect/>
                  </a:stretch>
                </pic:blipFill>
                <pic:spPr>
                  <a:xfrm>
                    <a:off x="0" y="0"/>
                    <a:ext cx="1016000" cy="224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3"/>
      <w:lvlText w:val=""/>
      <w:lvlJc w:val="left"/>
      <w:pPr>
        <w:tabs>
          <w:tab w:val="left" w:pos="840"/>
        </w:tabs>
        <w:ind w:left="840" w:hanging="420"/>
      </w:pPr>
      <w:rPr>
        <w:rFonts w:hint="default" w:ascii="Wingdings" w:hAnsi="Wingdings"/>
      </w:rPr>
    </w:lvl>
    <w:lvl w:ilvl="1" w:tentative="0">
      <w:start w:val="1"/>
      <w:numFmt w:val="bullet"/>
      <w:pStyle w:val="86"/>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3"/>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1"/>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4">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5">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6">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2RhMjhkZGU3MWI1MGVmZDVmMDlmOWI2ZWRhZWE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5046"/>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F0B4F"/>
    <w:rsid w:val="00FF1AD3"/>
    <w:rsid w:val="00FF49F4"/>
    <w:rsid w:val="00FF651D"/>
    <w:rsid w:val="00FF68CA"/>
    <w:rsid w:val="010651D9"/>
    <w:rsid w:val="02DA0C0E"/>
    <w:rsid w:val="03DD35E4"/>
    <w:rsid w:val="04B70D14"/>
    <w:rsid w:val="065A6178"/>
    <w:rsid w:val="075562B7"/>
    <w:rsid w:val="096B2097"/>
    <w:rsid w:val="0A5B7E63"/>
    <w:rsid w:val="0A892BC4"/>
    <w:rsid w:val="0B1E33BC"/>
    <w:rsid w:val="0C87121B"/>
    <w:rsid w:val="0DF702FE"/>
    <w:rsid w:val="0E3F698B"/>
    <w:rsid w:val="0EC14C38"/>
    <w:rsid w:val="0F21508F"/>
    <w:rsid w:val="0F816ACD"/>
    <w:rsid w:val="10B047CF"/>
    <w:rsid w:val="10FC16EA"/>
    <w:rsid w:val="118963A1"/>
    <w:rsid w:val="127723A9"/>
    <w:rsid w:val="13072A44"/>
    <w:rsid w:val="13F225FA"/>
    <w:rsid w:val="14072DAB"/>
    <w:rsid w:val="145044FA"/>
    <w:rsid w:val="16885EAC"/>
    <w:rsid w:val="18E56177"/>
    <w:rsid w:val="1B2A271F"/>
    <w:rsid w:val="1B890139"/>
    <w:rsid w:val="1D266CE1"/>
    <w:rsid w:val="1D2D319A"/>
    <w:rsid w:val="1D3963AF"/>
    <w:rsid w:val="1E714A66"/>
    <w:rsid w:val="1F161587"/>
    <w:rsid w:val="1FE868A9"/>
    <w:rsid w:val="211E26D6"/>
    <w:rsid w:val="21283D08"/>
    <w:rsid w:val="25B440B3"/>
    <w:rsid w:val="26F471BF"/>
    <w:rsid w:val="2AA1365A"/>
    <w:rsid w:val="2C9C0999"/>
    <w:rsid w:val="2DD15014"/>
    <w:rsid w:val="2FD25781"/>
    <w:rsid w:val="30180C08"/>
    <w:rsid w:val="319C6071"/>
    <w:rsid w:val="32010A89"/>
    <w:rsid w:val="32B37FEF"/>
    <w:rsid w:val="32DB72BE"/>
    <w:rsid w:val="32F26414"/>
    <w:rsid w:val="342E63AB"/>
    <w:rsid w:val="345D260B"/>
    <w:rsid w:val="365302AE"/>
    <w:rsid w:val="38795776"/>
    <w:rsid w:val="39A13F14"/>
    <w:rsid w:val="3A541FF7"/>
    <w:rsid w:val="3C5F759A"/>
    <w:rsid w:val="3D5C78D4"/>
    <w:rsid w:val="40793FB1"/>
    <w:rsid w:val="42E1381E"/>
    <w:rsid w:val="43FB717C"/>
    <w:rsid w:val="44906F93"/>
    <w:rsid w:val="451E447A"/>
    <w:rsid w:val="45345B76"/>
    <w:rsid w:val="45C72117"/>
    <w:rsid w:val="47307808"/>
    <w:rsid w:val="486F747C"/>
    <w:rsid w:val="4A123EDC"/>
    <w:rsid w:val="4C036525"/>
    <w:rsid w:val="4D861CF6"/>
    <w:rsid w:val="51A0432A"/>
    <w:rsid w:val="527140E5"/>
    <w:rsid w:val="5292508F"/>
    <w:rsid w:val="52A96B6F"/>
    <w:rsid w:val="550764A4"/>
    <w:rsid w:val="551926E0"/>
    <w:rsid w:val="56515F3B"/>
    <w:rsid w:val="572B71CA"/>
    <w:rsid w:val="58415165"/>
    <w:rsid w:val="58AE4F0C"/>
    <w:rsid w:val="5A2A7C7B"/>
    <w:rsid w:val="5A892228"/>
    <w:rsid w:val="5B6B4789"/>
    <w:rsid w:val="5BC97A09"/>
    <w:rsid w:val="5C80234E"/>
    <w:rsid w:val="5E261785"/>
    <w:rsid w:val="5FCC5339"/>
    <w:rsid w:val="60E53485"/>
    <w:rsid w:val="61054A27"/>
    <w:rsid w:val="611D2366"/>
    <w:rsid w:val="61DC5063"/>
    <w:rsid w:val="62885958"/>
    <w:rsid w:val="64CE2EAA"/>
    <w:rsid w:val="662E75B1"/>
    <w:rsid w:val="66342C2E"/>
    <w:rsid w:val="663E784C"/>
    <w:rsid w:val="685867EC"/>
    <w:rsid w:val="69881A8B"/>
    <w:rsid w:val="6A33616E"/>
    <w:rsid w:val="6B9F261B"/>
    <w:rsid w:val="6BD31ED4"/>
    <w:rsid w:val="6C1013B0"/>
    <w:rsid w:val="6E8E12EF"/>
    <w:rsid w:val="71D43752"/>
    <w:rsid w:val="73DD6243"/>
    <w:rsid w:val="749C4185"/>
    <w:rsid w:val="74A11C41"/>
    <w:rsid w:val="75DA2C18"/>
    <w:rsid w:val="775319EF"/>
    <w:rsid w:val="790F1C77"/>
    <w:rsid w:val="79A339DC"/>
    <w:rsid w:val="7A67303B"/>
    <w:rsid w:val="7AAB1D04"/>
    <w:rsid w:val="7ABA4368"/>
    <w:rsid w:val="7B257FFD"/>
    <w:rsid w:val="7B8D2E7A"/>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611"/>
    <w:qFormat/>
    <w:uiPriority w:val="0"/>
    <w:pPr>
      <w:widowControl/>
      <w:snapToGrid w:val="0"/>
      <w:spacing w:line="480" w:lineRule="exact"/>
      <w:ind w:firstLine="567"/>
    </w:pPr>
    <w:rPr>
      <w:rFonts w:ascii="宋体"/>
      <w:snapToGrid w:val="0"/>
      <w:color w:val="000000"/>
      <w:kern w:val="28"/>
      <w:sz w:val="28"/>
      <w:szCs w:val="20"/>
    </w:rPr>
  </w:style>
  <w:style w:type="paragraph" w:styleId="3">
    <w:name w:val="Body Text Indent"/>
    <w:basedOn w:val="1"/>
    <w:next w:val="1"/>
    <w:link w:val="473"/>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612"/>
    <w:qFormat/>
    <w:uiPriority w:val="99"/>
    <w:pPr>
      <w:jc w:val="left"/>
    </w:pPr>
  </w:style>
  <w:style w:type="paragraph" w:styleId="21">
    <w:name w:val="Salutation"/>
    <w:basedOn w:val="1"/>
    <w:next w:val="1"/>
    <w:link w:val="480"/>
    <w:qFormat/>
    <w:uiPriority w:val="0"/>
    <w:rPr>
      <w:rFonts w:ascii="仿宋_GB2312" w:eastAsia="仿宋_GB2312"/>
      <w:sz w:val="28"/>
      <w:szCs w:val="20"/>
    </w:rPr>
  </w:style>
  <w:style w:type="paragraph" w:styleId="22">
    <w:name w:val="Body Text 3"/>
    <w:basedOn w:val="1"/>
    <w:link w:val="579"/>
    <w:qFormat/>
    <w:uiPriority w:val="0"/>
    <w:pPr>
      <w:jc w:val="center"/>
    </w:pPr>
    <w:rPr>
      <w:szCs w:val="20"/>
    </w:rPr>
  </w:style>
  <w:style w:type="paragraph" w:styleId="23">
    <w:name w:val="Body Text"/>
    <w:basedOn w:val="1"/>
    <w:next w:val="24"/>
    <w:link w:val="510"/>
    <w:qFormat/>
    <w:uiPriority w:val="0"/>
    <w:pPr>
      <w:autoSpaceDE w:val="0"/>
      <w:autoSpaceDN w:val="0"/>
      <w:spacing w:line="360" w:lineRule="auto"/>
    </w:pPr>
    <w:rPr>
      <w:rFonts w:ascii="宋体"/>
      <w:sz w:val="24"/>
      <w:szCs w:val="21"/>
      <w:lang w:val="zh-CN"/>
    </w:rPr>
  </w:style>
  <w:style w:type="paragraph" w:customStyle="1" w:styleId="24">
    <w:name w:val="一级条标题"/>
    <w:basedOn w:val="25"/>
    <w:next w:val="26"/>
    <w:qFormat/>
    <w:uiPriority w:val="0"/>
    <w:pPr>
      <w:tabs>
        <w:tab w:val="left" w:pos="1260"/>
        <w:tab w:val="left" w:pos="1680"/>
      </w:tabs>
      <w:spacing w:before="0" w:beforeLines="0" w:after="0" w:afterLines="0"/>
      <w:ind w:left="1680"/>
      <w:outlineLvl w:val="2"/>
    </w:pPr>
  </w:style>
  <w:style w:type="paragraph" w:customStyle="1" w:styleId="25">
    <w:name w:val="章标题"/>
    <w:next w:val="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26">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487"/>
    <w:qFormat/>
    <w:uiPriority w:val="0"/>
    <w:rPr>
      <w:rFonts w:ascii="宋体" w:hAnsi="Courier New"/>
      <w:szCs w:val="20"/>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596"/>
    <w:qFormat/>
    <w:uiPriority w:val="0"/>
    <w:pPr>
      <w:ind w:left="100" w:leftChars="2500"/>
    </w:pPr>
    <w:rPr>
      <w:rFonts w:ascii="宋体"/>
      <w:sz w:val="24"/>
      <w:szCs w:val="21"/>
      <w:lang w:val="zh-CN"/>
    </w:rPr>
  </w:style>
  <w:style w:type="paragraph" w:styleId="38">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9">
    <w:name w:val="Balloon Text"/>
    <w:basedOn w:val="1"/>
    <w:link w:val="613"/>
    <w:semiHidden/>
    <w:qFormat/>
    <w:uiPriority w:val="0"/>
    <w:rPr>
      <w:sz w:val="18"/>
      <w:szCs w:val="18"/>
    </w:rPr>
  </w:style>
  <w:style w:type="paragraph" w:styleId="40">
    <w:name w:val="footer"/>
    <w:basedOn w:val="1"/>
    <w:qFormat/>
    <w:uiPriority w:val="0"/>
    <w:pPr>
      <w:tabs>
        <w:tab w:val="center" w:pos="4153"/>
        <w:tab w:val="right" w:pos="8306"/>
      </w:tabs>
      <w:snapToGrid w:val="0"/>
      <w:jc w:val="left"/>
    </w:pPr>
    <w:rPr>
      <w:sz w:val="18"/>
      <w:szCs w:val="18"/>
    </w:rPr>
  </w:style>
  <w:style w:type="paragraph" w:styleId="4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2"/>
    <w:link w:val="471"/>
    <w:qFormat/>
    <w:uiPriority w:val="0"/>
    <w:pPr>
      <w:adjustRightInd/>
      <w:snapToGrid/>
      <w:spacing w:before="60" w:after="60" w:line="300" w:lineRule="exact"/>
      <w:ind w:firstLine="0"/>
    </w:pPr>
    <w:rPr>
      <w:rFonts w:ascii="Times New Roman"/>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586"/>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qFormat/>
    <w:uiPriority w:val="0"/>
    <w:pPr>
      <w:spacing w:after="120" w:line="480" w:lineRule="auto"/>
    </w:pPr>
  </w:style>
  <w:style w:type="paragraph" w:styleId="57">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semiHidden/>
    <w:qFormat/>
    <w:uiPriority w:val="0"/>
    <w:rPr>
      <w:b/>
      <w:bCs/>
    </w:rPr>
  </w:style>
  <w:style w:type="paragraph" w:styleId="61">
    <w:name w:val="Body Text First Indent"/>
    <w:basedOn w:val="23"/>
    <w:link w:val="543"/>
    <w:qFormat/>
    <w:uiPriority w:val="0"/>
    <w:pPr>
      <w:ind w:firstLine="420"/>
    </w:pPr>
    <w:rPr>
      <w:szCs w:val="20"/>
    </w:rPr>
  </w:style>
  <w:style w:type="paragraph" w:styleId="62">
    <w:name w:val="Body Text First Indent 2"/>
    <w:basedOn w:val="3"/>
    <w:next w:val="1"/>
    <w:link w:val="500"/>
    <w:qFormat/>
    <w:uiPriority w:val="0"/>
    <w:pPr>
      <w:adjustRightInd/>
      <w:spacing w:after="120" w:line="240" w:lineRule="auto"/>
      <w:ind w:left="420" w:leftChars="200" w:firstLine="210"/>
    </w:pPr>
    <w:rPr>
      <w:sz w:val="21"/>
    </w:rPr>
  </w:style>
  <w:style w:type="table" w:styleId="64">
    <w:name w:val="Table Grid"/>
    <w:basedOn w:val="6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qFormat/>
    <w:uiPriority w:val="22"/>
    <w:rPr>
      <w:b/>
      <w:bCs/>
    </w:rPr>
  </w:style>
  <w:style w:type="character" w:styleId="67">
    <w:name w:val="page number"/>
    <w:basedOn w:val="65"/>
    <w:qFormat/>
    <w:uiPriority w:val="0"/>
  </w:style>
  <w:style w:type="character" w:styleId="68">
    <w:name w:val="FollowedHyperlink"/>
    <w:qFormat/>
    <w:uiPriority w:val="0"/>
    <w:rPr>
      <w:rFonts w:ascii="Arial" w:hAnsi="Arial" w:eastAsia="黑体" w:cs="Arial"/>
      <w:snapToGrid w:val="0"/>
      <w:color w:val="000000"/>
      <w:kern w:val="0"/>
      <w:sz w:val="18"/>
      <w:szCs w:val="18"/>
      <w:u w:val="none"/>
    </w:rPr>
  </w:style>
  <w:style w:type="character" w:styleId="69">
    <w:name w:val="Emphasis"/>
    <w:qFormat/>
    <w:uiPriority w:val="0"/>
    <w:rPr>
      <w:color w:val="CC0033"/>
    </w:rPr>
  </w:style>
  <w:style w:type="character" w:styleId="70">
    <w:name w:val="line number"/>
    <w:basedOn w:val="65"/>
    <w:qFormat/>
    <w:uiPriority w:val="0"/>
  </w:style>
  <w:style w:type="character" w:styleId="71">
    <w:name w:val="Hyperlink"/>
    <w:qFormat/>
    <w:uiPriority w:val="0"/>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paragraph" w:customStyle="1" w:styleId="7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5">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6">
    <w:name w:val="样式3"/>
    <w:basedOn w:val="77"/>
    <w:qFormat/>
    <w:uiPriority w:val="0"/>
    <w:pPr>
      <w:tabs>
        <w:tab w:val="left" w:pos="2790"/>
        <w:tab w:val="left" w:pos="4230"/>
      </w:tabs>
      <w:spacing w:before="312" w:beforeLines="100"/>
      <w:jc w:val="left"/>
    </w:pPr>
  </w:style>
  <w:style w:type="paragraph" w:customStyle="1" w:styleId="7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8">
    <w:name w:val="P1"/>
    <w:basedOn w:val="1"/>
    <w:qFormat/>
    <w:uiPriority w:val="0"/>
    <w:pPr>
      <w:adjustRightInd/>
      <w:spacing w:line="288" w:lineRule="auto"/>
      <w:ind w:firstLine="425" w:firstLineChars="200"/>
    </w:pPr>
  </w:style>
  <w:style w:type="paragraph" w:customStyle="1" w:styleId="79">
    <w:name w:val="Char1 Char Char Char"/>
    <w:basedOn w:val="1"/>
    <w:qFormat/>
    <w:uiPriority w:val="0"/>
    <w:rPr>
      <w:rFonts w:ascii="Tahoma" w:hAnsi="Tahoma"/>
      <w:sz w:val="24"/>
      <w:szCs w:val="20"/>
    </w:rPr>
  </w:style>
  <w:style w:type="paragraph" w:customStyle="1" w:styleId="8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
    <w:name w:val="样式7"/>
    <w:basedOn w:val="85"/>
    <w:next w:val="1"/>
    <w:qFormat/>
    <w:uiPriority w:val="0"/>
    <w:pPr>
      <w:spacing w:after="156" w:afterLines="50"/>
      <w:jc w:val="left"/>
      <w:outlineLvl w:val="3"/>
    </w:pPr>
    <w:rPr>
      <w:sz w:val="24"/>
      <w:szCs w:val="24"/>
    </w:rPr>
  </w:style>
  <w:style w:type="paragraph" w:customStyle="1" w:styleId="8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6">
    <w:name w:val="Bulleted List"/>
    <w:basedOn w:val="1"/>
    <w:qFormat/>
    <w:uiPriority w:val="0"/>
    <w:pPr>
      <w:numPr>
        <w:ilvl w:val="1"/>
        <w:numId w:val="4"/>
      </w:numPr>
      <w:adjustRightInd/>
    </w:pPr>
  </w:style>
  <w:style w:type="paragraph" w:customStyle="1" w:styleId="87">
    <w:name w:val="Char3"/>
    <w:basedOn w:val="1"/>
    <w:qFormat/>
    <w:uiPriority w:val="0"/>
    <w:pPr>
      <w:adjustRightInd/>
    </w:pPr>
    <w:rPr>
      <w:rFonts w:ascii="仿宋_GB2312" w:eastAsia="仿宋_GB2312"/>
      <w:b/>
      <w:sz w:val="32"/>
      <w:szCs w:val="32"/>
    </w:rPr>
  </w:style>
  <w:style w:type="paragraph" w:customStyle="1" w:styleId="88">
    <w:name w:val="Char Char1 Char Char Char Char Char Char"/>
    <w:basedOn w:val="1"/>
    <w:qFormat/>
    <w:uiPriority w:val="0"/>
    <w:rPr>
      <w:rFonts w:ascii="仿宋_GB2312" w:eastAsia="仿宋_GB2312"/>
      <w:b/>
      <w:sz w:val="32"/>
      <w:szCs w:val="20"/>
    </w:rPr>
  </w:style>
  <w:style w:type="paragraph" w:customStyle="1" w:styleId="89">
    <w:name w:val="文本正文 Char"/>
    <w:basedOn w:val="1"/>
    <w:qFormat/>
    <w:uiPriority w:val="0"/>
    <w:pPr>
      <w:spacing w:line="360" w:lineRule="auto"/>
      <w:ind w:firstLine="200" w:firstLineChars="200"/>
    </w:pPr>
    <w:rPr>
      <w:kern w:val="0"/>
      <w:sz w:val="24"/>
      <w:szCs w:val="20"/>
    </w:rPr>
  </w:style>
  <w:style w:type="paragraph" w:customStyle="1" w:styleId="9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5">
    <w:name w:val="样式 标题 22h2L1 Heading 2H2sect 1.2H21sect 1.21H22sect 1.2..."/>
    <w:basedOn w:val="5"/>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9">
    <w:name w:val="Char1"/>
    <w:basedOn w:val="1"/>
    <w:qFormat/>
    <w:uiPriority w:val="0"/>
    <w:rPr>
      <w:rFonts w:ascii="仿宋_GB2312" w:eastAsia="仿宋_GB2312"/>
      <w:b/>
      <w:sz w:val="32"/>
      <w:szCs w:val="32"/>
    </w:rPr>
  </w:style>
  <w:style w:type="paragraph" w:customStyle="1" w:styleId="100">
    <w:name w:val="CM14"/>
    <w:basedOn w:val="101"/>
    <w:next w:val="101"/>
    <w:qFormat/>
    <w:uiPriority w:val="0"/>
    <w:pPr>
      <w:spacing w:after="68"/>
    </w:pPr>
    <w:rPr>
      <w:rFonts w:ascii="FHLHE E+ Futura Bk" w:eastAsia="FHLHE E+ Futura Bk" w:cs="Times New Roman"/>
      <w:color w:val="auto"/>
    </w:rPr>
  </w:style>
  <w:style w:type="paragraph" w:customStyle="1" w:styleId="101">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103">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6">
    <w:name w:val="标书标题4"/>
    <w:basedOn w:val="7"/>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7">
    <w:name w:val="List Paragraph"/>
    <w:basedOn w:val="1"/>
    <w:qFormat/>
    <w:uiPriority w:val="0"/>
    <w:pPr>
      <w:spacing w:line="360" w:lineRule="auto"/>
      <w:ind w:firstLine="200" w:firstLineChars="200"/>
    </w:pPr>
    <w:rPr>
      <w:rFonts w:eastAsia="楷体_GB2312" w:cs="Lucida Sans"/>
      <w:sz w:val="24"/>
    </w:rPr>
  </w:style>
  <w:style w:type="paragraph" w:customStyle="1" w:styleId="10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9">
    <w:name w:val="Char2 Char Char Char"/>
    <w:basedOn w:val="1"/>
    <w:qFormat/>
    <w:uiPriority w:val="0"/>
    <w:rPr>
      <w:rFonts w:ascii="仿宋_GB2312" w:eastAsia="仿宋_GB2312"/>
      <w:b/>
      <w:sz w:val="32"/>
      <w:szCs w:val="32"/>
    </w:rPr>
  </w:style>
  <w:style w:type="paragraph" w:customStyle="1" w:styleId="1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2">
    <w:name w:val="Char Char Char"/>
    <w:basedOn w:val="1"/>
    <w:qFormat/>
    <w:uiPriority w:val="0"/>
    <w:rPr>
      <w:rFonts w:ascii="Tahoma" w:hAnsi="Tahoma"/>
      <w:sz w:val="24"/>
      <w:szCs w:val="20"/>
    </w:rPr>
  </w:style>
  <w:style w:type="paragraph" w:customStyle="1" w:styleId="1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5">
    <w:name w:val="样式 正文缩进 + 首行缩进:  2 字符"/>
    <w:basedOn w:val="2"/>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8">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21">
    <w:name w:val="FA正文"/>
    <w:basedOn w:val="1"/>
    <w:qFormat/>
    <w:uiPriority w:val="0"/>
    <w:pPr>
      <w:spacing w:line="360" w:lineRule="auto"/>
      <w:ind w:firstLine="480" w:firstLineChars="200"/>
    </w:pPr>
    <w:rPr>
      <w:rFonts w:hAnsi="宋体"/>
      <w:sz w:val="24"/>
      <w:szCs w:val="20"/>
    </w:rPr>
  </w:style>
  <w:style w:type="paragraph" w:customStyle="1" w:styleId="122">
    <w:name w:val="MM Topic 4"/>
    <w:basedOn w:val="7"/>
    <w:qFormat/>
    <w:uiPriority w:val="0"/>
    <w:pPr>
      <w:numPr>
        <w:ilvl w:val="0"/>
        <w:numId w:val="0"/>
      </w:numPr>
      <w:tabs>
        <w:tab w:val="left" w:pos="2100"/>
        <w:tab w:val="clear" w:pos="864"/>
      </w:tabs>
      <w:adjustRightInd/>
      <w:ind w:left="2100" w:hanging="420"/>
    </w:pPr>
    <w:rPr>
      <w:lang w:val="en-US"/>
    </w:rPr>
  </w:style>
  <w:style w:type="paragraph" w:customStyle="1" w:styleId="123">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4">
    <w:name w:val="有符号正文"/>
    <w:basedOn w:val="1"/>
    <w:qFormat/>
    <w:uiPriority w:val="0"/>
    <w:pPr>
      <w:adjustRightInd/>
      <w:spacing w:line="400" w:lineRule="exact"/>
      <w:ind w:firstLine="200" w:firstLineChars="200"/>
    </w:pPr>
    <w:rPr>
      <w:rFonts w:ascii="Arial" w:hAnsi="Arial"/>
    </w:rPr>
  </w:style>
  <w:style w:type="paragraph" w:customStyle="1" w:styleId="1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6">
    <w:name w:val="默认段落字体 Para Char"/>
    <w:basedOn w:val="1"/>
    <w:qFormat/>
    <w:uiPriority w:val="0"/>
    <w:rPr>
      <w:rFonts w:ascii="Tahoma" w:hAnsi="Tahoma"/>
      <w:sz w:val="24"/>
      <w:szCs w:val="20"/>
    </w:rPr>
  </w:style>
  <w:style w:type="paragraph" w:customStyle="1" w:styleId="127">
    <w:name w:val="Char1 Char Char Char2"/>
    <w:basedOn w:val="1"/>
    <w:qFormat/>
    <w:uiPriority w:val="0"/>
    <w:pPr>
      <w:adjustRightInd/>
      <w:ind w:firstLine="200" w:firstLineChars="200"/>
    </w:pPr>
    <w:rPr>
      <w:rFonts w:ascii="Tahoma" w:hAnsi="Tahoma"/>
      <w:sz w:val="24"/>
      <w:szCs w:val="20"/>
    </w:rPr>
  </w:style>
  <w:style w:type="paragraph" w:customStyle="1" w:styleId="12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0">
    <w:name w:val="注释"/>
    <w:basedOn w:val="1"/>
    <w:qFormat/>
    <w:uiPriority w:val="0"/>
    <w:pPr>
      <w:adjustRightInd/>
      <w:spacing w:line="360" w:lineRule="auto"/>
      <w:ind w:firstLine="480"/>
    </w:pPr>
    <w:rPr>
      <w:sz w:val="24"/>
    </w:rPr>
  </w:style>
  <w:style w:type="paragraph" w:customStyle="1" w:styleId="1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2">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3">
    <w:name w:val="trademark"/>
    <w:qFormat/>
    <w:uiPriority w:val="0"/>
    <w:pPr>
      <w:spacing w:after="60"/>
    </w:pPr>
    <w:rPr>
      <w:rFonts w:ascii="Futura Bk" w:hAnsi="Futura Bk" w:eastAsia="宋体" w:cs="Times New Roman"/>
      <w:sz w:val="15"/>
      <w:lang w:val="en-US" w:eastAsia="en-US" w:bidi="ar-SA"/>
    </w:rPr>
  </w:style>
  <w:style w:type="paragraph" w:customStyle="1" w:styleId="13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5">
    <w:name w:val="EB_表格"/>
    <w:basedOn w:val="1"/>
    <w:qFormat/>
    <w:uiPriority w:val="0"/>
    <w:pPr>
      <w:adjustRightInd/>
      <w:spacing w:line="300" w:lineRule="auto"/>
      <w:jc w:val="center"/>
    </w:pPr>
  </w:style>
  <w:style w:type="paragraph" w:customStyle="1" w:styleId="136">
    <w:name w:val="Char Char Char1 Char"/>
    <w:basedOn w:val="1"/>
    <w:qFormat/>
    <w:uiPriority w:val="0"/>
    <w:rPr>
      <w:szCs w:val="20"/>
    </w:rPr>
  </w:style>
  <w:style w:type="paragraph" w:customStyle="1" w:styleId="1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40">
    <w:name w:val="标准有序列表（L1）"/>
    <w:basedOn w:val="2"/>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2">
    <w:name w:val="表文字"/>
    <w:qFormat/>
    <w:uiPriority w:val="0"/>
    <w:rPr>
      <w:rFonts w:ascii="宋体" w:hAnsi="Times New Roman" w:eastAsia="宋体" w:cs="Times New Roman"/>
      <w:kern w:val="2"/>
      <w:lang w:val="en-US" w:eastAsia="zh-CN" w:bidi="ar-SA"/>
    </w:rPr>
  </w:style>
  <w:style w:type="paragraph" w:customStyle="1" w:styleId="14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6">
    <w:name w:val="列表内容"/>
    <w:basedOn w:val="1"/>
    <w:next w:val="1"/>
    <w:qFormat/>
    <w:uiPriority w:val="0"/>
    <w:pPr>
      <w:widowControl/>
      <w:tabs>
        <w:tab w:val="left" w:pos="840"/>
      </w:tabs>
      <w:ind w:left="840" w:hanging="420"/>
      <w:jc w:val="left"/>
    </w:pPr>
    <w:rPr>
      <w:kern w:val="0"/>
      <w:sz w:val="18"/>
    </w:rPr>
  </w:style>
  <w:style w:type="paragraph" w:customStyle="1" w:styleId="14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0">
    <w:name w:val="Char2 Char Char"/>
    <w:basedOn w:val="1"/>
    <w:qFormat/>
    <w:uiPriority w:val="0"/>
    <w:pPr>
      <w:adjustRightInd/>
    </w:pPr>
    <w:rPr>
      <w:rFonts w:ascii="Tahoma" w:hAnsi="Tahoma"/>
      <w:sz w:val="24"/>
      <w:szCs w:val="20"/>
    </w:rPr>
  </w:style>
  <w:style w:type="paragraph" w:customStyle="1" w:styleId="15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5">
    <w:name w:val="Char Char1 Char Char Char"/>
    <w:basedOn w:val="1"/>
    <w:qFormat/>
    <w:uiPriority w:val="0"/>
    <w:rPr>
      <w:rFonts w:ascii="仿宋_GB2312" w:eastAsia="仿宋_GB2312"/>
      <w:b/>
      <w:sz w:val="32"/>
      <w:szCs w:val="20"/>
    </w:rPr>
  </w:style>
  <w:style w:type="paragraph" w:customStyle="1" w:styleId="15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7">
    <w:name w:val="WW-正文文字缩进 2"/>
    <w:basedOn w:val="1"/>
    <w:qFormat/>
    <w:uiPriority w:val="0"/>
    <w:pPr>
      <w:suppressAutoHyphens/>
      <w:adjustRightInd/>
      <w:ind w:firstLine="420"/>
    </w:pPr>
    <w:rPr>
      <w:kern w:val="1"/>
      <w:szCs w:val="20"/>
    </w:rPr>
  </w:style>
  <w:style w:type="paragraph" w:customStyle="1" w:styleId="1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0">
    <w:name w:val="默认段落字体 Para Char Char Char Char"/>
    <w:basedOn w:val="1"/>
    <w:qFormat/>
    <w:uiPriority w:val="0"/>
    <w:pPr>
      <w:spacing w:line="360" w:lineRule="auto"/>
    </w:pPr>
    <w:rPr>
      <w:szCs w:val="20"/>
    </w:rPr>
  </w:style>
  <w:style w:type="paragraph" w:customStyle="1" w:styleId="161">
    <w:name w:val="Char Char11 Char Char Char"/>
    <w:basedOn w:val="1"/>
    <w:qFormat/>
    <w:uiPriority w:val="0"/>
    <w:pPr>
      <w:spacing w:line="360" w:lineRule="auto"/>
    </w:pPr>
    <w:rPr>
      <w:szCs w:val="20"/>
    </w:rPr>
  </w:style>
  <w:style w:type="paragraph" w:customStyle="1" w:styleId="16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4">
    <w:name w:val="左对齐表格文字"/>
    <w:basedOn w:val="1"/>
    <w:qFormat/>
    <w:uiPriority w:val="0"/>
    <w:pPr>
      <w:adjustRightInd/>
      <w:ind w:firstLine="200" w:firstLineChars="200"/>
      <w:jc w:val="right"/>
    </w:pPr>
  </w:style>
  <w:style w:type="paragraph" w:customStyle="1" w:styleId="16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8">
    <w:name w:val="无间隔1"/>
    <w:link w:val="529"/>
    <w:qFormat/>
    <w:uiPriority w:val="1"/>
    <w:rPr>
      <w:rFonts w:ascii="Calibri" w:hAnsi="Calibri" w:eastAsia="宋体" w:cs="Times New Roman"/>
      <w:sz w:val="22"/>
      <w:szCs w:val="22"/>
      <w:lang w:val="en-US" w:eastAsia="zh-CN" w:bidi="ar-SA"/>
    </w:rPr>
  </w:style>
  <w:style w:type="paragraph" w:customStyle="1" w:styleId="169">
    <w:name w:val="样式 样式 标题 4h4H4Fab-4T5Ref Heading 1rh1Heading sqlsect 1.2.3.... +..."/>
    <w:basedOn w:val="170"/>
    <w:link w:val="607"/>
    <w:qFormat/>
    <w:uiPriority w:val="0"/>
    <w:pPr>
      <w:tabs>
        <w:tab w:val="left" w:pos="2356"/>
      </w:tabs>
    </w:pPr>
  </w:style>
  <w:style w:type="paragraph" w:customStyle="1" w:styleId="170">
    <w:name w:val="样式 标题 4h4H4Fab-4T5Ref Heading 1rh1Heading sqlsect 1.2.3...."/>
    <w:basedOn w:val="7"/>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1">
    <w:name w:val="四级条标题"/>
    <w:basedOn w:val="172"/>
    <w:next w:val="26"/>
    <w:qFormat/>
    <w:uiPriority w:val="0"/>
    <w:pPr>
      <w:numPr>
        <w:ilvl w:val="5"/>
        <w:numId w:val="4"/>
      </w:numPr>
      <w:tabs>
        <w:tab w:val="left" w:pos="1260"/>
        <w:tab w:val="left" w:pos="1680"/>
        <w:tab w:val="left" w:pos="2100"/>
        <w:tab w:val="left" w:pos="2520"/>
      </w:tabs>
      <w:outlineLvl w:val="5"/>
    </w:pPr>
  </w:style>
  <w:style w:type="paragraph" w:customStyle="1" w:styleId="172">
    <w:name w:val="三级条标题"/>
    <w:basedOn w:val="173"/>
    <w:next w:val="26"/>
    <w:qFormat/>
    <w:uiPriority w:val="0"/>
    <w:pPr>
      <w:numPr>
        <w:ilvl w:val="0"/>
        <w:numId w:val="0"/>
      </w:numPr>
      <w:tabs>
        <w:tab w:val="left" w:pos="1260"/>
        <w:tab w:val="left" w:pos="1680"/>
        <w:tab w:val="left" w:pos="2100"/>
        <w:tab w:val="left" w:pos="2520"/>
      </w:tabs>
      <w:ind w:left="2520" w:hanging="420"/>
      <w:outlineLvl w:val="4"/>
    </w:pPr>
  </w:style>
  <w:style w:type="paragraph" w:customStyle="1" w:styleId="173">
    <w:name w:val="二级条标题"/>
    <w:basedOn w:val="24"/>
    <w:next w:val="26"/>
    <w:qFormat/>
    <w:uiPriority w:val="0"/>
    <w:pPr>
      <w:numPr>
        <w:ilvl w:val="3"/>
        <w:numId w:val="4"/>
      </w:numPr>
      <w:ind w:left="0"/>
      <w:outlineLvl w:val="3"/>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6"/>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5"/>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7"/>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6"/>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4"/>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7"/>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9"/>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4"/>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6"/>
    <w:qFormat/>
    <w:uiPriority w:val="0"/>
    <w:pPr>
      <w:snapToGrid w:val="0"/>
      <w:spacing w:line="360" w:lineRule="auto"/>
    </w:pPr>
    <w:rPr>
      <w:rFonts w:ascii="宋体"/>
      <w:b/>
      <w:sz w:val="24"/>
      <w:szCs w:val="20"/>
    </w:rPr>
  </w:style>
  <w:style w:type="paragraph" w:customStyle="1" w:styleId="228">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8"/>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4"/>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9"/>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101"/>
    <w:next w:val="101"/>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4"/>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4"/>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5"/>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5"/>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6"/>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5"/>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7"/>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6"/>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7"/>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92"/>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9"/>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5"/>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4"/>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1"/>
    <w:next w:val="26"/>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8"/>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8"/>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6"/>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4"/>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6"/>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4"/>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2"/>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5"/>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11"/>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50"/>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10"/>
    <w:qFormat/>
    <w:uiPriority w:val="0"/>
    <w:rPr>
      <w:b/>
      <w:bCs/>
      <w:kern w:val="2"/>
      <w:sz w:val="24"/>
      <w:szCs w:val="24"/>
    </w:rPr>
  </w:style>
  <w:style w:type="character" w:customStyle="1" w:styleId="480">
    <w:name w:val="称呼 Char"/>
    <w:link w:val="21"/>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7"/>
    <w:qFormat/>
    <w:uiPriority w:val="0"/>
    <w:rPr>
      <w:rFonts w:ascii="Arial" w:hAnsi="Arial" w:eastAsia="隶书"/>
      <w:b/>
      <w:bCs/>
      <w:kern w:val="28"/>
      <w:sz w:val="44"/>
      <w:szCs w:val="32"/>
      <w:lang w:val="en-US" w:eastAsia="zh-CN" w:bidi="ar-SA"/>
    </w:rPr>
  </w:style>
  <w:style w:type="character" w:customStyle="1" w:styleId="48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62"/>
    <w:qFormat/>
    <w:uiPriority w:val="0"/>
    <w:rPr>
      <w:rFonts w:ascii="宋体" w:hAnsi="宋体"/>
      <w:kern w:val="2"/>
      <w:sz w:val="21"/>
      <w:szCs w:val="24"/>
    </w:rPr>
  </w:style>
  <w:style w:type="character" w:customStyle="1" w:styleId="501">
    <w:name w:val="正文文本缩进 2 Char"/>
    <w:link w:val="38"/>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5"/>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2"/>
    <w:qFormat/>
    <w:uiPriority w:val="0"/>
    <w:rPr>
      <w:rFonts w:ascii="Arial" w:hAnsi="Arial" w:eastAsia="黑体"/>
      <w:kern w:val="2"/>
      <w:sz w:val="21"/>
      <w:szCs w:val="21"/>
    </w:rPr>
  </w:style>
  <w:style w:type="character" w:customStyle="1" w:styleId="518">
    <w:name w:val="md"/>
    <w:basedOn w:val="65"/>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8"/>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5"/>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7"/>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61"/>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4"/>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70"/>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31"/>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8"/>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5"/>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2"/>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3"/>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5"/>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7"/>
    <w:qFormat/>
    <w:uiPriority w:val="0"/>
    <w:rPr>
      <w:rFonts w:ascii="宋体"/>
      <w:kern w:val="2"/>
      <w:sz w:val="24"/>
      <w:szCs w:val="21"/>
      <w:lang w:val="zh-CN"/>
    </w:rPr>
  </w:style>
  <w:style w:type="character" w:customStyle="1" w:styleId="597">
    <w:name w:val="标题 4 Char"/>
    <w:link w:val="7"/>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9"/>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9"/>
    <w:qFormat/>
    <w:uiPriority w:val="0"/>
    <w:rPr>
      <w:rFonts w:ascii="Arial" w:hAnsi="Arial" w:eastAsia="黑体"/>
      <w:b/>
      <w:bCs/>
      <w:kern w:val="2"/>
      <w:sz w:val="24"/>
      <w:szCs w:val="24"/>
    </w:rPr>
  </w:style>
  <w:style w:type="character" w:customStyle="1" w:styleId="611">
    <w:name w:val="正文缩进 Char2"/>
    <w:link w:val="2"/>
    <w:qFormat/>
    <w:uiPriority w:val="0"/>
    <w:rPr>
      <w:rFonts w:ascii="宋体" w:eastAsia="宋体"/>
      <w:snapToGrid w:val="0"/>
      <w:color w:val="000000"/>
      <w:kern w:val="28"/>
      <w:sz w:val="28"/>
      <w:lang w:val="en-US" w:eastAsia="zh-CN" w:bidi="ar-SA"/>
    </w:rPr>
  </w:style>
  <w:style w:type="character" w:customStyle="1" w:styleId="612">
    <w:name w:val="批注文字 Char1"/>
    <w:link w:val="20"/>
    <w:qFormat/>
    <w:uiPriority w:val="99"/>
    <w:rPr>
      <w:kern w:val="2"/>
      <w:sz w:val="21"/>
      <w:szCs w:val="24"/>
    </w:rPr>
  </w:style>
  <w:style w:type="character" w:customStyle="1" w:styleId="613">
    <w:name w:val="批注框文本 Char"/>
    <w:link w:val="39"/>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101"/>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5"/>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5"/>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B15F9-7F3A-4816-9C00-45FBBD658201}">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36125</Words>
  <Characters>37994</Characters>
  <Lines>323</Lines>
  <Paragraphs>91</Paragraphs>
  <TotalTime>0</TotalTime>
  <ScaleCrop>false</ScaleCrop>
  <LinksUpToDate>false</LinksUpToDate>
  <CharactersWithSpaces>42562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Administrator</cp:lastModifiedBy>
  <cp:lastPrinted>2021-10-22T10:37:00Z</cp:lastPrinted>
  <dcterms:modified xsi:type="dcterms:W3CDTF">2023-03-10T09:12:46Z</dcterms:modified>
  <dc:title>杭州市市民卡扩大发卡工程</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82F26E0287E0407DB03277C6C4C57FBE</vt:lpwstr>
  </property>
</Properties>
</file>